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77FEB" w14:textId="77777777" w:rsidR="00034CAF" w:rsidRDefault="00034CAF" w:rsidP="00034CAF">
      <w:pPr>
        <w:rPr>
          <w:lang w:val="en-US"/>
        </w:rPr>
      </w:pPr>
    </w:p>
    <w:p w14:paraId="499330C3" w14:textId="77777777" w:rsidR="00034CAF" w:rsidRDefault="00034CAF" w:rsidP="00034CAF">
      <w:pPr>
        <w:tabs>
          <w:tab w:val="left" w:pos="7391"/>
        </w:tabs>
        <w:rPr>
          <w:lang w:val="en-US"/>
        </w:rPr>
      </w:pPr>
      <w:r>
        <w:rPr>
          <w:lang w:val="en-US"/>
        </w:rPr>
        <w:tab/>
      </w:r>
    </w:p>
    <w:p w14:paraId="2EC2933D" w14:textId="77777777" w:rsidR="008E5452" w:rsidRPr="001967C7" w:rsidRDefault="008E5452" w:rsidP="00034CAF">
      <w:pPr>
        <w:pStyle w:val="CompanyName"/>
        <w:framePr w:h="519" w:wrap="notBeside" w:hAnchor="page" w:x="1619" w:y="713" w:anchorLock="1"/>
        <w:rPr>
          <w:spacing w:val="0"/>
          <w:kern w:val="20"/>
          <w:sz w:val="32"/>
          <w:szCs w:val="32"/>
          <w:lang w:val="en-US"/>
        </w:rPr>
      </w:pPr>
      <w:r w:rsidRPr="001967C7">
        <w:rPr>
          <w:spacing w:val="0"/>
          <w:kern w:val="20"/>
          <w:sz w:val="32"/>
          <w:szCs w:val="32"/>
          <w:lang w:val="en-US"/>
        </w:rPr>
        <w:t>Ministry of Education and Science of Ukraine</w:t>
      </w:r>
    </w:p>
    <w:p w14:paraId="7997624C" w14:textId="77777777" w:rsidR="007926C7" w:rsidRPr="001967C7" w:rsidRDefault="00305F71" w:rsidP="00305F71">
      <w:pPr>
        <w:pStyle w:val="CompanyName"/>
        <w:framePr w:h="519" w:wrap="notBeside" w:hAnchor="page" w:x="1619" w:y="713" w:anchorLock="1"/>
        <w:rPr>
          <w:spacing w:val="0"/>
          <w:kern w:val="20"/>
          <w:sz w:val="32"/>
          <w:szCs w:val="32"/>
          <w:lang w:val="en-US"/>
        </w:rPr>
      </w:pPr>
      <w:r w:rsidRPr="001967C7">
        <w:rPr>
          <w:spacing w:val="0"/>
          <w:kern w:val="20"/>
          <w:sz w:val="32"/>
          <w:szCs w:val="32"/>
          <w:lang w:val="en-US"/>
        </w:rPr>
        <w:t>sumy state university</w:t>
      </w:r>
    </w:p>
    <w:p w14:paraId="3FA30754" w14:textId="77777777" w:rsidR="00305F71" w:rsidRDefault="00305F71">
      <w:pPr>
        <w:pStyle w:val="TitleCover"/>
        <w:rPr>
          <w:b/>
          <w:lang w:val="en-US"/>
        </w:rPr>
      </w:pPr>
    </w:p>
    <w:p w14:paraId="6C5CF5CF" w14:textId="77777777" w:rsidR="008E5452" w:rsidRDefault="008E5452">
      <w:pPr>
        <w:pStyle w:val="TitleCover"/>
        <w:rPr>
          <w:b/>
          <w:lang w:val="en-US"/>
        </w:rPr>
      </w:pPr>
    </w:p>
    <w:p w14:paraId="454EED4D" w14:textId="77777777" w:rsidR="001967C7" w:rsidRDefault="00C66CA3">
      <w:pPr>
        <w:pStyle w:val="TitleCover"/>
        <w:rPr>
          <w:b/>
          <w:lang w:val="en-US"/>
        </w:rPr>
      </w:pPr>
      <w:r w:rsidRPr="00C66CA3">
        <w:rPr>
          <w:b/>
          <w:lang w:val="en-US"/>
        </w:rPr>
        <w:t xml:space="preserve">introduction </w:t>
      </w:r>
    </w:p>
    <w:p w14:paraId="7FF27A69" w14:textId="77777777" w:rsidR="007926C7" w:rsidRPr="00C66CA3" w:rsidRDefault="00C66CA3">
      <w:pPr>
        <w:pStyle w:val="TitleCover"/>
        <w:rPr>
          <w:b/>
          <w:lang w:val="en-US"/>
        </w:rPr>
      </w:pPr>
      <w:r w:rsidRPr="00C66CA3">
        <w:rPr>
          <w:b/>
          <w:lang w:val="en-US"/>
        </w:rPr>
        <w:t>to finance</w:t>
      </w:r>
      <w:r w:rsidR="0036644D">
        <w:rPr>
          <w:b/>
          <w:lang w:val="en-US"/>
        </w:rPr>
        <w:t>:</w:t>
      </w:r>
    </w:p>
    <w:p w14:paraId="144F0D60" w14:textId="77777777" w:rsidR="007926C7" w:rsidRDefault="00C66CA3" w:rsidP="000B3255">
      <w:pPr>
        <w:pStyle w:val="SubtitleCover"/>
        <w:rPr>
          <w:b/>
          <w:lang w:val="en-US"/>
        </w:rPr>
      </w:pPr>
      <w:r w:rsidRPr="00C66CA3">
        <w:rPr>
          <w:b/>
          <w:lang w:val="en-US"/>
        </w:rPr>
        <w:t>Theory and Practice</w:t>
      </w:r>
    </w:p>
    <w:p w14:paraId="37C0DFB0" w14:textId="77777777" w:rsidR="008C5FCD" w:rsidRPr="008C5FCD" w:rsidRDefault="008C5FCD" w:rsidP="008C5FCD">
      <w:pPr>
        <w:pStyle w:val="BodyText"/>
        <w:rPr>
          <w:lang w:val="en-US" w:bidi="ru-RU"/>
        </w:rPr>
      </w:pPr>
    </w:p>
    <w:p w14:paraId="7D52252C" w14:textId="77777777" w:rsidR="008C5FCD" w:rsidRPr="008C5FCD" w:rsidRDefault="008C5FCD" w:rsidP="00DF38E4">
      <w:pPr>
        <w:ind w:right="-568"/>
        <w:jc w:val="center"/>
        <w:rPr>
          <w:color w:val="000000" w:themeColor="text1"/>
          <w:sz w:val="48"/>
          <w:szCs w:val="48"/>
        </w:rPr>
      </w:pPr>
      <w:r w:rsidRPr="008C5FCD">
        <w:rPr>
          <w:color w:val="000000" w:themeColor="text1"/>
          <w:sz w:val="48"/>
          <w:szCs w:val="48"/>
        </w:rPr>
        <w:t xml:space="preserve">Study </w:t>
      </w:r>
      <w:r w:rsidRPr="008C5FCD">
        <w:rPr>
          <w:color w:val="000000" w:themeColor="text1"/>
          <w:sz w:val="48"/>
          <w:szCs w:val="48"/>
          <w:lang w:val="en-US"/>
        </w:rPr>
        <w:t>g</w:t>
      </w:r>
      <w:r w:rsidRPr="008C5FCD">
        <w:rPr>
          <w:color w:val="000000" w:themeColor="text1"/>
          <w:sz w:val="48"/>
          <w:szCs w:val="48"/>
        </w:rPr>
        <w:t>uide</w:t>
      </w:r>
    </w:p>
    <w:p w14:paraId="5368F8B4" w14:textId="77777777" w:rsidR="008C5FCD" w:rsidRPr="008C5FCD" w:rsidRDefault="008C5FCD" w:rsidP="008C5FCD">
      <w:pPr>
        <w:ind w:left="284" w:right="-568"/>
        <w:jc w:val="center"/>
        <w:rPr>
          <w:rFonts w:ascii="Arial Narrow" w:hAnsi="Arial Narrow"/>
          <w:color w:val="000000" w:themeColor="text1"/>
          <w:sz w:val="48"/>
          <w:szCs w:val="48"/>
        </w:rPr>
      </w:pPr>
      <w:r w:rsidRPr="008C5FCD">
        <w:rPr>
          <w:rFonts w:ascii="Arial Narrow" w:hAnsi="Arial Narrow"/>
          <w:color w:val="000000" w:themeColor="text1"/>
          <w:sz w:val="48"/>
          <w:szCs w:val="48"/>
        </w:rPr>
        <w:t xml:space="preserve"> </w:t>
      </w:r>
    </w:p>
    <w:p w14:paraId="7D19E4A2" w14:textId="77777777" w:rsidR="008C5FCD" w:rsidRPr="00665EEE" w:rsidRDefault="008C5FCD" w:rsidP="008C5FCD">
      <w:pPr>
        <w:ind w:left="284" w:right="-568"/>
        <w:jc w:val="center"/>
        <w:rPr>
          <w:rFonts w:ascii="Arial Narrow" w:hAnsi="Arial Narrow"/>
          <w:color w:val="000000" w:themeColor="text1"/>
          <w:sz w:val="28"/>
          <w:szCs w:val="28"/>
        </w:rPr>
      </w:pPr>
      <w:r>
        <w:rPr>
          <w:noProof/>
          <w:lang w:val="ru-RU" w:eastAsia="ru-RU"/>
        </w:rPr>
        <mc:AlternateContent>
          <mc:Choice Requires="wps">
            <w:drawing>
              <wp:anchor distT="0" distB="0" distL="114300" distR="114300" simplePos="0" relativeHeight="251659776" behindDoc="0" locked="0" layoutInCell="1" allowOverlap="1" wp14:anchorId="64C74D4D" wp14:editId="4CED825A">
                <wp:simplePos x="0" y="0"/>
                <wp:positionH relativeFrom="page">
                  <wp:posOffset>1765300</wp:posOffset>
                </wp:positionH>
                <wp:positionV relativeFrom="page">
                  <wp:posOffset>5346700</wp:posOffset>
                </wp:positionV>
                <wp:extent cx="5054600" cy="1311275"/>
                <wp:effectExtent l="0" t="0" r="0" b="317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54600" cy="1311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5E7B36" w14:textId="77777777" w:rsidR="00B56753" w:rsidRDefault="00B56753" w:rsidP="00DF38E4">
                            <w:pPr>
                              <w:pStyle w:val="CompanyName"/>
                              <w:spacing w:after="120" w:line="240" w:lineRule="auto"/>
                              <w:rPr>
                                <w:caps w:val="0"/>
                                <w:spacing w:val="0"/>
                                <w:sz w:val="32"/>
                                <w:lang w:val="en-US"/>
                              </w:rPr>
                            </w:pPr>
                            <w:r>
                              <w:rPr>
                                <w:caps w:val="0"/>
                                <w:spacing w:val="0"/>
                                <w:sz w:val="32"/>
                                <w:lang w:val="en-US"/>
                              </w:rPr>
                              <w:t>Edited by</w:t>
                            </w:r>
                          </w:p>
                          <w:p w14:paraId="40A9955E" w14:textId="77777777" w:rsidR="00B56753" w:rsidRPr="00625503" w:rsidRDefault="00B56753" w:rsidP="00DF38E4">
                            <w:pPr>
                              <w:pStyle w:val="CompanyName"/>
                              <w:spacing w:after="120" w:line="240" w:lineRule="auto"/>
                              <w:rPr>
                                <w:caps w:val="0"/>
                                <w:spacing w:val="0"/>
                                <w:sz w:val="32"/>
                                <w:lang w:val="en-US"/>
                              </w:rPr>
                            </w:pPr>
                            <w:r w:rsidRPr="00625503">
                              <w:rPr>
                                <w:caps w:val="0"/>
                                <w:spacing w:val="0"/>
                                <w:sz w:val="32"/>
                                <w:lang w:val="en-US"/>
                              </w:rPr>
                              <w:t xml:space="preserve">Inna Shkolnyk,  </w:t>
                            </w:r>
                            <w:r>
                              <w:rPr>
                                <w:caps w:val="0"/>
                                <w:spacing w:val="0"/>
                                <w:sz w:val="32"/>
                                <w:lang w:val="en-US"/>
                              </w:rPr>
                              <w:t>Ph. D., Dr. of Economics,</w:t>
                            </w:r>
                          </w:p>
                          <w:p w14:paraId="44D40D51" w14:textId="77777777" w:rsidR="00B56753" w:rsidRPr="00625503" w:rsidRDefault="00B56753" w:rsidP="00DF38E4">
                            <w:pPr>
                              <w:pStyle w:val="CompanyName"/>
                              <w:spacing w:after="120" w:line="240" w:lineRule="auto"/>
                              <w:rPr>
                                <w:spacing w:val="0"/>
                                <w:sz w:val="32"/>
                                <w:lang w:val="en-US"/>
                              </w:rPr>
                            </w:pPr>
                            <w:r w:rsidRPr="00625503">
                              <w:rPr>
                                <w:caps w:val="0"/>
                                <w:spacing w:val="0"/>
                                <w:sz w:val="32"/>
                                <w:lang w:val="en-US"/>
                              </w:rPr>
                              <w:t>Mar</w:t>
                            </w:r>
                            <w:r>
                              <w:rPr>
                                <w:caps w:val="0"/>
                                <w:spacing w:val="0"/>
                                <w:sz w:val="32"/>
                                <w:lang w:val="en-US"/>
                              </w:rPr>
                              <w:t>y</w:t>
                            </w:r>
                            <w:r w:rsidRPr="00625503">
                              <w:rPr>
                                <w:caps w:val="0"/>
                                <w:spacing w:val="0"/>
                                <w:sz w:val="32"/>
                                <w:lang w:val="en-US"/>
                              </w:rPr>
                              <w:t>na Brychko</w:t>
                            </w:r>
                            <w:r>
                              <w:rPr>
                                <w:caps w:val="0"/>
                                <w:spacing w:val="0"/>
                                <w:sz w:val="32"/>
                                <w:lang w:val="en-US"/>
                              </w:rPr>
                              <w:t>,</w:t>
                            </w:r>
                            <w:r w:rsidRPr="00625503">
                              <w:rPr>
                                <w:caps w:val="0"/>
                                <w:spacing w:val="0"/>
                                <w:sz w:val="32"/>
                                <w:lang w:val="en-US"/>
                              </w:rPr>
                              <w:t xml:space="preserve"> Ph. D.</w:t>
                            </w:r>
                          </w:p>
                          <w:p w14:paraId="160FB1EC" w14:textId="77777777" w:rsidR="00B56753" w:rsidRDefault="00B5675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39pt;margin-top:421pt;width:398pt;height:103.2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" stroked="f">
                <v:textbox>
                  <w:txbxContent>
                    <w:p w:rsidR="00B56753" w:rsidRDefault="00B56753" w:rsidP="00DF38E4">
                      <w:pPr>
                        <w:pStyle w:val="CompanyName"/>
                        <w:spacing w:after="120" w:line="240" w:lineRule="auto"/>
                        <w:rPr>
                          <w:caps w:val="0"/>
                          <w:spacing w:val="0"/>
                          <w:sz w:val="32"/>
                          <w:lang w:val="en-US"/>
                        </w:rPr>
                      </w:pPr>
                      <w:r>
                        <w:rPr>
                          <w:caps w:val="0"/>
                          <w:spacing w:val="0"/>
                          <w:sz w:val="32"/>
                          <w:lang w:val="en-US"/>
                        </w:rPr>
                        <w:t>Edited by</w:t>
                      </w:r>
                    </w:p>
                    <w:p w:rsidR="00B56753" w:rsidRPr="00625503" w:rsidRDefault="00B56753" w:rsidP="00DF38E4">
                      <w:pPr>
                        <w:pStyle w:val="CompanyName"/>
                        <w:spacing w:after="120" w:line="240" w:lineRule="auto"/>
                        <w:rPr>
                          <w:caps w:val="0"/>
                          <w:spacing w:val="0"/>
                          <w:sz w:val="32"/>
                          <w:lang w:val="en-US"/>
                        </w:rPr>
                      </w:pPr>
                      <w:r w:rsidRPr="00625503">
                        <w:rPr>
                          <w:caps w:val="0"/>
                          <w:spacing w:val="0"/>
                          <w:sz w:val="32"/>
                          <w:lang w:val="en-US"/>
                        </w:rPr>
                        <w:t xml:space="preserve">Inna Shkolnyk,  </w:t>
                      </w:r>
                      <w:r>
                        <w:rPr>
                          <w:caps w:val="0"/>
                          <w:spacing w:val="0"/>
                          <w:sz w:val="32"/>
                          <w:lang w:val="en-US"/>
                        </w:rPr>
                        <w:t>Ph. D., Dr. of Economics,</w:t>
                      </w:r>
                    </w:p>
                    <w:p w:rsidR="00B56753" w:rsidRPr="00625503" w:rsidRDefault="00B56753" w:rsidP="00DF38E4">
                      <w:pPr>
                        <w:pStyle w:val="CompanyName"/>
                        <w:spacing w:after="120" w:line="240" w:lineRule="auto"/>
                        <w:rPr>
                          <w:spacing w:val="0"/>
                          <w:sz w:val="32"/>
                          <w:lang w:val="en-US"/>
                        </w:rPr>
                      </w:pPr>
                      <w:r w:rsidRPr="00625503">
                        <w:rPr>
                          <w:caps w:val="0"/>
                          <w:spacing w:val="0"/>
                          <w:sz w:val="32"/>
                          <w:lang w:val="en-US"/>
                        </w:rPr>
                        <w:t>Mar</w:t>
                      </w:r>
                      <w:r>
                        <w:rPr>
                          <w:caps w:val="0"/>
                          <w:spacing w:val="0"/>
                          <w:sz w:val="32"/>
                          <w:lang w:val="en-US"/>
                        </w:rPr>
                        <w:t>y</w:t>
                      </w:r>
                      <w:r w:rsidRPr="00625503">
                        <w:rPr>
                          <w:caps w:val="0"/>
                          <w:spacing w:val="0"/>
                          <w:sz w:val="32"/>
                          <w:lang w:val="en-US"/>
                        </w:rPr>
                        <w:t>na Brychko</w:t>
                      </w:r>
                      <w:r>
                        <w:rPr>
                          <w:caps w:val="0"/>
                          <w:spacing w:val="0"/>
                          <w:sz w:val="32"/>
                          <w:lang w:val="en-US"/>
                        </w:rPr>
                        <w:t>,</w:t>
                      </w:r>
                      <w:r w:rsidRPr="00625503">
                        <w:rPr>
                          <w:caps w:val="0"/>
                          <w:spacing w:val="0"/>
                          <w:sz w:val="32"/>
                          <w:lang w:val="en-US"/>
                        </w:rPr>
                        <w:t xml:space="preserve"> Ph. D.</w:t>
                      </w:r>
                    </w:p>
                    <w:p w:rsidR="00B56753" w:rsidRDefault="00B56753"/>
                  </w:txbxContent>
                </v:textbox>
                <w10:wrap anchorx="page" anchory="page"/>
              </v:shape>
            </w:pict>
          </mc:Fallback>
        </mc:AlternateContent>
      </w:r>
    </w:p>
    <w:p w14:paraId="6565137C" w14:textId="77777777" w:rsidR="008C5FCD" w:rsidRPr="00665EEE" w:rsidRDefault="008C5FCD" w:rsidP="008C5FCD">
      <w:pPr>
        <w:ind w:left="284" w:right="-568"/>
        <w:jc w:val="center"/>
        <w:rPr>
          <w:rFonts w:ascii="Arial Narrow" w:hAnsi="Arial Narrow"/>
          <w:color w:val="000000" w:themeColor="text1"/>
          <w:sz w:val="28"/>
          <w:szCs w:val="28"/>
        </w:rPr>
      </w:pPr>
    </w:p>
    <w:p w14:paraId="71A966D1" w14:textId="77777777" w:rsidR="000B3255" w:rsidRPr="008C5FCD" w:rsidRDefault="000B3255" w:rsidP="000B3255">
      <w:pPr>
        <w:pStyle w:val="BodyText"/>
        <w:rPr>
          <w:lang w:bidi="ru-RU"/>
        </w:rPr>
      </w:pPr>
    </w:p>
    <w:p w14:paraId="0ADA59EA" w14:textId="77777777" w:rsidR="000B3255" w:rsidRDefault="000B3255" w:rsidP="000B3255">
      <w:pPr>
        <w:pStyle w:val="BodyText"/>
        <w:rPr>
          <w:lang w:val="en-US" w:bidi="ru-RU"/>
        </w:rPr>
      </w:pPr>
    </w:p>
    <w:p w14:paraId="75B80E64" w14:textId="77777777" w:rsidR="000B3255" w:rsidRDefault="000B3255" w:rsidP="000B3255">
      <w:pPr>
        <w:pStyle w:val="BodyText"/>
        <w:rPr>
          <w:lang w:val="en-US" w:bidi="ru-RU"/>
        </w:rPr>
      </w:pPr>
    </w:p>
    <w:p w14:paraId="310D0EDC" w14:textId="77777777" w:rsidR="000B3255" w:rsidRDefault="000B3255" w:rsidP="000B3255">
      <w:pPr>
        <w:pStyle w:val="BodyText"/>
        <w:rPr>
          <w:lang w:val="en-US" w:bidi="ru-RU"/>
        </w:rPr>
      </w:pPr>
    </w:p>
    <w:p w14:paraId="5CFFE36A" w14:textId="77777777" w:rsidR="008C5FCD" w:rsidRPr="008C5FCD" w:rsidRDefault="008C5FCD" w:rsidP="008C5FCD">
      <w:pPr>
        <w:ind w:right="-568"/>
        <w:jc w:val="center"/>
        <w:rPr>
          <w:color w:val="000000" w:themeColor="text1"/>
          <w:sz w:val="26"/>
          <w:szCs w:val="26"/>
        </w:rPr>
      </w:pPr>
      <w:r w:rsidRPr="008C5FCD">
        <w:rPr>
          <w:color w:val="000000" w:themeColor="text1"/>
          <w:sz w:val="26"/>
          <w:szCs w:val="26"/>
          <w:lang w:val="en-US"/>
        </w:rPr>
        <w:t>Recommended by Academic Council of Sumy State University</w:t>
      </w:r>
    </w:p>
    <w:p w14:paraId="5FC43D03" w14:textId="77777777" w:rsidR="000B3255" w:rsidRPr="008C5FCD" w:rsidRDefault="000B3255" w:rsidP="000B3255">
      <w:pPr>
        <w:pStyle w:val="BodyText"/>
        <w:rPr>
          <w:lang w:val="en-US" w:bidi="ru-RU"/>
        </w:rPr>
      </w:pPr>
    </w:p>
    <w:p w14:paraId="06657E53" w14:textId="77777777" w:rsidR="000B3255" w:rsidRDefault="000B3255" w:rsidP="000B3255">
      <w:pPr>
        <w:pStyle w:val="BodyText"/>
        <w:rPr>
          <w:lang w:val="en-US" w:bidi="ru-RU"/>
        </w:rPr>
      </w:pPr>
    </w:p>
    <w:p w14:paraId="7EABEEA5" w14:textId="77777777" w:rsidR="000B3255" w:rsidRDefault="007B41AA" w:rsidP="007B41AA">
      <w:pPr>
        <w:pStyle w:val="BodyText"/>
        <w:ind w:firstLine="4111"/>
        <w:rPr>
          <w:lang w:val="en-US" w:bidi="ru-RU"/>
        </w:rPr>
      </w:pPr>
      <w:r w:rsidRPr="007B41AA">
        <w:rPr>
          <w:noProof/>
          <w:sz w:val="28"/>
          <w:szCs w:val="28"/>
          <w:lang w:val="ru-RU" w:eastAsia="ru-RU"/>
        </w:rPr>
        <w:drawing>
          <wp:inline distT="0" distB="0" distL="0" distR="0" wp14:anchorId="4EAE8871" wp14:editId="18B53769">
            <wp:extent cx="787400" cy="77470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7400" cy="774700"/>
                    </a:xfrm>
                    <a:prstGeom prst="rect">
                      <a:avLst/>
                    </a:prstGeom>
                    <a:noFill/>
                    <a:ln>
                      <a:noFill/>
                    </a:ln>
                  </pic:spPr>
                </pic:pic>
              </a:graphicData>
            </a:graphic>
          </wp:inline>
        </w:drawing>
      </w:r>
    </w:p>
    <w:p w14:paraId="24EF2E7F" w14:textId="77777777" w:rsidR="000B3255" w:rsidRDefault="000B3255" w:rsidP="000B3255">
      <w:pPr>
        <w:pStyle w:val="BodyText"/>
        <w:rPr>
          <w:lang w:val="en-US" w:bidi="ru-RU"/>
        </w:rPr>
      </w:pPr>
    </w:p>
    <w:p w14:paraId="06D7900A" w14:textId="77777777" w:rsidR="000B3255" w:rsidRDefault="00034CAF" w:rsidP="007B41AA">
      <w:pPr>
        <w:pStyle w:val="BodyText"/>
        <w:rPr>
          <w:lang w:val="en-US" w:bidi="ru-RU"/>
        </w:rPr>
        <w:sectPr w:rsidR="000B3255" w:rsidSect="00B56753">
          <w:footerReference w:type="default" r:id="rId9"/>
          <w:footerReference w:type="first" r:id="rId10"/>
          <w:pgSz w:w="11907" w:h="16839"/>
          <w:pgMar w:top="1440" w:right="1253" w:bottom="1440" w:left="1253" w:header="720" w:footer="964" w:gutter="0"/>
          <w:pgNumType w:start="1"/>
          <w:cols w:space="708"/>
          <w:titlePg/>
          <w:docGrid w:linePitch="326"/>
        </w:sectPr>
      </w:pPr>
      <w:r>
        <w:rPr>
          <w:noProof/>
          <w:lang w:val="ru-RU" w:eastAsia="ru-RU"/>
        </w:rPr>
        <mc:AlternateContent>
          <mc:Choice Requires="wps">
            <w:drawing>
              <wp:anchor distT="0" distB="0" distL="114300" distR="114300" simplePos="0" relativeHeight="251657728" behindDoc="0" locked="0" layoutInCell="1" allowOverlap="1" wp14:anchorId="7B1B813F" wp14:editId="693A4060">
                <wp:simplePos x="0" y="0"/>
                <wp:positionH relativeFrom="page">
                  <wp:posOffset>2581275</wp:posOffset>
                </wp:positionH>
                <wp:positionV relativeFrom="page">
                  <wp:posOffset>8878570</wp:posOffset>
                </wp:positionV>
                <wp:extent cx="3070225" cy="456565"/>
                <wp:effectExtent l="0" t="0" r="0" b="381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0225"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82DE9C" w14:textId="77777777" w:rsidR="00B56753" w:rsidRPr="001967C7" w:rsidRDefault="00B56753" w:rsidP="000C63C4">
                            <w:pPr>
                              <w:pStyle w:val="CompanyName"/>
                              <w:rPr>
                                <w:spacing w:val="0"/>
                                <w:sz w:val="32"/>
                                <w:szCs w:val="32"/>
                              </w:rPr>
                            </w:pPr>
                            <w:r w:rsidRPr="001967C7">
                              <w:rPr>
                                <w:spacing w:val="0"/>
                                <w:sz w:val="32"/>
                                <w:szCs w:val="32"/>
                              </w:rPr>
                              <w:t>Sumy</w:t>
                            </w:r>
                          </w:p>
                          <w:p w14:paraId="35A2BF3E" w14:textId="77777777" w:rsidR="00B56753" w:rsidRPr="001967C7" w:rsidRDefault="00B56753" w:rsidP="000C63C4">
                            <w:pPr>
                              <w:pStyle w:val="CompanyName"/>
                              <w:rPr>
                                <w:spacing w:val="0"/>
                                <w:sz w:val="32"/>
                                <w:szCs w:val="32"/>
                              </w:rPr>
                            </w:pPr>
                            <w:r w:rsidRPr="001967C7">
                              <w:rPr>
                                <w:spacing w:val="0"/>
                                <w:sz w:val="32"/>
                                <w:szCs w:val="32"/>
                              </w:rPr>
                              <w:t>Sumy State University</w:t>
                            </w:r>
                          </w:p>
                          <w:p w14:paraId="3F8F8CAF" w14:textId="77777777" w:rsidR="00B56753" w:rsidRPr="001967C7" w:rsidRDefault="00B56753" w:rsidP="000C63C4">
                            <w:pPr>
                              <w:pStyle w:val="CompanyName"/>
                              <w:rPr>
                                <w:spacing w:val="0"/>
                                <w:sz w:val="32"/>
                                <w:szCs w:val="32"/>
                                <w:lang w:val="en-US"/>
                              </w:rPr>
                            </w:pPr>
                            <w:r w:rsidRPr="001967C7">
                              <w:rPr>
                                <w:spacing w:val="0"/>
                                <w:sz w:val="32"/>
                                <w:szCs w:val="32"/>
                              </w:rPr>
                              <w:t>201</w:t>
                            </w:r>
                            <w:r w:rsidRPr="001967C7">
                              <w:rPr>
                                <w:spacing w:val="0"/>
                                <w:sz w:val="32"/>
                                <w:szCs w:val="32"/>
                                <w:lang w:val="en-US"/>
                              </w:rPr>
                              <w:t>7</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203.25pt;margin-top:699.1pt;width:241.75pt;height:35.9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" stroked="f">
                <v:textbox style="mso-fit-shape-to-text:t">
                  <w:txbxContent>
                    <w:p w:rsidR="00B56753" w:rsidRPr="001967C7" w:rsidRDefault="00B56753" w:rsidP="000C63C4">
                      <w:pPr>
                        <w:pStyle w:val="CompanyName"/>
                        <w:rPr>
                          <w:spacing w:val="0"/>
                          <w:sz w:val="32"/>
                          <w:szCs w:val="32"/>
                        </w:rPr>
                      </w:pPr>
                      <w:r w:rsidRPr="001967C7">
                        <w:rPr>
                          <w:spacing w:val="0"/>
                          <w:sz w:val="32"/>
                          <w:szCs w:val="32"/>
                        </w:rPr>
                        <w:t>Sumy</w:t>
                      </w:r>
                    </w:p>
                    <w:p w:rsidR="00B56753" w:rsidRPr="001967C7" w:rsidRDefault="00B56753" w:rsidP="000C63C4">
                      <w:pPr>
                        <w:pStyle w:val="CompanyName"/>
                        <w:rPr>
                          <w:spacing w:val="0"/>
                          <w:sz w:val="32"/>
                          <w:szCs w:val="32"/>
                        </w:rPr>
                      </w:pPr>
                      <w:r w:rsidRPr="001967C7">
                        <w:rPr>
                          <w:spacing w:val="0"/>
                          <w:sz w:val="32"/>
                          <w:szCs w:val="32"/>
                        </w:rPr>
                        <w:t>Sumy State University</w:t>
                      </w:r>
                    </w:p>
                    <w:p w:rsidR="00B56753" w:rsidRPr="001967C7" w:rsidRDefault="00B56753" w:rsidP="000C63C4">
                      <w:pPr>
                        <w:pStyle w:val="CompanyName"/>
                        <w:rPr>
                          <w:spacing w:val="0"/>
                          <w:sz w:val="32"/>
                          <w:szCs w:val="32"/>
                          <w:lang w:val="en-US"/>
                        </w:rPr>
                      </w:pPr>
                      <w:r w:rsidRPr="001967C7">
                        <w:rPr>
                          <w:spacing w:val="0"/>
                          <w:sz w:val="32"/>
                          <w:szCs w:val="32"/>
                        </w:rPr>
                        <w:t>201</w:t>
                      </w:r>
                      <w:r w:rsidRPr="001967C7">
                        <w:rPr>
                          <w:spacing w:val="0"/>
                          <w:sz w:val="32"/>
                          <w:szCs w:val="32"/>
                          <w:lang w:val="en-US"/>
                        </w:rPr>
                        <w:t>7</w:t>
                      </w:r>
                    </w:p>
                  </w:txbxContent>
                </v:textbox>
                <w10:wrap anchorx="page" anchory="page"/>
              </v:shape>
            </w:pict>
          </mc:Fallback>
        </mc:AlternateContent>
      </w:r>
    </w:p>
    <w:p w14:paraId="16BD7134" w14:textId="77777777" w:rsidR="00FA4D69" w:rsidRPr="001967C7" w:rsidRDefault="00FA4D69" w:rsidP="00FA4D69">
      <w:pPr>
        <w:rPr>
          <w:i/>
          <w:sz w:val="28"/>
          <w:highlight w:val="yellow"/>
          <w:lang w:val="en-US"/>
        </w:rPr>
      </w:pPr>
      <w:r w:rsidRPr="001967C7">
        <w:rPr>
          <w:sz w:val="28"/>
          <w:szCs w:val="28"/>
          <w:lang w:val="en-US"/>
        </w:rPr>
        <w:lastRenderedPageBreak/>
        <w:t>УДК</w:t>
      </w:r>
      <w:r w:rsidR="00007CB2" w:rsidRPr="001967C7">
        <w:rPr>
          <w:sz w:val="28"/>
          <w:szCs w:val="28"/>
          <w:lang w:val="en-US"/>
        </w:rPr>
        <w:t xml:space="preserve"> 336+658.14/.17+005.915](075.8) </w:t>
      </w:r>
    </w:p>
    <w:p w14:paraId="7CAC99C0" w14:textId="77777777" w:rsidR="00FA4D69" w:rsidRPr="001967C7" w:rsidRDefault="00F217CE" w:rsidP="00FA4D69">
      <w:pPr>
        <w:rPr>
          <w:sz w:val="28"/>
          <w:szCs w:val="28"/>
          <w:lang w:val="en-US"/>
        </w:rPr>
      </w:pPr>
      <w:r w:rsidRPr="001967C7">
        <w:rPr>
          <w:sz w:val="28"/>
          <w:szCs w:val="28"/>
          <w:lang w:val="en-US"/>
        </w:rPr>
        <w:t>ББK 65.26</w:t>
      </w:r>
    </w:p>
    <w:p w14:paraId="04934DFE" w14:textId="77777777" w:rsidR="001B6A88" w:rsidRPr="001967C7" w:rsidRDefault="001967C7">
      <w:pPr>
        <w:rPr>
          <w:sz w:val="28"/>
          <w:szCs w:val="28"/>
          <w:lang w:val="en-US"/>
        </w:rPr>
      </w:pPr>
      <w:r>
        <w:rPr>
          <w:sz w:val="28"/>
          <w:szCs w:val="28"/>
          <w:lang w:val="en-US"/>
        </w:rPr>
        <w:t xml:space="preserve">         </w:t>
      </w:r>
      <w:r w:rsidR="0036644D" w:rsidRPr="001967C7">
        <w:rPr>
          <w:sz w:val="28"/>
          <w:szCs w:val="28"/>
          <w:lang w:val="en-US"/>
        </w:rPr>
        <w:t>I</w:t>
      </w:r>
    </w:p>
    <w:p w14:paraId="2223CAB0" w14:textId="77777777" w:rsidR="0036644D" w:rsidRPr="000E3420" w:rsidRDefault="0036644D" w:rsidP="0036644D">
      <w:pPr>
        <w:jc w:val="center"/>
        <w:rPr>
          <w:color w:val="auto"/>
          <w:sz w:val="26"/>
          <w:szCs w:val="26"/>
          <w:lang w:val="en-US"/>
        </w:rPr>
      </w:pPr>
      <w:r w:rsidRPr="000E3420">
        <w:rPr>
          <w:bCs/>
          <w:sz w:val="26"/>
          <w:szCs w:val="26"/>
          <w:lang w:val="en-US"/>
        </w:rPr>
        <w:t>Authors:</w:t>
      </w:r>
    </w:p>
    <w:p w14:paraId="52238B5E" w14:textId="77777777" w:rsidR="00CB3154" w:rsidRPr="000E3420" w:rsidRDefault="00CB3154" w:rsidP="008C5FCD">
      <w:pPr>
        <w:jc w:val="center"/>
        <w:rPr>
          <w:sz w:val="26"/>
          <w:szCs w:val="26"/>
          <w:lang w:val="en-US"/>
        </w:rPr>
      </w:pPr>
      <w:r w:rsidRPr="000E3420">
        <w:rPr>
          <w:i/>
          <w:sz w:val="26"/>
          <w:szCs w:val="26"/>
          <w:lang w:val="en-US"/>
        </w:rPr>
        <w:t>I.</w:t>
      </w:r>
      <w:r w:rsidR="001967C7" w:rsidRPr="000E3420">
        <w:rPr>
          <w:i/>
          <w:sz w:val="26"/>
          <w:szCs w:val="26"/>
          <w:lang w:val="en-US"/>
        </w:rPr>
        <w:t> </w:t>
      </w:r>
      <w:r w:rsidRPr="000E3420">
        <w:rPr>
          <w:i/>
          <w:sz w:val="26"/>
          <w:szCs w:val="26"/>
          <w:lang w:val="en-US"/>
        </w:rPr>
        <w:t>O.</w:t>
      </w:r>
      <w:r w:rsidR="001967C7" w:rsidRPr="000E3420">
        <w:rPr>
          <w:i/>
          <w:sz w:val="26"/>
          <w:szCs w:val="26"/>
          <w:lang w:val="en-US"/>
        </w:rPr>
        <w:t> </w:t>
      </w:r>
      <w:r w:rsidRPr="000E3420">
        <w:rPr>
          <w:i/>
          <w:sz w:val="26"/>
          <w:szCs w:val="26"/>
          <w:lang w:val="en-US"/>
        </w:rPr>
        <w:t>Shkolnyk</w:t>
      </w:r>
      <w:r w:rsidR="001967C7" w:rsidRPr="000E3420">
        <w:rPr>
          <w:sz w:val="26"/>
          <w:szCs w:val="26"/>
          <w:lang w:val="en-US"/>
        </w:rPr>
        <w:t>,</w:t>
      </w:r>
      <w:r w:rsidRPr="000E3420">
        <w:rPr>
          <w:sz w:val="26"/>
          <w:szCs w:val="26"/>
          <w:lang w:val="en-US"/>
        </w:rPr>
        <w:t xml:space="preserve"> Doctor of </w:t>
      </w:r>
      <w:r w:rsidR="009D04D4" w:rsidRPr="000E3420">
        <w:rPr>
          <w:rFonts w:eastAsiaTheme="minorHAnsi" w:cstheme="minorBidi"/>
          <w:color w:val="auto"/>
          <w:sz w:val="26"/>
          <w:szCs w:val="26"/>
          <w:lang w:val="en-US" w:eastAsia="en-US"/>
        </w:rPr>
        <w:t>Economics</w:t>
      </w:r>
      <w:r w:rsidRPr="000E3420">
        <w:rPr>
          <w:sz w:val="26"/>
          <w:szCs w:val="26"/>
          <w:lang w:val="en-US"/>
        </w:rPr>
        <w:t>, Professor, Head of Finance, Banking and Insurance Department, Sumy State University</w:t>
      </w:r>
      <w:r w:rsidR="008C5FCD" w:rsidRPr="000E3420">
        <w:rPr>
          <w:sz w:val="26"/>
          <w:szCs w:val="26"/>
          <w:lang w:val="en-US"/>
        </w:rPr>
        <w:t>;</w:t>
      </w:r>
    </w:p>
    <w:p w14:paraId="38A66F4A" w14:textId="77777777" w:rsidR="00CB3154" w:rsidRPr="000E3420" w:rsidRDefault="00CB3154" w:rsidP="008C5FCD">
      <w:pPr>
        <w:jc w:val="center"/>
        <w:rPr>
          <w:sz w:val="26"/>
          <w:szCs w:val="26"/>
          <w:lang w:val="en-US"/>
        </w:rPr>
      </w:pPr>
      <w:r w:rsidRPr="000E3420">
        <w:rPr>
          <w:i/>
          <w:sz w:val="26"/>
          <w:szCs w:val="26"/>
          <w:lang w:val="en-US"/>
        </w:rPr>
        <w:t>M.</w:t>
      </w:r>
      <w:r w:rsidR="001967C7" w:rsidRPr="000E3420">
        <w:rPr>
          <w:i/>
          <w:sz w:val="26"/>
          <w:szCs w:val="26"/>
          <w:lang w:val="en-US"/>
        </w:rPr>
        <w:t> </w:t>
      </w:r>
      <w:r w:rsidRPr="000E3420">
        <w:rPr>
          <w:i/>
          <w:sz w:val="26"/>
          <w:szCs w:val="26"/>
          <w:lang w:val="en-US"/>
        </w:rPr>
        <w:t>M.</w:t>
      </w:r>
      <w:r w:rsidR="001967C7" w:rsidRPr="000E3420">
        <w:rPr>
          <w:i/>
          <w:sz w:val="26"/>
          <w:szCs w:val="26"/>
          <w:lang w:val="en-US"/>
        </w:rPr>
        <w:t> </w:t>
      </w:r>
      <w:r w:rsidRPr="000E3420">
        <w:rPr>
          <w:i/>
          <w:sz w:val="26"/>
          <w:szCs w:val="26"/>
          <w:lang w:val="en-US"/>
        </w:rPr>
        <w:t>Brychko</w:t>
      </w:r>
      <w:r w:rsidR="001967C7" w:rsidRPr="000E3420">
        <w:rPr>
          <w:sz w:val="26"/>
          <w:szCs w:val="26"/>
          <w:lang w:val="en-US"/>
        </w:rPr>
        <w:t>,</w:t>
      </w:r>
      <w:r w:rsidRPr="000E3420">
        <w:rPr>
          <w:sz w:val="26"/>
          <w:szCs w:val="26"/>
          <w:lang w:val="en-US"/>
        </w:rPr>
        <w:t xml:space="preserve">  </w:t>
      </w:r>
      <w:r w:rsidR="009D04D4" w:rsidRPr="000E3420">
        <w:rPr>
          <w:sz w:val="26"/>
          <w:szCs w:val="26"/>
          <w:lang w:val="en-US"/>
        </w:rPr>
        <w:t>Ph</w:t>
      </w:r>
      <w:r w:rsidR="008C5FCD" w:rsidRPr="000E3420">
        <w:rPr>
          <w:sz w:val="26"/>
          <w:szCs w:val="26"/>
          <w:lang w:val="en-US"/>
        </w:rPr>
        <w:t>. </w:t>
      </w:r>
      <w:r w:rsidR="009D04D4" w:rsidRPr="000E3420">
        <w:rPr>
          <w:sz w:val="26"/>
          <w:szCs w:val="26"/>
          <w:lang w:val="en-US"/>
        </w:rPr>
        <w:t>D</w:t>
      </w:r>
      <w:r w:rsidR="008C5FCD" w:rsidRPr="000E3420">
        <w:rPr>
          <w:sz w:val="26"/>
          <w:szCs w:val="26"/>
          <w:lang w:val="en-US"/>
        </w:rPr>
        <w:t>.</w:t>
      </w:r>
      <w:r w:rsidRPr="000E3420">
        <w:rPr>
          <w:sz w:val="26"/>
          <w:szCs w:val="26"/>
          <w:lang w:val="en-US"/>
        </w:rPr>
        <w:t xml:space="preserve">, </w:t>
      </w:r>
      <w:r w:rsidR="009D04D4" w:rsidRPr="000E3420">
        <w:rPr>
          <w:sz w:val="26"/>
          <w:szCs w:val="26"/>
          <w:lang w:val="en-US"/>
        </w:rPr>
        <w:t>Senior Lecturer</w:t>
      </w:r>
      <w:r w:rsidRPr="000E3420">
        <w:rPr>
          <w:sz w:val="26"/>
          <w:szCs w:val="26"/>
          <w:lang w:val="en-US"/>
        </w:rPr>
        <w:t xml:space="preserve">, </w:t>
      </w:r>
      <w:r w:rsidR="009D04D4" w:rsidRPr="000E3420">
        <w:rPr>
          <w:sz w:val="26"/>
          <w:szCs w:val="26"/>
          <w:lang w:val="en-US"/>
        </w:rPr>
        <w:t>Department</w:t>
      </w:r>
      <w:r w:rsidRPr="000E3420">
        <w:rPr>
          <w:sz w:val="26"/>
          <w:szCs w:val="26"/>
          <w:lang w:val="en-US"/>
        </w:rPr>
        <w:t xml:space="preserve"> of Finance, Banking and Insurance, Sumy State University</w:t>
      </w:r>
      <w:r w:rsidR="008C5FCD" w:rsidRPr="000E3420">
        <w:rPr>
          <w:sz w:val="26"/>
          <w:szCs w:val="26"/>
          <w:lang w:val="en-US"/>
        </w:rPr>
        <w:t>;</w:t>
      </w:r>
    </w:p>
    <w:p w14:paraId="64083110" w14:textId="77777777" w:rsidR="00CB3154" w:rsidRPr="000E3420" w:rsidRDefault="00CB3154" w:rsidP="008C5FCD">
      <w:pPr>
        <w:jc w:val="center"/>
        <w:rPr>
          <w:sz w:val="26"/>
          <w:szCs w:val="26"/>
          <w:lang w:val="en-US"/>
        </w:rPr>
      </w:pPr>
      <w:r w:rsidRPr="000E3420">
        <w:rPr>
          <w:i/>
          <w:sz w:val="26"/>
          <w:szCs w:val="26"/>
          <w:lang w:val="en-US"/>
        </w:rPr>
        <w:t>O.</w:t>
      </w:r>
      <w:r w:rsidR="001967C7" w:rsidRPr="000E3420">
        <w:rPr>
          <w:i/>
          <w:sz w:val="26"/>
          <w:szCs w:val="26"/>
          <w:lang w:val="en-US"/>
        </w:rPr>
        <w:t> </w:t>
      </w:r>
      <w:r w:rsidRPr="000E3420">
        <w:rPr>
          <w:i/>
          <w:sz w:val="26"/>
          <w:szCs w:val="26"/>
          <w:lang w:val="en-US"/>
        </w:rPr>
        <w:t>M.</w:t>
      </w:r>
      <w:r w:rsidR="001967C7" w:rsidRPr="000E3420">
        <w:rPr>
          <w:i/>
          <w:sz w:val="26"/>
          <w:szCs w:val="26"/>
          <w:lang w:val="en-US"/>
        </w:rPr>
        <w:t> </w:t>
      </w:r>
      <w:r w:rsidRPr="000E3420">
        <w:rPr>
          <w:i/>
          <w:sz w:val="26"/>
          <w:szCs w:val="26"/>
          <w:lang w:val="en-US"/>
        </w:rPr>
        <w:t>Pakhnenko</w:t>
      </w:r>
      <w:r w:rsidR="001967C7" w:rsidRPr="000E3420">
        <w:rPr>
          <w:sz w:val="26"/>
          <w:szCs w:val="26"/>
          <w:lang w:val="en-US"/>
        </w:rPr>
        <w:t>,</w:t>
      </w:r>
      <w:r w:rsidRPr="000E3420">
        <w:rPr>
          <w:sz w:val="26"/>
          <w:szCs w:val="26"/>
          <w:lang w:val="en-US"/>
        </w:rPr>
        <w:t xml:space="preserve"> </w:t>
      </w:r>
      <w:r w:rsidR="009D04D4" w:rsidRPr="000E3420">
        <w:rPr>
          <w:sz w:val="26"/>
          <w:szCs w:val="26"/>
          <w:lang w:val="en-US"/>
        </w:rPr>
        <w:t>Ph</w:t>
      </w:r>
      <w:r w:rsidR="008C5FCD" w:rsidRPr="000E3420">
        <w:rPr>
          <w:sz w:val="26"/>
          <w:szCs w:val="26"/>
          <w:lang w:val="en-US"/>
        </w:rPr>
        <w:t>. </w:t>
      </w:r>
      <w:r w:rsidR="009D04D4" w:rsidRPr="000E3420">
        <w:rPr>
          <w:sz w:val="26"/>
          <w:szCs w:val="26"/>
          <w:lang w:val="en-US"/>
        </w:rPr>
        <w:t>D</w:t>
      </w:r>
      <w:r w:rsidR="008C5FCD" w:rsidRPr="000E3420">
        <w:rPr>
          <w:sz w:val="26"/>
          <w:szCs w:val="26"/>
          <w:lang w:val="en-US"/>
        </w:rPr>
        <w:t>.</w:t>
      </w:r>
      <w:r w:rsidRPr="000E3420">
        <w:rPr>
          <w:sz w:val="26"/>
          <w:szCs w:val="26"/>
          <w:lang w:val="en-US"/>
        </w:rPr>
        <w:t xml:space="preserve">, </w:t>
      </w:r>
      <w:r w:rsidR="009D04D4" w:rsidRPr="000E3420">
        <w:rPr>
          <w:sz w:val="26"/>
          <w:szCs w:val="26"/>
          <w:lang w:val="en-US"/>
        </w:rPr>
        <w:t xml:space="preserve">Associate </w:t>
      </w:r>
      <w:r w:rsidRPr="000E3420">
        <w:rPr>
          <w:sz w:val="26"/>
          <w:szCs w:val="26"/>
          <w:lang w:val="en-US"/>
        </w:rPr>
        <w:t xml:space="preserve">Professor, </w:t>
      </w:r>
      <w:r w:rsidR="00625503" w:rsidRPr="000E3420">
        <w:rPr>
          <w:sz w:val="26"/>
          <w:szCs w:val="26"/>
          <w:lang w:val="en-US"/>
        </w:rPr>
        <w:t xml:space="preserve">Department </w:t>
      </w:r>
      <w:r w:rsidRPr="000E3420">
        <w:rPr>
          <w:sz w:val="26"/>
          <w:szCs w:val="26"/>
          <w:lang w:val="en-US"/>
        </w:rPr>
        <w:t>of Finance, Banking and Insurance Department, Sumy State University</w:t>
      </w:r>
      <w:r w:rsidR="008C5FCD" w:rsidRPr="000E3420">
        <w:rPr>
          <w:sz w:val="26"/>
          <w:szCs w:val="26"/>
          <w:lang w:val="en-US"/>
        </w:rPr>
        <w:t>;</w:t>
      </w:r>
    </w:p>
    <w:p w14:paraId="294F2215" w14:textId="77777777" w:rsidR="009D04D4" w:rsidRPr="000E3420" w:rsidRDefault="00CB3154" w:rsidP="008C5FCD">
      <w:pPr>
        <w:jc w:val="center"/>
        <w:rPr>
          <w:sz w:val="26"/>
          <w:szCs w:val="26"/>
          <w:lang w:val="en-US"/>
        </w:rPr>
      </w:pPr>
      <w:r w:rsidRPr="000E3420">
        <w:rPr>
          <w:i/>
          <w:sz w:val="26"/>
          <w:szCs w:val="26"/>
          <w:lang w:val="en-US"/>
        </w:rPr>
        <w:t>A.</w:t>
      </w:r>
      <w:r w:rsidR="001967C7" w:rsidRPr="000E3420">
        <w:rPr>
          <w:i/>
          <w:sz w:val="26"/>
          <w:szCs w:val="26"/>
          <w:lang w:val="en-US"/>
        </w:rPr>
        <w:t> </w:t>
      </w:r>
      <w:r w:rsidRPr="000E3420">
        <w:rPr>
          <w:i/>
          <w:sz w:val="26"/>
          <w:szCs w:val="26"/>
          <w:lang w:val="en-US"/>
        </w:rPr>
        <w:t>Y.</w:t>
      </w:r>
      <w:r w:rsidR="001967C7" w:rsidRPr="000E3420">
        <w:rPr>
          <w:i/>
          <w:sz w:val="26"/>
          <w:szCs w:val="26"/>
          <w:lang w:val="en-US"/>
        </w:rPr>
        <w:t> </w:t>
      </w:r>
      <w:r w:rsidRPr="000E3420">
        <w:rPr>
          <w:i/>
          <w:sz w:val="26"/>
          <w:szCs w:val="26"/>
          <w:lang w:val="en-US"/>
        </w:rPr>
        <w:t>Semenog</w:t>
      </w:r>
      <w:r w:rsidR="001967C7" w:rsidRPr="000E3420">
        <w:rPr>
          <w:sz w:val="26"/>
          <w:szCs w:val="26"/>
          <w:lang w:val="en-US"/>
        </w:rPr>
        <w:t>,</w:t>
      </w:r>
      <w:r w:rsidRPr="000E3420">
        <w:rPr>
          <w:sz w:val="26"/>
          <w:szCs w:val="26"/>
          <w:lang w:val="en-US"/>
        </w:rPr>
        <w:t xml:space="preserve"> </w:t>
      </w:r>
      <w:r w:rsidR="009D04D4" w:rsidRPr="000E3420">
        <w:rPr>
          <w:sz w:val="26"/>
          <w:szCs w:val="26"/>
          <w:lang w:val="en-US"/>
        </w:rPr>
        <w:t>Ph</w:t>
      </w:r>
      <w:r w:rsidR="008C5FCD" w:rsidRPr="000E3420">
        <w:rPr>
          <w:sz w:val="26"/>
          <w:szCs w:val="26"/>
          <w:lang w:val="en-US"/>
        </w:rPr>
        <w:t>. </w:t>
      </w:r>
      <w:r w:rsidR="009D04D4" w:rsidRPr="000E3420">
        <w:rPr>
          <w:sz w:val="26"/>
          <w:szCs w:val="26"/>
          <w:lang w:val="en-US"/>
        </w:rPr>
        <w:t>D</w:t>
      </w:r>
      <w:r w:rsidR="008C5FCD" w:rsidRPr="000E3420">
        <w:rPr>
          <w:sz w:val="26"/>
          <w:szCs w:val="26"/>
          <w:lang w:val="en-US"/>
        </w:rPr>
        <w:t>.</w:t>
      </w:r>
      <w:r w:rsidR="009D04D4" w:rsidRPr="000E3420">
        <w:rPr>
          <w:sz w:val="26"/>
          <w:szCs w:val="26"/>
          <w:lang w:val="en-US"/>
        </w:rPr>
        <w:t xml:space="preserve">, Associate Professor, </w:t>
      </w:r>
      <w:r w:rsidR="00625503" w:rsidRPr="000E3420">
        <w:rPr>
          <w:sz w:val="26"/>
          <w:szCs w:val="26"/>
          <w:lang w:val="en-US"/>
        </w:rPr>
        <w:t>Department</w:t>
      </w:r>
      <w:r w:rsidR="009D04D4" w:rsidRPr="000E3420">
        <w:rPr>
          <w:sz w:val="26"/>
          <w:szCs w:val="26"/>
          <w:lang w:val="en-US"/>
        </w:rPr>
        <w:t xml:space="preserve"> of Finance, Banking and Insurance Department, Sumy State University</w:t>
      </w:r>
      <w:r w:rsidR="008C5FCD" w:rsidRPr="000E3420">
        <w:rPr>
          <w:sz w:val="26"/>
          <w:szCs w:val="26"/>
          <w:lang w:val="en-US"/>
        </w:rPr>
        <w:t>;</w:t>
      </w:r>
    </w:p>
    <w:p w14:paraId="5BDB4F5A" w14:textId="77777777" w:rsidR="009D04D4" w:rsidRPr="000E3420" w:rsidRDefault="0036644D" w:rsidP="008C5FCD">
      <w:pPr>
        <w:jc w:val="center"/>
        <w:rPr>
          <w:sz w:val="26"/>
          <w:szCs w:val="26"/>
          <w:lang w:val="en-US"/>
        </w:rPr>
      </w:pPr>
      <w:r w:rsidRPr="000E3420">
        <w:rPr>
          <w:i/>
          <w:sz w:val="26"/>
          <w:szCs w:val="26"/>
          <w:lang w:val="en-US"/>
        </w:rPr>
        <w:t>V.</w:t>
      </w:r>
      <w:r w:rsidR="001967C7" w:rsidRPr="000E3420">
        <w:rPr>
          <w:i/>
          <w:sz w:val="26"/>
          <w:szCs w:val="26"/>
          <w:lang w:val="en-US"/>
        </w:rPr>
        <w:t> </w:t>
      </w:r>
      <w:r w:rsidRPr="000E3420">
        <w:rPr>
          <w:i/>
          <w:sz w:val="26"/>
          <w:szCs w:val="26"/>
          <w:lang w:val="en-US"/>
        </w:rPr>
        <w:t>M.</w:t>
      </w:r>
      <w:r w:rsidR="001967C7" w:rsidRPr="000E3420">
        <w:rPr>
          <w:i/>
          <w:sz w:val="26"/>
          <w:szCs w:val="26"/>
          <w:lang w:val="en-US"/>
        </w:rPr>
        <w:t> </w:t>
      </w:r>
      <w:r w:rsidRPr="000E3420">
        <w:rPr>
          <w:i/>
          <w:sz w:val="26"/>
          <w:szCs w:val="26"/>
          <w:lang w:val="en-US"/>
        </w:rPr>
        <w:t>Kremen</w:t>
      </w:r>
      <w:r w:rsidR="001967C7" w:rsidRPr="000E3420">
        <w:rPr>
          <w:sz w:val="26"/>
          <w:szCs w:val="26"/>
          <w:lang w:val="en-US"/>
        </w:rPr>
        <w:t>,</w:t>
      </w:r>
      <w:r w:rsidR="00CB3154" w:rsidRPr="000E3420">
        <w:rPr>
          <w:sz w:val="26"/>
          <w:szCs w:val="26"/>
          <w:lang w:val="en-US"/>
        </w:rPr>
        <w:t xml:space="preserve"> </w:t>
      </w:r>
      <w:r w:rsidR="009D04D4" w:rsidRPr="000E3420">
        <w:rPr>
          <w:sz w:val="26"/>
          <w:szCs w:val="26"/>
          <w:lang w:val="en-US"/>
        </w:rPr>
        <w:t>Ph</w:t>
      </w:r>
      <w:r w:rsidR="008C5FCD" w:rsidRPr="000E3420">
        <w:rPr>
          <w:sz w:val="26"/>
          <w:szCs w:val="26"/>
          <w:lang w:val="en-US"/>
        </w:rPr>
        <w:t>. </w:t>
      </w:r>
      <w:r w:rsidR="009D04D4" w:rsidRPr="000E3420">
        <w:rPr>
          <w:sz w:val="26"/>
          <w:szCs w:val="26"/>
          <w:lang w:val="en-US"/>
        </w:rPr>
        <w:t>D</w:t>
      </w:r>
      <w:r w:rsidR="008C5FCD" w:rsidRPr="000E3420">
        <w:rPr>
          <w:sz w:val="26"/>
          <w:szCs w:val="26"/>
          <w:lang w:val="en-US"/>
        </w:rPr>
        <w:t>.</w:t>
      </w:r>
      <w:r w:rsidR="009D04D4" w:rsidRPr="000E3420">
        <w:rPr>
          <w:sz w:val="26"/>
          <w:szCs w:val="26"/>
          <w:lang w:val="en-US"/>
        </w:rPr>
        <w:t xml:space="preserve">, Associate Professor, </w:t>
      </w:r>
      <w:r w:rsidR="00625503" w:rsidRPr="000E3420">
        <w:rPr>
          <w:sz w:val="26"/>
          <w:szCs w:val="26"/>
          <w:lang w:val="en-US"/>
        </w:rPr>
        <w:t>Department</w:t>
      </w:r>
      <w:r w:rsidR="009D04D4" w:rsidRPr="000E3420">
        <w:rPr>
          <w:sz w:val="26"/>
          <w:szCs w:val="26"/>
          <w:lang w:val="en-US"/>
        </w:rPr>
        <w:t xml:space="preserve"> of Finance, Banking and Insurance Department, Sumy State University</w:t>
      </w:r>
    </w:p>
    <w:p w14:paraId="078013BA" w14:textId="77777777" w:rsidR="009D04D4" w:rsidRPr="000E3420" w:rsidRDefault="009D04D4" w:rsidP="009D04D4">
      <w:pPr>
        <w:jc w:val="both"/>
        <w:rPr>
          <w:bCs/>
          <w:sz w:val="26"/>
          <w:szCs w:val="26"/>
          <w:lang w:val="en-US"/>
        </w:rPr>
      </w:pPr>
    </w:p>
    <w:p w14:paraId="57818CDA" w14:textId="77777777" w:rsidR="00090A3B" w:rsidRPr="000E3420" w:rsidRDefault="00090A3B" w:rsidP="009D04D4">
      <w:pPr>
        <w:jc w:val="center"/>
        <w:rPr>
          <w:b/>
          <w:bCs/>
          <w:sz w:val="26"/>
          <w:szCs w:val="26"/>
          <w:lang w:val="en-US"/>
        </w:rPr>
      </w:pPr>
      <w:r w:rsidRPr="000E3420">
        <w:rPr>
          <w:bCs/>
          <w:sz w:val="26"/>
          <w:szCs w:val="26"/>
          <w:lang w:val="en-US"/>
        </w:rPr>
        <w:t>Reviewers:</w:t>
      </w:r>
    </w:p>
    <w:p w14:paraId="20056F93" w14:textId="77777777" w:rsidR="00FA3957" w:rsidRPr="000E3420" w:rsidRDefault="00FA3957" w:rsidP="00FA39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jc w:val="both"/>
        <w:rPr>
          <w:sz w:val="26"/>
          <w:szCs w:val="26"/>
          <w:lang w:val="en-US"/>
        </w:rPr>
      </w:pPr>
      <w:r w:rsidRPr="000E3420">
        <w:rPr>
          <w:i/>
          <w:sz w:val="26"/>
          <w:szCs w:val="26"/>
          <w:lang w:val="en-US"/>
        </w:rPr>
        <w:t>Hassan Obeid</w:t>
      </w:r>
      <w:r w:rsidRPr="000E3420">
        <w:rPr>
          <w:sz w:val="26"/>
          <w:szCs w:val="26"/>
          <w:lang w:val="en-US"/>
        </w:rPr>
        <w:t xml:space="preserve"> –</w:t>
      </w:r>
      <w:r w:rsidR="00CB3154" w:rsidRPr="000E3420">
        <w:rPr>
          <w:sz w:val="26"/>
          <w:szCs w:val="26"/>
          <w:lang w:val="en-US"/>
        </w:rPr>
        <w:t xml:space="preserve"> </w:t>
      </w:r>
      <w:r w:rsidRPr="000E3420">
        <w:rPr>
          <w:sz w:val="26"/>
          <w:szCs w:val="26"/>
          <w:lang w:val="en-US"/>
        </w:rPr>
        <w:t xml:space="preserve">Doctor of Finance, </w:t>
      </w:r>
      <w:r w:rsidR="00CB3154" w:rsidRPr="000E3420">
        <w:rPr>
          <w:sz w:val="26"/>
          <w:szCs w:val="26"/>
          <w:lang w:val="en-US"/>
        </w:rPr>
        <w:t xml:space="preserve">Professor, </w:t>
      </w:r>
      <w:r w:rsidRPr="000E3420">
        <w:rPr>
          <w:sz w:val="26"/>
          <w:szCs w:val="26"/>
          <w:lang w:val="en-US"/>
        </w:rPr>
        <w:t xml:space="preserve">Head of Finance and Accounting Department, European </w:t>
      </w:r>
      <w:r w:rsidR="00CB3154" w:rsidRPr="000E3420">
        <w:rPr>
          <w:sz w:val="26"/>
          <w:szCs w:val="26"/>
          <w:lang w:val="en-US"/>
        </w:rPr>
        <w:t xml:space="preserve">Business School </w:t>
      </w:r>
      <w:r w:rsidR="008C5FCD" w:rsidRPr="000E3420">
        <w:rPr>
          <w:sz w:val="26"/>
          <w:szCs w:val="26"/>
          <w:lang w:val="en-US"/>
        </w:rPr>
        <w:t xml:space="preserve"> (</w:t>
      </w:r>
      <w:r w:rsidR="00CB3154" w:rsidRPr="000E3420">
        <w:rPr>
          <w:sz w:val="26"/>
          <w:szCs w:val="26"/>
          <w:lang w:val="en-US"/>
        </w:rPr>
        <w:t>Paris, France</w:t>
      </w:r>
      <w:r w:rsidR="008C5FCD" w:rsidRPr="000E3420">
        <w:rPr>
          <w:sz w:val="26"/>
          <w:szCs w:val="26"/>
          <w:lang w:val="en-US"/>
        </w:rPr>
        <w:t>)</w:t>
      </w:r>
      <w:r w:rsidR="00CB3154" w:rsidRPr="000E3420">
        <w:rPr>
          <w:sz w:val="26"/>
          <w:szCs w:val="26"/>
          <w:lang w:val="en-US"/>
        </w:rPr>
        <w:t>;</w:t>
      </w:r>
      <w:r w:rsidRPr="000E3420">
        <w:rPr>
          <w:sz w:val="26"/>
          <w:szCs w:val="26"/>
          <w:lang w:val="en-US"/>
        </w:rPr>
        <w:t xml:space="preserve"> </w:t>
      </w:r>
    </w:p>
    <w:p w14:paraId="0B960EDB" w14:textId="77777777" w:rsidR="00FA3957" w:rsidRPr="000E3420" w:rsidRDefault="00FA3957" w:rsidP="00FA39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jc w:val="both"/>
        <w:rPr>
          <w:sz w:val="26"/>
          <w:szCs w:val="26"/>
          <w:lang w:val="en-US"/>
        </w:rPr>
      </w:pPr>
      <w:r w:rsidRPr="000E3420">
        <w:rPr>
          <w:i/>
          <w:sz w:val="26"/>
          <w:szCs w:val="26"/>
          <w:lang w:val="en-US"/>
        </w:rPr>
        <w:t>Angela Ya. Kuznetsova</w:t>
      </w:r>
      <w:r w:rsidRPr="000E3420">
        <w:rPr>
          <w:sz w:val="26"/>
          <w:szCs w:val="26"/>
          <w:lang w:val="en-US"/>
        </w:rPr>
        <w:t xml:space="preserve"> –</w:t>
      </w:r>
      <w:r w:rsidR="008C5FCD" w:rsidRPr="000E3420">
        <w:rPr>
          <w:sz w:val="26"/>
          <w:szCs w:val="26"/>
          <w:lang w:val="en-US"/>
        </w:rPr>
        <w:t xml:space="preserve"> </w:t>
      </w:r>
      <w:r w:rsidRPr="000E3420">
        <w:rPr>
          <w:sz w:val="26"/>
          <w:szCs w:val="26"/>
          <w:lang w:val="en-US"/>
        </w:rPr>
        <w:t xml:space="preserve">Doctor of Economics, </w:t>
      </w:r>
      <w:r w:rsidR="00CB3154" w:rsidRPr="000E3420">
        <w:rPr>
          <w:sz w:val="26"/>
          <w:szCs w:val="26"/>
          <w:lang w:val="en-US"/>
        </w:rPr>
        <w:t xml:space="preserve">Professor, </w:t>
      </w:r>
      <w:r w:rsidRPr="000E3420">
        <w:rPr>
          <w:sz w:val="26"/>
          <w:szCs w:val="26"/>
          <w:lang w:val="en-US"/>
        </w:rPr>
        <w:t xml:space="preserve">First vice-rector,  </w:t>
      </w:r>
      <w:r w:rsidR="008C5FCD" w:rsidRPr="000E3420">
        <w:rPr>
          <w:sz w:val="26"/>
          <w:szCs w:val="26"/>
          <w:lang w:val="en-US"/>
        </w:rPr>
        <w:t>University of Banking</w:t>
      </w:r>
      <w:r w:rsidRPr="000E3420">
        <w:rPr>
          <w:sz w:val="26"/>
          <w:szCs w:val="26"/>
          <w:lang w:val="en-US"/>
        </w:rPr>
        <w:t xml:space="preserve"> </w:t>
      </w:r>
      <w:r w:rsidR="008C5FCD" w:rsidRPr="000E3420">
        <w:rPr>
          <w:sz w:val="26"/>
          <w:szCs w:val="26"/>
          <w:lang w:val="en-US"/>
        </w:rPr>
        <w:t>(</w:t>
      </w:r>
      <w:r w:rsidRPr="000E3420">
        <w:rPr>
          <w:sz w:val="26"/>
          <w:szCs w:val="26"/>
          <w:lang w:val="en-US"/>
        </w:rPr>
        <w:t>Ki</w:t>
      </w:r>
      <w:r w:rsidR="00CB3154" w:rsidRPr="000E3420">
        <w:rPr>
          <w:sz w:val="26"/>
          <w:szCs w:val="26"/>
          <w:lang w:val="en-US"/>
        </w:rPr>
        <w:t>ev, Ukraine</w:t>
      </w:r>
      <w:r w:rsidR="008C5FCD" w:rsidRPr="000E3420">
        <w:rPr>
          <w:sz w:val="26"/>
          <w:szCs w:val="26"/>
          <w:lang w:val="en-US"/>
        </w:rPr>
        <w:t>)</w:t>
      </w:r>
      <w:r w:rsidR="00CB3154" w:rsidRPr="000E3420">
        <w:rPr>
          <w:sz w:val="26"/>
          <w:szCs w:val="26"/>
          <w:lang w:val="en-US"/>
        </w:rPr>
        <w:t>;</w:t>
      </w:r>
    </w:p>
    <w:p w14:paraId="16C4A0BB" w14:textId="77777777" w:rsidR="00FA3957" w:rsidRPr="000E3420" w:rsidRDefault="00FA3957" w:rsidP="00FA39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jc w:val="both"/>
        <w:rPr>
          <w:sz w:val="26"/>
          <w:szCs w:val="26"/>
          <w:lang w:val="en-US"/>
        </w:rPr>
      </w:pPr>
      <w:r w:rsidRPr="000E3420">
        <w:rPr>
          <w:i/>
          <w:sz w:val="26"/>
          <w:szCs w:val="26"/>
          <w:lang w:val="en-US"/>
        </w:rPr>
        <w:t>Oksana I. Kopylyuk</w:t>
      </w:r>
      <w:r w:rsidRPr="000E3420">
        <w:rPr>
          <w:sz w:val="26"/>
          <w:szCs w:val="26"/>
          <w:lang w:val="en-US"/>
        </w:rPr>
        <w:t xml:space="preserve"> –</w:t>
      </w:r>
      <w:r w:rsidR="008C5FCD" w:rsidRPr="000E3420">
        <w:rPr>
          <w:sz w:val="26"/>
          <w:szCs w:val="26"/>
          <w:lang w:val="en-US"/>
        </w:rPr>
        <w:t xml:space="preserve"> </w:t>
      </w:r>
      <w:r w:rsidRPr="000E3420">
        <w:rPr>
          <w:sz w:val="26"/>
          <w:szCs w:val="26"/>
          <w:lang w:val="en-US"/>
        </w:rPr>
        <w:t xml:space="preserve">Doctor of Economics, </w:t>
      </w:r>
      <w:r w:rsidR="00CB3154" w:rsidRPr="000E3420">
        <w:rPr>
          <w:sz w:val="26"/>
          <w:szCs w:val="26"/>
          <w:lang w:val="en-US"/>
        </w:rPr>
        <w:t xml:space="preserve">Professor, </w:t>
      </w:r>
      <w:r w:rsidRPr="000E3420">
        <w:rPr>
          <w:sz w:val="26"/>
          <w:szCs w:val="26"/>
          <w:lang w:val="en-US"/>
        </w:rPr>
        <w:t>Head of the Department of Financial and Economic Security and Banking Bus</w:t>
      </w:r>
      <w:r w:rsidR="00CE4B9F">
        <w:rPr>
          <w:sz w:val="26"/>
          <w:szCs w:val="26"/>
          <w:lang w:val="en-US"/>
        </w:rPr>
        <w:t>iness, Lviv Academy of Commerce</w:t>
      </w:r>
      <w:r w:rsidRPr="000E3420">
        <w:rPr>
          <w:sz w:val="26"/>
          <w:szCs w:val="26"/>
          <w:lang w:val="en-US"/>
        </w:rPr>
        <w:t xml:space="preserve"> </w:t>
      </w:r>
      <w:r w:rsidR="008C5FCD" w:rsidRPr="000E3420">
        <w:rPr>
          <w:sz w:val="26"/>
          <w:szCs w:val="26"/>
          <w:lang w:val="en-US"/>
        </w:rPr>
        <w:t>(</w:t>
      </w:r>
      <w:r w:rsidRPr="000E3420">
        <w:rPr>
          <w:sz w:val="26"/>
          <w:szCs w:val="26"/>
          <w:lang w:val="en-US"/>
        </w:rPr>
        <w:t>Lviv, Ukrain</w:t>
      </w:r>
      <w:r w:rsidR="008C5FCD" w:rsidRPr="000E3420">
        <w:rPr>
          <w:sz w:val="26"/>
          <w:szCs w:val="26"/>
          <w:lang w:val="en-US"/>
        </w:rPr>
        <w:t>e)</w:t>
      </w:r>
    </w:p>
    <w:p w14:paraId="1056F01E" w14:textId="77777777" w:rsidR="008C7B0D" w:rsidRPr="00090A3B" w:rsidRDefault="008C7B0D" w:rsidP="00090A3B">
      <w:pPr>
        <w:jc w:val="center"/>
        <w:rPr>
          <w:sz w:val="28"/>
          <w:szCs w:val="28"/>
          <w:lang w:val="en-US"/>
        </w:rPr>
      </w:pPr>
    </w:p>
    <w:p w14:paraId="72465BA1" w14:textId="77777777" w:rsidR="00090A3B" w:rsidRPr="008C5FCD" w:rsidRDefault="00090A3B" w:rsidP="00090A3B">
      <w:pPr>
        <w:jc w:val="center"/>
        <w:rPr>
          <w:i/>
          <w:sz w:val="28"/>
          <w:szCs w:val="28"/>
          <w:lang w:val="en-US"/>
        </w:rPr>
      </w:pPr>
      <w:r w:rsidRPr="008C5FCD">
        <w:rPr>
          <w:i/>
          <w:sz w:val="28"/>
          <w:szCs w:val="28"/>
          <w:lang w:val="en-US"/>
        </w:rPr>
        <w:t>Recommended for publication by Academic Council</w:t>
      </w:r>
    </w:p>
    <w:p w14:paraId="10361A30" w14:textId="77777777" w:rsidR="00090A3B" w:rsidRPr="008C5FCD" w:rsidRDefault="00090A3B" w:rsidP="00090A3B">
      <w:pPr>
        <w:jc w:val="center"/>
        <w:rPr>
          <w:i/>
          <w:sz w:val="28"/>
          <w:szCs w:val="28"/>
          <w:lang w:val="en-US"/>
        </w:rPr>
      </w:pPr>
      <w:r w:rsidRPr="008C5FCD">
        <w:rPr>
          <w:i/>
          <w:sz w:val="28"/>
          <w:szCs w:val="28"/>
          <w:lang w:val="en-US"/>
        </w:rPr>
        <w:t>of Sumy State University</w:t>
      </w:r>
      <w:r w:rsidR="008C5FCD" w:rsidRPr="008C5FCD">
        <w:rPr>
          <w:i/>
          <w:sz w:val="28"/>
          <w:szCs w:val="28"/>
          <w:lang w:val="en-US"/>
        </w:rPr>
        <w:t xml:space="preserve"> </w:t>
      </w:r>
      <w:r w:rsidR="008C5FCD" w:rsidRPr="008C5FCD">
        <w:rPr>
          <w:i/>
          <w:iCs/>
          <w:sz w:val="28"/>
          <w:szCs w:val="28"/>
          <w:lang w:val="en-US"/>
        </w:rPr>
        <w:t xml:space="preserve">as </w:t>
      </w:r>
      <w:r w:rsidR="008C5FCD" w:rsidRPr="008C5FCD">
        <w:rPr>
          <w:i/>
          <w:iCs/>
          <w:sz w:val="28"/>
          <w:szCs w:val="28"/>
        </w:rPr>
        <w:t xml:space="preserve">а </w:t>
      </w:r>
      <w:r w:rsidR="008C5FCD" w:rsidRPr="008C5FCD">
        <w:rPr>
          <w:i/>
          <w:iCs/>
          <w:sz w:val="28"/>
          <w:szCs w:val="28"/>
          <w:lang w:val="en-US"/>
        </w:rPr>
        <w:t>study guide</w:t>
      </w:r>
    </w:p>
    <w:p w14:paraId="06977018" w14:textId="77777777" w:rsidR="001B6A88" w:rsidRPr="008C5FCD" w:rsidRDefault="00090A3B" w:rsidP="00090A3B">
      <w:pPr>
        <w:jc w:val="center"/>
        <w:rPr>
          <w:i/>
          <w:sz w:val="28"/>
          <w:szCs w:val="28"/>
          <w:lang w:val="en-US"/>
        </w:rPr>
      </w:pPr>
      <w:r w:rsidRPr="008C5FCD">
        <w:rPr>
          <w:i/>
          <w:sz w:val="28"/>
          <w:szCs w:val="28"/>
          <w:lang w:val="en-US"/>
        </w:rPr>
        <w:t>(</w:t>
      </w:r>
      <w:r w:rsidR="008C5FCD">
        <w:rPr>
          <w:i/>
          <w:sz w:val="28"/>
          <w:szCs w:val="28"/>
          <w:lang w:val="en-US"/>
        </w:rPr>
        <w:t>m</w:t>
      </w:r>
      <w:r w:rsidRPr="008C5FCD">
        <w:rPr>
          <w:i/>
          <w:sz w:val="28"/>
          <w:szCs w:val="28"/>
          <w:lang w:val="en-US"/>
        </w:rPr>
        <w:t>inutes №</w:t>
      </w:r>
      <w:r w:rsidR="00625503">
        <w:rPr>
          <w:i/>
          <w:sz w:val="28"/>
          <w:szCs w:val="28"/>
          <w:lang w:val="en-US"/>
        </w:rPr>
        <w:t> </w:t>
      </w:r>
      <w:r w:rsidR="00F00F5B" w:rsidRPr="008C5FCD">
        <w:rPr>
          <w:i/>
          <w:sz w:val="28"/>
          <w:szCs w:val="28"/>
          <w:lang w:val="en-US"/>
        </w:rPr>
        <w:t>4</w:t>
      </w:r>
      <w:r w:rsidR="00FA3957" w:rsidRPr="008C5FCD">
        <w:rPr>
          <w:i/>
          <w:sz w:val="28"/>
          <w:szCs w:val="28"/>
          <w:lang w:val="en-US"/>
        </w:rPr>
        <w:t xml:space="preserve"> of </w:t>
      </w:r>
      <w:r w:rsidR="00F00F5B" w:rsidRPr="008C5FCD">
        <w:rPr>
          <w:i/>
          <w:sz w:val="28"/>
          <w:szCs w:val="28"/>
          <w:lang w:val="en-US"/>
        </w:rPr>
        <w:t>13</w:t>
      </w:r>
      <w:r w:rsidR="00FA3957" w:rsidRPr="008C5FCD">
        <w:rPr>
          <w:i/>
          <w:sz w:val="28"/>
          <w:szCs w:val="28"/>
          <w:lang w:val="en-US"/>
        </w:rPr>
        <w:t>.</w:t>
      </w:r>
      <w:r w:rsidR="00F00F5B" w:rsidRPr="008C5FCD">
        <w:rPr>
          <w:i/>
          <w:sz w:val="28"/>
          <w:szCs w:val="28"/>
          <w:lang w:val="en-US"/>
        </w:rPr>
        <w:t>10</w:t>
      </w:r>
      <w:r w:rsidRPr="008C5FCD">
        <w:rPr>
          <w:i/>
          <w:sz w:val="28"/>
          <w:szCs w:val="28"/>
          <w:lang w:val="en-US"/>
        </w:rPr>
        <w:t>.2016)</w:t>
      </w:r>
    </w:p>
    <w:p w14:paraId="7AB3F539" w14:textId="77777777" w:rsidR="001B6A88" w:rsidRDefault="001B6A88" w:rsidP="00090A3B">
      <w:pPr>
        <w:jc w:val="center"/>
        <w:rPr>
          <w:sz w:val="28"/>
          <w:szCs w:val="28"/>
          <w:lang w:val="en-US"/>
        </w:rPr>
      </w:pPr>
    </w:p>
    <w:tbl>
      <w:tblPr>
        <w:tblW w:w="0" w:type="auto"/>
        <w:tblCellMar>
          <w:top w:w="15" w:type="dxa"/>
          <w:left w:w="15" w:type="dxa"/>
          <w:bottom w:w="15" w:type="dxa"/>
          <w:right w:w="15" w:type="dxa"/>
        </w:tblCellMar>
        <w:tblLook w:val="04A0" w:firstRow="1" w:lastRow="0" w:firstColumn="1" w:lastColumn="0" w:noHBand="0" w:noVBand="1"/>
      </w:tblPr>
      <w:tblGrid>
        <w:gridCol w:w="330"/>
        <w:gridCol w:w="9279"/>
      </w:tblGrid>
      <w:tr w:rsidR="003B4919" w:rsidRPr="003B4919" w14:paraId="0CD57E18" w14:textId="77777777" w:rsidTr="003B4919">
        <w:tc>
          <w:tcPr>
            <w:tcW w:w="0" w:type="auto"/>
            <w:tcMar>
              <w:top w:w="105" w:type="dxa"/>
              <w:left w:w="105" w:type="dxa"/>
              <w:bottom w:w="105" w:type="dxa"/>
              <w:right w:w="105" w:type="dxa"/>
            </w:tcMar>
            <w:hideMark/>
          </w:tcPr>
          <w:p w14:paraId="64D387DC" w14:textId="77777777" w:rsidR="003B4919" w:rsidRPr="000E3420" w:rsidRDefault="00007CB2" w:rsidP="003B4919">
            <w:pPr>
              <w:spacing w:line="0" w:lineRule="atLeast"/>
              <w:jc w:val="center"/>
              <w:rPr>
                <w:color w:val="auto"/>
                <w:sz w:val="28"/>
                <w:szCs w:val="28"/>
                <w:lang w:val="en-US"/>
              </w:rPr>
            </w:pPr>
            <w:r>
              <w:rPr>
                <w:b/>
                <w:bCs/>
                <w:sz w:val="28"/>
                <w:szCs w:val="28"/>
                <w:lang w:val="en-US"/>
              </w:rPr>
              <w:t xml:space="preserve"> </w:t>
            </w:r>
            <w:r w:rsidRPr="000E3420">
              <w:rPr>
                <w:bCs/>
                <w:sz w:val="28"/>
                <w:szCs w:val="28"/>
                <w:lang w:val="en-US"/>
              </w:rPr>
              <w:t>I</w:t>
            </w:r>
          </w:p>
        </w:tc>
        <w:tc>
          <w:tcPr>
            <w:tcW w:w="0" w:type="auto"/>
            <w:tcMar>
              <w:top w:w="105" w:type="dxa"/>
              <w:left w:w="105" w:type="dxa"/>
              <w:bottom w:w="105" w:type="dxa"/>
              <w:right w:w="105" w:type="dxa"/>
            </w:tcMar>
            <w:hideMark/>
          </w:tcPr>
          <w:p w14:paraId="22100261" w14:textId="77777777" w:rsidR="003B4919" w:rsidRDefault="003B4919" w:rsidP="000E3420">
            <w:pPr>
              <w:ind w:firstLine="509"/>
              <w:jc w:val="both"/>
              <w:rPr>
                <w:bCs/>
                <w:sz w:val="28"/>
                <w:szCs w:val="28"/>
                <w:lang w:val="en-US"/>
              </w:rPr>
            </w:pPr>
            <w:r w:rsidRPr="000E3420">
              <w:rPr>
                <w:b/>
                <w:sz w:val="28"/>
                <w:szCs w:val="28"/>
                <w:lang w:val="en-US"/>
              </w:rPr>
              <w:t>Introduction</w:t>
            </w:r>
            <w:r w:rsidRPr="003B4919">
              <w:rPr>
                <w:sz w:val="28"/>
                <w:szCs w:val="28"/>
                <w:lang w:val="en-US"/>
              </w:rPr>
              <w:t xml:space="preserve"> to finance</w:t>
            </w:r>
            <w:r w:rsidR="008C5FCD">
              <w:rPr>
                <w:sz w:val="28"/>
                <w:szCs w:val="28"/>
                <w:lang w:val="en-US"/>
              </w:rPr>
              <w:t xml:space="preserve">: theory and </w:t>
            </w:r>
            <w:r w:rsidR="000E3420">
              <w:rPr>
                <w:sz w:val="28"/>
                <w:szCs w:val="28"/>
                <w:lang w:val="en-US"/>
              </w:rPr>
              <w:t>practice</w:t>
            </w:r>
            <w:r w:rsidRPr="003B4919">
              <w:rPr>
                <w:sz w:val="28"/>
                <w:szCs w:val="28"/>
                <w:lang w:val="en-US"/>
              </w:rPr>
              <w:t xml:space="preserve"> :</w:t>
            </w:r>
            <w:r w:rsidR="000E3420">
              <w:rPr>
                <w:sz w:val="28"/>
                <w:szCs w:val="28"/>
                <w:lang w:val="en-US"/>
              </w:rPr>
              <w:t xml:space="preserve"> study guide / </w:t>
            </w:r>
            <w:r w:rsidR="000E3420" w:rsidRPr="000E3420">
              <w:rPr>
                <w:sz w:val="28"/>
                <w:szCs w:val="28"/>
                <w:lang w:val="en-US"/>
              </w:rPr>
              <w:t>I. O.</w:t>
            </w:r>
            <w:r w:rsidR="000E3420" w:rsidRPr="001967C7">
              <w:rPr>
                <w:i/>
                <w:sz w:val="28"/>
                <w:szCs w:val="28"/>
                <w:lang w:val="en-US"/>
              </w:rPr>
              <w:t> </w:t>
            </w:r>
            <w:r w:rsidR="000E3420">
              <w:rPr>
                <w:sz w:val="28"/>
                <w:szCs w:val="28"/>
                <w:lang w:val="en-US"/>
              </w:rPr>
              <w:t xml:space="preserve">Shkolnyk, </w:t>
            </w:r>
            <w:r w:rsidR="000E3420" w:rsidRPr="000E3420">
              <w:rPr>
                <w:sz w:val="28"/>
                <w:szCs w:val="28"/>
                <w:lang w:val="en-US"/>
              </w:rPr>
              <w:t>M. M.</w:t>
            </w:r>
            <w:r w:rsidR="000E3420">
              <w:rPr>
                <w:i/>
                <w:sz w:val="28"/>
                <w:szCs w:val="28"/>
                <w:lang w:val="en-US"/>
              </w:rPr>
              <w:t> </w:t>
            </w:r>
            <w:r w:rsidRPr="003B4919">
              <w:rPr>
                <w:sz w:val="28"/>
                <w:szCs w:val="28"/>
                <w:lang w:val="en-US"/>
              </w:rPr>
              <w:t xml:space="preserve">Brychko, </w:t>
            </w:r>
            <w:r w:rsidR="00BA1529">
              <w:rPr>
                <w:sz w:val="28"/>
                <w:szCs w:val="28"/>
                <w:lang w:val="en-US"/>
              </w:rPr>
              <w:t>O.</w:t>
            </w:r>
            <w:r w:rsidR="000E3420">
              <w:rPr>
                <w:sz w:val="28"/>
                <w:szCs w:val="28"/>
                <w:lang w:val="en-US"/>
              </w:rPr>
              <w:t> M. </w:t>
            </w:r>
            <w:r w:rsidR="00BA1529" w:rsidRPr="00BA1529">
              <w:rPr>
                <w:sz w:val="28"/>
                <w:szCs w:val="28"/>
                <w:lang w:val="en-US"/>
              </w:rPr>
              <w:t>Pakhnenko</w:t>
            </w:r>
            <w:r w:rsidRPr="003B4919">
              <w:rPr>
                <w:sz w:val="28"/>
                <w:szCs w:val="28"/>
                <w:lang w:val="en-US"/>
              </w:rPr>
              <w:t xml:space="preserve"> </w:t>
            </w:r>
            <w:r w:rsidR="000E3420">
              <w:rPr>
                <w:sz w:val="28"/>
                <w:szCs w:val="28"/>
                <w:lang w:val="en-US"/>
              </w:rPr>
              <w:t xml:space="preserve">et al. ; edited by </w:t>
            </w:r>
            <w:r w:rsidR="000E3420" w:rsidRPr="000E3420">
              <w:rPr>
                <w:sz w:val="28"/>
                <w:szCs w:val="28"/>
                <w:lang w:val="en-US"/>
              </w:rPr>
              <w:t>I</w:t>
            </w:r>
            <w:r w:rsidR="00CE4B9F">
              <w:rPr>
                <w:sz w:val="28"/>
                <w:szCs w:val="28"/>
                <w:lang w:val="en-US"/>
              </w:rPr>
              <w:t>nna</w:t>
            </w:r>
            <w:r w:rsidR="000E3420" w:rsidRPr="001967C7">
              <w:rPr>
                <w:i/>
                <w:sz w:val="28"/>
                <w:szCs w:val="28"/>
                <w:lang w:val="en-US"/>
              </w:rPr>
              <w:t> </w:t>
            </w:r>
            <w:r w:rsidRPr="003B4919">
              <w:rPr>
                <w:sz w:val="28"/>
                <w:szCs w:val="28"/>
                <w:lang w:val="en-US"/>
              </w:rPr>
              <w:t xml:space="preserve">Shkolnyk, </w:t>
            </w:r>
            <w:r w:rsidR="009B1FE7">
              <w:rPr>
                <w:sz w:val="28"/>
                <w:szCs w:val="28"/>
                <w:lang w:val="en-US"/>
              </w:rPr>
              <w:t>Ph. D.</w:t>
            </w:r>
            <w:r w:rsidR="009B1FE7" w:rsidRPr="000E3420">
              <w:rPr>
                <w:caps/>
                <w:lang w:val="en-US"/>
              </w:rPr>
              <w:t>,</w:t>
            </w:r>
            <w:r w:rsidR="009B1FE7">
              <w:rPr>
                <w:caps/>
                <w:lang w:val="en-US"/>
              </w:rPr>
              <w:t xml:space="preserve">                      </w:t>
            </w:r>
            <w:r w:rsidR="009B1FE7" w:rsidRPr="000E3420">
              <w:rPr>
                <w:caps/>
                <w:sz w:val="28"/>
                <w:szCs w:val="28"/>
                <w:lang w:val="en-US"/>
              </w:rPr>
              <w:t>D</w:t>
            </w:r>
            <w:r w:rsidR="009B1FE7">
              <w:rPr>
                <w:color w:val="auto"/>
                <w:szCs w:val="28"/>
                <w:lang w:val="en-US"/>
              </w:rPr>
              <w:t>r.</w:t>
            </w:r>
            <w:r w:rsidR="009B1FE7" w:rsidRPr="000E3420">
              <w:rPr>
                <w:caps/>
                <w:sz w:val="28"/>
                <w:szCs w:val="28"/>
                <w:lang w:val="en-US"/>
              </w:rPr>
              <w:t xml:space="preserve"> </w:t>
            </w:r>
            <w:r w:rsidR="009B1FE7">
              <w:rPr>
                <w:bCs/>
                <w:sz w:val="28"/>
                <w:szCs w:val="28"/>
                <w:lang w:val="en-US"/>
              </w:rPr>
              <w:t>of Economics,</w:t>
            </w:r>
            <w:r w:rsidR="009B1FE7">
              <w:rPr>
                <w:caps/>
                <w:lang w:val="en-US"/>
              </w:rPr>
              <w:t xml:space="preserve"> </w:t>
            </w:r>
            <w:r w:rsidR="000E3420" w:rsidRPr="000E3420">
              <w:rPr>
                <w:sz w:val="28"/>
                <w:szCs w:val="28"/>
                <w:lang w:val="en-US"/>
              </w:rPr>
              <w:t>M</w:t>
            </w:r>
            <w:r w:rsidR="00CE4B9F">
              <w:rPr>
                <w:sz w:val="28"/>
                <w:szCs w:val="28"/>
                <w:lang w:val="en-US"/>
              </w:rPr>
              <w:t>aryna</w:t>
            </w:r>
            <w:r w:rsidR="000E3420">
              <w:rPr>
                <w:i/>
                <w:sz w:val="28"/>
                <w:szCs w:val="28"/>
                <w:lang w:val="en-US"/>
              </w:rPr>
              <w:t> </w:t>
            </w:r>
            <w:r w:rsidR="009B1FE7">
              <w:rPr>
                <w:sz w:val="28"/>
                <w:szCs w:val="28"/>
                <w:lang w:val="en-US"/>
              </w:rPr>
              <w:t xml:space="preserve">Brychko, Ph. D. </w:t>
            </w:r>
            <w:r w:rsidRPr="003B4919">
              <w:rPr>
                <w:sz w:val="28"/>
                <w:szCs w:val="28"/>
                <w:lang w:val="en-US"/>
              </w:rPr>
              <w:t>– Sumy : Sumy State University, 201</w:t>
            </w:r>
            <w:r w:rsidR="0036644D">
              <w:rPr>
                <w:sz w:val="28"/>
                <w:szCs w:val="28"/>
                <w:lang w:val="en-US"/>
              </w:rPr>
              <w:t>7</w:t>
            </w:r>
            <w:r w:rsidRPr="003B4919">
              <w:rPr>
                <w:sz w:val="28"/>
                <w:szCs w:val="28"/>
                <w:lang w:val="en-US"/>
              </w:rPr>
              <w:t>.</w:t>
            </w:r>
            <w:r w:rsidRPr="000E3420">
              <w:rPr>
                <w:sz w:val="28"/>
                <w:szCs w:val="28"/>
                <w:lang w:val="en-US"/>
              </w:rPr>
              <w:t xml:space="preserve"> – </w:t>
            </w:r>
            <w:r w:rsidR="0069340A" w:rsidRPr="000E3420">
              <w:rPr>
                <w:bCs/>
                <w:sz w:val="28"/>
                <w:szCs w:val="28"/>
                <w:lang w:val="en-US"/>
              </w:rPr>
              <w:t>2</w:t>
            </w:r>
            <w:r w:rsidRPr="000E3420">
              <w:rPr>
                <w:bCs/>
                <w:sz w:val="28"/>
                <w:szCs w:val="28"/>
                <w:lang w:val="en-US"/>
              </w:rPr>
              <w:t>7</w:t>
            </w:r>
            <w:r w:rsidR="00CE4B9F">
              <w:rPr>
                <w:bCs/>
                <w:sz w:val="28"/>
                <w:szCs w:val="28"/>
                <w:lang w:val="en-US"/>
              </w:rPr>
              <w:t>5</w:t>
            </w:r>
            <w:r w:rsidR="000E3420">
              <w:rPr>
                <w:bCs/>
                <w:sz w:val="28"/>
                <w:szCs w:val="28"/>
                <w:lang w:val="en-US"/>
              </w:rPr>
              <w:t> </w:t>
            </w:r>
            <w:r w:rsidRPr="000E3420">
              <w:rPr>
                <w:bCs/>
                <w:sz w:val="28"/>
                <w:szCs w:val="28"/>
                <w:lang w:val="en-US"/>
              </w:rPr>
              <w:t>p.</w:t>
            </w:r>
          </w:p>
          <w:p w14:paraId="5B37F597" w14:textId="77777777" w:rsidR="000E3420" w:rsidRPr="00CE4B9F" w:rsidRDefault="000E3420" w:rsidP="00CE4B9F">
            <w:pPr>
              <w:ind w:firstLine="509"/>
              <w:jc w:val="both"/>
              <w:rPr>
                <w:bCs/>
                <w:sz w:val="28"/>
                <w:szCs w:val="28"/>
                <w:lang w:val="en-US"/>
              </w:rPr>
            </w:pPr>
            <w:r>
              <w:rPr>
                <w:bCs/>
                <w:sz w:val="28"/>
                <w:szCs w:val="28"/>
                <w:lang w:val="en-US"/>
              </w:rPr>
              <w:t>ISBN</w:t>
            </w:r>
            <w:r w:rsidR="00CE4B9F">
              <w:rPr>
                <w:bCs/>
                <w:sz w:val="28"/>
                <w:szCs w:val="28"/>
                <w:lang w:val="en-US"/>
              </w:rPr>
              <w:t xml:space="preserve"> 978-966-657-664-7</w:t>
            </w:r>
          </w:p>
        </w:tc>
      </w:tr>
    </w:tbl>
    <w:p w14:paraId="75532932" w14:textId="77777777" w:rsidR="003B4919" w:rsidRPr="009B1FE7" w:rsidRDefault="003B4919" w:rsidP="003B4919">
      <w:pPr>
        <w:jc w:val="both"/>
        <w:rPr>
          <w:i/>
          <w:sz w:val="28"/>
          <w:szCs w:val="28"/>
          <w:lang w:val="en-US"/>
        </w:rPr>
      </w:pPr>
      <w:r w:rsidRPr="009D04D4">
        <w:rPr>
          <w:szCs w:val="28"/>
          <w:lang w:val="en-US"/>
        </w:rPr>
        <w:t>       </w:t>
      </w:r>
      <w:r w:rsidRPr="009D04D4">
        <w:rPr>
          <w:szCs w:val="28"/>
          <w:lang w:val="en-US"/>
        </w:rPr>
        <w:tab/>
        <w:t xml:space="preserve">The </w:t>
      </w:r>
      <w:r w:rsidR="009B1FE7" w:rsidRPr="009B1FE7">
        <w:rPr>
          <w:iCs/>
          <w:lang w:val="en-US"/>
        </w:rPr>
        <w:t>study guide</w:t>
      </w:r>
      <w:r w:rsidRPr="009D04D4">
        <w:rPr>
          <w:szCs w:val="28"/>
          <w:lang w:val="en-US"/>
        </w:rPr>
        <w:t xml:space="preserve"> is intended for students of higher educational institutions of III–IV levels  of  accreditation (it can be used for studying “Finance”, “Corporate Finance”, and “Financial Analysis”, etc., when writing term papers, thes</w:t>
      </w:r>
      <w:r w:rsidR="00944922">
        <w:rPr>
          <w:szCs w:val="28"/>
          <w:lang w:val="en-US"/>
        </w:rPr>
        <w:t>e</w:t>
      </w:r>
      <w:r w:rsidRPr="009D04D4">
        <w:rPr>
          <w:szCs w:val="28"/>
          <w:lang w:val="en-US"/>
        </w:rPr>
        <w:t>s),</w:t>
      </w:r>
      <w:r w:rsidR="00F16243" w:rsidRPr="009D04D4">
        <w:rPr>
          <w:szCs w:val="28"/>
          <w:lang w:val="en-US"/>
        </w:rPr>
        <w:t xml:space="preserve"> for those</w:t>
      </w:r>
      <w:r w:rsidRPr="009D04D4">
        <w:rPr>
          <w:szCs w:val="28"/>
          <w:lang w:val="en-US"/>
        </w:rPr>
        <w:t xml:space="preserve"> seeking </w:t>
      </w:r>
      <w:r w:rsidR="00944922">
        <w:rPr>
          <w:szCs w:val="28"/>
          <w:lang w:val="en-US"/>
        </w:rPr>
        <w:t xml:space="preserve">a </w:t>
      </w:r>
      <w:r w:rsidRPr="009D04D4">
        <w:rPr>
          <w:szCs w:val="28"/>
          <w:lang w:val="en-US"/>
        </w:rPr>
        <w:t>qualification in finance and economics. It</w:t>
      </w:r>
      <w:r w:rsidR="00F16243" w:rsidRPr="009D04D4">
        <w:rPr>
          <w:szCs w:val="28"/>
          <w:lang w:val="en-US"/>
        </w:rPr>
        <w:t xml:space="preserve"> is</w:t>
      </w:r>
      <w:r w:rsidRPr="009D04D4">
        <w:rPr>
          <w:szCs w:val="28"/>
          <w:lang w:val="en-US"/>
        </w:rPr>
        <w:t xml:space="preserve"> also designed to develop skills and core knowledge needed to enter the profession within the finance fields. This </w:t>
      </w:r>
      <w:r w:rsidR="009B1FE7" w:rsidRPr="009B1FE7">
        <w:rPr>
          <w:iCs/>
          <w:lang w:val="en-US"/>
        </w:rPr>
        <w:t>study guide</w:t>
      </w:r>
      <w:r w:rsidRPr="009D04D4">
        <w:rPr>
          <w:szCs w:val="28"/>
          <w:lang w:val="en-US"/>
        </w:rPr>
        <w:t xml:space="preserve"> provides a wide range of entry points for those who already have diplomas or postgraduate degree in an unrelated to finance field.</w:t>
      </w:r>
    </w:p>
    <w:p w14:paraId="12605223" w14:textId="77777777" w:rsidR="00090A3B" w:rsidRPr="003B4919" w:rsidRDefault="00090A3B" w:rsidP="00090A3B">
      <w:pPr>
        <w:rPr>
          <w:sz w:val="28"/>
          <w:szCs w:val="28"/>
        </w:rPr>
      </w:pPr>
    </w:p>
    <w:p w14:paraId="143BBCA5" w14:textId="77777777" w:rsidR="000E3420" w:rsidRDefault="000E3420" w:rsidP="000E3420">
      <w:pPr>
        <w:jc w:val="right"/>
        <w:rPr>
          <w:b/>
          <w:i/>
          <w:sz w:val="28"/>
          <w:lang w:val="en-US"/>
        </w:rPr>
      </w:pPr>
      <w:r>
        <w:rPr>
          <w:b/>
          <w:sz w:val="28"/>
          <w:szCs w:val="28"/>
          <w:lang w:val="en-US"/>
        </w:rPr>
        <w:t xml:space="preserve">          </w:t>
      </w:r>
      <w:r w:rsidR="00007CB2" w:rsidRPr="00007CB2">
        <w:rPr>
          <w:b/>
          <w:sz w:val="28"/>
          <w:szCs w:val="28"/>
          <w:lang w:val="en-US"/>
        </w:rPr>
        <w:t>УДК 336+658.14/.17+005.915](075.8)</w:t>
      </w:r>
    </w:p>
    <w:p w14:paraId="52C0B4B2" w14:textId="77777777" w:rsidR="000E3420" w:rsidRDefault="00F217CE" w:rsidP="000E3420">
      <w:pPr>
        <w:jc w:val="right"/>
        <w:rPr>
          <w:b/>
          <w:sz w:val="28"/>
          <w:szCs w:val="28"/>
          <w:lang w:val="en-US"/>
        </w:rPr>
      </w:pPr>
      <w:r>
        <w:rPr>
          <w:b/>
          <w:sz w:val="28"/>
          <w:szCs w:val="28"/>
          <w:lang w:val="en-US"/>
        </w:rPr>
        <w:t>ББK 65.26</w:t>
      </w:r>
    </w:p>
    <w:p w14:paraId="45E0F7B1" w14:textId="77777777" w:rsidR="00CE4B9F" w:rsidRDefault="00CE4B9F" w:rsidP="000E3420">
      <w:pPr>
        <w:jc w:val="right"/>
        <w:rPr>
          <w:b/>
          <w:sz w:val="28"/>
          <w:szCs w:val="28"/>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5821"/>
      </w:tblGrid>
      <w:tr w:rsidR="000E3420" w14:paraId="7C9BDA06" w14:textId="77777777" w:rsidTr="000E3420">
        <w:tc>
          <w:tcPr>
            <w:tcW w:w="3794" w:type="dxa"/>
          </w:tcPr>
          <w:p w14:paraId="628B11C6" w14:textId="77777777" w:rsidR="000E3420" w:rsidRDefault="000E3420" w:rsidP="000E3420">
            <w:pPr>
              <w:rPr>
                <w:sz w:val="28"/>
                <w:lang w:val="en-US"/>
              </w:rPr>
            </w:pPr>
          </w:p>
          <w:p w14:paraId="0C35B5EB" w14:textId="77777777" w:rsidR="00CE4B9F" w:rsidRDefault="00CE4B9F" w:rsidP="000E3420">
            <w:pPr>
              <w:rPr>
                <w:sz w:val="28"/>
                <w:lang w:val="en-US"/>
              </w:rPr>
            </w:pPr>
          </w:p>
          <w:p w14:paraId="0390BBD0" w14:textId="77777777" w:rsidR="000E3420" w:rsidRPr="000E3420" w:rsidRDefault="000E3420" w:rsidP="000E3420">
            <w:pPr>
              <w:rPr>
                <w:sz w:val="28"/>
                <w:highlight w:val="yellow"/>
                <w:lang w:val="en-US"/>
              </w:rPr>
            </w:pPr>
            <w:r w:rsidRPr="000E3420">
              <w:rPr>
                <w:sz w:val="28"/>
                <w:lang w:val="en-US"/>
              </w:rPr>
              <w:t>ISBN</w:t>
            </w:r>
            <w:r w:rsidR="00CE4B9F">
              <w:rPr>
                <w:sz w:val="28"/>
                <w:lang w:val="en-US"/>
              </w:rPr>
              <w:t xml:space="preserve"> </w:t>
            </w:r>
            <w:r w:rsidR="00CE4B9F">
              <w:rPr>
                <w:bCs/>
                <w:sz w:val="28"/>
                <w:szCs w:val="28"/>
                <w:lang w:val="en-US"/>
              </w:rPr>
              <w:t>978-966-657-664-7</w:t>
            </w:r>
            <w:r w:rsidRPr="000E3420">
              <w:rPr>
                <w:sz w:val="28"/>
                <w:lang w:val="en-US"/>
              </w:rPr>
              <w:t xml:space="preserve">     </w:t>
            </w:r>
          </w:p>
        </w:tc>
        <w:tc>
          <w:tcPr>
            <w:tcW w:w="5821" w:type="dxa"/>
          </w:tcPr>
          <w:p w14:paraId="6281B9F5" w14:textId="77777777" w:rsidR="000E3420" w:rsidRPr="00FA4D69" w:rsidRDefault="000E3420" w:rsidP="00CE4B9F">
            <w:pPr>
              <w:ind w:left="1876"/>
              <w:rPr>
                <w:sz w:val="28"/>
                <w:lang w:val="en-US"/>
              </w:rPr>
            </w:pPr>
            <w:r w:rsidRPr="00FA4D69">
              <w:rPr>
                <w:sz w:val="28"/>
                <w:lang w:val="en-US"/>
              </w:rPr>
              <w:t xml:space="preserve">© </w:t>
            </w:r>
            <w:r w:rsidRPr="003B4919">
              <w:rPr>
                <w:sz w:val="28"/>
                <w:szCs w:val="28"/>
                <w:lang w:val="en-US"/>
              </w:rPr>
              <w:t>Shkolnyk</w:t>
            </w:r>
            <w:r>
              <w:rPr>
                <w:sz w:val="28"/>
                <w:szCs w:val="28"/>
                <w:lang w:val="en-US"/>
              </w:rPr>
              <w:t> </w:t>
            </w:r>
            <w:r w:rsidRPr="003B4919">
              <w:rPr>
                <w:sz w:val="28"/>
                <w:szCs w:val="28"/>
                <w:lang w:val="en-US"/>
              </w:rPr>
              <w:t>I.</w:t>
            </w:r>
            <w:r>
              <w:rPr>
                <w:sz w:val="28"/>
                <w:szCs w:val="28"/>
                <w:lang w:val="en-US"/>
              </w:rPr>
              <w:t> </w:t>
            </w:r>
            <w:r w:rsidRPr="003B4919">
              <w:rPr>
                <w:sz w:val="28"/>
                <w:szCs w:val="28"/>
                <w:lang w:val="en-US"/>
              </w:rPr>
              <w:t>O., Brychko</w:t>
            </w:r>
            <w:r>
              <w:rPr>
                <w:sz w:val="28"/>
                <w:szCs w:val="28"/>
                <w:lang w:val="en-US"/>
              </w:rPr>
              <w:t> </w:t>
            </w:r>
            <w:r w:rsidRPr="003B4919">
              <w:rPr>
                <w:sz w:val="28"/>
                <w:szCs w:val="28"/>
                <w:lang w:val="en-US"/>
              </w:rPr>
              <w:t>M.</w:t>
            </w:r>
            <w:r>
              <w:rPr>
                <w:sz w:val="28"/>
                <w:szCs w:val="28"/>
                <w:lang w:val="en-US"/>
              </w:rPr>
              <w:t> </w:t>
            </w:r>
            <w:r w:rsidRPr="003B4919">
              <w:rPr>
                <w:sz w:val="28"/>
                <w:szCs w:val="28"/>
                <w:lang w:val="en-US"/>
              </w:rPr>
              <w:t>M.</w:t>
            </w:r>
            <w:r>
              <w:rPr>
                <w:sz w:val="28"/>
                <w:szCs w:val="28"/>
                <w:lang w:val="en-US"/>
              </w:rPr>
              <w:t xml:space="preserve">, </w:t>
            </w:r>
            <w:r w:rsidRPr="00BA1529">
              <w:rPr>
                <w:sz w:val="28"/>
                <w:szCs w:val="28"/>
                <w:lang w:val="en-US"/>
              </w:rPr>
              <w:t>Pakhnenko</w:t>
            </w:r>
            <w:r>
              <w:rPr>
                <w:sz w:val="28"/>
                <w:szCs w:val="28"/>
                <w:lang w:val="en-US"/>
              </w:rPr>
              <w:t> O. M. et al.</w:t>
            </w:r>
            <w:r w:rsidRPr="00FA4D69">
              <w:rPr>
                <w:sz w:val="28"/>
                <w:lang w:val="en-US"/>
              </w:rPr>
              <w:t>, 201</w:t>
            </w:r>
            <w:r>
              <w:rPr>
                <w:sz w:val="28"/>
                <w:lang w:val="en-US"/>
              </w:rPr>
              <w:t>7</w:t>
            </w:r>
          </w:p>
          <w:p w14:paraId="25C7C9F7" w14:textId="77777777" w:rsidR="000E3420" w:rsidRDefault="000E3420" w:rsidP="00CE4B9F">
            <w:pPr>
              <w:ind w:left="1876"/>
              <w:rPr>
                <w:b/>
                <w:i/>
                <w:sz w:val="28"/>
                <w:highlight w:val="yellow"/>
                <w:lang w:val="en-US"/>
              </w:rPr>
            </w:pPr>
            <w:r w:rsidRPr="00090A3B">
              <w:rPr>
                <w:sz w:val="28"/>
                <w:lang w:val="en-US"/>
              </w:rPr>
              <w:t>© Sumy State University, 201</w:t>
            </w:r>
            <w:r>
              <w:rPr>
                <w:sz w:val="28"/>
                <w:lang w:val="en-US"/>
              </w:rPr>
              <w:t>7</w:t>
            </w:r>
          </w:p>
        </w:tc>
      </w:tr>
    </w:tbl>
    <w:p w14:paraId="02081B75" w14:textId="77777777" w:rsidR="000B3255" w:rsidRDefault="000B3255">
      <w:pPr>
        <w:rPr>
          <w:sz w:val="28"/>
          <w:lang w:val="en-US"/>
        </w:rPr>
        <w:sectPr w:rsidR="000B3255" w:rsidSect="00133BF9">
          <w:footerReference w:type="default" r:id="rId11"/>
          <w:pgSz w:w="11907" w:h="16839"/>
          <w:pgMar w:top="1440" w:right="708" w:bottom="1440" w:left="1800" w:header="720" w:footer="965" w:gutter="0"/>
          <w:pgNumType w:start="1"/>
          <w:cols w:space="708"/>
          <w:titlePg/>
          <w:docGrid w:linePitch="326"/>
        </w:sectPr>
      </w:pPr>
    </w:p>
    <w:p w14:paraId="0C1213F9" w14:textId="77777777" w:rsidR="003E560A" w:rsidRDefault="00D448F0" w:rsidP="00561FD7">
      <w:pPr>
        <w:jc w:val="right"/>
        <w:rPr>
          <w:b/>
          <w:sz w:val="48"/>
          <w:lang w:val="en-US"/>
        </w:rPr>
      </w:pPr>
      <w:r w:rsidRPr="00FA4D69">
        <w:rPr>
          <w:b/>
          <w:sz w:val="48"/>
          <w:lang w:val="en-US"/>
        </w:rPr>
        <w:lastRenderedPageBreak/>
        <w:t>About the authors</w:t>
      </w:r>
    </w:p>
    <w:p w14:paraId="2C950157" w14:textId="77777777" w:rsidR="00841A5E" w:rsidRPr="00841A5E" w:rsidRDefault="00841A5E" w:rsidP="00FA4D69">
      <w:pPr>
        <w:jc w:val="right"/>
        <w:rPr>
          <w:b/>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51"/>
        <w:gridCol w:w="7564"/>
      </w:tblGrid>
      <w:tr w:rsidR="00B34621" w14:paraId="6E67C21C" w14:textId="77777777" w:rsidTr="00DD1975">
        <w:tc>
          <w:tcPr>
            <w:tcW w:w="2051" w:type="dxa"/>
          </w:tcPr>
          <w:p w14:paraId="6B6134D2" w14:textId="77777777" w:rsidR="00B34621" w:rsidRDefault="00B34621">
            <w:pPr>
              <w:rPr>
                <w:sz w:val="52"/>
                <w:lang w:val="en-US"/>
              </w:rPr>
            </w:pPr>
            <w:r w:rsidRPr="00616151">
              <w:rPr>
                <w:rFonts w:eastAsiaTheme="minorHAnsi" w:cstheme="minorBidi"/>
                <w:noProof/>
                <w:color w:val="auto"/>
                <w:sz w:val="28"/>
                <w:szCs w:val="28"/>
              </w:rPr>
              <w:drawing>
                <wp:anchor distT="0" distB="0" distL="114300" distR="114300" simplePos="0" relativeHeight="251712000" behindDoc="1" locked="0" layoutInCell="1" allowOverlap="1" wp14:anchorId="7AC491B1" wp14:editId="621625F0">
                  <wp:simplePos x="0" y="0"/>
                  <wp:positionH relativeFrom="column">
                    <wp:posOffset>1270</wp:posOffset>
                  </wp:positionH>
                  <wp:positionV relativeFrom="paragraph">
                    <wp:posOffset>45085</wp:posOffset>
                  </wp:positionV>
                  <wp:extent cx="1087120" cy="1447165"/>
                  <wp:effectExtent l="0" t="0" r="0" b="635"/>
                  <wp:wrapTight wrapText="right">
                    <wp:wrapPolygon edited="0">
                      <wp:start x="0" y="0"/>
                      <wp:lineTo x="0" y="21325"/>
                      <wp:lineTo x="21196" y="21325"/>
                      <wp:lineTo x="21196" y="0"/>
                      <wp:lineTo x="0" y="0"/>
                    </wp:wrapPolygon>
                  </wp:wrapTight>
                  <wp:docPr id="1073741959" name="Рисунок 1073741959" descr="C:\Users\o.m.pakhnenko\Desktop\Підручник Finance\shkoln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m.pakhnenko\Desktop\Підручник Finance\shkolnyk.jpg"/>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4000"/>
                                    </a14:imgEffect>
                                    <a14:imgEffect>
                                      <a14:saturation sat="0"/>
                                    </a14:imgEffect>
                                    <a14:imgEffect>
                                      <a14:brightnessContrast bright="6000" contrast="-1000"/>
                                    </a14:imgEffect>
                                  </a14:imgLayer>
                                </a14:imgProps>
                              </a:ext>
                              <a:ext uri="{28A0092B-C50C-407E-A947-70E740481C1C}">
                                <a14:useLocalDpi xmlns:a14="http://schemas.microsoft.com/office/drawing/2010/main" val="0"/>
                              </a:ext>
                            </a:extLst>
                          </a:blip>
                          <a:srcRect/>
                          <a:stretch>
                            <a:fillRect/>
                          </a:stretch>
                        </pic:blipFill>
                        <pic:spPr bwMode="auto">
                          <a:xfrm>
                            <a:off x="0" y="0"/>
                            <a:ext cx="1087120" cy="14471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7564" w:type="dxa"/>
          </w:tcPr>
          <w:p w14:paraId="0B343F29" w14:textId="77777777" w:rsidR="00B34621" w:rsidRPr="00B34621" w:rsidRDefault="00B34621" w:rsidP="00720195">
            <w:pPr>
              <w:spacing w:line="240" w:lineRule="atLeast"/>
              <w:jc w:val="both"/>
              <w:rPr>
                <w:rFonts w:eastAsiaTheme="minorHAnsi" w:cstheme="minorBidi"/>
                <w:color w:val="auto"/>
                <w:sz w:val="28"/>
                <w:szCs w:val="28"/>
                <w:lang w:val="en-US" w:eastAsia="en-US"/>
              </w:rPr>
            </w:pPr>
            <w:r w:rsidRPr="00B34621">
              <w:rPr>
                <w:rFonts w:eastAsiaTheme="minorHAnsi" w:cstheme="minorBidi"/>
                <w:b/>
                <w:color w:val="auto"/>
                <w:sz w:val="28"/>
                <w:szCs w:val="28"/>
                <w:lang w:val="en-US" w:eastAsia="en-US"/>
              </w:rPr>
              <w:t>Inna Shkolnyk</w:t>
            </w:r>
            <w:r w:rsidRPr="00B34621">
              <w:rPr>
                <w:rFonts w:eastAsiaTheme="minorHAnsi" w:cstheme="minorBidi"/>
                <w:color w:val="auto"/>
                <w:sz w:val="28"/>
                <w:szCs w:val="28"/>
                <w:lang w:val="en-US" w:eastAsia="en-US"/>
              </w:rPr>
              <w:t xml:space="preserve"> (Ph</w:t>
            </w:r>
            <w:r w:rsidR="009B1FE7">
              <w:rPr>
                <w:rFonts w:eastAsiaTheme="minorHAnsi" w:cstheme="minorBidi"/>
                <w:color w:val="auto"/>
                <w:sz w:val="28"/>
                <w:szCs w:val="28"/>
                <w:lang w:val="uk-UA" w:eastAsia="en-US"/>
              </w:rPr>
              <w:t>. </w:t>
            </w:r>
            <w:r w:rsidRPr="00B34621">
              <w:rPr>
                <w:rFonts w:eastAsiaTheme="minorHAnsi" w:cstheme="minorBidi"/>
                <w:color w:val="auto"/>
                <w:sz w:val="28"/>
                <w:szCs w:val="28"/>
                <w:lang w:val="en-US" w:eastAsia="en-US"/>
              </w:rPr>
              <w:t>D</w:t>
            </w:r>
            <w:r w:rsidR="009B1FE7">
              <w:rPr>
                <w:rFonts w:eastAsiaTheme="minorHAnsi" w:cstheme="minorBidi"/>
                <w:color w:val="auto"/>
                <w:sz w:val="28"/>
                <w:szCs w:val="28"/>
                <w:lang w:val="uk-UA" w:eastAsia="en-US"/>
              </w:rPr>
              <w:t>.</w:t>
            </w:r>
            <w:r w:rsidRPr="00B34621">
              <w:rPr>
                <w:rFonts w:eastAsiaTheme="minorHAnsi" w:cstheme="minorBidi"/>
                <w:color w:val="auto"/>
                <w:sz w:val="28"/>
                <w:szCs w:val="28"/>
                <w:lang w:val="en-US" w:eastAsia="en-US"/>
              </w:rPr>
              <w:t xml:space="preserve">, 1999; Doctor of Economics, 2008) is a professor in Finance at the Sumy State University. Currently, she is </w:t>
            </w:r>
            <w:r w:rsidR="008C7B0D">
              <w:rPr>
                <w:rFonts w:eastAsiaTheme="minorHAnsi" w:cstheme="minorBidi"/>
                <w:color w:val="auto"/>
                <w:sz w:val="28"/>
                <w:szCs w:val="28"/>
                <w:lang w:val="en-US" w:eastAsia="en-US"/>
              </w:rPr>
              <w:t xml:space="preserve">Head of Department of </w:t>
            </w:r>
            <w:r w:rsidR="00FA3957" w:rsidRPr="00FA3957">
              <w:rPr>
                <w:rFonts w:eastAsiaTheme="minorHAnsi" w:cstheme="minorBidi"/>
                <w:color w:val="auto"/>
                <w:sz w:val="28"/>
                <w:szCs w:val="28"/>
                <w:lang w:val="en-US" w:eastAsia="en-US"/>
              </w:rPr>
              <w:t xml:space="preserve">Finance, </w:t>
            </w:r>
            <w:r w:rsidR="008C7B0D" w:rsidRPr="00FA3957">
              <w:rPr>
                <w:rFonts w:eastAsiaTheme="minorHAnsi" w:cstheme="minorBidi"/>
                <w:color w:val="auto"/>
                <w:sz w:val="28"/>
                <w:szCs w:val="28"/>
                <w:lang w:val="en-US" w:eastAsia="en-US"/>
              </w:rPr>
              <w:t>Banking</w:t>
            </w:r>
            <w:r w:rsidR="00FA3957" w:rsidRPr="00FA3957">
              <w:rPr>
                <w:rFonts w:eastAsiaTheme="minorHAnsi" w:cstheme="minorBidi"/>
                <w:color w:val="auto"/>
                <w:sz w:val="28"/>
                <w:szCs w:val="28"/>
                <w:lang w:val="en-US" w:eastAsia="en-US"/>
              </w:rPr>
              <w:t xml:space="preserve"> and Insurance</w:t>
            </w:r>
            <w:r w:rsidRPr="00FA3957">
              <w:rPr>
                <w:rFonts w:eastAsiaTheme="minorHAnsi" w:cstheme="minorBidi"/>
                <w:color w:val="auto"/>
                <w:sz w:val="28"/>
                <w:szCs w:val="28"/>
                <w:lang w:val="en-US" w:eastAsia="en-US"/>
              </w:rPr>
              <w:t>.</w:t>
            </w:r>
            <w:r w:rsidRPr="00B34621">
              <w:rPr>
                <w:rFonts w:eastAsiaTheme="minorHAnsi" w:cstheme="minorBidi"/>
                <w:color w:val="auto"/>
                <w:sz w:val="28"/>
                <w:szCs w:val="28"/>
                <w:lang w:val="en-US" w:eastAsia="en-US"/>
              </w:rPr>
              <w:t xml:space="preserve"> Her academic research is focused on financial intermediation, financial market and </w:t>
            </w:r>
            <w:r w:rsidR="00720195">
              <w:rPr>
                <w:rFonts w:eastAsiaTheme="minorHAnsi" w:cstheme="minorBidi"/>
                <w:color w:val="auto"/>
                <w:sz w:val="28"/>
                <w:szCs w:val="28"/>
                <w:lang w:val="en-US" w:eastAsia="en-US"/>
              </w:rPr>
              <w:t>she has</w:t>
            </w:r>
            <w:r w:rsidRPr="00B34621">
              <w:rPr>
                <w:rFonts w:eastAsiaTheme="minorHAnsi" w:cstheme="minorBidi"/>
                <w:color w:val="auto"/>
                <w:sz w:val="28"/>
                <w:szCs w:val="28"/>
                <w:lang w:val="en-US" w:eastAsia="en-US"/>
              </w:rPr>
              <w:t xml:space="preserve"> published widely in </w:t>
            </w:r>
            <w:r w:rsidR="00720195">
              <w:rPr>
                <w:rFonts w:eastAsiaTheme="minorHAnsi" w:cstheme="minorBidi"/>
                <w:color w:val="auto"/>
                <w:sz w:val="28"/>
                <w:szCs w:val="28"/>
                <w:lang w:val="en-US" w:eastAsia="en-US"/>
              </w:rPr>
              <w:t xml:space="preserve">the </w:t>
            </w:r>
            <w:r w:rsidRPr="00B34621">
              <w:rPr>
                <w:rFonts w:eastAsiaTheme="minorHAnsi" w:cstheme="minorBidi"/>
                <w:color w:val="auto"/>
                <w:sz w:val="28"/>
                <w:szCs w:val="28"/>
                <w:lang w:val="en-US" w:eastAsia="en-US"/>
              </w:rPr>
              <w:t xml:space="preserve">leading journals in economics, finance, </w:t>
            </w:r>
            <w:r w:rsidR="00720195">
              <w:rPr>
                <w:rFonts w:eastAsiaTheme="minorHAnsi" w:cstheme="minorBidi"/>
                <w:color w:val="auto"/>
                <w:sz w:val="28"/>
                <w:szCs w:val="28"/>
                <w:lang w:val="en-US" w:eastAsia="en-US"/>
              </w:rPr>
              <w:t xml:space="preserve">and </w:t>
            </w:r>
            <w:r w:rsidRPr="00B34621">
              <w:rPr>
                <w:rFonts w:eastAsiaTheme="minorHAnsi" w:cstheme="minorBidi"/>
                <w:color w:val="auto"/>
                <w:sz w:val="28"/>
                <w:szCs w:val="28"/>
                <w:lang w:val="en-US" w:eastAsia="en-US"/>
              </w:rPr>
              <w:t xml:space="preserve">business-related fields. In addition, she is a frequent speaker </w:t>
            </w:r>
            <w:r w:rsidR="00720195">
              <w:rPr>
                <w:rFonts w:eastAsiaTheme="minorHAnsi" w:cstheme="minorBidi"/>
                <w:color w:val="auto"/>
                <w:sz w:val="28"/>
                <w:szCs w:val="28"/>
                <w:lang w:val="en-US" w:eastAsia="en-US"/>
              </w:rPr>
              <w:t>at</w:t>
            </w:r>
            <w:r w:rsidRPr="00B34621">
              <w:rPr>
                <w:rFonts w:eastAsiaTheme="minorHAnsi" w:cstheme="minorBidi"/>
                <w:color w:val="auto"/>
                <w:sz w:val="28"/>
                <w:szCs w:val="28"/>
                <w:lang w:val="en-US" w:eastAsia="en-US"/>
              </w:rPr>
              <w:t xml:space="preserve"> national and international conferences and is on the editorial board of academic journals. She is the author and editor of numerous books used in leading undergraduate, graduate and postgraduate programs and over one hundred papers. She is a member of the Advisory Committee for Economic Sciences of the Ministry of Education and Science of Ukraine. She has acted as a consultant, teacher, and teacher trainer in a wide range of financial management, financial analysis, financial theory, and international finance fields with more than twenty years of teaching experience. She is a developer and an e-learning project leader. </w:t>
            </w:r>
            <w:r w:rsidR="00720195">
              <w:rPr>
                <w:rFonts w:eastAsiaTheme="minorHAnsi" w:cstheme="minorBidi"/>
                <w:color w:val="auto"/>
                <w:sz w:val="28"/>
                <w:szCs w:val="28"/>
                <w:lang w:val="en-US" w:eastAsia="en-US"/>
              </w:rPr>
              <w:t>S</w:t>
            </w:r>
            <w:r w:rsidR="00720195" w:rsidRPr="00B34621">
              <w:rPr>
                <w:rFonts w:eastAsiaTheme="minorHAnsi" w:cstheme="minorBidi"/>
                <w:color w:val="auto"/>
                <w:sz w:val="28"/>
                <w:szCs w:val="28"/>
                <w:lang w:val="en-US" w:eastAsia="en-US"/>
              </w:rPr>
              <w:t>ix Ph</w:t>
            </w:r>
            <w:r w:rsidR="009B1FE7">
              <w:rPr>
                <w:rFonts w:eastAsiaTheme="minorHAnsi" w:cstheme="minorBidi"/>
                <w:color w:val="auto"/>
                <w:sz w:val="28"/>
                <w:szCs w:val="28"/>
                <w:lang w:val="uk-UA" w:eastAsia="en-US"/>
              </w:rPr>
              <w:t>. </w:t>
            </w:r>
            <w:r w:rsidR="00720195" w:rsidRPr="00B34621">
              <w:rPr>
                <w:rFonts w:eastAsiaTheme="minorHAnsi" w:cstheme="minorBidi"/>
                <w:color w:val="auto"/>
                <w:sz w:val="28"/>
                <w:szCs w:val="28"/>
                <w:lang w:val="en-US" w:eastAsia="en-US"/>
              </w:rPr>
              <w:t>D</w:t>
            </w:r>
            <w:r w:rsidR="009B1FE7">
              <w:rPr>
                <w:rFonts w:eastAsiaTheme="minorHAnsi" w:cstheme="minorBidi"/>
                <w:color w:val="auto"/>
                <w:sz w:val="28"/>
                <w:szCs w:val="28"/>
                <w:lang w:val="uk-UA" w:eastAsia="en-US"/>
              </w:rPr>
              <w:t>.</w:t>
            </w:r>
            <w:r w:rsidR="00720195" w:rsidRPr="00B34621">
              <w:rPr>
                <w:rFonts w:eastAsiaTheme="minorHAnsi" w:cstheme="minorBidi"/>
                <w:color w:val="auto"/>
                <w:sz w:val="28"/>
                <w:szCs w:val="28"/>
                <w:lang w:val="en-US" w:eastAsia="en-US"/>
              </w:rPr>
              <w:t xml:space="preserve"> students </w:t>
            </w:r>
            <w:r w:rsidRPr="00B34621">
              <w:rPr>
                <w:rFonts w:eastAsiaTheme="minorHAnsi" w:cstheme="minorBidi"/>
                <w:color w:val="auto"/>
                <w:sz w:val="28"/>
                <w:szCs w:val="28"/>
                <w:lang w:val="en-US" w:eastAsia="en-US"/>
              </w:rPr>
              <w:t>have successfully defended</w:t>
            </w:r>
            <w:r w:rsidR="00720195" w:rsidRPr="00B34621">
              <w:rPr>
                <w:rFonts w:eastAsiaTheme="minorHAnsi" w:cstheme="minorBidi"/>
                <w:color w:val="auto"/>
                <w:sz w:val="28"/>
                <w:szCs w:val="28"/>
                <w:lang w:val="en-US" w:eastAsia="en-US"/>
              </w:rPr>
              <w:t xml:space="preserve"> </w:t>
            </w:r>
            <w:r w:rsidR="00720195">
              <w:rPr>
                <w:rFonts w:eastAsiaTheme="minorHAnsi" w:cstheme="minorBidi"/>
                <w:color w:val="auto"/>
                <w:sz w:val="28"/>
                <w:szCs w:val="28"/>
                <w:lang w:val="en-US" w:eastAsia="en-US"/>
              </w:rPr>
              <w:t>their thesis u</w:t>
            </w:r>
            <w:r w:rsidR="00720195" w:rsidRPr="00B34621">
              <w:rPr>
                <w:rFonts w:eastAsiaTheme="minorHAnsi" w:cstheme="minorBidi"/>
                <w:color w:val="auto"/>
                <w:sz w:val="28"/>
                <w:szCs w:val="28"/>
                <w:lang w:val="en-US" w:eastAsia="en-US"/>
              </w:rPr>
              <w:t>nder her supervision</w:t>
            </w:r>
            <w:r w:rsidRPr="00B34621">
              <w:rPr>
                <w:rFonts w:eastAsiaTheme="minorHAnsi" w:cstheme="minorBidi"/>
                <w:color w:val="auto"/>
                <w:sz w:val="28"/>
                <w:szCs w:val="28"/>
                <w:lang w:val="en-US" w:eastAsia="en-US"/>
              </w:rPr>
              <w:t>.</w:t>
            </w:r>
          </w:p>
        </w:tc>
      </w:tr>
      <w:tr w:rsidR="00B34621" w14:paraId="57533777" w14:textId="77777777" w:rsidTr="00DD1975">
        <w:tc>
          <w:tcPr>
            <w:tcW w:w="2051" w:type="dxa"/>
          </w:tcPr>
          <w:p w14:paraId="1D8EB18C" w14:textId="77777777" w:rsidR="00B34621" w:rsidRDefault="00B34621">
            <w:pPr>
              <w:rPr>
                <w:sz w:val="52"/>
                <w:lang w:val="en-US"/>
              </w:rPr>
            </w:pPr>
            <w:r w:rsidRPr="00616151">
              <w:rPr>
                <w:rFonts w:eastAsiaTheme="minorHAnsi" w:cstheme="minorBidi"/>
                <w:b/>
                <w:noProof/>
                <w:color w:val="auto"/>
                <w:sz w:val="28"/>
                <w:szCs w:val="28"/>
              </w:rPr>
              <w:drawing>
                <wp:anchor distT="0" distB="0" distL="114300" distR="114300" simplePos="0" relativeHeight="251713024" behindDoc="1" locked="0" layoutInCell="1" allowOverlap="1" wp14:anchorId="06BA64F2" wp14:editId="37BF5BF3">
                  <wp:simplePos x="0" y="0"/>
                  <wp:positionH relativeFrom="column">
                    <wp:posOffset>-635</wp:posOffset>
                  </wp:positionH>
                  <wp:positionV relativeFrom="paragraph">
                    <wp:posOffset>239395</wp:posOffset>
                  </wp:positionV>
                  <wp:extent cx="1087120" cy="1443355"/>
                  <wp:effectExtent l="0" t="0" r="0" b="4445"/>
                  <wp:wrapTight wrapText="right">
                    <wp:wrapPolygon edited="0">
                      <wp:start x="0" y="0"/>
                      <wp:lineTo x="0" y="21381"/>
                      <wp:lineTo x="21196" y="21381"/>
                      <wp:lineTo x="21196" y="0"/>
                      <wp:lineTo x="0" y="0"/>
                    </wp:wrapPolygon>
                  </wp:wrapTight>
                  <wp:docPr id="1073742074" name="Рисунок 1073742074" descr="C:\Users\o.m.pakhnenko\Desktop\Підручник Finance\brich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m.pakhnenko\Desktop\Підручник Finance\brichko.jpg"/>
                          <pic:cNvPicPr>
                            <a:picLocks noChangeAspect="1" noChangeArrowheads="1"/>
                          </pic:cNvPicPr>
                        </pic:nvPicPr>
                        <pic:blipFill>
                          <a:blip r:embed="rId14">
                            <a:extLst>
                              <a:ext uri="{BEBA8EAE-BF5A-486C-A8C5-ECC9F3942E4B}">
                                <a14:imgProps xmlns:a14="http://schemas.microsoft.com/office/drawing/2010/main">
                                  <a14:imgLayer r:embed="rId15">
                                    <a14:imgEffect>
                                      <a14:sharpenSoften amount="50000"/>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087120" cy="144335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7564" w:type="dxa"/>
          </w:tcPr>
          <w:p w14:paraId="063E07A1" w14:textId="77777777" w:rsidR="00E516CD" w:rsidRDefault="00E516CD" w:rsidP="00FA3957">
            <w:pPr>
              <w:jc w:val="both"/>
              <w:rPr>
                <w:rFonts w:eastAsiaTheme="minorHAnsi" w:cstheme="minorBidi"/>
                <w:b/>
                <w:color w:val="auto"/>
                <w:sz w:val="28"/>
                <w:szCs w:val="28"/>
                <w:lang w:val="en-US" w:eastAsia="en-US"/>
              </w:rPr>
            </w:pPr>
          </w:p>
          <w:p w14:paraId="14B74EB5" w14:textId="77777777" w:rsidR="00B34621" w:rsidRPr="00B34621" w:rsidRDefault="00B34621" w:rsidP="00532F59">
            <w:pPr>
              <w:jc w:val="both"/>
              <w:rPr>
                <w:rFonts w:eastAsiaTheme="minorHAnsi" w:cstheme="minorBidi"/>
                <w:color w:val="auto"/>
                <w:sz w:val="28"/>
                <w:szCs w:val="28"/>
                <w:lang w:val="en-US" w:eastAsia="en-US"/>
              </w:rPr>
            </w:pPr>
            <w:r w:rsidRPr="00B34621">
              <w:rPr>
                <w:rFonts w:eastAsiaTheme="minorHAnsi" w:cstheme="minorBidi"/>
                <w:b/>
                <w:color w:val="auto"/>
                <w:sz w:val="28"/>
                <w:szCs w:val="28"/>
                <w:lang w:val="en-US" w:eastAsia="en-US"/>
              </w:rPr>
              <w:t>Maryna Brychko</w:t>
            </w:r>
            <w:r w:rsidRPr="00B34621">
              <w:rPr>
                <w:rFonts w:eastAsiaTheme="minorHAnsi" w:cstheme="minorBidi"/>
                <w:color w:val="auto"/>
                <w:sz w:val="28"/>
                <w:szCs w:val="28"/>
                <w:lang w:val="en-US" w:eastAsia="en-US"/>
              </w:rPr>
              <w:t xml:space="preserve"> (Ph</w:t>
            </w:r>
            <w:r w:rsidR="009B1FE7">
              <w:rPr>
                <w:rFonts w:eastAsiaTheme="minorHAnsi" w:cstheme="minorBidi"/>
                <w:color w:val="auto"/>
                <w:sz w:val="28"/>
                <w:szCs w:val="28"/>
                <w:lang w:val="uk-UA" w:eastAsia="en-US"/>
              </w:rPr>
              <w:t>. </w:t>
            </w:r>
            <w:r w:rsidRPr="00B34621">
              <w:rPr>
                <w:rFonts w:eastAsiaTheme="minorHAnsi" w:cstheme="minorBidi"/>
                <w:color w:val="auto"/>
                <w:sz w:val="28"/>
                <w:szCs w:val="28"/>
                <w:lang w:val="en-US" w:eastAsia="en-US"/>
              </w:rPr>
              <w:t>D</w:t>
            </w:r>
            <w:r w:rsidR="009B1FE7">
              <w:rPr>
                <w:rFonts w:eastAsiaTheme="minorHAnsi" w:cstheme="minorBidi"/>
                <w:color w:val="auto"/>
                <w:sz w:val="28"/>
                <w:szCs w:val="28"/>
                <w:lang w:val="uk-UA" w:eastAsia="en-US"/>
              </w:rPr>
              <w:t>.</w:t>
            </w:r>
            <w:r w:rsidRPr="00B34621">
              <w:rPr>
                <w:rFonts w:eastAsiaTheme="minorHAnsi" w:cstheme="minorBidi"/>
                <w:color w:val="auto"/>
                <w:sz w:val="28"/>
                <w:szCs w:val="28"/>
                <w:lang w:val="en-US" w:eastAsia="en-US"/>
              </w:rPr>
              <w:t>, 2014) is a</w:t>
            </w:r>
            <w:r w:rsidR="00FA3957">
              <w:rPr>
                <w:rFonts w:eastAsiaTheme="minorHAnsi" w:cstheme="minorBidi"/>
                <w:color w:val="auto"/>
                <w:sz w:val="28"/>
                <w:szCs w:val="28"/>
                <w:lang w:val="en-US" w:eastAsia="en-US"/>
              </w:rPr>
              <w:t xml:space="preserve"> </w:t>
            </w:r>
            <w:r w:rsidRPr="00B34621">
              <w:rPr>
                <w:rFonts w:eastAsiaTheme="minorHAnsi" w:cstheme="minorBidi"/>
                <w:color w:val="auto"/>
                <w:sz w:val="28"/>
                <w:szCs w:val="28"/>
                <w:lang w:val="en-US" w:eastAsia="en-US"/>
              </w:rPr>
              <w:t xml:space="preserve">senior lecturer at the Sumy State University. Her teaching expertise is in the areas of corporate finance, behavioral finance, financial analysis, and tax management at both the undergraduate and graduate levels. She implements elements of blended learning in the courses that she has been teaching. Her main research agenda is on strategic financial management, corporate financial policy, and corporate governance. </w:t>
            </w:r>
            <w:r w:rsidR="00720195">
              <w:rPr>
                <w:rFonts w:eastAsiaTheme="minorHAnsi" w:cstheme="minorBidi"/>
                <w:color w:val="auto"/>
                <w:sz w:val="28"/>
                <w:szCs w:val="28"/>
                <w:lang w:val="en-US" w:eastAsia="en-US"/>
              </w:rPr>
              <w:t>S</w:t>
            </w:r>
            <w:r w:rsidRPr="00B34621">
              <w:rPr>
                <w:rFonts w:eastAsiaTheme="minorHAnsi" w:cstheme="minorBidi"/>
                <w:color w:val="auto"/>
                <w:sz w:val="28"/>
                <w:szCs w:val="28"/>
                <w:lang w:val="en-US" w:eastAsia="en-US"/>
              </w:rPr>
              <w:t xml:space="preserve">he has most recently focused her research on financialization. Her research ideas and findings have been presented at academic and industry conferences, and have been covered in professional and academic journals. In addition, she made comments and proposals to the consultation paper issued by the Central Bank of Ireland (2010) and EU Commission </w:t>
            </w:r>
            <w:r w:rsidR="00720195">
              <w:rPr>
                <w:rFonts w:eastAsiaTheme="minorHAnsi" w:cstheme="minorBidi"/>
                <w:color w:val="auto"/>
                <w:sz w:val="28"/>
                <w:szCs w:val="28"/>
                <w:lang w:val="en-US" w:eastAsia="en-US"/>
              </w:rPr>
              <w:t>G</w:t>
            </w:r>
            <w:r w:rsidRPr="00B34621">
              <w:rPr>
                <w:rFonts w:eastAsiaTheme="minorHAnsi" w:cstheme="minorBidi"/>
                <w:color w:val="auto"/>
                <w:sz w:val="28"/>
                <w:szCs w:val="28"/>
                <w:lang w:val="en-US" w:eastAsia="en-US"/>
              </w:rPr>
              <w:t xml:space="preserve">reen </w:t>
            </w:r>
            <w:r w:rsidR="00720195">
              <w:rPr>
                <w:rFonts w:eastAsiaTheme="minorHAnsi" w:cstheme="minorBidi"/>
                <w:color w:val="auto"/>
                <w:sz w:val="28"/>
                <w:szCs w:val="28"/>
                <w:lang w:val="en-US" w:eastAsia="en-US"/>
              </w:rPr>
              <w:t>P</w:t>
            </w:r>
            <w:r w:rsidRPr="00B34621">
              <w:rPr>
                <w:rFonts w:eastAsiaTheme="minorHAnsi" w:cstheme="minorBidi"/>
                <w:color w:val="auto"/>
                <w:sz w:val="28"/>
                <w:szCs w:val="28"/>
                <w:lang w:val="en-US" w:eastAsia="en-US"/>
              </w:rPr>
              <w:t>aper (2010). She was the rec</w:t>
            </w:r>
            <w:r w:rsidR="00720195">
              <w:rPr>
                <w:rFonts w:eastAsiaTheme="minorHAnsi" w:cstheme="minorBidi"/>
                <w:color w:val="auto"/>
                <w:sz w:val="28"/>
                <w:szCs w:val="28"/>
                <w:lang w:val="en-US" w:eastAsia="en-US"/>
              </w:rPr>
              <w:t>ipient of the Swedish Institute</w:t>
            </w:r>
            <w:r w:rsidRPr="00B34621">
              <w:rPr>
                <w:rFonts w:eastAsiaTheme="minorHAnsi" w:cstheme="minorBidi"/>
                <w:color w:val="auto"/>
                <w:sz w:val="28"/>
                <w:szCs w:val="28"/>
                <w:lang w:val="en-US" w:eastAsia="en-US"/>
              </w:rPr>
              <w:t xml:space="preserve"> scholarship for PhD studies and research in Sweden (The Swedish Institute Baltic Sea Region Program/Visby Program). She spent the 2012/2013 winter semester as a visiting research scholar at Linnaeus School of Business and Economics (Linnaeus University, Växjö). She is a member of several research centers and has been involved in </w:t>
            </w:r>
            <w:r w:rsidR="00720195" w:rsidRPr="00B34621">
              <w:rPr>
                <w:rFonts w:eastAsiaTheme="minorHAnsi" w:cstheme="minorBidi"/>
                <w:color w:val="auto"/>
                <w:sz w:val="28"/>
                <w:szCs w:val="28"/>
                <w:lang w:val="en-US" w:eastAsia="en-US"/>
              </w:rPr>
              <w:t>organiz</w:t>
            </w:r>
            <w:r w:rsidR="00720195">
              <w:rPr>
                <w:rFonts w:eastAsiaTheme="minorHAnsi" w:cstheme="minorBidi"/>
                <w:color w:val="auto"/>
                <w:sz w:val="28"/>
                <w:szCs w:val="28"/>
                <w:lang w:val="en-US" w:eastAsia="en-US"/>
              </w:rPr>
              <w:t>ing</w:t>
            </w:r>
            <w:r w:rsidR="00720195" w:rsidRPr="00B34621">
              <w:rPr>
                <w:rFonts w:eastAsiaTheme="minorHAnsi" w:cstheme="minorBidi"/>
                <w:color w:val="auto"/>
                <w:sz w:val="28"/>
                <w:szCs w:val="28"/>
                <w:lang w:val="en-US" w:eastAsia="en-US"/>
              </w:rPr>
              <w:t xml:space="preserve"> </w:t>
            </w:r>
            <w:r w:rsidRPr="00B34621">
              <w:rPr>
                <w:rFonts w:eastAsiaTheme="minorHAnsi" w:cstheme="minorBidi"/>
                <w:color w:val="auto"/>
                <w:sz w:val="28"/>
                <w:szCs w:val="28"/>
                <w:lang w:val="en-US" w:eastAsia="en-US"/>
              </w:rPr>
              <w:t xml:space="preserve">conferences and open lectures in Ukraine and abroad, international research projects, assisting </w:t>
            </w:r>
            <w:r w:rsidR="00720195">
              <w:rPr>
                <w:rFonts w:eastAsiaTheme="minorHAnsi" w:cstheme="minorBidi"/>
                <w:color w:val="auto"/>
                <w:sz w:val="28"/>
                <w:szCs w:val="28"/>
                <w:lang w:val="en-US" w:eastAsia="en-US"/>
              </w:rPr>
              <w:t xml:space="preserve">in </w:t>
            </w:r>
            <w:r w:rsidR="00532F59" w:rsidRPr="00B34621">
              <w:rPr>
                <w:rFonts w:eastAsiaTheme="minorHAnsi" w:cstheme="minorBidi"/>
                <w:color w:val="auto"/>
                <w:sz w:val="28"/>
                <w:szCs w:val="28"/>
                <w:lang w:val="en-US" w:eastAsia="en-US"/>
              </w:rPr>
              <w:t>publishing</w:t>
            </w:r>
            <w:r w:rsidR="00532F59">
              <w:rPr>
                <w:rFonts w:eastAsiaTheme="minorHAnsi" w:cstheme="minorBidi"/>
                <w:color w:val="auto"/>
                <w:sz w:val="28"/>
                <w:szCs w:val="28"/>
                <w:lang w:val="en-US" w:eastAsia="en-US"/>
              </w:rPr>
              <w:t xml:space="preserve"> </w:t>
            </w:r>
            <w:r w:rsidR="00720195">
              <w:rPr>
                <w:rFonts w:eastAsiaTheme="minorHAnsi" w:cstheme="minorBidi"/>
                <w:color w:val="auto"/>
                <w:sz w:val="28"/>
                <w:szCs w:val="28"/>
                <w:lang w:val="en-US" w:eastAsia="en-US"/>
              </w:rPr>
              <w:t>journals and books</w:t>
            </w:r>
            <w:r w:rsidRPr="00B34621">
              <w:rPr>
                <w:rFonts w:eastAsiaTheme="minorHAnsi" w:cstheme="minorBidi"/>
                <w:color w:val="auto"/>
                <w:sz w:val="28"/>
                <w:szCs w:val="28"/>
                <w:lang w:val="en-US" w:eastAsia="en-US"/>
              </w:rPr>
              <w:t xml:space="preserve">. </w:t>
            </w:r>
          </w:p>
        </w:tc>
      </w:tr>
      <w:tr w:rsidR="00B34621" w14:paraId="3547A847" w14:textId="77777777" w:rsidTr="00DD1975">
        <w:tc>
          <w:tcPr>
            <w:tcW w:w="2051" w:type="dxa"/>
          </w:tcPr>
          <w:p w14:paraId="2E83B589" w14:textId="77777777" w:rsidR="00B34621" w:rsidRDefault="00BA1529">
            <w:pPr>
              <w:rPr>
                <w:sz w:val="52"/>
                <w:lang w:val="en-US"/>
              </w:rPr>
            </w:pPr>
            <w:r w:rsidRPr="00616151">
              <w:rPr>
                <w:rFonts w:eastAsiaTheme="minorHAnsi" w:cstheme="minorBidi"/>
                <w:noProof/>
                <w:color w:val="auto"/>
                <w:sz w:val="28"/>
                <w:szCs w:val="28"/>
              </w:rPr>
              <w:lastRenderedPageBreak/>
              <w:drawing>
                <wp:anchor distT="0" distB="0" distL="114300" distR="114300" simplePos="0" relativeHeight="251715072" behindDoc="1" locked="0" layoutInCell="1" allowOverlap="1" wp14:anchorId="4337506B" wp14:editId="3C14FC3A">
                  <wp:simplePos x="0" y="0"/>
                  <wp:positionH relativeFrom="column">
                    <wp:posOffset>-36195</wp:posOffset>
                  </wp:positionH>
                  <wp:positionV relativeFrom="paragraph">
                    <wp:posOffset>44450</wp:posOffset>
                  </wp:positionV>
                  <wp:extent cx="1094105" cy="1457960"/>
                  <wp:effectExtent l="0" t="0" r="0" b="8890"/>
                  <wp:wrapSquare wrapText="right"/>
                  <wp:docPr id="1073742076" name="Рисунок 1073742076" descr="C:\Users\o.m.pakhnenko\Desktop\Підручник Finance\pakhnen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o.m.pakhnenko\Desktop\Підручник Finance\pakhnenko.jpg"/>
                          <pic:cNvPicPr>
                            <a:picLocks noChangeAspect="1" noChangeArrowheads="1"/>
                          </pic:cNvPicPr>
                        </pic:nvPicPr>
                        <pic:blipFill>
                          <a:blip r:embed="rId16">
                            <a:extLst>
                              <a:ext uri="{BEBA8EAE-BF5A-486C-A8C5-ECC9F3942E4B}">
                                <a14:imgProps xmlns:a14="http://schemas.microsoft.com/office/drawing/2010/main">
                                  <a14:imgLayer r:embed="rId17">
                                    <a14:imgEffect>
                                      <a14:sharpenSoften amount="7000"/>
                                    </a14:imgEffect>
                                    <a14:imgEffect>
                                      <a14:saturation sat="0"/>
                                    </a14:imgEffect>
                                    <a14:imgEffect>
                                      <a14:brightnessContrast bright="2000" contrast="6000"/>
                                    </a14:imgEffect>
                                  </a14:imgLayer>
                                </a14:imgProps>
                              </a:ext>
                              <a:ext uri="{28A0092B-C50C-407E-A947-70E740481C1C}">
                                <a14:useLocalDpi xmlns:a14="http://schemas.microsoft.com/office/drawing/2010/main" val="0"/>
                              </a:ext>
                            </a:extLst>
                          </a:blip>
                          <a:srcRect/>
                          <a:stretch>
                            <a:fillRect/>
                          </a:stretch>
                        </pic:blipFill>
                        <pic:spPr bwMode="auto">
                          <a:xfrm>
                            <a:off x="0" y="0"/>
                            <a:ext cx="1094105" cy="14579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7564" w:type="dxa"/>
          </w:tcPr>
          <w:p w14:paraId="0DD8126D" w14:textId="77777777" w:rsidR="00B34621" w:rsidRPr="00B34621" w:rsidRDefault="00BA1529" w:rsidP="00FA3957">
            <w:pPr>
              <w:jc w:val="both"/>
              <w:rPr>
                <w:rFonts w:eastAsiaTheme="minorHAnsi" w:cstheme="minorBidi"/>
                <w:color w:val="auto"/>
                <w:sz w:val="28"/>
                <w:szCs w:val="28"/>
                <w:lang w:val="en-US" w:eastAsia="en-US"/>
              </w:rPr>
            </w:pPr>
            <w:r w:rsidRPr="00B34621">
              <w:rPr>
                <w:rFonts w:eastAsiaTheme="minorHAnsi" w:cstheme="minorBidi"/>
                <w:b/>
                <w:color w:val="auto"/>
                <w:sz w:val="28"/>
                <w:szCs w:val="28"/>
                <w:lang w:val="en-US" w:eastAsia="en-US"/>
              </w:rPr>
              <w:t xml:space="preserve">Olena Pakhnenko </w:t>
            </w:r>
            <w:r w:rsidRPr="00B34621">
              <w:rPr>
                <w:rFonts w:eastAsiaTheme="minorHAnsi" w:cstheme="minorBidi"/>
                <w:color w:val="auto"/>
                <w:sz w:val="28"/>
                <w:szCs w:val="28"/>
                <w:lang w:val="en-US" w:eastAsia="en-US"/>
              </w:rPr>
              <w:t>(Ph</w:t>
            </w:r>
            <w:r w:rsidR="009B1FE7">
              <w:rPr>
                <w:rFonts w:eastAsiaTheme="minorHAnsi" w:cstheme="minorBidi"/>
                <w:color w:val="auto"/>
                <w:sz w:val="28"/>
                <w:szCs w:val="28"/>
                <w:lang w:val="uk-UA" w:eastAsia="en-US"/>
              </w:rPr>
              <w:t>. </w:t>
            </w:r>
            <w:r w:rsidRPr="00B34621">
              <w:rPr>
                <w:rFonts w:eastAsiaTheme="minorHAnsi" w:cstheme="minorBidi"/>
                <w:color w:val="auto"/>
                <w:sz w:val="28"/>
                <w:szCs w:val="28"/>
                <w:lang w:val="en-US" w:eastAsia="en-US"/>
              </w:rPr>
              <w:t>D</w:t>
            </w:r>
            <w:r w:rsidR="009B1FE7">
              <w:rPr>
                <w:rFonts w:eastAsiaTheme="minorHAnsi" w:cstheme="minorBidi"/>
                <w:color w:val="auto"/>
                <w:sz w:val="28"/>
                <w:szCs w:val="28"/>
                <w:lang w:val="uk-UA" w:eastAsia="en-US"/>
              </w:rPr>
              <w:t>.</w:t>
            </w:r>
            <w:r w:rsidRPr="00B34621">
              <w:rPr>
                <w:rFonts w:eastAsiaTheme="minorHAnsi" w:cstheme="minorBidi"/>
                <w:color w:val="auto"/>
                <w:sz w:val="28"/>
                <w:szCs w:val="28"/>
                <w:lang w:val="en-US" w:eastAsia="en-US"/>
              </w:rPr>
              <w:t>, 2012) is an associate professor at the Sumy State University. She teaches courses on insurance, international finance, tax system</w:t>
            </w:r>
            <w:r>
              <w:rPr>
                <w:rFonts w:eastAsiaTheme="minorHAnsi" w:cstheme="minorBidi"/>
                <w:color w:val="auto"/>
                <w:sz w:val="28"/>
                <w:szCs w:val="28"/>
                <w:lang w:val="en-US" w:eastAsia="en-US"/>
              </w:rPr>
              <w:t>,</w:t>
            </w:r>
            <w:r w:rsidRPr="00B34621">
              <w:rPr>
                <w:rFonts w:eastAsiaTheme="minorHAnsi" w:cstheme="minorBidi"/>
                <w:color w:val="auto"/>
                <w:sz w:val="28"/>
                <w:szCs w:val="28"/>
                <w:lang w:val="en-US" w:eastAsia="en-US"/>
              </w:rPr>
              <w:t xml:space="preserve"> and budget system at both the undergraduate and graduate levels. She conducts research in the insurance market, microinsurance, reinsurance, and financial market. She has delivered talks at many national and international conferences, roundtables and workshops. She has published a variety of articles in leading economics and finance science journals. She currently leads educational projects in the field of the enhancing financial literacy to improve school children persistence.</w:t>
            </w:r>
          </w:p>
        </w:tc>
      </w:tr>
      <w:tr w:rsidR="00B34621" w14:paraId="739E1BA2" w14:textId="77777777" w:rsidTr="00DD1975">
        <w:tc>
          <w:tcPr>
            <w:tcW w:w="2051" w:type="dxa"/>
          </w:tcPr>
          <w:p w14:paraId="190F8CFA" w14:textId="77777777" w:rsidR="00B34621" w:rsidRDefault="00BA1529">
            <w:pPr>
              <w:rPr>
                <w:sz w:val="52"/>
                <w:lang w:val="en-US"/>
              </w:rPr>
            </w:pPr>
            <w:r w:rsidRPr="00616151">
              <w:rPr>
                <w:rFonts w:eastAsiaTheme="minorHAnsi" w:cstheme="minorBidi"/>
                <w:noProof/>
                <w:color w:val="auto"/>
                <w:sz w:val="28"/>
                <w:szCs w:val="28"/>
              </w:rPr>
              <w:drawing>
                <wp:anchor distT="0" distB="0" distL="114300" distR="114300" simplePos="0" relativeHeight="251714048" behindDoc="0" locked="0" layoutInCell="1" allowOverlap="1" wp14:anchorId="0C1D115E" wp14:editId="523003E3">
                  <wp:simplePos x="0" y="0"/>
                  <wp:positionH relativeFrom="column">
                    <wp:posOffset>-17780</wp:posOffset>
                  </wp:positionH>
                  <wp:positionV relativeFrom="paragraph">
                    <wp:posOffset>239395</wp:posOffset>
                  </wp:positionV>
                  <wp:extent cx="1079500" cy="1439545"/>
                  <wp:effectExtent l="0" t="0" r="6350" b="8255"/>
                  <wp:wrapSquare wrapText="right"/>
                  <wp:docPr id="1073742075" name="Рисунок 1073742075" descr="C:\Users\o.m.pakhnenko\Desktop\Підручник Finance\semeno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m.pakhnenko\Desktop\Підручник Finance\semenog.jpg"/>
                          <pic:cNvPicPr>
                            <a:picLocks noChangeAspect="1" noChangeArrowheads="1"/>
                          </pic:cNvPicPr>
                        </pic:nvPicPr>
                        <pic:blipFill>
                          <a:blip r:embed="rId18">
                            <a:extLst>
                              <a:ext uri="{BEBA8EAE-BF5A-486C-A8C5-ECC9F3942E4B}">
                                <a14:imgProps xmlns:a14="http://schemas.microsoft.com/office/drawing/2010/main">
                                  <a14:imgLayer r:embed="rId19">
                                    <a14:imgEffect>
                                      <a14:sharpenSoften amount="20000"/>
                                    </a14:imgEffect>
                                    <a14:imgEffect>
                                      <a14:saturation sat="0"/>
                                    </a14:imgEffect>
                                    <a14:imgEffect>
                                      <a14:brightnessContrast bright="3000" contrast="5000"/>
                                    </a14:imgEffect>
                                  </a14:imgLayer>
                                </a14:imgProps>
                              </a:ext>
                              <a:ext uri="{28A0092B-C50C-407E-A947-70E740481C1C}">
                                <a14:useLocalDpi xmlns:a14="http://schemas.microsoft.com/office/drawing/2010/main" val="0"/>
                              </a:ext>
                            </a:extLst>
                          </a:blip>
                          <a:srcRect/>
                          <a:stretch>
                            <a:fillRect/>
                          </a:stretch>
                        </pic:blipFill>
                        <pic:spPr bwMode="auto">
                          <a:xfrm>
                            <a:off x="0" y="0"/>
                            <a:ext cx="1079500" cy="143954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7564" w:type="dxa"/>
          </w:tcPr>
          <w:p w14:paraId="04A01CDA" w14:textId="77777777" w:rsidR="00E516CD" w:rsidRDefault="00E516CD" w:rsidP="00B34621">
            <w:pPr>
              <w:jc w:val="both"/>
              <w:rPr>
                <w:rFonts w:eastAsiaTheme="minorHAnsi" w:cstheme="minorBidi"/>
                <w:b/>
                <w:color w:val="auto"/>
                <w:sz w:val="28"/>
                <w:szCs w:val="28"/>
                <w:lang w:val="en-US" w:eastAsia="en-US"/>
              </w:rPr>
            </w:pPr>
          </w:p>
          <w:p w14:paraId="0D7F9C5C" w14:textId="77777777" w:rsidR="00B34621" w:rsidRPr="00B34621" w:rsidRDefault="00BA1529" w:rsidP="00B34621">
            <w:pPr>
              <w:jc w:val="both"/>
              <w:rPr>
                <w:rFonts w:eastAsiaTheme="minorHAnsi" w:cstheme="minorBidi"/>
                <w:color w:val="auto"/>
                <w:sz w:val="28"/>
                <w:szCs w:val="28"/>
                <w:lang w:val="en-US" w:eastAsia="en-US"/>
              </w:rPr>
            </w:pPr>
            <w:r w:rsidRPr="00B34621">
              <w:rPr>
                <w:rFonts w:eastAsiaTheme="minorHAnsi" w:cstheme="minorBidi"/>
                <w:b/>
                <w:color w:val="auto"/>
                <w:sz w:val="28"/>
                <w:szCs w:val="28"/>
                <w:lang w:val="en-US" w:eastAsia="en-US"/>
              </w:rPr>
              <w:t>Andrii Semenog</w:t>
            </w:r>
            <w:r w:rsidRPr="00B34621">
              <w:rPr>
                <w:rFonts w:eastAsiaTheme="minorHAnsi" w:cstheme="minorBidi"/>
                <w:color w:val="auto"/>
                <w:sz w:val="28"/>
                <w:szCs w:val="28"/>
                <w:lang w:val="en-US" w:eastAsia="en-US"/>
              </w:rPr>
              <w:t xml:space="preserve"> (Ph</w:t>
            </w:r>
            <w:r w:rsidR="009B1FE7">
              <w:rPr>
                <w:rFonts w:eastAsiaTheme="minorHAnsi" w:cstheme="minorBidi"/>
                <w:color w:val="auto"/>
                <w:sz w:val="28"/>
                <w:szCs w:val="28"/>
                <w:lang w:val="uk-UA" w:eastAsia="en-US"/>
              </w:rPr>
              <w:t>. </w:t>
            </w:r>
            <w:r w:rsidRPr="00B34621">
              <w:rPr>
                <w:rFonts w:eastAsiaTheme="minorHAnsi" w:cstheme="minorBidi"/>
                <w:color w:val="auto"/>
                <w:sz w:val="28"/>
                <w:szCs w:val="28"/>
                <w:lang w:val="en-US" w:eastAsia="en-US"/>
              </w:rPr>
              <w:t>D</w:t>
            </w:r>
            <w:r w:rsidR="009B1FE7">
              <w:rPr>
                <w:rFonts w:eastAsiaTheme="minorHAnsi" w:cstheme="minorBidi"/>
                <w:color w:val="auto"/>
                <w:sz w:val="28"/>
                <w:szCs w:val="28"/>
                <w:lang w:val="uk-UA" w:eastAsia="en-US"/>
              </w:rPr>
              <w:t>.</w:t>
            </w:r>
            <w:r w:rsidRPr="00B34621">
              <w:rPr>
                <w:rFonts w:eastAsiaTheme="minorHAnsi" w:cstheme="minorBidi"/>
                <w:color w:val="auto"/>
                <w:sz w:val="28"/>
                <w:szCs w:val="28"/>
                <w:lang w:val="en-US" w:eastAsia="en-US"/>
              </w:rPr>
              <w:t>, 2011) is an associate professor at the Sumy State University. He received his Bachelor, Master degree, and Ph</w:t>
            </w:r>
            <w:r w:rsidR="009B1FE7">
              <w:rPr>
                <w:rFonts w:eastAsiaTheme="minorHAnsi" w:cstheme="minorBidi"/>
                <w:color w:val="auto"/>
                <w:sz w:val="28"/>
                <w:szCs w:val="28"/>
                <w:lang w:val="uk-UA" w:eastAsia="en-US"/>
              </w:rPr>
              <w:t>. </w:t>
            </w:r>
            <w:r w:rsidRPr="00B34621">
              <w:rPr>
                <w:rFonts w:eastAsiaTheme="minorHAnsi" w:cstheme="minorBidi"/>
                <w:color w:val="auto"/>
                <w:sz w:val="28"/>
                <w:szCs w:val="28"/>
                <w:lang w:val="en-US" w:eastAsia="en-US"/>
              </w:rPr>
              <w:t>D</w:t>
            </w:r>
            <w:r w:rsidR="009B1FE7">
              <w:rPr>
                <w:rFonts w:eastAsiaTheme="minorHAnsi" w:cstheme="minorBidi"/>
                <w:color w:val="auto"/>
                <w:sz w:val="28"/>
                <w:szCs w:val="28"/>
                <w:lang w:val="uk-UA" w:eastAsia="en-US"/>
              </w:rPr>
              <w:t>.</w:t>
            </w:r>
            <w:r w:rsidRPr="00B34621">
              <w:rPr>
                <w:rFonts w:eastAsiaTheme="minorHAnsi" w:cstheme="minorBidi"/>
                <w:color w:val="auto"/>
                <w:sz w:val="28"/>
                <w:szCs w:val="28"/>
                <w:lang w:val="en-US" w:eastAsia="en-US"/>
              </w:rPr>
              <w:t xml:space="preserve"> from Ukrainian Academy of Banking of the National Bank of Ukraine. He teaches classes in finance theory, finance of European Union, introduction to taxation, and financial market fields. He is one of the project managers of the European Studies “Euro Nation” for students that focuses on current developments in European integration. His research interests include financial market, financial market institutions and their impact on economic growth. He has published his research in various popular financial reviews and journals.</w:t>
            </w:r>
          </w:p>
        </w:tc>
      </w:tr>
      <w:tr w:rsidR="00B34621" w14:paraId="1FB9BE0D" w14:textId="77777777" w:rsidTr="00DD1975">
        <w:tc>
          <w:tcPr>
            <w:tcW w:w="2051" w:type="dxa"/>
          </w:tcPr>
          <w:p w14:paraId="1397081F" w14:textId="77777777" w:rsidR="00B34621" w:rsidRDefault="00B34621">
            <w:pPr>
              <w:rPr>
                <w:sz w:val="52"/>
                <w:lang w:val="en-US"/>
              </w:rPr>
            </w:pPr>
            <w:r w:rsidRPr="00616151">
              <w:rPr>
                <w:rFonts w:eastAsiaTheme="minorHAnsi" w:cstheme="minorBidi"/>
                <w:b/>
                <w:noProof/>
                <w:color w:val="auto"/>
                <w:sz w:val="28"/>
                <w:szCs w:val="28"/>
              </w:rPr>
              <w:drawing>
                <wp:anchor distT="0" distB="0" distL="114300" distR="114300" simplePos="0" relativeHeight="251716096" behindDoc="0" locked="0" layoutInCell="1" allowOverlap="1" wp14:anchorId="1711F2E9" wp14:editId="26A08726">
                  <wp:simplePos x="0" y="0"/>
                  <wp:positionH relativeFrom="column">
                    <wp:posOffset>-31750</wp:posOffset>
                  </wp:positionH>
                  <wp:positionV relativeFrom="paragraph">
                    <wp:posOffset>243205</wp:posOffset>
                  </wp:positionV>
                  <wp:extent cx="1114425" cy="1487805"/>
                  <wp:effectExtent l="0" t="0" r="9525" b="0"/>
                  <wp:wrapSquare wrapText="right"/>
                  <wp:docPr id="1073742077" name="Рисунок 1073742077" descr="C:\Users\o.m.pakhnenko\Desktop\Підручник Finance\krem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o.m.pakhnenko\Desktop\Підручник Finance\kremen.jpg"/>
                          <pic:cNvPicPr>
                            <a:picLocks noChangeAspect="1" noChangeArrowheads="1"/>
                          </pic:cNvPicPr>
                        </pic:nvPicPr>
                        <pic:blipFill>
                          <a:blip r:embed="rId20">
                            <a:extLst>
                              <a:ext uri="{BEBA8EAE-BF5A-486C-A8C5-ECC9F3942E4B}">
                                <a14:imgProps xmlns:a14="http://schemas.microsoft.com/office/drawing/2010/main">
                                  <a14:imgLayer r:embed="rId21">
                                    <a14:imgEffect>
                                      <a14:sharpenSoften amount="59000"/>
                                    </a14:imgEffect>
                                    <a14:imgEffect>
                                      <a14:saturation sat="0"/>
                                    </a14:imgEffect>
                                    <a14:imgEffect>
                                      <a14:brightnessContrast bright="16000" contrast="17000"/>
                                    </a14:imgEffect>
                                  </a14:imgLayer>
                                </a14:imgProps>
                              </a:ext>
                              <a:ext uri="{28A0092B-C50C-407E-A947-70E740481C1C}">
                                <a14:useLocalDpi xmlns:a14="http://schemas.microsoft.com/office/drawing/2010/main" val="0"/>
                              </a:ext>
                            </a:extLst>
                          </a:blip>
                          <a:srcRect/>
                          <a:stretch>
                            <a:fillRect/>
                          </a:stretch>
                        </pic:blipFill>
                        <pic:spPr bwMode="auto">
                          <a:xfrm>
                            <a:off x="0" y="0"/>
                            <a:ext cx="1114425" cy="148780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7564" w:type="dxa"/>
          </w:tcPr>
          <w:p w14:paraId="241F40E4" w14:textId="77777777" w:rsidR="00E516CD" w:rsidRDefault="00E516CD" w:rsidP="00FA3957">
            <w:pPr>
              <w:jc w:val="both"/>
              <w:rPr>
                <w:rFonts w:eastAsiaTheme="minorHAnsi" w:cstheme="minorBidi"/>
                <w:b/>
                <w:color w:val="auto"/>
                <w:sz w:val="28"/>
                <w:szCs w:val="28"/>
                <w:lang w:val="en-US" w:eastAsia="en-US"/>
              </w:rPr>
            </w:pPr>
          </w:p>
          <w:p w14:paraId="5E092412" w14:textId="77777777" w:rsidR="00B34621" w:rsidRPr="00B34621" w:rsidRDefault="00B34621" w:rsidP="00FA3957">
            <w:pPr>
              <w:jc w:val="both"/>
              <w:rPr>
                <w:rFonts w:eastAsiaTheme="minorHAnsi" w:cstheme="minorBidi"/>
                <w:color w:val="auto"/>
                <w:sz w:val="28"/>
                <w:szCs w:val="28"/>
                <w:lang w:val="en-US" w:eastAsia="en-US"/>
              </w:rPr>
            </w:pPr>
            <w:r w:rsidRPr="00B34621">
              <w:rPr>
                <w:rFonts w:eastAsiaTheme="minorHAnsi" w:cstheme="minorBidi"/>
                <w:b/>
                <w:color w:val="auto"/>
                <w:sz w:val="28"/>
                <w:szCs w:val="28"/>
                <w:lang w:val="en-US" w:eastAsia="en-US"/>
              </w:rPr>
              <w:t>Viktoriia Kremen</w:t>
            </w:r>
            <w:r w:rsidRPr="00B34621">
              <w:rPr>
                <w:rFonts w:eastAsiaTheme="minorHAnsi" w:cstheme="minorBidi"/>
                <w:color w:val="auto"/>
                <w:sz w:val="28"/>
                <w:szCs w:val="28"/>
                <w:lang w:val="en-US" w:eastAsia="en-US"/>
              </w:rPr>
              <w:t xml:space="preserve"> (Ph</w:t>
            </w:r>
            <w:r w:rsidR="009B1FE7">
              <w:rPr>
                <w:rFonts w:eastAsiaTheme="minorHAnsi" w:cstheme="minorBidi"/>
                <w:color w:val="auto"/>
                <w:sz w:val="28"/>
                <w:szCs w:val="28"/>
                <w:lang w:val="uk-UA" w:eastAsia="en-US"/>
              </w:rPr>
              <w:t>. </w:t>
            </w:r>
            <w:r w:rsidRPr="00B34621">
              <w:rPr>
                <w:rFonts w:eastAsiaTheme="minorHAnsi" w:cstheme="minorBidi"/>
                <w:color w:val="auto"/>
                <w:sz w:val="28"/>
                <w:szCs w:val="28"/>
                <w:lang w:val="en-US" w:eastAsia="en-US"/>
              </w:rPr>
              <w:t>D</w:t>
            </w:r>
            <w:r w:rsidR="009B1FE7">
              <w:rPr>
                <w:rFonts w:eastAsiaTheme="minorHAnsi" w:cstheme="minorBidi"/>
                <w:color w:val="auto"/>
                <w:sz w:val="28"/>
                <w:szCs w:val="28"/>
                <w:lang w:val="uk-UA" w:eastAsia="en-US"/>
              </w:rPr>
              <w:t>.</w:t>
            </w:r>
            <w:r w:rsidRPr="00B34621">
              <w:rPr>
                <w:rFonts w:eastAsiaTheme="minorHAnsi" w:cstheme="minorBidi"/>
                <w:color w:val="auto"/>
                <w:sz w:val="28"/>
                <w:szCs w:val="28"/>
                <w:lang w:val="en-US" w:eastAsia="en-US"/>
              </w:rPr>
              <w:t xml:space="preserve">, 2009) is an associate professor at the Sumy State University. Her teaching interests include financial statistics, financial policy, budget system, and finance of European Union. She is one of the project managers of the European Studies “Euro Nation” for students that focuses on current developments in European integration. She has written and published around 70 academic publications in the areas of financial statistics and supervision in the financial sector. She has published widely in </w:t>
            </w:r>
            <w:r w:rsidR="00720195">
              <w:rPr>
                <w:rFonts w:eastAsiaTheme="minorHAnsi" w:cstheme="minorBidi"/>
                <w:color w:val="auto"/>
                <w:sz w:val="28"/>
                <w:szCs w:val="28"/>
                <w:lang w:val="en-US" w:eastAsia="en-US"/>
              </w:rPr>
              <w:t xml:space="preserve">the </w:t>
            </w:r>
            <w:r w:rsidRPr="00B34621">
              <w:rPr>
                <w:rFonts w:eastAsiaTheme="minorHAnsi" w:cstheme="minorBidi"/>
                <w:color w:val="auto"/>
                <w:sz w:val="28"/>
                <w:szCs w:val="28"/>
                <w:lang w:val="en-US" w:eastAsia="en-US"/>
              </w:rPr>
              <w:t>leading academic and practitioner journals.</w:t>
            </w:r>
          </w:p>
        </w:tc>
      </w:tr>
    </w:tbl>
    <w:p w14:paraId="33BCC7B3" w14:textId="77777777" w:rsidR="003E560A" w:rsidRPr="003E560A" w:rsidRDefault="003E560A" w:rsidP="003E560A">
      <w:pPr>
        <w:jc w:val="both"/>
        <w:rPr>
          <w:sz w:val="28"/>
          <w:szCs w:val="28"/>
          <w:lang w:val="en-US"/>
        </w:rPr>
      </w:pPr>
    </w:p>
    <w:p w14:paraId="6C45E2BC" w14:textId="77777777" w:rsidR="00D448F0" w:rsidRPr="00B34621" w:rsidRDefault="000C63C4" w:rsidP="00B34621">
      <w:pPr>
        <w:jc w:val="center"/>
        <w:rPr>
          <w:b/>
          <w:i/>
          <w:lang w:val="en-US"/>
        </w:rPr>
      </w:pPr>
      <w:r w:rsidRPr="00B34621">
        <w:rPr>
          <w:rFonts w:eastAsiaTheme="minorHAnsi" w:cstheme="minorBidi"/>
          <w:i/>
          <w:color w:val="auto"/>
          <w:sz w:val="28"/>
          <w:szCs w:val="28"/>
          <w:lang w:val="en-US" w:eastAsia="en-US"/>
        </w:rPr>
        <w:t xml:space="preserve">The authors would like to express their gratitude to the administration at Sumy State University for all support and guidance for this project. The authors also thank </w:t>
      </w:r>
      <w:r w:rsidR="00720195">
        <w:rPr>
          <w:rFonts w:eastAsiaTheme="minorHAnsi" w:cstheme="minorBidi"/>
          <w:i/>
          <w:color w:val="auto"/>
          <w:sz w:val="28"/>
          <w:szCs w:val="28"/>
          <w:lang w:val="en-US" w:eastAsia="en-US"/>
        </w:rPr>
        <w:t>the</w:t>
      </w:r>
      <w:r w:rsidRPr="00B34621">
        <w:rPr>
          <w:rFonts w:eastAsiaTheme="minorHAnsi" w:cstheme="minorBidi"/>
          <w:i/>
          <w:color w:val="auto"/>
          <w:sz w:val="28"/>
          <w:szCs w:val="28"/>
          <w:lang w:val="en-US" w:eastAsia="en-US"/>
        </w:rPr>
        <w:t xml:space="preserve"> colleagues whose proofreading, comprehensive feedback, and suggestions for improving the draft material </w:t>
      </w:r>
      <w:r w:rsidR="00720195">
        <w:rPr>
          <w:rFonts w:eastAsiaTheme="minorHAnsi" w:cstheme="minorBidi"/>
          <w:i/>
          <w:color w:val="auto"/>
          <w:sz w:val="28"/>
          <w:szCs w:val="28"/>
          <w:lang w:val="en-US" w:eastAsia="en-US"/>
        </w:rPr>
        <w:t xml:space="preserve">have </w:t>
      </w:r>
      <w:r w:rsidRPr="00B34621">
        <w:rPr>
          <w:rFonts w:eastAsiaTheme="minorHAnsi" w:cstheme="minorBidi"/>
          <w:i/>
          <w:color w:val="auto"/>
          <w:sz w:val="28"/>
          <w:szCs w:val="28"/>
          <w:lang w:val="en-US" w:eastAsia="en-US"/>
        </w:rPr>
        <w:t xml:space="preserve">helped to make a better book for students. </w:t>
      </w:r>
      <w:r w:rsidR="00720195">
        <w:rPr>
          <w:rFonts w:eastAsiaTheme="minorHAnsi" w:cstheme="minorBidi"/>
          <w:i/>
          <w:color w:val="auto"/>
          <w:sz w:val="28"/>
          <w:szCs w:val="28"/>
          <w:lang w:val="en-US" w:eastAsia="en-US"/>
        </w:rPr>
        <w:t>Moreover,</w:t>
      </w:r>
      <w:r w:rsidRPr="00B34621">
        <w:rPr>
          <w:rFonts w:eastAsiaTheme="minorHAnsi" w:cstheme="minorBidi"/>
          <w:i/>
          <w:color w:val="auto"/>
          <w:sz w:val="28"/>
          <w:szCs w:val="28"/>
          <w:lang w:val="en-US" w:eastAsia="en-US"/>
        </w:rPr>
        <w:t xml:space="preserve"> the authors want to thank their families, who supported and encouraged them in spite of all the time it took away from them.</w:t>
      </w:r>
      <w:r w:rsidR="001B6A88" w:rsidRPr="00B34621">
        <w:rPr>
          <w:b/>
          <w:i/>
          <w:lang w:val="en-US"/>
        </w:rPr>
        <w:t xml:space="preserve"> </w:t>
      </w:r>
      <w:r w:rsidR="00D448F0" w:rsidRPr="00B34621">
        <w:rPr>
          <w:b/>
          <w:i/>
          <w:lang w:val="en-US"/>
        </w:rPr>
        <w:br w:type="page"/>
      </w:r>
    </w:p>
    <w:p w14:paraId="501835CA" w14:textId="77777777" w:rsidR="003A6B94" w:rsidRPr="009B1FE7" w:rsidRDefault="00FB375D" w:rsidP="009B1FE7">
      <w:pPr>
        <w:tabs>
          <w:tab w:val="left" w:pos="8440"/>
        </w:tabs>
        <w:rPr>
          <w:rFonts w:eastAsia="Calibri" w:cs="Calibri"/>
          <w:b/>
          <w:bCs/>
          <w:sz w:val="28"/>
          <w:szCs w:val="28"/>
          <w:u w:color="000000"/>
          <w:bdr w:val="nil"/>
          <w:lang w:eastAsia="en-US"/>
        </w:rPr>
      </w:pPr>
      <w:r>
        <w:rPr>
          <w:rFonts w:eastAsia="Calibri" w:cs="Calibri"/>
          <w:b/>
          <w:bCs/>
          <w:sz w:val="44"/>
          <w:szCs w:val="28"/>
          <w:u w:color="000000"/>
          <w:bdr w:val="nil"/>
          <w:lang w:val="en-US" w:eastAsia="en-US"/>
        </w:rPr>
        <w:lastRenderedPageBreak/>
        <w:t>C</w:t>
      </w:r>
      <w:r w:rsidR="003A6B94" w:rsidRPr="003A6B94">
        <w:rPr>
          <w:rFonts w:eastAsia="Calibri" w:cs="Calibri"/>
          <w:b/>
          <w:bCs/>
          <w:sz w:val="44"/>
          <w:szCs w:val="28"/>
          <w:u w:color="000000"/>
          <w:bdr w:val="nil"/>
          <w:lang w:val="en-US" w:eastAsia="en-US"/>
        </w:rPr>
        <w:t>ontents</w:t>
      </w:r>
      <w:r w:rsidR="009B1FE7">
        <w:rPr>
          <w:rFonts w:eastAsia="Calibri" w:cs="Calibri"/>
          <w:b/>
          <w:bCs/>
          <w:sz w:val="44"/>
          <w:szCs w:val="28"/>
          <w:u w:color="000000"/>
          <w:bdr w:val="nil"/>
          <w:lang w:val="en-US" w:eastAsia="en-US"/>
        </w:rPr>
        <w:tab/>
      </w:r>
      <w:r w:rsidR="009B1FE7">
        <w:rPr>
          <w:rFonts w:eastAsia="Calibri" w:cs="Calibri"/>
          <w:b/>
          <w:bCs/>
          <w:sz w:val="44"/>
          <w:szCs w:val="28"/>
          <w:u w:color="000000"/>
          <w:bdr w:val="nil"/>
          <w:lang w:eastAsia="en-US"/>
        </w:rPr>
        <w:t>Р.</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7"/>
        <w:gridCol w:w="718"/>
      </w:tblGrid>
      <w:tr w:rsidR="00096A69" w:rsidRPr="00096A69" w14:paraId="19C0BEE3" w14:textId="77777777" w:rsidTr="00A950CA">
        <w:tc>
          <w:tcPr>
            <w:tcW w:w="8337" w:type="dxa"/>
          </w:tcPr>
          <w:p w14:paraId="4BD46B03" w14:textId="77777777" w:rsidR="00096A69" w:rsidRPr="00096A69" w:rsidRDefault="00096A69" w:rsidP="0055600E">
            <w:pPr>
              <w:pBdr>
                <w:top w:val="nil"/>
                <w:left w:val="nil"/>
                <w:bottom w:val="nil"/>
                <w:right w:val="nil"/>
                <w:between w:val="nil"/>
                <w:bar w:val="nil"/>
              </w:pBdr>
              <w:ind w:firstLine="176"/>
              <w:rPr>
                <w:rFonts w:eastAsia="Calibri" w:cs="Calibri"/>
                <w:b/>
                <w:bCs/>
                <w:sz w:val="28"/>
                <w:szCs w:val="28"/>
                <w:u w:color="000000"/>
                <w:bdr w:val="nil"/>
                <w:lang w:val="en-US" w:eastAsia="en-US"/>
              </w:rPr>
            </w:pPr>
            <w:r w:rsidRPr="00096A69">
              <w:rPr>
                <w:rFonts w:eastAsia="Calibri" w:cs="Calibri"/>
                <w:b/>
                <w:bCs/>
                <w:sz w:val="28"/>
                <w:szCs w:val="28"/>
                <w:u w:color="000000"/>
                <w:bdr w:val="nil"/>
                <w:lang w:val="en-US" w:eastAsia="en-US"/>
              </w:rPr>
              <w:t>Foreword by Hassan Obeid</w:t>
            </w:r>
          </w:p>
        </w:tc>
        <w:tc>
          <w:tcPr>
            <w:tcW w:w="718" w:type="dxa"/>
          </w:tcPr>
          <w:p w14:paraId="2F1A29C2" w14:textId="77777777" w:rsidR="00096A69" w:rsidRPr="00096A69" w:rsidRDefault="00DC1D05" w:rsidP="00DC1D05">
            <w:pPr>
              <w:rPr>
                <w:rFonts w:eastAsia="Calibri" w:cs="Calibri"/>
                <w:b/>
                <w:bCs/>
                <w:sz w:val="28"/>
                <w:szCs w:val="28"/>
                <w:u w:color="000000"/>
                <w:bdr w:val="nil"/>
                <w:lang w:val="en-US" w:eastAsia="en-US"/>
              </w:rPr>
            </w:pPr>
            <w:r>
              <w:rPr>
                <w:rFonts w:eastAsia="Calibri" w:cs="Calibri"/>
                <w:b/>
                <w:bCs/>
                <w:sz w:val="28"/>
                <w:szCs w:val="28"/>
                <w:u w:color="000000"/>
                <w:bdr w:val="nil"/>
                <w:lang w:val="en-US" w:eastAsia="en-US"/>
              </w:rPr>
              <w:t>9</w:t>
            </w:r>
          </w:p>
        </w:tc>
      </w:tr>
      <w:tr w:rsidR="00096A69" w:rsidRPr="00096A69" w14:paraId="20E6884E" w14:textId="77777777" w:rsidTr="00A950CA">
        <w:tc>
          <w:tcPr>
            <w:tcW w:w="8337" w:type="dxa"/>
          </w:tcPr>
          <w:p w14:paraId="1267C1EA" w14:textId="77777777" w:rsidR="00096A69" w:rsidRPr="00096A69" w:rsidRDefault="00096A69" w:rsidP="0055600E">
            <w:pPr>
              <w:pBdr>
                <w:top w:val="nil"/>
                <w:left w:val="nil"/>
                <w:bottom w:val="nil"/>
                <w:right w:val="nil"/>
                <w:between w:val="nil"/>
                <w:bar w:val="nil"/>
              </w:pBdr>
              <w:ind w:firstLine="176"/>
              <w:rPr>
                <w:rFonts w:eastAsia="Calibri" w:cs="Calibri"/>
                <w:b/>
                <w:bCs/>
                <w:sz w:val="28"/>
                <w:szCs w:val="28"/>
                <w:u w:color="000000"/>
                <w:bdr w:val="nil"/>
                <w:lang w:val="en-US" w:eastAsia="en-US"/>
              </w:rPr>
            </w:pPr>
            <w:r w:rsidRPr="00096A69">
              <w:rPr>
                <w:rFonts w:eastAsia="Calibri" w:cs="Calibri"/>
                <w:b/>
                <w:bCs/>
                <w:sz w:val="28"/>
                <w:szCs w:val="28"/>
                <w:u w:color="000000"/>
                <w:bdr w:val="nil"/>
                <w:lang w:val="en-US" w:eastAsia="en-US"/>
              </w:rPr>
              <w:t>Preface</w:t>
            </w:r>
          </w:p>
        </w:tc>
        <w:tc>
          <w:tcPr>
            <w:tcW w:w="718" w:type="dxa"/>
          </w:tcPr>
          <w:p w14:paraId="3186F15F" w14:textId="77777777" w:rsidR="00096A69" w:rsidRPr="00096A69" w:rsidRDefault="00DC1D05" w:rsidP="00514EC7">
            <w:pPr>
              <w:pBdr>
                <w:top w:val="nil"/>
                <w:left w:val="nil"/>
                <w:bottom w:val="nil"/>
                <w:right w:val="nil"/>
                <w:between w:val="nil"/>
                <w:bar w:val="nil"/>
              </w:pBdr>
              <w:rPr>
                <w:rFonts w:eastAsia="Calibri" w:cs="Calibri"/>
                <w:b/>
                <w:bCs/>
                <w:sz w:val="28"/>
                <w:szCs w:val="28"/>
                <w:u w:color="000000"/>
                <w:bdr w:val="nil"/>
                <w:lang w:val="en-US" w:eastAsia="en-US"/>
              </w:rPr>
            </w:pPr>
            <w:r>
              <w:rPr>
                <w:rFonts w:eastAsia="Calibri" w:cs="Calibri"/>
                <w:b/>
                <w:bCs/>
                <w:sz w:val="28"/>
                <w:szCs w:val="28"/>
                <w:u w:color="000000"/>
                <w:bdr w:val="nil"/>
                <w:lang w:val="en-US" w:eastAsia="en-US"/>
              </w:rPr>
              <w:t>10</w:t>
            </w:r>
          </w:p>
        </w:tc>
      </w:tr>
      <w:tr w:rsidR="00096A69" w:rsidRPr="00096A69" w14:paraId="5EDDA328" w14:textId="77777777" w:rsidTr="00A950CA">
        <w:tc>
          <w:tcPr>
            <w:tcW w:w="8337" w:type="dxa"/>
          </w:tcPr>
          <w:p w14:paraId="4707D40E" w14:textId="77777777" w:rsidR="00096A69" w:rsidRPr="00096A69" w:rsidRDefault="00096A69" w:rsidP="0055600E">
            <w:pPr>
              <w:pBdr>
                <w:top w:val="nil"/>
                <w:left w:val="nil"/>
                <w:bottom w:val="nil"/>
                <w:right w:val="nil"/>
                <w:between w:val="nil"/>
                <w:bar w:val="nil"/>
              </w:pBdr>
              <w:ind w:firstLine="176"/>
              <w:rPr>
                <w:rFonts w:eastAsia="Calibri" w:cs="Calibri"/>
                <w:b/>
                <w:bCs/>
                <w:sz w:val="28"/>
                <w:szCs w:val="28"/>
                <w:u w:color="000000"/>
                <w:bdr w:val="nil"/>
                <w:lang w:val="en-US" w:eastAsia="en-US"/>
              </w:rPr>
            </w:pPr>
            <w:r w:rsidRPr="00096A69">
              <w:rPr>
                <w:rFonts w:eastAsia="Calibri" w:cs="Calibri"/>
                <w:b/>
                <w:bCs/>
                <w:sz w:val="28"/>
                <w:szCs w:val="28"/>
                <w:u w:color="000000"/>
                <w:bdr w:val="nil"/>
                <w:lang w:val="en-US" w:eastAsia="en-US"/>
              </w:rPr>
              <w:t>Guided tour of the book</w:t>
            </w:r>
          </w:p>
        </w:tc>
        <w:tc>
          <w:tcPr>
            <w:tcW w:w="718" w:type="dxa"/>
          </w:tcPr>
          <w:p w14:paraId="125EEE03" w14:textId="77777777" w:rsidR="00096A69" w:rsidRPr="00096A69" w:rsidRDefault="00DC1D05" w:rsidP="00514EC7">
            <w:pPr>
              <w:pBdr>
                <w:top w:val="nil"/>
                <w:left w:val="nil"/>
                <w:bottom w:val="nil"/>
                <w:right w:val="nil"/>
                <w:between w:val="nil"/>
                <w:bar w:val="nil"/>
              </w:pBdr>
              <w:rPr>
                <w:rFonts w:eastAsia="Calibri" w:cs="Calibri"/>
                <w:b/>
                <w:bCs/>
                <w:sz w:val="28"/>
                <w:szCs w:val="28"/>
                <w:u w:color="000000"/>
                <w:bdr w:val="nil"/>
                <w:lang w:val="en-US" w:eastAsia="en-US"/>
              </w:rPr>
            </w:pPr>
            <w:r>
              <w:rPr>
                <w:rFonts w:eastAsia="Calibri" w:cs="Calibri"/>
                <w:b/>
                <w:bCs/>
                <w:sz w:val="28"/>
                <w:szCs w:val="28"/>
                <w:u w:color="000000"/>
                <w:bdr w:val="nil"/>
                <w:lang w:val="en-US" w:eastAsia="en-US"/>
              </w:rPr>
              <w:t>13</w:t>
            </w:r>
          </w:p>
        </w:tc>
      </w:tr>
      <w:tr w:rsidR="00096A69" w:rsidRPr="00096A69" w14:paraId="4C91245A" w14:textId="77777777" w:rsidTr="00A950CA">
        <w:tc>
          <w:tcPr>
            <w:tcW w:w="8337" w:type="dxa"/>
          </w:tcPr>
          <w:p w14:paraId="77C92CF7"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34" w:firstLine="176"/>
              <w:rPr>
                <w:rFonts w:eastAsia="Arial Unicode MS" w:cs="Arial Unicode MS"/>
                <w:b/>
                <w:sz w:val="28"/>
                <w:szCs w:val="28"/>
                <w:u w:color="000000"/>
                <w:bdr w:val="nil"/>
                <w:lang w:val="en-US"/>
              </w:rPr>
            </w:pPr>
            <w:r w:rsidRPr="00096A69">
              <w:rPr>
                <w:rFonts w:eastAsia="Arial Unicode MS" w:cs="Arial Unicode MS"/>
                <w:b/>
                <w:sz w:val="28"/>
                <w:szCs w:val="28"/>
                <w:u w:color="000000"/>
                <w:bdr w:val="nil"/>
                <w:lang w:val="en-US"/>
              </w:rPr>
              <w:t>Chapter 1: Introduction to finance. Financial categories</w:t>
            </w:r>
          </w:p>
        </w:tc>
        <w:tc>
          <w:tcPr>
            <w:tcW w:w="718" w:type="dxa"/>
          </w:tcPr>
          <w:p w14:paraId="7BCEEE19"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Pr>
                <w:rFonts w:eastAsia="Arial Unicode MS" w:cs="Arial Unicode MS"/>
                <w:b/>
                <w:sz w:val="28"/>
                <w:szCs w:val="28"/>
                <w:u w:color="000000"/>
                <w:bdr w:val="nil"/>
                <w:lang w:val="en-US"/>
              </w:rPr>
              <w:t>14</w:t>
            </w:r>
          </w:p>
        </w:tc>
      </w:tr>
      <w:tr w:rsidR="00096A69" w:rsidRPr="00096A69" w14:paraId="22B6EA18" w14:textId="77777777" w:rsidTr="00A950CA">
        <w:tc>
          <w:tcPr>
            <w:tcW w:w="8337" w:type="dxa"/>
          </w:tcPr>
          <w:p w14:paraId="772C607E" w14:textId="77777777" w:rsidR="00096A69" w:rsidRPr="00096A69"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w:t>
            </w:r>
            <w:r w:rsidR="00096A69" w:rsidRPr="00096A69">
              <w:rPr>
                <w:rFonts w:eastAsia="Arial Unicode MS" w:cs="Arial Unicode MS"/>
                <w:sz w:val="28"/>
                <w:szCs w:val="28"/>
                <w:u w:color="000000"/>
                <w:bdr w:val="nil"/>
                <w:lang w:val="en-US"/>
              </w:rPr>
              <w:t>ummary</w:t>
            </w:r>
          </w:p>
        </w:tc>
        <w:tc>
          <w:tcPr>
            <w:tcW w:w="718" w:type="dxa"/>
          </w:tcPr>
          <w:p w14:paraId="7C7EACC5"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14</w:t>
            </w:r>
          </w:p>
        </w:tc>
      </w:tr>
      <w:tr w:rsidR="00096A69" w:rsidRPr="00096A69" w14:paraId="0A949645" w14:textId="77777777" w:rsidTr="00A950CA">
        <w:tc>
          <w:tcPr>
            <w:tcW w:w="8337" w:type="dxa"/>
          </w:tcPr>
          <w:p w14:paraId="5E3F5D2E"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Recommended reading</w:t>
            </w:r>
          </w:p>
        </w:tc>
        <w:tc>
          <w:tcPr>
            <w:tcW w:w="718" w:type="dxa"/>
          </w:tcPr>
          <w:p w14:paraId="3FE68BF9"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22</w:t>
            </w:r>
          </w:p>
        </w:tc>
      </w:tr>
      <w:tr w:rsidR="00096A69" w:rsidRPr="00096A69" w14:paraId="03445696" w14:textId="77777777" w:rsidTr="00A950CA">
        <w:tc>
          <w:tcPr>
            <w:tcW w:w="8337" w:type="dxa"/>
          </w:tcPr>
          <w:p w14:paraId="01557B22"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 xml:space="preserve">Key terms </w:t>
            </w:r>
          </w:p>
        </w:tc>
        <w:tc>
          <w:tcPr>
            <w:tcW w:w="718" w:type="dxa"/>
          </w:tcPr>
          <w:p w14:paraId="47618551"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22</w:t>
            </w:r>
          </w:p>
        </w:tc>
      </w:tr>
      <w:tr w:rsidR="00096A69" w:rsidRPr="00096A69" w14:paraId="4BE009B6" w14:textId="77777777" w:rsidTr="00A950CA">
        <w:tc>
          <w:tcPr>
            <w:tcW w:w="8337" w:type="dxa"/>
          </w:tcPr>
          <w:p w14:paraId="6FBA757B"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 xml:space="preserve">Review questions </w:t>
            </w:r>
          </w:p>
        </w:tc>
        <w:tc>
          <w:tcPr>
            <w:tcW w:w="718" w:type="dxa"/>
          </w:tcPr>
          <w:p w14:paraId="5F39EA58"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w:t>
            </w:r>
          </w:p>
        </w:tc>
      </w:tr>
      <w:tr w:rsidR="00096A69" w:rsidRPr="00096A69" w14:paraId="6E0B690A" w14:textId="77777777" w:rsidTr="00A950CA">
        <w:tc>
          <w:tcPr>
            <w:tcW w:w="8337" w:type="dxa"/>
          </w:tcPr>
          <w:p w14:paraId="6CE1597D"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Multiple choice questions</w:t>
            </w:r>
          </w:p>
        </w:tc>
        <w:tc>
          <w:tcPr>
            <w:tcW w:w="718" w:type="dxa"/>
          </w:tcPr>
          <w:p w14:paraId="1C331077"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25</w:t>
            </w:r>
          </w:p>
        </w:tc>
      </w:tr>
      <w:tr w:rsidR="00096A69" w:rsidRPr="00096A69" w14:paraId="41DEAB57" w14:textId="77777777" w:rsidTr="00A950CA">
        <w:tc>
          <w:tcPr>
            <w:tcW w:w="8337" w:type="dxa"/>
          </w:tcPr>
          <w:p w14:paraId="46C98D3C"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Short answer questions</w:t>
            </w:r>
          </w:p>
        </w:tc>
        <w:tc>
          <w:tcPr>
            <w:tcW w:w="718" w:type="dxa"/>
          </w:tcPr>
          <w:p w14:paraId="3D3C0027"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26</w:t>
            </w:r>
          </w:p>
        </w:tc>
      </w:tr>
      <w:tr w:rsidR="00096A69" w:rsidRPr="00096A69" w14:paraId="44B66398" w14:textId="77777777" w:rsidTr="00A950CA">
        <w:tc>
          <w:tcPr>
            <w:tcW w:w="8337" w:type="dxa"/>
          </w:tcPr>
          <w:p w14:paraId="165FF3E9"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Calibri" w:cs="Calibri"/>
                <w:sz w:val="28"/>
                <w:szCs w:val="28"/>
                <w:u w:color="000000"/>
                <w:bdr w:val="nil"/>
                <w:lang w:val="en-US" w:eastAsia="en-US"/>
              </w:rPr>
            </w:pPr>
            <w:r w:rsidRPr="00096A69">
              <w:rPr>
                <w:rFonts w:eastAsia="Calibri" w:cs="Calibri"/>
                <w:sz w:val="28"/>
                <w:szCs w:val="28"/>
                <w:u w:color="000000"/>
                <w:bdr w:val="nil"/>
                <w:lang w:val="en-US" w:eastAsia="en-US"/>
              </w:rPr>
              <w:t>Missing word questions</w:t>
            </w:r>
          </w:p>
        </w:tc>
        <w:tc>
          <w:tcPr>
            <w:tcW w:w="718" w:type="dxa"/>
          </w:tcPr>
          <w:p w14:paraId="7A1CFA2C"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w:cs="Arial"/>
                <w:sz w:val="28"/>
                <w:szCs w:val="28"/>
                <w:u w:color="000000"/>
                <w:bdr w:val="nil"/>
                <w:lang w:val="en-US" w:eastAsia="en-US"/>
              </w:rPr>
            </w:pPr>
            <w:r>
              <w:rPr>
                <w:rFonts w:eastAsia="Arial" w:cs="Arial"/>
                <w:sz w:val="28"/>
                <w:szCs w:val="28"/>
                <w:u w:color="000000"/>
                <w:bdr w:val="nil"/>
                <w:lang w:val="en-US" w:eastAsia="en-US"/>
              </w:rPr>
              <w:t>26</w:t>
            </w:r>
          </w:p>
        </w:tc>
      </w:tr>
      <w:tr w:rsidR="00096A69" w:rsidRPr="00096A69" w14:paraId="424DA696" w14:textId="77777777" w:rsidTr="00A950CA">
        <w:tc>
          <w:tcPr>
            <w:tcW w:w="8337" w:type="dxa"/>
          </w:tcPr>
          <w:p w14:paraId="24179091"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Calibri" w:cs="Calibri"/>
                <w:sz w:val="28"/>
                <w:szCs w:val="28"/>
                <w:u w:color="000000"/>
                <w:bdr w:val="nil"/>
                <w:lang w:val="en-US" w:eastAsia="en-US"/>
              </w:rPr>
            </w:pPr>
            <w:r w:rsidRPr="00096A69">
              <w:rPr>
                <w:rFonts w:eastAsia="Calibri" w:cs="Calibri"/>
                <w:sz w:val="28"/>
                <w:szCs w:val="28"/>
                <w:u w:color="000000"/>
                <w:bdr w:val="nil"/>
                <w:lang w:val="en-US" w:eastAsia="en-US"/>
              </w:rPr>
              <w:t>True/False/Uncertain questions</w:t>
            </w:r>
          </w:p>
        </w:tc>
        <w:tc>
          <w:tcPr>
            <w:tcW w:w="718" w:type="dxa"/>
          </w:tcPr>
          <w:p w14:paraId="3711D60E"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w:cs="Arial"/>
                <w:sz w:val="28"/>
                <w:szCs w:val="28"/>
                <w:u w:color="000000"/>
                <w:bdr w:val="nil"/>
                <w:lang w:val="en-US" w:eastAsia="en-US"/>
              </w:rPr>
            </w:pPr>
            <w:r>
              <w:rPr>
                <w:rFonts w:eastAsia="Arial" w:cs="Arial"/>
                <w:sz w:val="28"/>
                <w:szCs w:val="28"/>
                <w:u w:color="000000"/>
                <w:bdr w:val="nil"/>
                <w:lang w:val="en-US" w:eastAsia="en-US"/>
              </w:rPr>
              <w:t>27</w:t>
            </w:r>
          </w:p>
        </w:tc>
      </w:tr>
      <w:tr w:rsidR="00096A69" w:rsidRPr="00096A69" w14:paraId="7C1E9C3E" w14:textId="77777777" w:rsidTr="00A950CA">
        <w:tc>
          <w:tcPr>
            <w:tcW w:w="8337" w:type="dxa"/>
          </w:tcPr>
          <w:p w14:paraId="37FC979E"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Computation problems</w:t>
            </w:r>
          </w:p>
        </w:tc>
        <w:tc>
          <w:tcPr>
            <w:tcW w:w="718" w:type="dxa"/>
          </w:tcPr>
          <w:p w14:paraId="70515B0B"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27</w:t>
            </w:r>
          </w:p>
        </w:tc>
      </w:tr>
      <w:tr w:rsidR="00096A69" w:rsidRPr="00096A69" w14:paraId="331E29F2" w14:textId="77777777" w:rsidTr="00A950CA">
        <w:tc>
          <w:tcPr>
            <w:tcW w:w="8337" w:type="dxa"/>
          </w:tcPr>
          <w:p w14:paraId="3D5D0244"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sz w:val="28"/>
                <w:szCs w:val="28"/>
                <w:u w:color="000000"/>
                <w:bdr w:val="nil"/>
                <w:lang w:val="en-US"/>
              </w:rPr>
            </w:pPr>
            <w:r w:rsidRPr="00096A69">
              <w:rPr>
                <w:rFonts w:eastAsia="Arial Unicode MS" w:cs="Arial Unicode MS"/>
                <w:b/>
                <w:sz w:val="28"/>
                <w:szCs w:val="28"/>
                <w:u w:color="000000"/>
                <w:bdr w:val="nil"/>
                <w:lang w:val="en-US"/>
              </w:rPr>
              <w:t>Chapter 2: Evolution of finance. Main financial theories</w:t>
            </w:r>
          </w:p>
        </w:tc>
        <w:tc>
          <w:tcPr>
            <w:tcW w:w="718" w:type="dxa"/>
          </w:tcPr>
          <w:p w14:paraId="342CBB67"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Pr>
                <w:rFonts w:eastAsia="Arial Unicode MS" w:cs="Arial Unicode MS"/>
                <w:b/>
                <w:sz w:val="28"/>
                <w:szCs w:val="28"/>
                <w:u w:color="000000"/>
                <w:bdr w:val="nil"/>
                <w:lang w:val="en-US"/>
              </w:rPr>
              <w:t>29</w:t>
            </w:r>
          </w:p>
        </w:tc>
      </w:tr>
      <w:tr w:rsidR="00096A69" w:rsidRPr="00096A69" w14:paraId="722E0E28" w14:textId="77777777" w:rsidTr="00A950CA">
        <w:tc>
          <w:tcPr>
            <w:tcW w:w="8337" w:type="dxa"/>
          </w:tcPr>
          <w:p w14:paraId="273C065A" w14:textId="77777777" w:rsidR="00096A69" w:rsidRPr="00096A69"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w:t>
            </w:r>
            <w:r w:rsidR="00096A69" w:rsidRPr="00096A69">
              <w:rPr>
                <w:rFonts w:eastAsia="Arial Unicode MS" w:cs="Arial Unicode MS"/>
                <w:sz w:val="28"/>
                <w:szCs w:val="28"/>
                <w:u w:color="000000"/>
                <w:bdr w:val="nil"/>
                <w:lang w:val="en-US"/>
              </w:rPr>
              <w:t>ummary</w:t>
            </w:r>
          </w:p>
        </w:tc>
        <w:tc>
          <w:tcPr>
            <w:tcW w:w="718" w:type="dxa"/>
          </w:tcPr>
          <w:p w14:paraId="44CC7194"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29</w:t>
            </w:r>
          </w:p>
        </w:tc>
      </w:tr>
      <w:tr w:rsidR="00096A69" w:rsidRPr="00096A69" w14:paraId="354AC944" w14:textId="77777777" w:rsidTr="00A950CA">
        <w:tc>
          <w:tcPr>
            <w:tcW w:w="8337" w:type="dxa"/>
          </w:tcPr>
          <w:p w14:paraId="6BE21B1A"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Recommended reading</w:t>
            </w:r>
          </w:p>
        </w:tc>
        <w:tc>
          <w:tcPr>
            <w:tcW w:w="718" w:type="dxa"/>
          </w:tcPr>
          <w:p w14:paraId="5C3696FA"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37</w:t>
            </w:r>
          </w:p>
        </w:tc>
      </w:tr>
      <w:tr w:rsidR="00096A69" w:rsidRPr="00096A69" w14:paraId="25EBBE4E" w14:textId="77777777" w:rsidTr="00A950CA">
        <w:tc>
          <w:tcPr>
            <w:tcW w:w="8337" w:type="dxa"/>
          </w:tcPr>
          <w:p w14:paraId="11180462"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 xml:space="preserve">Key terms </w:t>
            </w:r>
          </w:p>
        </w:tc>
        <w:tc>
          <w:tcPr>
            <w:tcW w:w="718" w:type="dxa"/>
          </w:tcPr>
          <w:p w14:paraId="616CCC70"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38</w:t>
            </w:r>
          </w:p>
        </w:tc>
      </w:tr>
      <w:tr w:rsidR="00096A69" w:rsidRPr="00096A69" w14:paraId="14017BA2" w14:textId="77777777" w:rsidTr="00A950CA">
        <w:tc>
          <w:tcPr>
            <w:tcW w:w="8337" w:type="dxa"/>
          </w:tcPr>
          <w:p w14:paraId="5FF0731A"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 xml:space="preserve">Review questions </w:t>
            </w:r>
          </w:p>
        </w:tc>
        <w:tc>
          <w:tcPr>
            <w:tcW w:w="718" w:type="dxa"/>
          </w:tcPr>
          <w:p w14:paraId="267C9233"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40</w:t>
            </w:r>
          </w:p>
        </w:tc>
      </w:tr>
      <w:tr w:rsidR="00096A69" w:rsidRPr="00096A69" w14:paraId="098B12F8" w14:textId="77777777" w:rsidTr="00A950CA">
        <w:tc>
          <w:tcPr>
            <w:tcW w:w="8337" w:type="dxa"/>
          </w:tcPr>
          <w:p w14:paraId="17F0A5CF"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Multiple choice questions</w:t>
            </w:r>
          </w:p>
        </w:tc>
        <w:tc>
          <w:tcPr>
            <w:tcW w:w="718" w:type="dxa"/>
          </w:tcPr>
          <w:p w14:paraId="0615B345"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41</w:t>
            </w:r>
          </w:p>
        </w:tc>
      </w:tr>
      <w:tr w:rsidR="00096A69" w:rsidRPr="00096A69" w14:paraId="63D41F2A" w14:textId="77777777" w:rsidTr="00A950CA">
        <w:tc>
          <w:tcPr>
            <w:tcW w:w="8337" w:type="dxa"/>
          </w:tcPr>
          <w:p w14:paraId="376370B6"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Short answer questions</w:t>
            </w:r>
          </w:p>
        </w:tc>
        <w:tc>
          <w:tcPr>
            <w:tcW w:w="718" w:type="dxa"/>
          </w:tcPr>
          <w:p w14:paraId="7CE7CDEE"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43</w:t>
            </w:r>
          </w:p>
        </w:tc>
      </w:tr>
      <w:tr w:rsidR="00096A69" w:rsidRPr="00096A69" w14:paraId="0AB05BA6" w14:textId="77777777" w:rsidTr="00A950CA">
        <w:tc>
          <w:tcPr>
            <w:tcW w:w="8337" w:type="dxa"/>
          </w:tcPr>
          <w:p w14:paraId="5BBC8A43"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Calibri" w:cs="Calibri"/>
                <w:sz w:val="28"/>
                <w:szCs w:val="28"/>
                <w:u w:color="000000"/>
                <w:bdr w:val="nil"/>
                <w:lang w:val="en-US" w:eastAsia="en-US"/>
              </w:rPr>
            </w:pPr>
            <w:r w:rsidRPr="00096A69">
              <w:rPr>
                <w:rFonts w:eastAsia="Calibri" w:cs="Calibri"/>
                <w:sz w:val="28"/>
                <w:szCs w:val="28"/>
                <w:u w:color="000000"/>
                <w:bdr w:val="nil"/>
                <w:lang w:val="en-US" w:eastAsia="en-US"/>
              </w:rPr>
              <w:t>Missing word questions</w:t>
            </w:r>
          </w:p>
        </w:tc>
        <w:tc>
          <w:tcPr>
            <w:tcW w:w="718" w:type="dxa"/>
          </w:tcPr>
          <w:p w14:paraId="6B111DC7"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w:cs="Arial"/>
                <w:sz w:val="28"/>
                <w:szCs w:val="28"/>
                <w:u w:color="000000"/>
                <w:bdr w:val="nil"/>
                <w:lang w:val="en-US" w:eastAsia="en-US"/>
              </w:rPr>
            </w:pPr>
            <w:r>
              <w:rPr>
                <w:rFonts w:eastAsia="Arial" w:cs="Arial"/>
                <w:sz w:val="28"/>
                <w:szCs w:val="28"/>
                <w:u w:color="000000"/>
                <w:bdr w:val="nil"/>
                <w:lang w:val="en-US" w:eastAsia="en-US"/>
              </w:rPr>
              <w:t>43</w:t>
            </w:r>
          </w:p>
        </w:tc>
      </w:tr>
      <w:tr w:rsidR="00096A69" w:rsidRPr="00096A69" w14:paraId="25A64761" w14:textId="77777777" w:rsidTr="00A950CA">
        <w:tc>
          <w:tcPr>
            <w:tcW w:w="8337" w:type="dxa"/>
          </w:tcPr>
          <w:p w14:paraId="2AB8A8A0"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Calibri" w:cs="Calibri"/>
                <w:sz w:val="28"/>
                <w:szCs w:val="28"/>
                <w:u w:color="000000"/>
                <w:bdr w:val="nil"/>
                <w:lang w:val="en-US" w:eastAsia="en-US"/>
              </w:rPr>
            </w:pPr>
            <w:r w:rsidRPr="00096A69">
              <w:rPr>
                <w:rFonts w:eastAsia="Calibri" w:cs="Calibri"/>
                <w:sz w:val="28"/>
                <w:szCs w:val="28"/>
                <w:u w:color="000000"/>
                <w:bdr w:val="nil"/>
                <w:lang w:val="en-US" w:eastAsia="en-US"/>
              </w:rPr>
              <w:t>True/False/Uncertain questions</w:t>
            </w:r>
          </w:p>
        </w:tc>
        <w:tc>
          <w:tcPr>
            <w:tcW w:w="718" w:type="dxa"/>
          </w:tcPr>
          <w:p w14:paraId="0929DA3F"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w:cs="Arial"/>
                <w:sz w:val="28"/>
                <w:szCs w:val="28"/>
                <w:u w:color="000000"/>
                <w:bdr w:val="nil"/>
                <w:lang w:val="en-US" w:eastAsia="en-US"/>
              </w:rPr>
            </w:pPr>
            <w:r>
              <w:rPr>
                <w:rFonts w:eastAsia="Arial" w:cs="Arial"/>
                <w:sz w:val="28"/>
                <w:szCs w:val="28"/>
                <w:u w:color="000000"/>
                <w:bdr w:val="nil"/>
                <w:lang w:val="en-US" w:eastAsia="en-US"/>
              </w:rPr>
              <w:t>43</w:t>
            </w:r>
          </w:p>
        </w:tc>
      </w:tr>
      <w:tr w:rsidR="00096A69" w:rsidRPr="00096A69" w14:paraId="7CEDEAEF" w14:textId="77777777" w:rsidTr="00A950CA">
        <w:tc>
          <w:tcPr>
            <w:tcW w:w="8337" w:type="dxa"/>
          </w:tcPr>
          <w:p w14:paraId="770D1952" w14:textId="77777777" w:rsidR="00096A69" w:rsidRPr="00096A69" w:rsidRDefault="00096A69"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096A69">
              <w:rPr>
                <w:rFonts w:eastAsia="Arial Unicode MS" w:cs="Arial Unicode MS"/>
                <w:sz w:val="28"/>
                <w:szCs w:val="28"/>
                <w:u w:color="000000"/>
                <w:bdr w:val="nil"/>
                <w:lang w:val="en-US"/>
              </w:rPr>
              <w:t>Computation problems</w:t>
            </w:r>
          </w:p>
        </w:tc>
        <w:tc>
          <w:tcPr>
            <w:tcW w:w="718" w:type="dxa"/>
          </w:tcPr>
          <w:p w14:paraId="4C914AC3" w14:textId="77777777" w:rsidR="00096A69" w:rsidRPr="00096A69"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44</w:t>
            </w:r>
          </w:p>
        </w:tc>
      </w:tr>
      <w:tr w:rsidR="0055600E" w:rsidRPr="0055600E" w14:paraId="54A438A3" w14:textId="77777777" w:rsidTr="00A950CA">
        <w:tc>
          <w:tcPr>
            <w:tcW w:w="8337" w:type="dxa"/>
          </w:tcPr>
          <w:p w14:paraId="4E5AD9B2"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sz w:val="28"/>
                <w:szCs w:val="28"/>
                <w:u w:color="000000"/>
                <w:bdr w:val="nil"/>
                <w:lang w:val="en-US"/>
              </w:rPr>
            </w:pPr>
            <w:r w:rsidRPr="0055600E">
              <w:rPr>
                <w:rFonts w:eastAsia="Arial Unicode MS" w:cs="Arial Unicode MS"/>
                <w:b/>
                <w:sz w:val="28"/>
                <w:szCs w:val="28"/>
                <w:u w:color="000000"/>
                <w:bdr w:val="nil"/>
                <w:lang w:val="en-US"/>
              </w:rPr>
              <w:t>Chapter 3: Financial policy. Financial system</w:t>
            </w:r>
          </w:p>
        </w:tc>
        <w:tc>
          <w:tcPr>
            <w:tcW w:w="718" w:type="dxa"/>
          </w:tcPr>
          <w:p w14:paraId="0E5E59B5"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Pr>
                <w:rFonts w:eastAsia="Arial Unicode MS" w:cs="Arial Unicode MS"/>
                <w:b/>
                <w:sz w:val="28"/>
                <w:szCs w:val="28"/>
                <w:u w:color="000000"/>
                <w:bdr w:val="nil"/>
                <w:lang w:val="en-US"/>
              </w:rPr>
              <w:t>47</w:t>
            </w:r>
          </w:p>
        </w:tc>
      </w:tr>
      <w:tr w:rsidR="0055600E" w:rsidRPr="0055600E" w14:paraId="7BB9B928" w14:textId="77777777" w:rsidTr="00A950CA">
        <w:tc>
          <w:tcPr>
            <w:tcW w:w="8337" w:type="dxa"/>
          </w:tcPr>
          <w:p w14:paraId="3B1DB4C9"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7DAD4840"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47</w:t>
            </w:r>
          </w:p>
        </w:tc>
      </w:tr>
      <w:tr w:rsidR="0055600E" w:rsidRPr="0055600E" w14:paraId="743B9198" w14:textId="77777777" w:rsidTr="00A950CA">
        <w:tc>
          <w:tcPr>
            <w:tcW w:w="8337" w:type="dxa"/>
          </w:tcPr>
          <w:p w14:paraId="1F0121C1"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0978A416"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52</w:t>
            </w:r>
          </w:p>
        </w:tc>
      </w:tr>
      <w:tr w:rsidR="0055600E" w:rsidRPr="0055600E" w14:paraId="0003E7C0" w14:textId="77777777" w:rsidTr="00A950CA">
        <w:tc>
          <w:tcPr>
            <w:tcW w:w="8337" w:type="dxa"/>
          </w:tcPr>
          <w:p w14:paraId="2C4D5780"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Key terms </w:t>
            </w:r>
          </w:p>
        </w:tc>
        <w:tc>
          <w:tcPr>
            <w:tcW w:w="718" w:type="dxa"/>
          </w:tcPr>
          <w:p w14:paraId="2E2296E7"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53</w:t>
            </w:r>
          </w:p>
        </w:tc>
      </w:tr>
      <w:tr w:rsidR="0055600E" w:rsidRPr="0055600E" w14:paraId="2C68104C" w14:textId="77777777" w:rsidTr="00A950CA">
        <w:tc>
          <w:tcPr>
            <w:tcW w:w="8337" w:type="dxa"/>
          </w:tcPr>
          <w:p w14:paraId="30DE5D55"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5DAF62A4"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54</w:t>
            </w:r>
          </w:p>
        </w:tc>
      </w:tr>
      <w:tr w:rsidR="0055600E" w:rsidRPr="0055600E" w14:paraId="19284DAA" w14:textId="77777777" w:rsidTr="00A950CA">
        <w:tc>
          <w:tcPr>
            <w:tcW w:w="8337" w:type="dxa"/>
          </w:tcPr>
          <w:p w14:paraId="2F460642"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2C6AD2DE"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55</w:t>
            </w:r>
          </w:p>
        </w:tc>
      </w:tr>
      <w:tr w:rsidR="0055600E" w:rsidRPr="0055600E" w14:paraId="43E7C574" w14:textId="77777777" w:rsidTr="00A950CA">
        <w:tc>
          <w:tcPr>
            <w:tcW w:w="8337" w:type="dxa"/>
          </w:tcPr>
          <w:p w14:paraId="3A384362"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1B7DCB2A"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56</w:t>
            </w:r>
          </w:p>
        </w:tc>
      </w:tr>
      <w:tr w:rsidR="0055600E" w:rsidRPr="0055600E" w14:paraId="3B971528" w14:textId="77777777" w:rsidTr="00A950CA">
        <w:tc>
          <w:tcPr>
            <w:tcW w:w="8337" w:type="dxa"/>
          </w:tcPr>
          <w:p w14:paraId="2D8EB9A6"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5774EC38"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56</w:t>
            </w:r>
          </w:p>
        </w:tc>
      </w:tr>
      <w:tr w:rsidR="0055600E" w:rsidRPr="0055600E" w14:paraId="7FA29F83" w14:textId="77777777" w:rsidTr="00A950CA">
        <w:tc>
          <w:tcPr>
            <w:tcW w:w="8337" w:type="dxa"/>
          </w:tcPr>
          <w:p w14:paraId="2E138031"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3D29976A"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57</w:t>
            </w:r>
          </w:p>
        </w:tc>
      </w:tr>
      <w:tr w:rsidR="0055600E" w:rsidRPr="0055600E" w14:paraId="2C73BE50" w14:textId="77777777" w:rsidTr="00A950CA">
        <w:tc>
          <w:tcPr>
            <w:tcW w:w="8337" w:type="dxa"/>
          </w:tcPr>
          <w:p w14:paraId="1CCE54E9"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Computation problems</w:t>
            </w:r>
          </w:p>
        </w:tc>
        <w:tc>
          <w:tcPr>
            <w:tcW w:w="718" w:type="dxa"/>
          </w:tcPr>
          <w:p w14:paraId="329C2CE9"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sidRPr="00DC1D05">
              <w:rPr>
                <w:rFonts w:eastAsia="Arial Unicode MS" w:cs="Arial Unicode MS"/>
                <w:sz w:val="28"/>
                <w:szCs w:val="28"/>
                <w:u w:color="000000"/>
                <w:bdr w:val="nil"/>
                <w:lang w:val="en-US"/>
              </w:rPr>
              <w:t>58</w:t>
            </w:r>
          </w:p>
        </w:tc>
      </w:tr>
      <w:tr w:rsidR="0055600E" w:rsidRPr="0055600E" w14:paraId="395FC824" w14:textId="77777777" w:rsidTr="00A950CA">
        <w:tc>
          <w:tcPr>
            <w:tcW w:w="8337" w:type="dxa"/>
          </w:tcPr>
          <w:p w14:paraId="6F58CA77"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sz w:val="28"/>
                <w:szCs w:val="28"/>
                <w:u w:color="000000"/>
                <w:bdr w:val="nil"/>
                <w:lang w:val="en-US"/>
              </w:rPr>
            </w:pPr>
            <w:r w:rsidRPr="0055600E">
              <w:rPr>
                <w:rFonts w:eastAsia="Arial Unicode MS" w:cs="Arial Unicode MS"/>
                <w:b/>
                <w:sz w:val="28"/>
                <w:szCs w:val="28"/>
                <w:u w:color="000000"/>
                <w:bdr w:val="nil"/>
                <w:lang w:val="en-US"/>
              </w:rPr>
              <w:t>Chapter 4: Introduction to taxation. Tax system of Ukraine</w:t>
            </w:r>
          </w:p>
        </w:tc>
        <w:tc>
          <w:tcPr>
            <w:tcW w:w="718" w:type="dxa"/>
          </w:tcPr>
          <w:p w14:paraId="3C5C3B68"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sidRPr="00DC1D05">
              <w:rPr>
                <w:rFonts w:eastAsia="Arial Unicode MS" w:cs="Arial Unicode MS"/>
                <w:b/>
                <w:sz w:val="28"/>
                <w:szCs w:val="28"/>
                <w:u w:color="000000"/>
                <w:bdr w:val="nil"/>
                <w:lang w:val="en-US"/>
              </w:rPr>
              <w:t>61</w:t>
            </w:r>
          </w:p>
        </w:tc>
      </w:tr>
      <w:tr w:rsidR="0055600E" w:rsidRPr="0055600E" w14:paraId="6E97CFE0" w14:textId="77777777" w:rsidTr="00A950CA">
        <w:tc>
          <w:tcPr>
            <w:tcW w:w="8337" w:type="dxa"/>
          </w:tcPr>
          <w:p w14:paraId="2A8DF23C"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2292A384"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61</w:t>
            </w:r>
          </w:p>
        </w:tc>
      </w:tr>
      <w:tr w:rsidR="0055600E" w:rsidRPr="0055600E" w14:paraId="4B5DA74E" w14:textId="77777777" w:rsidTr="00A950CA">
        <w:tc>
          <w:tcPr>
            <w:tcW w:w="8337" w:type="dxa"/>
          </w:tcPr>
          <w:p w14:paraId="510EA4CF"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39D56A59"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68</w:t>
            </w:r>
          </w:p>
        </w:tc>
      </w:tr>
      <w:tr w:rsidR="0055600E" w:rsidRPr="0055600E" w14:paraId="0E3EA910" w14:textId="77777777" w:rsidTr="00A950CA">
        <w:tc>
          <w:tcPr>
            <w:tcW w:w="8337" w:type="dxa"/>
          </w:tcPr>
          <w:p w14:paraId="62E84668"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Key terms </w:t>
            </w:r>
          </w:p>
        </w:tc>
        <w:tc>
          <w:tcPr>
            <w:tcW w:w="718" w:type="dxa"/>
          </w:tcPr>
          <w:p w14:paraId="03E1F347"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69</w:t>
            </w:r>
          </w:p>
        </w:tc>
      </w:tr>
      <w:tr w:rsidR="0055600E" w:rsidRPr="0055600E" w14:paraId="12D85826" w14:textId="77777777" w:rsidTr="00A950CA">
        <w:tc>
          <w:tcPr>
            <w:tcW w:w="8337" w:type="dxa"/>
          </w:tcPr>
          <w:p w14:paraId="14E87C1E"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35EE524E"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70</w:t>
            </w:r>
          </w:p>
        </w:tc>
      </w:tr>
      <w:tr w:rsidR="0055600E" w:rsidRPr="0055600E" w14:paraId="620DA339" w14:textId="77777777" w:rsidTr="00A950CA">
        <w:tc>
          <w:tcPr>
            <w:tcW w:w="8337" w:type="dxa"/>
          </w:tcPr>
          <w:p w14:paraId="10BA6D2B"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5AFAC969"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71</w:t>
            </w:r>
          </w:p>
        </w:tc>
      </w:tr>
      <w:tr w:rsidR="0055600E" w:rsidRPr="0055600E" w14:paraId="5A0498D3" w14:textId="77777777" w:rsidTr="00A950CA">
        <w:tc>
          <w:tcPr>
            <w:tcW w:w="8337" w:type="dxa"/>
          </w:tcPr>
          <w:p w14:paraId="403BB8FE"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4E34C8B5"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73</w:t>
            </w:r>
          </w:p>
        </w:tc>
      </w:tr>
      <w:tr w:rsidR="0055600E" w:rsidRPr="0055600E" w14:paraId="04EA7BD9" w14:textId="77777777" w:rsidTr="00A950CA">
        <w:tc>
          <w:tcPr>
            <w:tcW w:w="8337" w:type="dxa"/>
          </w:tcPr>
          <w:p w14:paraId="7D67C505"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10FE4003"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73</w:t>
            </w:r>
          </w:p>
        </w:tc>
      </w:tr>
      <w:tr w:rsidR="0055600E" w:rsidRPr="0055600E" w14:paraId="0D0E7E05" w14:textId="77777777" w:rsidTr="00A950CA">
        <w:tc>
          <w:tcPr>
            <w:tcW w:w="8337" w:type="dxa"/>
          </w:tcPr>
          <w:p w14:paraId="329DF59F"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70E49AAB"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73</w:t>
            </w:r>
          </w:p>
        </w:tc>
      </w:tr>
      <w:tr w:rsidR="0055600E" w:rsidRPr="0055600E" w14:paraId="7A670845" w14:textId="77777777" w:rsidTr="00A950CA">
        <w:tc>
          <w:tcPr>
            <w:tcW w:w="8337" w:type="dxa"/>
          </w:tcPr>
          <w:p w14:paraId="00054EE0"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lastRenderedPageBreak/>
              <w:t>Computation problems</w:t>
            </w:r>
          </w:p>
        </w:tc>
        <w:tc>
          <w:tcPr>
            <w:tcW w:w="718" w:type="dxa"/>
          </w:tcPr>
          <w:p w14:paraId="66AF9EAC"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sidRPr="00DC1D05">
              <w:rPr>
                <w:rFonts w:eastAsia="Arial Unicode MS" w:cs="Arial Unicode MS"/>
                <w:sz w:val="28"/>
                <w:szCs w:val="28"/>
                <w:u w:color="000000"/>
                <w:bdr w:val="nil"/>
                <w:lang w:val="en-US"/>
              </w:rPr>
              <w:t>74</w:t>
            </w:r>
          </w:p>
        </w:tc>
      </w:tr>
      <w:tr w:rsidR="0055600E" w:rsidRPr="0055600E" w14:paraId="582FBE23" w14:textId="77777777" w:rsidTr="00A950CA">
        <w:tc>
          <w:tcPr>
            <w:tcW w:w="8337" w:type="dxa"/>
          </w:tcPr>
          <w:p w14:paraId="5DB53A52"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sz w:val="28"/>
                <w:szCs w:val="28"/>
                <w:u w:color="000000"/>
                <w:bdr w:val="nil"/>
                <w:lang w:val="en-US"/>
              </w:rPr>
            </w:pPr>
            <w:r w:rsidRPr="0055600E">
              <w:rPr>
                <w:rFonts w:eastAsia="Arial Unicode MS" w:cs="Arial Unicode MS"/>
                <w:b/>
                <w:sz w:val="28"/>
                <w:szCs w:val="28"/>
                <w:u w:color="000000"/>
                <w:bdr w:val="nil"/>
                <w:lang w:val="en-US"/>
              </w:rPr>
              <w:t>Chapter 5: Budget and budget system</w:t>
            </w:r>
          </w:p>
        </w:tc>
        <w:tc>
          <w:tcPr>
            <w:tcW w:w="718" w:type="dxa"/>
          </w:tcPr>
          <w:p w14:paraId="0C8B545A"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sidRPr="00DC1D05">
              <w:rPr>
                <w:rFonts w:eastAsia="Arial Unicode MS" w:cs="Arial Unicode MS"/>
                <w:b/>
                <w:sz w:val="28"/>
                <w:szCs w:val="28"/>
                <w:u w:color="000000"/>
                <w:bdr w:val="nil"/>
                <w:lang w:val="en-US"/>
              </w:rPr>
              <w:t>77</w:t>
            </w:r>
          </w:p>
        </w:tc>
      </w:tr>
      <w:tr w:rsidR="0055600E" w:rsidRPr="0055600E" w14:paraId="1AC7CB6E" w14:textId="77777777" w:rsidTr="00A950CA">
        <w:tc>
          <w:tcPr>
            <w:tcW w:w="8337" w:type="dxa"/>
          </w:tcPr>
          <w:p w14:paraId="3A9E1C75"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5EB682E1"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77</w:t>
            </w:r>
          </w:p>
        </w:tc>
      </w:tr>
      <w:tr w:rsidR="0055600E" w:rsidRPr="0055600E" w14:paraId="27833529" w14:textId="77777777" w:rsidTr="00A950CA">
        <w:tc>
          <w:tcPr>
            <w:tcW w:w="8337" w:type="dxa"/>
          </w:tcPr>
          <w:p w14:paraId="7DD3FEB1"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48DED44C"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86</w:t>
            </w:r>
          </w:p>
        </w:tc>
      </w:tr>
      <w:tr w:rsidR="0055600E" w:rsidRPr="0055600E" w14:paraId="5FC4F9AA" w14:textId="77777777" w:rsidTr="00A950CA">
        <w:tc>
          <w:tcPr>
            <w:tcW w:w="8337" w:type="dxa"/>
          </w:tcPr>
          <w:p w14:paraId="6F9B3FA8"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Key terms </w:t>
            </w:r>
          </w:p>
        </w:tc>
        <w:tc>
          <w:tcPr>
            <w:tcW w:w="718" w:type="dxa"/>
          </w:tcPr>
          <w:p w14:paraId="31E60119"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87</w:t>
            </w:r>
          </w:p>
        </w:tc>
      </w:tr>
      <w:tr w:rsidR="0055600E" w:rsidRPr="0055600E" w14:paraId="7B921358" w14:textId="77777777" w:rsidTr="00A950CA">
        <w:tc>
          <w:tcPr>
            <w:tcW w:w="8337" w:type="dxa"/>
          </w:tcPr>
          <w:p w14:paraId="22AAE9F1"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11DD8DB5"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88</w:t>
            </w:r>
          </w:p>
        </w:tc>
      </w:tr>
      <w:tr w:rsidR="0055600E" w:rsidRPr="0055600E" w14:paraId="6B8B33E2" w14:textId="77777777" w:rsidTr="00A950CA">
        <w:tc>
          <w:tcPr>
            <w:tcW w:w="8337" w:type="dxa"/>
          </w:tcPr>
          <w:p w14:paraId="2DFD18D2"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61AE01E2"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89</w:t>
            </w:r>
          </w:p>
        </w:tc>
      </w:tr>
      <w:tr w:rsidR="0055600E" w:rsidRPr="0055600E" w14:paraId="79042FEB" w14:textId="77777777" w:rsidTr="00A950CA">
        <w:tc>
          <w:tcPr>
            <w:tcW w:w="8337" w:type="dxa"/>
          </w:tcPr>
          <w:p w14:paraId="56525DCF"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30E5C004"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91</w:t>
            </w:r>
          </w:p>
        </w:tc>
      </w:tr>
      <w:tr w:rsidR="0055600E" w:rsidRPr="0055600E" w14:paraId="31BE9AD0" w14:textId="77777777" w:rsidTr="00A950CA">
        <w:tc>
          <w:tcPr>
            <w:tcW w:w="8337" w:type="dxa"/>
          </w:tcPr>
          <w:p w14:paraId="30AF3BBD"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4D9394C1"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91</w:t>
            </w:r>
          </w:p>
        </w:tc>
      </w:tr>
      <w:tr w:rsidR="0055600E" w:rsidRPr="0055600E" w14:paraId="34DB0AFD" w14:textId="77777777" w:rsidTr="00A950CA">
        <w:tc>
          <w:tcPr>
            <w:tcW w:w="8337" w:type="dxa"/>
          </w:tcPr>
          <w:p w14:paraId="7845EA36"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2D3712DA"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91</w:t>
            </w:r>
          </w:p>
        </w:tc>
      </w:tr>
      <w:tr w:rsidR="0055600E" w:rsidRPr="0055600E" w14:paraId="2085A3D4" w14:textId="77777777" w:rsidTr="00A950CA">
        <w:tc>
          <w:tcPr>
            <w:tcW w:w="8337" w:type="dxa"/>
          </w:tcPr>
          <w:p w14:paraId="524164ED"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Computation problems</w:t>
            </w:r>
          </w:p>
        </w:tc>
        <w:tc>
          <w:tcPr>
            <w:tcW w:w="718" w:type="dxa"/>
          </w:tcPr>
          <w:p w14:paraId="31C9A9D8"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sidRPr="00DC1D05">
              <w:rPr>
                <w:rFonts w:eastAsia="Arial Unicode MS" w:cs="Arial Unicode MS"/>
                <w:sz w:val="28"/>
                <w:szCs w:val="28"/>
                <w:u w:color="000000"/>
                <w:bdr w:val="nil"/>
                <w:lang w:val="en-US"/>
              </w:rPr>
              <w:t>92</w:t>
            </w:r>
          </w:p>
        </w:tc>
      </w:tr>
      <w:tr w:rsidR="0055600E" w:rsidRPr="0055600E" w14:paraId="56BB47C8" w14:textId="77777777" w:rsidTr="00A950CA">
        <w:tc>
          <w:tcPr>
            <w:tcW w:w="8337" w:type="dxa"/>
          </w:tcPr>
          <w:p w14:paraId="41EAC61F" w14:textId="77777777" w:rsidR="0055600E" w:rsidRPr="00DC1D05"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bCs/>
                <w:sz w:val="28"/>
                <w:szCs w:val="28"/>
                <w:u w:color="000000"/>
                <w:bdr w:val="nil"/>
                <w:lang w:val="en-US"/>
              </w:rPr>
            </w:pPr>
            <w:r w:rsidRPr="00DC1D05">
              <w:rPr>
                <w:rFonts w:eastAsia="Arial Unicode MS" w:cs="Arial Unicode MS"/>
                <w:b/>
                <w:sz w:val="28"/>
                <w:szCs w:val="28"/>
                <w:u w:color="000000"/>
                <w:bdr w:val="nil"/>
                <w:lang w:val="en-US"/>
              </w:rPr>
              <w:t xml:space="preserve">Chapter 6: </w:t>
            </w:r>
            <w:r w:rsidRPr="00DC1D05">
              <w:rPr>
                <w:rFonts w:eastAsia="Arial Unicode MS" w:cs="Arial Unicode MS"/>
                <w:b/>
                <w:bCs/>
                <w:sz w:val="28"/>
                <w:szCs w:val="28"/>
                <w:u w:color="000000"/>
                <w:bdr w:val="nil"/>
                <w:lang w:val="en-US"/>
              </w:rPr>
              <w:t>Household finance</w:t>
            </w:r>
          </w:p>
        </w:tc>
        <w:tc>
          <w:tcPr>
            <w:tcW w:w="718" w:type="dxa"/>
          </w:tcPr>
          <w:p w14:paraId="66BF5F63"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sidRPr="00DC1D05">
              <w:rPr>
                <w:rFonts w:eastAsia="Arial Unicode MS" w:cs="Arial Unicode MS"/>
                <w:b/>
                <w:sz w:val="28"/>
                <w:szCs w:val="28"/>
                <w:u w:color="000000"/>
                <w:bdr w:val="nil"/>
                <w:lang w:val="en-US"/>
              </w:rPr>
              <w:t>95</w:t>
            </w:r>
          </w:p>
        </w:tc>
      </w:tr>
      <w:tr w:rsidR="0055600E" w:rsidRPr="0055600E" w14:paraId="6AC7E265" w14:textId="77777777" w:rsidTr="00A950CA">
        <w:tc>
          <w:tcPr>
            <w:tcW w:w="8337" w:type="dxa"/>
          </w:tcPr>
          <w:p w14:paraId="69BDB64B"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2E075801"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95</w:t>
            </w:r>
          </w:p>
        </w:tc>
      </w:tr>
      <w:tr w:rsidR="0055600E" w:rsidRPr="0055600E" w14:paraId="691D697B" w14:textId="77777777" w:rsidTr="00A950CA">
        <w:tc>
          <w:tcPr>
            <w:tcW w:w="8337" w:type="dxa"/>
          </w:tcPr>
          <w:p w14:paraId="11453A33"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27D67399"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105</w:t>
            </w:r>
          </w:p>
        </w:tc>
      </w:tr>
      <w:tr w:rsidR="0055600E" w:rsidRPr="0055600E" w14:paraId="1412EFC0" w14:textId="77777777" w:rsidTr="00A950CA">
        <w:tc>
          <w:tcPr>
            <w:tcW w:w="8337" w:type="dxa"/>
          </w:tcPr>
          <w:p w14:paraId="286476AA"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Key terms </w:t>
            </w:r>
          </w:p>
        </w:tc>
        <w:tc>
          <w:tcPr>
            <w:tcW w:w="718" w:type="dxa"/>
          </w:tcPr>
          <w:p w14:paraId="31292F93"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105</w:t>
            </w:r>
          </w:p>
        </w:tc>
      </w:tr>
      <w:tr w:rsidR="0055600E" w:rsidRPr="0055600E" w14:paraId="7A93A4A4" w14:textId="77777777" w:rsidTr="00A950CA">
        <w:tc>
          <w:tcPr>
            <w:tcW w:w="8337" w:type="dxa"/>
          </w:tcPr>
          <w:p w14:paraId="358447F5"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2EC9461D"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107</w:t>
            </w:r>
          </w:p>
        </w:tc>
      </w:tr>
      <w:tr w:rsidR="0055600E" w:rsidRPr="0055600E" w14:paraId="7B7B18E6" w14:textId="77777777" w:rsidTr="00A950CA">
        <w:tc>
          <w:tcPr>
            <w:tcW w:w="8337" w:type="dxa"/>
          </w:tcPr>
          <w:p w14:paraId="0D202D2E"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2671EC18"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108</w:t>
            </w:r>
          </w:p>
        </w:tc>
      </w:tr>
      <w:tr w:rsidR="0055600E" w:rsidRPr="0055600E" w14:paraId="56AE31AA" w14:textId="77777777" w:rsidTr="00A950CA">
        <w:tc>
          <w:tcPr>
            <w:tcW w:w="8337" w:type="dxa"/>
          </w:tcPr>
          <w:p w14:paraId="3C773AFF"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451F23D3"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109</w:t>
            </w:r>
          </w:p>
        </w:tc>
      </w:tr>
      <w:tr w:rsidR="0055600E" w:rsidRPr="0055600E" w14:paraId="092DAEF2" w14:textId="77777777" w:rsidTr="00A950CA">
        <w:tc>
          <w:tcPr>
            <w:tcW w:w="8337" w:type="dxa"/>
          </w:tcPr>
          <w:p w14:paraId="73B422B1"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60A3DBA2"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109</w:t>
            </w:r>
          </w:p>
        </w:tc>
      </w:tr>
      <w:tr w:rsidR="0055600E" w:rsidRPr="0055600E" w14:paraId="2F3BD008" w14:textId="77777777" w:rsidTr="00A950CA">
        <w:tc>
          <w:tcPr>
            <w:tcW w:w="8337" w:type="dxa"/>
          </w:tcPr>
          <w:p w14:paraId="389D2C44"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00B808F2"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110</w:t>
            </w:r>
          </w:p>
        </w:tc>
      </w:tr>
      <w:tr w:rsidR="0055600E" w:rsidRPr="0055600E" w14:paraId="35E7BB23" w14:textId="77777777" w:rsidTr="00A950CA">
        <w:tc>
          <w:tcPr>
            <w:tcW w:w="8337" w:type="dxa"/>
          </w:tcPr>
          <w:p w14:paraId="24A88B84"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Computation problems</w:t>
            </w:r>
          </w:p>
        </w:tc>
        <w:tc>
          <w:tcPr>
            <w:tcW w:w="718" w:type="dxa"/>
          </w:tcPr>
          <w:p w14:paraId="70FD064D"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sidRPr="00DC1D05">
              <w:rPr>
                <w:rFonts w:eastAsia="Arial Unicode MS" w:cs="Arial Unicode MS"/>
                <w:sz w:val="28"/>
                <w:szCs w:val="28"/>
                <w:u w:color="000000"/>
                <w:bdr w:val="nil"/>
                <w:lang w:val="en-US"/>
              </w:rPr>
              <w:t>111</w:t>
            </w:r>
          </w:p>
        </w:tc>
      </w:tr>
      <w:tr w:rsidR="0055600E" w:rsidRPr="0055600E" w14:paraId="5FD1278B" w14:textId="77777777" w:rsidTr="00A950CA">
        <w:tc>
          <w:tcPr>
            <w:tcW w:w="8337" w:type="dxa"/>
          </w:tcPr>
          <w:p w14:paraId="1602F2E0"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sz w:val="28"/>
                <w:szCs w:val="28"/>
                <w:u w:color="000000"/>
                <w:bdr w:val="nil"/>
                <w:lang w:val="en-US"/>
              </w:rPr>
            </w:pPr>
            <w:r w:rsidRPr="0055600E">
              <w:rPr>
                <w:rFonts w:eastAsia="Arial Unicode MS" w:cs="Arial Unicode MS"/>
                <w:b/>
                <w:sz w:val="28"/>
                <w:szCs w:val="28"/>
                <w:u w:color="000000"/>
                <w:bdr w:val="nil"/>
                <w:lang w:val="en-US"/>
              </w:rPr>
              <w:t>Chapter 7: Corporate finance</w:t>
            </w:r>
          </w:p>
        </w:tc>
        <w:tc>
          <w:tcPr>
            <w:tcW w:w="718" w:type="dxa"/>
          </w:tcPr>
          <w:p w14:paraId="0A2C47F5"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Pr>
                <w:rFonts w:eastAsia="Arial Unicode MS" w:cs="Arial Unicode MS"/>
                <w:b/>
                <w:sz w:val="28"/>
                <w:szCs w:val="28"/>
                <w:u w:color="000000"/>
                <w:bdr w:val="nil"/>
                <w:lang w:val="en-US"/>
              </w:rPr>
              <w:t>114</w:t>
            </w:r>
          </w:p>
        </w:tc>
      </w:tr>
      <w:tr w:rsidR="0055600E" w:rsidRPr="0055600E" w14:paraId="19FA195E" w14:textId="77777777" w:rsidTr="00A950CA">
        <w:tc>
          <w:tcPr>
            <w:tcW w:w="8337" w:type="dxa"/>
          </w:tcPr>
          <w:p w14:paraId="75E6D968"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342F69C9"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114</w:t>
            </w:r>
          </w:p>
        </w:tc>
      </w:tr>
      <w:tr w:rsidR="0055600E" w:rsidRPr="0055600E" w14:paraId="65D4E4BB" w14:textId="77777777" w:rsidTr="00A950CA">
        <w:tc>
          <w:tcPr>
            <w:tcW w:w="8337" w:type="dxa"/>
          </w:tcPr>
          <w:p w14:paraId="2AABDA5B"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1DE4992C"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122</w:t>
            </w:r>
          </w:p>
        </w:tc>
      </w:tr>
      <w:tr w:rsidR="0055600E" w:rsidRPr="0055600E" w14:paraId="67F1A976" w14:textId="77777777" w:rsidTr="00A950CA">
        <w:tc>
          <w:tcPr>
            <w:tcW w:w="8337" w:type="dxa"/>
          </w:tcPr>
          <w:p w14:paraId="3357B92B"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Key terms </w:t>
            </w:r>
          </w:p>
        </w:tc>
        <w:tc>
          <w:tcPr>
            <w:tcW w:w="718" w:type="dxa"/>
          </w:tcPr>
          <w:p w14:paraId="47677B4A"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123</w:t>
            </w:r>
          </w:p>
        </w:tc>
      </w:tr>
      <w:tr w:rsidR="0055600E" w:rsidRPr="0055600E" w14:paraId="20E99C93" w14:textId="77777777" w:rsidTr="00A950CA">
        <w:tc>
          <w:tcPr>
            <w:tcW w:w="8337" w:type="dxa"/>
          </w:tcPr>
          <w:p w14:paraId="3CFEFD11"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1D3F4FEB"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124</w:t>
            </w:r>
          </w:p>
        </w:tc>
      </w:tr>
      <w:tr w:rsidR="0055600E" w:rsidRPr="0055600E" w14:paraId="0BD88565" w14:textId="77777777" w:rsidTr="00A950CA">
        <w:tc>
          <w:tcPr>
            <w:tcW w:w="8337" w:type="dxa"/>
          </w:tcPr>
          <w:p w14:paraId="3D2881B4"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5604A91C"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125</w:t>
            </w:r>
          </w:p>
        </w:tc>
      </w:tr>
      <w:tr w:rsidR="0055600E" w:rsidRPr="0055600E" w14:paraId="743FFFCF" w14:textId="77777777" w:rsidTr="00A950CA">
        <w:tc>
          <w:tcPr>
            <w:tcW w:w="8337" w:type="dxa"/>
          </w:tcPr>
          <w:p w14:paraId="0C822E97"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7942017D"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127</w:t>
            </w:r>
          </w:p>
        </w:tc>
      </w:tr>
      <w:tr w:rsidR="0055600E" w:rsidRPr="0055600E" w14:paraId="10668B6D" w14:textId="77777777" w:rsidTr="00A950CA">
        <w:tc>
          <w:tcPr>
            <w:tcW w:w="8337" w:type="dxa"/>
          </w:tcPr>
          <w:p w14:paraId="56459B83"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476BDF69"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127</w:t>
            </w:r>
          </w:p>
        </w:tc>
      </w:tr>
      <w:tr w:rsidR="0055600E" w:rsidRPr="0055600E" w14:paraId="627263D2" w14:textId="77777777" w:rsidTr="00A950CA">
        <w:tc>
          <w:tcPr>
            <w:tcW w:w="8337" w:type="dxa"/>
          </w:tcPr>
          <w:p w14:paraId="48FF84A0"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0D8FD887" w14:textId="77777777" w:rsidR="0055600E" w:rsidRPr="0055600E"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128</w:t>
            </w:r>
          </w:p>
        </w:tc>
      </w:tr>
      <w:tr w:rsidR="0055600E" w:rsidRPr="0055600E" w14:paraId="6764DCE5" w14:textId="77777777" w:rsidTr="00A950CA">
        <w:tc>
          <w:tcPr>
            <w:tcW w:w="8337" w:type="dxa"/>
          </w:tcPr>
          <w:p w14:paraId="596C52A5"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Computation problems</w:t>
            </w:r>
          </w:p>
        </w:tc>
        <w:tc>
          <w:tcPr>
            <w:tcW w:w="718" w:type="dxa"/>
          </w:tcPr>
          <w:p w14:paraId="2BAB583D"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sidRPr="00DC1D05">
              <w:rPr>
                <w:rFonts w:eastAsia="Arial Unicode MS" w:cs="Arial Unicode MS"/>
                <w:sz w:val="28"/>
                <w:szCs w:val="28"/>
                <w:u w:color="000000"/>
                <w:bdr w:val="nil"/>
                <w:lang w:val="en-US"/>
              </w:rPr>
              <w:t>128</w:t>
            </w:r>
          </w:p>
        </w:tc>
      </w:tr>
      <w:tr w:rsidR="0055600E" w:rsidRPr="0055600E" w14:paraId="2C7915AD" w14:textId="77777777" w:rsidTr="00A950CA">
        <w:tc>
          <w:tcPr>
            <w:tcW w:w="8337" w:type="dxa"/>
          </w:tcPr>
          <w:p w14:paraId="237B3B00"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bCs/>
                <w:sz w:val="28"/>
                <w:szCs w:val="28"/>
                <w:u w:color="000000"/>
                <w:bdr w:val="nil"/>
                <w:lang w:val="en-US"/>
              </w:rPr>
            </w:pPr>
            <w:r w:rsidRPr="0055600E">
              <w:rPr>
                <w:rFonts w:eastAsia="Arial Unicode MS" w:cs="Arial Unicode MS"/>
                <w:b/>
                <w:sz w:val="28"/>
                <w:szCs w:val="28"/>
                <w:u w:color="000000"/>
                <w:bdr w:val="nil"/>
                <w:lang w:val="en-US"/>
              </w:rPr>
              <w:t xml:space="preserve">Chapter 8: </w:t>
            </w:r>
            <w:r w:rsidRPr="0055600E">
              <w:rPr>
                <w:rFonts w:eastAsia="Arial Unicode MS" w:cs="Arial Unicode MS"/>
                <w:b/>
                <w:bCs/>
                <w:sz w:val="28"/>
                <w:szCs w:val="28"/>
                <w:u w:color="000000"/>
                <w:bdr w:val="nil"/>
                <w:lang w:val="en-US"/>
              </w:rPr>
              <w:t>Financial analysis</w:t>
            </w:r>
          </w:p>
        </w:tc>
        <w:tc>
          <w:tcPr>
            <w:tcW w:w="718" w:type="dxa"/>
          </w:tcPr>
          <w:p w14:paraId="49932180" w14:textId="77777777" w:rsidR="0055600E" w:rsidRPr="00DC1D05" w:rsidRDefault="00DC1D05"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sidRPr="00DC1D05">
              <w:rPr>
                <w:rFonts w:eastAsia="Arial Unicode MS" w:cs="Arial Unicode MS"/>
                <w:b/>
                <w:sz w:val="28"/>
                <w:szCs w:val="28"/>
                <w:u w:color="000000"/>
                <w:bdr w:val="nil"/>
                <w:lang w:val="en-US"/>
              </w:rPr>
              <w:t>138</w:t>
            </w:r>
          </w:p>
        </w:tc>
      </w:tr>
      <w:tr w:rsidR="0055600E" w:rsidRPr="0055600E" w14:paraId="0A679A82" w14:textId="77777777" w:rsidTr="00A950CA">
        <w:tc>
          <w:tcPr>
            <w:tcW w:w="8337" w:type="dxa"/>
          </w:tcPr>
          <w:p w14:paraId="3C415016"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30AA2559" w14:textId="77777777" w:rsidR="0055600E" w:rsidRPr="0055600E"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138</w:t>
            </w:r>
          </w:p>
        </w:tc>
      </w:tr>
      <w:tr w:rsidR="0055600E" w:rsidRPr="0055600E" w14:paraId="41D9DF6A" w14:textId="77777777" w:rsidTr="00A950CA">
        <w:tc>
          <w:tcPr>
            <w:tcW w:w="8337" w:type="dxa"/>
          </w:tcPr>
          <w:p w14:paraId="439F122B"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4888C427" w14:textId="77777777" w:rsidR="0055600E" w:rsidRPr="0055600E"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148</w:t>
            </w:r>
          </w:p>
        </w:tc>
      </w:tr>
      <w:tr w:rsidR="0055600E" w:rsidRPr="0055600E" w14:paraId="648AB7CB" w14:textId="77777777" w:rsidTr="00A950CA">
        <w:tc>
          <w:tcPr>
            <w:tcW w:w="8337" w:type="dxa"/>
          </w:tcPr>
          <w:p w14:paraId="5E5CB7C7"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Key terms </w:t>
            </w:r>
          </w:p>
        </w:tc>
        <w:tc>
          <w:tcPr>
            <w:tcW w:w="718" w:type="dxa"/>
          </w:tcPr>
          <w:p w14:paraId="26033811" w14:textId="77777777" w:rsidR="0055600E" w:rsidRPr="0055600E"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149</w:t>
            </w:r>
          </w:p>
        </w:tc>
      </w:tr>
      <w:tr w:rsidR="0055600E" w:rsidRPr="0055600E" w14:paraId="6CE410D9" w14:textId="77777777" w:rsidTr="00A950CA">
        <w:tc>
          <w:tcPr>
            <w:tcW w:w="8337" w:type="dxa"/>
          </w:tcPr>
          <w:p w14:paraId="38B9DBDC"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4D345D17" w14:textId="77777777" w:rsidR="0055600E" w:rsidRPr="0055600E"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151</w:t>
            </w:r>
          </w:p>
        </w:tc>
      </w:tr>
      <w:tr w:rsidR="0055600E" w:rsidRPr="0055600E" w14:paraId="381C89D1" w14:textId="77777777" w:rsidTr="00A950CA">
        <w:tc>
          <w:tcPr>
            <w:tcW w:w="8337" w:type="dxa"/>
          </w:tcPr>
          <w:p w14:paraId="04673857"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06E91D7A" w14:textId="77777777" w:rsidR="0055600E" w:rsidRPr="0055600E"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152</w:t>
            </w:r>
          </w:p>
        </w:tc>
      </w:tr>
      <w:tr w:rsidR="0055600E" w:rsidRPr="0055600E" w14:paraId="1798312C" w14:textId="77777777" w:rsidTr="00A950CA">
        <w:tc>
          <w:tcPr>
            <w:tcW w:w="8337" w:type="dxa"/>
          </w:tcPr>
          <w:p w14:paraId="39DFEF1E"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5EE523B8"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154</w:t>
            </w:r>
          </w:p>
        </w:tc>
      </w:tr>
      <w:tr w:rsidR="0055600E" w:rsidRPr="0055600E" w14:paraId="16EC0A85" w14:textId="77777777" w:rsidTr="00A950CA">
        <w:tc>
          <w:tcPr>
            <w:tcW w:w="8337" w:type="dxa"/>
          </w:tcPr>
          <w:p w14:paraId="44A32AF8"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42B43898"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154</w:t>
            </w:r>
          </w:p>
        </w:tc>
      </w:tr>
      <w:tr w:rsidR="0055600E" w:rsidRPr="0055600E" w14:paraId="1F2ED024" w14:textId="77777777" w:rsidTr="00A950CA">
        <w:tc>
          <w:tcPr>
            <w:tcW w:w="8337" w:type="dxa"/>
          </w:tcPr>
          <w:p w14:paraId="785C47FC"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07428D2E"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155</w:t>
            </w:r>
          </w:p>
        </w:tc>
      </w:tr>
      <w:tr w:rsidR="0055600E" w:rsidRPr="0055600E" w14:paraId="01E86EB4" w14:textId="77777777" w:rsidTr="00A950CA">
        <w:tc>
          <w:tcPr>
            <w:tcW w:w="8337" w:type="dxa"/>
          </w:tcPr>
          <w:p w14:paraId="61F3B1EB"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Computation problems</w:t>
            </w:r>
          </w:p>
        </w:tc>
        <w:tc>
          <w:tcPr>
            <w:tcW w:w="718" w:type="dxa"/>
          </w:tcPr>
          <w:p w14:paraId="5CFD7117"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155</w:t>
            </w:r>
          </w:p>
        </w:tc>
      </w:tr>
      <w:tr w:rsidR="0055600E" w:rsidRPr="0055600E" w14:paraId="742A0AC5" w14:textId="77777777" w:rsidTr="00A950CA">
        <w:tc>
          <w:tcPr>
            <w:tcW w:w="8337" w:type="dxa"/>
          </w:tcPr>
          <w:p w14:paraId="4CEB9FB8"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bCs/>
                <w:sz w:val="28"/>
                <w:szCs w:val="28"/>
                <w:u w:color="000000"/>
                <w:bdr w:val="nil"/>
                <w:lang w:val="en-US"/>
              </w:rPr>
            </w:pPr>
            <w:r w:rsidRPr="0055600E">
              <w:rPr>
                <w:rFonts w:eastAsia="Arial Unicode MS" w:cs="Arial Unicode MS"/>
                <w:b/>
                <w:sz w:val="28"/>
                <w:szCs w:val="28"/>
                <w:u w:color="000000"/>
                <w:bdr w:val="nil"/>
                <w:lang w:val="en-US"/>
              </w:rPr>
              <w:t xml:space="preserve">Chapter 9: </w:t>
            </w:r>
            <w:r w:rsidRPr="0055600E">
              <w:rPr>
                <w:rFonts w:eastAsia="Arial Unicode MS" w:cs="Arial Unicode MS"/>
                <w:b/>
                <w:bCs/>
                <w:sz w:val="28"/>
                <w:szCs w:val="28"/>
                <w:u w:color="000000"/>
                <w:bdr w:val="nil"/>
                <w:lang w:val="en-US"/>
              </w:rPr>
              <w:t>Financial market</w:t>
            </w:r>
          </w:p>
        </w:tc>
        <w:tc>
          <w:tcPr>
            <w:tcW w:w="718" w:type="dxa"/>
          </w:tcPr>
          <w:p w14:paraId="065B35C2"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sidRPr="00A950CA">
              <w:rPr>
                <w:rFonts w:eastAsia="Arial Unicode MS" w:cs="Arial Unicode MS"/>
                <w:b/>
                <w:sz w:val="28"/>
                <w:szCs w:val="28"/>
                <w:u w:color="000000"/>
                <w:bdr w:val="nil"/>
                <w:lang w:val="en-US"/>
              </w:rPr>
              <w:t>165</w:t>
            </w:r>
          </w:p>
        </w:tc>
      </w:tr>
      <w:tr w:rsidR="0055600E" w:rsidRPr="0055600E" w14:paraId="43C0D894" w14:textId="77777777" w:rsidTr="00A950CA">
        <w:tc>
          <w:tcPr>
            <w:tcW w:w="8337" w:type="dxa"/>
          </w:tcPr>
          <w:p w14:paraId="0BEC29B8"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7E093EF2"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165</w:t>
            </w:r>
          </w:p>
        </w:tc>
      </w:tr>
      <w:tr w:rsidR="0055600E" w:rsidRPr="0055600E" w14:paraId="421B1552" w14:textId="77777777" w:rsidTr="00A950CA">
        <w:tc>
          <w:tcPr>
            <w:tcW w:w="8337" w:type="dxa"/>
          </w:tcPr>
          <w:p w14:paraId="5841799C"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62E33953"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173</w:t>
            </w:r>
          </w:p>
        </w:tc>
      </w:tr>
      <w:tr w:rsidR="0055600E" w:rsidRPr="0055600E" w14:paraId="221A02FD" w14:textId="77777777" w:rsidTr="00A950CA">
        <w:tc>
          <w:tcPr>
            <w:tcW w:w="8337" w:type="dxa"/>
          </w:tcPr>
          <w:p w14:paraId="240DC168"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lastRenderedPageBreak/>
              <w:t xml:space="preserve">Key terms </w:t>
            </w:r>
          </w:p>
        </w:tc>
        <w:tc>
          <w:tcPr>
            <w:tcW w:w="718" w:type="dxa"/>
          </w:tcPr>
          <w:p w14:paraId="3EC18BB9"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173</w:t>
            </w:r>
          </w:p>
        </w:tc>
      </w:tr>
      <w:tr w:rsidR="0055600E" w:rsidRPr="0055600E" w14:paraId="37C1FD14" w14:textId="77777777" w:rsidTr="00A950CA">
        <w:tc>
          <w:tcPr>
            <w:tcW w:w="8337" w:type="dxa"/>
          </w:tcPr>
          <w:p w14:paraId="5AF16206"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794A7045"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175</w:t>
            </w:r>
          </w:p>
        </w:tc>
      </w:tr>
      <w:tr w:rsidR="0055600E" w:rsidRPr="0055600E" w14:paraId="6A401643" w14:textId="77777777" w:rsidTr="00A950CA">
        <w:tc>
          <w:tcPr>
            <w:tcW w:w="8337" w:type="dxa"/>
          </w:tcPr>
          <w:p w14:paraId="2816C567"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0C9FD1CB"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176</w:t>
            </w:r>
          </w:p>
        </w:tc>
      </w:tr>
      <w:tr w:rsidR="0055600E" w:rsidRPr="0055600E" w14:paraId="6BE6FBE2" w14:textId="77777777" w:rsidTr="00A950CA">
        <w:tc>
          <w:tcPr>
            <w:tcW w:w="8337" w:type="dxa"/>
          </w:tcPr>
          <w:p w14:paraId="37A2E70D"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7F86A7F9"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178</w:t>
            </w:r>
          </w:p>
        </w:tc>
      </w:tr>
      <w:tr w:rsidR="0055600E" w:rsidRPr="0055600E" w14:paraId="487EFE61" w14:textId="77777777" w:rsidTr="00A950CA">
        <w:tc>
          <w:tcPr>
            <w:tcW w:w="8337" w:type="dxa"/>
          </w:tcPr>
          <w:p w14:paraId="1759F3AE"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70E6274F"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178</w:t>
            </w:r>
          </w:p>
        </w:tc>
      </w:tr>
      <w:tr w:rsidR="0055600E" w:rsidRPr="0055600E" w14:paraId="44870395" w14:textId="77777777" w:rsidTr="00A950CA">
        <w:tc>
          <w:tcPr>
            <w:tcW w:w="8337" w:type="dxa"/>
          </w:tcPr>
          <w:p w14:paraId="4AF1B2AB"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35602562"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178</w:t>
            </w:r>
          </w:p>
        </w:tc>
      </w:tr>
      <w:tr w:rsidR="0055600E" w:rsidRPr="0055600E" w14:paraId="69F9A08B" w14:textId="77777777" w:rsidTr="00A950CA">
        <w:tc>
          <w:tcPr>
            <w:tcW w:w="8337" w:type="dxa"/>
          </w:tcPr>
          <w:p w14:paraId="0AA142F3"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Computation problems</w:t>
            </w:r>
          </w:p>
        </w:tc>
        <w:tc>
          <w:tcPr>
            <w:tcW w:w="718" w:type="dxa"/>
          </w:tcPr>
          <w:p w14:paraId="67921341"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179</w:t>
            </w:r>
          </w:p>
        </w:tc>
      </w:tr>
      <w:tr w:rsidR="0055600E" w:rsidRPr="0055600E" w14:paraId="5915E020" w14:textId="77777777" w:rsidTr="00A950CA">
        <w:tc>
          <w:tcPr>
            <w:tcW w:w="8337" w:type="dxa"/>
          </w:tcPr>
          <w:p w14:paraId="2890DEF9"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bCs/>
                <w:sz w:val="28"/>
                <w:szCs w:val="28"/>
                <w:u w:color="000000"/>
                <w:bdr w:val="nil"/>
                <w:lang w:val="en-US"/>
              </w:rPr>
            </w:pPr>
            <w:r w:rsidRPr="0055600E">
              <w:rPr>
                <w:rFonts w:eastAsia="Arial Unicode MS" w:cs="Arial Unicode MS"/>
                <w:b/>
                <w:sz w:val="28"/>
                <w:szCs w:val="28"/>
                <w:u w:color="000000"/>
                <w:bdr w:val="nil"/>
                <w:lang w:val="en-US"/>
              </w:rPr>
              <w:t xml:space="preserve">Chapter 10: </w:t>
            </w:r>
            <w:r w:rsidRPr="0055600E">
              <w:rPr>
                <w:rFonts w:eastAsia="Arial Unicode MS" w:cs="Arial Unicode MS"/>
                <w:b/>
                <w:bCs/>
                <w:sz w:val="28"/>
                <w:szCs w:val="28"/>
                <w:u w:color="000000"/>
                <w:bdr w:val="nil"/>
                <w:lang w:val="en-US"/>
              </w:rPr>
              <w:t>Insurance and insurance market</w:t>
            </w:r>
          </w:p>
        </w:tc>
        <w:tc>
          <w:tcPr>
            <w:tcW w:w="718" w:type="dxa"/>
          </w:tcPr>
          <w:p w14:paraId="58C6AE34"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sidRPr="00A950CA">
              <w:rPr>
                <w:rFonts w:eastAsia="Arial Unicode MS" w:cs="Arial Unicode MS"/>
                <w:b/>
                <w:sz w:val="28"/>
                <w:szCs w:val="28"/>
                <w:u w:color="000000"/>
                <w:bdr w:val="nil"/>
                <w:lang w:val="en-US"/>
              </w:rPr>
              <w:t>183</w:t>
            </w:r>
          </w:p>
        </w:tc>
      </w:tr>
      <w:tr w:rsidR="0055600E" w:rsidRPr="0055600E" w14:paraId="201427DB" w14:textId="77777777" w:rsidTr="00A950CA">
        <w:tc>
          <w:tcPr>
            <w:tcW w:w="8337" w:type="dxa"/>
          </w:tcPr>
          <w:p w14:paraId="3744004B"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46CC20D3"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183</w:t>
            </w:r>
          </w:p>
        </w:tc>
      </w:tr>
      <w:tr w:rsidR="0055600E" w:rsidRPr="0055600E" w14:paraId="65AA5FA0" w14:textId="77777777" w:rsidTr="00A950CA">
        <w:tc>
          <w:tcPr>
            <w:tcW w:w="8337" w:type="dxa"/>
          </w:tcPr>
          <w:p w14:paraId="4049B0EF"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66159963"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191</w:t>
            </w:r>
          </w:p>
        </w:tc>
      </w:tr>
      <w:tr w:rsidR="0055600E" w:rsidRPr="0055600E" w14:paraId="52C3AC37" w14:textId="77777777" w:rsidTr="00A950CA">
        <w:tc>
          <w:tcPr>
            <w:tcW w:w="8337" w:type="dxa"/>
          </w:tcPr>
          <w:p w14:paraId="54237635"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Key terms </w:t>
            </w:r>
          </w:p>
        </w:tc>
        <w:tc>
          <w:tcPr>
            <w:tcW w:w="718" w:type="dxa"/>
          </w:tcPr>
          <w:p w14:paraId="6F7ABD79"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191</w:t>
            </w:r>
          </w:p>
        </w:tc>
      </w:tr>
      <w:tr w:rsidR="0055600E" w:rsidRPr="0055600E" w14:paraId="7765D7A8" w14:textId="77777777" w:rsidTr="00A950CA">
        <w:tc>
          <w:tcPr>
            <w:tcW w:w="8337" w:type="dxa"/>
          </w:tcPr>
          <w:p w14:paraId="37B28AFB"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578A8038"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193</w:t>
            </w:r>
          </w:p>
        </w:tc>
      </w:tr>
      <w:tr w:rsidR="0055600E" w:rsidRPr="0055600E" w14:paraId="7DD62F75" w14:textId="77777777" w:rsidTr="00A950CA">
        <w:tc>
          <w:tcPr>
            <w:tcW w:w="8337" w:type="dxa"/>
          </w:tcPr>
          <w:p w14:paraId="190F36C7"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77B53599"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194</w:t>
            </w:r>
          </w:p>
        </w:tc>
      </w:tr>
      <w:tr w:rsidR="0055600E" w:rsidRPr="0055600E" w14:paraId="3945DF39" w14:textId="77777777" w:rsidTr="00A950CA">
        <w:tc>
          <w:tcPr>
            <w:tcW w:w="8337" w:type="dxa"/>
          </w:tcPr>
          <w:p w14:paraId="1CE78588"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78FA66C7"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195</w:t>
            </w:r>
          </w:p>
        </w:tc>
      </w:tr>
      <w:tr w:rsidR="0055600E" w:rsidRPr="0055600E" w14:paraId="508982A2" w14:textId="77777777" w:rsidTr="00A950CA">
        <w:tc>
          <w:tcPr>
            <w:tcW w:w="8337" w:type="dxa"/>
          </w:tcPr>
          <w:p w14:paraId="48915C02"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0B838B73"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195</w:t>
            </w:r>
          </w:p>
        </w:tc>
      </w:tr>
      <w:tr w:rsidR="0055600E" w:rsidRPr="0055600E" w14:paraId="33A76206" w14:textId="77777777" w:rsidTr="00A950CA">
        <w:tc>
          <w:tcPr>
            <w:tcW w:w="8337" w:type="dxa"/>
          </w:tcPr>
          <w:p w14:paraId="4665621C"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3A719D2C"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196</w:t>
            </w:r>
          </w:p>
        </w:tc>
      </w:tr>
      <w:tr w:rsidR="0055600E" w:rsidRPr="0055600E" w14:paraId="0CA4C69C" w14:textId="77777777" w:rsidTr="00A950CA">
        <w:tc>
          <w:tcPr>
            <w:tcW w:w="8337" w:type="dxa"/>
          </w:tcPr>
          <w:p w14:paraId="37684D22"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Computation problems</w:t>
            </w:r>
          </w:p>
        </w:tc>
        <w:tc>
          <w:tcPr>
            <w:tcW w:w="718" w:type="dxa"/>
          </w:tcPr>
          <w:p w14:paraId="3763D9BC"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197</w:t>
            </w:r>
          </w:p>
        </w:tc>
      </w:tr>
      <w:tr w:rsidR="0055600E" w:rsidRPr="0055600E" w14:paraId="1AC403BA" w14:textId="77777777" w:rsidTr="00A950CA">
        <w:tc>
          <w:tcPr>
            <w:tcW w:w="8337" w:type="dxa"/>
          </w:tcPr>
          <w:p w14:paraId="286402D3"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176"/>
              <w:rPr>
                <w:rFonts w:eastAsia="Arial Unicode MS" w:cs="Arial Unicode MS"/>
                <w:b/>
                <w:bCs/>
                <w:sz w:val="28"/>
                <w:szCs w:val="28"/>
                <w:u w:color="000000"/>
                <w:bdr w:val="nil"/>
                <w:lang w:val="en-US"/>
              </w:rPr>
            </w:pPr>
            <w:r w:rsidRPr="0055600E">
              <w:rPr>
                <w:rFonts w:eastAsia="Arial Unicode MS" w:cs="Arial Unicode MS"/>
                <w:b/>
                <w:sz w:val="28"/>
                <w:szCs w:val="28"/>
                <w:u w:color="000000"/>
                <w:bdr w:val="nil"/>
                <w:lang w:val="en-US"/>
              </w:rPr>
              <w:t xml:space="preserve">Chapter 11: </w:t>
            </w:r>
            <w:r w:rsidRPr="0055600E">
              <w:rPr>
                <w:rFonts w:eastAsia="Arial Unicode MS" w:cs="Arial Unicode MS"/>
                <w:b/>
                <w:bCs/>
                <w:sz w:val="28"/>
                <w:szCs w:val="28"/>
                <w:u w:color="000000"/>
                <w:bdr w:val="nil"/>
                <w:lang w:val="en-US"/>
              </w:rPr>
              <w:t>International finance</w:t>
            </w:r>
          </w:p>
        </w:tc>
        <w:tc>
          <w:tcPr>
            <w:tcW w:w="718" w:type="dxa"/>
          </w:tcPr>
          <w:p w14:paraId="1FCD1C51"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sidRPr="00A950CA">
              <w:rPr>
                <w:rFonts w:eastAsia="Arial Unicode MS" w:cs="Arial Unicode MS"/>
                <w:b/>
                <w:sz w:val="28"/>
                <w:szCs w:val="28"/>
                <w:u w:color="000000"/>
                <w:bdr w:val="nil"/>
                <w:lang w:val="en-US"/>
              </w:rPr>
              <w:t>200</w:t>
            </w:r>
          </w:p>
        </w:tc>
      </w:tr>
      <w:tr w:rsidR="0055600E" w:rsidRPr="0055600E" w14:paraId="5AF23457" w14:textId="77777777" w:rsidTr="00A950CA">
        <w:tc>
          <w:tcPr>
            <w:tcW w:w="8337" w:type="dxa"/>
          </w:tcPr>
          <w:p w14:paraId="6CCFC82A"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7A3EEC0A"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200</w:t>
            </w:r>
          </w:p>
        </w:tc>
      </w:tr>
      <w:tr w:rsidR="0055600E" w:rsidRPr="0055600E" w14:paraId="5980AC65" w14:textId="77777777" w:rsidTr="00A950CA">
        <w:tc>
          <w:tcPr>
            <w:tcW w:w="8337" w:type="dxa"/>
          </w:tcPr>
          <w:p w14:paraId="18CEDF6D"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535E08B3" w14:textId="77777777" w:rsidR="0055600E" w:rsidRPr="00A950CA" w:rsidRDefault="00A950CA" w:rsidP="00A950CA">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207</w:t>
            </w:r>
          </w:p>
        </w:tc>
      </w:tr>
      <w:tr w:rsidR="0055600E" w:rsidRPr="0055600E" w14:paraId="3091F39B" w14:textId="77777777" w:rsidTr="00A950CA">
        <w:tc>
          <w:tcPr>
            <w:tcW w:w="8337" w:type="dxa"/>
          </w:tcPr>
          <w:p w14:paraId="386271B6"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Key terms </w:t>
            </w:r>
          </w:p>
        </w:tc>
        <w:tc>
          <w:tcPr>
            <w:tcW w:w="718" w:type="dxa"/>
          </w:tcPr>
          <w:p w14:paraId="33B136D9"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208</w:t>
            </w:r>
          </w:p>
        </w:tc>
      </w:tr>
      <w:tr w:rsidR="0055600E" w:rsidRPr="0055600E" w14:paraId="191FA26D" w14:textId="77777777" w:rsidTr="00A950CA">
        <w:tc>
          <w:tcPr>
            <w:tcW w:w="8337" w:type="dxa"/>
          </w:tcPr>
          <w:p w14:paraId="6A3B53CD"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010ADF28"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209</w:t>
            </w:r>
          </w:p>
        </w:tc>
      </w:tr>
      <w:tr w:rsidR="0055600E" w:rsidRPr="0055600E" w14:paraId="31A6DE77" w14:textId="77777777" w:rsidTr="00A950CA">
        <w:tc>
          <w:tcPr>
            <w:tcW w:w="8337" w:type="dxa"/>
          </w:tcPr>
          <w:p w14:paraId="6DA6FF78"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3AA39C10"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210</w:t>
            </w:r>
          </w:p>
        </w:tc>
      </w:tr>
      <w:tr w:rsidR="0055600E" w:rsidRPr="0055600E" w14:paraId="00B82A2E" w14:textId="77777777" w:rsidTr="00A950CA">
        <w:tc>
          <w:tcPr>
            <w:tcW w:w="8337" w:type="dxa"/>
          </w:tcPr>
          <w:p w14:paraId="69B14E19"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520E113D"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212</w:t>
            </w:r>
          </w:p>
        </w:tc>
      </w:tr>
      <w:tr w:rsidR="0055600E" w:rsidRPr="0055600E" w14:paraId="0816ABE0" w14:textId="77777777" w:rsidTr="00A950CA">
        <w:tc>
          <w:tcPr>
            <w:tcW w:w="8337" w:type="dxa"/>
          </w:tcPr>
          <w:p w14:paraId="3436D218"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3626C314"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212</w:t>
            </w:r>
          </w:p>
        </w:tc>
      </w:tr>
      <w:tr w:rsidR="0055600E" w:rsidRPr="0055600E" w14:paraId="5F40459D" w14:textId="77777777" w:rsidTr="00A950CA">
        <w:tc>
          <w:tcPr>
            <w:tcW w:w="8337" w:type="dxa"/>
          </w:tcPr>
          <w:p w14:paraId="68CC64D3"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w:cs="Arial"/>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0444D231"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212</w:t>
            </w:r>
          </w:p>
        </w:tc>
      </w:tr>
      <w:tr w:rsidR="0055600E" w:rsidRPr="0055600E" w14:paraId="6145E39B" w14:textId="77777777" w:rsidTr="00A950CA">
        <w:tc>
          <w:tcPr>
            <w:tcW w:w="8337" w:type="dxa"/>
          </w:tcPr>
          <w:p w14:paraId="3FBB917F"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Computation problems</w:t>
            </w:r>
          </w:p>
        </w:tc>
        <w:tc>
          <w:tcPr>
            <w:tcW w:w="718" w:type="dxa"/>
          </w:tcPr>
          <w:p w14:paraId="19C97979" w14:textId="77777777" w:rsidR="0055600E" w:rsidRPr="00A950CA" w:rsidRDefault="00A950CA" w:rsidP="00514EC7">
            <w:pPr>
              <w:pBdr>
                <w:top w:val="nil"/>
                <w:left w:val="nil"/>
                <w:bottom w:val="nil"/>
                <w:right w:val="nil"/>
                <w:between w:val="nil"/>
                <w:bar w:val="nil"/>
              </w:pBdr>
              <w:rPr>
                <w:rFonts w:eastAsia="Calibri" w:cs="Calibri"/>
                <w:sz w:val="28"/>
                <w:szCs w:val="28"/>
                <w:u w:color="000000"/>
                <w:bdr w:val="nil"/>
                <w:lang w:val="en-US" w:eastAsia="en-US"/>
              </w:rPr>
            </w:pPr>
            <w:r>
              <w:rPr>
                <w:rFonts w:eastAsia="Calibri" w:cs="Calibri"/>
                <w:sz w:val="28"/>
                <w:szCs w:val="28"/>
                <w:u w:color="000000"/>
                <w:bdr w:val="nil"/>
                <w:lang w:val="en-US" w:eastAsia="en-US"/>
              </w:rPr>
              <w:t>213</w:t>
            </w:r>
          </w:p>
        </w:tc>
      </w:tr>
      <w:tr w:rsidR="0055600E" w:rsidRPr="0055600E" w14:paraId="24572BE6" w14:textId="77777777" w:rsidTr="00A950CA">
        <w:tc>
          <w:tcPr>
            <w:tcW w:w="8337" w:type="dxa"/>
          </w:tcPr>
          <w:p w14:paraId="5139AA8B" w14:textId="77777777" w:rsidR="0055600E" w:rsidRPr="0055600E" w:rsidRDefault="0055600E" w:rsidP="0055600E">
            <w:pPr>
              <w:pBdr>
                <w:top w:val="nil"/>
                <w:left w:val="nil"/>
                <w:bottom w:val="nil"/>
                <w:right w:val="nil"/>
                <w:between w:val="nil"/>
                <w:bar w:val="nil"/>
              </w:pBdr>
              <w:ind w:firstLine="176"/>
              <w:rPr>
                <w:rFonts w:eastAsia="Calibri" w:cs="Calibri"/>
                <w:b/>
                <w:sz w:val="28"/>
                <w:szCs w:val="28"/>
                <w:u w:color="000000"/>
                <w:bdr w:val="nil"/>
                <w:lang w:val="en-US" w:eastAsia="en-US"/>
              </w:rPr>
            </w:pPr>
            <w:r w:rsidRPr="0055600E">
              <w:rPr>
                <w:rFonts w:eastAsia="Calibri" w:cs="Calibri"/>
                <w:b/>
                <w:sz w:val="28"/>
                <w:szCs w:val="28"/>
                <w:u w:color="000000"/>
                <w:bdr w:val="nil"/>
                <w:lang w:val="en-US" w:eastAsia="en-US"/>
              </w:rPr>
              <w:t>Chapter 12: Finance of European Union</w:t>
            </w:r>
          </w:p>
        </w:tc>
        <w:tc>
          <w:tcPr>
            <w:tcW w:w="718" w:type="dxa"/>
          </w:tcPr>
          <w:p w14:paraId="2C506C4A"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b/>
                <w:sz w:val="28"/>
                <w:szCs w:val="28"/>
                <w:u w:color="000000"/>
                <w:bdr w:val="nil"/>
                <w:lang w:val="en-US"/>
              </w:rPr>
            </w:pPr>
            <w:r w:rsidRPr="00A950CA">
              <w:rPr>
                <w:rFonts w:eastAsia="Arial Unicode MS" w:cs="Arial Unicode MS"/>
                <w:b/>
                <w:sz w:val="28"/>
                <w:szCs w:val="28"/>
                <w:u w:color="000000"/>
                <w:bdr w:val="nil"/>
                <w:lang w:val="en-US"/>
              </w:rPr>
              <w:t>216</w:t>
            </w:r>
          </w:p>
        </w:tc>
      </w:tr>
      <w:tr w:rsidR="0055600E" w:rsidRPr="0055600E" w14:paraId="0B0530FD" w14:textId="77777777" w:rsidTr="00A950CA">
        <w:tc>
          <w:tcPr>
            <w:tcW w:w="8337" w:type="dxa"/>
          </w:tcPr>
          <w:p w14:paraId="3F3BE84D" w14:textId="77777777" w:rsidR="0055600E" w:rsidRPr="0055600E" w:rsidRDefault="00DC1D05"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Pr>
                <w:rFonts w:eastAsia="Arial Unicode MS" w:cs="Arial Unicode MS"/>
                <w:sz w:val="28"/>
                <w:szCs w:val="28"/>
                <w:u w:color="000000"/>
                <w:bdr w:val="nil"/>
                <w:lang w:val="en-US"/>
              </w:rPr>
              <w:t>Summary</w:t>
            </w:r>
          </w:p>
        </w:tc>
        <w:tc>
          <w:tcPr>
            <w:tcW w:w="718" w:type="dxa"/>
          </w:tcPr>
          <w:p w14:paraId="784BB254"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216</w:t>
            </w:r>
          </w:p>
        </w:tc>
      </w:tr>
      <w:tr w:rsidR="0055600E" w:rsidRPr="0055600E" w14:paraId="592BDE81" w14:textId="77777777" w:rsidTr="00A950CA">
        <w:tc>
          <w:tcPr>
            <w:tcW w:w="8337" w:type="dxa"/>
          </w:tcPr>
          <w:p w14:paraId="6134FFBF"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Recommended reading </w:t>
            </w:r>
          </w:p>
        </w:tc>
        <w:tc>
          <w:tcPr>
            <w:tcW w:w="718" w:type="dxa"/>
          </w:tcPr>
          <w:p w14:paraId="4944382C"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227</w:t>
            </w:r>
          </w:p>
        </w:tc>
      </w:tr>
      <w:tr w:rsidR="0055600E" w:rsidRPr="0055600E" w14:paraId="14E47CB1" w14:textId="77777777" w:rsidTr="00A950CA">
        <w:tc>
          <w:tcPr>
            <w:tcW w:w="8337" w:type="dxa"/>
          </w:tcPr>
          <w:p w14:paraId="0303D1A2"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Key terms </w:t>
            </w:r>
          </w:p>
        </w:tc>
        <w:tc>
          <w:tcPr>
            <w:tcW w:w="718" w:type="dxa"/>
          </w:tcPr>
          <w:p w14:paraId="448DF45D"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228</w:t>
            </w:r>
          </w:p>
        </w:tc>
      </w:tr>
      <w:tr w:rsidR="0055600E" w:rsidRPr="0055600E" w14:paraId="648454EA" w14:textId="77777777" w:rsidTr="00A950CA">
        <w:tc>
          <w:tcPr>
            <w:tcW w:w="8337" w:type="dxa"/>
          </w:tcPr>
          <w:p w14:paraId="1C9041CF"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 xml:space="preserve">Review questions </w:t>
            </w:r>
          </w:p>
        </w:tc>
        <w:tc>
          <w:tcPr>
            <w:tcW w:w="718" w:type="dxa"/>
          </w:tcPr>
          <w:p w14:paraId="65395BD1"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230</w:t>
            </w:r>
          </w:p>
        </w:tc>
      </w:tr>
      <w:tr w:rsidR="0055600E" w:rsidRPr="0055600E" w14:paraId="3940D832" w14:textId="77777777" w:rsidTr="00A950CA">
        <w:tc>
          <w:tcPr>
            <w:tcW w:w="8337" w:type="dxa"/>
          </w:tcPr>
          <w:p w14:paraId="43BA75BE"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Multiple choice questions</w:t>
            </w:r>
          </w:p>
        </w:tc>
        <w:tc>
          <w:tcPr>
            <w:tcW w:w="718" w:type="dxa"/>
          </w:tcPr>
          <w:p w14:paraId="6343C09B"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231</w:t>
            </w:r>
          </w:p>
        </w:tc>
      </w:tr>
      <w:tr w:rsidR="0055600E" w:rsidRPr="0055600E" w14:paraId="6F99FB4A" w14:textId="77777777" w:rsidTr="00A950CA">
        <w:tc>
          <w:tcPr>
            <w:tcW w:w="8337" w:type="dxa"/>
          </w:tcPr>
          <w:p w14:paraId="07B2C07F"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Short answer questions</w:t>
            </w:r>
          </w:p>
        </w:tc>
        <w:tc>
          <w:tcPr>
            <w:tcW w:w="718" w:type="dxa"/>
          </w:tcPr>
          <w:p w14:paraId="6F8F82CE"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232</w:t>
            </w:r>
          </w:p>
        </w:tc>
      </w:tr>
      <w:tr w:rsidR="0055600E" w:rsidRPr="0055600E" w14:paraId="65A8082B" w14:textId="77777777" w:rsidTr="00A950CA">
        <w:tc>
          <w:tcPr>
            <w:tcW w:w="8337" w:type="dxa"/>
          </w:tcPr>
          <w:p w14:paraId="014A39A7"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Calibri" w:cs="Calibri"/>
                <w:sz w:val="28"/>
                <w:szCs w:val="28"/>
                <w:u w:color="000000"/>
                <w:bdr w:val="nil"/>
                <w:lang w:val="en-US" w:eastAsia="en-US"/>
              </w:rPr>
            </w:pPr>
            <w:r w:rsidRPr="0055600E">
              <w:rPr>
                <w:rFonts w:eastAsia="Calibri" w:cs="Calibri"/>
                <w:sz w:val="28"/>
                <w:szCs w:val="28"/>
                <w:u w:color="000000"/>
                <w:bdr w:val="nil"/>
                <w:lang w:val="en-US" w:eastAsia="en-US"/>
              </w:rPr>
              <w:t>Missing word questions</w:t>
            </w:r>
          </w:p>
        </w:tc>
        <w:tc>
          <w:tcPr>
            <w:tcW w:w="718" w:type="dxa"/>
          </w:tcPr>
          <w:p w14:paraId="17926136"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Calibri" w:cs="Calibri"/>
                <w:sz w:val="28"/>
                <w:szCs w:val="28"/>
                <w:u w:color="000000"/>
                <w:bdr w:val="nil"/>
                <w:lang w:val="en-US" w:eastAsia="en-US"/>
              </w:rPr>
            </w:pPr>
            <w:r>
              <w:rPr>
                <w:rFonts w:eastAsia="Calibri" w:cs="Calibri"/>
                <w:sz w:val="28"/>
                <w:szCs w:val="28"/>
                <w:u w:color="000000"/>
                <w:bdr w:val="nil"/>
                <w:lang w:val="en-US" w:eastAsia="en-US"/>
              </w:rPr>
              <w:t>232</w:t>
            </w:r>
          </w:p>
        </w:tc>
      </w:tr>
      <w:tr w:rsidR="0055600E" w:rsidRPr="0055600E" w14:paraId="0716626D" w14:textId="77777777" w:rsidTr="00A950CA">
        <w:tc>
          <w:tcPr>
            <w:tcW w:w="8337" w:type="dxa"/>
          </w:tcPr>
          <w:p w14:paraId="7A4E3DC2"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Calibri" w:cs="Calibri"/>
                <w:sz w:val="28"/>
                <w:szCs w:val="28"/>
                <w:u w:color="000000"/>
                <w:bdr w:val="nil"/>
                <w:lang w:val="en-US" w:eastAsia="en-US"/>
              </w:rPr>
            </w:pPr>
            <w:r w:rsidRPr="0055600E">
              <w:rPr>
                <w:rFonts w:eastAsia="Calibri" w:cs="Calibri"/>
                <w:sz w:val="28"/>
                <w:szCs w:val="28"/>
                <w:u w:color="000000"/>
                <w:bdr w:val="nil"/>
                <w:lang w:val="en-US" w:eastAsia="en-US"/>
              </w:rPr>
              <w:t>True/False/Uncertain questions</w:t>
            </w:r>
          </w:p>
        </w:tc>
        <w:tc>
          <w:tcPr>
            <w:tcW w:w="718" w:type="dxa"/>
          </w:tcPr>
          <w:p w14:paraId="26A445CC"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233</w:t>
            </w:r>
          </w:p>
        </w:tc>
      </w:tr>
      <w:tr w:rsidR="0055600E" w:rsidRPr="0055600E" w14:paraId="5BFD9C91" w14:textId="77777777" w:rsidTr="00A950CA">
        <w:tc>
          <w:tcPr>
            <w:tcW w:w="8337" w:type="dxa"/>
          </w:tcPr>
          <w:p w14:paraId="00CAB5BC" w14:textId="77777777" w:rsidR="0055600E" w:rsidRPr="0055600E" w:rsidRDefault="0055600E" w:rsidP="0055600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Computation problems</w:t>
            </w:r>
          </w:p>
        </w:tc>
        <w:tc>
          <w:tcPr>
            <w:tcW w:w="718" w:type="dxa"/>
          </w:tcPr>
          <w:p w14:paraId="7BAAA15E" w14:textId="77777777" w:rsidR="0055600E" w:rsidRPr="00A950CA" w:rsidRDefault="00A950CA" w:rsidP="00514EC7">
            <w:pPr>
              <w:pBdr>
                <w:top w:val="nil"/>
                <w:left w:val="nil"/>
                <w:bottom w:val="nil"/>
                <w:right w:val="nil"/>
                <w:between w:val="nil"/>
                <w:bar w:val="nil"/>
              </w:pBdr>
              <w:rPr>
                <w:rFonts w:eastAsia="Calibri" w:cs="Calibri"/>
                <w:sz w:val="28"/>
                <w:szCs w:val="28"/>
                <w:u w:color="000000"/>
                <w:bdr w:val="nil"/>
                <w:lang w:val="en-US" w:eastAsia="en-US"/>
              </w:rPr>
            </w:pPr>
            <w:r>
              <w:rPr>
                <w:rFonts w:eastAsia="Calibri" w:cs="Calibri"/>
                <w:sz w:val="28"/>
                <w:szCs w:val="28"/>
                <w:u w:color="000000"/>
                <w:bdr w:val="nil"/>
                <w:lang w:val="en-US" w:eastAsia="en-US"/>
              </w:rPr>
              <w:t>234</w:t>
            </w:r>
          </w:p>
        </w:tc>
      </w:tr>
      <w:tr w:rsidR="0055600E" w:rsidRPr="0055600E" w14:paraId="5473A876" w14:textId="77777777" w:rsidTr="00A950CA">
        <w:tc>
          <w:tcPr>
            <w:tcW w:w="8337" w:type="dxa"/>
          </w:tcPr>
          <w:p w14:paraId="2B6C5100" w14:textId="77777777" w:rsidR="0055600E" w:rsidRPr="0055600E" w:rsidRDefault="0055600E" w:rsidP="0055600E">
            <w:pPr>
              <w:pBdr>
                <w:top w:val="nil"/>
                <w:left w:val="nil"/>
                <w:bottom w:val="nil"/>
                <w:right w:val="nil"/>
                <w:between w:val="nil"/>
                <w:bar w:val="nil"/>
              </w:pBdr>
              <w:ind w:firstLine="176"/>
              <w:rPr>
                <w:rFonts w:eastAsia="Arial Bold" w:cs="Arial Bold"/>
                <w:b/>
                <w:sz w:val="28"/>
                <w:szCs w:val="28"/>
                <w:u w:color="000000"/>
                <w:bdr w:val="nil"/>
                <w:lang w:val="en-US" w:eastAsia="en-US"/>
              </w:rPr>
            </w:pPr>
            <w:r w:rsidRPr="0055600E">
              <w:rPr>
                <w:rFonts w:eastAsia="Calibri" w:cs="Calibri"/>
                <w:b/>
                <w:sz w:val="28"/>
                <w:szCs w:val="28"/>
                <w:u w:color="000000"/>
                <w:bdr w:val="nil"/>
                <w:lang w:val="en-US" w:eastAsia="en-US"/>
              </w:rPr>
              <w:t>Assignments to the course</w:t>
            </w:r>
          </w:p>
        </w:tc>
        <w:tc>
          <w:tcPr>
            <w:tcW w:w="718" w:type="dxa"/>
          </w:tcPr>
          <w:p w14:paraId="756C3D2C" w14:textId="77777777" w:rsidR="0055600E" w:rsidRPr="00A950CA" w:rsidRDefault="0055600E"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p>
        </w:tc>
      </w:tr>
      <w:tr w:rsidR="0055600E" w:rsidRPr="0055600E" w14:paraId="13D48885" w14:textId="77777777" w:rsidTr="00A950CA">
        <w:tc>
          <w:tcPr>
            <w:tcW w:w="8337" w:type="dxa"/>
          </w:tcPr>
          <w:p w14:paraId="74128ADC"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Assignment 1: Academic writing in finance</w:t>
            </w:r>
          </w:p>
        </w:tc>
        <w:tc>
          <w:tcPr>
            <w:tcW w:w="718" w:type="dxa"/>
          </w:tcPr>
          <w:p w14:paraId="06660B84"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238</w:t>
            </w:r>
          </w:p>
        </w:tc>
      </w:tr>
      <w:tr w:rsidR="0055600E" w:rsidRPr="0055600E" w14:paraId="35AE75DF" w14:textId="77777777" w:rsidTr="00A950CA">
        <w:tc>
          <w:tcPr>
            <w:tcW w:w="8337" w:type="dxa"/>
          </w:tcPr>
          <w:p w14:paraId="5B860751"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Description</w:t>
            </w:r>
          </w:p>
        </w:tc>
        <w:tc>
          <w:tcPr>
            <w:tcW w:w="718" w:type="dxa"/>
          </w:tcPr>
          <w:p w14:paraId="3FD3A6B0"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238</w:t>
            </w:r>
          </w:p>
        </w:tc>
      </w:tr>
      <w:tr w:rsidR="0055600E" w:rsidRPr="0055600E" w14:paraId="656F7A06" w14:textId="77777777" w:rsidTr="00A950CA">
        <w:tc>
          <w:tcPr>
            <w:tcW w:w="8337" w:type="dxa"/>
          </w:tcPr>
          <w:p w14:paraId="00ECADE1"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Guidelines: some practical tips</w:t>
            </w:r>
          </w:p>
        </w:tc>
        <w:tc>
          <w:tcPr>
            <w:tcW w:w="718" w:type="dxa"/>
          </w:tcPr>
          <w:p w14:paraId="12D73741"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240</w:t>
            </w:r>
          </w:p>
        </w:tc>
      </w:tr>
      <w:tr w:rsidR="0055600E" w:rsidRPr="0055600E" w14:paraId="0D6D83EC" w14:textId="77777777" w:rsidTr="00A950CA">
        <w:tc>
          <w:tcPr>
            <w:tcW w:w="8337" w:type="dxa"/>
          </w:tcPr>
          <w:p w14:paraId="00A9337A"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Evaluation criteria</w:t>
            </w:r>
          </w:p>
        </w:tc>
        <w:tc>
          <w:tcPr>
            <w:tcW w:w="718" w:type="dxa"/>
          </w:tcPr>
          <w:p w14:paraId="762891C7"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243</w:t>
            </w:r>
          </w:p>
        </w:tc>
      </w:tr>
      <w:tr w:rsidR="0055600E" w:rsidRPr="0055600E" w14:paraId="478B2035" w14:textId="77777777" w:rsidTr="00A950CA">
        <w:tc>
          <w:tcPr>
            <w:tcW w:w="8337" w:type="dxa"/>
          </w:tcPr>
          <w:p w14:paraId="3D6AA0B8"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Assignment 2: Case study on cash flow analysis</w:t>
            </w:r>
          </w:p>
        </w:tc>
        <w:tc>
          <w:tcPr>
            <w:tcW w:w="718" w:type="dxa"/>
          </w:tcPr>
          <w:p w14:paraId="3EA47E39"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245</w:t>
            </w:r>
          </w:p>
        </w:tc>
      </w:tr>
      <w:tr w:rsidR="0055600E" w:rsidRPr="0055600E" w14:paraId="4F63345A" w14:textId="77777777" w:rsidTr="00A950CA">
        <w:tc>
          <w:tcPr>
            <w:tcW w:w="8337" w:type="dxa"/>
          </w:tcPr>
          <w:p w14:paraId="3F5F6061"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Description</w:t>
            </w:r>
          </w:p>
        </w:tc>
        <w:tc>
          <w:tcPr>
            <w:tcW w:w="718" w:type="dxa"/>
          </w:tcPr>
          <w:p w14:paraId="49013BE2"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245</w:t>
            </w:r>
          </w:p>
        </w:tc>
      </w:tr>
      <w:tr w:rsidR="0055600E" w:rsidRPr="0055600E" w14:paraId="0C885A9B" w14:textId="77777777" w:rsidTr="00A950CA">
        <w:tc>
          <w:tcPr>
            <w:tcW w:w="8337" w:type="dxa"/>
          </w:tcPr>
          <w:p w14:paraId="2BDC4613"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lastRenderedPageBreak/>
              <w:t>Guidelines: some practical tips</w:t>
            </w:r>
          </w:p>
        </w:tc>
        <w:tc>
          <w:tcPr>
            <w:tcW w:w="718" w:type="dxa"/>
          </w:tcPr>
          <w:p w14:paraId="3C791787"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245</w:t>
            </w:r>
          </w:p>
        </w:tc>
      </w:tr>
      <w:tr w:rsidR="0055600E" w:rsidRPr="0055600E" w14:paraId="52DD016D" w14:textId="77777777" w:rsidTr="00A950CA">
        <w:tc>
          <w:tcPr>
            <w:tcW w:w="8337" w:type="dxa"/>
          </w:tcPr>
          <w:p w14:paraId="6608A780"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Evaluation criteria</w:t>
            </w:r>
          </w:p>
        </w:tc>
        <w:tc>
          <w:tcPr>
            <w:tcW w:w="718" w:type="dxa"/>
          </w:tcPr>
          <w:p w14:paraId="750EC65E"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248</w:t>
            </w:r>
          </w:p>
        </w:tc>
      </w:tr>
      <w:tr w:rsidR="0055600E" w:rsidRPr="0055600E" w14:paraId="6D726973" w14:textId="77777777" w:rsidTr="00A950CA">
        <w:tc>
          <w:tcPr>
            <w:tcW w:w="8337" w:type="dxa"/>
          </w:tcPr>
          <w:p w14:paraId="038CA76A"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Assignment 3: Company’s financial analysis team project</w:t>
            </w:r>
          </w:p>
        </w:tc>
        <w:tc>
          <w:tcPr>
            <w:tcW w:w="718" w:type="dxa"/>
          </w:tcPr>
          <w:p w14:paraId="45FF47CD"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249</w:t>
            </w:r>
          </w:p>
        </w:tc>
      </w:tr>
      <w:tr w:rsidR="0055600E" w:rsidRPr="0055600E" w14:paraId="118A4F04" w14:textId="77777777" w:rsidTr="00A950CA">
        <w:tc>
          <w:tcPr>
            <w:tcW w:w="8337" w:type="dxa"/>
          </w:tcPr>
          <w:p w14:paraId="594442C8"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Description</w:t>
            </w:r>
          </w:p>
        </w:tc>
        <w:tc>
          <w:tcPr>
            <w:tcW w:w="718" w:type="dxa"/>
          </w:tcPr>
          <w:p w14:paraId="2AC2E2FA"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249</w:t>
            </w:r>
          </w:p>
        </w:tc>
      </w:tr>
      <w:tr w:rsidR="0055600E" w:rsidRPr="0055600E" w14:paraId="6580BE15" w14:textId="77777777" w:rsidTr="00A950CA">
        <w:tc>
          <w:tcPr>
            <w:tcW w:w="8337" w:type="dxa"/>
          </w:tcPr>
          <w:p w14:paraId="0205F6CB"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Guidelines: some practical tips</w:t>
            </w:r>
          </w:p>
        </w:tc>
        <w:tc>
          <w:tcPr>
            <w:tcW w:w="718" w:type="dxa"/>
          </w:tcPr>
          <w:p w14:paraId="39D96EE9"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249</w:t>
            </w:r>
          </w:p>
        </w:tc>
      </w:tr>
      <w:tr w:rsidR="0055600E" w:rsidRPr="0055600E" w14:paraId="4455C630" w14:textId="77777777" w:rsidTr="00A950CA">
        <w:tc>
          <w:tcPr>
            <w:tcW w:w="8337" w:type="dxa"/>
          </w:tcPr>
          <w:p w14:paraId="17090984" w14:textId="77777777" w:rsidR="0055600E" w:rsidRPr="0055600E" w:rsidRDefault="00A950CA"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Evaluation criteria</w:t>
            </w:r>
          </w:p>
        </w:tc>
        <w:tc>
          <w:tcPr>
            <w:tcW w:w="718" w:type="dxa"/>
          </w:tcPr>
          <w:p w14:paraId="50BED748"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252</w:t>
            </w:r>
          </w:p>
        </w:tc>
      </w:tr>
      <w:tr w:rsidR="0055600E" w:rsidRPr="0055600E" w14:paraId="45DC420C" w14:textId="77777777" w:rsidTr="00A950CA">
        <w:tc>
          <w:tcPr>
            <w:tcW w:w="8337" w:type="dxa"/>
          </w:tcPr>
          <w:p w14:paraId="29A101E5" w14:textId="77777777" w:rsidR="0055600E" w:rsidRPr="0055600E" w:rsidRDefault="00A950CA"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References</w:t>
            </w:r>
          </w:p>
        </w:tc>
        <w:tc>
          <w:tcPr>
            <w:tcW w:w="718" w:type="dxa"/>
          </w:tcPr>
          <w:p w14:paraId="20D27B98"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254</w:t>
            </w:r>
          </w:p>
        </w:tc>
      </w:tr>
      <w:tr w:rsidR="0055600E" w:rsidRPr="0055600E" w14:paraId="19A4EDFA" w14:textId="77777777" w:rsidTr="00A950CA">
        <w:tc>
          <w:tcPr>
            <w:tcW w:w="8337" w:type="dxa"/>
          </w:tcPr>
          <w:p w14:paraId="2DDE994E"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459"/>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Assignment 4: Finance of developed countries</w:t>
            </w:r>
          </w:p>
        </w:tc>
        <w:tc>
          <w:tcPr>
            <w:tcW w:w="718" w:type="dxa"/>
          </w:tcPr>
          <w:p w14:paraId="4FAC2219"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255</w:t>
            </w:r>
          </w:p>
        </w:tc>
      </w:tr>
      <w:tr w:rsidR="0055600E" w:rsidRPr="0055600E" w14:paraId="2305ACD4" w14:textId="77777777" w:rsidTr="00A950CA">
        <w:tc>
          <w:tcPr>
            <w:tcW w:w="8337" w:type="dxa"/>
          </w:tcPr>
          <w:p w14:paraId="674A61F1"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Description</w:t>
            </w:r>
          </w:p>
        </w:tc>
        <w:tc>
          <w:tcPr>
            <w:tcW w:w="718" w:type="dxa"/>
          </w:tcPr>
          <w:p w14:paraId="2B9C3763"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255</w:t>
            </w:r>
          </w:p>
        </w:tc>
      </w:tr>
      <w:tr w:rsidR="0055600E" w:rsidRPr="0055600E" w14:paraId="3B90F719" w14:textId="77777777" w:rsidTr="00A950CA">
        <w:tc>
          <w:tcPr>
            <w:tcW w:w="8337" w:type="dxa"/>
          </w:tcPr>
          <w:p w14:paraId="2BC40F04"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Guidelines: some practical tips</w:t>
            </w:r>
          </w:p>
        </w:tc>
        <w:tc>
          <w:tcPr>
            <w:tcW w:w="718" w:type="dxa"/>
          </w:tcPr>
          <w:p w14:paraId="1B80E9AB" w14:textId="77777777" w:rsidR="0055600E" w:rsidRPr="00A950CA" w:rsidRDefault="00A950CA" w:rsidP="00514E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eastAsia="Arial Unicode MS" w:cs="Arial Unicode MS"/>
                <w:sz w:val="28"/>
                <w:szCs w:val="28"/>
                <w:u w:color="000000"/>
                <w:bdr w:val="nil"/>
                <w:lang w:val="en-US"/>
              </w:rPr>
            </w:pPr>
            <w:r>
              <w:rPr>
                <w:rFonts w:eastAsia="Arial Unicode MS" w:cs="Arial Unicode MS"/>
                <w:sz w:val="28"/>
                <w:szCs w:val="28"/>
                <w:u w:color="000000"/>
                <w:bdr w:val="nil"/>
                <w:lang w:val="en-US"/>
              </w:rPr>
              <w:t>256</w:t>
            </w:r>
          </w:p>
        </w:tc>
      </w:tr>
      <w:tr w:rsidR="0055600E" w:rsidRPr="0055600E" w14:paraId="125E5A89" w14:textId="77777777" w:rsidTr="00A950CA">
        <w:tc>
          <w:tcPr>
            <w:tcW w:w="8337" w:type="dxa"/>
          </w:tcPr>
          <w:p w14:paraId="436459D7" w14:textId="77777777" w:rsidR="0055600E" w:rsidRPr="0055600E" w:rsidRDefault="0055600E" w:rsidP="00D5088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743"/>
              <w:rPr>
                <w:rFonts w:eastAsia="Arial Unicode MS" w:cs="Arial Unicode MS"/>
                <w:sz w:val="28"/>
                <w:szCs w:val="28"/>
                <w:u w:color="000000"/>
                <w:bdr w:val="nil"/>
                <w:lang w:val="en-US"/>
              </w:rPr>
            </w:pPr>
            <w:r w:rsidRPr="0055600E">
              <w:rPr>
                <w:rFonts w:eastAsia="Arial Unicode MS" w:cs="Arial Unicode MS"/>
                <w:sz w:val="28"/>
                <w:szCs w:val="28"/>
                <w:u w:color="000000"/>
                <w:bdr w:val="nil"/>
                <w:lang w:val="en-US"/>
              </w:rPr>
              <w:t>Evaluation criteria</w:t>
            </w:r>
          </w:p>
        </w:tc>
        <w:tc>
          <w:tcPr>
            <w:tcW w:w="718" w:type="dxa"/>
          </w:tcPr>
          <w:p w14:paraId="7BD76C30" w14:textId="77777777" w:rsidR="0055600E" w:rsidRPr="00A950CA" w:rsidRDefault="00A950CA" w:rsidP="00514EC7">
            <w:pPr>
              <w:pBdr>
                <w:top w:val="nil"/>
                <w:left w:val="nil"/>
                <w:bottom w:val="nil"/>
                <w:right w:val="nil"/>
                <w:between w:val="nil"/>
                <w:bar w:val="nil"/>
              </w:pBdr>
              <w:rPr>
                <w:rFonts w:eastAsia="Calibri" w:cs="Calibri"/>
                <w:bCs/>
                <w:sz w:val="28"/>
                <w:szCs w:val="28"/>
                <w:u w:color="000000"/>
                <w:bdr w:val="nil"/>
                <w:lang w:val="en-US" w:eastAsia="en-US"/>
              </w:rPr>
            </w:pPr>
            <w:r>
              <w:rPr>
                <w:rFonts w:eastAsia="Calibri" w:cs="Calibri"/>
                <w:bCs/>
                <w:sz w:val="28"/>
                <w:szCs w:val="28"/>
                <w:u w:color="000000"/>
                <w:bdr w:val="nil"/>
                <w:lang w:val="en-US" w:eastAsia="en-US"/>
              </w:rPr>
              <w:t>259</w:t>
            </w:r>
          </w:p>
        </w:tc>
      </w:tr>
      <w:tr w:rsidR="0055600E" w:rsidRPr="0055600E" w14:paraId="3CD59C19" w14:textId="77777777" w:rsidTr="00A950CA">
        <w:tc>
          <w:tcPr>
            <w:tcW w:w="8337" w:type="dxa"/>
          </w:tcPr>
          <w:p w14:paraId="48C3FF3A" w14:textId="77777777" w:rsidR="0055600E" w:rsidRPr="0055600E" w:rsidRDefault="0055600E" w:rsidP="0055600E">
            <w:pPr>
              <w:pBdr>
                <w:top w:val="nil"/>
                <w:left w:val="nil"/>
                <w:bottom w:val="nil"/>
                <w:right w:val="nil"/>
                <w:between w:val="nil"/>
                <w:bar w:val="nil"/>
              </w:pBdr>
              <w:ind w:firstLine="176"/>
              <w:rPr>
                <w:rFonts w:eastAsia="Calibri" w:cs="Calibri"/>
                <w:b/>
                <w:bCs/>
                <w:sz w:val="28"/>
                <w:szCs w:val="28"/>
                <w:u w:color="000000"/>
                <w:bdr w:val="nil"/>
                <w:lang w:val="en-US" w:eastAsia="en-US"/>
              </w:rPr>
            </w:pPr>
            <w:r w:rsidRPr="0055600E">
              <w:rPr>
                <w:rFonts w:eastAsia="Calibri" w:cs="Calibri"/>
                <w:b/>
                <w:bCs/>
                <w:sz w:val="28"/>
                <w:szCs w:val="28"/>
                <w:u w:color="000000"/>
                <w:bdr w:val="nil"/>
                <w:lang w:val="en-US" w:eastAsia="en-US"/>
              </w:rPr>
              <w:t xml:space="preserve">References </w:t>
            </w:r>
          </w:p>
        </w:tc>
        <w:tc>
          <w:tcPr>
            <w:tcW w:w="718" w:type="dxa"/>
          </w:tcPr>
          <w:p w14:paraId="22233C86" w14:textId="77777777" w:rsidR="0055600E" w:rsidRPr="00A950CA" w:rsidRDefault="00A950CA" w:rsidP="00514EC7">
            <w:pPr>
              <w:pBdr>
                <w:top w:val="nil"/>
                <w:left w:val="nil"/>
                <w:bottom w:val="nil"/>
                <w:right w:val="nil"/>
                <w:between w:val="nil"/>
                <w:bar w:val="nil"/>
              </w:pBdr>
              <w:rPr>
                <w:rFonts w:eastAsia="Calibri" w:cs="Calibri"/>
                <w:b/>
                <w:bCs/>
                <w:sz w:val="28"/>
                <w:szCs w:val="28"/>
                <w:u w:color="000000"/>
                <w:bdr w:val="nil"/>
                <w:lang w:val="en-US" w:eastAsia="en-US"/>
              </w:rPr>
            </w:pPr>
            <w:r w:rsidRPr="00A950CA">
              <w:rPr>
                <w:rFonts w:eastAsia="Calibri" w:cs="Calibri"/>
                <w:b/>
                <w:bCs/>
                <w:sz w:val="28"/>
                <w:szCs w:val="28"/>
                <w:u w:color="000000"/>
                <w:bdr w:val="nil"/>
                <w:lang w:val="en-US" w:eastAsia="en-US"/>
              </w:rPr>
              <w:t>261</w:t>
            </w:r>
          </w:p>
        </w:tc>
      </w:tr>
      <w:tr w:rsidR="0055600E" w:rsidRPr="0055600E" w14:paraId="3CA995E0" w14:textId="77777777" w:rsidTr="00A950CA">
        <w:tc>
          <w:tcPr>
            <w:tcW w:w="8337" w:type="dxa"/>
          </w:tcPr>
          <w:p w14:paraId="69D2467E" w14:textId="77777777" w:rsidR="0055600E" w:rsidRPr="0055600E" w:rsidRDefault="0055600E" w:rsidP="0055600E">
            <w:pPr>
              <w:pBdr>
                <w:top w:val="nil"/>
                <w:left w:val="nil"/>
                <w:bottom w:val="nil"/>
                <w:right w:val="nil"/>
                <w:between w:val="nil"/>
                <w:bar w:val="nil"/>
              </w:pBdr>
              <w:ind w:firstLine="176"/>
              <w:rPr>
                <w:rFonts w:eastAsia="Calibri" w:cs="Calibri"/>
                <w:b/>
                <w:bCs/>
                <w:sz w:val="28"/>
                <w:szCs w:val="28"/>
                <w:u w:color="000000"/>
                <w:bdr w:val="nil"/>
                <w:lang w:val="en-US" w:eastAsia="en-US"/>
              </w:rPr>
            </w:pPr>
            <w:r w:rsidRPr="0055600E">
              <w:rPr>
                <w:rFonts w:eastAsia="Calibri" w:cs="Calibri"/>
                <w:b/>
                <w:bCs/>
                <w:sz w:val="28"/>
                <w:szCs w:val="28"/>
                <w:u w:color="000000"/>
                <w:bdr w:val="nil"/>
                <w:lang w:val="en-US" w:eastAsia="en-US"/>
              </w:rPr>
              <w:t>List of Figures</w:t>
            </w:r>
          </w:p>
        </w:tc>
        <w:tc>
          <w:tcPr>
            <w:tcW w:w="718" w:type="dxa"/>
          </w:tcPr>
          <w:p w14:paraId="42E740B1" w14:textId="77777777" w:rsidR="0055600E" w:rsidRPr="00A950CA" w:rsidRDefault="00A950CA" w:rsidP="00514EC7">
            <w:pPr>
              <w:pBdr>
                <w:top w:val="nil"/>
                <w:left w:val="nil"/>
                <w:bottom w:val="nil"/>
                <w:right w:val="nil"/>
                <w:between w:val="nil"/>
                <w:bar w:val="nil"/>
              </w:pBdr>
              <w:rPr>
                <w:rFonts w:eastAsia="Calibri" w:cs="Calibri"/>
                <w:b/>
                <w:bCs/>
                <w:sz w:val="28"/>
                <w:szCs w:val="28"/>
                <w:u w:color="000000"/>
                <w:bdr w:val="nil"/>
                <w:lang w:val="en-US" w:eastAsia="en-US"/>
              </w:rPr>
            </w:pPr>
            <w:r w:rsidRPr="00A950CA">
              <w:rPr>
                <w:rFonts w:eastAsia="Calibri" w:cs="Calibri"/>
                <w:b/>
                <w:bCs/>
                <w:sz w:val="28"/>
                <w:szCs w:val="28"/>
                <w:u w:color="000000"/>
                <w:bdr w:val="nil"/>
                <w:lang w:val="en-US" w:eastAsia="en-US"/>
              </w:rPr>
              <w:t>267</w:t>
            </w:r>
          </w:p>
        </w:tc>
      </w:tr>
      <w:tr w:rsidR="0055600E" w:rsidRPr="0055600E" w14:paraId="746E9085" w14:textId="77777777" w:rsidTr="00A950CA">
        <w:tc>
          <w:tcPr>
            <w:tcW w:w="8337" w:type="dxa"/>
          </w:tcPr>
          <w:p w14:paraId="50E78878" w14:textId="77777777" w:rsidR="0055600E" w:rsidRPr="0055600E" w:rsidRDefault="0055600E" w:rsidP="0055600E">
            <w:pPr>
              <w:pBdr>
                <w:top w:val="nil"/>
                <w:left w:val="nil"/>
                <w:bottom w:val="nil"/>
                <w:right w:val="nil"/>
                <w:between w:val="nil"/>
                <w:bar w:val="nil"/>
              </w:pBdr>
              <w:ind w:firstLine="176"/>
              <w:rPr>
                <w:rFonts w:eastAsia="Calibri" w:cs="Calibri"/>
                <w:b/>
                <w:bCs/>
                <w:sz w:val="28"/>
                <w:szCs w:val="28"/>
                <w:u w:color="000000"/>
                <w:bdr w:val="nil"/>
                <w:lang w:val="en-US" w:eastAsia="en-US"/>
              </w:rPr>
            </w:pPr>
            <w:r w:rsidRPr="0055600E">
              <w:rPr>
                <w:rFonts w:eastAsia="Calibri" w:cs="Calibri"/>
                <w:b/>
                <w:bCs/>
                <w:sz w:val="28"/>
                <w:szCs w:val="28"/>
                <w:u w:color="000000"/>
                <w:bdr w:val="nil"/>
                <w:lang w:val="en-US" w:eastAsia="en-US"/>
              </w:rPr>
              <w:t>List of Tables</w:t>
            </w:r>
          </w:p>
        </w:tc>
        <w:tc>
          <w:tcPr>
            <w:tcW w:w="718" w:type="dxa"/>
          </w:tcPr>
          <w:p w14:paraId="5D6B321E" w14:textId="77777777" w:rsidR="0055600E" w:rsidRPr="00A950CA" w:rsidRDefault="00A950CA" w:rsidP="00514EC7">
            <w:pPr>
              <w:pBdr>
                <w:top w:val="nil"/>
                <w:left w:val="nil"/>
                <w:bottom w:val="nil"/>
                <w:right w:val="nil"/>
                <w:between w:val="nil"/>
                <w:bar w:val="nil"/>
              </w:pBdr>
              <w:rPr>
                <w:rFonts w:eastAsia="Calibri" w:cs="Calibri"/>
                <w:b/>
                <w:bCs/>
                <w:sz w:val="28"/>
                <w:szCs w:val="28"/>
                <w:u w:color="000000"/>
                <w:bdr w:val="nil"/>
                <w:lang w:val="en-US" w:eastAsia="en-US"/>
              </w:rPr>
            </w:pPr>
            <w:r w:rsidRPr="00A950CA">
              <w:rPr>
                <w:rFonts w:eastAsia="Calibri" w:cs="Calibri"/>
                <w:b/>
                <w:bCs/>
                <w:sz w:val="28"/>
                <w:szCs w:val="28"/>
                <w:u w:color="000000"/>
                <w:bdr w:val="nil"/>
                <w:lang w:val="en-US" w:eastAsia="en-US"/>
              </w:rPr>
              <w:t>268</w:t>
            </w:r>
          </w:p>
        </w:tc>
      </w:tr>
      <w:tr w:rsidR="0055600E" w:rsidRPr="0055600E" w14:paraId="6F1A1699" w14:textId="77777777" w:rsidTr="00A950CA">
        <w:tc>
          <w:tcPr>
            <w:tcW w:w="8337" w:type="dxa"/>
          </w:tcPr>
          <w:p w14:paraId="50AB4689" w14:textId="77777777" w:rsidR="0055600E" w:rsidRPr="0055600E" w:rsidRDefault="0055600E" w:rsidP="0055600E">
            <w:pPr>
              <w:pBdr>
                <w:top w:val="nil"/>
                <w:left w:val="nil"/>
                <w:bottom w:val="nil"/>
                <w:right w:val="nil"/>
                <w:between w:val="nil"/>
                <w:bar w:val="nil"/>
              </w:pBdr>
              <w:ind w:firstLine="176"/>
              <w:rPr>
                <w:rFonts w:eastAsia="Calibri" w:cs="Calibri"/>
                <w:b/>
                <w:bCs/>
                <w:sz w:val="28"/>
                <w:szCs w:val="28"/>
                <w:u w:color="000000"/>
                <w:bdr w:val="nil"/>
                <w:lang w:val="en-US" w:eastAsia="en-US"/>
              </w:rPr>
            </w:pPr>
            <w:r w:rsidRPr="0055600E">
              <w:rPr>
                <w:rFonts w:eastAsia="Calibri" w:cs="Calibri"/>
                <w:b/>
                <w:bCs/>
                <w:sz w:val="28"/>
                <w:szCs w:val="28"/>
                <w:u w:color="000000"/>
                <w:bdr w:val="nil"/>
                <w:lang w:val="en-US" w:eastAsia="en-US"/>
              </w:rPr>
              <w:t>List of Appendices</w:t>
            </w:r>
          </w:p>
        </w:tc>
        <w:tc>
          <w:tcPr>
            <w:tcW w:w="718" w:type="dxa"/>
          </w:tcPr>
          <w:p w14:paraId="55BDD826" w14:textId="77777777" w:rsidR="0055600E" w:rsidRPr="00A950CA" w:rsidRDefault="00A950CA" w:rsidP="00514EC7">
            <w:pPr>
              <w:pBdr>
                <w:top w:val="nil"/>
                <w:left w:val="nil"/>
                <w:bottom w:val="nil"/>
                <w:right w:val="nil"/>
                <w:between w:val="nil"/>
                <w:bar w:val="nil"/>
              </w:pBdr>
              <w:rPr>
                <w:rFonts w:eastAsia="Calibri" w:cs="Calibri"/>
                <w:b/>
                <w:bCs/>
                <w:sz w:val="28"/>
                <w:szCs w:val="28"/>
                <w:u w:color="000000"/>
                <w:bdr w:val="nil"/>
                <w:lang w:val="en-US" w:eastAsia="en-US"/>
              </w:rPr>
            </w:pPr>
            <w:r w:rsidRPr="00A950CA">
              <w:rPr>
                <w:rFonts w:eastAsia="Calibri" w:cs="Calibri"/>
                <w:b/>
                <w:bCs/>
                <w:sz w:val="28"/>
                <w:szCs w:val="28"/>
                <w:u w:color="000000"/>
                <w:bdr w:val="nil"/>
                <w:lang w:val="en-US" w:eastAsia="en-US"/>
              </w:rPr>
              <w:t>269</w:t>
            </w:r>
          </w:p>
        </w:tc>
      </w:tr>
      <w:tr w:rsidR="0055600E" w:rsidRPr="0055600E" w14:paraId="53F558FE" w14:textId="77777777" w:rsidTr="00A950CA">
        <w:tc>
          <w:tcPr>
            <w:tcW w:w="8337" w:type="dxa"/>
          </w:tcPr>
          <w:p w14:paraId="56E1E1E5" w14:textId="77777777" w:rsidR="0055600E" w:rsidRPr="0055600E" w:rsidRDefault="0055600E" w:rsidP="0055600E">
            <w:pPr>
              <w:pBdr>
                <w:top w:val="nil"/>
                <w:left w:val="nil"/>
                <w:bottom w:val="nil"/>
                <w:right w:val="nil"/>
                <w:between w:val="nil"/>
                <w:bar w:val="nil"/>
              </w:pBdr>
              <w:ind w:firstLine="176"/>
              <w:rPr>
                <w:rFonts w:eastAsia="Calibri" w:cs="Calibri"/>
                <w:b/>
                <w:bCs/>
                <w:sz w:val="28"/>
                <w:szCs w:val="28"/>
                <w:u w:color="000000"/>
                <w:bdr w:val="nil"/>
                <w:lang w:val="en-US" w:eastAsia="en-US"/>
              </w:rPr>
            </w:pPr>
            <w:r w:rsidRPr="0055600E">
              <w:rPr>
                <w:rFonts w:eastAsia="Calibri" w:cs="Calibri"/>
                <w:b/>
                <w:bCs/>
                <w:sz w:val="28"/>
                <w:szCs w:val="28"/>
                <w:u w:color="000000"/>
                <w:bdr w:val="nil"/>
                <w:lang w:val="en-US" w:eastAsia="en-US"/>
              </w:rPr>
              <w:t>Index of Key terms</w:t>
            </w:r>
          </w:p>
        </w:tc>
        <w:tc>
          <w:tcPr>
            <w:tcW w:w="718" w:type="dxa"/>
          </w:tcPr>
          <w:p w14:paraId="32A3E0D7" w14:textId="77777777" w:rsidR="0055600E" w:rsidRPr="00A950CA" w:rsidRDefault="00A950CA" w:rsidP="00514EC7">
            <w:pPr>
              <w:pBdr>
                <w:top w:val="nil"/>
                <w:left w:val="nil"/>
                <w:bottom w:val="nil"/>
                <w:right w:val="nil"/>
                <w:between w:val="nil"/>
                <w:bar w:val="nil"/>
              </w:pBdr>
              <w:rPr>
                <w:rFonts w:eastAsia="Arial Unicode MS" w:cs="Arial Unicode MS"/>
                <w:b/>
                <w:sz w:val="28"/>
                <w:szCs w:val="28"/>
                <w:u w:color="000000"/>
                <w:bdr w:val="nil"/>
                <w:lang w:val="en-US"/>
              </w:rPr>
            </w:pPr>
            <w:r w:rsidRPr="00A950CA">
              <w:rPr>
                <w:rFonts w:eastAsia="Arial Unicode MS" w:cs="Arial Unicode MS"/>
                <w:b/>
                <w:sz w:val="28"/>
                <w:szCs w:val="28"/>
                <w:u w:color="000000"/>
                <w:bdr w:val="nil"/>
                <w:lang w:val="en-US"/>
              </w:rPr>
              <w:t>270</w:t>
            </w:r>
          </w:p>
        </w:tc>
      </w:tr>
    </w:tbl>
    <w:p w14:paraId="0663EDA8" w14:textId="77777777" w:rsidR="00BE42A0" w:rsidRDefault="00BE42A0">
      <w:pPr>
        <w:rPr>
          <w:caps/>
          <w:spacing w:val="60"/>
          <w:kern w:val="20"/>
          <w:sz w:val="44"/>
          <w:szCs w:val="44"/>
          <w:lang w:val="en-US"/>
        </w:rPr>
      </w:pPr>
      <w:r>
        <w:rPr>
          <w:lang w:val="en-US"/>
        </w:rPr>
        <w:br w:type="page"/>
      </w:r>
    </w:p>
    <w:p w14:paraId="42A0F04A" w14:textId="77777777" w:rsidR="00BE42A0" w:rsidRPr="00377655" w:rsidRDefault="003E560A" w:rsidP="003E560A">
      <w:pPr>
        <w:jc w:val="right"/>
        <w:rPr>
          <w:b/>
          <w:caps/>
          <w:spacing w:val="60"/>
          <w:kern w:val="20"/>
          <w:sz w:val="56"/>
          <w:szCs w:val="44"/>
          <w:lang w:val="en-US"/>
        </w:rPr>
      </w:pPr>
      <w:r w:rsidRPr="00377655">
        <w:rPr>
          <w:b/>
          <w:sz w:val="48"/>
          <w:lang w:val="en-US"/>
        </w:rPr>
        <w:lastRenderedPageBreak/>
        <w:t>Foreword by Hassan Obeid</w:t>
      </w:r>
    </w:p>
    <w:p w14:paraId="332F31CE" w14:textId="77777777" w:rsidR="00841A5E" w:rsidRDefault="00841A5E" w:rsidP="00841A5E">
      <w:pPr>
        <w:rPr>
          <w:lang w:val="en-US"/>
        </w:rPr>
      </w:pPr>
    </w:p>
    <w:p w14:paraId="34968D65" w14:textId="77777777" w:rsidR="00841A5E" w:rsidRPr="00841A5E" w:rsidRDefault="00841A5E" w:rsidP="00841A5E">
      <w:pPr>
        <w:spacing w:line="240" w:lineRule="atLeast"/>
        <w:ind w:firstLine="357"/>
        <w:jc w:val="both"/>
        <w:rPr>
          <w:sz w:val="28"/>
          <w:lang w:val="en-US"/>
        </w:rPr>
      </w:pPr>
      <w:r w:rsidRPr="00841A5E">
        <w:rPr>
          <w:sz w:val="28"/>
          <w:lang w:val="en-US"/>
        </w:rPr>
        <w:t xml:space="preserve">Nowadays finance has become a vital part of the business concern and enlarged with innovative and multi-dimensional functions in the field of business with the effect of industrialization. Finance also developed as corporate finance, business finance, financial management, financial analysis, financial economics, and financial engineering. Therefore, understanding the basic concept </w:t>
      </w:r>
      <w:r w:rsidR="00EF43CD">
        <w:rPr>
          <w:sz w:val="28"/>
          <w:lang w:val="en-US"/>
        </w:rPr>
        <w:t>of</w:t>
      </w:r>
      <w:r w:rsidRPr="00841A5E">
        <w:rPr>
          <w:sz w:val="28"/>
          <w:lang w:val="en-US"/>
        </w:rPr>
        <w:t xml:space="preserve"> finance becomes an essential part for the students of economics, accounting, commerce and management</w:t>
      </w:r>
      <w:r w:rsidR="00EF43CD">
        <w:rPr>
          <w:sz w:val="28"/>
          <w:lang w:val="en-US"/>
        </w:rPr>
        <w:t>,</w:t>
      </w:r>
      <w:r w:rsidR="00DD1975">
        <w:rPr>
          <w:sz w:val="28"/>
          <w:lang w:val="en-US"/>
        </w:rPr>
        <w:t xml:space="preserve"> and for the practitioners in the domain</w:t>
      </w:r>
      <w:r w:rsidRPr="00841A5E">
        <w:rPr>
          <w:sz w:val="28"/>
          <w:lang w:val="en-US"/>
        </w:rPr>
        <w:t>.</w:t>
      </w:r>
    </w:p>
    <w:p w14:paraId="0EBB2234" w14:textId="77777777" w:rsidR="00841A5E" w:rsidRPr="00841A5E" w:rsidRDefault="00841A5E" w:rsidP="00841A5E">
      <w:pPr>
        <w:spacing w:line="240" w:lineRule="atLeast"/>
        <w:ind w:firstLine="357"/>
        <w:jc w:val="both"/>
        <w:rPr>
          <w:sz w:val="28"/>
          <w:lang w:val="en-US"/>
        </w:rPr>
      </w:pPr>
      <w:r w:rsidRPr="00841A5E">
        <w:rPr>
          <w:sz w:val="28"/>
          <w:lang w:val="en-US"/>
        </w:rPr>
        <w:t>The book itself covers essential concepts and fundamental techniques that a person engaged in finance (financing specialist, financial manager, finan</w:t>
      </w:r>
      <w:r w:rsidR="00EF43CD">
        <w:rPr>
          <w:sz w:val="28"/>
          <w:lang w:val="en-US"/>
        </w:rPr>
        <w:t>cial analyst, portfolio manager, financial advisor</w:t>
      </w:r>
      <w:r w:rsidRPr="00841A5E">
        <w:rPr>
          <w:sz w:val="28"/>
          <w:lang w:val="en-US"/>
        </w:rPr>
        <w:t>, etc.) should have in the portfolio of tools within the finance field. The scope of the book is vast: from the basics of financial theories and categories across</w:t>
      </w:r>
      <w:r w:rsidR="00EF43CD">
        <w:rPr>
          <w:sz w:val="28"/>
          <w:lang w:val="en-US"/>
        </w:rPr>
        <w:t xml:space="preserve"> the</w:t>
      </w:r>
      <w:r w:rsidRPr="00841A5E">
        <w:rPr>
          <w:sz w:val="28"/>
          <w:lang w:val="en-US"/>
        </w:rPr>
        <w:t xml:space="preserve"> </w:t>
      </w:r>
      <w:r w:rsidRPr="00532F59">
        <w:rPr>
          <w:sz w:val="28"/>
          <w:lang w:val="en-US"/>
        </w:rPr>
        <w:t xml:space="preserve">financial policy, financial system, financial markets, taxation, budget system, international finance, </w:t>
      </w:r>
      <w:r w:rsidR="00532F59" w:rsidRPr="00532F59">
        <w:rPr>
          <w:sz w:val="28"/>
          <w:lang w:val="en-US"/>
        </w:rPr>
        <w:t xml:space="preserve">insurance, and </w:t>
      </w:r>
      <w:r w:rsidRPr="00532F59">
        <w:rPr>
          <w:sz w:val="28"/>
          <w:lang w:val="en-US"/>
        </w:rPr>
        <w:t>finance of European Union to the ultimate goal of corporate finance, financial analysis, household finance and personal financial decision-making. This book provides</w:t>
      </w:r>
      <w:r w:rsidRPr="00841A5E">
        <w:rPr>
          <w:sz w:val="28"/>
          <w:lang w:val="en-US"/>
        </w:rPr>
        <w:t xml:space="preserve"> detailed information about the finance and finance related area </w:t>
      </w:r>
      <w:r w:rsidR="00EF43CD">
        <w:rPr>
          <w:sz w:val="28"/>
          <w:lang w:val="en-US"/>
        </w:rPr>
        <w:t>using</w:t>
      </w:r>
      <w:r w:rsidRPr="00841A5E">
        <w:rPr>
          <w:sz w:val="28"/>
          <w:lang w:val="en-US"/>
        </w:rPr>
        <w:t xml:space="preserve"> simple language</w:t>
      </w:r>
      <w:r w:rsidR="00EF43CD">
        <w:rPr>
          <w:sz w:val="28"/>
          <w:lang w:val="en-US"/>
        </w:rPr>
        <w:t>,</w:t>
      </w:r>
      <w:r w:rsidRPr="00841A5E">
        <w:rPr>
          <w:sz w:val="28"/>
          <w:lang w:val="en-US"/>
        </w:rPr>
        <w:t xml:space="preserve"> and the concepts are explained </w:t>
      </w:r>
      <w:r w:rsidR="00EF43CD">
        <w:rPr>
          <w:sz w:val="28"/>
          <w:lang w:val="en-US"/>
        </w:rPr>
        <w:t>by</w:t>
      </w:r>
      <w:r w:rsidRPr="00841A5E">
        <w:rPr>
          <w:sz w:val="28"/>
          <w:lang w:val="en-US"/>
        </w:rPr>
        <w:t xml:space="preserve"> easy examples for the benefits of the students.</w:t>
      </w:r>
    </w:p>
    <w:p w14:paraId="3C1BD572" w14:textId="77777777" w:rsidR="00841A5E" w:rsidRPr="00841A5E" w:rsidRDefault="00841A5E" w:rsidP="00841A5E">
      <w:pPr>
        <w:spacing w:line="240" w:lineRule="atLeast"/>
        <w:ind w:firstLine="357"/>
        <w:jc w:val="both"/>
        <w:rPr>
          <w:sz w:val="28"/>
          <w:lang w:val="en-US"/>
        </w:rPr>
      </w:pPr>
      <w:r w:rsidRPr="00841A5E">
        <w:rPr>
          <w:sz w:val="28"/>
          <w:lang w:val="en-US"/>
        </w:rPr>
        <w:t>The book also embrace</w:t>
      </w:r>
      <w:r w:rsidR="00EF43CD">
        <w:rPr>
          <w:sz w:val="28"/>
          <w:lang w:val="en-US"/>
        </w:rPr>
        <w:t>s</w:t>
      </w:r>
      <w:r w:rsidRPr="00841A5E">
        <w:rPr>
          <w:sz w:val="28"/>
          <w:lang w:val="en-US"/>
        </w:rPr>
        <w:t xml:space="preserve"> lots of actual values, historical data, charts, statistics, and latest news about reforms </w:t>
      </w:r>
      <w:r w:rsidR="00EF43CD">
        <w:rPr>
          <w:sz w:val="28"/>
          <w:lang w:val="en-US"/>
        </w:rPr>
        <w:t>in</w:t>
      </w:r>
      <w:r w:rsidRPr="00841A5E">
        <w:rPr>
          <w:sz w:val="28"/>
          <w:lang w:val="en-US"/>
        </w:rPr>
        <w:t xml:space="preserve"> Ukraine government budget, households, their standards of living and </w:t>
      </w:r>
      <w:r w:rsidR="00EF43CD">
        <w:rPr>
          <w:sz w:val="28"/>
          <w:lang w:val="en-US"/>
        </w:rPr>
        <w:t>finance, structure of household</w:t>
      </w:r>
      <w:r w:rsidRPr="00841A5E">
        <w:rPr>
          <w:sz w:val="28"/>
          <w:lang w:val="en-US"/>
        </w:rPr>
        <w:t xml:space="preserve"> expenditures in Ukraine and EU 27, structure</w:t>
      </w:r>
      <w:r w:rsidR="00EF43CD">
        <w:rPr>
          <w:sz w:val="28"/>
          <w:lang w:val="en-US"/>
        </w:rPr>
        <w:t xml:space="preserve"> of</w:t>
      </w:r>
      <w:r w:rsidRPr="00841A5E">
        <w:rPr>
          <w:sz w:val="28"/>
          <w:lang w:val="en-US"/>
        </w:rPr>
        <w:t xml:space="preserve"> EU budget expenditures and revenues.</w:t>
      </w:r>
    </w:p>
    <w:p w14:paraId="12D844DE" w14:textId="77777777" w:rsidR="00EF43CD" w:rsidRDefault="00841A5E" w:rsidP="00EF43CD">
      <w:pPr>
        <w:spacing w:line="240" w:lineRule="atLeast"/>
        <w:ind w:firstLine="357"/>
        <w:jc w:val="both"/>
        <w:rPr>
          <w:sz w:val="28"/>
          <w:lang w:val="en-US"/>
        </w:rPr>
      </w:pPr>
      <w:r w:rsidRPr="00841A5E">
        <w:rPr>
          <w:sz w:val="28"/>
          <w:lang w:val="en-US"/>
        </w:rPr>
        <w:t xml:space="preserve">The book has a comprehensive research bibliography of recommended reading, list of relevant websites (external links) and exhaustive glossary about every important topic within </w:t>
      </w:r>
      <w:r w:rsidR="00EF43CD">
        <w:rPr>
          <w:sz w:val="28"/>
          <w:lang w:val="en-US"/>
        </w:rPr>
        <w:t xml:space="preserve">the </w:t>
      </w:r>
      <w:r w:rsidRPr="00841A5E">
        <w:rPr>
          <w:sz w:val="28"/>
          <w:lang w:val="en-US"/>
        </w:rPr>
        <w:t>finance field. This book has various kinds of exams, tests and quizzes to test student's financial literacy and acumen, ability to use their knowledge to solve current prob</w:t>
      </w:r>
      <w:r w:rsidR="00EF43CD">
        <w:rPr>
          <w:sz w:val="28"/>
          <w:lang w:val="en-US"/>
        </w:rPr>
        <w:t xml:space="preserve">lems in the finance area and in the </w:t>
      </w:r>
      <w:r w:rsidRPr="00841A5E">
        <w:rPr>
          <w:sz w:val="28"/>
          <w:lang w:val="en-US"/>
        </w:rPr>
        <w:t xml:space="preserve">allied fields, as well as evaluate the student’s preparedness for a career within finance. </w:t>
      </w:r>
    </w:p>
    <w:p w14:paraId="0DD6B2F2" w14:textId="77777777" w:rsidR="00841A5E" w:rsidRPr="00841A5E" w:rsidRDefault="00841A5E" w:rsidP="00EF43CD">
      <w:pPr>
        <w:spacing w:line="240" w:lineRule="atLeast"/>
        <w:ind w:firstLine="357"/>
        <w:jc w:val="both"/>
        <w:rPr>
          <w:sz w:val="28"/>
          <w:lang w:val="en-US"/>
        </w:rPr>
      </w:pPr>
      <w:r w:rsidRPr="00841A5E">
        <w:rPr>
          <w:sz w:val="28"/>
          <w:lang w:val="en-US"/>
        </w:rPr>
        <w:t>The following structure of the book that includes brief summary and pr</w:t>
      </w:r>
      <w:r w:rsidR="00EF43CD">
        <w:rPr>
          <w:sz w:val="28"/>
          <w:lang w:val="en-US"/>
        </w:rPr>
        <w:t>oblem set questions</w:t>
      </w:r>
      <w:r w:rsidRPr="00841A5E">
        <w:rPr>
          <w:sz w:val="28"/>
          <w:lang w:val="en-US"/>
        </w:rPr>
        <w:t xml:space="preserve"> encourage</w:t>
      </w:r>
      <w:r w:rsidR="00EF43CD">
        <w:rPr>
          <w:sz w:val="28"/>
          <w:lang w:val="en-US"/>
        </w:rPr>
        <w:t>s</w:t>
      </w:r>
      <w:r w:rsidRPr="00841A5E">
        <w:rPr>
          <w:sz w:val="28"/>
          <w:lang w:val="en-US"/>
        </w:rPr>
        <w:t xml:space="preserve"> students to think intensively and critically about both the theoretical and practical aspects of</w:t>
      </w:r>
      <w:r w:rsidR="00EF43CD">
        <w:rPr>
          <w:sz w:val="28"/>
          <w:lang w:val="en-US"/>
        </w:rPr>
        <w:t xml:space="preserve"> the</w:t>
      </w:r>
      <w:r w:rsidRPr="00841A5E">
        <w:rPr>
          <w:sz w:val="28"/>
          <w:lang w:val="en-US"/>
        </w:rPr>
        <w:t xml:space="preserve"> finance field at a number of levels.</w:t>
      </w:r>
    </w:p>
    <w:p w14:paraId="009BAD88" w14:textId="77777777" w:rsidR="00BE42A0" w:rsidRDefault="00841A5E" w:rsidP="00841A5E">
      <w:pPr>
        <w:spacing w:line="240" w:lineRule="atLeast"/>
        <w:ind w:firstLine="357"/>
        <w:jc w:val="both"/>
        <w:rPr>
          <w:sz w:val="28"/>
          <w:lang w:val="en-US"/>
        </w:rPr>
      </w:pPr>
      <w:r w:rsidRPr="00841A5E">
        <w:rPr>
          <w:sz w:val="28"/>
          <w:lang w:val="en-US"/>
        </w:rPr>
        <w:t>International focus of this book is applicable for European students who wish to pursue careers in finance. There are plenty of international differences in legal systems, tax regulations, accounting methods, disclosure practices, etc. to make book invaluable. However, the basic prin</w:t>
      </w:r>
      <w:r w:rsidR="00EF43CD">
        <w:rPr>
          <w:sz w:val="28"/>
          <w:lang w:val="en-US"/>
        </w:rPr>
        <w:t>ciples of finance are universal</w:t>
      </w:r>
      <w:r w:rsidRPr="00841A5E">
        <w:rPr>
          <w:sz w:val="28"/>
          <w:lang w:val="en-US"/>
        </w:rPr>
        <w:t xml:space="preserve"> and overwhelming majority of case studies, problem sets and quizzes introduced in the book based on familiar and realistic settings. Thus, I would strongly urge everyone, from students up through t</w:t>
      </w:r>
      <w:r w:rsidR="00EF43CD">
        <w:rPr>
          <w:sz w:val="28"/>
          <w:lang w:val="en-US"/>
        </w:rPr>
        <w:t xml:space="preserve">he persons involved in finance </w:t>
      </w:r>
      <w:r w:rsidRPr="00841A5E">
        <w:rPr>
          <w:sz w:val="28"/>
          <w:lang w:val="en-US"/>
        </w:rPr>
        <w:t xml:space="preserve">not only in Ukraine but </w:t>
      </w:r>
      <w:r w:rsidR="00EF43CD">
        <w:rPr>
          <w:sz w:val="28"/>
          <w:lang w:val="en-US"/>
        </w:rPr>
        <w:t xml:space="preserve">also in Europe </w:t>
      </w:r>
      <w:r w:rsidRPr="00841A5E">
        <w:rPr>
          <w:sz w:val="28"/>
          <w:lang w:val="en-US"/>
        </w:rPr>
        <w:t>to possess this book.</w:t>
      </w:r>
    </w:p>
    <w:p w14:paraId="6F5CF60C" w14:textId="77777777" w:rsidR="00841A5E" w:rsidRPr="00841A5E" w:rsidRDefault="00841A5E" w:rsidP="00841A5E">
      <w:pPr>
        <w:jc w:val="right"/>
        <w:rPr>
          <w:sz w:val="28"/>
          <w:lang w:val="en-US"/>
        </w:rPr>
      </w:pPr>
      <w:r w:rsidRPr="00841A5E">
        <w:rPr>
          <w:sz w:val="28"/>
          <w:lang w:val="en-US"/>
        </w:rPr>
        <w:t>Dr. Hassan Obeid</w:t>
      </w:r>
    </w:p>
    <w:p w14:paraId="5C581AAD" w14:textId="77777777" w:rsidR="00841A5E" w:rsidRPr="00841A5E" w:rsidRDefault="00841A5E" w:rsidP="00841A5E">
      <w:pPr>
        <w:jc w:val="right"/>
        <w:rPr>
          <w:sz w:val="28"/>
          <w:lang w:val="en-US"/>
        </w:rPr>
      </w:pPr>
      <w:r w:rsidRPr="00841A5E">
        <w:rPr>
          <w:sz w:val="28"/>
          <w:lang w:val="en-US"/>
        </w:rPr>
        <w:t>Head of Finance &amp; Accounting Department</w:t>
      </w:r>
    </w:p>
    <w:p w14:paraId="3B044EDE" w14:textId="77777777" w:rsidR="00841A5E" w:rsidRPr="00841A5E" w:rsidRDefault="00841A5E" w:rsidP="00841A5E">
      <w:pPr>
        <w:jc w:val="right"/>
        <w:rPr>
          <w:sz w:val="28"/>
          <w:lang w:val="en-US"/>
        </w:rPr>
      </w:pPr>
      <w:r w:rsidRPr="00841A5E">
        <w:rPr>
          <w:sz w:val="28"/>
          <w:lang w:val="en-US"/>
        </w:rPr>
        <w:t>European Business School - Paris</w:t>
      </w:r>
    </w:p>
    <w:p w14:paraId="2F526355" w14:textId="77777777" w:rsidR="003E560A" w:rsidRPr="003E560A" w:rsidRDefault="003E560A" w:rsidP="00841A5E">
      <w:pPr>
        <w:jc w:val="right"/>
        <w:rPr>
          <w:lang w:val="en-US"/>
        </w:rPr>
      </w:pPr>
      <w:r w:rsidRPr="00377655">
        <w:rPr>
          <w:b/>
          <w:sz w:val="48"/>
          <w:lang w:val="en-US"/>
        </w:rPr>
        <w:lastRenderedPageBreak/>
        <w:t>Preface</w:t>
      </w:r>
    </w:p>
    <w:p w14:paraId="06B96EB4" w14:textId="77777777" w:rsidR="004248FE" w:rsidRDefault="004248FE" w:rsidP="003E560A">
      <w:pPr>
        <w:rPr>
          <w:sz w:val="28"/>
          <w:lang w:val="en-US"/>
        </w:rPr>
      </w:pPr>
    </w:p>
    <w:p w14:paraId="12D8930F" w14:textId="77777777" w:rsidR="003E560A" w:rsidRPr="004248FE" w:rsidRDefault="004248FE" w:rsidP="004248FE">
      <w:pPr>
        <w:jc w:val="right"/>
        <w:rPr>
          <w:b/>
          <w:sz w:val="32"/>
          <w:lang w:val="en-US"/>
        </w:rPr>
      </w:pPr>
      <w:r w:rsidRPr="004248FE">
        <w:rPr>
          <w:b/>
          <w:sz w:val="32"/>
          <w:lang w:val="en-US"/>
        </w:rPr>
        <w:t>“If you want to thrive in today's economy, you must challenge the status quo and get the financial education necessary to succeed”</w:t>
      </w:r>
    </w:p>
    <w:p w14:paraId="198E6B9C" w14:textId="77777777" w:rsidR="004248FE" w:rsidRPr="004248FE" w:rsidRDefault="004248FE" w:rsidP="004248FE">
      <w:pPr>
        <w:jc w:val="right"/>
        <w:rPr>
          <w:b/>
          <w:sz w:val="32"/>
          <w:lang w:val="en-US"/>
        </w:rPr>
      </w:pPr>
      <w:r w:rsidRPr="004248FE">
        <w:rPr>
          <w:b/>
          <w:sz w:val="32"/>
          <w:lang w:val="en-US"/>
        </w:rPr>
        <w:t>Robert Kiyosaki</w:t>
      </w:r>
    </w:p>
    <w:p w14:paraId="07C30C41" w14:textId="77777777" w:rsidR="00111437" w:rsidRDefault="00111437" w:rsidP="00377655">
      <w:pPr>
        <w:spacing w:line="240" w:lineRule="atLeast"/>
        <w:jc w:val="both"/>
        <w:rPr>
          <w:sz w:val="28"/>
          <w:lang w:val="en-US"/>
        </w:rPr>
      </w:pPr>
    </w:p>
    <w:p w14:paraId="60B9BF27" w14:textId="77777777" w:rsidR="00137D6A" w:rsidRPr="00137D6A" w:rsidRDefault="00137D6A" w:rsidP="00137D6A">
      <w:pPr>
        <w:spacing w:line="240" w:lineRule="atLeast"/>
        <w:ind w:firstLine="357"/>
        <w:jc w:val="both"/>
        <w:rPr>
          <w:sz w:val="28"/>
          <w:lang w:val="en-US"/>
        </w:rPr>
      </w:pPr>
      <w:r w:rsidRPr="00137D6A">
        <w:rPr>
          <w:sz w:val="28"/>
          <w:lang w:val="en-US"/>
        </w:rPr>
        <w:t xml:space="preserve">The book is a rigorous introduction to the study of the fundamental concepts, basic principles and approaches of finance and their application to the common financial issues and decision-making process. This book covers almost every aspect of finance with an emphasis on Ukrainian specifics and each of the chapters reflects current practices through appropriate tables, figures, </w:t>
      </w:r>
      <w:r w:rsidR="00F16243">
        <w:rPr>
          <w:sz w:val="28"/>
          <w:lang w:val="en-US"/>
        </w:rPr>
        <w:t xml:space="preserve">and </w:t>
      </w:r>
      <w:r w:rsidRPr="00137D6A">
        <w:rPr>
          <w:sz w:val="28"/>
          <w:lang w:val="en-US"/>
        </w:rPr>
        <w:t xml:space="preserve">examples that will aid understanding of the theories, concepts, and practices of finance. In spite of the fact that the focus of the book is on the specific nature of finance in Ukraine, the theories, concepts and practices investigated thoroughly, for the </w:t>
      </w:r>
      <w:r w:rsidR="00F16243">
        <w:rPr>
          <w:sz w:val="28"/>
          <w:lang w:val="en-US"/>
        </w:rPr>
        <w:t>most</w:t>
      </w:r>
      <w:r w:rsidRPr="00137D6A">
        <w:rPr>
          <w:sz w:val="28"/>
          <w:lang w:val="en-US"/>
        </w:rPr>
        <w:t xml:space="preserve"> part, could be applied in the context of finance of all </w:t>
      </w:r>
      <w:r w:rsidR="00F16243" w:rsidRPr="00137D6A">
        <w:rPr>
          <w:sz w:val="28"/>
          <w:lang w:val="en-US"/>
        </w:rPr>
        <w:t xml:space="preserve">countries </w:t>
      </w:r>
      <w:r w:rsidR="00F16243">
        <w:rPr>
          <w:sz w:val="28"/>
          <w:lang w:val="en-US"/>
        </w:rPr>
        <w:t>in the world</w:t>
      </w:r>
      <w:r w:rsidRPr="00137D6A">
        <w:rPr>
          <w:sz w:val="28"/>
          <w:lang w:val="en-US"/>
        </w:rPr>
        <w:t xml:space="preserve">. Much of the content of the book is relevant to </w:t>
      </w:r>
      <w:r w:rsidR="00CC1D81">
        <w:rPr>
          <w:sz w:val="28"/>
          <w:lang w:val="en-US"/>
        </w:rPr>
        <w:t>the general overview of finance</w:t>
      </w:r>
      <w:r w:rsidRPr="00137D6A">
        <w:rPr>
          <w:sz w:val="28"/>
          <w:lang w:val="en-US"/>
        </w:rPr>
        <w:t xml:space="preserve"> both in Ukraine and overseas. </w:t>
      </w:r>
    </w:p>
    <w:p w14:paraId="50E71515" w14:textId="77777777" w:rsidR="00137D6A" w:rsidRPr="00137D6A" w:rsidRDefault="00137D6A" w:rsidP="00137D6A">
      <w:pPr>
        <w:spacing w:line="240" w:lineRule="atLeast"/>
        <w:ind w:firstLine="357"/>
        <w:jc w:val="both"/>
        <w:rPr>
          <w:sz w:val="28"/>
          <w:lang w:val="en-US"/>
        </w:rPr>
      </w:pPr>
      <w:r w:rsidRPr="00137D6A">
        <w:rPr>
          <w:sz w:val="28"/>
          <w:lang w:val="en-US"/>
        </w:rPr>
        <w:t>The book is written wit</w:t>
      </w:r>
      <w:r w:rsidR="00F16243">
        <w:rPr>
          <w:sz w:val="28"/>
          <w:lang w:val="en-US"/>
        </w:rPr>
        <w:t>h the needs of students in mind</w:t>
      </w:r>
      <w:r w:rsidRPr="00137D6A">
        <w:rPr>
          <w:sz w:val="28"/>
          <w:lang w:val="en-US"/>
        </w:rPr>
        <w:t xml:space="preserve"> and attempts to make issues under investigation as more affordable as possible to students need to succeed in the introductory finance course. Since the book is written for the needs of </w:t>
      </w:r>
      <w:r w:rsidR="00F16243">
        <w:rPr>
          <w:sz w:val="28"/>
          <w:lang w:val="en-US"/>
        </w:rPr>
        <w:t xml:space="preserve">the </w:t>
      </w:r>
      <w:r w:rsidRPr="00137D6A">
        <w:rPr>
          <w:sz w:val="28"/>
          <w:lang w:val="en-US"/>
        </w:rPr>
        <w:t xml:space="preserve">Ukrainian students, plain friendly English has been used, and superfluous technical language has been avoided. The </w:t>
      </w:r>
      <w:r w:rsidR="00F16243">
        <w:rPr>
          <w:sz w:val="28"/>
          <w:lang w:val="en-US"/>
        </w:rPr>
        <w:t>most</w:t>
      </w:r>
      <w:r w:rsidRPr="00137D6A">
        <w:rPr>
          <w:sz w:val="28"/>
          <w:lang w:val="en-US"/>
        </w:rPr>
        <w:t xml:space="preserve"> technical terms and concepts are highlighted in the box after the </w:t>
      </w:r>
      <w:r w:rsidR="0099035A">
        <w:rPr>
          <w:sz w:val="28"/>
          <w:lang w:val="en-US"/>
        </w:rPr>
        <w:t>s</w:t>
      </w:r>
      <w:r w:rsidRPr="00137D6A">
        <w:rPr>
          <w:sz w:val="28"/>
          <w:lang w:val="en-US"/>
        </w:rPr>
        <w:t xml:space="preserve">ummary of each chapter and are included in the index of key terms at the end of the book.  </w:t>
      </w:r>
    </w:p>
    <w:p w14:paraId="4C209F45" w14:textId="77777777" w:rsidR="00532F59" w:rsidRDefault="00137D6A" w:rsidP="00137D6A">
      <w:pPr>
        <w:spacing w:line="240" w:lineRule="atLeast"/>
        <w:ind w:firstLine="357"/>
        <w:jc w:val="both"/>
        <w:rPr>
          <w:sz w:val="28"/>
          <w:lang w:val="en-US"/>
        </w:rPr>
      </w:pPr>
      <w:r w:rsidRPr="00137D6A">
        <w:rPr>
          <w:sz w:val="28"/>
          <w:lang w:val="en-US"/>
        </w:rPr>
        <w:t>The book is organized into twelve parts as follows</w:t>
      </w:r>
      <w:r w:rsidR="00532F59">
        <w:rPr>
          <w:sz w:val="28"/>
          <w:lang w:val="en-US"/>
        </w:rPr>
        <w:t>:</w:t>
      </w:r>
      <w:r w:rsidRPr="00137D6A">
        <w:rPr>
          <w:sz w:val="28"/>
          <w:lang w:val="en-US"/>
        </w:rPr>
        <w:t xml:space="preserve"> </w:t>
      </w:r>
    </w:p>
    <w:p w14:paraId="1A8AEF56" w14:textId="77777777" w:rsidR="00137D6A" w:rsidRPr="00137D6A" w:rsidRDefault="00137D6A" w:rsidP="00137D6A">
      <w:pPr>
        <w:spacing w:line="240" w:lineRule="atLeast"/>
        <w:ind w:firstLine="357"/>
        <w:jc w:val="both"/>
        <w:rPr>
          <w:sz w:val="28"/>
          <w:lang w:val="en-US"/>
        </w:rPr>
      </w:pPr>
      <w:r w:rsidRPr="00137D6A">
        <w:rPr>
          <w:sz w:val="28"/>
          <w:lang w:val="en-US"/>
        </w:rPr>
        <w:t xml:space="preserve">Chapter 1 and Chapter 2 introduce the underlying principles of finance with the specific focus on the conceptual basis of financial science, it's historical background of emerging and development, its core theories, main financial categories, relations to other fields, and the role of finance in modern economies. </w:t>
      </w:r>
    </w:p>
    <w:p w14:paraId="5F0C84D7" w14:textId="77777777" w:rsidR="00137D6A" w:rsidRPr="00137D6A" w:rsidRDefault="00137D6A" w:rsidP="00137D6A">
      <w:pPr>
        <w:spacing w:line="240" w:lineRule="atLeast"/>
        <w:ind w:firstLine="357"/>
        <w:jc w:val="both"/>
        <w:rPr>
          <w:sz w:val="28"/>
          <w:lang w:val="en-US"/>
        </w:rPr>
      </w:pPr>
      <w:r w:rsidRPr="00137D6A">
        <w:rPr>
          <w:sz w:val="28"/>
          <w:lang w:val="en-US"/>
        </w:rPr>
        <w:t>Chapter 3 provides a general introduction to the financial policy while focusing on its types, their contents, goals, objectives, instruments, and tools. This chapter also focuse</w:t>
      </w:r>
      <w:r w:rsidR="00F16243">
        <w:rPr>
          <w:sz w:val="28"/>
          <w:lang w:val="en-US"/>
        </w:rPr>
        <w:t>s</w:t>
      </w:r>
      <w:r w:rsidRPr="00137D6A">
        <w:rPr>
          <w:sz w:val="28"/>
          <w:lang w:val="en-US"/>
        </w:rPr>
        <w:t xml:space="preserve"> on the inner and organizing structure of </w:t>
      </w:r>
      <w:r w:rsidR="00F16243">
        <w:rPr>
          <w:sz w:val="28"/>
          <w:lang w:val="en-US"/>
        </w:rPr>
        <w:t xml:space="preserve">the </w:t>
      </w:r>
      <w:r w:rsidRPr="00137D6A">
        <w:rPr>
          <w:sz w:val="28"/>
          <w:lang w:val="en-US"/>
        </w:rPr>
        <w:t>financial system, it</w:t>
      </w:r>
      <w:r w:rsidR="00F16243">
        <w:rPr>
          <w:sz w:val="28"/>
          <w:lang w:val="en-US"/>
        </w:rPr>
        <w:t>s</w:t>
      </w:r>
      <w:r w:rsidRPr="00137D6A">
        <w:rPr>
          <w:sz w:val="28"/>
          <w:lang w:val="en-US"/>
        </w:rPr>
        <w:t xml:space="preserve"> spheres, links, and law-sensitive aspects of general finance. </w:t>
      </w:r>
    </w:p>
    <w:p w14:paraId="7E511AB2" w14:textId="77777777" w:rsidR="00137D6A" w:rsidRPr="00137D6A" w:rsidRDefault="00137D6A" w:rsidP="00137D6A">
      <w:pPr>
        <w:spacing w:line="240" w:lineRule="atLeast"/>
        <w:ind w:firstLine="357"/>
        <w:jc w:val="both"/>
        <w:rPr>
          <w:sz w:val="28"/>
          <w:lang w:val="en-US"/>
        </w:rPr>
      </w:pPr>
      <w:r w:rsidRPr="00137D6A">
        <w:rPr>
          <w:sz w:val="28"/>
          <w:lang w:val="en-US"/>
        </w:rPr>
        <w:t>Chapter 4 examines taxation and covers tax unique features and its similarities with other categories as levy and duty, functio</w:t>
      </w:r>
      <w:r w:rsidR="00F16243">
        <w:rPr>
          <w:sz w:val="28"/>
          <w:lang w:val="en-US"/>
        </w:rPr>
        <w:t>ns, and objectives of taxation,</w:t>
      </w:r>
      <w:r w:rsidRPr="00137D6A">
        <w:rPr>
          <w:sz w:val="28"/>
          <w:lang w:val="en-US"/>
        </w:rPr>
        <w:t xml:space="preserve"> and its role in modern economies. The chapter further examines the most important elements of the tax</w:t>
      </w:r>
      <w:r w:rsidR="00F16243">
        <w:rPr>
          <w:sz w:val="28"/>
          <w:lang w:val="en-US"/>
        </w:rPr>
        <w:t xml:space="preserve"> system of Ukraine, its concept</w:t>
      </w:r>
      <w:r w:rsidRPr="00137D6A">
        <w:rPr>
          <w:sz w:val="28"/>
          <w:lang w:val="en-US"/>
        </w:rPr>
        <w:t xml:space="preserve"> and principles of construction, types and classes of taxation. In addition, it provides current changes to the tax legislation of Ukraine.</w:t>
      </w:r>
    </w:p>
    <w:p w14:paraId="087A22C4" w14:textId="77777777" w:rsidR="00137D6A" w:rsidRPr="00137D6A" w:rsidRDefault="00137D6A" w:rsidP="00137D6A">
      <w:pPr>
        <w:spacing w:line="240" w:lineRule="atLeast"/>
        <w:ind w:firstLine="357"/>
        <w:jc w:val="both"/>
        <w:rPr>
          <w:sz w:val="28"/>
          <w:lang w:val="en-US"/>
        </w:rPr>
      </w:pPr>
      <w:r w:rsidRPr="00137D6A">
        <w:rPr>
          <w:sz w:val="28"/>
          <w:lang w:val="en-US"/>
        </w:rPr>
        <w:t xml:space="preserve">Chapter 5 offers a comprehensive discussion on a budget as a financial category, its essence, purpose while focusing on regulations and legal directives of Ukraine, budget classification, structure of the budget system of Ukraine, budget decentralization process in Ukraine, budget process, its components and organization, </w:t>
      </w:r>
      <w:r w:rsidR="00F16243">
        <w:rPr>
          <w:sz w:val="28"/>
          <w:lang w:val="en-US"/>
        </w:rPr>
        <w:t xml:space="preserve">and </w:t>
      </w:r>
      <w:r w:rsidRPr="00137D6A">
        <w:rPr>
          <w:sz w:val="28"/>
          <w:lang w:val="en-US"/>
        </w:rPr>
        <w:t xml:space="preserve">main sources of budget financing. </w:t>
      </w:r>
    </w:p>
    <w:p w14:paraId="509475AB" w14:textId="77777777" w:rsidR="00137D6A" w:rsidRPr="00137D6A" w:rsidRDefault="00137D6A" w:rsidP="00137D6A">
      <w:pPr>
        <w:spacing w:line="240" w:lineRule="atLeast"/>
        <w:ind w:firstLine="357"/>
        <w:jc w:val="both"/>
        <w:rPr>
          <w:sz w:val="28"/>
          <w:lang w:val="en-US"/>
        </w:rPr>
      </w:pPr>
      <w:r w:rsidRPr="00137D6A">
        <w:rPr>
          <w:sz w:val="28"/>
          <w:lang w:val="en-US"/>
        </w:rPr>
        <w:lastRenderedPageBreak/>
        <w:t xml:space="preserve">Chapter 6 puts forward the discussion on the basic concept of households as an institutional component of the country economic system, their types, special features and characteristics. The chapter also is concerned with the role of household finance, socio-economic nature of household finance, its specificity, main components for understanding and measuring households’ well-being, and structure of their budget. </w:t>
      </w:r>
    </w:p>
    <w:p w14:paraId="6A73115D" w14:textId="77777777" w:rsidR="00137D6A" w:rsidRPr="00137D6A" w:rsidRDefault="00137D6A" w:rsidP="00137D6A">
      <w:pPr>
        <w:spacing w:line="240" w:lineRule="atLeast"/>
        <w:ind w:firstLine="357"/>
        <w:jc w:val="both"/>
        <w:rPr>
          <w:sz w:val="28"/>
          <w:lang w:val="en-US"/>
        </w:rPr>
      </w:pPr>
      <w:r w:rsidRPr="00137D6A">
        <w:rPr>
          <w:sz w:val="28"/>
          <w:lang w:val="en-US"/>
        </w:rPr>
        <w:t>Chapter 7 provides a general introduction to the basic insights of corporate finance theory but emphasizes the application of theory to real business decisions. This chapter provides a discussion on corporate finance as a financial category, it</w:t>
      </w:r>
      <w:r w:rsidR="00F16243">
        <w:rPr>
          <w:sz w:val="28"/>
          <w:lang w:val="en-US"/>
        </w:rPr>
        <w:t>s</w:t>
      </w:r>
      <w:r w:rsidRPr="00137D6A">
        <w:rPr>
          <w:sz w:val="28"/>
          <w:lang w:val="en-US"/>
        </w:rPr>
        <w:t xml:space="preserve"> certain common and specific features, types of business entities in Ukraine, economic nature, role and classification of financial resources. The chapter also focuses on the cash flows and methods of its calculation based on real life applications. </w:t>
      </w:r>
    </w:p>
    <w:p w14:paraId="5B6DFA5F" w14:textId="77777777" w:rsidR="00137D6A" w:rsidRPr="00137D6A" w:rsidRDefault="00137D6A" w:rsidP="00137D6A">
      <w:pPr>
        <w:spacing w:line="240" w:lineRule="atLeast"/>
        <w:ind w:firstLine="357"/>
        <w:jc w:val="both"/>
        <w:rPr>
          <w:sz w:val="28"/>
          <w:lang w:val="en-US"/>
        </w:rPr>
      </w:pPr>
      <w:r w:rsidRPr="00137D6A">
        <w:rPr>
          <w:sz w:val="28"/>
          <w:lang w:val="en-US"/>
        </w:rPr>
        <w:t>Chapter 8 introduces basic concepts of financial analysis, corporate financial accounting, reporting, and adopts a decision-maker perspective on finance and accounting by emphasizing the relation between accounting data and the underlying financial meaning generating them with the goal to develop a framework for understanding financial statements. The chapter also provides an intensive introduction to the interpretation and analysis of financial information for creditors, investors, regulatory authorities as external users and managers as internal users.</w:t>
      </w:r>
    </w:p>
    <w:p w14:paraId="252AE355" w14:textId="77777777" w:rsidR="00137D6A" w:rsidRPr="00137D6A" w:rsidRDefault="00137D6A" w:rsidP="00137D6A">
      <w:pPr>
        <w:spacing w:line="240" w:lineRule="atLeast"/>
        <w:ind w:firstLine="357"/>
        <w:jc w:val="both"/>
        <w:rPr>
          <w:sz w:val="28"/>
          <w:lang w:val="en-US"/>
        </w:rPr>
      </w:pPr>
      <w:r w:rsidRPr="00137D6A">
        <w:rPr>
          <w:sz w:val="28"/>
          <w:lang w:val="en-US"/>
        </w:rPr>
        <w:t>Chapter 9 focuses on</w:t>
      </w:r>
      <w:r w:rsidR="00532F59">
        <w:rPr>
          <w:sz w:val="28"/>
          <w:lang w:val="en-US"/>
        </w:rPr>
        <w:t xml:space="preserve"> the</w:t>
      </w:r>
      <w:r w:rsidRPr="00137D6A">
        <w:rPr>
          <w:sz w:val="28"/>
          <w:lang w:val="en-US"/>
        </w:rPr>
        <w:t xml:space="preserve"> financial market as an economic category with particular emphasis on its functions, structure according to financial instruments they are trading, key participants in financial markets, types of financial instruments. This chapter covers topics such as money market, capital market, debt market, cash market, derivative market, </w:t>
      </w:r>
      <w:r w:rsidR="00F16243">
        <w:rPr>
          <w:sz w:val="28"/>
          <w:lang w:val="en-US"/>
        </w:rPr>
        <w:t xml:space="preserve">and </w:t>
      </w:r>
      <w:r w:rsidRPr="00137D6A">
        <w:rPr>
          <w:sz w:val="28"/>
          <w:lang w:val="en-US"/>
        </w:rPr>
        <w:t>stock exchange.</w:t>
      </w:r>
    </w:p>
    <w:p w14:paraId="795FFF07" w14:textId="77777777" w:rsidR="00137D6A" w:rsidRPr="00137D6A" w:rsidRDefault="00137D6A" w:rsidP="00137D6A">
      <w:pPr>
        <w:spacing w:line="240" w:lineRule="atLeast"/>
        <w:ind w:firstLine="357"/>
        <w:jc w:val="both"/>
        <w:rPr>
          <w:sz w:val="28"/>
          <w:lang w:val="en-US"/>
        </w:rPr>
      </w:pPr>
      <w:r w:rsidRPr="00137D6A">
        <w:rPr>
          <w:sz w:val="28"/>
          <w:lang w:val="en-US"/>
        </w:rPr>
        <w:t xml:space="preserve">Chapter 10 provides the subsequent discussion of insurance market topics more focused on the basic general principles of insurance, its main functions, insurance classification, elements of the insurance contract, and forms of reinsurance.   </w:t>
      </w:r>
    </w:p>
    <w:p w14:paraId="72C7B6DC" w14:textId="77777777" w:rsidR="00137D6A" w:rsidRPr="00137D6A" w:rsidRDefault="00137D6A" w:rsidP="00137D6A">
      <w:pPr>
        <w:spacing w:line="240" w:lineRule="atLeast"/>
        <w:ind w:firstLine="357"/>
        <w:jc w:val="both"/>
        <w:rPr>
          <w:sz w:val="28"/>
          <w:lang w:val="en-US"/>
        </w:rPr>
      </w:pPr>
      <w:r w:rsidRPr="00137D6A">
        <w:rPr>
          <w:sz w:val="28"/>
          <w:lang w:val="en-US"/>
        </w:rPr>
        <w:t xml:space="preserve">Chapter 11 and Chapter 12 are devoted entirely to the international finance. Chapter 11 </w:t>
      </w:r>
      <w:r w:rsidR="00F16243">
        <w:rPr>
          <w:sz w:val="28"/>
          <w:lang w:val="en-US"/>
        </w:rPr>
        <w:t>presents</w:t>
      </w:r>
      <w:r w:rsidRPr="00137D6A">
        <w:rPr>
          <w:sz w:val="28"/>
          <w:lang w:val="en-US"/>
        </w:rPr>
        <w:t xml:space="preserve"> basic material on an international finance as one of the key subsystem of the world economy, main international financial institutions, </w:t>
      </w:r>
      <w:r w:rsidR="00532F59">
        <w:rPr>
          <w:sz w:val="28"/>
          <w:lang w:val="en-US"/>
        </w:rPr>
        <w:t xml:space="preserve">the </w:t>
      </w:r>
      <w:r w:rsidRPr="00137D6A">
        <w:rPr>
          <w:sz w:val="28"/>
          <w:lang w:val="en-US"/>
        </w:rPr>
        <w:t>international financial management of transnational (multinational) corporations</w:t>
      </w:r>
      <w:r w:rsidR="00F16243">
        <w:rPr>
          <w:sz w:val="28"/>
          <w:lang w:val="en-US"/>
        </w:rPr>
        <w:t>,</w:t>
      </w:r>
      <w:r w:rsidRPr="00137D6A">
        <w:rPr>
          <w:sz w:val="28"/>
          <w:lang w:val="en-US"/>
        </w:rPr>
        <w:t xml:space="preserve"> and covers </w:t>
      </w:r>
      <w:r w:rsidR="00F16243" w:rsidRPr="00137D6A">
        <w:rPr>
          <w:sz w:val="28"/>
          <w:lang w:val="en-US"/>
        </w:rPr>
        <w:t xml:space="preserve">such </w:t>
      </w:r>
      <w:r w:rsidRPr="00137D6A">
        <w:rPr>
          <w:sz w:val="28"/>
          <w:lang w:val="en-US"/>
        </w:rPr>
        <w:t xml:space="preserve">topics as international accounts, international investment position, </w:t>
      </w:r>
      <w:r w:rsidR="00F16243">
        <w:rPr>
          <w:sz w:val="28"/>
          <w:lang w:val="en-US"/>
        </w:rPr>
        <w:t xml:space="preserve">and </w:t>
      </w:r>
      <w:r w:rsidRPr="00137D6A">
        <w:rPr>
          <w:sz w:val="28"/>
          <w:lang w:val="en-US"/>
        </w:rPr>
        <w:t>the balance of payments. Chapter 12 make</w:t>
      </w:r>
      <w:r w:rsidR="00CC1D81">
        <w:rPr>
          <w:sz w:val="28"/>
          <w:lang w:val="en-US"/>
        </w:rPr>
        <w:t>s a</w:t>
      </w:r>
      <w:r w:rsidRPr="00137D6A">
        <w:rPr>
          <w:sz w:val="28"/>
          <w:lang w:val="en-US"/>
        </w:rPr>
        <w:t xml:space="preserve"> particular emphasis on finance of European Union and surveys the history of EU, financial institutions of EU, the budget of EU, its structure, principles of formation and stages of adoption.  </w:t>
      </w:r>
    </w:p>
    <w:p w14:paraId="72BF17C5" w14:textId="77777777" w:rsidR="00137D6A" w:rsidRPr="00137D6A" w:rsidRDefault="00137D6A" w:rsidP="00137D6A">
      <w:pPr>
        <w:spacing w:line="240" w:lineRule="atLeast"/>
        <w:ind w:firstLine="357"/>
        <w:jc w:val="both"/>
        <w:rPr>
          <w:sz w:val="28"/>
          <w:lang w:val="en-US"/>
        </w:rPr>
      </w:pPr>
      <w:r w:rsidRPr="00137D6A">
        <w:rPr>
          <w:sz w:val="28"/>
          <w:lang w:val="en-US"/>
        </w:rPr>
        <w:t xml:space="preserve">At the end of each summary of the chapter, there are fifteen review questions that are formulated to assess and evaluate how well the readers can recall key points from the topic. Also, each chapter contains up to thirty problems that are developed to assess and evaluate readers’ understanding of the contents of the chapters and tie </w:t>
      </w:r>
      <w:r w:rsidR="00532F59">
        <w:rPr>
          <w:sz w:val="28"/>
          <w:lang w:val="en-US"/>
        </w:rPr>
        <w:t xml:space="preserve">these </w:t>
      </w:r>
      <w:r w:rsidRPr="00137D6A">
        <w:rPr>
          <w:sz w:val="28"/>
          <w:lang w:val="en-US"/>
        </w:rPr>
        <w:t xml:space="preserve">concepts to reality through practice questions. Each chapter contains three types of questions: multiple-choice questions, short-answer questions that </w:t>
      </w:r>
      <w:r w:rsidR="00F16243">
        <w:rPr>
          <w:sz w:val="28"/>
          <w:lang w:val="en-US"/>
        </w:rPr>
        <w:t xml:space="preserve">are </w:t>
      </w:r>
      <w:r w:rsidRPr="00137D6A">
        <w:rPr>
          <w:sz w:val="28"/>
          <w:lang w:val="en-US"/>
        </w:rPr>
        <w:t xml:space="preserve">divided </w:t>
      </w:r>
      <w:r w:rsidR="00F16243">
        <w:rPr>
          <w:sz w:val="28"/>
          <w:lang w:val="en-US"/>
        </w:rPr>
        <w:t>in</w:t>
      </w:r>
      <w:r w:rsidRPr="00137D6A">
        <w:rPr>
          <w:sz w:val="28"/>
          <w:lang w:val="en-US"/>
        </w:rPr>
        <w:t>to missing-word and true/false/uncert</w:t>
      </w:r>
      <w:r w:rsidR="00CF1177">
        <w:rPr>
          <w:sz w:val="28"/>
          <w:lang w:val="en-US"/>
        </w:rPr>
        <w:t>ain questions, and computation problems</w:t>
      </w:r>
      <w:r w:rsidRPr="00137D6A">
        <w:rPr>
          <w:sz w:val="28"/>
          <w:lang w:val="en-US"/>
        </w:rPr>
        <w:t>. Multiple</w:t>
      </w:r>
      <w:r w:rsidR="00CF1177">
        <w:rPr>
          <w:sz w:val="28"/>
          <w:lang w:val="en-US"/>
        </w:rPr>
        <w:t>-</w:t>
      </w:r>
      <w:r w:rsidRPr="00137D6A">
        <w:rPr>
          <w:sz w:val="28"/>
          <w:lang w:val="en-US"/>
        </w:rPr>
        <w:t>choice questions are a form of assessment that requires students to select the best possible answer from among various options (usually</w:t>
      </w:r>
      <w:r w:rsidR="00CF1177">
        <w:rPr>
          <w:sz w:val="28"/>
          <w:lang w:val="en-US"/>
        </w:rPr>
        <w:t>,</w:t>
      </w:r>
      <w:r w:rsidRPr="00137D6A">
        <w:rPr>
          <w:sz w:val="28"/>
          <w:lang w:val="en-US"/>
        </w:rPr>
        <w:t xml:space="preserve"> between 4 and 7) from a list that is provided to them. Short-answer questions are a form of assessment that </w:t>
      </w:r>
      <w:r w:rsidRPr="00137D6A">
        <w:rPr>
          <w:sz w:val="28"/>
          <w:lang w:val="en-US"/>
        </w:rPr>
        <w:lastRenderedPageBreak/>
        <w:t xml:space="preserve">requires a reasonably short students’ answer organized in few words or a paragraph/two. Missing-word questions require a fill-in-the-blank short answer that could range from one word to a phrase or sentence. True/false/uncertain questions require students </w:t>
      </w:r>
      <w:r w:rsidR="00CF1177">
        <w:rPr>
          <w:sz w:val="28"/>
          <w:lang w:val="en-US"/>
        </w:rPr>
        <w:t xml:space="preserve">to </w:t>
      </w:r>
      <w:r w:rsidRPr="00137D6A">
        <w:rPr>
          <w:sz w:val="28"/>
          <w:lang w:val="en-US"/>
        </w:rPr>
        <w:t>respond to the questions by indicating whether the statement is true, false</w:t>
      </w:r>
      <w:r w:rsidR="00CF1177">
        <w:rPr>
          <w:sz w:val="28"/>
          <w:lang w:val="en-US"/>
        </w:rPr>
        <w:t>,</w:t>
      </w:r>
      <w:r w:rsidRPr="00137D6A">
        <w:rPr>
          <w:sz w:val="28"/>
          <w:lang w:val="en-US"/>
        </w:rPr>
        <w:t xml:space="preserve"> or uncertain and explain their opinion and demonstrate creativity in one or two paragraphs. Computation problems are a form of assessment of students’ understanding of the theories and concepts that give rise to the various formulas that they need to use while solving specific practical problems or performing specific tasks.</w:t>
      </w:r>
    </w:p>
    <w:p w14:paraId="27FFD887" w14:textId="77777777" w:rsidR="00C45946" w:rsidRDefault="00137D6A" w:rsidP="00137D6A">
      <w:pPr>
        <w:spacing w:line="240" w:lineRule="atLeast"/>
        <w:ind w:firstLine="357"/>
        <w:jc w:val="both"/>
        <w:rPr>
          <w:sz w:val="28"/>
          <w:lang w:val="en-US"/>
        </w:rPr>
      </w:pPr>
      <w:r w:rsidRPr="00137D6A">
        <w:rPr>
          <w:sz w:val="28"/>
          <w:lang w:val="en-US"/>
        </w:rPr>
        <w:t xml:space="preserve">The book is directed at those who are studying finance as a part of bachelor programs and seeking qualification in the finance and economics. It </w:t>
      </w:r>
      <w:r w:rsidR="00CF1177">
        <w:rPr>
          <w:sz w:val="28"/>
          <w:lang w:val="en-US"/>
        </w:rPr>
        <w:t xml:space="preserve">is </w:t>
      </w:r>
      <w:r w:rsidRPr="00137D6A">
        <w:rPr>
          <w:sz w:val="28"/>
          <w:lang w:val="en-US"/>
        </w:rPr>
        <w:t>also designed to develop skills and core knowledge needed to enter into the profession within the finance fields. This book provid</w:t>
      </w:r>
      <w:r w:rsidR="00CF1177">
        <w:rPr>
          <w:sz w:val="28"/>
          <w:lang w:val="en-US"/>
        </w:rPr>
        <w:t>es a wide range of entry points</w:t>
      </w:r>
      <w:r w:rsidRPr="00137D6A">
        <w:rPr>
          <w:sz w:val="28"/>
          <w:lang w:val="en-US"/>
        </w:rPr>
        <w:t xml:space="preserve"> for those who already have diplomas or an undergraduate degree in an unrelated to finance field.</w:t>
      </w:r>
    </w:p>
    <w:p w14:paraId="1D22858B" w14:textId="77777777" w:rsidR="00377655" w:rsidRDefault="00377655" w:rsidP="00137D6A">
      <w:pPr>
        <w:spacing w:line="240" w:lineRule="atLeast"/>
        <w:ind w:firstLine="357"/>
        <w:jc w:val="both"/>
        <w:rPr>
          <w:sz w:val="28"/>
          <w:lang w:val="en-US"/>
        </w:rPr>
      </w:pPr>
    </w:p>
    <w:p w14:paraId="5069D872" w14:textId="77777777" w:rsidR="00377655" w:rsidRPr="00E04F56" w:rsidRDefault="00377655" w:rsidP="00137D6A">
      <w:pPr>
        <w:spacing w:line="240" w:lineRule="atLeast"/>
        <w:ind w:firstLine="357"/>
        <w:jc w:val="both"/>
        <w:rPr>
          <w:sz w:val="28"/>
          <w:lang w:val="en-US"/>
        </w:rPr>
      </w:pPr>
    </w:p>
    <w:p w14:paraId="07A17B0A" w14:textId="77777777" w:rsidR="00B4491A" w:rsidRDefault="00B4491A" w:rsidP="00111437">
      <w:pPr>
        <w:spacing w:line="240" w:lineRule="atLeast"/>
        <w:ind w:firstLine="357"/>
        <w:jc w:val="right"/>
        <w:rPr>
          <w:sz w:val="28"/>
          <w:lang w:val="en-US"/>
        </w:rPr>
      </w:pPr>
      <w:r>
        <w:rPr>
          <w:sz w:val="28"/>
          <w:lang w:val="en-US"/>
        </w:rPr>
        <w:t>The authors</w:t>
      </w:r>
    </w:p>
    <w:p w14:paraId="58F9D824" w14:textId="77777777" w:rsidR="00B4491A" w:rsidRPr="003E560A" w:rsidRDefault="00B4491A" w:rsidP="00111437">
      <w:pPr>
        <w:spacing w:line="240" w:lineRule="atLeast"/>
        <w:ind w:firstLine="357"/>
        <w:jc w:val="right"/>
        <w:rPr>
          <w:sz w:val="28"/>
          <w:lang w:val="en-US"/>
        </w:rPr>
      </w:pPr>
      <w:r>
        <w:rPr>
          <w:sz w:val="28"/>
          <w:lang w:val="en-US"/>
        </w:rPr>
        <w:t>March 15, 2016</w:t>
      </w:r>
    </w:p>
    <w:p w14:paraId="03E5CF0C" w14:textId="77777777" w:rsidR="00EA7CB8" w:rsidRDefault="00EA7CB8" w:rsidP="00B4491A">
      <w:pPr>
        <w:jc w:val="right"/>
        <w:rPr>
          <w:lang w:val="en-US"/>
        </w:rPr>
      </w:pPr>
      <w:r>
        <w:rPr>
          <w:lang w:val="en-US"/>
        </w:rPr>
        <w:br w:type="page"/>
      </w:r>
      <w:r w:rsidRPr="00377655">
        <w:rPr>
          <w:b/>
          <w:sz w:val="48"/>
          <w:lang w:val="en-US"/>
        </w:rPr>
        <w:lastRenderedPageBreak/>
        <w:t>Guided tour of the book</w:t>
      </w:r>
    </w:p>
    <w:p w14:paraId="2244BD67" w14:textId="77777777" w:rsidR="00EA7CB8" w:rsidRDefault="00EA7CB8" w:rsidP="00EA7CB8">
      <w:pPr>
        <w:rPr>
          <w:lang w:val="en-US"/>
        </w:rPr>
      </w:pPr>
    </w:p>
    <w:p w14:paraId="4222DB2E" w14:textId="77777777" w:rsidR="00B4491A" w:rsidRPr="00EA7CB8" w:rsidRDefault="0099035A" w:rsidP="00D81EA4">
      <w:pPr>
        <w:jc w:val="both"/>
        <w:rPr>
          <w:sz w:val="28"/>
          <w:lang w:val="en-US"/>
        </w:rPr>
      </w:pPr>
      <w:r>
        <w:rPr>
          <w:b/>
          <w:sz w:val="28"/>
          <w:lang w:val="en-US"/>
        </w:rPr>
        <w:t>S</w:t>
      </w:r>
      <w:r w:rsidR="00B4491A" w:rsidRPr="00143C85">
        <w:rPr>
          <w:b/>
          <w:sz w:val="28"/>
          <w:lang w:val="en-US"/>
        </w:rPr>
        <w:t>ummary</w:t>
      </w:r>
      <w:r w:rsidR="00143C85" w:rsidRPr="00143C85">
        <w:rPr>
          <w:b/>
          <w:sz w:val="28"/>
          <w:lang w:val="en-US"/>
        </w:rPr>
        <w:t>.</w:t>
      </w:r>
      <w:r w:rsidR="00B4491A" w:rsidRPr="00EA7CB8">
        <w:rPr>
          <w:sz w:val="28"/>
          <w:lang w:val="en-US"/>
        </w:rPr>
        <w:t xml:space="preserve"> Each chapter </w:t>
      </w:r>
      <w:r w:rsidR="00143C85">
        <w:rPr>
          <w:sz w:val="28"/>
          <w:lang w:val="en-US"/>
        </w:rPr>
        <w:t>begin</w:t>
      </w:r>
      <w:r w:rsidR="00B4491A" w:rsidRPr="00EA7CB8">
        <w:rPr>
          <w:sz w:val="28"/>
          <w:lang w:val="en-US"/>
        </w:rPr>
        <w:t xml:space="preserve">s with a </w:t>
      </w:r>
      <w:r w:rsidR="00143C85">
        <w:rPr>
          <w:sz w:val="28"/>
          <w:lang w:val="en-US"/>
        </w:rPr>
        <w:t xml:space="preserve">summary of the topic under </w:t>
      </w:r>
      <w:r w:rsidR="00D81EA4">
        <w:rPr>
          <w:sz w:val="28"/>
          <w:lang w:val="en-US"/>
        </w:rPr>
        <w:t>investigation</w:t>
      </w:r>
      <w:r w:rsidR="00143C85">
        <w:rPr>
          <w:sz w:val="28"/>
          <w:lang w:val="en-US"/>
        </w:rPr>
        <w:t xml:space="preserve"> that</w:t>
      </w:r>
      <w:r w:rsidR="00B4491A" w:rsidRPr="00EA7CB8">
        <w:rPr>
          <w:sz w:val="28"/>
          <w:lang w:val="en-US"/>
        </w:rPr>
        <w:t xml:space="preserve"> highlights the material covered in the chapter</w:t>
      </w:r>
      <w:r w:rsidR="00143C85">
        <w:rPr>
          <w:sz w:val="28"/>
          <w:lang w:val="en-US"/>
        </w:rPr>
        <w:t xml:space="preserve"> </w:t>
      </w:r>
      <w:r w:rsidR="00B4491A" w:rsidRPr="00EA7CB8">
        <w:rPr>
          <w:sz w:val="28"/>
          <w:lang w:val="en-US"/>
        </w:rPr>
        <w:t>and can be used as a quick reminder of the main issues</w:t>
      </w:r>
      <w:r w:rsidR="00143C85">
        <w:rPr>
          <w:sz w:val="28"/>
          <w:lang w:val="en-US"/>
        </w:rPr>
        <w:t xml:space="preserve"> of the topic</w:t>
      </w:r>
      <w:r w:rsidR="00B4491A" w:rsidRPr="00EA7CB8">
        <w:rPr>
          <w:sz w:val="28"/>
          <w:lang w:val="en-US"/>
        </w:rPr>
        <w:t>.</w:t>
      </w:r>
    </w:p>
    <w:p w14:paraId="4E3F477B" w14:textId="77777777" w:rsidR="00B4491A" w:rsidRDefault="00B4491A" w:rsidP="00D81EA4">
      <w:pPr>
        <w:jc w:val="both"/>
        <w:rPr>
          <w:sz w:val="28"/>
          <w:lang w:val="en-US"/>
        </w:rPr>
      </w:pPr>
    </w:p>
    <w:p w14:paraId="6CA6165E" w14:textId="77777777" w:rsidR="00B4491A" w:rsidRPr="00EA7CB8" w:rsidRDefault="00D81EA4" w:rsidP="00D81EA4">
      <w:pPr>
        <w:jc w:val="both"/>
        <w:rPr>
          <w:sz w:val="28"/>
          <w:lang w:val="en-US"/>
        </w:rPr>
      </w:pPr>
      <w:r w:rsidRPr="00D81EA4">
        <w:rPr>
          <w:b/>
          <w:sz w:val="28"/>
          <w:lang w:val="en-US"/>
        </w:rPr>
        <w:t>Recommended</w:t>
      </w:r>
      <w:r w:rsidR="00B4491A" w:rsidRPr="00D81EA4">
        <w:rPr>
          <w:b/>
          <w:sz w:val="28"/>
          <w:lang w:val="en-US"/>
        </w:rPr>
        <w:t xml:space="preserve"> reading</w:t>
      </w:r>
      <w:r w:rsidRPr="00D81EA4">
        <w:rPr>
          <w:b/>
          <w:sz w:val="28"/>
          <w:lang w:val="en-US"/>
        </w:rPr>
        <w:t>.</w:t>
      </w:r>
      <w:r w:rsidR="00B4491A" w:rsidRPr="00EA7CB8">
        <w:rPr>
          <w:sz w:val="28"/>
          <w:lang w:val="en-US"/>
        </w:rPr>
        <w:t xml:space="preserve"> This section</w:t>
      </w:r>
      <w:r>
        <w:rPr>
          <w:sz w:val="28"/>
          <w:lang w:val="en-US"/>
        </w:rPr>
        <w:t xml:space="preserve"> </w:t>
      </w:r>
      <w:r w:rsidR="00B4491A" w:rsidRPr="00EA7CB8">
        <w:rPr>
          <w:sz w:val="28"/>
          <w:lang w:val="en-US"/>
        </w:rPr>
        <w:t>comprises a listing of relevant</w:t>
      </w:r>
      <w:r>
        <w:rPr>
          <w:sz w:val="28"/>
          <w:lang w:val="en-US"/>
        </w:rPr>
        <w:t xml:space="preserve"> </w:t>
      </w:r>
      <w:r w:rsidR="00B4491A" w:rsidRPr="00EA7CB8">
        <w:rPr>
          <w:sz w:val="28"/>
          <w:lang w:val="en-US"/>
        </w:rPr>
        <w:t>chapters</w:t>
      </w:r>
      <w:r>
        <w:rPr>
          <w:sz w:val="28"/>
          <w:lang w:val="en-US"/>
        </w:rPr>
        <w:t xml:space="preserve"> </w:t>
      </w:r>
      <w:r w:rsidR="00B4491A" w:rsidRPr="00EA7CB8">
        <w:rPr>
          <w:sz w:val="28"/>
          <w:lang w:val="en-US"/>
        </w:rPr>
        <w:t xml:space="preserve">in other </w:t>
      </w:r>
      <w:r w:rsidRPr="00D81EA4">
        <w:rPr>
          <w:sz w:val="28"/>
          <w:lang w:val="en-US"/>
        </w:rPr>
        <w:t>t</w:t>
      </w:r>
      <w:r>
        <w:rPr>
          <w:sz w:val="28"/>
          <w:lang w:val="en-US"/>
        </w:rPr>
        <w:t xml:space="preserve">extbooks, handbooks and manuals, </w:t>
      </w:r>
      <w:r w:rsidRPr="00D81EA4">
        <w:rPr>
          <w:sz w:val="28"/>
          <w:lang w:val="en-US"/>
        </w:rPr>
        <w:t>scholarly publications</w:t>
      </w:r>
      <w:r>
        <w:rPr>
          <w:sz w:val="28"/>
          <w:lang w:val="en-US"/>
        </w:rPr>
        <w:t xml:space="preserve">, etc. </w:t>
      </w:r>
      <w:r w:rsidR="00B4491A" w:rsidRPr="00EA7CB8">
        <w:rPr>
          <w:sz w:val="28"/>
          <w:lang w:val="en-US"/>
        </w:rPr>
        <w:t xml:space="preserve">that </w:t>
      </w:r>
      <w:r>
        <w:rPr>
          <w:sz w:val="28"/>
          <w:lang w:val="en-US"/>
        </w:rPr>
        <w:t>the reader</w:t>
      </w:r>
      <w:r w:rsidR="00B4491A" w:rsidRPr="00EA7CB8">
        <w:rPr>
          <w:sz w:val="28"/>
          <w:lang w:val="en-US"/>
        </w:rPr>
        <w:t xml:space="preserve"> might refer</w:t>
      </w:r>
      <w:r>
        <w:rPr>
          <w:sz w:val="28"/>
          <w:lang w:val="en-US"/>
        </w:rPr>
        <w:t xml:space="preserve"> </w:t>
      </w:r>
      <w:r w:rsidR="00B4491A" w:rsidRPr="00EA7CB8">
        <w:rPr>
          <w:sz w:val="28"/>
          <w:lang w:val="en-US"/>
        </w:rPr>
        <w:t>to in order to pursue a topic in more</w:t>
      </w:r>
      <w:r>
        <w:rPr>
          <w:sz w:val="28"/>
          <w:lang w:val="en-US"/>
        </w:rPr>
        <w:t xml:space="preserve"> </w:t>
      </w:r>
      <w:r w:rsidR="00B4491A" w:rsidRPr="00EA7CB8">
        <w:rPr>
          <w:sz w:val="28"/>
          <w:lang w:val="en-US"/>
        </w:rPr>
        <w:t>depth or gain an alternative perspective.</w:t>
      </w:r>
    </w:p>
    <w:p w14:paraId="3AB50870" w14:textId="77777777" w:rsidR="00B4491A" w:rsidRPr="00EA7CB8" w:rsidRDefault="00B4491A" w:rsidP="00D81EA4">
      <w:pPr>
        <w:jc w:val="both"/>
        <w:rPr>
          <w:sz w:val="28"/>
          <w:lang w:val="en-US"/>
        </w:rPr>
      </w:pPr>
      <w:r w:rsidRPr="00D81EA4">
        <w:rPr>
          <w:b/>
          <w:sz w:val="28"/>
          <w:lang w:val="en-US"/>
        </w:rPr>
        <w:t>Relevant websites</w:t>
      </w:r>
      <w:r w:rsidR="00D81EA4">
        <w:rPr>
          <w:b/>
          <w:sz w:val="28"/>
          <w:lang w:val="en-US"/>
        </w:rPr>
        <w:t>.</w:t>
      </w:r>
      <w:r w:rsidRPr="00EA7CB8">
        <w:rPr>
          <w:sz w:val="28"/>
          <w:lang w:val="en-US"/>
        </w:rPr>
        <w:t xml:space="preserve"> </w:t>
      </w:r>
      <w:r w:rsidR="00CF1177">
        <w:rPr>
          <w:sz w:val="28"/>
          <w:lang w:val="en-US"/>
        </w:rPr>
        <w:t>They provide</w:t>
      </w:r>
      <w:r w:rsidRPr="00EA7CB8">
        <w:rPr>
          <w:sz w:val="28"/>
          <w:lang w:val="en-US"/>
        </w:rPr>
        <w:t xml:space="preserve"> full details</w:t>
      </w:r>
      <w:r w:rsidR="00D81EA4">
        <w:rPr>
          <w:sz w:val="28"/>
          <w:lang w:val="en-US"/>
        </w:rPr>
        <w:t xml:space="preserve"> </w:t>
      </w:r>
      <w:r w:rsidRPr="00EA7CB8">
        <w:rPr>
          <w:sz w:val="28"/>
          <w:lang w:val="en-US"/>
        </w:rPr>
        <w:t>of suitable sources of information on</w:t>
      </w:r>
      <w:r w:rsidR="00D81EA4">
        <w:rPr>
          <w:sz w:val="28"/>
          <w:lang w:val="en-US"/>
        </w:rPr>
        <w:t xml:space="preserve"> </w:t>
      </w:r>
      <w:r w:rsidRPr="00EA7CB8">
        <w:rPr>
          <w:sz w:val="28"/>
          <w:lang w:val="en-US"/>
        </w:rPr>
        <w:t xml:space="preserve">the </w:t>
      </w:r>
      <w:r w:rsidR="00CF1177">
        <w:rPr>
          <w:sz w:val="28"/>
          <w:lang w:val="en-US"/>
        </w:rPr>
        <w:t>W</w:t>
      </w:r>
      <w:r w:rsidR="00D81EA4">
        <w:rPr>
          <w:sz w:val="28"/>
          <w:lang w:val="en-US"/>
        </w:rPr>
        <w:t xml:space="preserve">orld </w:t>
      </w:r>
      <w:r w:rsidR="00CF1177">
        <w:rPr>
          <w:sz w:val="28"/>
          <w:lang w:val="en-US"/>
        </w:rPr>
        <w:t>W</w:t>
      </w:r>
      <w:r w:rsidR="00D81EA4">
        <w:rPr>
          <w:sz w:val="28"/>
          <w:lang w:val="en-US"/>
        </w:rPr>
        <w:t xml:space="preserve">ide </w:t>
      </w:r>
      <w:r w:rsidR="00CF1177">
        <w:rPr>
          <w:sz w:val="28"/>
          <w:lang w:val="en-US"/>
        </w:rPr>
        <w:t>W</w:t>
      </w:r>
      <w:r w:rsidR="00D81EA4">
        <w:rPr>
          <w:sz w:val="28"/>
          <w:lang w:val="en-US"/>
        </w:rPr>
        <w:t>eb</w:t>
      </w:r>
      <w:r w:rsidRPr="00EA7CB8">
        <w:rPr>
          <w:sz w:val="28"/>
          <w:lang w:val="en-US"/>
        </w:rPr>
        <w:t>.</w:t>
      </w:r>
    </w:p>
    <w:p w14:paraId="4E1186EE" w14:textId="77777777" w:rsidR="00D81EA4" w:rsidRDefault="00D81EA4" w:rsidP="00D81EA4">
      <w:pPr>
        <w:jc w:val="both"/>
        <w:rPr>
          <w:sz w:val="28"/>
          <w:lang w:val="en-US"/>
        </w:rPr>
      </w:pPr>
    </w:p>
    <w:p w14:paraId="117234ED" w14:textId="77777777" w:rsidR="00EA7CB8" w:rsidRDefault="00EA7CB8" w:rsidP="00D81EA4">
      <w:pPr>
        <w:jc w:val="both"/>
        <w:rPr>
          <w:sz w:val="28"/>
          <w:lang w:val="en-US"/>
        </w:rPr>
      </w:pPr>
      <w:r w:rsidRPr="00FC0F5F">
        <w:rPr>
          <w:b/>
          <w:sz w:val="28"/>
          <w:lang w:val="en-US"/>
        </w:rPr>
        <w:t>Key terms</w:t>
      </w:r>
      <w:r w:rsidR="00D81EA4" w:rsidRPr="00FC0F5F">
        <w:rPr>
          <w:sz w:val="28"/>
          <w:lang w:val="en-US"/>
        </w:rPr>
        <w:t>.</w:t>
      </w:r>
      <w:r w:rsidRPr="00FC0F5F">
        <w:rPr>
          <w:sz w:val="28"/>
          <w:lang w:val="en-US"/>
        </w:rPr>
        <w:t xml:space="preserve"> The key concepts and techniques in each</w:t>
      </w:r>
      <w:r w:rsidR="00D81EA4" w:rsidRPr="00FC0F5F">
        <w:rPr>
          <w:sz w:val="28"/>
          <w:lang w:val="en-US"/>
        </w:rPr>
        <w:t xml:space="preserve"> </w:t>
      </w:r>
      <w:r w:rsidRPr="00FC0F5F">
        <w:rPr>
          <w:sz w:val="28"/>
          <w:lang w:val="en-US"/>
        </w:rPr>
        <w:t>chapter</w:t>
      </w:r>
      <w:r w:rsidR="00CF1177">
        <w:rPr>
          <w:sz w:val="28"/>
          <w:lang w:val="en-US"/>
        </w:rPr>
        <w:t>,</w:t>
      </w:r>
      <w:r w:rsidRPr="00FC0F5F">
        <w:rPr>
          <w:sz w:val="28"/>
          <w:lang w:val="en-US"/>
        </w:rPr>
        <w:t xml:space="preserve"> </w:t>
      </w:r>
      <w:r w:rsidR="005E2532" w:rsidRPr="00FC0F5F">
        <w:rPr>
          <w:sz w:val="28"/>
          <w:lang w:val="en-US"/>
        </w:rPr>
        <w:t xml:space="preserve">where they are </w:t>
      </w:r>
      <w:r w:rsidR="005E2532" w:rsidRPr="005E2532">
        <w:rPr>
          <w:sz w:val="28"/>
          <w:lang w:val="en-US"/>
        </w:rPr>
        <w:t>newly introduced, uncommon, or specialized</w:t>
      </w:r>
      <w:r w:rsidR="00CF1177">
        <w:rPr>
          <w:sz w:val="28"/>
          <w:lang w:val="en-US"/>
        </w:rPr>
        <w:t>,</w:t>
      </w:r>
      <w:r w:rsidR="005E2532">
        <w:rPr>
          <w:sz w:val="28"/>
          <w:lang w:val="en-US"/>
        </w:rPr>
        <w:t xml:space="preserve"> </w:t>
      </w:r>
      <w:r w:rsidRPr="00FC0F5F">
        <w:rPr>
          <w:sz w:val="28"/>
          <w:lang w:val="en-US"/>
        </w:rPr>
        <w:t xml:space="preserve">are highlighted in </w:t>
      </w:r>
      <w:r w:rsidR="00FC0F5F">
        <w:rPr>
          <w:sz w:val="28"/>
          <w:lang w:val="en-US"/>
        </w:rPr>
        <w:t>box</w:t>
      </w:r>
      <w:r w:rsidRPr="00FC0F5F">
        <w:rPr>
          <w:sz w:val="28"/>
          <w:lang w:val="en-US"/>
        </w:rPr>
        <w:t xml:space="preserve"> with </w:t>
      </w:r>
      <w:r w:rsidR="005E2532" w:rsidRPr="005E2532">
        <w:rPr>
          <w:sz w:val="28"/>
          <w:lang w:val="en-US"/>
        </w:rPr>
        <w:t xml:space="preserve">precise definitions of terms and concepts in literary theory, along with explanations of what a particular term means, how it is used, and where it comes from, and enables </w:t>
      </w:r>
      <w:r w:rsidR="005E2532">
        <w:rPr>
          <w:sz w:val="28"/>
          <w:lang w:val="en-US"/>
        </w:rPr>
        <w:t>the reader</w:t>
      </w:r>
      <w:r w:rsidR="005E2532" w:rsidRPr="005E2532">
        <w:rPr>
          <w:sz w:val="28"/>
          <w:lang w:val="en-US"/>
        </w:rPr>
        <w:t xml:space="preserve"> to apply the terms and concepts to their own investigations.</w:t>
      </w:r>
    </w:p>
    <w:p w14:paraId="6565211E" w14:textId="77777777" w:rsidR="005E2532" w:rsidRPr="00FC0F5F" w:rsidRDefault="005E2532" w:rsidP="00D81EA4">
      <w:pPr>
        <w:jc w:val="both"/>
        <w:rPr>
          <w:sz w:val="28"/>
          <w:lang w:val="en-US"/>
        </w:rPr>
      </w:pPr>
    </w:p>
    <w:p w14:paraId="73B45E80" w14:textId="77777777" w:rsidR="00EA7CB8" w:rsidRDefault="00EA7CB8" w:rsidP="00575E15">
      <w:pPr>
        <w:jc w:val="both"/>
        <w:rPr>
          <w:sz w:val="28"/>
          <w:lang w:val="en-US"/>
        </w:rPr>
      </w:pPr>
      <w:r w:rsidRPr="00D81EA4">
        <w:rPr>
          <w:b/>
          <w:sz w:val="28"/>
          <w:lang w:val="en-US"/>
        </w:rPr>
        <w:t>Review questions</w:t>
      </w:r>
      <w:r w:rsidR="00D81EA4">
        <w:rPr>
          <w:sz w:val="28"/>
          <w:lang w:val="en-US"/>
        </w:rPr>
        <w:t>.</w:t>
      </w:r>
      <w:r w:rsidRPr="00EA7CB8">
        <w:rPr>
          <w:sz w:val="28"/>
          <w:lang w:val="en-US"/>
        </w:rPr>
        <w:t xml:space="preserve"> These short questions encourage </w:t>
      </w:r>
      <w:r w:rsidR="00575E15">
        <w:rPr>
          <w:sz w:val="28"/>
          <w:lang w:val="en-US"/>
        </w:rPr>
        <w:t>the reader</w:t>
      </w:r>
      <w:r w:rsidRPr="00EA7CB8">
        <w:rPr>
          <w:sz w:val="28"/>
          <w:lang w:val="en-US"/>
        </w:rPr>
        <w:t xml:space="preserve"> to review</w:t>
      </w:r>
      <w:r w:rsidR="00575E15">
        <w:rPr>
          <w:sz w:val="28"/>
          <w:lang w:val="en-US"/>
        </w:rPr>
        <w:t xml:space="preserve"> </w:t>
      </w:r>
      <w:r w:rsidRPr="00EA7CB8">
        <w:rPr>
          <w:sz w:val="28"/>
          <w:lang w:val="en-US"/>
        </w:rPr>
        <w:t xml:space="preserve">and/or critically discuss </w:t>
      </w:r>
      <w:r w:rsidR="00575E15">
        <w:rPr>
          <w:sz w:val="28"/>
          <w:lang w:val="en-US"/>
        </w:rPr>
        <w:t>her/his</w:t>
      </w:r>
      <w:r w:rsidRPr="00EA7CB8">
        <w:rPr>
          <w:sz w:val="28"/>
          <w:lang w:val="en-US"/>
        </w:rPr>
        <w:t xml:space="preserve"> understanding of the main topics covered</w:t>
      </w:r>
      <w:r w:rsidR="00575E15">
        <w:rPr>
          <w:sz w:val="28"/>
          <w:lang w:val="en-US"/>
        </w:rPr>
        <w:t xml:space="preserve"> </w:t>
      </w:r>
      <w:r w:rsidRPr="00EA7CB8">
        <w:rPr>
          <w:sz w:val="28"/>
          <w:lang w:val="en-US"/>
        </w:rPr>
        <w:t xml:space="preserve">in each chapter, either individually or in a group. </w:t>
      </w:r>
    </w:p>
    <w:p w14:paraId="699A5633" w14:textId="77777777" w:rsidR="00575E15" w:rsidRPr="00EA7CB8" w:rsidRDefault="00575E15" w:rsidP="00575E15">
      <w:pPr>
        <w:jc w:val="both"/>
        <w:rPr>
          <w:sz w:val="28"/>
          <w:lang w:val="en-US"/>
        </w:rPr>
      </w:pPr>
    </w:p>
    <w:p w14:paraId="60E9CC8D" w14:textId="77777777" w:rsidR="00EA7CB8" w:rsidRDefault="00EA7CB8" w:rsidP="00575E15">
      <w:pPr>
        <w:jc w:val="both"/>
        <w:rPr>
          <w:sz w:val="28"/>
          <w:lang w:val="en-US"/>
        </w:rPr>
      </w:pPr>
      <w:r w:rsidRPr="00575E15">
        <w:rPr>
          <w:b/>
          <w:sz w:val="28"/>
          <w:lang w:val="en-US"/>
        </w:rPr>
        <w:t>Problems</w:t>
      </w:r>
      <w:r w:rsidR="00575E15">
        <w:rPr>
          <w:b/>
          <w:sz w:val="28"/>
          <w:lang w:val="en-US"/>
        </w:rPr>
        <w:t xml:space="preserve">. </w:t>
      </w:r>
      <w:r w:rsidRPr="00EA7CB8">
        <w:rPr>
          <w:sz w:val="28"/>
          <w:lang w:val="en-US"/>
        </w:rPr>
        <w:t xml:space="preserve">Towards the end of </w:t>
      </w:r>
      <w:r w:rsidR="00575E15">
        <w:rPr>
          <w:sz w:val="28"/>
          <w:lang w:val="en-US"/>
        </w:rPr>
        <w:t xml:space="preserve">each </w:t>
      </w:r>
      <w:r w:rsidR="00CF1177">
        <w:rPr>
          <w:sz w:val="28"/>
          <w:lang w:val="en-US"/>
        </w:rPr>
        <w:t>chapter,</w:t>
      </w:r>
      <w:r w:rsidRPr="00EA7CB8">
        <w:rPr>
          <w:sz w:val="28"/>
          <w:lang w:val="en-US"/>
        </w:rPr>
        <w:t xml:space="preserve"> </w:t>
      </w:r>
      <w:r w:rsidR="00575E15">
        <w:rPr>
          <w:sz w:val="28"/>
          <w:lang w:val="en-US"/>
        </w:rPr>
        <w:t>the reader</w:t>
      </w:r>
      <w:r w:rsidRPr="00EA7CB8">
        <w:rPr>
          <w:sz w:val="28"/>
          <w:lang w:val="en-US"/>
        </w:rPr>
        <w:t xml:space="preserve"> will encounter questions, allowing to check </w:t>
      </w:r>
      <w:r w:rsidR="00575E15">
        <w:rPr>
          <w:sz w:val="28"/>
          <w:lang w:val="en-US"/>
        </w:rPr>
        <w:t xml:space="preserve">reader’s </w:t>
      </w:r>
      <w:r w:rsidRPr="00EA7CB8">
        <w:rPr>
          <w:sz w:val="28"/>
          <w:lang w:val="en-US"/>
        </w:rPr>
        <w:t xml:space="preserve">understanding and progress. </w:t>
      </w:r>
      <w:r w:rsidR="00CF1177">
        <w:rPr>
          <w:sz w:val="28"/>
          <w:lang w:val="en-US"/>
        </w:rPr>
        <w:t>The problems consist</w:t>
      </w:r>
      <w:r w:rsidR="00575E15">
        <w:rPr>
          <w:sz w:val="28"/>
          <w:lang w:val="en-US"/>
        </w:rPr>
        <w:t xml:space="preserve"> of multiple-choice questions, short</w:t>
      </w:r>
      <w:r w:rsidR="00CF1177">
        <w:rPr>
          <w:sz w:val="28"/>
          <w:lang w:val="en-US"/>
        </w:rPr>
        <w:t>-</w:t>
      </w:r>
      <w:r w:rsidR="00575E15">
        <w:rPr>
          <w:sz w:val="28"/>
          <w:lang w:val="en-US"/>
        </w:rPr>
        <w:t xml:space="preserve">answer questions comprising missing-word questions and true/false/uncertain questions, </w:t>
      </w:r>
      <w:r w:rsidR="00CF1177">
        <w:rPr>
          <w:sz w:val="28"/>
          <w:lang w:val="en-US"/>
        </w:rPr>
        <w:t xml:space="preserve">and </w:t>
      </w:r>
      <w:r w:rsidR="00575E15">
        <w:rPr>
          <w:sz w:val="28"/>
          <w:lang w:val="en-US"/>
        </w:rPr>
        <w:t xml:space="preserve">computation problems.  </w:t>
      </w:r>
    </w:p>
    <w:p w14:paraId="045917E4" w14:textId="77777777" w:rsidR="00EA7CB8" w:rsidRDefault="00EA7CB8" w:rsidP="00D81EA4">
      <w:pPr>
        <w:jc w:val="both"/>
        <w:rPr>
          <w:sz w:val="28"/>
          <w:lang w:val="en-US"/>
        </w:rPr>
      </w:pPr>
      <w:r>
        <w:rPr>
          <w:sz w:val="28"/>
          <w:lang w:val="en-US"/>
        </w:rPr>
        <w:br w:type="page"/>
      </w:r>
    </w:p>
    <w:p w14:paraId="68F6310F" w14:textId="77777777" w:rsidR="00BE42A0" w:rsidRPr="005367B8" w:rsidRDefault="00BE42A0" w:rsidP="005367B8">
      <w:pPr>
        <w:pStyle w:val="eng"/>
      </w:pPr>
      <w:bookmarkStart w:id="0" w:name="origins"/>
      <w:r w:rsidRPr="005367B8">
        <w:lastRenderedPageBreak/>
        <w:t>Ch</w:t>
      </w:r>
      <w:r w:rsidR="00CE0D6E">
        <w:t>apter 1</w:t>
      </w:r>
      <w:r w:rsidR="00CC1D81">
        <w:rPr>
          <w:lang w:val="en-US"/>
        </w:rPr>
        <w:t>:</w:t>
      </w:r>
      <w:r w:rsidRPr="005367B8">
        <w:t xml:space="preserve"> </w:t>
      </w:r>
    </w:p>
    <w:p w14:paraId="47C5053C" w14:textId="77777777" w:rsidR="00BE42A0" w:rsidRPr="005367B8" w:rsidRDefault="00612A90" w:rsidP="005367B8">
      <w:pPr>
        <w:pStyle w:val="eng"/>
      </w:pPr>
      <w:r>
        <w:t>Introduction to finance</w:t>
      </w:r>
      <w:r w:rsidR="00CC1D81">
        <w:rPr>
          <w:lang w:val="en-US"/>
        </w:rPr>
        <w:t>.</w:t>
      </w:r>
      <w:r w:rsidR="00BE42A0" w:rsidRPr="005367B8">
        <w:t xml:space="preserve"> </w:t>
      </w:r>
    </w:p>
    <w:p w14:paraId="6C66A124" w14:textId="77777777" w:rsidR="005367B8" w:rsidRPr="003E745F" w:rsidRDefault="00BE42A0" w:rsidP="005367B8">
      <w:pPr>
        <w:pStyle w:val="eng"/>
      </w:pPr>
      <w:r w:rsidRPr="005367B8">
        <w:rPr>
          <w:lang w:val="en-US"/>
        </w:rPr>
        <w:t>Financial categories</w:t>
      </w:r>
    </w:p>
    <w:p w14:paraId="3840D3D2" w14:textId="77777777" w:rsidR="00BE42A0" w:rsidRPr="00775A57" w:rsidRDefault="00BE42A0" w:rsidP="005367B8">
      <w:pPr>
        <w:pStyle w:val="end2"/>
        <w:rPr>
          <w:szCs w:val="28"/>
        </w:rPr>
      </w:pPr>
      <w:r w:rsidRPr="00775A57">
        <w:rPr>
          <w:szCs w:val="28"/>
        </w:rPr>
        <w:t>summary</w:t>
      </w:r>
    </w:p>
    <w:bookmarkEnd w:id="0"/>
    <w:p w14:paraId="2A0AEECA" w14:textId="77777777" w:rsidR="00CC3AD9" w:rsidRPr="00CC3AD9" w:rsidRDefault="00CC3AD9" w:rsidP="00532F59">
      <w:pPr>
        <w:spacing w:line="312" w:lineRule="auto"/>
        <w:ind w:firstLine="709"/>
        <w:jc w:val="both"/>
        <w:rPr>
          <w:sz w:val="28"/>
          <w:lang w:val="en-US"/>
        </w:rPr>
      </w:pPr>
      <w:r w:rsidRPr="00CC3AD9">
        <w:rPr>
          <w:sz w:val="28"/>
          <w:lang w:val="en-US"/>
        </w:rPr>
        <w:t xml:space="preserve">Financial science as a social phenomenon is rather young. It originated in the mid-ХV century, and in the ХІХ century, it separated from the political economy as an independent science. </w:t>
      </w:r>
      <w:r w:rsidRPr="00CC3AD9">
        <w:rPr>
          <w:b/>
          <w:bCs/>
          <w:sz w:val="28"/>
          <w:lang w:val="en-US"/>
        </w:rPr>
        <w:t>Finance as </w:t>
      </w:r>
      <w:r w:rsidR="003E745F">
        <w:rPr>
          <w:b/>
          <w:bCs/>
          <w:sz w:val="28"/>
          <w:lang w:val="en-US"/>
        </w:rPr>
        <w:t xml:space="preserve">a </w:t>
      </w:r>
      <w:r w:rsidRPr="00CC3AD9">
        <w:rPr>
          <w:b/>
          <w:sz w:val="28"/>
          <w:lang w:val="en-US"/>
        </w:rPr>
        <w:t>science</w:t>
      </w:r>
      <w:r w:rsidRPr="00CC3AD9">
        <w:rPr>
          <w:b/>
          <w:bCs/>
          <w:sz w:val="28"/>
          <w:lang w:val="en-US"/>
        </w:rPr>
        <w:t> </w:t>
      </w:r>
      <w:r w:rsidRPr="00CC3AD9">
        <w:rPr>
          <w:bCs/>
          <w:sz w:val="28"/>
          <w:lang w:val="en-US"/>
        </w:rPr>
        <w:t>studies</w:t>
      </w:r>
      <w:r w:rsidRPr="00CC3AD9">
        <w:rPr>
          <w:sz w:val="28"/>
          <w:lang w:val="en-US"/>
        </w:rPr>
        <w:t xml:space="preserve"> the phenomenon and processes that occur in the state according to the creation and use of financial resources funds for its economic and social development. Simplified, consumer perception of </w:t>
      </w:r>
      <w:r w:rsidR="00206F64">
        <w:rPr>
          <w:sz w:val="28"/>
          <w:lang w:val="en-US"/>
        </w:rPr>
        <w:t>finance</w:t>
      </w:r>
      <w:r w:rsidRPr="00CC3AD9">
        <w:rPr>
          <w:sz w:val="28"/>
          <w:lang w:val="en-US"/>
        </w:rPr>
        <w:t xml:space="preserve"> </w:t>
      </w:r>
      <w:r w:rsidR="003E745F">
        <w:rPr>
          <w:sz w:val="28"/>
          <w:lang w:val="en-US"/>
        </w:rPr>
        <w:t>associated with</w:t>
      </w:r>
      <w:r w:rsidRPr="00CC3AD9">
        <w:rPr>
          <w:sz w:val="28"/>
          <w:lang w:val="en-US"/>
        </w:rPr>
        <w:t xml:space="preserve"> the </w:t>
      </w:r>
      <w:r w:rsidR="00707782">
        <w:rPr>
          <w:sz w:val="28"/>
          <w:lang w:val="en-US"/>
        </w:rPr>
        <w:t>money</w:t>
      </w:r>
      <w:r w:rsidRPr="00CC3AD9">
        <w:rPr>
          <w:sz w:val="28"/>
          <w:lang w:val="en-US"/>
        </w:rPr>
        <w:t xml:space="preserve"> relations and financial activities, which are reflected in the revenues and costs of financial relations’ subjects. Therefore, </w:t>
      </w:r>
      <w:r w:rsidR="00206F64">
        <w:rPr>
          <w:b/>
          <w:sz w:val="28"/>
          <w:lang w:val="en-US"/>
        </w:rPr>
        <w:t>finance</w:t>
      </w:r>
      <w:r w:rsidRPr="00CC3AD9">
        <w:rPr>
          <w:sz w:val="28"/>
          <w:lang w:val="en-US"/>
        </w:rPr>
        <w:t xml:space="preserve"> is a set of </w:t>
      </w:r>
      <w:r w:rsidR="00707782">
        <w:rPr>
          <w:sz w:val="28"/>
          <w:lang w:val="en-US"/>
        </w:rPr>
        <w:t>money</w:t>
      </w:r>
      <w:r w:rsidRPr="00CC3AD9">
        <w:rPr>
          <w:sz w:val="28"/>
          <w:lang w:val="en-US"/>
        </w:rPr>
        <w:t xml:space="preserve"> and financial relations connected with the formation, mobilization and placement of financial resources created as a result of the exchange, distribution and redistribution of gross domestic product’s value. The financial relationship includes not only the relations of distribution but also exchange relations – </w:t>
      </w:r>
      <w:r w:rsidR="00206F64">
        <w:rPr>
          <w:sz w:val="28"/>
          <w:lang w:val="en-US"/>
        </w:rPr>
        <w:t>finance</w:t>
      </w:r>
      <w:r w:rsidRPr="00CC3AD9">
        <w:rPr>
          <w:sz w:val="28"/>
          <w:lang w:val="en-US"/>
        </w:rPr>
        <w:t>s are always associated with the real m</w:t>
      </w:r>
      <w:r w:rsidR="003E745F">
        <w:rPr>
          <w:sz w:val="28"/>
          <w:lang w:val="en-US"/>
        </w:rPr>
        <w:t>ovement of value</w:t>
      </w:r>
      <w:r w:rsidRPr="00CC3AD9">
        <w:rPr>
          <w:sz w:val="28"/>
          <w:lang w:val="en-US"/>
        </w:rPr>
        <w:t xml:space="preserve"> that takes place in the following stages of the reproductive process</w:t>
      </w:r>
      <w:r w:rsidR="003E745F">
        <w:rPr>
          <w:sz w:val="28"/>
          <w:lang w:val="en-US"/>
        </w:rPr>
        <w:t xml:space="preserve">: </w:t>
      </w:r>
      <w:r w:rsidRPr="00CC3AD9">
        <w:rPr>
          <w:sz w:val="28"/>
          <w:lang w:val="en-US"/>
        </w:rPr>
        <w:t xml:space="preserve">distribution and exchange. </w:t>
      </w:r>
    </w:p>
    <w:p w14:paraId="00778A83" w14:textId="77777777" w:rsidR="00CC3AD9" w:rsidRPr="00CC3AD9" w:rsidRDefault="00CC3AD9" w:rsidP="00532F59">
      <w:pPr>
        <w:spacing w:line="312" w:lineRule="auto"/>
        <w:ind w:firstLine="709"/>
        <w:jc w:val="both"/>
        <w:rPr>
          <w:sz w:val="28"/>
          <w:lang w:val="en-US"/>
        </w:rPr>
      </w:pPr>
      <w:r w:rsidRPr="00CC3AD9">
        <w:rPr>
          <w:sz w:val="28"/>
          <w:lang w:val="en-US"/>
        </w:rPr>
        <w:t xml:space="preserve">In understanding the essence of </w:t>
      </w:r>
      <w:r w:rsidR="00206F64">
        <w:rPr>
          <w:sz w:val="28"/>
          <w:lang w:val="en-US"/>
        </w:rPr>
        <w:t>finance</w:t>
      </w:r>
      <w:r w:rsidRPr="00CC3AD9">
        <w:rPr>
          <w:sz w:val="28"/>
          <w:lang w:val="en-US"/>
        </w:rPr>
        <w:t xml:space="preserve"> are used such philosophical categories as its “essence” and “phenomenon”, “content” and “form”.</w:t>
      </w:r>
    </w:p>
    <w:p w14:paraId="05096FE0" w14:textId="77777777" w:rsidR="00CC3AD9" w:rsidRPr="00CC3AD9" w:rsidRDefault="00CC3AD9" w:rsidP="00532F59">
      <w:pPr>
        <w:spacing w:line="312" w:lineRule="auto"/>
        <w:ind w:firstLine="709"/>
        <w:jc w:val="both"/>
        <w:rPr>
          <w:sz w:val="28"/>
          <w:lang w:val="en-US"/>
        </w:rPr>
      </w:pPr>
      <w:r w:rsidRPr="00CC3AD9">
        <w:rPr>
          <w:b/>
          <w:bCs/>
          <w:sz w:val="28"/>
          <w:lang w:val="en-US"/>
        </w:rPr>
        <w:t xml:space="preserve">According to the “essence”, </w:t>
      </w:r>
      <w:r w:rsidR="00206F64">
        <w:rPr>
          <w:bCs/>
          <w:sz w:val="28"/>
          <w:lang w:val="en-US"/>
        </w:rPr>
        <w:t>finance</w:t>
      </w:r>
      <w:r w:rsidRPr="00CC3AD9">
        <w:rPr>
          <w:sz w:val="28"/>
          <w:lang w:val="en-US"/>
        </w:rPr>
        <w:t> is an objective economic category that reflects the set of economic relations associated with the distribution and redistribution of GDP in order to form financial resources and money funds for their use in the social and economic development of</w:t>
      </w:r>
      <w:r w:rsidR="003E745F">
        <w:rPr>
          <w:sz w:val="28"/>
          <w:lang w:val="en-US"/>
        </w:rPr>
        <w:t xml:space="preserve"> a</w:t>
      </w:r>
      <w:r w:rsidRPr="00CC3AD9">
        <w:rPr>
          <w:sz w:val="28"/>
          <w:lang w:val="en-US"/>
        </w:rPr>
        <w:t xml:space="preserve"> society. </w:t>
      </w:r>
      <w:r w:rsidRPr="00CC3AD9">
        <w:rPr>
          <w:b/>
          <w:bCs/>
          <w:sz w:val="28"/>
          <w:lang w:val="en-US"/>
        </w:rPr>
        <w:t xml:space="preserve">According to the “phenomenon”, </w:t>
      </w:r>
      <w:r w:rsidR="00206F64">
        <w:rPr>
          <w:bCs/>
          <w:sz w:val="28"/>
          <w:lang w:val="en-US"/>
        </w:rPr>
        <w:t>finance</w:t>
      </w:r>
      <w:r w:rsidRPr="00CC3AD9">
        <w:rPr>
          <w:sz w:val="28"/>
          <w:lang w:val="en-US"/>
        </w:rPr>
        <w:t xml:space="preserve"> becomes </w:t>
      </w:r>
      <w:r w:rsidR="003E745F">
        <w:rPr>
          <w:sz w:val="28"/>
          <w:lang w:val="en-US"/>
        </w:rPr>
        <w:t xml:space="preserve">a </w:t>
      </w:r>
      <w:r w:rsidRPr="00CC3AD9">
        <w:rPr>
          <w:sz w:val="28"/>
          <w:lang w:val="en-US"/>
        </w:rPr>
        <w:t>tangible expression in the movement of distributed value with the help of specific types of revenue, income, savings, payments, expenses, costs, etc., and by the movement of financial resources in general. Finance as the phenomenon reflects the cash flows of the individuals</w:t>
      </w:r>
      <w:r w:rsidR="003E745F">
        <w:rPr>
          <w:sz w:val="28"/>
          <w:lang w:val="en-US"/>
        </w:rPr>
        <w:t>’</w:t>
      </w:r>
      <w:r w:rsidRPr="00CC3AD9">
        <w:rPr>
          <w:sz w:val="28"/>
          <w:lang w:val="en-US"/>
        </w:rPr>
        <w:t xml:space="preserve"> distribution relationships that are characterized by volume, direction and time. </w:t>
      </w:r>
      <w:r w:rsidRPr="00CC3AD9">
        <w:rPr>
          <w:b/>
          <w:bCs/>
          <w:sz w:val="28"/>
          <w:lang w:val="en-US"/>
        </w:rPr>
        <w:t xml:space="preserve">According to the “content”, </w:t>
      </w:r>
      <w:r w:rsidR="00206F64">
        <w:rPr>
          <w:bCs/>
          <w:sz w:val="28"/>
          <w:lang w:val="en-US"/>
        </w:rPr>
        <w:t>f</w:t>
      </w:r>
      <w:r w:rsidRPr="00CC3AD9">
        <w:rPr>
          <w:bCs/>
          <w:sz w:val="28"/>
          <w:lang w:val="en-US"/>
        </w:rPr>
        <w:t>inance</w:t>
      </w:r>
      <w:r w:rsidRPr="00CC3AD9">
        <w:rPr>
          <w:sz w:val="28"/>
          <w:lang w:val="en-US"/>
        </w:rPr>
        <w:t> reflects the ultimate goal of distributive and redistributive process</w:t>
      </w:r>
      <w:r w:rsidR="003E745F">
        <w:rPr>
          <w:sz w:val="28"/>
          <w:lang w:val="en-US"/>
        </w:rPr>
        <w:t>es</w:t>
      </w:r>
      <w:r w:rsidRPr="00CC3AD9">
        <w:rPr>
          <w:sz w:val="28"/>
          <w:lang w:val="en-US"/>
        </w:rPr>
        <w:t xml:space="preserve"> – the formation and use of money funds. Money funds are the material content of </w:t>
      </w:r>
      <w:r w:rsidR="00206F64">
        <w:rPr>
          <w:sz w:val="28"/>
          <w:lang w:val="en-US"/>
        </w:rPr>
        <w:t>f</w:t>
      </w:r>
      <w:r w:rsidRPr="00CC3AD9">
        <w:rPr>
          <w:sz w:val="28"/>
          <w:lang w:val="en-US"/>
        </w:rPr>
        <w:t xml:space="preserve">inance. These funds are the one specific feature that distinguishes </w:t>
      </w:r>
      <w:r w:rsidR="00206F64">
        <w:rPr>
          <w:sz w:val="28"/>
          <w:lang w:val="en-US"/>
        </w:rPr>
        <w:lastRenderedPageBreak/>
        <w:t>f</w:t>
      </w:r>
      <w:r w:rsidRPr="00CC3AD9">
        <w:rPr>
          <w:sz w:val="28"/>
          <w:lang w:val="en-US"/>
        </w:rPr>
        <w:t xml:space="preserve">inance from all other economic categories. </w:t>
      </w:r>
      <w:r w:rsidRPr="00CC3AD9">
        <w:rPr>
          <w:b/>
          <w:bCs/>
          <w:sz w:val="28"/>
          <w:lang w:val="en-US"/>
        </w:rPr>
        <w:t xml:space="preserve">According to the “form”, </w:t>
      </w:r>
      <w:r w:rsidR="00206F64">
        <w:rPr>
          <w:bCs/>
          <w:sz w:val="28"/>
          <w:lang w:val="en-US"/>
        </w:rPr>
        <w:t>f</w:t>
      </w:r>
      <w:r w:rsidRPr="00CC3AD9">
        <w:rPr>
          <w:bCs/>
          <w:sz w:val="28"/>
          <w:lang w:val="en-US"/>
        </w:rPr>
        <w:t>inance</w:t>
      </w:r>
      <w:r w:rsidRPr="00CC3AD9">
        <w:rPr>
          <w:sz w:val="28"/>
          <w:lang w:val="en-US"/>
        </w:rPr>
        <w:t> reflects a material expression of financial relati</w:t>
      </w:r>
      <w:r w:rsidR="003E745F">
        <w:rPr>
          <w:sz w:val="28"/>
          <w:lang w:val="en-US"/>
        </w:rPr>
        <w:t xml:space="preserve">ons (revenues, income, savings, </w:t>
      </w:r>
      <w:r w:rsidRPr="00CC3AD9">
        <w:rPr>
          <w:sz w:val="28"/>
          <w:lang w:val="en-US"/>
        </w:rPr>
        <w:t xml:space="preserve">payments, </w:t>
      </w:r>
      <w:r w:rsidR="003E745F">
        <w:rPr>
          <w:sz w:val="28"/>
          <w:lang w:val="en-US"/>
        </w:rPr>
        <w:t xml:space="preserve">and </w:t>
      </w:r>
      <w:r w:rsidRPr="00CC3AD9">
        <w:rPr>
          <w:sz w:val="28"/>
          <w:lang w:val="en-US"/>
        </w:rPr>
        <w:t>expenses).</w:t>
      </w:r>
    </w:p>
    <w:p w14:paraId="5615A543" w14:textId="77777777" w:rsidR="00CC3AD9" w:rsidRPr="00CC3AD9" w:rsidRDefault="00CC3AD9" w:rsidP="00532F59">
      <w:pPr>
        <w:spacing w:line="312" w:lineRule="auto"/>
        <w:ind w:firstLine="709"/>
        <w:jc w:val="both"/>
        <w:rPr>
          <w:sz w:val="28"/>
          <w:lang w:val="en-US"/>
        </w:rPr>
      </w:pPr>
      <w:r w:rsidRPr="00CC3AD9">
        <w:rPr>
          <w:sz w:val="28"/>
          <w:lang w:val="en-US"/>
        </w:rPr>
        <w:t xml:space="preserve">In practice, the subject of finance is realized in </w:t>
      </w:r>
      <w:r w:rsidRPr="00CC3AD9">
        <w:rPr>
          <w:b/>
          <w:sz w:val="28"/>
          <w:lang w:val="en-US"/>
        </w:rPr>
        <w:t>financial relations</w:t>
      </w:r>
      <w:r w:rsidRPr="00CC3AD9">
        <w:rPr>
          <w:sz w:val="28"/>
          <w:lang w:val="en-US"/>
        </w:rPr>
        <w:t>. Financial relations are money relations that appear between</w:t>
      </w:r>
      <w:r w:rsidR="003E745F">
        <w:rPr>
          <w:sz w:val="28"/>
          <w:lang w:val="en-US"/>
        </w:rPr>
        <w:t xml:space="preserve"> the following</w:t>
      </w:r>
      <w:r w:rsidRPr="00CC3AD9">
        <w:rPr>
          <w:sz w:val="28"/>
          <w:lang w:val="en-US"/>
        </w:rPr>
        <w:t>:</w:t>
      </w:r>
    </w:p>
    <w:p w14:paraId="1771EC39" w14:textId="77777777" w:rsidR="00CC3AD9" w:rsidRPr="00CC3AD9" w:rsidRDefault="00CC3AD9" w:rsidP="006F749C">
      <w:pPr>
        <w:numPr>
          <w:ilvl w:val="0"/>
          <w:numId w:val="87"/>
        </w:numPr>
        <w:tabs>
          <w:tab w:val="left" w:pos="993"/>
        </w:tabs>
        <w:spacing w:line="312" w:lineRule="auto"/>
        <w:ind w:left="993" w:hanging="284"/>
        <w:jc w:val="both"/>
        <w:rPr>
          <w:sz w:val="28"/>
          <w:lang w:val="en-US"/>
        </w:rPr>
      </w:pPr>
      <w:r w:rsidRPr="00CC3AD9">
        <w:rPr>
          <w:sz w:val="28"/>
          <w:lang w:val="en-US"/>
        </w:rPr>
        <w:t>state and enterprises – taxes, fees and charge payments to the budget and state funds, budget financing in the form of subsidies, grants and subventions;</w:t>
      </w:r>
    </w:p>
    <w:p w14:paraId="087FFFA8" w14:textId="77777777" w:rsidR="00CC3AD9" w:rsidRPr="00CC3AD9" w:rsidRDefault="00CC3AD9" w:rsidP="006F749C">
      <w:pPr>
        <w:numPr>
          <w:ilvl w:val="0"/>
          <w:numId w:val="87"/>
        </w:numPr>
        <w:tabs>
          <w:tab w:val="left" w:pos="993"/>
        </w:tabs>
        <w:spacing w:line="312" w:lineRule="auto"/>
        <w:ind w:left="993" w:hanging="284"/>
        <w:jc w:val="both"/>
        <w:rPr>
          <w:sz w:val="28"/>
          <w:lang w:val="en-US"/>
        </w:rPr>
      </w:pPr>
      <w:r w:rsidRPr="00CC3AD9">
        <w:rPr>
          <w:sz w:val="28"/>
          <w:lang w:val="en-US"/>
        </w:rPr>
        <w:t>state and households – taxes and other obligatory payments and receiving social security (subsidies, pensions, benefits);</w:t>
      </w:r>
    </w:p>
    <w:p w14:paraId="317F854E" w14:textId="77777777" w:rsidR="00CC3AD9" w:rsidRPr="00CC3AD9" w:rsidRDefault="00CC3AD9" w:rsidP="006F749C">
      <w:pPr>
        <w:numPr>
          <w:ilvl w:val="0"/>
          <w:numId w:val="87"/>
        </w:numPr>
        <w:tabs>
          <w:tab w:val="left" w:pos="993"/>
        </w:tabs>
        <w:spacing w:line="312" w:lineRule="auto"/>
        <w:ind w:left="993" w:hanging="284"/>
        <w:jc w:val="both"/>
        <w:rPr>
          <w:sz w:val="28"/>
          <w:lang w:val="en-US"/>
        </w:rPr>
      </w:pPr>
      <w:r w:rsidRPr="00CC3AD9">
        <w:rPr>
          <w:sz w:val="28"/>
          <w:lang w:val="en-US"/>
        </w:rPr>
        <w:t>enterprises – inventory purchases, sales, and services;</w:t>
      </w:r>
    </w:p>
    <w:p w14:paraId="0429E0CC" w14:textId="77777777" w:rsidR="00CC3AD9" w:rsidRPr="00CC3AD9" w:rsidRDefault="00CC3AD9" w:rsidP="006F749C">
      <w:pPr>
        <w:numPr>
          <w:ilvl w:val="0"/>
          <w:numId w:val="87"/>
        </w:numPr>
        <w:tabs>
          <w:tab w:val="left" w:pos="993"/>
        </w:tabs>
        <w:spacing w:line="312" w:lineRule="auto"/>
        <w:ind w:left="993" w:hanging="284"/>
        <w:jc w:val="both"/>
        <w:rPr>
          <w:sz w:val="28"/>
          <w:lang w:val="en-US"/>
        </w:rPr>
      </w:pPr>
      <w:r w:rsidRPr="00CC3AD9">
        <w:rPr>
          <w:sz w:val="28"/>
          <w:lang w:val="en-US"/>
        </w:rPr>
        <w:t>businesses and employees – salaries</w:t>
      </w:r>
      <w:r w:rsidR="003E745F">
        <w:rPr>
          <w:sz w:val="28"/>
          <w:lang w:val="en-US"/>
        </w:rPr>
        <w:t>,</w:t>
      </w:r>
      <w:r w:rsidRPr="00CC3AD9">
        <w:rPr>
          <w:sz w:val="28"/>
          <w:lang w:val="en-US"/>
        </w:rPr>
        <w:t xml:space="preserve"> payments, financial aids and transfer of taxes, fees and charges;</w:t>
      </w:r>
    </w:p>
    <w:p w14:paraId="55A1B552" w14:textId="77777777" w:rsidR="00CC3AD9" w:rsidRPr="00CC3AD9" w:rsidRDefault="00CC3AD9" w:rsidP="006F749C">
      <w:pPr>
        <w:numPr>
          <w:ilvl w:val="0"/>
          <w:numId w:val="87"/>
        </w:numPr>
        <w:tabs>
          <w:tab w:val="left" w:pos="993"/>
        </w:tabs>
        <w:spacing w:line="312" w:lineRule="auto"/>
        <w:ind w:left="993" w:hanging="284"/>
        <w:jc w:val="both"/>
        <w:rPr>
          <w:sz w:val="28"/>
          <w:lang w:val="en-US"/>
        </w:rPr>
      </w:pPr>
      <w:r w:rsidRPr="00CC3AD9">
        <w:rPr>
          <w:sz w:val="28"/>
          <w:lang w:val="en-US"/>
        </w:rPr>
        <w:t>some parts of the financial system – the state budget, local budgets, state credit, etc.;</w:t>
      </w:r>
    </w:p>
    <w:p w14:paraId="37B5E202" w14:textId="77777777" w:rsidR="00CC3AD9" w:rsidRPr="00CC3AD9" w:rsidRDefault="00CC3AD9" w:rsidP="006F749C">
      <w:pPr>
        <w:numPr>
          <w:ilvl w:val="0"/>
          <w:numId w:val="87"/>
        </w:numPr>
        <w:tabs>
          <w:tab w:val="left" w:pos="993"/>
        </w:tabs>
        <w:spacing w:line="312" w:lineRule="auto"/>
        <w:ind w:left="993" w:hanging="284"/>
        <w:jc w:val="both"/>
        <w:rPr>
          <w:sz w:val="28"/>
          <w:lang w:val="en-US"/>
        </w:rPr>
      </w:pPr>
      <w:r w:rsidRPr="00CC3AD9">
        <w:rPr>
          <w:sz w:val="28"/>
          <w:lang w:val="en-US"/>
        </w:rPr>
        <w:t>within the enterprises – the allocat</w:t>
      </w:r>
      <w:r w:rsidR="003E745F">
        <w:rPr>
          <w:sz w:val="28"/>
          <w:lang w:val="en-US"/>
        </w:rPr>
        <w:t>ion of net income, the creation</w:t>
      </w:r>
      <w:r w:rsidRPr="00CC3AD9">
        <w:rPr>
          <w:sz w:val="28"/>
          <w:lang w:val="en-US"/>
        </w:rPr>
        <w:t xml:space="preserve"> and use of funds. </w:t>
      </w:r>
    </w:p>
    <w:p w14:paraId="57AC2AAF" w14:textId="77777777" w:rsidR="00CC3AD9" w:rsidRPr="00CC3AD9" w:rsidRDefault="00CC3AD9" w:rsidP="00532F59">
      <w:pPr>
        <w:spacing w:line="312" w:lineRule="auto"/>
        <w:ind w:firstLine="709"/>
        <w:jc w:val="both"/>
        <w:rPr>
          <w:sz w:val="28"/>
          <w:lang w:val="en-US"/>
        </w:rPr>
      </w:pPr>
      <w:r w:rsidRPr="00CC3AD9">
        <w:rPr>
          <w:sz w:val="28"/>
          <w:lang w:val="en-US"/>
        </w:rPr>
        <w:t>Description of financial relations associated with the release of their subjects and objects.</w:t>
      </w:r>
    </w:p>
    <w:p w14:paraId="02EE721D" w14:textId="77777777" w:rsidR="00CC3AD9" w:rsidRPr="00CC3AD9" w:rsidRDefault="00CC3AD9" w:rsidP="00532F59">
      <w:pPr>
        <w:spacing w:line="312" w:lineRule="auto"/>
        <w:ind w:firstLine="709"/>
        <w:jc w:val="both"/>
        <w:rPr>
          <w:sz w:val="28"/>
          <w:lang w:val="en-US"/>
        </w:rPr>
      </w:pPr>
      <w:r w:rsidRPr="00CC3AD9">
        <w:rPr>
          <w:b/>
          <w:bCs/>
          <w:sz w:val="28"/>
          <w:lang w:val="en-US"/>
        </w:rPr>
        <w:t>The objects of financial relations</w:t>
      </w:r>
      <w:r w:rsidRPr="00CC3AD9">
        <w:rPr>
          <w:sz w:val="28"/>
          <w:lang w:val="en-US"/>
        </w:rPr>
        <w:t>: (i) the value of gross domestic product – the value added generated by the country’s producers of goods and services during the year (wages, profits, depreciation, indirect taxes, loan interest,</w:t>
      </w:r>
      <w:r w:rsidR="003E745F">
        <w:rPr>
          <w:sz w:val="28"/>
          <w:lang w:val="en-US"/>
        </w:rPr>
        <w:t xml:space="preserve"> and</w:t>
      </w:r>
      <w:r w:rsidRPr="00CC3AD9">
        <w:rPr>
          <w:sz w:val="28"/>
          <w:lang w:val="en-US"/>
        </w:rPr>
        <w:t xml:space="preserve"> rent); (ii) national wealth – the value of accumulated wealth in the country and involved in the production of natural resources (fixed assets, material resources, gold reserves, </w:t>
      </w:r>
      <w:r w:rsidR="003E745F">
        <w:rPr>
          <w:sz w:val="28"/>
          <w:lang w:val="en-US"/>
        </w:rPr>
        <w:t xml:space="preserve">and </w:t>
      </w:r>
      <w:r w:rsidRPr="00CC3AD9">
        <w:rPr>
          <w:sz w:val="28"/>
          <w:lang w:val="en-US"/>
        </w:rPr>
        <w:t xml:space="preserve">natural resources). </w:t>
      </w:r>
      <w:r w:rsidRPr="00CC3AD9">
        <w:rPr>
          <w:b/>
          <w:bCs/>
          <w:sz w:val="28"/>
          <w:lang w:val="en-US"/>
        </w:rPr>
        <w:t>The subjects of financial relationships</w:t>
      </w:r>
      <w:r w:rsidRPr="00CC3AD9">
        <w:rPr>
          <w:sz w:val="28"/>
          <w:lang w:val="en-US"/>
        </w:rPr>
        <w:t> are stated as legal entities and individuals. Financial relations are controversial: each individua</w:t>
      </w:r>
      <w:r w:rsidR="003E745F">
        <w:rPr>
          <w:sz w:val="28"/>
          <w:lang w:val="en-US"/>
        </w:rPr>
        <w:t>l</w:t>
      </w:r>
      <w:r w:rsidRPr="00CC3AD9">
        <w:rPr>
          <w:sz w:val="28"/>
          <w:lang w:val="en-US"/>
        </w:rPr>
        <w:t xml:space="preserve"> seek</w:t>
      </w:r>
      <w:r w:rsidR="003E745F">
        <w:rPr>
          <w:sz w:val="28"/>
          <w:lang w:val="en-US"/>
        </w:rPr>
        <w:t>s</w:t>
      </w:r>
      <w:r w:rsidRPr="00CC3AD9">
        <w:rPr>
          <w:sz w:val="28"/>
          <w:lang w:val="en-US"/>
        </w:rPr>
        <w:t xml:space="preserve"> the largest possible share of the object that </w:t>
      </w:r>
      <w:r w:rsidR="003E745F">
        <w:rPr>
          <w:sz w:val="28"/>
          <w:lang w:val="en-US"/>
        </w:rPr>
        <w:t xml:space="preserve">is </w:t>
      </w:r>
      <w:r w:rsidRPr="00CC3AD9">
        <w:rPr>
          <w:sz w:val="28"/>
          <w:lang w:val="en-US"/>
        </w:rPr>
        <w:t xml:space="preserve">caused by a natural mismatch </w:t>
      </w:r>
      <w:r w:rsidR="003E745F">
        <w:rPr>
          <w:sz w:val="28"/>
          <w:lang w:val="en-US"/>
        </w:rPr>
        <w:t>between</w:t>
      </w:r>
      <w:r w:rsidRPr="00CC3AD9">
        <w:rPr>
          <w:sz w:val="28"/>
          <w:lang w:val="en-US"/>
        </w:rPr>
        <w:t xml:space="preserve"> interests of these relations. </w:t>
      </w:r>
    </w:p>
    <w:p w14:paraId="109C83A7" w14:textId="77777777" w:rsidR="00CC3AD9" w:rsidRPr="00CC3AD9" w:rsidRDefault="00CC3AD9" w:rsidP="00532F59">
      <w:pPr>
        <w:spacing w:line="312" w:lineRule="auto"/>
        <w:ind w:firstLine="709"/>
        <w:jc w:val="both"/>
        <w:rPr>
          <w:sz w:val="28"/>
          <w:lang w:val="en-US"/>
        </w:rPr>
      </w:pPr>
      <w:r w:rsidRPr="00CC3AD9">
        <w:rPr>
          <w:sz w:val="28"/>
          <w:lang w:val="en-US"/>
        </w:rPr>
        <w:t xml:space="preserve">According to material form of </w:t>
      </w:r>
      <w:r w:rsidR="00206F64">
        <w:rPr>
          <w:sz w:val="28"/>
          <w:lang w:val="en-US"/>
        </w:rPr>
        <w:t>f</w:t>
      </w:r>
      <w:r w:rsidRPr="00CC3AD9">
        <w:rPr>
          <w:sz w:val="28"/>
          <w:lang w:val="en-US"/>
        </w:rPr>
        <w:t xml:space="preserve">inance, it can be </w:t>
      </w:r>
      <w:r w:rsidRPr="00CC3AD9">
        <w:rPr>
          <w:b/>
          <w:sz w:val="28"/>
          <w:lang w:val="en-US"/>
        </w:rPr>
        <w:t>centralized</w:t>
      </w:r>
      <w:r w:rsidRPr="00CC3AD9">
        <w:rPr>
          <w:sz w:val="28"/>
          <w:lang w:val="en-US"/>
        </w:rPr>
        <w:t xml:space="preserve"> and </w:t>
      </w:r>
      <w:r w:rsidRPr="00CC3AD9">
        <w:rPr>
          <w:b/>
          <w:sz w:val="28"/>
          <w:lang w:val="en-US"/>
        </w:rPr>
        <w:t>decentralized</w:t>
      </w:r>
      <w:r w:rsidRPr="00CC3AD9">
        <w:rPr>
          <w:sz w:val="28"/>
          <w:lang w:val="en-US"/>
        </w:rPr>
        <w:t>.</w:t>
      </w:r>
    </w:p>
    <w:p w14:paraId="5F734B3A" w14:textId="77777777" w:rsidR="00CC3AD9" w:rsidRPr="00CC3AD9" w:rsidRDefault="00CC3AD9" w:rsidP="00532F59">
      <w:pPr>
        <w:spacing w:line="312" w:lineRule="auto"/>
        <w:ind w:firstLine="709"/>
        <w:jc w:val="both"/>
        <w:rPr>
          <w:sz w:val="28"/>
          <w:lang w:val="en-US"/>
        </w:rPr>
      </w:pPr>
      <w:r w:rsidRPr="00CC3AD9">
        <w:rPr>
          <w:b/>
          <w:bCs/>
          <w:sz w:val="28"/>
          <w:lang w:val="en-US"/>
        </w:rPr>
        <w:t xml:space="preserve">Centralized </w:t>
      </w:r>
      <w:r w:rsidR="00206F64">
        <w:rPr>
          <w:b/>
          <w:bCs/>
          <w:sz w:val="28"/>
          <w:lang w:val="en-US"/>
        </w:rPr>
        <w:t>f</w:t>
      </w:r>
      <w:r w:rsidRPr="00CC3AD9">
        <w:rPr>
          <w:b/>
          <w:bCs/>
          <w:sz w:val="28"/>
          <w:lang w:val="en-US"/>
        </w:rPr>
        <w:t>inance</w:t>
      </w:r>
      <w:r w:rsidRPr="00CC3AD9">
        <w:rPr>
          <w:sz w:val="28"/>
          <w:lang w:val="en-US"/>
        </w:rPr>
        <w:t xml:space="preserve"> means the economic relations with the formation and use of state money funds that are accumulated in the state budget system and government extra-budgetary funds. </w:t>
      </w:r>
      <w:r w:rsidRPr="00CC3AD9">
        <w:rPr>
          <w:b/>
          <w:bCs/>
          <w:sz w:val="28"/>
          <w:lang w:val="en-US"/>
        </w:rPr>
        <w:t>Decentralized </w:t>
      </w:r>
      <w:r w:rsidR="00206F64">
        <w:rPr>
          <w:b/>
          <w:bCs/>
          <w:sz w:val="28"/>
          <w:lang w:val="en-US"/>
        </w:rPr>
        <w:t>f</w:t>
      </w:r>
      <w:r w:rsidRPr="00CC3AD9">
        <w:rPr>
          <w:b/>
          <w:sz w:val="28"/>
          <w:lang w:val="en-US"/>
        </w:rPr>
        <w:t>inance</w:t>
      </w:r>
      <w:r w:rsidR="003E745F">
        <w:rPr>
          <w:b/>
          <w:sz w:val="28"/>
          <w:lang w:val="en-US"/>
        </w:rPr>
        <w:t xml:space="preserve"> </w:t>
      </w:r>
      <w:r w:rsidRPr="00CC3AD9">
        <w:rPr>
          <w:bCs/>
          <w:sz w:val="28"/>
          <w:lang w:val="en-US"/>
        </w:rPr>
        <w:t>is</w:t>
      </w:r>
      <w:r w:rsidRPr="00CC3AD9">
        <w:rPr>
          <w:sz w:val="28"/>
          <w:lang w:val="en-US"/>
        </w:rPr>
        <w:t> </w:t>
      </w:r>
      <w:r w:rsidR="003E745F">
        <w:rPr>
          <w:sz w:val="28"/>
          <w:lang w:val="en-US"/>
        </w:rPr>
        <w:t xml:space="preserve">characterized by </w:t>
      </w:r>
      <w:r w:rsidRPr="00CC3AD9">
        <w:rPr>
          <w:sz w:val="28"/>
          <w:lang w:val="en-US"/>
        </w:rPr>
        <w:t xml:space="preserve">money relations </w:t>
      </w:r>
      <w:r w:rsidRPr="00CC3AD9">
        <w:rPr>
          <w:sz w:val="28"/>
          <w:lang w:val="en-US"/>
        </w:rPr>
        <w:lastRenderedPageBreak/>
        <w:t xml:space="preserve">that mediate the circulation of enterprises, non-government organizations, and households. </w:t>
      </w:r>
    </w:p>
    <w:p w14:paraId="6519CB55" w14:textId="77777777" w:rsidR="00CC3AD9" w:rsidRPr="00CC3AD9" w:rsidRDefault="00CC3AD9" w:rsidP="00532F59">
      <w:pPr>
        <w:spacing w:line="312" w:lineRule="auto"/>
        <w:ind w:firstLine="709"/>
        <w:jc w:val="both"/>
        <w:rPr>
          <w:sz w:val="28"/>
          <w:lang w:val="en-US"/>
        </w:rPr>
      </w:pPr>
      <w:r w:rsidRPr="00CC3AD9">
        <w:rPr>
          <w:sz w:val="28"/>
          <w:lang w:val="en-US"/>
        </w:rPr>
        <w:t xml:space="preserve">Finance as an economic category is realized as (i) </w:t>
      </w:r>
      <w:r w:rsidR="003E745F">
        <w:rPr>
          <w:sz w:val="28"/>
          <w:lang w:val="en-US"/>
        </w:rPr>
        <w:t xml:space="preserve">a </w:t>
      </w:r>
      <w:r w:rsidR="00707782">
        <w:rPr>
          <w:sz w:val="28"/>
          <w:lang w:val="en-US"/>
        </w:rPr>
        <w:t>money</w:t>
      </w:r>
      <w:r w:rsidRPr="00CC3AD9">
        <w:rPr>
          <w:sz w:val="28"/>
          <w:lang w:val="en-US"/>
        </w:rPr>
        <w:t xml:space="preserve"> category – </w:t>
      </w:r>
      <w:r w:rsidR="00206F64">
        <w:rPr>
          <w:sz w:val="28"/>
          <w:lang w:val="en-US"/>
        </w:rPr>
        <w:t>f</w:t>
      </w:r>
      <w:r w:rsidRPr="00CC3AD9">
        <w:rPr>
          <w:sz w:val="28"/>
          <w:lang w:val="en-US"/>
        </w:rPr>
        <w:t xml:space="preserve">inance </w:t>
      </w:r>
      <w:r w:rsidR="003E745F">
        <w:rPr>
          <w:sz w:val="28"/>
          <w:lang w:val="en-US"/>
        </w:rPr>
        <w:t xml:space="preserve">has </w:t>
      </w:r>
      <w:r w:rsidRPr="00CC3AD9">
        <w:rPr>
          <w:sz w:val="28"/>
          <w:lang w:val="en-US"/>
        </w:rPr>
        <w:t>always</w:t>
      </w:r>
      <w:r w:rsidR="00CC1D81">
        <w:rPr>
          <w:sz w:val="28"/>
          <w:lang w:val="en-US"/>
        </w:rPr>
        <w:t xml:space="preserve"> </w:t>
      </w:r>
      <w:r w:rsidRPr="00CC3AD9">
        <w:rPr>
          <w:sz w:val="28"/>
          <w:lang w:val="en-US"/>
        </w:rPr>
        <w:t>ha</w:t>
      </w:r>
      <w:r w:rsidR="003E745F">
        <w:rPr>
          <w:sz w:val="28"/>
          <w:lang w:val="en-US"/>
        </w:rPr>
        <w:t>d a</w:t>
      </w:r>
      <w:r w:rsidR="00CC1D81">
        <w:rPr>
          <w:sz w:val="28"/>
          <w:lang w:val="en-US"/>
        </w:rPr>
        <w:t xml:space="preserve"> </w:t>
      </w:r>
      <w:r w:rsidR="003E745F">
        <w:rPr>
          <w:sz w:val="28"/>
          <w:lang w:val="en-US"/>
        </w:rPr>
        <w:t>monetary value</w:t>
      </w:r>
      <w:r w:rsidRPr="00CC3AD9">
        <w:rPr>
          <w:sz w:val="28"/>
          <w:lang w:val="en-US"/>
        </w:rPr>
        <w:t>:</w:t>
      </w:r>
      <w:r w:rsidR="00CC1D81">
        <w:rPr>
          <w:sz w:val="28"/>
          <w:lang w:val="en-US"/>
        </w:rPr>
        <w:t xml:space="preserve"> </w:t>
      </w:r>
      <w:r w:rsidRPr="00CC3AD9">
        <w:rPr>
          <w:sz w:val="28"/>
          <w:lang w:val="en-US"/>
        </w:rPr>
        <w:t xml:space="preserve">the real movement of money is a mandatory condition </w:t>
      </w:r>
      <w:r w:rsidR="003E745F">
        <w:rPr>
          <w:sz w:val="28"/>
          <w:lang w:val="en-US"/>
        </w:rPr>
        <w:t>for</w:t>
      </w:r>
      <w:r w:rsidRPr="00CC3AD9">
        <w:rPr>
          <w:sz w:val="28"/>
          <w:lang w:val="en-US"/>
        </w:rPr>
        <w:t xml:space="preserve"> appearance and existence</w:t>
      </w:r>
      <w:r w:rsidR="003E745F">
        <w:rPr>
          <w:sz w:val="28"/>
          <w:lang w:val="en-US"/>
        </w:rPr>
        <w:t xml:space="preserve"> of finance</w:t>
      </w:r>
      <w:r w:rsidRPr="00CC3AD9">
        <w:rPr>
          <w:sz w:val="28"/>
          <w:lang w:val="en-US"/>
        </w:rPr>
        <w:t xml:space="preserve">; (ii) </w:t>
      </w:r>
      <w:r w:rsidR="003E745F">
        <w:rPr>
          <w:sz w:val="28"/>
          <w:lang w:val="en-US"/>
        </w:rPr>
        <w:t xml:space="preserve">a </w:t>
      </w:r>
      <w:r w:rsidRPr="00CC3AD9">
        <w:rPr>
          <w:sz w:val="28"/>
          <w:lang w:val="en-US"/>
        </w:rPr>
        <w:t xml:space="preserve">distribution category – due to </w:t>
      </w:r>
      <w:r w:rsidR="00206F64">
        <w:rPr>
          <w:sz w:val="28"/>
          <w:lang w:val="en-US"/>
        </w:rPr>
        <w:t>f</w:t>
      </w:r>
      <w:r w:rsidRPr="00CC3AD9">
        <w:rPr>
          <w:sz w:val="28"/>
          <w:lang w:val="en-US"/>
        </w:rPr>
        <w:t>inanc</w:t>
      </w:r>
      <w:r w:rsidR="008A453E">
        <w:rPr>
          <w:sz w:val="28"/>
          <w:lang w:val="en-US"/>
        </w:rPr>
        <w:t>ing,</w:t>
      </w:r>
      <w:r w:rsidRPr="00CC3AD9">
        <w:rPr>
          <w:sz w:val="28"/>
          <w:lang w:val="en-US"/>
        </w:rPr>
        <w:t xml:space="preserve"> the process of centralized</w:t>
      </w:r>
      <w:r w:rsidR="00CC1D81">
        <w:rPr>
          <w:sz w:val="28"/>
          <w:lang w:val="en-US"/>
        </w:rPr>
        <w:t xml:space="preserve"> </w:t>
      </w:r>
      <w:r w:rsidRPr="00CC3AD9">
        <w:rPr>
          <w:sz w:val="28"/>
          <w:lang w:val="en-US"/>
        </w:rPr>
        <w:t>and</w:t>
      </w:r>
      <w:r w:rsidR="00CC1D81">
        <w:rPr>
          <w:sz w:val="28"/>
          <w:lang w:val="en-US"/>
        </w:rPr>
        <w:t xml:space="preserve"> </w:t>
      </w:r>
      <w:r w:rsidRPr="00CC3AD9">
        <w:rPr>
          <w:sz w:val="28"/>
          <w:lang w:val="en-US"/>
        </w:rPr>
        <w:t>decentralized</w:t>
      </w:r>
      <w:r w:rsidR="00CC1D81">
        <w:rPr>
          <w:sz w:val="28"/>
          <w:lang w:val="en-US"/>
        </w:rPr>
        <w:t xml:space="preserve"> </w:t>
      </w:r>
      <w:r w:rsidRPr="00CC3AD9">
        <w:rPr>
          <w:sz w:val="28"/>
          <w:lang w:val="en-US"/>
        </w:rPr>
        <w:t xml:space="preserve">revenue redistribution </w:t>
      </w:r>
      <w:r w:rsidR="008A453E">
        <w:rPr>
          <w:sz w:val="28"/>
          <w:lang w:val="en-US"/>
        </w:rPr>
        <w:t>is implemented through</w:t>
      </w:r>
      <w:r w:rsidRPr="00CC3AD9">
        <w:rPr>
          <w:sz w:val="28"/>
          <w:lang w:val="en-US"/>
        </w:rPr>
        <w:t xml:space="preserve"> the budget</w:t>
      </w:r>
      <w:r w:rsidR="008A453E">
        <w:rPr>
          <w:sz w:val="28"/>
          <w:lang w:val="en-US"/>
        </w:rPr>
        <w:t>ary</w:t>
      </w:r>
      <w:r w:rsidR="00CC1D81">
        <w:rPr>
          <w:sz w:val="28"/>
          <w:lang w:val="en-US"/>
        </w:rPr>
        <w:t xml:space="preserve"> </w:t>
      </w:r>
      <w:r w:rsidRPr="00CC3AD9">
        <w:rPr>
          <w:sz w:val="28"/>
          <w:lang w:val="en-US"/>
        </w:rPr>
        <w:t>and</w:t>
      </w:r>
      <w:r w:rsidR="00CC1D81">
        <w:rPr>
          <w:sz w:val="28"/>
          <w:lang w:val="en-US"/>
        </w:rPr>
        <w:t xml:space="preserve"> </w:t>
      </w:r>
      <w:r w:rsidR="008A453E">
        <w:rPr>
          <w:sz w:val="28"/>
          <w:lang w:val="en-US"/>
        </w:rPr>
        <w:t>extra-budgetary funds</w:t>
      </w:r>
      <w:r w:rsidRPr="00CC3AD9">
        <w:rPr>
          <w:sz w:val="28"/>
          <w:lang w:val="en-US"/>
        </w:rPr>
        <w:t xml:space="preserve">, </w:t>
      </w:r>
      <w:r w:rsidR="008A453E" w:rsidRPr="00CC3AD9">
        <w:rPr>
          <w:sz w:val="28"/>
          <w:lang w:val="en-US"/>
        </w:rPr>
        <w:t xml:space="preserve">costs </w:t>
      </w:r>
      <w:r w:rsidR="008A453E">
        <w:rPr>
          <w:sz w:val="28"/>
          <w:lang w:val="en-US"/>
        </w:rPr>
        <w:t xml:space="preserve">of </w:t>
      </w:r>
      <w:r w:rsidRPr="00CC3AD9">
        <w:rPr>
          <w:sz w:val="28"/>
          <w:lang w:val="en-US"/>
        </w:rPr>
        <w:t xml:space="preserve">enterprises and organizations; (iii) </w:t>
      </w:r>
      <w:r w:rsidR="003E745F">
        <w:rPr>
          <w:sz w:val="28"/>
          <w:lang w:val="en-US"/>
        </w:rPr>
        <w:t xml:space="preserve">a </w:t>
      </w:r>
      <w:r w:rsidRPr="00CC3AD9">
        <w:rPr>
          <w:sz w:val="28"/>
          <w:lang w:val="en-US"/>
        </w:rPr>
        <w:t xml:space="preserve">resource forming category – financial relations are always </w:t>
      </w:r>
      <w:r w:rsidR="008F708A">
        <w:rPr>
          <w:sz w:val="28"/>
          <w:lang w:val="en-US"/>
        </w:rPr>
        <w:t>associated with</w:t>
      </w:r>
      <w:r w:rsidRPr="00CC3AD9">
        <w:rPr>
          <w:sz w:val="28"/>
          <w:lang w:val="en-US"/>
        </w:rPr>
        <w:t xml:space="preserve"> formation and use of</w:t>
      </w:r>
      <w:r w:rsidR="00CC1D81">
        <w:rPr>
          <w:sz w:val="28"/>
          <w:lang w:val="en-US"/>
        </w:rPr>
        <w:t xml:space="preserve"> </w:t>
      </w:r>
      <w:r w:rsidRPr="00CC3AD9">
        <w:rPr>
          <w:sz w:val="28"/>
          <w:lang w:val="en-US"/>
        </w:rPr>
        <w:t>financial</w:t>
      </w:r>
      <w:r w:rsidR="00CC1D81">
        <w:rPr>
          <w:sz w:val="28"/>
          <w:lang w:val="en-US"/>
        </w:rPr>
        <w:t xml:space="preserve"> </w:t>
      </w:r>
      <w:r w:rsidRPr="00CC3AD9">
        <w:rPr>
          <w:sz w:val="28"/>
          <w:lang w:val="en-US"/>
        </w:rPr>
        <w:t>resources.</w:t>
      </w:r>
    </w:p>
    <w:p w14:paraId="299A5EDC" w14:textId="77777777" w:rsidR="00CC3AD9" w:rsidRPr="00CC3AD9" w:rsidRDefault="00CC3AD9" w:rsidP="00532F59">
      <w:pPr>
        <w:spacing w:line="312" w:lineRule="auto"/>
        <w:ind w:firstLine="709"/>
        <w:jc w:val="both"/>
        <w:rPr>
          <w:sz w:val="28"/>
          <w:lang w:val="en-US"/>
        </w:rPr>
      </w:pPr>
      <w:r w:rsidRPr="00CC3AD9">
        <w:rPr>
          <w:b/>
          <w:bCs/>
          <w:sz w:val="28"/>
          <w:lang w:val="en-US"/>
        </w:rPr>
        <w:t xml:space="preserve">Typical features of </w:t>
      </w:r>
      <w:r w:rsidR="00206F64">
        <w:rPr>
          <w:b/>
          <w:bCs/>
          <w:sz w:val="28"/>
          <w:lang w:val="en-US"/>
        </w:rPr>
        <w:t>f</w:t>
      </w:r>
      <w:r w:rsidRPr="00CC3AD9">
        <w:rPr>
          <w:b/>
          <w:bCs/>
          <w:sz w:val="28"/>
          <w:lang w:val="en-US"/>
        </w:rPr>
        <w:t xml:space="preserve">inance </w:t>
      </w:r>
      <w:r w:rsidRPr="00CC3AD9">
        <w:rPr>
          <w:bCs/>
          <w:sz w:val="28"/>
          <w:lang w:val="en-US"/>
        </w:rPr>
        <w:t xml:space="preserve">are </w:t>
      </w:r>
      <w:r w:rsidR="008F708A">
        <w:rPr>
          <w:bCs/>
          <w:sz w:val="28"/>
          <w:lang w:val="en-US"/>
        </w:rPr>
        <w:t xml:space="preserve">the </w:t>
      </w:r>
      <w:r w:rsidRPr="00CC3AD9">
        <w:rPr>
          <w:sz w:val="28"/>
          <w:lang w:val="en-US"/>
        </w:rPr>
        <w:t>following:</w:t>
      </w:r>
      <w:r w:rsidR="00CC1D81">
        <w:rPr>
          <w:sz w:val="28"/>
          <w:lang w:val="en-US"/>
        </w:rPr>
        <w:t xml:space="preserve"> </w:t>
      </w:r>
      <w:r w:rsidRPr="00CC3AD9">
        <w:rPr>
          <w:sz w:val="28"/>
          <w:lang w:val="en-US"/>
        </w:rPr>
        <w:t>(i) exchange-distributive nature;</w:t>
      </w:r>
      <w:r w:rsidR="00CC1D81">
        <w:rPr>
          <w:sz w:val="28"/>
          <w:lang w:val="en-US"/>
        </w:rPr>
        <w:t xml:space="preserve"> </w:t>
      </w:r>
      <w:r w:rsidRPr="00CC3AD9">
        <w:rPr>
          <w:sz w:val="28"/>
          <w:lang w:val="en-US"/>
        </w:rPr>
        <w:t>(ii) mone</w:t>
      </w:r>
      <w:r w:rsidR="008F708A">
        <w:rPr>
          <w:sz w:val="28"/>
          <w:lang w:val="en-US"/>
        </w:rPr>
        <w:t>tary</w:t>
      </w:r>
      <w:r w:rsidRPr="00CC3AD9">
        <w:rPr>
          <w:sz w:val="28"/>
          <w:lang w:val="en-US"/>
        </w:rPr>
        <w:t xml:space="preserve"> nature; (iii)</w:t>
      </w:r>
      <w:r w:rsidR="00CC1D81">
        <w:rPr>
          <w:sz w:val="28"/>
          <w:lang w:val="en-US"/>
        </w:rPr>
        <w:t xml:space="preserve"> </w:t>
      </w:r>
      <w:r w:rsidRPr="00CC3AD9">
        <w:rPr>
          <w:sz w:val="28"/>
          <w:lang w:val="en-US"/>
        </w:rPr>
        <w:t>the material embodiment of money funds in the form of financial resources; (iv) value movement from one to another entity;</w:t>
      </w:r>
      <w:r w:rsidR="00CC1D81">
        <w:rPr>
          <w:sz w:val="28"/>
          <w:lang w:val="en-US"/>
        </w:rPr>
        <w:t xml:space="preserve"> </w:t>
      </w:r>
      <w:r w:rsidRPr="00CC3AD9">
        <w:rPr>
          <w:sz w:val="28"/>
          <w:lang w:val="en-US"/>
        </w:rPr>
        <w:t>(v) always money relationships; (vi) a form of revenue and expenditure; (vii) equivalent effect of exchange and distribution, but unequal redistribution character.</w:t>
      </w:r>
    </w:p>
    <w:p w14:paraId="2235F5BD" w14:textId="77777777" w:rsidR="00CC3AD9" w:rsidRPr="00CC3AD9" w:rsidRDefault="00CC3AD9" w:rsidP="00532F59">
      <w:pPr>
        <w:spacing w:line="312" w:lineRule="auto"/>
        <w:ind w:firstLine="709"/>
        <w:jc w:val="both"/>
        <w:rPr>
          <w:sz w:val="28"/>
          <w:lang w:val="en-US"/>
        </w:rPr>
      </w:pPr>
      <w:r w:rsidRPr="00CC3AD9">
        <w:rPr>
          <w:b/>
          <w:bCs/>
          <w:sz w:val="28"/>
          <w:lang w:val="en-US"/>
        </w:rPr>
        <w:t>Financial </w:t>
      </w:r>
      <w:r w:rsidRPr="00CC3AD9">
        <w:rPr>
          <w:b/>
          <w:sz w:val="28"/>
          <w:lang w:val="en-US"/>
        </w:rPr>
        <w:t>resources</w:t>
      </w:r>
      <w:r w:rsidRPr="00CC3AD9">
        <w:rPr>
          <w:b/>
          <w:bCs/>
          <w:sz w:val="28"/>
          <w:lang w:val="en-US"/>
        </w:rPr>
        <w:t> </w:t>
      </w:r>
      <w:r w:rsidRPr="00CC3AD9">
        <w:rPr>
          <w:bCs/>
          <w:sz w:val="28"/>
          <w:lang w:val="en-US"/>
        </w:rPr>
        <w:t>–</w:t>
      </w:r>
      <w:r w:rsidRPr="00CC3AD9">
        <w:rPr>
          <w:sz w:val="28"/>
          <w:lang w:val="en-US"/>
        </w:rPr>
        <w:t> money savings and revenues that are generated in the process of distribution, redistribution and use of GDP and national wealth</w:t>
      </w:r>
      <w:r w:rsidR="008F708A">
        <w:rPr>
          <w:sz w:val="28"/>
          <w:lang w:val="en-US"/>
        </w:rPr>
        <w:t>,</w:t>
      </w:r>
      <w:r w:rsidRPr="00CC3AD9">
        <w:rPr>
          <w:sz w:val="28"/>
          <w:lang w:val="en-US"/>
        </w:rPr>
        <w:t xml:space="preserve"> concentrated in the relevant funds or in the non-fund form to ensure continuous production, to meet social needs, </w:t>
      </w:r>
      <w:r w:rsidR="008F708A">
        <w:rPr>
          <w:sz w:val="28"/>
          <w:lang w:val="en-US"/>
        </w:rPr>
        <w:t xml:space="preserve">and </w:t>
      </w:r>
      <w:r w:rsidRPr="00CC3AD9">
        <w:rPr>
          <w:sz w:val="28"/>
          <w:lang w:val="en-US"/>
        </w:rPr>
        <w:t>to carry out financial obligations. Financial resources have the following features:</w:t>
      </w:r>
    </w:p>
    <w:p w14:paraId="0B212902" w14:textId="77777777" w:rsidR="00CC3AD9" w:rsidRPr="00CC3AD9" w:rsidRDefault="00CC3AD9" w:rsidP="006F749C">
      <w:pPr>
        <w:numPr>
          <w:ilvl w:val="0"/>
          <w:numId w:val="88"/>
        </w:numPr>
        <w:spacing w:line="312" w:lineRule="auto"/>
        <w:ind w:left="993" w:hanging="284"/>
        <w:jc w:val="both"/>
        <w:rPr>
          <w:sz w:val="28"/>
          <w:lang w:val="en-US"/>
        </w:rPr>
      </w:pPr>
      <w:r w:rsidRPr="00CC3AD9">
        <w:rPr>
          <w:iCs/>
          <w:sz w:val="28"/>
          <w:lang w:val="en-US"/>
        </w:rPr>
        <w:t>express the property relations;</w:t>
      </w:r>
    </w:p>
    <w:p w14:paraId="122EE0EF" w14:textId="77777777" w:rsidR="00CC3AD9" w:rsidRPr="00CC3AD9" w:rsidRDefault="00CC3AD9" w:rsidP="006F749C">
      <w:pPr>
        <w:numPr>
          <w:ilvl w:val="0"/>
          <w:numId w:val="88"/>
        </w:numPr>
        <w:spacing w:line="312" w:lineRule="auto"/>
        <w:ind w:left="993" w:hanging="284"/>
        <w:jc w:val="both"/>
        <w:rPr>
          <w:sz w:val="28"/>
          <w:lang w:val="en-US"/>
        </w:rPr>
      </w:pPr>
      <w:r w:rsidRPr="00CC3AD9">
        <w:rPr>
          <w:iCs/>
          <w:sz w:val="28"/>
          <w:lang w:val="en-US"/>
        </w:rPr>
        <w:t>are in constant motion – often replenished and used;</w:t>
      </w:r>
    </w:p>
    <w:p w14:paraId="2B77F4F0" w14:textId="77777777" w:rsidR="00CC3AD9" w:rsidRPr="00CC3AD9" w:rsidRDefault="00CC3AD9" w:rsidP="006F749C">
      <w:pPr>
        <w:numPr>
          <w:ilvl w:val="0"/>
          <w:numId w:val="88"/>
        </w:numPr>
        <w:spacing w:line="312" w:lineRule="auto"/>
        <w:ind w:left="993" w:hanging="284"/>
        <w:jc w:val="both"/>
        <w:rPr>
          <w:sz w:val="28"/>
          <w:lang w:val="en-US"/>
        </w:rPr>
      </w:pPr>
      <w:r w:rsidRPr="00CC3AD9">
        <w:rPr>
          <w:iCs/>
          <w:sz w:val="28"/>
          <w:lang w:val="en-US"/>
        </w:rPr>
        <w:t>have inherent sources and methods of accumulation;</w:t>
      </w:r>
    </w:p>
    <w:p w14:paraId="33FC52EF" w14:textId="77777777" w:rsidR="00CC3AD9" w:rsidRPr="00CC3AD9" w:rsidRDefault="008F708A" w:rsidP="006F749C">
      <w:pPr>
        <w:numPr>
          <w:ilvl w:val="0"/>
          <w:numId w:val="88"/>
        </w:numPr>
        <w:spacing w:line="312" w:lineRule="auto"/>
        <w:ind w:left="993" w:hanging="284"/>
        <w:jc w:val="both"/>
        <w:rPr>
          <w:sz w:val="28"/>
          <w:lang w:val="en-US"/>
        </w:rPr>
      </w:pPr>
      <w:r>
        <w:rPr>
          <w:iCs/>
          <w:sz w:val="28"/>
          <w:lang w:val="en-US"/>
        </w:rPr>
        <w:t xml:space="preserve">are </w:t>
      </w:r>
      <w:r w:rsidR="00CC3AD9" w:rsidRPr="00CC3AD9">
        <w:rPr>
          <w:iCs/>
          <w:sz w:val="28"/>
          <w:lang w:val="en-US"/>
        </w:rPr>
        <w:t>characterized by areas of use;</w:t>
      </w:r>
    </w:p>
    <w:p w14:paraId="72067A0E" w14:textId="77777777" w:rsidR="00CC3AD9" w:rsidRPr="00CC3AD9" w:rsidRDefault="008F708A" w:rsidP="006F749C">
      <w:pPr>
        <w:numPr>
          <w:ilvl w:val="0"/>
          <w:numId w:val="88"/>
        </w:numPr>
        <w:spacing w:line="312" w:lineRule="auto"/>
        <w:ind w:left="993" w:hanging="284"/>
        <w:jc w:val="both"/>
        <w:rPr>
          <w:sz w:val="28"/>
          <w:lang w:val="en-US"/>
        </w:rPr>
      </w:pPr>
      <w:r>
        <w:rPr>
          <w:iCs/>
          <w:sz w:val="28"/>
          <w:lang w:val="en-US"/>
        </w:rPr>
        <w:t>have</w:t>
      </w:r>
      <w:r w:rsidR="00CC3AD9" w:rsidRPr="00CC3AD9">
        <w:rPr>
          <w:iCs/>
          <w:sz w:val="28"/>
          <w:lang w:val="en-US"/>
        </w:rPr>
        <w:t xml:space="preserve"> specific composition of formation, distribution and use.</w:t>
      </w:r>
    </w:p>
    <w:p w14:paraId="7D85661D" w14:textId="77777777" w:rsidR="00CC3AD9" w:rsidRPr="00CC3AD9" w:rsidRDefault="00CC3AD9" w:rsidP="00532F59">
      <w:pPr>
        <w:spacing w:line="312" w:lineRule="auto"/>
        <w:ind w:firstLine="709"/>
        <w:jc w:val="both"/>
        <w:rPr>
          <w:sz w:val="28"/>
          <w:lang w:val="en-US"/>
        </w:rPr>
      </w:pPr>
      <w:r w:rsidRPr="00CC3AD9">
        <w:rPr>
          <w:b/>
          <w:bCs/>
          <w:sz w:val="28"/>
          <w:lang w:val="en-US"/>
        </w:rPr>
        <w:t xml:space="preserve">The role of </w:t>
      </w:r>
      <w:r w:rsidR="00206F64">
        <w:rPr>
          <w:b/>
          <w:bCs/>
          <w:sz w:val="28"/>
          <w:lang w:val="en-US"/>
        </w:rPr>
        <w:t>f</w:t>
      </w:r>
      <w:r w:rsidRPr="00CC3AD9">
        <w:rPr>
          <w:b/>
          <w:bCs/>
          <w:sz w:val="28"/>
          <w:lang w:val="en-US"/>
        </w:rPr>
        <w:t xml:space="preserve">inance </w:t>
      </w:r>
      <w:r w:rsidRPr="00CC3AD9">
        <w:rPr>
          <w:bCs/>
          <w:sz w:val="28"/>
          <w:lang w:val="en-US"/>
        </w:rPr>
        <w:t xml:space="preserve">is realized in its </w:t>
      </w:r>
      <w:r w:rsidRPr="00CC3AD9">
        <w:rPr>
          <w:b/>
          <w:bCs/>
          <w:sz w:val="28"/>
          <w:lang w:val="en-US"/>
        </w:rPr>
        <w:t xml:space="preserve">two functions: </w:t>
      </w:r>
      <w:r w:rsidRPr="00CC3AD9">
        <w:rPr>
          <w:bCs/>
          <w:sz w:val="28"/>
          <w:lang w:val="en-US"/>
        </w:rPr>
        <w:t>(i) distribution and (ii) control.</w:t>
      </w:r>
    </w:p>
    <w:p w14:paraId="01AB707B" w14:textId="77777777" w:rsidR="008F708A" w:rsidRDefault="00CC3AD9" w:rsidP="00532F59">
      <w:pPr>
        <w:spacing w:line="312" w:lineRule="auto"/>
        <w:ind w:firstLine="709"/>
        <w:jc w:val="both"/>
        <w:rPr>
          <w:sz w:val="28"/>
          <w:lang w:val="en-US"/>
        </w:rPr>
      </w:pPr>
      <w:r w:rsidRPr="00CC3AD9">
        <w:rPr>
          <w:sz w:val="28"/>
          <w:lang w:val="en-US"/>
        </w:rPr>
        <w:t xml:space="preserve">Finance is an instrument of GDP </w:t>
      </w:r>
      <w:r w:rsidRPr="00CC3AD9">
        <w:rPr>
          <w:b/>
          <w:sz w:val="28"/>
          <w:lang w:val="en-US"/>
        </w:rPr>
        <w:t>distribution and reallocation</w:t>
      </w:r>
      <w:r w:rsidRPr="00CC3AD9">
        <w:rPr>
          <w:sz w:val="28"/>
          <w:lang w:val="en-US"/>
        </w:rPr>
        <w:t>. The mechanism of the distribution function is associated with the stages of GDP distribution:</w:t>
      </w:r>
    </w:p>
    <w:p w14:paraId="2906E199" w14:textId="77777777" w:rsidR="00CC3AD9" w:rsidRPr="008F708A" w:rsidRDefault="00CC3AD9" w:rsidP="006F749C">
      <w:pPr>
        <w:numPr>
          <w:ilvl w:val="0"/>
          <w:numId w:val="89"/>
        </w:numPr>
        <w:tabs>
          <w:tab w:val="left" w:pos="709"/>
          <w:tab w:val="left" w:pos="993"/>
        </w:tabs>
        <w:spacing w:line="312" w:lineRule="auto"/>
        <w:ind w:left="993" w:hanging="284"/>
        <w:jc w:val="both"/>
        <w:rPr>
          <w:iCs/>
          <w:sz w:val="28"/>
          <w:lang w:val="en-US"/>
        </w:rPr>
      </w:pPr>
      <w:r w:rsidRPr="00CC3AD9">
        <w:rPr>
          <w:iCs/>
          <w:sz w:val="28"/>
          <w:lang w:val="en-US"/>
        </w:rPr>
        <w:t>primary</w:t>
      </w:r>
      <w:r w:rsidR="008F708A">
        <w:rPr>
          <w:iCs/>
          <w:sz w:val="28"/>
          <w:lang w:val="en-US"/>
        </w:rPr>
        <w:t xml:space="preserve"> </w:t>
      </w:r>
      <w:r w:rsidRPr="00CC3AD9">
        <w:rPr>
          <w:iCs/>
          <w:sz w:val="28"/>
          <w:lang w:val="en-US"/>
        </w:rPr>
        <w:t>distribution</w:t>
      </w:r>
      <w:r w:rsidR="008F708A">
        <w:rPr>
          <w:iCs/>
          <w:sz w:val="28"/>
          <w:lang w:val="en-US"/>
        </w:rPr>
        <w:t xml:space="preserve"> </w:t>
      </w:r>
      <w:r w:rsidRPr="008F708A">
        <w:rPr>
          <w:iCs/>
          <w:sz w:val="28"/>
          <w:lang w:val="en-US"/>
        </w:rPr>
        <w:t>–</w:t>
      </w:r>
      <w:r w:rsidR="008F708A">
        <w:rPr>
          <w:iCs/>
          <w:sz w:val="28"/>
          <w:lang w:val="en-US"/>
        </w:rPr>
        <w:t xml:space="preserve"> </w:t>
      </w:r>
      <w:r w:rsidRPr="008F708A">
        <w:rPr>
          <w:iCs/>
          <w:sz w:val="28"/>
          <w:lang w:val="en-US"/>
        </w:rPr>
        <w:t>it</w:t>
      </w:r>
      <w:r w:rsidR="008F708A">
        <w:rPr>
          <w:iCs/>
          <w:sz w:val="28"/>
          <w:lang w:val="en-US"/>
        </w:rPr>
        <w:t xml:space="preserve"> </w:t>
      </w:r>
      <w:r w:rsidRPr="008F708A">
        <w:rPr>
          <w:iCs/>
          <w:sz w:val="28"/>
          <w:lang w:val="en-US"/>
        </w:rPr>
        <w:t>is</w:t>
      </w:r>
      <w:r w:rsidR="008F708A">
        <w:rPr>
          <w:iCs/>
          <w:sz w:val="28"/>
          <w:lang w:val="en-US"/>
        </w:rPr>
        <w:t xml:space="preserve"> </w:t>
      </w:r>
      <w:r w:rsidRPr="008F708A">
        <w:rPr>
          <w:iCs/>
          <w:sz w:val="28"/>
          <w:lang w:val="en-US"/>
        </w:rPr>
        <w:t>a</w:t>
      </w:r>
      <w:r w:rsidR="008F708A">
        <w:rPr>
          <w:iCs/>
          <w:sz w:val="28"/>
          <w:lang w:val="en-US"/>
        </w:rPr>
        <w:t xml:space="preserve"> </w:t>
      </w:r>
      <w:r w:rsidRPr="008F708A">
        <w:rPr>
          <w:iCs/>
          <w:sz w:val="28"/>
          <w:lang w:val="en-US"/>
        </w:rPr>
        <w:t>value</w:t>
      </w:r>
      <w:r w:rsidR="008F708A">
        <w:rPr>
          <w:iCs/>
          <w:sz w:val="28"/>
          <w:lang w:val="en-US"/>
        </w:rPr>
        <w:t xml:space="preserve"> </w:t>
      </w:r>
      <w:r w:rsidRPr="008F708A">
        <w:rPr>
          <w:iCs/>
          <w:sz w:val="28"/>
          <w:lang w:val="en-US"/>
        </w:rPr>
        <w:t>added</w:t>
      </w:r>
      <w:r w:rsidR="008F708A">
        <w:rPr>
          <w:iCs/>
          <w:sz w:val="28"/>
          <w:lang w:val="en-US"/>
        </w:rPr>
        <w:t xml:space="preserve"> distribution and the </w:t>
      </w:r>
      <w:r w:rsidRPr="008F708A">
        <w:rPr>
          <w:iCs/>
          <w:sz w:val="28"/>
          <w:lang w:val="en-US"/>
        </w:rPr>
        <w:t>primary</w:t>
      </w:r>
      <w:r w:rsidR="008F708A">
        <w:rPr>
          <w:iCs/>
          <w:sz w:val="28"/>
          <w:lang w:val="en-US"/>
        </w:rPr>
        <w:t xml:space="preserve"> </w:t>
      </w:r>
      <w:r w:rsidRPr="008F708A">
        <w:rPr>
          <w:iCs/>
          <w:sz w:val="28"/>
          <w:lang w:val="en-US"/>
        </w:rPr>
        <w:t>revenue</w:t>
      </w:r>
      <w:r w:rsidR="008F708A">
        <w:rPr>
          <w:iCs/>
          <w:sz w:val="28"/>
          <w:lang w:val="en-US"/>
        </w:rPr>
        <w:t xml:space="preserve"> </w:t>
      </w:r>
      <w:r w:rsidRPr="008F708A">
        <w:rPr>
          <w:iCs/>
          <w:sz w:val="28"/>
          <w:lang w:val="en-US"/>
        </w:rPr>
        <w:t>formation</w:t>
      </w:r>
      <w:r w:rsidR="008F708A">
        <w:rPr>
          <w:iCs/>
          <w:sz w:val="28"/>
          <w:lang w:val="en-US"/>
        </w:rPr>
        <w:t xml:space="preserve"> </w:t>
      </w:r>
      <w:r w:rsidRPr="008F708A">
        <w:rPr>
          <w:iCs/>
          <w:sz w:val="28"/>
          <w:lang w:val="en-US"/>
        </w:rPr>
        <w:t>of</w:t>
      </w:r>
      <w:r w:rsidR="008F708A">
        <w:rPr>
          <w:iCs/>
          <w:sz w:val="28"/>
          <w:lang w:val="en-US"/>
        </w:rPr>
        <w:t xml:space="preserve"> </w:t>
      </w:r>
      <w:r w:rsidRPr="008F708A">
        <w:rPr>
          <w:iCs/>
          <w:sz w:val="28"/>
          <w:lang w:val="en-US"/>
        </w:rPr>
        <w:t>distribution</w:t>
      </w:r>
      <w:r w:rsidR="008F708A">
        <w:rPr>
          <w:iCs/>
          <w:sz w:val="28"/>
          <w:lang w:val="en-US"/>
        </w:rPr>
        <w:t xml:space="preserve"> </w:t>
      </w:r>
      <w:r w:rsidRPr="008F708A">
        <w:rPr>
          <w:iCs/>
          <w:sz w:val="28"/>
          <w:lang w:val="en-US"/>
        </w:rPr>
        <w:t>elements:</w:t>
      </w:r>
      <w:r w:rsidR="008F708A">
        <w:rPr>
          <w:iCs/>
          <w:sz w:val="28"/>
          <w:lang w:val="en-US"/>
        </w:rPr>
        <w:t xml:space="preserve"> </w:t>
      </w:r>
      <w:r w:rsidRPr="008F708A">
        <w:rPr>
          <w:iCs/>
          <w:sz w:val="28"/>
          <w:lang w:val="en-US"/>
        </w:rPr>
        <w:t xml:space="preserve">for employees – salary, for companies – profit, for state – taxes, earnings from of </w:t>
      </w:r>
      <w:r w:rsidR="008F708A">
        <w:rPr>
          <w:iCs/>
          <w:sz w:val="28"/>
          <w:lang w:val="en-US"/>
        </w:rPr>
        <w:t>government</w:t>
      </w:r>
      <w:r w:rsidRPr="008F708A">
        <w:rPr>
          <w:iCs/>
          <w:sz w:val="28"/>
          <w:lang w:val="en-US"/>
        </w:rPr>
        <w:t xml:space="preserve"> services, profit of </w:t>
      </w:r>
      <w:r w:rsidR="008F708A">
        <w:rPr>
          <w:iCs/>
          <w:sz w:val="28"/>
          <w:lang w:val="en-US"/>
        </w:rPr>
        <w:t>government</w:t>
      </w:r>
      <w:r w:rsidRPr="008F708A">
        <w:rPr>
          <w:iCs/>
          <w:sz w:val="28"/>
          <w:lang w:val="en-US"/>
        </w:rPr>
        <w:t> sector;</w:t>
      </w:r>
    </w:p>
    <w:p w14:paraId="080965EE" w14:textId="77777777" w:rsidR="00CC3AD9" w:rsidRPr="00CC3AD9" w:rsidRDefault="00CC3AD9" w:rsidP="006F749C">
      <w:pPr>
        <w:numPr>
          <w:ilvl w:val="0"/>
          <w:numId w:val="89"/>
        </w:numPr>
        <w:tabs>
          <w:tab w:val="left" w:pos="709"/>
          <w:tab w:val="left" w:pos="993"/>
        </w:tabs>
        <w:spacing w:line="312" w:lineRule="auto"/>
        <w:ind w:left="993" w:hanging="284"/>
        <w:jc w:val="both"/>
        <w:rPr>
          <w:sz w:val="28"/>
          <w:lang w:val="en-US"/>
        </w:rPr>
      </w:pPr>
      <w:r w:rsidRPr="00CC3AD9">
        <w:rPr>
          <w:iCs/>
          <w:sz w:val="28"/>
          <w:lang w:val="en-US"/>
        </w:rPr>
        <w:lastRenderedPageBreak/>
        <w:t>redistribution</w:t>
      </w:r>
      <w:r w:rsidRPr="00CC3AD9">
        <w:rPr>
          <w:sz w:val="28"/>
          <w:lang w:val="en-US"/>
        </w:rPr>
        <w:t> – it is a creation of centralized and decentralized funds: </w:t>
      </w:r>
      <w:r w:rsidR="008F708A">
        <w:rPr>
          <w:sz w:val="28"/>
          <w:lang w:val="en-US"/>
        </w:rPr>
        <w:t>at</w:t>
      </w:r>
      <w:r w:rsidRPr="00CC3AD9">
        <w:rPr>
          <w:sz w:val="28"/>
          <w:lang w:val="en-US"/>
        </w:rPr>
        <w:t xml:space="preserve"> the </w:t>
      </w:r>
      <w:r w:rsidR="008F708A" w:rsidRPr="00CC3AD9">
        <w:rPr>
          <w:sz w:val="28"/>
          <w:lang w:val="en-US"/>
        </w:rPr>
        <w:t xml:space="preserve">state </w:t>
      </w:r>
      <w:r w:rsidRPr="00CC3AD9">
        <w:rPr>
          <w:sz w:val="28"/>
          <w:lang w:val="en-US"/>
        </w:rPr>
        <w:t>level</w:t>
      </w:r>
      <w:r w:rsidR="008F708A">
        <w:rPr>
          <w:sz w:val="28"/>
          <w:lang w:val="en-US"/>
        </w:rPr>
        <w:t xml:space="preserve"> </w:t>
      </w:r>
      <w:r w:rsidRPr="00CC3AD9">
        <w:rPr>
          <w:sz w:val="28"/>
          <w:lang w:val="en-US"/>
        </w:rPr>
        <w:t>– budget and extra-budgetary funds</w:t>
      </w:r>
      <w:r w:rsidR="008F708A">
        <w:rPr>
          <w:sz w:val="28"/>
          <w:lang w:val="en-US"/>
        </w:rPr>
        <w:t>;</w:t>
      </w:r>
      <w:r w:rsidRPr="00CC3AD9">
        <w:rPr>
          <w:sz w:val="28"/>
          <w:lang w:val="en-US"/>
        </w:rPr>
        <w:t xml:space="preserve"> </w:t>
      </w:r>
      <w:r w:rsidR="008F708A">
        <w:rPr>
          <w:sz w:val="28"/>
          <w:lang w:val="en-US"/>
        </w:rPr>
        <w:t>at</w:t>
      </w:r>
      <w:r w:rsidRPr="00CC3AD9">
        <w:rPr>
          <w:sz w:val="28"/>
          <w:lang w:val="en-US"/>
        </w:rPr>
        <w:t xml:space="preserve"> the level of departments – funds of ministries, committees, </w:t>
      </w:r>
      <w:r w:rsidR="008F708A">
        <w:rPr>
          <w:sz w:val="28"/>
          <w:lang w:val="en-US"/>
        </w:rPr>
        <w:t xml:space="preserve">and </w:t>
      </w:r>
      <w:r w:rsidRPr="00CC3AD9">
        <w:rPr>
          <w:sz w:val="28"/>
          <w:lang w:val="en-US"/>
        </w:rPr>
        <w:t>departments</w:t>
      </w:r>
      <w:r w:rsidR="008F708A">
        <w:rPr>
          <w:sz w:val="28"/>
          <w:lang w:val="en-US"/>
        </w:rPr>
        <w:t>;</w:t>
      </w:r>
      <w:r w:rsidRPr="00CC3AD9">
        <w:rPr>
          <w:sz w:val="28"/>
          <w:lang w:val="en-US"/>
        </w:rPr>
        <w:t xml:space="preserve"> </w:t>
      </w:r>
      <w:r w:rsidR="008F708A">
        <w:rPr>
          <w:sz w:val="28"/>
          <w:lang w:val="en-US"/>
        </w:rPr>
        <w:t>at</w:t>
      </w:r>
      <w:r w:rsidRPr="00CC3AD9">
        <w:rPr>
          <w:sz w:val="28"/>
          <w:lang w:val="en-US"/>
        </w:rPr>
        <w:t xml:space="preserve"> the</w:t>
      </w:r>
      <w:r w:rsidR="008F708A">
        <w:rPr>
          <w:sz w:val="28"/>
          <w:lang w:val="en-US"/>
        </w:rPr>
        <w:t xml:space="preserve"> regional</w:t>
      </w:r>
      <w:r w:rsidRPr="00CC3AD9">
        <w:rPr>
          <w:sz w:val="28"/>
          <w:lang w:val="en-US"/>
        </w:rPr>
        <w:t xml:space="preserve"> level – local budgets and extra-budgetary funds of local authorities</w:t>
      </w:r>
      <w:r w:rsidR="008F708A">
        <w:rPr>
          <w:sz w:val="28"/>
          <w:lang w:val="en-US"/>
        </w:rPr>
        <w:t>;</w:t>
      </w:r>
      <w:r w:rsidRPr="00CC3AD9">
        <w:rPr>
          <w:sz w:val="28"/>
          <w:lang w:val="en-US"/>
        </w:rPr>
        <w:t xml:space="preserve"> </w:t>
      </w:r>
      <w:r w:rsidR="008F708A">
        <w:rPr>
          <w:sz w:val="28"/>
          <w:lang w:val="en-US"/>
        </w:rPr>
        <w:t>at</w:t>
      </w:r>
      <w:r w:rsidRPr="00CC3AD9">
        <w:rPr>
          <w:sz w:val="28"/>
          <w:lang w:val="en-US"/>
        </w:rPr>
        <w:t xml:space="preserve"> the level of enterprises – corporate funds; </w:t>
      </w:r>
    </w:p>
    <w:p w14:paraId="6B98208B" w14:textId="77777777" w:rsidR="00CC3AD9" w:rsidRPr="00CC3AD9" w:rsidRDefault="00CC3AD9" w:rsidP="006F749C">
      <w:pPr>
        <w:numPr>
          <w:ilvl w:val="0"/>
          <w:numId w:val="89"/>
        </w:numPr>
        <w:tabs>
          <w:tab w:val="left" w:pos="709"/>
          <w:tab w:val="left" w:pos="993"/>
        </w:tabs>
        <w:spacing w:line="312" w:lineRule="auto"/>
        <w:ind w:left="993" w:hanging="284"/>
        <w:jc w:val="both"/>
        <w:rPr>
          <w:sz w:val="28"/>
          <w:lang w:val="en-US"/>
        </w:rPr>
      </w:pPr>
      <w:r w:rsidRPr="00CC3AD9">
        <w:rPr>
          <w:iCs/>
          <w:sz w:val="28"/>
          <w:lang w:val="en-US"/>
        </w:rPr>
        <w:t xml:space="preserve">secondary distribution </w:t>
      </w:r>
      <w:r w:rsidRPr="00CC3AD9">
        <w:rPr>
          <w:sz w:val="28"/>
          <w:lang w:val="en-US" w:eastAsia="en-US"/>
        </w:rPr>
        <w:t>covers the processes related to the revenue redistribution thro</w:t>
      </w:r>
      <w:r w:rsidR="008F708A">
        <w:rPr>
          <w:sz w:val="28"/>
          <w:lang w:val="en-US" w:eastAsia="en-US"/>
        </w:rPr>
        <w:t>ugh</w:t>
      </w:r>
      <w:r w:rsidRPr="00CC3AD9">
        <w:rPr>
          <w:sz w:val="28"/>
          <w:lang w:val="en-US" w:eastAsia="en-US"/>
        </w:rPr>
        <w:t xml:space="preserve"> the budget between tangible and intangible areas of manufacturing, sectors, territories, </w:t>
      </w:r>
      <w:r w:rsidR="008F708A">
        <w:rPr>
          <w:sz w:val="28"/>
          <w:lang w:val="en-US" w:eastAsia="en-US"/>
        </w:rPr>
        <w:t xml:space="preserve">and </w:t>
      </w:r>
      <w:r w:rsidRPr="00CC3AD9">
        <w:rPr>
          <w:sz w:val="28"/>
          <w:lang w:val="en-US" w:eastAsia="en-US"/>
        </w:rPr>
        <w:t>households.</w:t>
      </w:r>
      <w:r w:rsidRPr="00CC3AD9">
        <w:rPr>
          <w:sz w:val="28"/>
          <w:lang w:val="en-US"/>
        </w:rPr>
        <w:t xml:space="preserve">  At this stage are formed primary revenues – wages of people employed in the public sector, and secondary revenues in the form of various benefits and free services from centralized funds to individuals and legal entities.</w:t>
      </w:r>
    </w:p>
    <w:p w14:paraId="46256078" w14:textId="77777777" w:rsidR="00CC3AD9" w:rsidRPr="00CC3AD9" w:rsidRDefault="00CC3AD9" w:rsidP="00532F59">
      <w:pPr>
        <w:spacing w:line="312" w:lineRule="auto"/>
        <w:ind w:firstLine="709"/>
        <w:jc w:val="both"/>
        <w:rPr>
          <w:sz w:val="28"/>
          <w:lang w:val="en-US"/>
        </w:rPr>
      </w:pPr>
      <w:r w:rsidRPr="00CC3AD9">
        <w:rPr>
          <w:sz w:val="28"/>
          <w:lang w:val="en-US"/>
        </w:rPr>
        <w:t xml:space="preserve">Finance is an instrument </w:t>
      </w:r>
      <w:r w:rsidR="0059570F">
        <w:rPr>
          <w:sz w:val="28"/>
          <w:lang w:val="en-US"/>
        </w:rPr>
        <w:t>to</w:t>
      </w:r>
      <w:r w:rsidRPr="00CC3AD9">
        <w:rPr>
          <w:sz w:val="28"/>
          <w:lang w:val="en-US"/>
        </w:rPr>
        <w:t xml:space="preserve"> </w:t>
      </w:r>
      <w:r w:rsidRPr="00CC3AD9">
        <w:rPr>
          <w:b/>
          <w:sz w:val="28"/>
          <w:lang w:val="en-US"/>
        </w:rPr>
        <w:t>control</w:t>
      </w:r>
      <w:r w:rsidRPr="00CC3AD9">
        <w:rPr>
          <w:sz w:val="28"/>
          <w:lang w:val="en-US"/>
        </w:rPr>
        <w:t xml:space="preserve"> the activity of exchange</w:t>
      </w:r>
      <w:r w:rsidR="0059570F">
        <w:rPr>
          <w:sz w:val="28"/>
          <w:lang w:val="en-US"/>
        </w:rPr>
        <w:t>/</w:t>
      </w:r>
      <w:r w:rsidRPr="00CC3AD9">
        <w:rPr>
          <w:sz w:val="28"/>
          <w:lang w:val="en-US"/>
        </w:rPr>
        <w:t>distribution relations. Finance numerically show</w:t>
      </w:r>
      <w:r w:rsidR="008F708A">
        <w:rPr>
          <w:sz w:val="28"/>
          <w:lang w:val="en-US"/>
        </w:rPr>
        <w:t>s</w:t>
      </w:r>
      <w:r w:rsidRPr="00CC3AD9">
        <w:rPr>
          <w:sz w:val="28"/>
          <w:lang w:val="en-US"/>
        </w:rPr>
        <w:t xml:space="preserve"> movement of money flows and provide</w:t>
      </w:r>
      <w:r w:rsidR="008F708A">
        <w:rPr>
          <w:sz w:val="28"/>
          <w:lang w:val="en-US"/>
        </w:rPr>
        <w:t>s</w:t>
      </w:r>
      <w:r w:rsidRPr="00CC3AD9">
        <w:rPr>
          <w:sz w:val="28"/>
          <w:lang w:val="en-US"/>
        </w:rPr>
        <w:t xml:space="preserve"> control of the proportions’ compliance in GDP distribution, </w:t>
      </w:r>
      <w:r w:rsidR="008F708A">
        <w:rPr>
          <w:sz w:val="28"/>
          <w:lang w:val="en-US"/>
        </w:rPr>
        <w:t xml:space="preserve">the </w:t>
      </w:r>
      <w:r w:rsidRPr="00CC3AD9">
        <w:rPr>
          <w:sz w:val="28"/>
          <w:lang w:val="en-US"/>
        </w:rPr>
        <w:t>accuracy in f</w:t>
      </w:r>
      <w:r w:rsidR="008A453E">
        <w:rPr>
          <w:sz w:val="28"/>
          <w:lang w:val="en-US"/>
        </w:rPr>
        <w:t>ormation, distribution and use</w:t>
      </w:r>
      <w:r w:rsidRPr="00CC3AD9">
        <w:rPr>
          <w:sz w:val="28"/>
          <w:lang w:val="en-US"/>
        </w:rPr>
        <w:t xml:space="preserve"> of state</w:t>
      </w:r>
      <w:r w:rsidR="008F708A">
        <w:rPr>
          <w:sz w:val="28"/>
          <w:lang w:val="en-US"/>
        </w:rPr>
        <w:t xml:space="preserve"> </w:t>
      </w:r>
      <w:r w:rsidRPr="00CC3AD9">
        <w:rPr>
          <w:sz w:val="28"/>
          <w:lang w:val="en-US"/>
        </w:rPr>
        <w:t>financial resources</w:t>
      </w:r>
      <w:r w:rsidR="008F708A">
        <w:rPr>
          <w:sz w:val="28"/>
          <w:lang w:val="en-US"/>
        </w:rPr>
        <w:t>,</w:t>
      </w:r>
      <w:r w:rsidRPr="00CC3AD9">
        <w:rPr>
          <w:sz w:val="28"/>
          <w:lang w:val="en-US"/>
        </w:rPr>
        <w:t xml:space="preserve"> and its management. Control function allows solving a number of important objectives: search for increasing </w:t>
      </w:r>
      <w:r w:rsidR="008F708A">
        <w:rPr>
          <w:sz w:val="28"/>
          <w:lang w:val="en-US"/>
        </w:rPr>
        <w:t xml:space="preserve">the </w:t>
      </w:r>
      <w:r w:rsidRPr="00CC3AD9">
        <w:rPr>
          <w:sz w:val="28"/>
          <w:lang w:val="en-US"/>
        </w:rPr>
        <w:t>revenues and profits reserves; fulfillment of financial obligations; mobilization of financial resources in sufficient to finance social and economic development amounts; effective distribution and use of financial resources.</w:t>
      </w:r>
    </w:p>
    <w:p w14:paraId="22F2ABB2" w14:textId="77777777" w:rsidR="00CC3AD9" w:rsidRPr="00CC3AD9" w:rsidRDefault="00CC3AD9" w:rsidP="00532F59">
      <w:pPr>
        <w:spacing w:line="312" w:lineRule="auto"/>
        <w:ind w:firstLine="709"/>
        <w:jc w:val="both"/>
        <w:rPr>
          <w:sz w:val="28"/>
          <w:lang w:val="en-US"/>
        </w:rPr>
      </w:pPr>
      <w:r w:rsidRPr="00CC3AD9">
        <w:rPr>
          <w:sz w:val="28"/>
          <w:lang w:val="en-US"/>
        </w:rPr>
        <w:t xml:space="preserve">Finance functions are implemented simultaneously: each financial transaction involves the distribution of the social product, national income, and, of course, control of their distribution. Thus, </w:t>
      </w:r>
      <w:r w:rsidR="00206F64">
        <w:rPr>
          <w:sz w:val="28"/>
          <w:lang w:val="en-US"/>
        </w:rPr>
        <w:t>f</w:t>
      </w:r>
      <w:r w:rsidRPr="00CC3AD9">
        <w:rPr>
          <w:sz w:val="28"/>
          <w:lang w:val="en-US"/>
        </w:rPr>
        <w:t>inance plays an important role in society and social production, including</w:t>
      </w:r>
      <w:r w:rsidR="008F708A">
        <w:rPr>
          <w:sz w:val="28"/>
          <w:lang w:val="en-US"/>
        </w:rPr>
        <w:t xml:space="preserve"> the following</w:t>
      </w:r>
      <w:r w:rsidRPr="00CC3AD9">
        <w:rPr>
          <w:sz w:val="28"/>
          <w:lang w:val="en-US"/>
        </w:rPr>
        <w:t>: (i) provide</w:t>
      </w:r>
      <w:r w:rsidR="008F708A">
        <w:rPr>
          <w:sz w:val="28"/>
          <w:lang w:val="en-US"/>
        </w:rPr>
        <w:t>s</w:t>
      </w:r>
      <w:r w:rsidRPr="00CC3AD9">
        <w:rPr>
          <w:sz w:val="28"/>
          <w:lang w:val="en-US"/>
        </w:rPr>
        <w:t xml:space="preserve"> the distribution of GDP and financial needs of individuals and the state; (ii) provide</w:t>
      </w:r>
      <w:r w:rsidR="00467A5A">
        <w:rPr>
          <w:sz w:val="28"/>
          <w:lang w:val="en-US"/>
        </w:rPr>
        <w:t>s</w:t>
      </w:r>
      <w:r w:rsidRPr="00CC3AD9">
        <w:rPr>
          <w:sz w:val="28"/>
          <w:lang w:val="en-US"/>
        </w:rPr>
        <w:t xml:space="preserve"> the circulation of financial resources; (iii) provide</w:t>
      </w:r>
      <w:r w:rsidR="00467A5A">
        <w:rPr>
          <w:sz w:val="28"/>
          <w:lang w:val="en-US"/>
        </w:rPr>
        <w:t>s</w:t>
      </w:r>
      <w:r w:rsidRPr="00CC3AD9">
        <w:rPr>
          <w:sz w:val="28"/>
          <w:lang w:val="en-US"/>
        </w:rPr>
        <w:t xml:space="preserve"> redistribution of revenue between sectors, regions and social groups; (iv) affect</w:t>
      </w:r>
      <w:r w:rsidR="00467A5A">
        <w:rPr>
          <w:sz w:val="28"/>
          <w:lang w:val="en-US"/>
        </w:rPr>
        <w:t>s</w:t>
      </w:r>
      <w:r w:rsidRPr="00CC3AD9">
        <w:rPr>
          <w:sz w:val="28"/>
          <w:lang w:val="en-US"/>
        </w:rPr>
        <w:t xml:space="preserve"> the interest</w:t>
      </w:r>
      <w:r w:rsidR="008A453E">
        <w:rPr>
          <w:sz w:val="28"/>
          <w:lang w:val="en-US"/>
        </w:rPr>
        <w:t>s of distribution relationships</w:t>
      </w:r>
      <w:r w:rsidR="00467A5A">
        <w:rPr>
          <w:sz w:val="28"/>
          <w:lang w:val="en-US"/>
        </w:rPr>
        <w:t xml:space="preserve"> and</w:t>
      </w:r>
      <w:r w:rsidRPr="00CC3AD9">
        <w:rPr>
          <w:sz w:val="28"/>
          <w:lang w:val="en-US"/>
        </w:rPr>
        <w:t xml:space="preserve"> determine</w:t>
      </w:r>
      <w:r w:rsidR="00467A5A">
        <w:rPr>
          <w:sz w:val="28"/>
          <w:lang w:val="en-US"/>
        </w:rPr>
        <w:t>s</w:t>
      </w:r>
      <w:r w:rsidRPr="00CC3AD9">
        <w:rPr>
          <w:sz w:val="28"/>
          <w:lang w:val="en-US"/>
        </w:rPr>
        <w:t xml:space="preserve"> their financial capabilities; (v) play</w:t>
      </w:r>
      <w:r w:rsidR="00467A5A">
        <w:rPr>
          <w:sz w:val="28"/>
          <w:lang w:val="en-US"/>
        </w:rPr>
        <w:t>s</w:t>
      </w:r>
      <w:r w:rsidRPr="00CC3AD9">
        <w:rPr>
          <w:sz w:val="28"/>
          <w:lang w:val="en-US"/>
        </w:rPr>
        <w:t xml:space="preserve"> a leading role in the economic methods of economic management; (vi) form</w:t>
      </w:r>
      <w:r w:rsidR="00467A5A">
        <w:rPr>
          <w:sz w:val="28"/>
          <w:lang w:val="en-US"/>
        </w:rPr>
        <w:t>s</w:t>
      </w:r>
      <w:r w:rsidRPr="00CC3AD9">
        <w:rPr>
          <w:sz w:val="28"/>
          <w:lang w:val="en-US"/>
        </w:rPr>
        <w:t xml:space="preserve"> a system of financial indicators, which act as indicators of socio-economic development of </w:t>
      </w:r>
      <w:r w:rsidR="00467A5A">
        <w:rPr>
          <w:sz w:val="28"/>
          <w:lang w:val="en-US"/>
        </w:rPr>
        <w:t xml:space="preserve">the </w:t>
      </w:r>
      <w:r w:rsidRPr="00CC3AD9">
        <w:rPr>
          <w:sz w:val="28"/>
          <w:lang w:val="en-US"/>
        </w:rPr>
        <w:t>society; (vii) provide</w:t>
      </w:r>
      <w:r w:rsidR="00467A5A">
        <w:rPr>
          <w:sz w:val="28"/>
          <w:lang w:val="en-US"/>
        </w:rPr>
        <w:t>s</w:t>
      </w:r>
      <w:r w:rsidRPr="00CC3AD9">
        <w:rPr>
          <w:sz w:val="28"/>
          <w:lang w:val="en-US"/>
        </w:rPr>
        <w:t xml:space="preserve"> comprehensive control subjects of </w:t>
      </w:r>
      <w:r w:rsidR="00467A5A">
        <w:rPr>
          <w:sz w:val="28"/>
          <w:lang w:val="en-US"/>
        </w:rPr>
        <w:t>GDP</w:t>
      </w:r>
      <w:r w:rsidR="00467A5A" w:rsidRPr="00CC3AD9">
        <w:rPr>
          <w:sz w:val="28"/>
          <w:lang w:val="en-US"/>
        </w:rPr>
        <w:t xml:space="preserve"> </w:t>
      </w:r>
      <w:r w:rsidRPr="00CC3AD9">
        <w:rPr>
          <w:sz w:val="28"/>
          <w:lang w:val="en-US"/>
        </w:rPr>
        <w:t>distribution regarding formation and use of money funds.</w:t>
      </w:r>
    </w:p>
    <w:p w14:paraId="52B185CF" w14:textId="77777777" w:rsidR="00CC3AD9" w:rsidRPr="00CC3AD9" w:rsidRDefault="00CC3AD9" w:rsidP="00532F59">
      <w:pPr>
        <w:spacing w:line="312" w:lineRule="auto"/>
        <w:ind w:firstLine="709"/>
        <w:jc w:val="both"/>
        <w:rPr>
          <w:sz w:val="28"/>
          <w:lang w:val="en-US"/>
        </w:rPr>
      </w:pPr>
      <w:r w:rsidRPr="00CC3AD9">
        <w:rPr>
          <w:sz w:val="28"/>
          <w:lang w:val="en-US"/>
        </w:rPr>
        <w:t xml:space="preserve">The conceptual apparatus of </w:t>
      </w:r>
      <w:r w:rsidR="00206F64">
        <w:rPr>
          <w:sz w:val="28"/>
          <w:lang w:val="en-US"/>
        </w:rPr>
        <w:t>f</w:t>
      </w:r>
      <w:r w:rsidRPr="00CC3AD9">
        <w:rPr>
          <w:sz w:val="28"/>
          <w:lang w:val="en-US"/>
        </w:rPr>
        <w:t>inance as a science covers general ec</w:t>
      </w:r>
      <w:r w:rsidR="00467A5A">
        <w:rPr>
          <w:sz w:val="28"/>
          <w:lang w:val="en-US"/>
        </w:rPr>
        <w:t>onomic and financial categories</w:t>
      </w:r>
      <w:r w:rsidRPr="00CC3AD9">
        <w:rPr>
          <w:sz w:val="28"/>
          <w:lang w:val="en-US"/>
        </w:rPr>
        <w:t xml:space="preserve"> which</w:t>
      </w:r>
      <w:r w:rsidR="00467A5A">
        <w:rPr>
          <w:sz w:val="28"/>
          <w:lang w:val="en-US"/>
        </w:rPr>
        <w:t xml:space="preserve">, </w:t>
      </w:r>
      <w:r w:rsidRPr="00CC3AD9">
        <w:rPr>
          <w:sz w:val="28"/>
          <w:lang w:val="en-US"/>
        </w:rPr>
        <w:t>in abstract and theoretical forms</w:t>
      </w:r>
      <w:r w:rsidR="00467A5A">
        <w:rPr>
          <w:sz w:val="28"/>
          <w:lang w:val="en-US"/>
        </w:rPr>
        <w:t>,</w:t>
      </w:r>
      <w:r w:rsidRPr="00CC3AD9">
        <w:rPr>
          <w:sz w:val="28"/>
          <w:lang w:val="en-US"/>
        </w:rPr>
        <w:t xml:space="preserve"> describe various aspects of financial reality. Using financial categories as an instrument of scientific knowledge help</w:t>
      </w:r>
      <w:r w:rsidR="00467A5A">
        <w:rPr>
          <w:sz w:val="28"/>
          <w:lang w:val="en-US"/>
        </w:rPr>
        <w:t>s</w:t>
      </w:r>
      <w:r w:rsidRPr="00CC3AD9">
        <w:rPr>
          <w:sz w:val="28"/>
          <w:lang w:val="en-US"/>
        </w:rPr>
        <w:t xml:space="preserve"> to reveal the essence of finance, its specifics and peculiarities of functioning. </w:t>
      </w:r>
      <w:r w:rsidRPr="00CC3AD9">
        <w:rPr>
          <w:sz w:val="28"/>
          <w:lang w:val="en-US"/>
        </w:rPr>
        <w:lastRenderedPageBreak/>
        <w:t>Financial science is based on such fundamental categories as money, credit and others. In addition</w:t>
      </w:r>
      <w:r w:rsidR="00467A5A">
        <w:rPr>
          <w:sz w:val="28"/>
          <w:lang w:val="en-US"/>
        </w:rPr>
        <w:t xml:space="preserve"> to fundamental categories, finance</w:t>
      </w:r>
      <w:r w:rsidR="008A453E">
        <w:rPr>
          <w:sz w:val="28"/>
          <w:lang w:val="en-US"/>
        </w:rPr>
        <w:t xml:space="preserve"> is</w:t>
      </w:r>
      <w:r w:rsidR="00467A5A">
        <w:rPr>
          <w:sz w:val="28"/>
          <w:lang w:val="en-US"/>
        </w:rPr>
        <w:t xml:space="preserve"> grounded on</w:t>
      </w:r>
      <w:r w:rsidRPr="00CC3AD9">
        <w:rPr>
          <w:sz w:val="28"/>
          <w:lang w:val="en-US"/>
        </w:rPr>
        <w:t xml:space="preserve"> </w:t>
      </w:r>
      <w:r w:rsidR="00467A5A">
        <w:rPr>
          <w:sz w:val="28"/>
          <w:lang w:val="en-US"/>
        </w:rPr>
        <w:t xml:space="preserve">such </w:t>
      </w:r>
      <w:r w:rsidRPr="00CC3AD9">
        <w:rPr>
          <w:sz w:val="28"/>
          <w:lang w:val="en-US"/>
        </w:rPr>
        <w:t xml:space="preserve">basic financial categories </w:t>
      </w:r>
      <w:r w:rsidR="00467A5A">
        <w:rPr>
          <w:sz w:val="28"/>
          <w:lang w:val="en-US"/>
        </w:rPr>
        <w:t>as</w:t>
      </w:r>
      <w:r w:rsidRPr="00CC3AD9">
        <w:rPr>
          <w:sz w:val="28"/>
          <w:lang w:val="en-US"/>
        </w:rPr>
        <w:t xml:space="preserve"> financial relations, financial resources, cash flows, taxes, income, expenses, budgets, subsidies, and others. With the development of the state</w:t>
      </w:r>
      <w:r w:rsidR="00FB1C63">
        <w:rPr>
          <w:sz w:val="28"/>
          <w:lang w:val="en-US"/>
        </w:rPr>
        <w:t xml:space="preserve">, there </w:t>
      </w:r>
      <w:r w:rsidR="008A453E">
        <w:rPr>
          <w:sz w:val="28"/>
          <w:lang w:val="en-US"/>
        </w:rPr>
        <w:t>have</w:t>
      </w:r>
      <w:r w:rsidRPr="00CC3AD9">
        <w:rPr>
          <w:sz w:val="28"/>
          <w:lang w:val="en-US"/>
        </w:rPr>
        <w:t xml:space="preserve"> appeared</w:t>
      </w:r>
      <w:r w:rsidR="00FB1C63">
        <w:rPr>
          <w:sz w:val="28"/>
          <w:lang w:val="en-US"/>
        </w:rPr>
        <w:t xml:space="preserve"> the</w:t>
      </w:r>
      <w:r w:rsidRPr="00CC3AD9">
        <w:rPr>
          <w:sz w:val="28"/>
          <w:lang w:val="en-US"/>
        </w:rPr>
        <w:t xml:space="preserve"> following financial categories</w:t>
      </w:r>
      <w:r w:rsidR="00FB1C63">
        <w:rPr>
          <w:sz w:val="28"/>
          <w:lang w:val="en-US"/>
        </w:rPr>
        <w:t xml:space="preserve">: </w:t>
      </w:r>
      <w:r w:rsidRPr="00CC3AD9">
        <w:rPr>
          <w:sz w:val="28"/>
          <w:lang w:val="en-US"/>
        </w:rPr>
        <w:t xml:space="preserve">taxes, public credit, government expenditures, government revenues, </w:t>
      </w:r>
      <w:r w:rsidR="00FB1C63">
        <w:rPr>
          <w:sz w:val="28"/>
          <w:lang w:val="en-US"/>
        </w:rPr>
        <w:t xml:space="preserve">and </w:t>
      </w:r>
      <w:r w:rsidRPr="00CC3AD9">
        <w:rPr>
          <w:sz w:val="28"/>
          <w:lang w:val="en-US"/>
        </w:rPr>
        <w:t>state budget. The emergence of new financial categories such as corporate finance, financial market, insurance, etc.,</w:t>
      </w:r>
      <w:r w:rsidR="0059570F">
        <w:rPr>
          <w:sz w:val="28"/>
          <w:lang w:val="en-US"/>
        </w:rPr>
        <w:t xml:space="preserve"> and</w:t>
      </w:r>
      <w:r w:rsidRPr="00CC3AD9">
        <w:rPr>
          <w:sz w:val="28"/>
          <w:lang w:val="en-US"/>
        </w:rPr>
        <w:t xml:space="preserve"> their functioning and evolution are conditioned by the development of the entire system of financial categories. </w:t>
      </w:r>
      <w:r w:rsidRPr="00CC3AD9">
        <w:rPr>
          <w:bCs/>
          <w:sz w:val="28"/>
          <w:lang w:val="en-US"/>
        </w:rPr>
        <w:t>Financial categories are interconnected. They form an integrated system</w:t>
      </w:r>
      <w:r w:rsidR="00FB1C63">
        <w:rPr>
          <w:bCs/>
          <w:sz w:val="28"/>
          <w:lang w:val="en-US"/>
        </w:rPr>
        <w:t xml:space="preserve"> </w:t>
      </w:r>
      <w:r w:rsidRPr="00CC3AD9">
        <w:rPr>
          <w:bCs/>
          <w:sz w:val="28"/>
          <w:lang w:val="en-US"/>
        </w:rPr>
        <w:t>within the logical hierarchy and subordination.</w:t>
      </w:r>
    </w:p>
    <w:p w14:paraId="7F672E3D" w14:textId="77777777" w:rsidR="00CC3AD9" w:rsidRPr="00CC3AD9" w:rsidRDefault="00CC3AD9" w:rsidP="00532F59">
      <w:pPr>
        <w:spacing w:line="312" w:lineRule="auto"/>
        <w:ind w:firstLine="709"/>
        <w:jc w:val="both"/>
        <w:rPr>
          <w:b/>
          <w:sz w:val="28"/>
          <w:lang w:val="en-US"/>
        </w:rPr>
      </w:pPr>
      <w:r w:rsidRPr="00CC3AD9">
        <w:rPr>
          <w:b/>
          <w:sz w:val="28"/>
          <w:lang w:val="en-US"/>
        </w:rPr>
        <w:t>The system of financial categories includes</w:t>
      </w:r>
      <w:r w:rsidR="00FB1C63">
        <w:rPr>
          <w:b/>
          <w:sz w:val="28"/>
          <w:lang w:val="en-US"/>
        </w:rPr>
        <w:t xml:space="preserve"> the following</w:t>
      </w:r>
      <w:r w:rsidRPr="00CC3AD9">
        <w:rPr>
          <w:b/>
          <w:sz w:val="28"/>
          <w:lang w:val="en-US"/>
        </w:rPr>
        <w:t>:</w:t>
      </w:r>
    </w:p>
    <w:p w14:paraId="3465C469" w14:textId="77777777" w:rsidR="00CC3AD9" w:rsidRPr="00CC3AD9" w:rsidRDefault="00CC3AD9" w:rsidP="006F749C">
      <w:pPr>
        <w:numPr>
          <w:ilvl w:val="0"/>
          <w:numId w:val="90"/>
        </w:numPr>
        <w:spacing w:line="312" w:lineRule="auto"/>
        <w:ind w:hanging="368"/>
        <w:jc w:val="both"/>
        <w:rPr>
          <w:sz w:val="28"/>
          <w:lang w:val="en-US"/>
        </w:rPr>
      </w:pPr>
      <w:r w:rsidRPr="00CC3AD9">
        <w:rPr>
          <w:iCs/>
          <w:sz w:val="28"/>
          <w:lang w:val="en-US"/>
        </w:rPr>
        <w:t>categories of revenues. Revenue</w:t>
      </w:r>
      <w:r w:rsidRPr="00CC3AD9">
        <w:rPr>
          <w:sz w:val="28"/>
          <w:lang w:val="en-US"/>
        </w:rPr>
        <w:t> as a financial category is a part of financial relations between the different individuals according to the formation of centralized and decentralized funds – a revenue of businesses, individuals and the state. To financial revenue categories are related revenues, wages, dividends, interest, taxes, trust receipts,</w:t>
      </w:r>
      <w:r w:rsidR="00FB1C63">
        <w:rPr>
          <w:sz w:val="28"/>
          <w:lang w:val="en-US"/>
        </w:rPr>
        <w:t xml:space="preserve"> and</w:t>
      </w:r>
      <w:r w:rsidRPr="00CC3AD9">
        <w:rPr>
          <w:sz w:val="28"/>
          <w:lang w:val="en-US"/>
        </w:rPr>
        <w:t xml:space="preserve"> mobilization of financial resources.</w:t>
      </w:r>
    </w:p>
    <w:p w14:paraId="3F2CB95A" w14:textId="77777777" w:rsidR="00CC3AD9" w:rsidRPr="00CC3AD9" w:rsidRDefault="00CC3AD9" w:rsidP="006F749C">
      <w:pPr>
        <w:numPr>
          <w:ilvl w:val="0"/>
          <w:numId w:val="90"/>
        </w:numPr>
        <w:spacing w:line="312" w:lineRule="auto"/>
        <w:ind w:hanging="368"/>
        <w:jc w:val="both"/>
        <w:rPr>
          <w:sz w:val="28"/>
          <w:lang w:val="en-US"/>
        </w:rPr>
      </w:pPr>
      <w:r w:rsidRPr="00CC3AD9">
        <w:rPr>
          <w:iCs/>
          <w:sz w:val="28"/>
          <w:lang w:val="en-US"/>
        </w:rPr>
        <w:t>categories of costs. Costs</w:t>
      </w:r>
      <w:r w:rsidRPr="00CC3AD9">
        <w:rPr>
          <w:sz w:val="28"/>
          <w:lang w:val="en-US"/>
        </w:rPr>
        <w:t> as the financial category is a part of the financial relations between the different individuals according to the usage of the proceeds and revenues – costs of businesses, individuals, and the state. The financial cost categories include depreciation, wages, fees, penalties, taxes</w:t>
      </w:r>
      <w:r w:rsidR="00FB1C63">
        <w:rPr>
          <w:sz w:val="28"/>
          <w:lang w:val="en-US"/>
        </w:rPr>
        <w:t>, etc.</w:t>
      </w:r>
    </w:p>
    <w:p w14:paraId="31CF76EE" w14:textId="77777777" w:rsidR="00CC3AD9" w:rsidRPr="00CC3AD9" w:rsidRDefault="00CC3AD9" w:rsidP="006F749C">
      <w:pPr>
        <w:numPr>
          <w:ilvl w:val="0"/>
          <w:numId w:val="90"/>
        </w:numPr>
        <w:spacing w:line="312" w:lineRule="auto"/>
        <w:ind w:hanging="368"/>
        <w:jc w:val="both"/>
        <w:rPr>
          <w:sz w:val="28"/>
          <w:lang w:val="en-US"/>
        </w:rPr>
      </w:pPr>
      <w:r w:rsidRPr="00CC3AD9">
        <w:rPr>
          <w:iCs/>
          <w:sz w:val="28"/>
          <w:lang w:val="en-US"/>
        </w:rPr>
        <w:t>categories of money funds. M</w:t>
      </w:r>
      <w:r w:rsidRPr="00CC3AD9">
        <w:rPr>
          <w:sz w:val="28"/>
          <w:lang w:val="en-US"/>
        </w:rPr>
        <w:t>oney funds as the financial category are characterized by gathering money for specified purpose – budget, fund of basic and working capital, capital accumulation and consumption fund, insurance and reserve funds, national funds in forms of budgetary and extra-budgetary funds, sinking fund</w:t>
      </w:r>
      <w:r w:rsidR="00FB1C63">
        <w:rPr>
          <w:sz w:val="28"/>
          <w:lang w:val="en-US"/>
        </w:rPr>
        <w:t>, etc.</w:t>
      </w:r>
    </w:p>
    <w:p w14:paraId="7F125C01" w14:textId="77777777" w:rsidR="00CC3AD9" w:rsidRPr="00CC3AD9" w:rsidRDefault="00CC3AD9" w:rsidP="006F749C">
      <w:pPr>
        <w:numPr>
          <w:ilvl w:val="0"/>
          <w:numId w:val="90"/>
        </w:numPr>
        <w:spacing w:line="312" w:lineRule="auto"/>
        <w:ind w:hanging="368"/>
        <w:jc w:val="both"/>
        <w:rPr>
          <w:sz w:val="28"/>
          <w:lang w:val="en-US"/>
        </w:rPr>
      </w:pPr>
      <w:r w:rsidRPr="00CC3AD9">
        <w:rPr>
          <w:iCs/>
          <w:sz w:val="28"/>
          <w:lang w:val="en-US"/>
        </w:rPr>
        <w:t xml:space="preserve">system </w:t>
      </w:r>
      <w:r w:rsidR="00FB1C63">
        <w:rPr>
          <w:iCs/>
          <w:sz w:val="28"/>
          <w:lang w:val="en-US"/>
        </w:rPr>
        <w:t xml:space="preserve">of </w:t>
      </w:r>
      <w:r w:rsidRPr="00CC3AD9">
        <w:rPr>
          <w:iCs/>
          <w:sz w:val="28"/>
          <w:lang w:val="en-US"/>
        </w:rPr>
        <w:t>formative</w:t>
      </w:r>
      <w:r w:rsidRPr="00CC3AD9">
        <w:rPr>
          <w:sz w:val="28"/>
          <w:lang w:val="en-US"/>
        </w:rPr>
        <w:t> </w:t>
      </w:r>
      <w:r w:rsidRPr="00CC3AD9">
        <w:rPr>
          <w:iCs/>
          <w:sz w:val="28"/>
          <w:lang w:val="en-US"/>
        </w:rPr>
        <w:t>financial</w:t>
      </w:r>
      <w:r w:rsidRPr="00CC3AD9">
        <w:rPr>
          <w:sz w:val="28"/>
          <w:lang w:val="en-US"/>
        </w:rPr>
        <w:t> </w:t>
      </w:r>
      <w:r w:rsidRPr="00CC3AD9">
        <w:rPr>
          <w:iCs/>
          <w:sz w:val="28"/>
          <w:lang w:val="en-US"/>
        </w:rPr>
        <w:t>categories</w:t>
      </w:r>
      <w:r w:rsidRPr="00CC3AD9">
        <w:rPr>
          <w:sz w:val="28"/>
          <w:lang w:val="en-US"/>
        </w:rPr>
        <w:t> act</w:t>
      </w:r>
      <w:r w:rsidR="00FB1C63">
        <w:rPr>
          <w:sz w:val="28"/>
          <w:lang w:val="en-US"/>
        </w:rPr>
        <w:t>s</w:t>
      </w:r>
      <w:r w:rsidRPr="00CC3AD9">
        <w:rPr>
          <w:sz w:val="28"/>
          <w:lang w:val="en-US"/>
        </w:rPr>
        <w:t xml:space="preserve"> as an add-on for the previous groups of categories. This group includes such categories as finance, financial resources, financial system, financial policy, financial instruments, financial leverage, financial methods, financial system, financial management</w:t>
      </w:r>
      <w:r w:rsidR="00FB1C63">
        <w:rPr>
          <w:sz w:val="28"/>
          <w:lang w:val="en-US"/>
        </w:rPr>
        <w:t>, etc.</w:t>
      </w:r>
    </w:p>
    <w:p w14:paraId="7E608081" w14:textId="77777777" w:rsidR="00CC3AD9" w:rsidRPr="00CC3AD9" w:rsidRDefault="00CC3AD9" w:rsidP="00532F59">
      <w:pPr>
        <w:spacing w:line="312" w:lineRule="auto"/>
        <w:ind w:firstLine="709"/>
        <w:jc w:val="both"/>
        <w:rPr>
          <w:sz w:val="28"/>
          <w:lang w:val="en-US"/>
        </w:rPr>
      </w:pPr>
      <w:r w:rsidRPr="00CC3AD9">
        <w:rPr>
          <w:sz w:val="28"/>
          <w:lang w:val="en-US"/>
        </w:rPr>
        <w:t xml:space="preserve">Some financial categories (for example taxes) simultaneously belong to different groups of financial categories, but it does not change their essence. In practice, </w:t>
      </w:r>
      <w:r w:rsidRPr="00CC3AD9">
        <w:rPr>
          <w:sz w:val="28"/>
          <w:lang w:val="en-US"/>
        </w:rPr>
        <w:lastRenderedPageBreak/>
        <w:t>financial categories are shown as finan</w:t>
      </w:r>
      <w:r w:rsidR="00FB1C63">
        <w:rPr>
          <w:sz w:val="28"/>
          <w:lang w:val="en-US"/>
        </w:rPr>
        <w:t>cial instruments and incentives</w:t>
      </w:r>
      <w:r w:rsidRPr="00CC3AD9">
        <w:rPr>
          <w:sz w:val="28"/>
          <w:lang w:val="en-US"/>
        </w:rPr>
        <w:t xml:space="preserve"> as well as financial performance indicators.</w:t>
      </w:r>
    </w:p>
    <w:p w14:paraId="572ED584" w14:textId="77777777" w:rsidR="00CC3AD9" w:rsidRPr="00CC3AD9" w:rsidRDefault="00CC3AD9" w:rsidP="00532F59">
      <w:pPr>
        <w:spacing w:line="312" w:lineRule="auto"/>
        <w:ind w:firstLine="709"/>
        <w:jc w:val="both"/>
        <w:rPr>
          <w:sz w:val="28"/>
          <w:lang w:val="en-US"/>
        </w:rPr>
      </w:pPr>
      <w:r w:rsidRPr="00CC3AD9">
        <w:rPr>
          <w:sz w:val="28"/>
          <w:lang w:val="en-US"/>
        </w:rPr>
        <w:t>In distribution relations</w:t>
      </w:r>
      <w:r w:rsidR="00FB1C63">
        <w:rPr>
          <w:sz w:val="28"/>
          <w:lang w:val="en-US"/>
        </w:rPr>
        <w:t>,</w:t>
      </w:r>
      <w:r w:rsidRPr="00CC3AD9">
        <w:rPr>
          <w:sz w:val="28"/>
          <w:lang w:val="en-US"/>
        </w:rPr>
        <w:t xml:space="preserve"> </w:t>
      </w:r>
      <w:r w:rsidR="00206F64">
        <w:rPr>
          <w:sz w:val="28"/>
          <w:lang w:val="en-US"/>
        </w:rPr>
        <w:t>f</w:t>
      </w:r>
      <w:r w:rsidRPr="00CC3AD9">
        <w:rPr>
          <w:sz w:val="28"/>
          <w:lang w:val="en-US"/>
        </w:rPr>
        <w:t>inance interact</w:t>
      </w:r>
      <w:r w:rsidR="008A453E">
        <w:rPr>
          <w:sz w:val="28"/>
          <w:lang w:val="en-US"/>
        </w:rPr>
        <w:t>s</w:t>
      </w:r>
      <w:r w:rsidRPr="00CC3AD9">
        <w:rPr>
          <w:sz w:val="28"/>
          <w:lang w:val="en-US"/>
        </w:rPr>
        <w:t xml:space="preserve"> with other economic categories: money, prices, wages, and credit.</w:t>
      </w:r>
    </w:p>
    <w:p w14:paraId="3AC1FE26" w14:textId="77777777" w:rsidR="00CC3AD9" w:rsidRPr="00CC3AD9" w:rsidRDefault="00CC3AD9" w:rsidP="00532F59">
      <w:pPr>
        <w:spacing w:line="312" w:lineRule="auto"/>
        <w:ind w:firstLine="709"/>
        <w:jc w:val="both"/>
        <w:rPr>
          <w:sz w:val="28"/>
          <w:lang w:val="en-US"/>
        </w:rPr>
      </w:pPr>
      <w:r w:rsidRPr="00CC3AD9">
        <w:rPr>
          <w:b/>
          <w:bCs/>
          <w:sz w:val="28"/>
          <w:lang w:val="en-US"/>
        </w:rPr>
        <w:t>Money</w:t>
      </w:r>
      <w:r w:rsidR="00FB1C63">
        <w:rPr>
          <w:sz w:val="28"/>
          <w:lang w:val="en-US"/>
        </w:rPr>
        <w:t xml:space="preserve"> </w:t>
      </w:r>
      <w:r w:rsidRPr="00CC3AD9">
        <w:rPr>
          <w:sz w:val="28"/>
          <w:lang w:val="en-US"/>
        </w:rPr>
        <w:t>is</w:t>
      </w:r>
      <w:r w:rsidR="00FB1C63">
        <w:rPr>
          <w:sz w:val="28"/>
          <w:lang w:val="en-US"/>
        </w:rPr>
        <w:t xml:space="preserve"> </w:t>
      </w:r>
      <w:r w:rsidRPr="00CC3AD9">
        <w:rPr>
          <w:sz w:val="28"/>
          <w:lang w:val="en-US"/>
        </w:rPr>
        <w:t>a</w:t>
      </w:r>
      <w:r w:rsidR="00FB1C63">
        <w:rPr>
          <w:sz w:val="28"/>
          <w:lang w:val="en-US"/>
        </w:rPr>
        <w:t xml:space="preserve"> </w:t>
      </w:r>
      <w:r w:rsidRPr="00CC3AD9">
        <w:rPr>
          <w:sz w:val="28"/>
          <w:lang w:val="en-US"/>
        </w:rPr>
        <w:t xml:space="preserve">commodity that acts as a universal equivalent. In everyday understanding, Finance is identified with money. An important feature of </w:t>
      </w:r>
      <w:r w:rsidR="00206F64">
        <w:rPr>
          <w:sz w:val="28"/>
          <w:lang w:val="en-US"/>
        </w:rPr>
        <w:t>f</w:t>
      </w:r>
      <w:r w:rsidRPr="00CC3AD9">
        <w:rPr>
          <w:sz w:val="28"/>
          <w:lang w:val="en-US"/>
        </w:rPr>
        <w:t xml:space="preserve">inance is </w:t>
      </w:r>
      <w:r w:rsidR="00FB1C63">
        <w:rPr>
          <w:sz w:val="28"/>
          <w:lang w:val="en-US"/>
        </w:rPr>
        <w:t>its</w:t>
      </w:r>
      <w:r w:rsidRPr="00CC3AD9">
        <w:rPr>
          <w:sz w:val="28"/>
          <w:lang w:val="en-US"/>
        </w:rPr>
        <w:t xml:space="preserve"> money character. However, </w:t>
      </w:r>
      <w:r w:rsidR="00206F64">
        <w:rPr>
          <w:sz w:val="28"/>
          <w:lang w:val="en-US"/>
        </w:rPr>
        <w:t>f</w:t>
      </w:r>
      <w:r w:rsidRPr="00CC3AD9">
        <w:rPr>
          <w:sz w:val="28"/>
          <w:lang w:val="en-US"/>
        </w:rPr>
        <w:t xml:space="preserve">inance is not money. The spheres of money and </w:t>
      </w:r>
      <w:r w:rsidR="00206F64">
        <w:rPr>
          <w:sz w:val="28"/>
          <w:lang w:val="en-US"/>
        </w:rPr>
        <w:t>f</w:t>
      </w:r>
      <w:r w:rsidRPr="00CC3AD9">
        <w:rPr>
          <w:sz w:val="28"/>
          <w:lang w:val="en-US"/>
        </w:rPr>
        <w:t xml:space="preserve">inance functioning intersect only in some segments. Firstly, </w:t>
      </w:r>
      <w:r w:rsidR="00206F64">
        <w:rPr>
          <w:sz w:val="28"/>
          <w:lang w:val="en-US"/>
        </w:rPr>
        <w:t>f</w:t>
      </w:r>
      <w:r w:rsidRPr="00CC3AD9">
        <w:rPr>
          <w:sz w:val="28"/>
          <w:lang w:val="en-US"/>
        </w:rPr>
        <w:t xml:space="preserve">inance is impossible without money, because money is a tool of financial relationships, and </w:t>
      </w:r>
      <w:r w:rsidR="00FB1C63" w:rsidRPr="00CC3AD9">
        <w:rPr>
          <w:sz w:val="28"/>
          <w:lang w:val="en-US"/>
        </w:rPr>
        <w:t xml:space="preserve">cash flow is </w:t>
      </w:r>
      <w:r w:rsidRPr="00CC3AD9">
        <w:rPr>
          <w:sz w:val="28"/>
          <w:lang w:val="en-US"/>
        </w:rPr>
        <w:t xml:space="preserve">external, visible manifestation of this relationship. Secondly, the functioning of money without </w:t>
      </w:r>
      <w:r w:rsidR="00206F64">
        <w:rPr>
          <w:sz w:val="28"/>
          <w:lang w:val="en-US"/>
        </w:rPr>
        <w:t>f</w:t>
      </w:r>
      <w:r w:rsidRPr="00CC3AD9">
        <w:rPr>
          <w:sz w:val="28"/>
          <w:lang w:val="en-US"/>
        </w:rPr>
        <w:t xml:space="preserve">inance is meaningless and reduced to purely technical issues of exchange. The main feature that defines the nature and form of the functioning of </w:t>
      </w:r>
      <w:r w:rsidR="00206F64">
        <w:rPr>
          <w:sz w:val="28"/>
          <w:lang w:val="en-US"/>
        </w:rPr>
        <w:t>f</w:t>
      </w:r>
      <w:r w:rsidRPr="00CC3AD9">
        <w:rPr>
          <w:sz w:val="28"/>
          <w:lang w:val="en-US"/>
        </w:rPr>
        <w:t xml:space="preserve">inance are cash flows, which reflect financial relations and financial activities. They always express relations between two elements of </w:t>
      </w:r>
      <w:r w:rsidR="00206F64">
        <w:rPr>
          <w:sz w:val="28"/>
          <w:lang w:val="en-US"/>
        </w:rPr>
        <w:t>f</w:t>
      </w:r>
      <w:r w:rsidRPr="00CC3AD9">
        <w:rPr>
          <w:sz w:val="28"/>
          <w:lang w:val="en-US"/>
        </w:rPr>
        <w:t xml:space="preserve">inance: exchange (payment of bills for goods and services); distribution and redistribution (payment of taxes, dividends, subsidies, etc.). You can have money and do not have any relation to </w:t>
      </w:r>
      <w:r w:rsidR="00206F64">
        <w:rPr>
          <w:sz w:val="28"/>
          <w:lang w:val="en-US"/>
        </w:rPr>
        <w:t>f</w:t>
      </w:r>
      <w:r w:rsidRPr="00CC3AD9">
        <w:rPr>
          <w:sz w:val="28"/>
          <w:lang w:val="en-US"/>
        </w:rPr>
        <w:t xml:space="preserve">inance, and vice versa, with no money, just owning property, property rights, intellectual property rights, you can make investments, be a co-founder of the firm and </w:t>
      </w:r>
      <w:r w:rsidR="00FB1C63">
        <w:rPr>
          <w:sz w:val="28"/>
          <w:lang w:val="en-US"/>
        </w:rPr>
        <w:t xml:space="preserve">a </w:t>
      </w:r>
      <w:r w:rsidRPr="00CC3AD9">
        <w:rPr>
          <w:sz w:val="28"/>
          <w:lang w:val="en-US"/>
        </w:rPr>
        <w:t xml:space="preserve">participant of financial and economic activity of the company. So, money and money circulation significantly affect the financial position of individuals and businesses in particular and the state in general. It is impossible to stabilize the financial situation, </w:t>
      </w:r>
      <w:r w:rsidR="00FB1C63">
        <w:rPr>
          <w:sz w:val="28"/>
          <w:lang w:val="en-US"/>
        </w:rPr>
        <w:t>without</w:t>
      </w:r>
      <w:r w:rsidRPr="00CC3AD9">
        <w:rPr>
          <w:sz w:val="28"/>
          <w:lang w:val="en-US"/>
        </w:rPr>
        <w:t xml:space="preserve"> establishing normal cash flows.</w:t>
      </w:r>
    </w:p>
    <w:p w14:paraId="3F3FBF70" w14:textId="77777777" w:rsidR="00CC3AD9" w:rsidRPr="00CC3AD9" w:rsidRDefault="00CC3AD9" w:rsidP="00532F59">
      <w:pPr>
        <w:spacing w:line="312" w:lineRule="auto"/>
        <w:ind w:firstLine="709"/>
        <w:jc w:val="both"/>
        <w:rPr>
          <w:sz w:val="28"/>
          <w:lang w:val="en-US"/>
        </w:rPr>
      </w:pPr>
      <w:r w:rsidRPr="00CC3AD9">
        <w:rPr>
          <w:b/>
          <w:sz w:val="28"/>
          <w:lang w:val="en-US"/>
        </w:rPr>
        <w:t>Price</w:t>
      </w:r>
      <w:r w:rsidRPr="00CC3AD9">
        <w:rPr>
          <w:b/>
          <w:bCs/>
          <w:sz w:val="28"/>
          <w:lang w:val="en-US"/>
        </w:rPr>
        <w:t> </w:t>
      </w:r>
      <w:r w:rsidRPr="00CC3AD9">
        <w:rPr>
          <w:bCs/>
          <w:sz w:val="28"/>
          <w:lang w:val="en-US"/>
        </w:rPr>
        <w:t>is</w:t>
      </w:r>
      <w:r w:rsidRPr="00CC3AD9">
        <w:rPr>
          <w:sz w:val="28"/>
          <w:lang w:val="en-US"/>
        </w:rPr>
        <w:t xml:space="preserve"> a monetary expression of the value. Prices as </w:t>
      </w:r>
      <w:r w:rsidR="00206F64">
        <w:rPr>
          <w:sz w:val="28"/>
          <w:lang w:val="en-US"/>
        </w:rPr>
        <w:t>f</w:t>
      </w:r>
      <w:r w:rsidRPr="00CC3AD9">
        <w:rPr>
          <w:sz w:val="28"/>
          <w:lang w:val="en-US"/>
        </w:rPr>
        <w:t xml:space="preserve">inance make the distribution of GDP on the basis of supply and demand in the sales of goods and are formed on the basis of costs of production and sales, and profits. Price is a starting point for further distribution process and defines the parameters of money influence </w:t>
      </w:r>
      <w:r w:rsidR="00FB1C63">
        <w:rPr>
          <w:sz w:val="28"/>
          <w:lang w:val="en-US"/>
        </w:rPr>
        <w:t xml:space="preserve">upon </w:t>
      </w:r>
      <w:r w:rsidRPr="00CC3AD9">
        <w:rPr>
          <w:sz w:val="28"/>
          <w:lang w:val="en-US"/>
        </w:rPr>
        <w:t xml:space="preserve">all processes associated with the creation and use of the gross domestic product. But </w:t>
      </w:r>
      <w:r w:rsidR="00206F64">
        <w:rPr>
          <w:sz w:val="28"/>
          <w:lang w:val="en-US"/>
        </w:rPr>
        <w:t>f</w:t>
      </w:r>
      <w:r w:rsidRPr="00CC3AD9">
        <w:rPr>
          <w:sz w:val="28"/>
          <w:lang w:val="en-US"/>
        </w:rPr>
        <w:t>inance can affect both the absolute value of the price and its internal structure (by changing the depreciation deductions to the social insurance funds, the introduction of excise duty or VAT). </w:t>
      </w:r>
      <w:r w:rsidRPr="00CC3AD9">
        <w:rPr>
          <w:bCs/>
          <w:sz w:val="28"/>
          <w:lang w:val="en-US"/>
        </w:rPr>
        <w:t xml:space="preserve">The relationship of </w:t>
      </w:r>
      <w:r w:rsidR="00206F64">
        <w:rPr>
          <w:bCs/>
          <w:sz w:val="28"/>
          <w:lang w:val="en-US"/>
        </w:rPr>
        <w:t>f</w:t>
      </w:r>
      <w:r w:rsidRPr="00CC3AD9">
        <w:rPr>
          <w:bCs/>
          <w:sz w:val="28"/>
          <w:lang w:val="en-US"/>
        </w:rPr>
        <w:t>inance and the price</w:t>
      </w:r>
      <w:r w:rsidRPr="00CC3AD9">
        <w:rPr>
          <w:sz w:val="28"/>
          <w:lang w:val="en-US"/>
        </w:rPr>
        <w:t xml:space="preserve"> is that the price is the basis of financial cost distribution, therefore, </w:t>
      </w:r>
      <w:r w:rsidR="00206F64">
        <w:rPr>
          <w:sz w:val="28"/>
          <w:lang w:val="en-US"/>
        </w:rPr>
        <w:t>f</w:t>
      </w:r>
      <w:r w:rsidRPr="00CC3AD9">
        <w:rPr>
          <w:sz w:val="28"/>
          <w:lang w:val="en-US"/>
        </w:rPr>
        <w:t xml:space="preserve">inance, based on the proportions of distribution that </w:t>
      </w:r>
      <w:r w:rsidR="00FB1C63">
        <w:rPr>
          <w:sz w:val="28"/>
          <w:lang w:val="en-US"/>
        </w:rPr>
        <w:t xml:space="preserve">is </w:t>
      </w:r>
      <w:r w:rsidRPr="00CC3AD9">
        <w:rPr>
          <w:sz w:val="28"/>
          <w:lang w:val="en-US"/>
        </w:rPr>
        <w:t xml:space="preserve">formed under the influence of </w:t>
      </w:r>
      <w:r w:rsidR="00FB1C63">
        <w:rPr>
          <w:sz w:val="28"/>
          <w:lang w:val="en-US"/>
        </w:rPr>
        <w:t xml:space="preserve">the </w:t>
      </w:r>
      <w:r w:rsidRPr="00CC3AD9">
        <w:rPr>
          <w:sz w:val="28"/>
          <w:lang w:val="en-US"/>
        </w:rPr>
        <w:t>prices</w:t>
      </w:r>
      <w:r w:rsidR="00FB1C63">
        <w:rPr>
          <w:sz w:val="28"/>
          <w:lang w:val="en-US"/>
        </w:rPr>
        <w:t>, that is</w:t>
      </w:r>
      <w:r w:rsidRPr="00CC3AD9">
        <w:rPr>
          <w:sz w:val="28"/>
          <w:lang w:val="en-US"/>
        </w:rPr>
        <w:t xml:space="preserve"> a tool that implements money distribution.</w:t>
      </w:r>
    </w:p>
    <w:p w14:paraId="0B9FF80B" w14:textId="77777777" w:rsidR="00CC3AD9" w:rsidRPr="00CC3AD9" w:rsidRDefault="00CC3AD9" w:rsidP="00532F59">
      <w:pPr>
        <w:spacing w:line="312" w:lineRule="auto"/>
        <w:ind w:firstLine="709"/>
        <w:jc w:val="both"/>
        <w:rPr>
          <w:sz w:val="28"/>
          <w:lang w:val="en-US"/>
        </w:rPr>
      </w:pPr>
      <w:r w:rsidRPr="00CC3AD9">
        <w:rPr>
          <w:b/>
          <w:bCs/>
          <w:sz w:val="28"/>
          <w:lang w:val="en-US"/>
        </w:rPr>
        <w:lastRenderedPageBreak/>
        <w:t>Wages</w:t>
      </w:r>
      <w:r w:rsidRPr="00CC3AD9">
        <w:rPr>
          <w:sz w:val="28"/>
          <w:lang w:val="en-US"/>
        </w:rPr>
        <w:t> are the monetary expression of labor cost. </w:t>
      </w:r>
      <w:r w:rsidRPr="00CC3AD9">
        <w:rPr>
          <w:bCs/>
          <w:sz w:val="28"/>
          <w:lang w:val="en-US"/>
        </w:rPr>
        <w:t xml:space="preserve">The relationship </w:t>
      </w:r>
      <w:r w:rsidR="00FB1C63">
        <w:rPr>
          <w:bCs/>
          <w:sz w:val="28"/>
          <w:lang w:val="en-US"/>
        </w:rPr>
        <w:t>between</w:t>
      </w:r>
      <w:r w:rsidRPr="00CC3AD9">
        <w:rPr>
          <w:bCs/>
          <w:sz w:val="28"/>
          <w:lang w:val="en-US"/>
        </w:rPr>
        <w:t xml:space="preserve"> </w:t>
      </w:r>
      <w:r w:rsidR="00206F64">
        <w:rPr>
          <w:bCs/>
          <w:sz w:val="28"/>
          <w:lang w:val="en-US"/>
        </w:rPr>
        <w:t>f</w:t>
      </w:r>
      <w:r w:rsidRPr="00CC3AD9">
        <w:rPr>
          <w:bCs/>
          <w:sz w:val="28"/>
          <w:lang w:val="en-US"/>
        </w:rPr>
        <w:t>inance and wages</w:t>
      </w:r>
      <w:r w:rsidRPr="00CC3AD9">
        <w:rPr>
          <w:sz w:val="28"/>
          <w:lang w:val="en-US"/>
        </w:rPr>
        <w:t> </w:t>
      </w:r>
      <w:r w:rsidR="00FB1C63">
        <w:rPr>
          <w:sz w:val="28"/>
          <w:lang w:val="en-US"/>
        </w:rPr>
        <w:t>appears</w:t>
      </w:r>
      <w:r w:rsidRPr="00CC3AD9">
        <w:rPr>
          <w:sz w:val="28"/>
          <w:lang w:val="en-US"/>
        </w:rPr>
        <w:t xml:space="preserve"> when a company forms </w:t>
      </w:r>
      <w:r w:rsidR="00FB1C63">
        <w:rPr>
          <w:sz w:val="28"/>
          <w:lang w:val="en-US"/>
        </w:rPr>
        <w:t xml:space="preserve">the </w:t>
      </w:r>
      <w:r w:rsidR="00FB1C63" w:rsidRPr="00CC3AD9">
        <w:rPr>
          <w:sz w:val="28"/>
          <w:lang w:val="en-US"/>
        </w:rPr>
        <w:t xml:space="preserve">fund of </w:t>
      </w:r>
      <w:r w:rsidRPr="00CC3AD9">
        <w:rPr>
          <w:sz w:val="28"/>
          <w:lang w:val="en-US"/>
        </w:rPr>
        <w:t xml:space="preserve">financial resources </w:t>
      </w:r>
      <w:r w:rsidR="00FB1C63">
        <w:rPr>
          <w:sz w:val="28"/>
          <w:lang w:val="en-US"/>
        </w:rPr>
        <w:t>–</w:t>
      </w:r>
      <w:r w:rsidRPr="00CC3AD9">
        <w:rPr>
          <w:sz w:val="28"/>
          <w:lang w:val="en-US"/>
        </w:rPr>
        <w:t xml:space="preserve">wages </w:t>
      </w:r>
      <w:r w:rsidR="00FB1C63">
        <w:rPr>
          <w:sz w:val="28"/>
          <w:lang w:val="en-US"/>
        </w:rPr>
        <w:t xml:space="preserve">fund – </w:t>
      </w:r>
      <w:r w:rsidRPr="00CC3AD9">
        <w:rPr>
          <w:sz w:val="28"/>
          <w:lang w:val="en-US"/>
        </w:rPr>
        <w:t xml:space="preserve">that is separate from other money funds. On the other hand, wages, which charges do not coincide with </w:t>
      </w:r>
      <w:r w:rsidR="00FB1C63">
        <w:rPr>
          <w:sz w:val="28"/>
          <w:lang w:val="en-US"/>
        </w:rPr>
        <w:t>their</w:t>
      </w:r>
      <w:r w:rsidRPr="00CC3AD9">
        <w:rPr>
          <w:sz w:val="28"/>
          <w:lang w:val="en-US"/>
        </w:rPr>
        <w:t xml:space="preserve"> payments in time, are the source of formation of financial resources in the form of stable liabilities. In addition, receiving of wages indicates that </w:t>
      </w:r>
      <w:r w:rsidR="00FB1C63">
        <w:rPr>
          <w:sz w:val="28"/>
          <w:lang w:val="en-US"/>
        </w:rPr>
        <w:t xml:space="preserve">an </w:t>
      </w:r>
      <w:r w:rsidRPr="00CC3AD9">
        <w:rPr>
          <w:sz w:val="28"/>
          <w:lang w:val="en-US"/>
        </w:rPr>
        <w:t>exchange took place. Meanwhile, workers use their salaries not only for exchange of essential commodities but also on the creation of money funds for the purchase of durable goods,</w:t>
      </w:r>
      <w:r w:rsidR="00614217">
        <w:rPr>
          <w:sz w:val="28"/>
          <w:lang w:val="en-US"/>
        </w:rPr>
        <w:t xml:space="preserve"> and</w:t>
      </w:r>
      <w:r w:rsidRPr="00CC3AD9">
        <w:rPr>
          <w:sz w:val="28"/>
          <w:lang w:val="en-US"/>
        </w:rPr>
        <w:t xml:space="preserve"> securities to generate income. Finance and wages are in constant interaction: the state regulates salaries through taxes, creating money funds to stimulate the development of certain activities by providing grants and other forms of financial stimulation.</w:t>
      </w:r>
    </w:p>
    <w:p w14:paraId="12FB74FF" w14:textId="77777777" w:rsidR="00CC3AD9" w:rsidRPr="00CC3AD9" w:rsidRDefault="00CC3AD9" w:rsidP="00532F59">
      <w:pPr>
        <w:spacing w:line="312" w:lineRule="auto"/>
        <w:ind w:firstLine="709"/>
        <w:jc w:val="both"/>
        <w:rPr>
          <w:sz w:val="28"/>
          <w:lang w:val="en-US"/>
        </w:rPr>
      </w:pPr>
      <w:r w:rsidRPr="00CC3AD9">
        <w:rPr>
          <w:b/>
          <w:sz w:val="28"/>
          <w:lang w:val="en-US"/>
        </w:rPr>
        <w:t>Credit</w:t>
      </w:r>
      <w:r w:rsidRPr="00CC3AD9">
        <w:rPr>
          <w:b/>
          <w:bCs/>
          <w:sz w:val="28"/>
          <w:lang w:val="en-US"/>
        </w:rPr>
        <w:t> </w:t>
      </w:r>
      <w:r w:rsidRPr="00CC3AD9">
        <w:rPr>
          <w:bCs/>
          <w:sz w:val="28"/>
          <w:lang w:val="en-US"/>
        </w:rPr>
        <w:t>is a</w:t>
      </w:r>
      <w:r w:rsidRPr="00CC3AD9">
        <w:rPr>
          <w:sz w:val="28"/>
          <w:lang w:val="en-US"/>
        </w:rPr>
        <w:t> system of economic relations according to the movement of loan value on the basis of payment, maturity, repayment, intended use, and security. Finance and credit have the same economic nature</w:t>
      </w:r>
      <w:r w:rsidR="00B725BF">
        <w:rPr>
          <w:sz w:val="28"/>
          <w:lang w:val="en-US"/>
        </w:rPr>
        <w:t>,</w:t>
      </w:r>
      <w:r w:rsidRPr="00CC3AD9">
        <w:rPr>
          <w:sz w:val="28"/>
          <w:lang w:val="en-US"/>
        </w:rPr>
        <w:t xml:space="preserve"> while </w:t>
      </w:r>
      <w:r w:rsidR="00206F64">
        <w:rPr>
          <w:sz w:val="28"/>
          <w:lang w:val="en-US"/>
        </w:rPr>
        <w:t>f</w:t>
      </w:r>
      <w:r w:rsidRPr="00CC3AD9">
        <w:rPr>
          <w:sz w:val="28"/>
          <w:lang w:val="en-US"/>
        </w:rPr>
        <w:t>inance is a distributive and redistributive category, but credit is an only redistributive category. Finance set the stage for the functioning of credit, credit loans act as a kind of financial resources. </w:t>
      </w:r>
      <w:r w:rsidRPr="00CC3AD9">
        <w:rPr>
          <w:bCs/>
          <w:sz w:val="28"/>
          <w:lang w:val="en-US"/>
        </w:rPr>
        <w:t>The relationships of finance and credit</w:t>
      </w:r>
      <w:r w:rsidRPr="00CC3AD9">
        <w:rPr>
          <w:sz w:val="28"/>
          <w:lang w:val="en-US"/>
        </w:rPr>
        <w:t> are reflected in their integrated use of funds and their promotion of production efficiency: when it is a shortage of financial resources, company involves loans, on the contrary</w:t>
      </w:r>
      <w:r w:rsidRPr="00CC3AD9">
        <w:rPr>
          <w:sz w:val="28"/>
        </w:rPr>
        <w:t xml:space="preserve">, </w:t>
      </w:r>
      <w:r w:rsidRPr="00CC3AD9">
        <w:rPr>
          <w:sz w:val="28"/>
          <w:lang w:val="en-US"/>
        </w:rPr>
        <w:t>when it is a surplus of financial resources</w:t>
      </w:r>
      <w:r w:rsidR="00B725BF">
        <w:rPr>
          <w:sz w:val="28"/>
          <w:lang w:val="en-US"/>
        </w:rPr>
        <w:t>,</w:t>
      </w:r>
      <w:r w:rsidRPr="00CC3AD9">
        <w:rPr>
          <w:sz w:val="28"/>
          <w:lang w:val="en-US"/>
        </w:rPr>
        <w:t xml:space="preserve"> company can put temporarily free funds use as loans to other individuals (make deposits). However, credit is given to the borrower for a specified period and based on repayment contract, while </w:t>
      </w:r>
      <w:r w:rsidR="00206F64">
        <w:rPr>
          <w:sz w:val="28"/>
          <w:lang w:val="en-US"/>
        </w:rPr>
        <w:t>f</w:t>
      </w:r>
      <w:r w:rsidRPr="00CC3AD9">
        <w:rPr>
          <w:sz w:val="28"/>
          <w:lang w:val="en-US"/>
        </w:rPr>
        <w:t>inance has an irreversible character.</w:t>
      </w:r>
    </w:p>
    <w:p w14:paraId="53C41A8D" w14:textId="77777777" w:rsidR="00CC3AD9" w:rsidRPr="00CC3AD9" w:rsidRDefault="00CC3AD9" w:rsidP="00532F59">
      <w:pPr>
        <w:spacing w:line="312" w:lineRule="auto"/>
        <w:ind w:firstLine="709"/>
        <w:jc w:val="both"/>
        <w:rPr>
          <w:sz w:val="28"/>
          <w:lang w:val="en-US"/>
        </w:rPr>
      </w:pPr>
      <w:r w:rsidRPr="00CC3AD9">
        <w:rPr>
          <w:sz w:val="28"/>
          <w:lang w:val="en-US"/>
        </w:rPr>
        <w:t xml:space="preserve">Distribution and redistribution of gross domestic product can be carried out with different models of financial relations in </w:t>
      </w:r>
      <w:r w:rsidR="00B725BF">
        <w:rPr>
          <w:sz w:val="28"/>
          <w:lang w:val="en-US"/>
        </w:rPr>
        <w:t xml:space="preserve">the </w:t>
      </w:r>
      <w:r w:rsidRPr="00CC3AD9">
        <w:rPr>
          <w:sz w:val="28"/>
          <w:lang w:val="en-US"/>
        </w:rPr>
        <w:t xml:space="preserve">society. The basis for the financial model of </w:t>
      </w:r>
      <w:r w:rsidR="00B725BF">
        <w:rPr>
          <w:sz w:val="28"/>
          <w:lang w:val="en-US"/>
        </w:rPr>
        <w:t xml:space="preserve">the </w:t>
      </w:r>
      <w:r w:rsidRPr="00CC3AD9">
        <w:rPr>
          <w:sz w:val="28"/>
          <w:lang w:val="en-US"/>
        </w:rPr>
        <w:t xml:space="preserve">society is the role and place of the state in it. Therefore, the model of financial relations differs according to two features: (i) the sequence of GDP distribution, and (ii) the level of GDP centralization by the state. </w:t>
      </w:r>
    </w:p>
    <w:p w14:paraId="253B6ABE" w14:textId="77777777" w:rsidR="00CC3AD9" w:rsidRPr="00CC3AD9" w:rsidRDefault="00CC3AD9" w:rsidP="00532F59">
      <w:pPr>
        <w:spacing w:line="312" w:lineRule="auto"/>
        <w:ind w:firstLine="709"/>
        <w:jc w:val="both"/>
        <w:rPr>
          <w:sz w:val="28"/>
          <w:lang w:val="en-US"/>
        </w:rPr>
      </w:pPr>
      <w:r w:rsidRPr="00CC3AD9">
        <w:rPr>
          <w:sz w:val="28"/>
          <w:lang w:val="en-US"/>
        </w:rPr>
        <w:t xml:space="preserve">According to the sequence of GDP distribution, there are two financial models’ relations – </w:t>
      </w:r>
      <w:r w:rsidRPr="00CC3AD9">
        <w:rPr>
          <w:b/>
          <w:sz w:val="28"/>
          <w:lang w:val="en-US"/>
        </w:rPr>
        <w:t>administrative</w:t>
      </w:r>
      <w:r w:rsidRPr="00CC3AD9">
        <w:rPr>
          <w:sz w:val="28"/>
          <w:lang w:val="en-US"/>
        </w:rPr>
        <w:t xml:space="preserve"> and </w:t>
      </w:r>
      <w:r w:rsidRPr="00CC3AD9">
        <w:rPr>
          <w:b/>
          <w:sz w:val="28"/>
          <w:lang w:val="en-US"/>
        </w:rPr>
        <w:t>market</w:t>
      </w:r>
      <w:r w:rsidRPr="00CC3AD9">
        <w:rPr>
          <w:sz w:val="28"/>
          <w:lang w:val="en-US"/>
        </w:rPr>
        <w:t>.</w:t>
      </w:r>
    </w:p>
    <w:p w14:paraId="737AB47E" w14:textId="77777777" w:rsidR="00CC3AD9" w:rsidRPr="00CC3AD9" w:rsidRDefault="00CC3AD9" w:rsidP="00532F59">
      <w:pPr>
        <w:spacing w:line="312" w:lineRule="auto"/>
        <w:ind w:firstLine="709"/>
        <w:jc w:val="both"/>
        <w:rPr>
          <w:sz w:val="28"/>
          <w:lang w:val="en-US"/>
        </w:rPr>
      </w:pPr>
      <w:r w:rsidRPr="00CC3AD9">
        <w:rPr>
          <w:sz w:val="28"/>
          <w:lang w:val="en-US"/>
        </w:rPr>
        <w:t xml:space="preserve">The </w:t>
      </w:r>
      <w:r w:rsidRPr="00CC3AD9">
        <w:rPr>
          <w:b/>
          <w:sz w:val="28"/>
          <w:lang w:val="en-US"/>
        </w:rPr>
        <w:t>administrative model of financial relations</w:t>
      </w:r>
      <w:r w:rsidRPr="00CC3AD9">
        <w:rPr>
          <w:sz w:val="28"/>
          <w:lang w:val="en-US"/>
        </w:rPr>
        <w:t xml:space="preserve"> is based on the right of the state to concentrate and centralize the major part of GDP in a budget in the form of sales tax and a portion of profits. Part of the profit, the amount of which depends on the views of state’s authorities</w:t>
      </w:r>
      <w:r w:rsidR="00B725BF">
        <w:rPr>
          <w:sz w:val="28"/>
          <w:lang w:val="en-US"/>
        </w:rPr>
        <w:t>,</w:t>
      </w:r>
      <w:r w:rsidRPr="00CC3AD9">
        <w:rPr>
          <w:sz w:val="28"/>
          <w:lang w:val="en-US"/>
        </w:rPr>
        <w:t xml:space="preserve"> remains in the company and is paid to workers in the </w:t>
      </w:r>
      <w:r w:rsidRPr="00CC3AD9">
        <w:rPr>
          <w:sz w:val="28"/>
          <w:lang w:val="en-US"/>
        </w:rPr>
        <w:lastRenderedPageBreak/>
        <w:t xml:space="preserve">form of wages. Administrative model of financial relations was used in the former Soviet Union and other socialist countries. The characteristic feature of this model is that </w:t>
      </w:r>
      <w:r w:rsidR="00B725BF" w:rsidRPr="00CC3AD9">
        <w:rPr>
          <w:sz w:val="28"/>
          <w:lang w:val="en-US"/>
        </w:rPr>
        <w:t xml:space="preserve">the state receives </w:t>
      </w:r>
      <w:r w:rsidRPr="00CC3AD9">
        <w:rPr>
          <w:sz w:val="28"/>
          <w:lang w:val="en-US"/>
        </w:rPr>
        <w:t>the bulk of its revenue in the process of primary distribution of GDP. </w:t>
      </w:r>
    </w:p>
    <w:p w14:paraId="456B2BD3" w14:textId="77777777" w:rsidR="00CC3AD9" w:rsidRPr="00CC3AD9" w:rsidRDefault="00CC3AD9" w:rsidP="00532F59">
      <w:pPr>
        <w:spacing w:line="312" w:lineRule="auto"/>
        <w:ind w:firstLine="709"/>
        <w:jc w:val="both"/>
        <w:rPr>
          <w:sz w:val="28"/>
          <w:lang w:val="en-US"/>
        </w:rPr>
      </w:pPr>
      <w:r w:rsidRPr="00CC3AD9">
        <w:rPr>
          <w:sz w:val="28"/>
          <w:lang w:val="en-US"/>
        </w:rPr>
        <w:t xml:space="preserve">The essence of the </w:t>
      </w:r>
      <w:r w:rsidRPr="00CC3AD9">
        <w:rPr>
          <w:b/>
          <w:sz w:val="28"/>
          <w:lang w:val="en-US"/>
        </w:rPr>
        <w:t>market model of financial relations</w:t>
      </w:r>
      <w:r w:rsidRPr="00CC3AD9">
        <w:rPr>
          <w:sz w:val="28"/>
          <w:lang w:val="en-US"/>
        </w:rPr>
        <w:t xml:space="preserve"> is that firstly realized the value of GDP </w:t>
      </w:r>
      <w:r w:rsidR="00B725BF">
        <w:rPr>
          <w:sz w:val="28"/>
          <w:lang w:val="en-US"/>
        </w:rPr>
        <w:t xml:space="preserve">is </w:t>
      </w:r>
      <w:r w:rsidRPr="00CC3AD9">
        <w:rPr>
          <w:sz w:val="28"/>
          <w:lang w:val="en-US"/>
        </w:rPr>
        <w:t>di</w:t>
      </w:r>
      <w:r w:rsidR="00B725BF">
        <w:rPr>
          <w:sz w:val="28"/>
          <w:lang w:val="en-US"/>
        </w:rPr>
        <w:t>vided between those individuals</w:t>
      </w:r>
      <w:r w:rsidRPr="00CC3AD9">
        <w:rPr>
          <w:sz w:val="28"/>
          <w:lang w:val="en-US"/>
        </w:rPr>
        <w:t xml:space="preserve"> who are engaged in its creation: business owners (profit), workers and employees (wages). A characteristic feature of the model is that the state gets its revenue from redistribution of the GDP (taxation). Unlike administrative, market model is open and reflects the realities of the society:  reflects revenue level of any individuals; determines the level of taxation; fixes incentives for revenue growth based on production growth and increased productivity.</w:t>
      </w:r>
    </w:p>
    <w:p w14:paraId="3B7D26A1" w14:textId="77777777" w:rsidR="00CC3AD9" w:rsidRPr="00CC3AD9" w:rsidRDefault="00CC3AD9" w:rsidP="00532F59">
      <w:pPr>
        <w:spacing w:line="312" w:lineRule="auto"/>
        <w:ind w:firstLine="709"/>
        <w:jc w:val="both"/>
        <w:rPr>
          <w:sz w:val="28"/>
          <w:lang w:val="en-US"/>
        </w:rPr>
      </w:pPr>
      <w:r w:rsidRPr="00CC3AD9">
        <w:rPr>
          <w:sz w:val="28"/>
          <w:lang w:val="en-US"/>
        </w:rPr>
        <w:t>However, the selection of these models is quite conditional. Market economy model has elements of state participation in the primary distribution via indirect taxes. The model of the administrative economy also includes elements of redistribution. Thus, the difference between models is primarily in different proportions. In the market model, the state is dominated in redistribution of GDP and in administrative model – government interferences in its initial allocation and distribution.</w:t>
      </w:r>
    </w:p>
    <w:p w14:paraId="4B3FB452" w14:textId="77777777" w:rsidR="00CC3AD9" w:rsidRPr="00CC3AD9" w:rsidRDefault="00CC3AD9" w:rsidP="00532F59">
      <w:pPr>
        <w:spacing w:line="312" w:lineRule="auto"/>
        <w:ind w:firstLine="709"/>
        <w:jc w:val="both"/>
        <w:rPr>
          <w:sz w:val="28"/>
          <w:lang w:val="en-US"/>
        </w:rPr>
      </w:pPr>
      <w:r w:rsidRPr="00CC3AD9">
        <w:rPr>
          <w:sz w:val="28"/>
          <w:lang w:val="en-US"/>
        </w:rPr>
        <w:t xml:space="preserve">According to the level of GDP centralization by the state within the financial models of the market economy are used three models: </w:t>
      </w:r>
      <w:r w:rsidRPr="00CC3AD9">
        <w:rPr>
          <w:b/>
          <w:sz w:val="28"/>
          <w:lang w:val="en-US"/>
        </w:rPr>
        <w:t>American, European, and Scandinavian</w:t>
      </w:r>
      <w:r w:rsidRPr="00CC3AD9">
        <w:rPr>
          <w:sz w:val="28"/>
          <w:lang w:val="en-US"/>
        </w:rPr>
        <w:t>. The American model is based on the maximum level of self-financing of individuals. It is characterized by low level of fiscal centralization (about 25</w:t>
      </w:r>
      <w:r w:rsidR="00B725BF" w:rsidRPr="00CC3AD9">
        <w:rPr>
          <w:sz w:val="28"/>
          <w:lang w:val="en-US"/>
        </w:rPr>
        <w:t>–</w:t>
      </w:r>
      <w:r w:rsidRPr="00CC3AD9">
        <w:rPr>
          <w:sz w:val="28"/>
          <w:lang w:val="en-US"/>
        </w:rPr>
        <w:t>30</w:t>
      </w:r>
      <w:r w:rsidR="00B725BF">
        <w:rPr>
          <w:sz w:val="28"/>
          <w:lang w:val="en-US"/>
        </w:rPr>
        <w:t xml:space="preserve"> </w:t>
      </w:r>
      <w:r w:rsidRPr="00CC3AD9">
        <w:rPr>
          <w:sz w:val="28"/>
          <w:lang w:val="en-US"/>
        </w:rPr>
        <w:t xml:space="preserve">%). Financial intervention in the economy is minimal. This model provides maximum financial stimulation. </w:t>
      </w:r>
      <w:r w:rsidR="00B725BF">
        <w:rPr>
          <w:sz w:val="28"/>
          <w:lang w:val="en-US"/>
        </w:rPr>
        <w:t xml:space="preserve">The </w:t>
      </w:r>
      <w:r w:rsidRPr="00CC3AD9">
        <w:rPr>
          <w:sz w:val="28"/>
          <w:lang w:val="en-US"/>
        </w:rPr>
        <w:t xml:space="preserve">European </w:t>
      </w:r>
      <w:r w:rsidR="00B725BF">
        <w:rPr>
          <w:sz w:val="28"/>
          <w:lang w:val="en-US"/>
        </w:rPr>
        <w:t xml:space="preserve">model </w:t>
      </w:r>
      <w:r w:rsidRPr="00CC3AD9">
        <w:rPr>
          <w:sz w:val="28"/>
          <w:lang w:val="en-US"/>
        </w:rPr>
        <w:t>is characterized by moderate GDP’s level of budget centralization (about 35</w:t>
      </w:r>
      <w:r w:rsidR="00B725BF" w:rsidRPr="00CC3AD9">
        <w:rPr>
          <w:sz w:val="28"/>
          <w:lang w:val="en-US"/>
        </w:rPr>
        <w:t>–</w:t>
      </w:r>
      <w:r w:rsidRPr="00CC3AD9">
        <w:rPr>
          <w:sz w:val="28"/>
          <w:lang w:val="en-US"/>
        </w:rPr>
        <w:t>45</w:t>
      </w:r>
      <w:r w:rsidR="00B725BF">
        <w:rPr>
          <w:sz w:val="28"/>
          <w:lang w:val="en-US"/>
        </w:rPr>
        <w:t xml:space="preserve"> </w:t>
      </w:r>
      <w:r w:rsidRPr="00CC3AD9">
        <w:rPr>
          <w:sz w:val="28"/>
          <w:lang w:val="en-US"/>
        </w:rPr>
        <w:t xml:space="preserve">%). Countries with such model have more extensive state social sphere and social guaranties. The state can stimulate companies’ growth with budget expenditures on any economical projects. </w:t>
      </w:r>
      <w:r w:rsidR="00B725BF">
        <w:rPr>
          <w:sz w:val="28"/>
          <w:lang w:val="en-US"/>
        </w:rPr>
        <w:t xml:space="preserve">The </w:t>
      </w:r>
      <w:r w:rsidRPr="00CC3AD9">
        <w:rPr>
          <w:sz w:val="28"/>
          <w:lang w:val="en-US"/>
        </w:rPr>
        <w:t xml:space="preserve">Scandinavian </w:t>
      </w:r>
      <w:r w:rsidR="008A453E">
        <w:rPr>
          <w:sz w:val="28"/>
          <w:lang w:val="en-US"/>
        </w:rPr>
        <w:t>model</w:t>
      </w:r>
      <w:r w:rsidRPr="00CC3AD9">
        <w:rPr>
          <w:sz w:val="28"/>
          <w:lang w:val="en-US"/>
        </w:rPr>
        <w:t xml:space="preserve"> provides a high level of GDP’s level of budget centralization (about 50</w:t>
      </w:r>
      <w:r w:rsidR="00B725BF" w:rsidRPr="00CC3AD9">
        <w:rPr>
          <w:sz w:val="28"/>
          <w:lang w:val="en-US"/>
        </w:rPr>
        <w:t>–</w:t>
      </w:r>
      <w:r w:rsidRPr="00CC3AD9">
        <w:rPr>
          <w:sz w:val="28"/>
          <w:lang w:val="en-US"/>
        </w:rPr>
        <w:t>60</w:t>
      </w:r>
      <w:r w:rsidR="00B725BF">
        <w:rPr>
          <w:sz w:val="28"/>
          <w:lang w:val="en-US"/>
        </w:rPr>
        <w:t xml:space="preserve"> </w:t>
      </w:r>
      <w:r w:rsidRPr="00CC3AD9">
        <w:rPr>
          <w:sz w:val="28"/>
          <w:lang w:val="en-US"/>
        </w:rPr>
        <w:t>%). Accordingly, it is characterized by very extensive government social guarantees in spheres of education and health care. This model creates a climate of confidence and social balance. However, this model is possible in countries with a high level of GDP per capita, high level of public and private consumption; high level of culture and consciousness of the people, the appropriate attitude to work and respect to the state.</w:t>
      </w:r>
    </w:p>
    <w:p w14:paraId="65F592B7" w14:textId="77777777" w:rsidR="00CC3AD9" w:rsidRPr="00CC3AD9" w:rsidRDefault="00CC3AD9" w:rsidP="00532F59">
      <w:pPr>
        <w:spacing w:line="312" w:lineRule="auto"/>
        <w:ind w:firstLine="709"/>
        <w:jc w:val="both"/>
        <w:rPr>
          <w:sz w:val="28"/>
          <w:lang w:val="en-US"/>
        </w:rPr>
      </w:pPr>
      <w:r w:rsidRPr="00CC3AD9">
        <w:rPr>
          <w:sz w:val="28"/>
          <w:lang w:val="en-US"/>
        </w:rPr>
        <w:lastRenderedPageBreak/>
        <w:t xml:space="preserve">Overall, </w:t>
      </w:r>
      <w:r w:rsidR="00B725BF">
        <w:rPr>
          <w:sz w:val="28"/>
          <w:lang w:val="en-US"/>
        </w:rPr>
        <w:t xml:space="preserve">the choice </w:t>
      </w:r>
      <w:r w:rsidRPr="00CC3AD9">
        <w:rPr>
          <w:sz w:val="28"/>
          <w:lang w:val="en-US"/>
        </w:rPr>
        <w:t>of the model of financial relations depends on historical background and traditions of the country, the level of civil society development, a character of international connections, etc.</w:t>
      </w:r>
    </w:p>
    <w:p w14:paraId="190A6A06" w14:textId="77777777" w:rsidR="00BE42A0" w:rsidRPr="00775A57" w:rsidRDefault="007557BC" w:rsidP="00F114E2">
      <w:pPr>
        <w:pStyle w:val="end2"/>
        <w:rPr>
          <w:szCs w:val="28"/>
        </w:rPr>
      </w:pPr>
      <w:r>
        <w:rPr>
          <w:szCs w:val="28"/>
        </w:rPr>
        <w:t>RECOMMENDED READING</w:t>
      </w:r>
      <w:r w:rsidR="00BE42A0" w:rsidRPr="00775A57">
        <w:rPr>
          <w:szCs w:val="28"/>
        </w:rPr>
        <w:t xml:space="preserve"> </w:t>
      </w:r>
    </w:p>
    <w:p w14:paraId="3F921F1A" w14:textId="77777777" w:rsidR="0059570F" w:rsidRPr="004B4CB5" w:rsidRDefault="0059570F" w:rsidP="006F749C">
      <w:pPr>
        <w:pStyle w:val="ListParagraph"/>
        <w:numPr>
          <w:ilvl w:val="0"/>
          <w:numId w:val="268"/>
        </w:numPr>
        <w:spacing w:after="0" w:line="240" w:lineRule="atLeast"/>
        <w:ind w:left="284" w:hanging="284"/>
        <w:jc w:val="both"/>
        <w:rPr>
          <w:rFonts w:ascii="Garamond" w:hAnsi="Garamond"/>
          <w:color w:val="000000" w:themeColor="text1"/>
          <w:szCs w:val="28"/>
          <w:lang w:val="en-US"/>
        </w:rPr>
      </w:pPr>
      <w:r w:rsidRPr="004B4CB5">
        <w:rPr>
          <w:rFonts w:ascii="Garamond" w:hAnsi="Garamond"/>
          <w:color w:val="000000" w:themeColor="text1"/>
          <w:szCs w:val="28"/>
          <w:lang w:val="en-US"/>
        </w:rPr>
        <w:t>Chang, S. J., 2005,</w:t>
      </w:r>
      <w:r w:rsidR="00715FD4" w:rsidRPr="004B4CB5">
        <w:rPr>
          <w:rFonts w:ascii="Garamond" w:hAnsi="Garamond"/>
          <w:color w:val="000000" w:themeColor="text1"/>
          <w:szCs w:val="28"/>
          <w:lang w:val="en-US"/>
        </w:rPr>
        <w:t xml:space="preserve"> A Theoretical Discussion on Financial Theory: What Should We Teach and How? </w:t>
      </w:r>
      <w:r w:rsidR="00715FD4" w:rsidRPr="004B4CB5">
        <w:rPr>
          <w:rFonts w:ascii="Garamond" w:hAnsi="Garamond"/>
          <w:i/>
          <w:color w:val="000000" w:themeColor="text1"/>
          <w:szCs w:val="28"/>
          <w:lang w:val="en-US"/>
        </w:rPr>
        <w:t>Journal of Economics and Finance Education,</w:t>
      </w:r>
      <w:r w:rsidR="00715FD4" w:rsidRPr="004B4CB5">
        <w:rPr>
          <w:rFonts w:ascii="Garamond" w:hAnsi="Garamond"/>
          <w:color w:val="000000" w:themeColor="text1"/>
          <w:szCs w:val="28"/>
          <w:lang w:val="en-US"/>
        </w:rPr>
        <w:t xml:space="preserve"> </w:t>
      </w:r>
      <w:r w:rsidRPr="004B4CB5">
        <w:rPr>
          <w:rFonts w:ascii="Garamond" w:hAnsi="Garamond"/>
          <w:color w:val="000000" w:themeColor="text1"/>
          <w:szCs w:val="28"/>
          <w:lang w:val="en-US"/>
        </w:rPr>
        <w:t xml:space="preserve">Vol. </w:t>
      </w:r>
      <w:r w:rsidR="00715FD4" w:rsidRPr="004B4CB5">
        <w:rPr>
          <w:rFonts w:ascii="Garamond" w:hAnsi="Garamond"/>
          <w:color w:val="000000" w:themeColor="text1"/>
          <w:szCs w:val="28"/>
          <w:lang w:val="en-US"/>
        </w:rPr>
        <w:t>4(2), 39</w:t>
      </w:r>
      <w:r w:rsidRPr="004B4CB5">
        <w:rPr>
          <w:rFonts w:ascii="Garamond" w:hAnsi="Garamond"/>
          <w:lang w:val="en-US"/>
        </w:rPr>
        <w:t>–</w:t>
      </w:r>
      <w:r w:rsidR="00715FD4" w:rsidRPr="004B4CB5">
        <w:rPr>
          <w:rFonts w:ascii="Garamond" w:hAnsi="Garamond"/>
          <w:color w:val="000000" w:themeColor="text1"/>
          <w:szCs w:val="28"/>
          <w:lang w:val="en-US"/>
        </w:rPr>
        <w:t>48.</w:t>
      </w:r>
    </w:p>
    <w:p w14:paraId="63C007C1" w14:textId="77777777" w:rsidR="0059570F" w:rsidRPr="004B4CB5" w:rsidRDefault="00715FD4" w:rsidP="006F749C">
      <w:pPr>
        <w:pStyle w:val="ListParagraph"/>
        <w:numPr>
          <w:ilvl w:val="0"/>
          <w:numId w:val="268"/>
        </w:numPr>
        <w:spacing w:after="0" w:line="240" w:lineRule="atLeast"/>
        <w:ind w:left="284" w:hanging="284"/>
        <w:jc w:val="both"/>
        <w:rPr>
          <w:rFonts w:ascii="Garamond" w:hAnsi="Garamond"/>
          <w:color w:val="000000" w:themeColor="text1"/>
          <w:szCs w:val="28"/>
          <w:lang w:val="en-US"/>
        </w:rPr>
      </w:pPr>
      <w:r w:rsidRPr="004B4CB5">
        <w:rPr>
          <w:rFonts w:ascii="Garamond" w:hAnsi="Garamond"/>
          <w:i/>
          <w:color w:val="000000" w:themeColor="text1"/>
          <w:szCs w:val="28"/>
          <w:lang w:val="en-US"/>
        </w:rPr>
        <w:t>Dictionary of Finance and Banking</w:t>
      </w:r>
      <w:r w:rsidR="004B4CB5" w:rsidRPr="004B4CB5">
        <w:rPr>
          <w:rFonts w:ascii="Garamond" w:hAnsi="Garamond"/>
          <w:color w:val="000000" w:themeColor="text1"/>
          <w:szCs w:val="28"/>
          <w:lang w:val="en-US"/>
        </w:rPr>
        <w:t xml:space="preserve">, </w:t>
      </w:r>
      <w:r w:rsidRPr="004B4CB5">
        <w:rPr>
          <w:rFonts w:ascii="Garamond" w:hAnsi="Garamond"/>
          <w:color w:val="000000" w:themeColor="text1"/>
          <w:szCs w:val="28"/>
          <w:lang w:val="en-US"/>
        </w:rPr>
        <w:t>2014</w:t>
      </w:r>
      <w:r w:rsidR="004B4CB5" w:rsidRPr="004B4CB5">
        <w:rPr>
          <w:rFonts w:ascii="Garamond" w:hAnsi="Garamond"/>
          <w:color w:val="000000" w:themeColor="text1"/>
          <w:szCs w:val="28"/>
          <w:lang w:val="en-US"/>
        </w:rPr>
        <w:t xml:space="preserve">, </w:t>
      </w:r>
      <w:r w:rsidRPr="004B4CB5">
        <w:rPr>
          <w:rFonts w:ascii="Garamond" w:hAnsi="Garamond"/>
          <w:color w:val="000000" w:themeColor="text1"/>
          <w:szCs w:val="28"/>
          <w:lang w:val="en-US"/>
        </w:rPr>
        <w:t>United Kingdom: Oxford University Press</w:t>
      </w:r>
      <w:r w:rsidR="004B4CB5" w:rsidRPr="004B4CB5">
        <w:rPr>
          <w:rFonts w:ascii="Garamond" w:hAnsi="Garamond"/>
          <w:color w:val="000000" w:themeColor="text1"/>
          <w:szCs w:val="28"/>
          <w:lang w:val="en-US"/>
        </w:rPr>
        <w:t>, 512 p.</w:t>
      </w:r>
      <w:r w:rsidRPr="004B4CB5">
        <w:rPr>
          <w:rFonts w:ascii="Garamond" w:hAnsi="Garamond"/>
          <w:color w:val="000000" w:themeColor="text1"/>
          <w:szCs w:val="28"/>
          <w:lang w:val="en-US"/>
        </w:rPr>
        <w:t xml:space="preserve">  </w:t>
      </w:r>
    </w:p>
    <w:p w14:paraId="58F652C0" w14:textId="77777777" w:rsidR="0059570F" w:rsidRPr="004B4CB5" w:rsidRDefault="00715FD4" w:rsidP="006F749C">
      <w:pPr>
        <w:pStyle w:val="ListParagraph"/>
        <w:numPr>
          <w:ilvl w:val="0"/>
          <w:numId w:val="268"/>
        </w:numPr>
        <w:spacing w:after="0" w:line="240" w:lineRule="atLeast"/>
        <w:ind w:left="284" w:hanging="284"/>
        <w:jc w:val="both"/>
        <w:rPr>
          <w:rFonts w:ascii="Garamond" w:hAnsi="Garamond"/>
          <w:color w:val="000000" w:themeColor="text1"/>
          <w:szCs w:val="28"/>
          <w:lang w:val="en-US"/>
        </w:rPr>
      </w:pPr>
      <w:r w:rsidRPr="004B4CB5">
        <w:rPr>
          <w:rFonts w:ascii="Garamond" w:hAnsi="Garamond"/>
          <w:color w:val="000000" w:themeColor="text1"/>
          <w:szCs w:val="28"/>
          <w:lang w:val="en-US"/>
        </w:rPr>
        <w:t xml:space="preserve">Jensen, M. C. </w:t>
      </w:r>
      <w:r w:rsidR="004B4CB5" w:rsidRPr="004B4CB5">
        <w:rPr>
          <w:rFonts w:ascii="Garamond" w:hAnsi="Garamond"/>
          <w:color w:val="000000" w:themeColor="text1"/>
          <w:szCs w:val="28"/>
          <w:lang w:val="en-US"/>
        </w:rPr>
        <w:t>and</w:t>
      </w:r>
      <w:r w:rsidRPr="004B4CB5">
        <w:rPr>
          <w:rFonts w:ascii="Garamond" w:hAnsi="Garamond"/>
          <w:color w:val="000000" w:themeColor="text1"/>
          <w:szCs w:val="28"/>
          <w:lang w:val="en-US"/>
        </w:rPr>
        <w:t xml:space="preserve"> Smith, C. W.</w:t>
      </w:r>
      <w:r w:rsidR="004B4CB5" w:rsidRPr="004B4CB5">
        <w:rPr>
          <w:rFonts w:ascii="Garamond" w:hAnsi="Garamond"/>
          <w:color w:val="000000" w:themeColor="text1"/>
          <w:szCs w:val="28"/>
          <w:lang w:val="en-US"/>
        </w:rPr>
        <w:t xml:space="preserve">, </w:t>
      </w:r>
      <w:r w:rsidRPr="004B4CB5">
        <w:rPr>
          <w:rFonts w:ascii="Garamond" w:hAnsi="Garamond"/>
          <w:color w:val="000000" w:themeColor="text1"/>
          <w:szCs w:val="28"/>
          <w:lang w:val="en-US"/>
        </w:rPr>
        <w:t>1984</w:t>
      </w:r>
      <w:r w:rsidR="004B4CB5" w:rsidRPr="004B4CB5">
        <w:rPr>
          <w:rFonts w:ascii="Garamond" w:hAnsi="Garamond"/>
          <w:color w:val="000000" w:themeColor="text1"/>
          <w:szCs w:val="28"/>
          <w:lang w:val="en-US"/>
        </w:rPr>
        <w:t>,</w:t>
      </w:r>
      <w:r w:rsidRPr="004B4CB5">
        <w:rPr>
          <w:rFonts w:ascii="Garamond" w:hAnsi="Garamond"/>
          <w:color w:val="000000" w:themeColor="text1"/>
          <w:szCs w:val="28"/>
          <w:lang w:val="en-US"/>
        </w:rPr>
        <w:t xml:space="preserve"> </w:t>
      </w:r>
      <w:r w:rsidRPr="008A453E">
        <w:rPr>
          <w:rFonts w:ascii="Garamond" w:hAnsi="Garamond"/>
          <w:i/>
          <w:color w:val="000000" w:themeColor="text1"/>
          <w:szCs w:val="28"/>
          <w:lang w:val="en-US"/>
        </w:rPr>
        <w:t>The Modern Theory of Corporate Finance</w:t>
      </w:r>
      <w:r w:rsidR="004B4CB5" w:rsidRPr="00C13409">
        <w:rPr>
          <w:rFonts w:ascii="Garamond" w:hAnsi="Garamond"/>
          <w:color w:val="000000" w:themeColor="text1"/>
          <w:szCs w:val="28"/>
          <w:lang w:val="en-US"/>
        </w:rPr>
        <w:t>,</w:t>
      </w:r>
      <w:r w:rsidRPr="00C13409">
        <w:rPr>
          <w:rFonts w:ascii="Garamond" w:hAnsi="Garamond"/>
          <w:color w:val="000000" w:themeColor="text1"/>
          <w:szCs w:val="28"/>
          <w:lang w:val="en-US"/>
        </w:rPr>
        <w:t xml:space="preserve"> </w:t>
      </w:r>
      <w:r w:rsidRPr="00C13409">
        <w:rPr>
          <w:rFonts w:ascii="Garamond" w:hAnsi="Garamond"/>
          <w:i/>
          <w:color w:val="000000" w:themeColor="text1"/>
          <w:szCs w:val="28"/>
          <w:lang w:val="en-US"/>
        </w:rPr>
        <w:t xml:space="preserve">New </w:t>
      </w:r>
      <w:r w:rsidRPr="008A453E">
        <w:rPr>
          <w:rFonts w:ascii="Garamond" w:hAnsi="Garamond"/>
          <w:color w:val="000000" w:themeColor="text1"/>
          <w:szCs w:val="28"/>
          <w:lang w:val="en-US"/>
        </w:rPr>
        <w:t>York</w:t>
      </w:r>
      <w:r w:rsidR="002F1D0D">
        <w:rPr>
          <w:rFonts w:ascii="Garamond" w:hAnsi="Garamond"/>
          <w:color w:val="000000" w:themeColor="text1"/>
          <w:szCs w:val="28"/>
          <w:lang w:val="en-US"/>
        </w:rPr>
        <w:t xml:space="preserve"> </w:t>
      </w:r>
      <w:r w:rsidRPr="008A453E">
        <w:rPr>
          <w:rFonts w:ascii="Garamond" w:hAnsi="Garamond"/>
          <w:color w:val="000000" w:themeColor="text1"/>
          <w:szCs w:val="28"/>
          <w:lang w:val="en-US"/>
        </w:rPr>
        <w:t>: McGraw-Hill Inc.</w:t>
      </w:r>
      <w:r w:rsidR="004B4CB5" w:rsidRPr="008A453E">
        <w:rPr>
          <w:rFonts w:ascii="Garamond" w:hAnsi="Garamond"/>
          <w:color w:val="000000" w:themeColor="text1"/>
          <w:szCs w:val="28"/>
          <w:lang w:val="en-US"/>
        </w:rPr>
        <w:t>,</w:t>
      </w:r>
      <w:r w:rsidR="004B4CB5" w:rsidRPr="004B4CB5">
        <w:rPr>
          <w:rFonts w:ascii="Garamond" w:hAnsi="Garamond"/>
          <w:color w:val="000000" w:themeColor="text1"/>
          <w:szCs w:val="28"/>
          <w:lang w:val="en-US"/>
        </w:rPr>
        <w:t xml:space="preserve"> pp. 2</w:t>
      </w:r>
      <w:r w:rsidR="004B4CB5" w:rsidRPr="004B4CB5">
        <w:rPr>
          <w:rFonts w:ascii="Garamond" w:hAnsi="Garamond"/>
          <w:lang w:val="en-US"/>
        </w:rPr>
        <w:t>–20.</w:t>
      </w:r>
    </w:p>
    <w:p w14:paraId="7CD16F35" w14:textId="77777777" w:rsidR="0059570F" w:rsidRPr="004B4CB5" w:rsidRDefault="00715FD4" w:rsidP="006F749C">
      <w:pPr>
        <w:pStyle w:val="ListParagraph"/>
        <w:numPr>
          <w:ilvl w:val="0"/>
          <w:numId w:val="268"/>
        </w:numPr>
        <w:spacing w:after="0" w:line="240" w:lineRule="atLeast"/>
        <w:ind w:left="284" w:hanging="284"/>
        <w:jc w:val="both"/>
        <w:rPr>
          <w:rFonts w:ascii="Garamond" w:hAnsi="Garamond"/>
          <w:color w:val="000000" w:themeColor="text1"/>
          <w:szCs w:val="28"/>
          <w:lang w:val="en-US"/>
        </w:rPr>
      </w:pPr>
      <w:r w:rsidRPr="004B4CB5">
        <w:rPr>
          <w:rFonts w:ascii="Garamond" w:hAnsi="Garamond"/>
          <w:color w:val="000000" w:themeColor="text1"/>
          <w:szCs w:val="28"/>
          <w:lang w:val="en-US"/>
        </w:rPr>
        <w:t>Leveau, D., Gander, P.,</w:t>
      </w:r>
      <w:r w:rsidR="004B4CB5" w:rsidRPr="004B4CB5">
        <w:rPr>
          <w:rFonts w:ascii="Garamond" w:hAnsi="Garamond"/>
          <w:color w:val="000000" w:themeColor="text1"/>
          <w:szCs w:val="28"/>
          <w:lang w:val="en-US"/>
        </w:rPr>
        <w:t xml:space="preserve"> and</w:t>
      </w:r>
      <w:r w:rsidRPr="004B4CB5">
        <w:rPr>
          <w:rFonts w:ascii="Garamond" w:hAnsi="Garamond"/>
          <w:color w:val="000000" w:themeColor="text1"/>
          <w:szCs w:val="28"/>
          <w:lang w:val="en-US"/>
        </w:rPr>
        <w:t xml:space="preserve"> Orgland, M.</w:t>
      </w:r>
      <w:r w:rsidR="004B4CB5" w:rsidRPr="004B4CB5">
        <w:rPr>
          <w:rFonts w:ascii="Garamond" w:hAnsi="Garamond"/>
          <w:color w:val="000000" w:themeColor="text1"/>
          <w:szCs w:val="28"/>
          <w:lang w:val="en-US"/>
        </w:rPr>
        <w:t xml:space="preserve">, </w:t>
      </w:r>
      <w:r w:rsidRPr="004B4CB5">
        <w:rPr>
          <w:rFonts w:ascii="Garamond" w:hAnsi="Garamond"/>
          <w:color w:val="000000" w:themeColor="text1"/>
          <w:szCs w:val="28"/>
          <w:lang w:val="en-US"/>
        </w:rPr>
        <w:t>2010</w:t>
      </w:r>
      <w:r w:rsidR="004B4CB5" w:rsidRPr="004B4CB5">
        <w:rPr>
          <w:rFonts w:ascii="Garamond" w:hAnsi="Garamond"/>
          <w:color w:val="000000" w:themeColor="text1"/>
          <w:szCs w:val="28"/>
          <w:lang w:val="en-US"/>
        </w:rPr>
        <w:t>,</w:t>
      </w:r>
      <w:r w:rsidRPr="004B4CB5">
        <w:rPr>
          <w:rFonts w:ascii="Garamond" w:hAnsi="Garamond"/>
          <w:color w:val="000000" w:themeColor="text1"/>
          <w:szCs w:val="28"/>
          <w:lang w:val="en-US"/>
        </w:rPr>
        <w:t xml:space="preserve"> </w:t>
      </w:r>
      <w:r w:rsidRPr="008A453E">
        <w:rPr>
          <w:rFonts w:ascii="Garamond" w:hAnsi="Garamond"/>
          <w:i/>
          <w:color w:val="000000" w:themeColor="text1"/>
          <w:szCs w:val="28"/>
          <w:lang w:val="en-US"/>
        </w:rPr>
        <w:t>Evolution of Financial Theory</w:t>
      </w:r>
      <w:r w:rsidRPr="004B4CB5">
        <w:rPr>
          <w:rFonts w:ascii="Garamond" w:hAnsi="Garamond"/>
          <w:color w:val="000000" w:themeColor="text1"/>
          <w:szCs w:val="28"/>
          <w:lang w:val="en-US"/>
        </w:rPr>
        <w:t xml:space="preserve">. Available at SSRN: http://ssrn.com/abstract=1927124. </w:t>
      </w:r>
    </w:p>
    <w:p w14:paraId="09A42DD5" w14:textId="77777777" w:rsidR="0059570F" w:rsidRPr="004B4CB5" w:rsidRDefault="00715FD4" w:rsidP="006F749C">
      <w:pPr>
        <w:pStyle w:val="ListParagraph"/>
        <w:numPr>
          <w:ilvl w:val="0"/>
          <w:numId w:val="268"/>
        </w:numPr>
        <w:spacing w:after="0" w:line="240" w:lineRule="atLeast"/>
        <w:ind w:left="284" w:hanging="284"/>
        <w:jc w:val="both"/>
        <w:rPr>
          <w:rFonts w:ascii="Garamond" w:hAnsi="Garamond"/>
          <w:color w:val="000000" w:themeColor="text1"/>
          <w:szCs w:val="28"/>
          <w:lang w:val="en-US"/>
        </w:rPr>
      </w:pPr>
      <w:r w:rsidRPr="004B4CB5">
        <w:rPr>
          <w:rFonts w:ascii="Garamond" w:hAnsi="Garamond"/>
          <w:color w:val="000000" w:themeColor="text1"/>
          <w:szCs w:val="28"/>
          <w:lang w:val="en-US"/>
        </w:rPr>
        <w:t>Weston, J. F</w:t>
      </w:r>
      <w:r w:rsidR="004B4CB5" w:rsidRPr="004B4CB5">
        <w:rPr>
          <w:rFonts w:ascii="Garamond" w:hAnsi="Garamond"/>
          <w:color w:val="000000" w:themeColor="text1"/>
          <w:szCs w:val="28"/>
          <w:lang w:val="en-US"/>
        </w:rPr>
        <w:t xml:space="preserve">., </w:t>
      </w:r>
      <w:r w:rsidRPr="004B4CB5">
        <w:rPr>
          <w:rFonts w:ascii="Garamond" w:hAnsi="Garamond"/>
          <w:color w:val="000000" w:themeColor="text1"/>
          <w:szCs w:val="28"/>
          <w:lang w:val="en-US"/>
        </w:rPr>
        <w:t>1981</w:t>
      </w:r>
      <w:r w:rsidR="004B4CB5" w:rsidRPr="004B4CB5">
        <w:rPr>
          <w:rFonts w:ascii="Garamond" w:hAnsi="Garamond"/>
          <w:color w:val="000000" w:themeColor="text1"/>
          <w:szCs w:val="28"/>
          <w:lang w:val="en-US"/>
        </w:rPr>
        <w:t xml:space="preserve">, </w:t>
      </w:r>
      <w:r w:rsidRPr="00C13409">
        <w:rPr>
          <w:rFonts w:ascii="Garamond" w:hAnsi="Garamond"/>
          <w:color w:val="000000" w:themeColor="text1"/>
          <w:szCs w:val="28"/>
          <w:lang w:val="en-US"/>
        </w:rPr>
        <w:t>Developments in Finance Theory</w:t>
      </w:r>
      <w:r w:rsidR="004B4CB5" w:rsidRPr="00C13409">
        <w:rPr>
          <w:rFonts w:ascii="Garamond" w:hAnsi="Garamond"/>
          <w:color w:val="000000" w:themeColor="text1"/>
          <w:szCs w:val="28"/>
          <w:lang w:val="en-US"/>
        </w:rPr>
        <w:t xml:space="preserve">, </w:t>
      </w:r>
      <w:r w:rsidR="004B4CB5" w:rsidRPr="00C13409">
        <w:rPr>
          <w:rFonts w:ascii="Garamond" w:hAnsi="Garamond"/>
          <w:i/>
          <w:color w:val="000000" w:themeColor="text1"/>
          <w:szCs w:val="28"/>
          <w:lang w:val="en-US"/>
        </w:rPr>
        <w:t>Financial Management</w:t>
      </w:r>
      <w:r w:rsidR="004B4CB5" w:rsidRPr="004B4CB5">
        <w:rPr>
          <w:rFonts w:ascii="Garamond" w:hAnsi="Garamond"/>
          <w:color w:val="000000" w:themeColor="text1"/>
          <w:szCs w:val="28"/>
          <w:lang w:val="en-US"/>
        </w:rPr>
        <w:t>, 10, pp.</w:t>
      </w:r>
      <w:r w:rsidR="008A453E">
        <w:rPr>
          <w:rFonts w:ascii="Garamond" w:hAnsi="Garamond"/>
          <w:color w:val="000000" w:themeColor="text1"/>
          <w:szCs w:val="28"/>
          <w:lang w:val="en-US"/>
        </w:rPr>
        <w:t> </w:t>
      </w:r>
      <w:r w:rsidR="004B4CB5" w:rsidRPr="004B4CB5">
        <w:rPr>
          <w:rFonts w:ascii="Garamond" w:hAnsi="Garamond"/>
          <w:color w:val="000000" w:themeColor="text1"/>
          <w:szCs w:val="28"/>
          <w:lang w:val="en-US"/>
        </w:rPr>
        <w:t>5</w:t>
      </w:r>
      <w:r w:rsidR="004B4CB5" w:rsidRPr="004B4CB5">
        <w:rPr>
          <w:rFonts w:ascii="Garamond" w:hAnsi="Garamond"/>
          <w:lang w:val="en-US"/>
        </w:rPr>
        <w:t>–22.</w:t>
      </w:r>
    </w:p>
    <w:p w14:paraId="7A7EF54E" w14:textId="77777777" w:rsidR="00715FD4" w:rsidRPr="004B4CB5" w:rsidRDefault="004B4CB5" w:rsidP="006F749C">
      <w:pPr>
        <w:pStyle w:val="ListParagraph"/>
        <w:numPr>
          <w:ilvl w:val="0"/>
          <w:numId w:val="268"/>
        </w:numPr>
        <w:spacing w:after="0" w:line="240" w:lineRule="atLeast"/>
        <w:ind w:left="284" w:hanging="284"/>
        <w:jc w:val="both"/>
        <w:rPr>
          <w:rFonts w:ascii="Garamond" w:hAnsi="Garamond"/>
          <w:color w:val="000000" w:themeColor="text1"/>
          <w:szCs w:val="28"/>
          <w:lang w:val="en-US"/>
        </w:rPr>
      </w:pPr>
      <w:r w:rsidRPr="004B4CB5">
        <w:rPr>
          <w:rFonts w:ascii="Garamond" w:hAnsi="Garamond"/>
          <w:color w:val="000000" w:themeColor="text1"/>
          <w:szCs w:val="28"/>
          <w:lang w:val="fr-BE"/>
        </w:rPr>
        <w:t xml:space="preserve">Wijst, D. van der., </w:t>
      </w:r>
      <w:r w:rsidR="00715FD4" w:rsidRPr="004B4CB5">
        <w:rPr>
          <w:rFonts w:ascii="Garamond" w:hAnsi="Garamond"/>
          <w:color w:val="000000" w:themeColor="text1"/>
          <w:szCs w:val="28"/>
          <w:lang w:val="fr-BE"/>
        </w:rPr>
        <w:t>2013</w:t>
      </w:r>
      <w:r w:rsidRPr="004B4CB5">
        <w:rPr>
          <w:rFonts w:ascii="Garamond" w:hAnsi="Garamond"/>
          <w:color w:val="000000" w:themeColor="text1"/>
          <w:szCs w:val="28"/>
          <w:lang w:val="fr-BE"/>
        </w:rPr>
        <w:t>,</w:t>
      </w:r>
      <w:r w:rsidR="00715FD4" w:rsidRPr="004B4CB5">
        <w:rPr>
          <w:rFonts w:ascii="Garamond" w:hAnsi="Garamond"/>
          <w:color w:val="000000" w:themeColor="text1"/>
          <w:szCs w:val="28"/>
          <w:lang w:val="fr-BE"/>
        </w:rPr>
        <w:t xml:space="preserve"> </w:t>
      </w:r>
      <w:r w:rsidR="00715FD4" w:rsidRPr="004B4CB5">
        <w:rPr>
          <w:rFonts w:ascii="Garamond" w:hAnsi="Garamond"/>
          <w:i/>
          <w:color w:val="000000" w:themeColor="text1"/>
          <w:szCs w:val="28"/>
          <w:lang w:val="fr-BE"/>
        </w:rPr>
        <w:t>Finance: a quantitative introduction</w:t>
      </w:r>
      <w:r w:rsidRPr="004B4CB5">
        <w:rPr>
          <w:rFonts w:ascii="Garamond" w:hAnsi="Garamond"/>
          <w:color w:val="000000" w:themeColor="text1"/>
          <w:szCs w:val="28"/>
          <w:lang w:val="en-US"/>
        </w:rPr>
        <w:t>,</w:t>
      </w:r>
      <w:r w:rsidR="00715FD4" w:rsidRPr="004B4CB5">
        <w:rPr>
          <w:rFonts w:ascii="Garamond" w:hAnsi="Garamond"/>
          <w:color w:val="000000" w:themeColor="text1"/>
          <w:szCs w:val="28"/>
          <w:lang w:val="en-US"/>
        </w:rPr>
        <w:t xml:space="preserve"> Cambridge University Press</w:t>
      </w:r>
      <w:r w:rsidRPr="004B4CB5">
        <w:rPr>
          <w:rFonts w:ascii="Garamond" w:hAnsi="Garamond"/>
          <w:color w:val="000000" w:themeColor="text1"/>
          <w:szCs w:val="28"/>
          <w:lang w:val="en-US"/>
        </w:rPr>
        <w:t>, 445 p.</w:t>
      </w:r>
    </w:p>
    <w:p w14:paraId="7395A2A0" w14:textId="77777777" w:rsidR="00715FD4" w:rsidRPr="008A453E" w:rsidRDefault="00715FD4" w:rsidP="0093712A">
      <w:pPr>
        <w:spacing w:line="240" w:lineRule="atLeast"/>
        <w:ind w:left="284" w:hanging="284"/>
        <w:jc w:val="both"/>
        <w:rPr>
          <w:b/>
          <w:color w:val="000000" w:themeColor="text1"/>
          <w:sz w:val="28"/>
          <w:szCs w:val="28"/>
          <w:lang w:val="en-US"/>
        </w:rPr>
      </w:pPr>
      <w:r w:rsidRPr="008A453E">
        <w:rPr>
          <w:b/>
          <w:color w:val="000000" w:themeColor="text1"/>
          <w:sz w:val="28"/>
          <w:szCs w:val="28"/>
          <w:lang w:val="en-US"/>
        </w:rPr>
        <w:t>Relevant websites</w:t>
      </w:r>
    </w:p>
    <w:p w14:paraId="4E8CC68A" w14:textId="77777777" w:rsidR="004B4CB5" w:rsidRPr="008A453E" w:rsidRDefault="00715FD4" w:rsidP="006F749C">
      <w:pPr>
        <w:pStyle w:val="ListParagraph"/>
        <w:numPr>
          <w:ilvl w:val="0"/>
          <w:numId w:val="269"/>
        </w:numPr>
        <w:spacing w:after="0" w:line="240" w:lineRule="atLeast"/>
        <w:ind w:left="284" w:hanging="284"/>
        <w:jc w:val="both"/>
        <w:rPr>
          <w:rFonts w:ascii="Garamond" w:hAnsi="Garamond"/>
          <w:color w:val="000000" w:themeColor="text1"/>
          <w:szCs w:val="28"/>
          <w:lang w:val="en-US"/>
        </w:rPr>
      </w:pPr>
      <w:r w:rsidRPr="008A453E">
        <w:rPr>
          <w:rFonts w:ascii="Garamond" w:hAnsi="Garamond"/>
          <w:i/>
          <w:color w:val="000000" w:themeColor="text1"/>
          <w:szCs w:val="28"/>
          <w:lang w:val="en-US"/>
        </w:rPr>
        <w:t>Business Dictionary</w:t>
      </w:r>
      <w:r w:rsidRPr="008A453E">
        <w:rPr>
          <w:rFonts w:ascii="Garamond" w:hAnsi="Garamond"/>
          <w:color w:val="000000" w:themeColor="text1"/>
          <w:szCs w:val="28"/>
          <w:lang w:val="en-US"/>
        </w:rPr>
        <w:t xml:space="preserve">. Available: </w:t>
      </w:r>
      <w:hyperlink r:id="rId22" w:history="1">
        <w:r w:rsidR="004B4CB5" w:rsidRPr="008A453E">
          <w:rPr>
            <w:rFonts w:ascii="Garamond" w:hAnsi="Garamond"/>
            <w:color w:val="000000" w:themeColor="text1"/>
            <w:lang w:val="en-US"/>
          </w:rPr>
          <w:t>www.businessdictionary.com</w:t>
        </w:r>
      </w:hyperlink>
    </w:p>
    <w:p w14:paraId="09A98410" w14:textId="77777777" w:rsidR="00715FD4" w:rsidRPr="008A453E" w:rsidRDefault="00715FD4" w:rsidP="006F749C">
      <w:pPr>
        <w:pStyle w:val="ListParagraph"/>
        <w:numPr>
          <w:ilvl w:val="0"/>
          <w:numId w:val="269"/>
        </w:numPr>
        <w:spacing w:after="0" w:line="240" w:lineRule="atLeast"/>
        <w:ind w:left="284" w:hanging="284"/>
        <w:jc w:val="both"/>
        <w:rPr>
          <w:rFonts w:ascii="Garamond" w:hAnsi="Garamond"/>
          <w:color w:val="000000" w:themeColor="text1"/>
          <w:szCs w:val="28"/>
          <w:lang w:val="en-US"/>
        </w:rPr>
      </w:pPr>
      <w:r w:rsidRPr="008A453E">
        <w:rPr>
          <w:rFonts w:ascii="Garamond" w:hAnsi="Garamond"/>
          <w:i/>
          <w:color w:val="000000" w:themeColor="text1"/>
          <w:szCs w:val="28"/>
          <w:lang w:val="en-US"/>
        </w:rPr>
        <w:t>Investopedia. Dictionary</w:t>
      </w:r>
      <w:r w:rsidRPr="008A453E">
        <w:rPr>
          <w:rFonts w:ascii="Garamond" w:hAnsi="Garamond"/>
          <w:color w:val="000000" w:themeColor="text1"/>
          <w:szCs w:val="28"/>
          <w:lang w:val="en-US"/>
        </w:rPr>
        <w:t>. Available: www.investopedia.com/dictionary</w:t>
      </w:r>
    </w:p>
    <w:p w14:paraId="473C0AD1" w14:textId="77777777" w:rsidR="00BE42A0" w:rsidRPr="00775A57" w:rsidRDefault="00BE42A0" w:rsidP="0080392D">
      <w:pPr>
        <w:pStyle w:val="end2"/>
        <w:rPr>
          <w:szCs w:val="28"/>
        </w:rPr>
      </w:pPr>
      <w:r w:rsidRPr="00775A57">
        <w:rPr>
          <w:szCs w:val="28"/>
        </w:rPr>
        <w:t>Key terms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8"/>
        <w:gridCol w:w="8079"/>
      </w:tblGrid>
      <w:tr w:rsidR="00BE42A0" w:rsidRPr="00BE42A0" w14:paraId="23E2F75B" w14:textId="77777777" w:rsidTr="00BE42A0">
        <w:tc>
          <w:tcPr>
            <w:tcW w:w="1668" w:type="dxa"/>
          </w:tcPr>
          <w:p w14:paraId="6577C5D2" w14:textId="77777777" w:rsidR="00BE42A0" w:rsidRPr="00775A57" w:rsidRDefault="00BE42A0" w:rsidP="0080392D">
            <w:pPr>
              <w:spacing w:after="120" w:line="240" w:lineRule="atLeast"/>
              <w:rPr>
                <w:b/>
                <w:lang w:val="en-US"/>
              </w:rPr>
            </w:pPr>
            <w:r w:rsidRPr="00775A57">
              <w:rPr>
                <w:b/>
                <w:lang w:val="en-US"/>
              </w:rPr>
              <w:t xml:space="preserve">financial resources </w:t>
            </w:r>
            <w:r w:rsidR="00114A68">
              <w:rPr>
                <w:b/>
                <w:lang w:val="en-US"/>
              </w:rPr>
              <w:t xml:space="preserve"> </w:t>
            </w:r>
          </w:p>
        </w:tc>
        <w:tc>
          <w:tcPr>
            <w:tcW w:w="8079" w:type="dxa"/>
          </w:tcPr>
          <w:p w14:paraId="3EECF795" w14:textId="77777777" w:rsidR="00BE42A0" w:rsidRPr="00775A57" w:rsidRDefault="00B725BF" w:rsidP="008B03D8">
            <w:pPr>
              <w:spacing w:after="120" w:line="240" w:lineRule="atLeast"/>
              <w:jc w:val="both"/>
              <w:rPr>
                <w:lang w:val="en-US"/>
              </w:rPr>
            </w:pPr>
            <w:r>
              <w:rPr>
                <w:lang w:val="en-US"/>
              </w:rPr>
              <w:t>are the</w:t>
            </w:r>
            <w:r w:rsidR="00BE42A0" w:rsidRPr="00775A57">
              <w:rPr>
                <w:lang w:val="en-US"/>
              </w:rPr>
              <w:t xml:space="preserve"> money available to a business for spending in the form of cash, liquid securities, and credit lines. Before going into business, an entrepreneur needs to secure sufficient financial resources in order to be able to operate efficiently and sufficiently well to promote success.</w:t>
            </w:r>
            <w:r w:rsidR="00BE42A0" w:rsidRPr="00775A57">
              <w:rPr>
                <w:rFonts w:ascii="Times New Roman" w:hAnsi="Times New Roman"/>
                <w:b/>
                <w:szCs w:val="20"/>
                <w:lang w:val="en-US"/>
              </w:rPr>
              <w:t xml:space="preserve"> </w:t>
            </w:r>
            <w:r w:rsidR="00BE42A0" w:rsidRPr="00775A57">
              <w:rPr>
                <w:lang w:val="en-US"/>
              </w:rPr>
              <w:t xml:space="preserve">Common financial resources are acquired through a bank or an investor. Small businesses have a difficult time </w:t>
            </w:r>
            <w:r w:rsidR="008B03D8">
              <w:rPr>
                <w:lang w:val="en-US"/>
              </w:rPr>
              <w:t xml:space="preserve">for </w:t>
            </w:r>
            <w:r w:rsidR="00BE42A0" w:rsidRPr="00775A57">
              <w:rPr>
                <w:lang w:val="en-US"/>
              </w:rPr>
              <w:t xml:space="preserve">obtaining bank loans while a large corporation may find </w:t>
            </w:r>
            <w:r w:rsidR="0080392D" w:rsidRPr="00775A57">
              <w:rPr>
                <w:lang w:val="en-US"/>
              </w:rPr>
              <w:t>its</w:t>
            </w:r>
            <w:r w:rsidR="00BE42A0" w:rsidRPr="00775A57">
              <w:rPr>
                <w:lang w:val="en-US"/>
              </w:rPr>
              <w:t xml:space="preserve"> funding through individual or equity investors, mutual funds, and stock. Venture capitalists also invest in companies, although they have many requirements for both small and large businesses. They may require a fixed rate of return, a stake in ownership and input on management decisions. </w:t>
            </w:r>
          </w:p>
        </w:tc>
      </w:tr>
      <w:tr w:rsidR="00BE42A0" w:rsidRPr="00BE42A0" w14:paraId="6D41AF5F" w14:textId="77777777" w:rsidTr="00BE42A0">
        <w:tc>
          <w:tcPr>
            <w:tcW w:w="1668" w:type="dxa"/>
          </w:tcPr>
          <w:p w14:paraId="55382AEF" w14:textId="77777777" w:rsidR="00BE42A0" w:rsidRPr="00775A57" w:rsidRDefault="00BE42A0" w:rsidP="0080392D">
            <w:pPr>
              <w:spacing w:after="120" w:line="240" w:lineRule="atLeast"/>
              <w:rPr>
                <w:b/>
                <w:lang w:val="en-US"/>
              </w:rPr>
            </w:pPr>
            <w:r w:rsidRPr="00775A57">
              <w:rPr>
                <w:b/>
                <w:lang w:val="en-US"/>
              </w:rPr>
              <w:t xml:space="preserve">financial relations </w:t>
            </w:r>
            <w:r w:rsidR="00114A68">
              <w:rPr>
                <w:b/>
                <w:lang w:val="en-US"/>
              </w:rPr>
              <w:t xml:space="preserve"> </w:t>
            </w:r>
          </w:p>
        </w:tc>
        <w:tc>
          <w:tcPr>
            <w:tcW w:w="8079" w:type="dxa"/>
          </w:tcPr>
          <w:p w14:paraId="66D3FA99" w14:textId="77777777" w:rsidR="00BE42A0" w:rsidRPr="00775A57" w:rsidRDefault="00BE42A0" w:rsidP="008B03D8">
            <w:pPr>
              <w:spacing w:after="120" w:line="240" w:lineRule="atLeast"/>
              <w:jc w:val="both"/>
              <w:rPr>
                <w:lang w:val="en-US"/>
              </w:rPr>
            </w:pPr>
            <w:r w:rsidRPr="00775A57">
              <w:rPr>
                <w:lang w:val="en-US"/>
              </w:rPr>
              <w:t xml:space="preserve">are those relationships in which the individual benefits </w:t>
            </w:r>
            <w:r w:rsidR="008B03D8">
              <w:rPr>
                <w:lang w:val="en-US"/>
              </w:rPr>
              <w:t>from</w:t>
            </w:r>
            <w:r w:rsidRPr="00775A57">
              <w:rPr>
                <w:lang w:val="en-US"/>
              </w:rPr>
              <w:t xml:space="preserve"> receiving a salary, royalty, intellectual property rights, consulting fee, honoraria, ownership interest (e.g., stocks, stock options or other ownership interest, excluding diversified mutual funds), or other financial benefits. Financial benefits are usually associated with roles</w:t>
            </w:r>
            <w:r w:rsidR="008B03D8">
              <w:rPr>
                <w:lang w:val="en-US"/>
              </w:rPr>
              <w:t xml:space="preserve">, </w:t>
            </w:r>
            <w:r w:rsidRPr="00775A57">
              <w:rPr>
                <w:lang w:val="en-US"/>
              </w:rPr>
              <w:t>such as an independent contractor (including contracted research), consulting, promotional speaking and teaching, membership on advisory committees or review panels, board membership, and other activities for which remuneration is received or expected.</w:t>
            </w:r>
          </w:p>
        </w:tc>
      </w:tr>
      <w:tr w:rsidR="00BE42A0" w:rsidRPr="00BE42A0" w14:paraId="02B045FF" w14:textId="77777777" w:rsidTr="00BE42A0">
        <w:tc>
          <w:tcPr>
            <w:tcW w:w="1668" w:type="dxa"/>
          </w:tcPr>
          <w:p w14:paraId="0BF1D004" w14:textId="77777777" w:rsidR="00BE42A0" w:rsidRPr="00775A57" w:rsidRDefault="00BE42A0" w:rsidP="0080392D">
            <w:pPr>
              <w:spacing w:after="120" w:line="240" w:lineRule="atLeast"/>
              <w:rPr>
                <w:b/>
                <w:lang w:val="en-US"/>
              </w:rPr>
            </w:pPr>
            <w:r w:rsidRPr="00775A57">
              <w:rPr>
                <w:b/>
                <w:lang w:val="en-US"/>
              </w:rPr>
              <w:t xml:space="preserve">financial capability </w:t>
            </w:r>
            <w:r w:rsidR="00114A68">
              <w:rPr>
                <w:b/>
                <w:lang w:val="en-US"/>
              </w:rPr>
              <w:t xml:space="preserve"> </w:t>
            </w:r>
          </w:p>
        </w:tc>
        <w:tc>
          <w:tcPr>
            <w:tcW w:w="8079" w:type="dxa"/>
          </w:tcPr>
          <w:p w14:paraId="56C5F0B5" w14:textId="77777777" w:rsidR="00BE42A0" w:rsidRPr="00775A57" w:rsidRDefault="00BE42A0" w:rsidP="00CC3AD9">
            <w:pPr>
              <w:spacing w:after="120" w:line="240" w:lineRule="atLeast"/>
              <w:jc w:val="both"/>
              <w:rPr>
                <w:lang w:val="en-US"/>
              </w:rPr>
            </w:pPr>
            <w:r w:rsidRPr="00775A57">
              <w:rPr>
                <w:lang w:val="en-US"/>
              </w:rPr>
              <w:t>is the combination of knowledge, skills, attitudes</w:t>
            </w:r>
            <w:r w:rsidR="008B03D8">
              <w:rPr>
                <w:lang w:val="en-US"/>
              </w:rPr>
              <w:t>,</w:t>
            </w:r>
            <w:r w:rsidRPr="00775A57">
              <w:rPr>
                <w:lang w:val="en-US"/>
              </w:rPr>
              <w:t xml:space="preserve"> and behaviors needed to make sound financial decisions that support one’s well-being.</w:t>
            </w:r>
            <w:r w:rsidRPr="00775A57">
              <w:rPr>
                <w:rFonts w:ascii="Times New Roman" w:hAnsi="Times New Roman"/>
                <w:b/>
                <w:szCs w:val="20"/>
                <w:lang w:val="en-US"/>
              </w:rPr>
              <w:t xml:space="preserve"> </w:t>
            </w:r>
            <w:r w:rsidRPr="00775A57">
              <w:rPr>
                <w:lang w:val="en-US"/>
              </w:rPr>
              <w:t xml:space="preserve">Financial capability is about </w:t>
            </w:r>
            <w:r w:rsidRPr="00775A57">
              <w:rPr>
                <w:lang w:val="en-US"/>
              </w:rPr>
              <w:lastRenderedPageBreak/>
              <w:t xml:space="preserve">motivating and supporting consumers to make sound financial decisions. Attention to financial capability is </w:t>
            </w:r>
            <w:r w:rsidR="00CC3AD9">
              <w:rPr>
                <w:lang w:val="en-US"/>
              </w:rPr>
              <w:t>essential</w:t>
            </w:r>
            <w:r w:rsidRPr="00775A57">
              <w:rPr>
                <w:lang w:val="en-US"/>
              </w:rPr>
              <w:t xml:space="preserve"> for successful financial inclusion initiatives.</w:t>
            </w:r>
          </w:p>
        </w:tc>
      </w:tr>
      <w:tr w:rsidR="00BE42A0" w:rsidRPr="00BE42A0" w14:paraId="4E5F9F6B" w14:textId="77777777" w:rsidTr="00BE42A0">
        <w:tc>
          <w:tcPr>
            <w:tcW w:w="1668" w:type="dxa"/>
          </w:tcPr>
          <w:p w14:paraId="3F79ECE0" w14:textId="77777777" w:rsidR="00BE42A0" w:rsidRPr="00775A57" w:rsidRDefault="00BE42A0" w:rsidP="0080392D">
            <w:pPr>
              <w:spacing w:after="120" w:line="240" w:lineRule="atLeast"/>
              <w:rPr>
                <w:b/>
                <w:lang w:val="en-US"/>
              </w:rPr>
            </w:pPr>
            <w:r w:rsidRPr="00775A57">
              <w:rPr>
                <w:b/>
                <w:lang w:val="en-US"/>
              </w:rPr>
              <w:lastRenderedPageBreak/>
              <w:t xml:space="preserve">financial objective </w:t>
            </w:r>
            <w:r w:rsidR="00114A68">
              <w:rPr>
                <w:b/>
                <w:lang w:val="en-US"/>
              </w:rPr>
              <w:t xml:space="preserve"> </w:t>
            </w:r>
            <w:r w:rsidRPr="00775A57">
              <w:rPr>
                <w:b/>
                <w:lang w:val="en-US"/>
              </w:rPr>
              <w:t xml:space="preserve"> </w:t>
            </w:r>
          </w:p>
        </w:tc>
        <w:tc>
          <w:tcPr>
            <w:tcW w:w="8079" w:type="dxa"/>
          </w:tcPr>
          <w:p w14:paraId="438131C8" w14:textId="77777777" w:rsidR="00BE42A0" w:rsidRPr="00775A57" w:rsidRDefault="00BE42A0" w:rsidP="0080392D">
            <w:pPr>
              <w:spacing w:after="120" w:line="240" w:lineRule="atLeast"/>
              <w:jc w:val="both"/>
              <w:rPr>
                <w:lang w:val="en-US"/>
              </w:rPr>
            </w:pPr>
            <w:r w:rsidRPr="00775A57">
              <w:rPr>
                <w:lang w:val="en-US"/>
              </w:rPr>
              <w:t>is an objective set by a company or  state authority in which the target is measured in monetary terms, such as a certain amount of profits, or a certain percentage increase in profits over a period of time. Financial objectives are distinct from other types of objectives, such as retention objectives, recruitment objectives, or public relations objectives, the achievement of which cannot easily be measured monetarily.</w:t>
            </w:r>
          </w:p>
        </w:tc>
      </w:tr>
      <w:tr w:rsidR="00BE42A0" w:rsidRPr="00BE42A0" w14:paraId="790740E0" w14:textId="77777777" w:rsidTr="00BE42A0">
        <w:tc>
          <w:tcPr>
            <w:tcW w:w="1668" w:type="dxa"/>
          </w:tcPr>
          <w:p w14:paraId="4573BCF0" w14:textId="77777777" w:rsidR="00BE42A0" w:rsidRPr="00775A57" w:rsidRDefault="00BE42A0" w:rsidP="0080392D">
            <w:pPr>
              <w:spacing w:after="120" w:line="240" w:lineRule="atLeast"/>
              <w:rPr>
                <w:b/>
                <w:lang w:val="en-US"/>
              </w:rPr>
            </w:pPr>
            <w:r w:rsidRPr="00775A57">
              <w:rPr>
                <w:b/>
                <w:lang w:val="en-US"/>
              </w:rPr>
              <w:t xml:space="preserve">financial activities </w:t>
            </w:r>
            <w:r w:rsidR="00114A68">
              <w:rPr>
                <w:b/>
                <w:lang w:val="en-US"/>
              </w:rPr>
              <w:t xml:space="preserve"> </w:t>
            </w:r>
          </w:p>
        </w:tc>
        <w:tc>
          <w:tcPr>
            <w:tcW w:w="8079" w:type="dxa"/>
          </w:tcPr>
          <w:p w14:paraId="042420B4" w14:textId="77777777" w:rsidR="00BE42A0" w:rsidRPr="00775A57" w:rsidRDefault="00BE42A0" w:rsidP="0080392D">
            <w:pPr>
              <w:spacing w:after="120" w:line="240" w:lineRule="atLeast"/>
              <w:ind w:firstLine="33"/>
              <w:jc w:val="both"/>
              <w:rPr>
                <w:lang w:val="en-US"/>
              </w:rPr>
            </w:pPr>
            <w:r w:rsidRPr="00775A57">
              <w:rPr>
                <w:lang w:val="en-US"/>
              </w:rPr>
              <w:t>are any transactions or initiatives undertaken by a business to further the fulfillment of economic goals. Financial activities may include buying and selling of products or assets, organizing and maintaining accounts, issuing stocks or bonds, arranging loans, or other business activities with specific monetary objectives.</w:t>
            </w:r>
          </w:p>
        </w:tc>
      </w:tr>
      <w:tr w:rsidR="00BE42A0" w:rsidRPr="00BE42A0" w14:paraId="1AA70B7F" w14:textId="77777777" w:rsidTr="00BE42A0">
        <w:tc>
          <w:tcPr>
            <w:tcW w:w="1668" w:type="dxa"/>
          </w:tcPr>
          <w:p w14:paraId="2650C704" w14:textId="77777777" w:rsidR="00BE42A0" w:rsidRPr="00775A57" w:rsidRDefault="00BE42A0" w:rsidP="0080392D">
            <w:pPr>
              <w:spacing w:after="120" w:line="240" w:lineRule="atLeast"/>
              <w:rPr>
                <w:b/>
                <w:lang w:val="en-US"/>
              </w:rPr>
            </w:pPr>
            <w:r w:rsidRPr="00775A57">
              <w:rPr>
                <w:b/>
              </w:rPr>
              <w:t>financial mechanism</w:t>
            </w:r>
            <w:r w:rsidRPr="00775A57">
              <w:rPr>
                <w:b/>
                <w:lang w:val="en-US"/>
              </w:rPr>
              <w:t xml:space="preserve"> </w:t>
            </w:r>
            <w:r w:rsidR="00114A68">
              <w:rPr>
                <w:b/>
                <w:lang w:val="en-US"/>
              </w:rPr>
              <w:t xml:space="preserve"> </w:t>
            </w:r>
          </w:p>
        </w:tc>
        <w:tc>
          <w:tcPr>
            <w:tcW w:w="8079" w:type="dxa"/>
          </w:tcPr>
          <w:p w14:paraId="03EF9EAD" w14:textId="77777777" w:rsidR="00BE42A0" w:rsidRPr="00775A57" w:rsidRDefault="00BE42A0" w:rsidP="0080392D">
            <w:pPr>
              <w:spacing w:after="120" w:line="240" w:lineRule="atLeast"/>
              <w:ind w:firstLine="33"/>
              <w:jc w:val="both"/>
              <w:rPr>
                <w:lang w:val="en-US"/>
              </w:rPr>
            </w:pPr>
            <w:r w:rsidRPr="00775A57">
              <w:rPr>
                <w:lang w:val="en-US"/>
              </w:rPr>
              <w:t xml:space="preserve">is a method or source through which funding is made available, such as bank loans, bond or share issue, reserves or savings, </w:t>
            </w:r>
            <w:r w:rsidR="008B03D8">
              <w:rPr>
                <w:lang w:val="en-US"/>
              </w:rPr>
              <w:t xml:space="preserve">and </w:t>
            </w:r>
            <w:r w:rsidRPr="00775A57">
              <w:rPr>
                <w:lang w:val="en-US"/>
              </w:rPr>
              <w:t xml:space="preserve">sales revenue. Different countries use different financial mechanism for redistribution of GDP. It depends on the economic development of the country, historic background, etc. </w:t>
            </w:r>
          </w:p>
        </w:tc>
      </w:tr>
      <w:tr w:rsidR="00BE42A0" w:rsidRPr="00BE42A0" w14:paraId="565BD136" w14:textId="77777777" w:rsidTr="00BE42A0">
        <w:tc>
          <w:tcPr>
            <w:tcW w:w="1668" w:type="dxa"/>
          </w:tcPr>
          <w:p w14:paraId="1570C6E7" w14:textId="77777777" w:rsidR="00BE42A0" w:rsidRPr="00775A57" w:rsidRDefault="00BE42A0" w:rsidP="0080392D">
            <w:pPr>
              <w:spacing w:after="120" w:line="240" w:lineRule="atLeast"/>
              <w:rPr>
                <w:b/>
                <w:lang w:val="en-US"/>
              </w:rPr>
            </w:pPr>
            <w:r w:rsidRPr="00775A57">
              <w:rPr>
                <w:b/>
                <w:lang w:val="en-US"/>
              </w:rPr>
              <w:t xml:space="preserve">financial markets </w:t>
            </w:r>
            <w:r w:rsidR="00114A68">
              <w:rPr>
                <w:b/>
                <w:lang w:val="en-US"/>
              </w:rPr>
              <w:t xml:space="preserve"> </w:t>
            </w:r>
          </w:p>
        </w:tc>
        <w:tc>
          <w:tcPr>
            <w:tcW w:w="8079" w:type="dxa"/>
          </w:tcPr>
          <w:p w14:paraId="228B5580" w14:textId="77777777" w:rsidR="00BE42A0" w:rsidRPr="00775A57" w:rsidRDefault="00BE42A0" w:rsidP="0080392D">
            <w:pPr>
              <w:spacing w:after="120" w:line="240" w:lineRule="atLeast"/>
              <w:jc w:val="both"/>
              <w:rPr>
                <w:lang w:val="en-US"/>
              </w:rPr>
            </w:pPr>
            <w:r w:rsidRPr="00775A57">
              <w:rPr>
                <w:lang w:val="en-US"/>
              </w:rPr>
              <w:t xml:space="preserve">are markets for sale and purchase of stocks (shares), bonds, bills of exchange, commodities, futures and options, foreign currency, etc., which work as exchanges for capital and credit. They provide transaction infrastructure for money cash flows. </w:t>
            </w:r>
          </w:p>
        </w:tc>
      </w:tr>
      <w:tr w:rsidR="00BE42A0" w:rsidRPr="00BE42A0" w14:paraId="14FCE103" w14:textId="77777777" w:rsidTr="00BE42A0">
        <w:tc>
          <w:tcPr>
            <w:tcW w:w="1668" w:type="dxa"/>
          </w:tcPr>
          <w:p w14:paraId="1B75E9EC" w14:textId="77777777" w:rsidR="00BE42A0" w:rsidRPr="00775A57" w:rsidRDefault="00BE42A0" w:rsidP="0080392D">
            <w:pPr>
              <w:spacing w:after="120" w:line="240" w:lineRule="atLeast"/>
              <w:rPr>
                <w:b/>
                <w:lang w:val="en-US"/>
              </w:rPr>
            </w:pPr>
            <w:r w:rsidRPr="00775A57">
              <w:rPr>
                <w:b/>
                <w:lang w:val="en-US"/>
              </w:rPr>
              <w:t xml:space="preserve">financial capital </w:t>
            </w:r>
            <w:r w:rsidR="00114A68">
              <w:rPr>
                <w:b/>
                <w:lang w:val="en-US"/>
              </w:rPr>
              <w:t xml:space="preserve"> </w:t>
            </w:r>
            <w:r w:rsidRPr="00775A57">
              <w:rPr>
                <w:b/>
                <w:lang w:val="en-US"/>
              </w:rPr>
              <w:t xml:space="preserve"> </w:t>
            </w:r>
          </w:p>
        </w:tc>
        <w:tc>
          <w:tcPr>
            <w:tcW w:w="8079" w:type="dxa"/>
          </w:tcPr>
          <w:p w14:paraId="159BCC64" w14:textId="77777777" w:rsidR="00BE42A0" w:rsidRPr="00775A57" w:rsidRDefault="00BE42A0" w:rsidP="008B03D8">
            <w:pPr>
              <w:spacing w:after="120" w:line="240" w:lineRule="atLeast"/>
              <w:jc w:val="both"/>
              <w:rPr>
                <w:lang w:val="en-US"/>
              </w:rPr>
            </w:pPr>
            <w:r w:rsidRPr="00775A57">
              <w:rPr>
                <w:lang w:val="en-US"/>
              </w:rPr>
              <w:t>is a borrowed sum or equity with which the firm's assets are acquired and its operations are funded.</w:t>
            </w:r>
            <w:r w:rsidRPr="00775A57">
              <w:rPr>
                <w:rFonts w:ascii="Times New Roman" w:hAnsi="Times New Roman"/>
                <w:b/>
                <w:szCs w:val="20"/>
                <w:lang w:val="en-US"/>
              </w:rPr>
              <w:t xml:space="preserve"> </w:t>
            </w:r>
            <w:r w:rsidRPr="00775A57">
              <w:rPr>
                <w:lang w:val="en-US"/>
              </w:rPr>
              <w:t xml:space="preserve">You </w:t>
            </w:r>
            <w:r w:rsidR="008B03D8" w:rsidRPr="00775A57">
              <w:rPr>
                <w:lang w:val="en-US"/>
              </w:rPr>
              <w:t xml:space="preserve">always </w:t>
            </w:r>
            <w:r w:rsidRPr="00775A57">
              <w:rPr>
                <w:lang w:val="en-US"/>
              </w:rPr>
              <w:t xml:space="preserve">need to know how much financial capital you can get </w:t>
            </w:r>
            <w:r w:rsidR="008B03D8">
              <w:rPr>
                <w:lang w:val="en-US"/>
              </w:rPr>
              <w:t xml:space="preserve">in </w:t>
            </w:r>
            <w:r w:rsidRPr="00775A57">
              <w:rPr>
                <w:lang w:val="en-US"/>
              </w:rPr>
              <w:t>your hands in case a big deal comes your way.</w:t>
            </w:r>
          </w:p>
        </w:tc>
      </w:tr>
      <w:tr w:rsidR="00BE42A0" w:rsidRPr="00BE42A0" w14:paraId="7D44A960" w14:textId="77777777" w:rsidTr="00BE42A0">
        <w:tc>
          <w:tcPr>
            <w:tcW w:w="1668" w:type="dxa"/>
          </w:tcPr>
          <w:p w14:paraId="4450EAE9" w14:textId="77777777" w:rsidR="0080392D" w:rsidRPr="00775A57" w:rsidRDefault="00BE42A0" w:rsidP="0080392D">
            <w:pPr>
              <w:spacing w:line="240" w:lineRule="atLeast"/>
              <w:rPr>
                <w:b/>
                <w:lang w:val="en-US"/>
              </w:rPr>
            </w:pPr>
            <w:r w:rsidRPr="00775A57">
              <w:rPr>
                <w:b/>
                <w:lang w:val="en-US"/>
              </w:rPr>
              <w:t>financial</w:t>
            </w:r>
          </w:p>
          <w:p w14:paraId="6F50B6AC" w14:textId="77777777" w:rsidR="00BE42A0" w:rsidRPr="00775A57" w:rsidRDefault="00BE42A0" w:rsidP="0080392D">
            <w:pPr>
              <w:spacing w:line="240" w:lineRule="atLeast"/>
              <w:rPr>
                <w:b/>
                <w:lang w:val="en-US"/>
              </w:rPr>
            </w:pPr>
            <w:r w:rsidRPr="00775A57">
              <w:rPr>
                <w:b/>
                <w:lang w:val="en-US"/>
              </w:rPr>
              <w:t xml:space="preserve">sector </w:t>
            </w:r>
            <w:r w:rsidR="00114A68">
              <w:rPr>
                <w:b/>
                <w:lang w:val="en-US"/>
              </w:rPr>
              <w:t xml:space="preserve"> </w:t>
            </w:r>
          </w:p>
        </w:tc>
        <w:tc>
          <w:tcPr>
            <w:tcW w:w="8079" w:type="dxa"/>
          </w:tcPr>
          <w:p w14:paraId="067CD003" w14:textId="77777777" w:rsidR="00BE42A0" w:rsidRPr="00775A57" w:rsidRDefault="00BE42A0" w:rsidP="0080392D">
            <w:pPr>
              <w:spacing w:after="120" w:line="240" w:lineRule="atLeast"/>
              <w:jc w:val="both"/>
              <w:rPr>
                <w:lang w:val="en-US"/>
              </w:rPr>
            </w:pPr>
            <w:r w:rsidRPr="00775A57">
              <w:rPr>
                <w:lang w:val="en-US"/>
              </w:rPr>
              <w:t>is the part of an overall economy that is primarily made up of money markets, banking institutions</w:t>
            </w:r>
            <w:r w:rsidR="008B03D8">
              <w:rPr>
                <w:lang w:val="en-US"/>
              </w:rPr>
              <w:t>,</w:t>
            </w:r>
            <w:r w:rsidRPr="00775A57">
              <w:rPr>
                <w:lang w:val="en-US"/>
              </w:rPr>
              <w:t xml:space="preserve"> and brokers. The finance sector is a very important aspect of </w:t>
            </w:r>
            <w:r w:rsidR="008B03D8">
              <w:rPr>
                <w:lang w:val="en-US"/>
              </w:rPr>
              <w:t xml:space="preserve">the </w:t>
            </w:r>
            <w:r w:rsidRPr="00775A57">
              <w:rPr>
                <w:lang w:val="en-US"/>
              </w:rPr>
              <w:t>most large and highly developed economies, such as those in the United States, the United Kingdom, Japan</w:t>
            </w:r>
            <w:r w:rsidR="008B03D8">
              <w:rPr>
                <w:lang w:val="en-US"/>
              </w:rPr>
              <w:t>,</w:t>
            </w:r>
            <w:r w:rsidRPr="00775A57">
              <w:rPr>
                <w:lang w:val="en-US"/>
              </w:rPr>
              <w:t xml:space="preserve"> and Switzerland.</w:t>
            </w:r>
          </w:p>
        </w:tc>
      </w:tr>
      <w:tr w:rsidR="00BE42A0" w:rsidRPr="00BE42A0" w14:paraId="7831F0BE" w14:textId="77777777" w:rsidTr="00BE42A0">
        <w:tc>
          <w:tcPr>
            <w:tcW w:w="1668" w:type="dxa"/>
          </w:tcPr>
          <w:p w14:paraId="4E22C11C" w14:textId="77777777" w:rsidR="00BE42A0" w:rsidRPr="00775A57" w:rsidRDefault="00BE42A0" w:rsidP="0080392D">
            <w:pPr>
              <w:spacing w:after="120" w:line="240" w:lineRule="atLeast"/>
              <w:rPr>
                <w:b/>
                <w:lang w:val="en-US"/>
              </w:rPr>
            </w:pPr>
            <w:r w:rsidRPr="00775A57">
              <w:rPr>
                <w:b/>
                <w:lang w:val="en-US"/>
              </w:rPr>
              <w:t xml:space="preserve">financial instrument </w:t>
            </w:r>
            <w:r w:rsidR="00114A68">
              <w:rPr>
                <w:b/>
                <w:lang w:val="en-US"/>
              </w:rPr>
              <w:t xml:space="preserve"> </w:t>
            </w:r>
          </w:p>
        </w:tc>
        <w:tc>
          <w:tcPr>
            <w:tcW w:w="8079" w:type="dxa"/>
          </w:tcPr>
          <w:p w14:paraId="265724F7" w14:textId="77777777" w:rsidR="00BE42A0" w:rsidRPr="00775A57" w:rsidRDefault="00BE42A0" w:rsidP="008B03D8">
            <w:pPr>
              <w:spacing w:after="120" w:line="240" w:lineRule="atLeast"/>
              <w:jc w:val="both"/>
              <w:rPr>
                <w:lang w:val="en-US"/>
              </w:rPr>
            </w:pPr>
            <w:r w:rsidRPr="00775A57">
              <w:rPr>
                <w:lang w:val="en-US"/>
              </w:rPr>
              <w:t>is a document (such as a check, draft, bond, share,</w:t>
            </w:r>
            <w:r w:rsidR="008B03D8">
              <w:rPr>
                <w:lang w:val="en-US"/>
              </w:rPr>
              <w:t xml:space="preserve"> a</w:t>
            </w:r>
            <w:r w:rsidRPr="00775A57">
              <w:rPr>
                <w:lang w:val="en-US"/>
              </w:rPr>
              <w:t xml:space="preserve"> bill of exchange,</w:t>
            </w:r>
            <w:r w:rsidR="008B03D8">
              <w:rPr>
                <w:lang w:val="en-US"/>
              </w:rPr>
              <w:t xml:space="preserve"> and</w:t>
            </w:r>
            <w:r w:rsidRPr="00775A57">
              <w:rPr>
                <w:lang w:val="en-US"/>
              </w:rPr>
              <w:t xml:space="preserve"> futures or options</w:t>
            </w:r>
            <w:r w:rsidR="008B03D8">
              <w:rPr>
                <w:lang w:val="en-US"/>
              </w:rPr>
              <w:t xml:space="preserve"> </w:t>
            </w:r>
            <w:r w:rsidRPr="00775A57">
              <w:rPr>
                <w:lang w:val="en-US"/>
              </w:rPr>
              <w:t xml:space="preserve">contract) that has a monetary value or represents a legally enforceable (binding) agreement between two or more parties regarding </w:t>
            </w:r>
            <w:r w:rsidR="008B03D8">
              <w:rPr>
                <w:lang w:val="en-US"/>
              </w:rPr>
              <w:t>the</w:t>
            </w:r>
            <w:r w:rsidRPr="00775A57">
              <w:rPr>
                <w:lang w:val="en-US"/>
              </w:rPr>
              <w:t xml:space="preserve"> right to pay money. See also debt instrument, the equity instrument, and financing instrument.</w:t>
            </w:r>
          </w:p>
        </w:tc>
      </w:tr>
      <w:tr w:rsidR="00BE42A0" w:rsidRPr="00BE42A0" w14:paraId="02F27119" w14:textId="77777777" w:rsidTr="00BE42A0">
        <w:tc>
          <w:tcPr>
            <w:tcW w:w="1668" w:type="dxa"/>
          </w:tcPr>
          <w:p w14:paraId="2EEDA123" w14:textId="77777777" w:rsidR="00BE42A0" w:rsidRPr="00775A57" w:rsidRDefault="00BE42A0" w:rsidP="0080392D">
            <w:pPr>
              <w:spacing w:after="120" w:line="240" w:lineRule="atLeast"/>
              <w:rPr>
                <w:b/>
                <w:lang w:val="en-US"/>
              </w:rPr>
            </w:pPr>
            <w:r w:rsidRPr="00775A57">
              <w:rPr>
                <w:b/>
                <w:lang w:val="en-US"/>
              </w:rPr>
              <w:t xml:space="preserve">finance company </w:t>
            </w:r>
            <w:r w:rsidR="00114A68">
              <w:rPr>
                <w:b/>
                <w:lang w:val="en-US"/>
              </w:rPr>
              <w:t xml:space="preserve"> </w:t>
            </w:r>
          </w:p>
        </w:tc>
        <w:tc>
          <w:tcPr>
            <w:tcW w:w="8079" w:type="dxa"/>
          </w:tcPr>
          <w:p w14:paraId="6D4B75C8" w14:textId="77777777" w:rsidR="00BE42A0" w:rsidRPr="00775A57" w:rsidRDefault="00BE42A0" w:rsidP="0080392D">
            <w:pPr>
              <w:spacing w:after="120" w:line="240" w:lineRule="atLeast"/>
              <w:jc w:val="both"/>
              <w:rPr>
                <w:noProof/>
                <w:lang w:val="en-US"/>
              </w:rPr>
            </w:pPr>
            <w:r w:rsidRPr="00775A57">
              <w:rPr>
                <w:noProof/>
                <w:lang w:val="en-US"/>
              </w:rPr>
              <w:t xml:space="preserve">is </w:t>
            </w:r>
            <w:r w:rsidR="00114A68">
              <w:rPr>
                <w:noProof/>
                <w:lang w:val="en-US"/>
              </w:rPr>
              <w:t xml:space="preserve">a </w:t>
            </w:r>
            <w:r w:rsidRPr="00775A57">
              <w:rPr>
                <w:noProof/>
                <w:lang w:val="en-US"/>
              </w:rPr>
              <w:t xml:space="preserve">financial organization that accepts deposits (and pays out interest on them) and lends to consumers and/or businesses. Very often finance companies are called financial intermediaries. </w:t>
            </w:r>
          </w:p>
        </w:tc>
      </w:tr>
      <w:tr w:rsidR="00BE42A0" w:rsidRPr="00BE42A0" w14:paraId="1290EC2E" w14:textId="77777777" w:rsidTr="00BE42A0">
        <w:tc>
          <w:tcPr>
            <w:tcW w:w="1668" w:type="dxa"/>
          </w:tcPr>
          <w:p w14:paraId="29E96DBA" w14:textId="77777777" w:rsidR="00BE42A0" w:rsidRPr="00775A57" w:rsidRDefault="00BE42A0" w:rsidP="0080392D">
            <w:pPr>
              <w:spacing w:after="120" w:line="240" w:lineRule="atLeast"/>
              <w:rPr>
                <w:b/>
                <w:lang w:val="en-US"/>
              </w:rPr>
            </w:pPr>
            <w:r w:rsidRPr="00775A57">
              <w:rPr>
                <w:b/>
                <w:lang w:val="en-US"/>
              </w:rPr>
              <w:t xml:space="preserve">financial performance </w:t>
            </w:r>
            <w:r w:rsidR="00114A68">
              <w:rPr>
                <w:b/>
                <w:lang w:val="en-US"/>
              </w:rPr>
              <w:t xml:space="preserve"> </w:t>
            </w:r>
          </w:p>
        </w:tc>
        <w:tc>
          <w:tcPr>
            <w:tcW w:w="8079" w:type="dxa"/>
          </w:tcPr>
          <w:p w14:paraId="7B234166" w14:textId="77777777" w:rsidR="00BE42A0" w:rsidRPr="00775A57" w:rsidRDefault="00BE42A0" w:rsidP="0080392D">
            <w:pPr>
              <w:spacing w:after="120" w:line="240" w:lineRule="atLeast"/>
              <w:jc w:val="both"/>
              <w:rPr>
                <w:lang w:val="en-US"/>
              </w:rPr>
            </w:pPr>
            <w:r w:rsidRPr="00775A57">
              <w:rPr>
                <w:lang w:val="en-US"/>
              </w:rPr>
              <w:t>is a measure of the results of a firm’s or state’s policies and operations in monetary terms. These results are reflected in the firm’s or state’s return on investment, return on assets, value added, etc.</w:t>
            </w:r>
          </w:p>
        </w:tc>
      </w:tr>
      <w:tr w:rsidR="00BE42A0" w:rsidRPr="00BE42A0" w14:paraId="4BD80AE8" w14:textId="77777777" w:rsidTr="00BE42A0">
        <w:tc>
          <w:tcPr>
            <w:tcW w:w="1668" w:type="dxa"/>
          </w:tcPr>
          <w:p w14:paraId="5CC1596E" w14:textId="77777777" w:rsidR="00BE42A0" w:rsidRPr="00775A57" w:rsidRDefault="00BE42A0" w:rsidP="0080392D">
            <w:pPr>
              <w:spacing w:after="120" w:line="240" w:lineRule="atLeast"/>
              <w:rPr>
                <w:b/>
                <w:lang w:val="en-US"/>
              </w:rPr>
            </w:pPr>
            <w:r w:rsidRPr="00775A57">
              <w:rPr>
                <w:b/>
                <w:lang w:val="en-US"/>
              </w:rPr>
              <w:t xml:space="preserve">financial accelerator </w:t>
            </w:r>
            <w:r w:rsidR="00114A68">
              <w:rPr>
                <w:b/>
                <w:lang w:val="en-US"/>
              </w:rPr>
              <w:t xml:space="preserve"> </w:t>
            </w:r>
          </w:p>
        </w:tc>
        <w:tc>
          <w:tcPr>
            <w:tcW w:w="8079" w:type="dxa"/>
          </w:tcPr>
          <w:p w14:paraId="0090BE10" w14:textId="77777777" w:rsidR="00BE42A0" w:rsidRPr="00775A57" w:rsidRDefault="00BE42A0" w:rsidP="008B03D8">
            <w:pPr>
              <w:spacing w:after="120" w:line="240" w:lineRule="atLeast"/>
              <w:jc w:val="both"/>
              <w:rPr>
                <w:lang w:val="en-US"/>
              </w:rPr>
            </w:pPr>
            <w:r w:rsidRPr="00775A57">
              <w:rPr>
                <w:lang w:val="en-US"/>
              </w:rPr>
              <w:t>is a financial impact that leads to a widespread economic boom or bust. The impact and subsequent reaction create a feedback loop; as conditions worsen</w:t>
            </w:r>
            <w:r w:rsidR="008B03D8">
              <w:rPr>
                <w:lang w:val="en-US"/>
              </w:rPr>
              <w:t>,</w:t>
            </w:r>
            <w:r w:rsidRPr="00775A57">
              <w:rPr>
                <w:lang w:val="en-US"/>
              </w:rPr>
              <w:t xml:space="preserve"> the financial impact becomes more influential. For example, adjustment of interest rates by the Federal Reserve can lead to increased or decreased spending by consumers.</w:t>
            </w:r>
          </w:p>
        </w:tc>
      </w:tr>
      <w:tr w:rsidR="00BE42A0" w:rsidRPr="00BE42A0" w14:paraId="6C783D1B" w14:textId="77777777" w:rsidTr="00BE42A0">
        <w:tc>
          <w:tcPr>
            <w:tcW w:w="1668" w:type="dxa"/>
          </w:tcPr>
          <w:p w14:paraId="3A274EBC" w14:textId="77777777" w:rsidR="00BE42A0" w:rsidRPr="00775A57" w:rsidRDefault="00BE42A0" w:rsidP="0080392D">
            <w:pPr>
              <w:spacing w:after="120" w:line="240" w:lineRule="atLeast"/>
              <w:rPr>
                <w:b/>
                <w:lang w:val="en-US"/>
              </w:rPr>
            </w:pPr>
            <w:r w:rsidRPr="00775A57">
              <w:rPr>
                <w:b/>
                <w:lang w:val="en-US"/>
              </w:rPr>
              <w:t xml:space="preserve">financial economics </w:t>
            </w:r>
            <w:r w:rsidR="00114A68">
              <w:rPr>
                <w:b/>
                <w:lang w:val="en-US"/>
              </w:rPr>
              <w:t xml:space="preserve"> </w:t>
            </w:r>
          </w:p>
        </w:tc>
        <w:tc>
          <w:tcPr>
            <w:tcW w:w="8079" w:type="dxa"/>
          </w:tcPr>
          <w:p w14:paraId="1104492F" w14:textId="77777777" w:rsidR="00BE42A0" w:rsidRPr="00775A57" w:rsidRDefault="00BE42A0" w:rsidP="0080392D">
            <w:pPr>
              <w:spacing w:after="120" w:line="240" w:lineRule="atLeast"/>
              <w:jc w:val="both"/>
              <w:rPr>
                <w:lang w:val="en-US"/>
              </w:rPr>
            </w:pPr>
            <w:r w:rsidRPr="00775A57">
              <w:rPr>
                <w:lang w:val="en-US"/>
              </w:rPr>
              <w:t>is a branch of economics focused on the elements of time, risk, opportunity cost</w:t>
            </w:r>
            <w:r w:rsidR="008B03D8">
              <w:rPr>
                <w:lang w:val="en-US"/>
              </w:rPr>
              <w:t>,</w:t>
            </w:r>
            <w:r w:rsidRPr="00775A57">
              <w:rPr>
                <w:lang w:val="en-US"/>
              </w:rPr>
              <w:t xml:space="preserve"> and other variables related to financial decisions. This field of study concentrates on how financial moves are made under uncertain conditions.</w:t>
            </w:r>
          </w:p>
        </w:tc>
      </w:tr>
      <w:tr w:rsidR="00BE42A0" w:rsidRPr="00BE42A0" w14:paraId="16E0C3EB" w14:textId="77777777" w:rsidTr="00BE42A0">
        <w:trPr>
          <w:trHeight w:val="1468"/>
        </w:trPr>
        <w:tc>
          <w:tcPr>
            <w:tcW w:w="1668" w:type="dxa"/>
          </w:tcPr>
          <w:p w14:paraId="5BCD1504" w14:textId="77777777" w:rsidR="00BE42A0" w:rsidRPr="00775A57" w:rsidRDefault="00BE42A0" w:rsidP="0080392D">
            <w:pPr>
              <w:spacing w:after="120" w:line="240" w:lineRule="atLeast"/>
              <w:rPr>
                <w:b/>
                <w:lang w:val="en-US"/>
              </w:rPr>
            </w:pPr>
            <w:r w:rsidRPr="00775A57">
              <w:rPr>
                <w:b/>
                <w:lang w:val="en-US"/>
              </w:rPr>
              <w:lastRenderedPageBreak/>
              <w:t xml:space="preserve">financial projection </w:t>
            </w:r>
            <w:r w:rsidR="00114A68">
              <w:rPr>
                <w:b/>
                <w:lang w:val="en-US"/>
              </w:rPr>
              <w:t xml:space="preserve"> </w:t>
            </w:r>
          </w:p>
        </w:tc>
        <w:tc>
          <w:tcPr>
            <w:tcW w:w="8079" w:type="dxa"/>
          </w:tcPr>
          <w:p w14:paraId="65AC1CFB" w14:textId="77777777" w:rsidR="00BE42A0" w:rsidRPr="00775A57" w:rsidRDefault="00BE42A0" w:rsidP="0080392D">
            <w:pPr>
              <w:spacing w:after="120" w:line="240" w:lineRule="atLeast"/>
              <w:jc w:val="both"/>
              <w:rPr>
                <w:lang w:val="en-US"/>
              </w:rPr>
            </w:pPr>
            <w:r w:rsidRPr="00775A57">
              <w:rPr>
                <w:lang w:val="en-US"/>
              </w:rPr>
              <w:t>is a forecast of future revenues and expenses for a business, organization, or country. A financial projection will typically take into account both internal information</w:t>
            </w:r>
            <w:r w:rsidR="008B03D8">
              <w:rPr>
                <w:lang w:val="en-US"/>
              </w:rPr>
              <w:t>,</w:t>
            </w:r>
            <w:r w:rsidRPr="00775A57">
              <w:rPr>
                <w:lang w:val="en-US"/>
              </w:rPr>
              <w:t xml:space="preserve"> such as historical income and cost data, and estimates of the development of external market factors, providing estimated figures in addition to projections of the general financial condition of the company in the future.</w:t>
            </w:r>
          </w:p>
        </w:tc>
      </w:tr>
    </w:tbl>
    <w:p w14:paraId="47C8D614" w14:textId="77777777" w:rsidR="00BE42A0" w:rsidRPr="00775A57" w:rsidRDefault="00BE42A0" w:rsidP="002E7F7B">
      <w:pPr>
        <w:pStyle w:val="end2"/>
        <w:spacing w:line="240" w:lineRule="atLeast"/>
        <w:rPr>
          <w:szCs w:val="28"/>
        </w:rPr>
      </w:pPr>
      <w:r w:rsidRPr="00775A57">
        <w:rPr>
          <w:szCs w:val="28"/>
        </w:rPr>
        <w:t>Review questions</w:t>
      </w:r>
    </w:p>
    <w:p w14:paraId="7EC99095" w14:textId="77777777" w:rsidR="00BE42A0" w:rsidRPr="00775A57" w:rsidRDefault="00BE42A0" w:rsidP="006F749C">
      <w:pPr>
        <w:pStyle w:val="ListParagraph"/>
        <w:numPr>
          <w:ilvl w:val="0"/>
          <w:numId w:val="91"/>
        </w:numPr>
        <w:tabs>
          <w:tab w:val="num" w:pos="1070"/>
        </w:tabs>
        <w:spacing w:after="0" w:line="312" w:lineRule="auto"/>
        <w:ind w:left="426"/>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What is finance? Describe it according to such philosophical categories as its “essence” and “phenomenon”, “content” and “form”.</w:t>
      </w:r>
    </w:p>
    <w:p w14:paraId="15BCA3BC" w14:textId="77777777" w:rsidR="00BE42A0" w:rsidRPr="00775A57" w:rsidRDefault="00BE42A0" w:rsidP="006F749C">
      <w:pPr>
        <w:pStyle w:val="ListParagraph"/>
        <w:numPr>
          <w:ilvl w:val="0"/>
          <w:numId w:val="91"/>
        </w:numPr>
        <w:tabs>
          <w:tab w:val="num" w:pos="1070"/>
        </w:tabs>
        <w:spacing w:after="0" w:line="312" w:lineRule="auto"/>
        <w:ind w:left="426"/>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What are financial relations? When do they appear? Describe their objects and subjects.</w:t>
      </w:r>
    </w:p>
    <w:p w14:paraId="00E223AA" w14:textId="77777777" w:rsidR="00BE42A0" w:rsidRPr="00775A57" w:rsidRDefault="00BE42A0" w:rsidP="006F749C">
      <w:pPr>
        <w:pStyle w:val="ListParagraph"/>
        <w:numPr>
          <w:ilvl w:val="0"/>
          <w:numId w:val="91"/>
        </w:numPr>
        <w:tabs>
          <w:tab w:val="num" w:pos="1070"/>
        </w:tabs>
        <w:spacing w:after="0" w:line="312" w:lineRule="auto"/>
        <w:ind w:left="426"/>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What are the characteristic features of finance? What method uses the science of finance?</w:t>
      </w:r>
    </w:p>
    <w:p w14:paraId="7E7EE55B" w14:textId="77777777" w:rsidR="00BE42A0" w:rsidRPr="00775A57" w:rsidRDefault="00BE42A0" w:rsidP="006F749C">
      <w:pPr>
        <w:pStyle w:val="ListParagraph"/>
        <w:numPr>
          <w:ilvl w:val="0"/>
          <w:numId w:val="91"/>
        </w:numPr>
        <w:tabs>
          <w:tab w:val="num" w:pos="1070"/>
        </w:tabs>
        <w:spacing w:after="0" w:line="312" w:lineRule="auto"/>
        <w:ind w:left="426"/>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 xml:space="preserve">Define the centralized and decentralized finance? </w:t>
      </w:r>
      <w:r w:rsidR="008B03D8">
        <w:rPr>
          <w:rFonts w:ascii="Garamond" w:hAnsi="Garamond" w:cs="Garamond"/>
          <w:color w:val="auto"/>
          <w:szCs w:val="28"/>
          <w:lang w:val="en-US" w:eastAsia="ru-RU" w:bidi="ru-RU"/>
        </w:rPr>
        <w:t>Give</w:t>
      </w:r>
      <w:r w:rsidRPr="00775A57">
        <w:rPr>
          <w:rFonts w:ascii="Garamond" w:hAnsi="Garamond" w:cs="Garamond"/>
          <w:color w:val="auto"/>
          <w:szCs w:val="28"/>
          <w:lang w:val="en-US" w:eastAsia="ru-RU" w:bidi="ru-RU"/>
        </w:rPr>
        <w:t xml:space="preserve"> examples.</w:t>
      </w:r>
    </w:p>
    <w:p w14:paraId="6531C187" w14:textId="77777777" w:rsidR="00BE42A0" w:rsidRPr="00775A57" w:rsidRDefault="00BE42A0" w:rsidP="006F749C">
      <w:pPr>
        <w:pStyle w:val="ListParagraph"/>
        <w:numPr>
          <w:ilvl w:val="0"/>
          <w:numId w:val="91"/>
        </w:numPr>
        <w:tabs>
          <w:tab w:val="num" w:pos="1070"/>
        </w:tabs>
        <w:spacing w:after="0" w:line="312" w:lineRule="auto"/>
        <w:ind w:left="426"/>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How are financial resources</w:t>
      </w:r>
      <w:r w:rsidR="008B03D8" w:rsidRPr="008B03D8">
        <w:rPr>
          <w:rFonts w:ascii="Garamond" w:hAnsi="Garamond" w:cs="Garamond"/>
          <w:color w:val="auto"/>
          <w:szCs w:val="28"/>
          <w:lang w:val="en-US" w:eastAsia="ru-RU" w:bidi="ru-RU"/>
        </w:rPr>
        <w:t xml:space="preserve"> </w:t>
      </w:r>
      <w:r w:rsidR="008B03D8" w:rsidRPr="00775A57">
        <w:rPr>
          <w:rFonts w:ascii="Garamond" w:hAnsi="Garamond" w:cs="Garamond"/>
          <w:color w:val="auto"/>
          <w:szCs w:val="28"/>
          <w:lang w:val="en-US" w:eastAsia="ru-RU" w:bidi="ru-RU"/>
        </w:rPr>
        <w:t>classified</w:t>
      </w:r>
      <w:r w:rsidRPr="00775A57">
        <w:rPr>
          <w:rFonts w:ascii="Garamond" w:hAnsi="Garamond" w:cs="Garamond"/>
          <w:color w:val="auto"/>
          <w:szCs w:val="28"/>
          <w:lang w:val="en-US" w:eastAsia="ru-RU" w:bidi="ru-RU"/>
        </w:rPr>
        <w:t>? What are their characteristic features?</w:t>
      </w:r>
    </w:p>
    <w:p w14:paraId="40DA4BCF" w14:textId="77777777" w:rsidR="00BE42A0" w:rsidRPr="00775A57" w:rsidRDefault="00BE42A0" w:rsidP="006F749C">
      <w:pPr>
        <w:pStyle w:val="ListParagraph"/>
        <w:numPr>
          <w:ilvl w:val="0"/>
          <w:numId w:val="91"/>
        </w:numPr>
        <w:tabs>
          <w:tab w:val="num" w:pos="1070"/>
        </w:tabs>
        <w:spacing w:after="0" w:line="312" w:lineRule="auto"/>
        <w:ind w:left="426"/>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 xml:space="preserve">Describe the nature and mechanism of the distribution function of finance. </w:t>
      </w:r>
      <w:r w:rsidR="008B03D8">
        <w:rPr>
          <w:rFonts w:ascii="Garamond" w:hAnsi="Garamond" w:cs="Garamond"/>
          <w:color w:val="auto"/>
          <w:szCs w:val="28"/>
          <w:lang w:val="en-US" w:eastAsia="ru-RU" w:bidi="ru-RU"/>
        </w:rPr>
        <w:t>Give</w:t>
      </w:r>
      <w:r w:rsidRPr="00775A57">
        <w:rPr>
          <w:rFonts w:ascii="Garamond" w:hAnsi="Garamond" w:cs="Garamond"/>
          <w:color w:val="auto"/>
          <w:szCs w:val="28"/>
          <w:lang w:val="en-US" w:eastAsia="ru-RU" w:bidi="ru-RU"/>
        </w:rPr>
        <w:t xml:space="preserve"> examples.</w:t>
      </w:r>
    </w:p>
    <w:p w14:paraId="119B1008" w14:textId="77777777" w:rsidR="00BE42A0" w:rsidRPr="00775A57" w:rsidRDefault="00BE42A0" w:rsidP="006F749C">
      <w:pPr>
        <w:pStyle w:val="ListParagraph"/>
        <w:numPr>
          <w:ilvl w:val="0"/>
          <w:numId w:val="91"/>
        </w:numPr>
        <w:tabs>
          <w:tab w:val="num" w:pos="1070"/>
        </w:tabs>
        <w:spacing w:after="0" w:line="312" w:lineRule="auto"/>
        <w:ind w:left="426"/>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Describe the difference between the distribution and redistribution.</w:t>
      </w:r>
    </w:p>
    <w:p w14:paraId="04C2AF7E" w14:textId="77777777" w:rsidR="00BE42A0" w:rsidRPr="00775A57" w:rsidRDefault="00BE42A0" w:rsidP="006F749C">
      <w:pPr>
        <w:pStyle w:val="ListParagraph"/>
        <w:numPr>
          <w:ilvl w:val="0"/>
          <w:numId w:val="91"/>
        </w:numPr>
        <w:tabs>
          <w:tab w:val="num" w:pos="1070"/>
        </w:tabs>
        <w:spacing w:after="0" w:line="312" w:lineRule="auto"/>
        <w:ind w:left="425" w:hanging="357"/>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 xml:space="preserve">What </w:t>
      </w:r>
      <w:r w:rsidR="008B03D8">
        <w:rPr>
          <w:rFonts w:ascii="Garamond" w:hAnsi="Garamond" w:cs="Garamond"/>
          <w:color w:val="auto"/>
          <w:szCs w:val="28"/>
          <w:lang w:val="en-US" w:eastAsia="ru-RU" w:bidi="ru-RU"/>
        </w:rPr>
        <w:t>does</w:t>
      </w:r>
      <w:r w:rsidRPr="00775A57">
        <w:rPr>
          <w:rFonts w:ascii="Garamond" w:hAnsi="Garamond" w:cs="Garamond"/>
          <w:color w:val="auto"/>
          <w:szCs w:val="28"/>
          <w:lang w:val="en-US" w:eastAsia="ru-RU" w:bidi="ru-RU"/>
        </w:rPr>
        <w:t xml:space="preserve"> control function of finance</w:t>
      </w:r>
      <w:r w:rsidR="008B03D8">
        <w:rPr>
          <w:rFonts w:ascii="Garamond" w:hAnsi="Garamond" w:cs="Garamond"/>
          <w:color w:val="auto"/>
          <w:szCs w:val="28"/>
          <w:lang w:val="en-US" w:eastAsia="ru-RU" w:bidi="ru-RU"/>
        </w:rPr>
        <w:t xml:space="preserve"> </w:t>
      </w:r>
      <w:r w:rsidR="008B03D8" w:rsidRPr="00775A57">
        <w:rPr>
          <w:rFonts w:ascii="Garamond" w:hAnsi="Garamond" w:cs="Garamond"/>
          <w:color w:val="auto"/>
          <w:szCs w:val="28"/>
          <w:lang w:val="en-US" w:eastAsia="ru-RU" w:bidi="ru-RU"/>
        </w:rPr>
        <w:t>mean</w:t>
      </w:r>
      <w:r w:rsidRPr="00775A57">
        <w:rPr>
          <w:rFonts w:ascii="Garamond" w:hAnsi="Garamond" w:cs="Garamond"/>
          <w:color w:val="auto"/>
          <w:szCs w:val="28"/>
          <w:lang w:val="en-US" w:eastAsia="ru-RU" w:bidi="ru-RU"/>
        </w:rPr>
        <w:t xml:space="preserve">? Who implements a control function in practice? </w:t>
      </w:r>
    </w:p>
    <w:p w14:paraId="3BD32B2C" w14:textId="77777777" w:rsidR="00BE42A0" w:rsidRPr="00775A57" w:rsidRDefault="00BE42A0" w:rsidP="006F749C">
      <w:pPr>
        <w:pStyle w:val="ListParagraph"/>
        <w:numPr>
          <w:ilvl w:val="0"/>
          <w:numId w:val="91"/>
        </w:numPr>
        <w:tabs>
          <w:tab w:val="num" w:pos="1070"/>
        </w:tabs>
        <w:spacing w:after="0" w:line="312" w:lineRule="auto"/>
        <w:ind w:left="425" w:hanging="357"/>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What is money fund? How does it form? Who manages it?</w:t>
      </w:r>
    </w:p>
    <w:p w14:paraId="2F2C0BE1" w14:textId="77777777" w:rsidR="00BE42A0" w:rsidRPr="00775A57" w:rsidRDefault="00BE42A0" w:rsidP="006F749C">
      <w:pPr>
        <w:pStyle w:val="ListParagraph"/>
        <w:numPr>
          <w:ilvl w:val="0"/>
          <w:numId w:val="91"/>
        </w:numPr>
        <w:tabs>
          <w:tab w:val="num" w:pos="1070"/>
        </w:tabs>
        <w:spacing w:after="0" w:line="312" w:lineRule="auto"/>
        <w:ind w:left="425" w:hanging="357"/>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On what fundamental categories is financial science based? Describe them.</w:t>
      </w:r>
    </w:p>
    <w:p w14:paraId="47D088DC" w14:textId="77777777" w:rsidR="00BE42A0" w:rsidRPr="00775A57" w:rsidRDefault="00BE42A0" w:rsidP="006F749C">
      <w:pPr>
        <w:pStyle w:val="ListParagraph"/>
        <w:numPr>
          <w:ilvl w:val="0"/>
          <w:numId w:val="91"/>
        </w:numPr>
        <w:tabs>
          <w:tab w:val="num" w:pos="1070"/>
        </w:tabs>
        <w:spacing w:after="0" w:line="312" w:lineRule="auto"/>
        <w:ind w:left="425" w:hanging="357"/>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 xml:space="preserve">What are the common and different features of finance and money, finance and price? </w:t>
      </w:r>
    </w:p>
    <w:p w14:paraId="261F3CC3" w14:textId="77777777" w:rsidR="00BE42A0" w:rsidRPr="00775A57" w:rsidRDefault="00BE42A0" w:rsidP="006F749C">
      <w:pPr>
        <w:pStyle w:val="ListParagraph"/>
        <w:numPr>
          <w:ilvl w:val="0"/>
          <w:numId w:val="91"/>
        </w:numPr>
        <w:tabs>
          <w:tab w:val="num" w:pos="1070"/>
        </w:tabs>
        <w:spacing w:after="0" w:line="312" w:lineRule="auto"/>
        <w:ind w:left="425" w:hanging="357"/>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 xml:space="preserve">What are the common and different features </w:t>
      </w:r>
      <w:r w:rsidR="008B03D8">
        <w:rPr>
          <w:rFonts w:ascii="Garamond" w:hAnsi="Garamond" w:cs="Garamond"/>
          <w:color w:val="auto"/>
          <w:szCs w:val="28"/>
          <w:lang w:val="en-US" w:eastAsia="ru-RU" w:bidi="ru-RU"/>
        </w:rPr>
        <w:t>of</w:t>
      </w:r>
      <w:r w:rsidRPr="00775A57">
        <w:rPr>
          <w:rFonts w:ascii="Garamond" w:hAnsi="Garamond" w:cs="Garamond"/>
          <w:color w:val="auto"/>
          <w:szCs w:val="28"/>
          <w:lang w:val="en-US" w:eastAsia="ru-RU" w:bidi="ru-RU"/>
        </w:rPr>
        <w:t xml:space="preserve"> finance and wages, finance and credit?</w:t>
      </w:r>
    </w:p>
    <w:p w14:paraId="176ABA57" w14:textId="77777777" w:rsidR="00BE42A0" w:rsidRPr="00775A57" w:rsidRDefault="00BE42A0" w:rsidP="006F749C">
      <w:pPr>
        <w:pStyle w:val="ListParagraph"/>
        <w:numPr>
          <w:ilvl w:val="0"/>
          <w:numId w:val="91"/>
        </w:numPr>
        <w:tabs>
          <w:tab w:val="num" w:pos="1070"/>
        </w:tabs>
        <w:spacing w:after="0" w:line="312" w:lineRule="auto"/>
        <w:ind w:left="425" w:hanging="357"/>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 xml:space="preserve">What is the basis of the financial model of society? Describe features that define </w:t>
      </w:r>
      <w:r w:rsidR="008B03D8">
        <w:rPr>
          <w:rFonts w:ascii="Garamond" w:hAnsi="Garamond" w:cs="Garamond"/>
          <w:color w:val="auto"/>
          <w:szCs w:val="28"/>
          <w:lang w:val="en-US" w:eastAsia="ru-RU" w:bidi="ru-RU"/>
        </w:rPr>
        <w:t xml:space="preserve">the </w:t>
      </w:r>
      <w:r w:rsidRPr="00775A57">
        <w:rPr>
          <w:rFonts w:ascii="Garamond" w:hAnsi="Garamond" w:cs="Garamond"/>
          <w:color w:val="auto"/>
          <w:szCs w:val="28"/>
          <w:lang w:val="en-US" w:eastAsia="ru-RU" w:bidi="ru-RU"/>
        </w:rPr>
        <w:t>models.</w:t>
      </w:r>
    </w:p>
    <w:p w14:paraId="747B699A" w14:textId="77777777" w:rsidR="00BE42A0" w:rsidRPr="00775A57" w:rsidRDefault="00BE42A0" w:rsidP="006F749C">
      <w:pPr>
        <w:pStyle w:val="ListParagraph"/>
        <w:numPr>
          <w:ilvl w:val="0"/>
          <w:numId w:val="91"/>
        </w:numPr>
        <w:tabs>
          <w:tab w:val="num" w:pos="1070"/>
        </w:tabs>
        <w:spacing w:after="0" w:line="312" w:lineRule="auto"/>
        <w:ind w:left="425" w:hanging="357"/>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What are the differences between administrative and market model</w:t>
      </w:r>
      <w:r w:rsidR="008B03D8">
        <w:rPr>
          <w:rFonts w:ascii="Garamond" w:hAnsi="Garamond" w:cs="Garamond"/>
          <w:color w:val="auto"/>
          <w:szCs w:val="28"/>
          <w:lang w:val="en-US" w:eastAsia="ru-RU" w:bidi="ru-RU"/>
        </w:rPr>
        <w:t>s</w:t>
      </w:r>
      <w:r w:rsidRPr="00775A57">
        <w:rPr>
          <w:rFonts w:ascii="Garamond" w:hAnsi="Garamond" w:cs="Garamond"/>
          <w:color w:val="auto"/>
          <w:szCs w:val="28"/>
          <w:lang w:val="en-US" w:eastAsia="ru-RU" w:bidi="ru-RU"/>
        </w:rPr>
        <w:t xml:space="preserve"> of financial relations?</w:t>
      </w:r>
    </w:p>
    <w:p w14:paraId="3D8F3C85" w14:textId="77777777" w:rsidR="00BE42A0" w:rsidRPr="00775A57" w:rsidRDefault="00BE42A0" w:rsidP="006F749C">
      <w:pPr>
        <w:pStyle w:val="ListParagraph"/>
        <w:numPr>
          <w:ilvl w:val="0"/>
          <w:numId w:val="91"/>
        </w:numPr>
        <w:tabs>
          <w:tab w:val="num" w:pos="1070"/>
        </w:tabs>
        <w:spacing w:after="0" w:line="312" w:lineRule="auto"/>
        <w:ind w:left="425" w:hanging="357"/>
        <w:jc w:val="both"/>
        <w:rPr>
          <w:rFonts w:ascii="Garamond" w:hAnsi="Garamond" w:cs="Garamond"/>
          <w:color w:val="auto"/>
          <w:szCs w:val="28"/>
          <w:lang w:val="en-US" w:eastAsia="ru-RU" w:bidi="ru-RU"/>
        </w:rPr>
      </w:pPr>
      <w:r w:rsidRPr="00775A57">
        <w:rPr>
          <w:rFonts w:ascii="Garamond" w:hAnsi="Garamond" w:cs="Garamond"/>
          <w:color w:val="auto"/>
          <w:szCs w:val="28"/>
          <w:lang w:val="en-US" w:eastAsia="ru-RU" w:bidi="ru-RU"/>
        </w:rPr>
        <w:t>Define the financial models used in the world according to the level of GDP centralization by a state.</w:t>
      </w:r>
    </w:p>
    <w:p w14:paraId="3B1192A8" w14:textId="77777777" w:rsidR="00BE42A0" w:rsidRPr="00775A57" w:rsidRDefault="00BE42A0" w:rsidP="007E6912">
      <w:pPr>
        <w:pStyle w:val="end2"/>
        <w:rPr>
          <w:szCs w:val="28"/>
        </w:rPr>
      </w:pPr>
      <w:r w:rsidRPr="00775A57">
        <w:rPr>
          <w:szCs w:val="28"/>
        </w:rPr>
        <w:lastRenderedPageBreak/>
        <w:t>Multiple</w:t>
      </w:r>
      <w:r w:rsidR="004B4CB5">
        <w:rPr>
          <w:szCs w:val="28"/>
        </w:rPr>
        <w:t xml:space="preserve"> </w:t>
      </w:r>
      <w:r w:rsidRPr="00775A57">
        <w:rPr>
          <w:szCs w:val="28"/>
        </w:rPr>
        <w:t xml:space="preserve">choice questions </w:t>
      </w:r>
    </w:p>
    <w:p w14:paraId="2C3416CB" w14:textId="77777777" w:rsidR="00BE42A0" w:rsidRPr="00775A57" w:rsidRDefault="00BE42A0" w:rsidP="007E6912">
      <w:pPr>
        <w:spacing w:line="240" w:lineRule="atLeast"/>
        <w:ind w:firstLine="357"/>
        <w:jc w:val="both"/>
        <w:rPr>
          <w:sz w:val="28"/>
          <w:szCs w:val="28"/>
          <w:lang w:val="en-US"/>
        </w:rPr>
      </w:pPr>
      <w:r w:rsidRPr="00775A57">
        <w:rPr>
          <w:sz w:val="28"/>
          <w:szCs w:val="28"/>
          <w:lang w:val="en-US"/>
        </w:rPr>
        <w:t>Choose the one alternative that best completes the statement or answers the question.</w:t>
      </w:r>
    </w:p>
    <w:tbl>
      <w:tblPr>
        <w:tblStyle w:val="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6"/>
      </w:tblGrid>
      <w:tr w:rsidR="00BE42A0" w:rsidRPr="00775A57" w14:paraId="2C26941E" w14:textId="77777777" w:rsidTr="007557BC">
        <w:trPr>
          <w:trHeight w:val="1351"/>
        </w:trPr>
        <w:tc>
          <w:tcPr>
            <w:tcW w:w="9606" w:type="dxa"/>
          </w:tcPr>
          <w:p w14:paraId="655B2277"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eastAsia="uk-UA"/>
              </w:rPr>
              <w:t>The subject of finance is realized in financial relations</w:t>
            </w:r>
            <w:r w:rsidR="00EC359B">
              <w:rPr>
                <w:sz w:val="28"/>
                <w:szCs w:val="28"/>
                <w:lang w:val="en-US" w:eastAsia="uk-UA"/>
              </w:rPr>
              <w:t xml:space="preserve"> in the following way</w:t>
            </w:r>
            <w:r w:rsidRPr="00775A57">
              <w:rPr>
                <w:sz w:val="28"/>
                <w:szCs w:val="28"/>
                <w:lang w:val="en-US" w:eastAsia="uk-UA"/>
              </w:rPr>
              <w:t>:</w:t>
            </w:r>
          </w:p>
          <w:p w14:paraId="74461C53" w14:textId="77777777" w:rsidR="00BE42A0" w:rsidRPr="00775A57" w:rsidRDefault="00EC359B" w:rsidP="00580B15">
            <w:pPr>
              <w:numPr>
                <w:ilvl w:val="0"/>
                <w:numId w:val="13"/>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 xml:space="preserve">between </w:t>
            </w:r>
            <w:r w:rsidR="00114A68">
              <w:rPr>
                <w:sz w:val="28"/>
                <w:szCs w:val="28"/>
                <w:lang w:val="en-US" w:eastAsia="uk-UA"/>
              </w:rPr>
              <w:t xml:space="preserve">the </w:t>
            </w:r>
            <w:r w:rsidR="00BE42A0" w:rsidRPr="00775A57">
              <w:rPr>
                <w:sz w:val="28"/>
                <w:szCs w:val="28"/>
                <w:lang w:val="en-US" w:eastAsia="uk-UA"/>
              </w:rPr>
              <w:t xml:space="preserve">state, enterprises, </w:t>
            </w:r>
            <w:r>
              <w:rPr>
                <w:sz w:val="28"/>
                <w:szCs w:val="28"/>
                <w:lang w:val="en-US" w:eastAsia="uk-UA"/>
              </w:rPr>
              <w:t xml:space="preserve">and </w:t>
            </w:r>
            <w:r w:rsidR="00BE42A0" w:rsidRPr="00775A57">
              <w:rPr>
                <w:sz w:val="28"/>
                <w:szCs w:val="28"/>
                <w:lang w:val="en-US" w:eastAsia="uk-UA"/>
              </w:rPr>
              <w:t>households</w:t>
            </w:r>
            <w:r w:rsidR="00BE42A0" w:rsidRPr="00775A57">
              <w:rPr>
                <w:sz w:val="28"/>
                <w:szCs w:val="28"/>
                <w:lang w:val="en-US"/>
              </w:rPr>
              <w:t>;</w:t>
            </w:r>
          </w:p>
          <w:p w14:paraId="40B987F9" w14:textId="77777777" w:rsidR="00BE42A0" w:rsidRPr="00775A57" w:rsidRDefault="00EC359B" w:rsidP="00580B15">
            <w:pPr>
              <w:numPr>
                <w:ilvl w:val="0"/>
                <w:numId w:val="13"/>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 xml:space="preserve">between </w:t>
            </w:r>
            <w:r>
              <w:rPr>
                <w:sz w:val="28"/>
                <w:szCs w:val="28"/>
                <w:lang w:val="en-US" w:eastAsia="uk-UA"/>
              </w:rPr>
              <w:t>gross domestic product and</w:t>
            </w:r>
            <w:r w:rsidR="00BE42A0" w:rsidRPr="00775A57">
              <w:rPr>
                <w:sz w:val="28"/>
                <w:szCs w:val="28"/>
                <w:lang w:val="en-US" w:eastAsia="uk-UA"/>
              </w:rPr>
              <w:t xml:space="preserve"> national wealth</w:t>
            </w:r>
            <w:r w:rsidR="00BE42A0" w:rsidRPr="00775A57">
              <w:rPr>
                <w:sz w:val="28"/>
                <w:szCs w:val="28"/>
                <w:lang w:val="en-US"/>
              </w:rPr>
              <w:t>;</w:t>
            </w:r>
          </w:p>
          <w:p w14:paraId="28A243FC" w14:textId="77777777" w:rsidR="00BE42A0" w:rsidRPr="00775A57" w:rsidRDefault="00EC359B" w:rsidP="00580B15">
            <w:pPr>
              <w:numPr>
                <w:ilvl w:val="0"/>
                <w:numId w:val="13"/>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 xml:space="preserve">between </w:t>
            </w:r>
            <w:r w:rsidR="00BE42A0" w:rsidRPr="00775A57">
              <w:rPr>
                <w:sz w:val="28"/>
                <w:szCs w:val="28"/>
                <w:lang w:val="en-US" w:eastAsia="uk-UA"/>
              </w:rPr>
              <w:t>income taxes</w:t>
            </w:r>
            <w:r>
              <w:rPr>
                <w:sz w:val="28"/>
                <w:szCs w:val="28"/>
                <w:lang w:val="en-US" w:eastAsia="uk-UA"/>
              </w:rPr>
              <w:t xml:space="preserve"> and</w:t>
            </w:r>
            <w:r w:rsidR="00BE42A0" w:rsidRPr="00775A57">
              <w:rPr>
                <w:sz w:val="28"/>
                <w:szCs w:val="28"/>
                <w:lang w:val="en-US" w:eastAsia="uk-UA"/>
              </w:rPr>
              <w:t xml:space="preserve"> fees</w:t>
            </w:r>
            <w:r w:rsidR="00BE42A0" w:rsidRPr="00775A57">
              <w:rPr>
                <w:sz w:val="28"/>
                <w:szCs w:val="28"/>
                <w:lang w:val="en-US"/>
              </w:rPr>
              <w:t>;</w:t>
            </w:r>
          </w:p>
          <w:p w14:paraId="7416DCEE" w14:textId="77777777" w:rsidR="00BE42A0" w:rsidRPr="00775A57" w:rsidRDefault="00EC359B" w:rsidP="00AE1076">
            <w:pPr>
              <w:numPr>
                <w:ilvl w:val="0"/>
                <w:numId w:val="13"/>
              </w:numPr>
              <w:shd w:val="clear" w:color="auto" w:fill="FFFFFF"/>
              <w:spacing w:after="120" w:line="240" w:lineRule="atLeast"/>
              <w:ind w:left="782" w:hanging="357"/>
              <w:jc w:val="both"/>
              <w:textAlignment w:val="baseline"/>
              <w:rPr>
                <w:sz w:val="28"/>
                <w:szCs w:val="28"/>
                <w:lang w:val="en-US"/>
              </w:rPr>
            </w:pPr>
            <w:r w:rsidRPr="00775A57">
              <w:rPr>
                <w:sz w:val="28"/>
                <w:szCs w:val="28"/>
                <w:lang w:val="en-US" w:eastAsia="uk-UA"/>
              </w:rPr>
              <w:t xml:space="preserve">between </w:t>
            </w:r>
            <w:r w:rsidR="00BE42A0" w:rsidRPr="00775A57">
              <w:rPr>
                <w:sz w:val="28"/>
                <w:szCs w:val="28"/>
                <w:lang w:val="en-US" w:eastAsia="uk-UA"/>
              </w:rPr>
              <w:t>entities and households</w:t>
            </w:r>
            <w:r w:rsidR="00BE42A0" w:rsidRPr="00775A57">
              <w:rPr>
                <w:sz w:val="28"/>
                <w:szCs w:val="28"/>
                <w:lang w:val="en-US"/>
              </w:rPr>
              <w:t>.</w:t>
            </w:r>
          </w:p>
        </w:tc>
      </w:tr>
      <w:tr w:rsidR="00BE42A0" w:rsidRPr="00775A57" w14:paraId="03F89C95" w14:textId="77777777" w:rsidTr="007557BC">
        <w:trPr>
          <w:trHeight w:val="1271"/>
        </w:trPr>
        <w:tc>
          <w:tcPr>
            <w:tcW w:w="9606" w:type="dxa"/>
          </w:tcPr>
          <w:p w14:paraId="5F0D0DE6"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eastAsia="uk-UA"/>
              </w:rPr>
              <w:t xml:space="preserve">Finance is considered as </w:t>
            </w:r>
            <w:r w:rsidR="00EC359B">
              <w:rPr>
                <w:sz w:val="28"/>
                <w:szCs w:val="28"/>
                <w:lang w:val="en-US" w:eastAsia="uk-UA"/>
              </w:rPr>
              <w:t>the following</w:t>
            </w:r>
            <w:r w:rsidRPr="00775A57">
              <w:rPr>
                <w:sz w:val="28"/>
                <w:szCs w:val="28"/>
                <w:lang w:val="en-US" w:eastAsia="uk-UA"/>
              </w:rPr>
              <w:t xml:space="preserve"> category</w:t>
            </w:r>
            <w:r w:rsidRPr="00775A57">
              <w:rPr>
                <w:sz w:val="28"/>
                <w:szCs w:val="28"/>
                <w:lang w:val="en-US"/>
              </w:rPr>
              <w:t>:</w:t>
            </w:r>
          </w:p>
          <w:p w14:paraId="12DB29F1" w14:textId="77777777" w:rsidR="00BE42A0" w:rsidRPr="00775A57" w:rsidRDefault="00BE42A0" w:rsidP="00580B15">
            <w:pPr>
              <w:numPr>
                <w:ilvl w:val="0"/>
                <w:numId w:val="18"/>
              </w:numPr>
              <w:shd w:val="clear" w:color="auto" w:fill="FFFFFF"/>
              <w:spacing w:line="240" w:lineRule="atLeast"/>
              <w:ind w:left="788"/>
              <w:jc w:val="both"/>
              <w:textAlignment w:val="baseline"/>
              <w:rPr>
                <w:sz w:val="28"/>
                <w:szCs w:val="28"/>
                <w:lang w:val="en-US"/>
              </w:rPr>
            </w:pPr>
            <w:r w:rsidRPr="00775A57">
              <w:rPr>
                <w:sz w:val="28"/>
                <w:szCs w:val="28"/>
                <w:lang w:val="en-US" w:eastAsia="uk-UA"/>
              </w:rPr>
              <w:t>distribution and credit</w:t>
            </w:r>
            <w:r w:rsidRPr="00775A57">
              <w:rPr>
                <w:sz w:val="28"/>
                <w:szCs w:val="28"/>
                <w:lang w:val="en-US"/>
              </w:rPr>
              <w:t>;</w:t>
            </w:r>
          </w:p>
          <w:p w14:paraId="7CE4BFEA" w14:textId="77777777" w:rsidR="00BE42A0" w:rsidRPr="00775A57" w:rsidRDefault="00BE42A0" w:rsidP="00580B15">
            <w:pPr>
              <w:numPr>
                <w:ilvl w:val="0"/>
                <w:numId w:val="18"/>
              </w:numPr>
              <w:shd w:val="clear" w:color="auto" w:fill="FFFFFF"/>
              <w:spacing w:line="240" w:lineRule="atLeast"/>
              <w:ind w:left="788"/>
              <w:jc w:val="both"/>
              <w:textAlignment w:val="baseline"/>
              <w:rPr>
                <w:sz w:val="28"/>
                <w:szCs w:val="28"/>
                <w:lang w:val="en-US"/>
              </w:rPr>
            </w:pPr>
            <w:r w:rsidRPr="00775A57">
              <w:rPr>
                <w:sz w:val="28"/>
                <w:szCs w:val="28"/>
                <w:lang w:val="en-US" w:eastAsia="uk-UA"/>
              </w:rPr>
              <w:t>monetary and historical</w:t>
            </w:r>
            <w:r w:rsidRPr="00775A57">
              <w:rPr>
                <w:sz w:val="28"/>
                <w:szCs w:val="28"/>
                <w:lang w:val="en-US"/>
              </w:rPr>
              <w:t>;</w:t>
            </w:r>
          </w:p>
          <w:p w14:paraId="6EA36B24" w14:textId="77777777" w:rsidR="00BE42A0" w:rsidRPr="00775A57" w:rsidRDefault="00BE42A0" w:rsidP="00580B15">
            <w:pPr>
              <w:numPr>
                <w:ilvl w:val="0"/>
                <w:numId w:val="18"/>
              </w:numPr>
              <w:shd w:val="clear" w:color="auto" w:fill="FFFFFF"/>
              <w:spacing w:line="240" w:lineRule="atLeast"/>
              <w:ind w:left="788"/>
              <w:jc w:val="both"/>
              <w:textAlignment w:val="baseline"/>
              <w:rPr>
                <w:sz w:val="28"/>
                <w:szCs w:val="28"/>
                <w:lang w:val="en-US"/>
              </w:rPr>
            </w:pPr>
            <w:r w:rsidRPr="00775A57">
              <w:rPr>
                <w:sz w:val="28"/>
                <w:szCs w:val="28"/>
                <w:lang w:val="en-US" w:eastAsia="uk-UA"/>
              </w:rPr>
              <w:t>historical and economic</w:t>
            </w:r>
            <w:r w:rsidRPr="00775A57">
              <w:rPr>
                <w:sz w:val="28"/>
                <w:szCs w:val="28"/>
                <w:lang w:val="en-US"/>
              </w:rPr>
              <w:t>;</w:t>
            </w:r>
          </w:p>
          <w:p w14:paraId="0E523CF1" w14:textId="77777777" w:rsidR="00BE42A0" w:rsidRPr="00775A57" w:rsidRDefault="00BE42A0" w:rsidP="00AE1076">
            <w:pPr>
              <w:numPr>
                <w:ilvl w:val="0"/>
                <w:numId w:val="18"/>
              </w:numPr>
              <w:shd w:val="clear" w:color="auto" w:fill="FFFFFF"/>
              <w:spacing w:after="120" w:line="240" w:lineRule="atLeast"/>
              <w:ind w:left="782" w:hanging="357"/>
              <w:jc w:val="both"/>
              <w:textAlignment w:val="baseline"/>
              <w:rPr>
                <w:sz w:val="28"/>
                <w:szCs w:val="28"/>
                <w:lang w:val="en-US"/>
              </w:rPr>
            </w:pPr>
            <w:r w:rsidRPr="00775A57">
              <w:rPr>
                <w:sz w:val="28"/>
                <w:szCs w:val="28"/>
                <w:lang w:val="en-US" w:eastAsia="uk-UA"/>
              </w:rPr>
              <w:t>fiscal and economic</w:t>
            </w:r>
            <w:r w:rsidR="00AE1076">
              <w:rPr>
                <w:sz w:val="28"/>
                <w:szCs w:val="28"/>
                <w:lang w:val="en-US"/>
              </w:rPr>
              <w:t>.</w:t>
            </w:r>
          </w:p>
        </w:tc>
      </w:tr>
      <w:tr w:rsidR="00BE42A0" w:rsidRPr="00775A57" w14:paraId="5822DD34" w14:textId="77777777" w:rsidTr="00715FD4">
        <w:trPr>
          <w:trHeight w:val="142"/>
        </w:trPr>
        <w:tc>
          <w:tcPr>
            <w:tcW w:w="9606" w:type="dxa"/>
          </w:tcPr>
          <w:p w14:paraId="739BA7FD"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rPr>
              <w:t>What are the functions of finance?</w:t>
            </w:r>
          </w:p>
          <w:p w14:paraId="35888707" w14:textId="77777777" w:rsidR="00BE42A0" w:rsidRPr="00775A57" w:rsidRDefault="00EC359B" w:rsidP="00580B15">
            <w:pPr>
              <w:numPr>
                <w:ilvl w:val="0"/>
                <w:numId w:val="19"/>
              </w:numPr>
              <w:shd w:val="clear" w:color="auto" w:fill="FFFFFF"/>
              <w:spacing w:line="240" w:lineRule="atLeast"/>
              <w:ind w:left="782" w:hanging="357"/>
              <w:jc w:val="both"/>
              <w:textAlignment w:val="baseline"/>
              <w:rPr>
                <w:sz w:val="28"/>
                <w:szCs w:val="28"/>
                <w:lang w:val="en-US"/>
              </w:rPr>
            </w:pPr>
            <w:r>
              <w:rPr>
                <w:sz w:val="28"/>
                <w:szCs w:val="28"/>
                <w:lang w:val="en-US" w:eastAsia="uk-UA"/>
              </w:rPr>
              <w:t>distribution and</w:t>
            </w:r>
            <w:r w:rsidR="00BE42A0" w:rsidRPr="00775A57">
              <w:rPr>
                <w:sz w:val="28"/>
                <w:szCs w:val="28"/>
                <w:lang w:val="en-US" w:eastAsia="uk-UA"/>
              </w:rPr>
              <w:t xml:space="preserve"> control</w:t>
            </w:r>
            <w:r w:rsidR="00BE42A0" w:rsidRPr="00775A57">
              <w:rPr>
                <w:sz w:val="28"/>
                <w:szCs w:val="28"/>
                <w:lang w:val="en-US"/>
              </w:rPr>
              <w:t>;</w:t>
            </w:r>
          </w:p>
          <w:p w14:paraId="51B0E398" w14:textId="77777777" w:rsidR="00BE42A0" w:rsidRPr="00775A57" w:rsidRDefault="00BE42A0" w:rsidP="00580B15">
            <w:pPr>
              <w:numPr>
                <w:ilvl w:val="0"/>
                <w:numId w:val="19"/>
              </w:numPr>
              <w:shd w:val="clear" w:color="auto" w:fill="FFFFFF"/>
              <w:spacing w:line="240" w:lineRule="atLeast"/>
              <w:ind w:left="788"/>
              <w:jc w:val="both"/>
              <w:textAlignment w:val="baseline"/>
              <w:rPr>
                <w:sz w:val="28"/>
                <w:szCs w:val="28"/>
                <w:lang w:val="en-US"/>
              </w:rPr>
            </w:pPr>
            <w:r w:rsidRPr="00775A57">
              <w:rPr>
                <w:sz w:val="28"/>
                <w:szCs w:val="28"/>
                <w:lang w:val="en-US" w:eastAsia="uk-UA"/>
              </w:rPr>
              <w:t>fiscal, distribution</w:t>
            </w:r>
            <w:r w:rsidR="00EC359B">
              <w:rPr>
                <w:sz w:val="28"/>
                <w:szCs w:val="28"/>
                <w:lang w:val="en-US" w:eastAsia="uk-UA"/>
              </w:rPr>
              <w:t>,</w:t>
            </w:r>
            <w:r w:rsidRPr="00775A57">
              <w:rPr>
                <w:sz w:val="28"/>
                <w:szCs w:val="28"/>
                <w:lang w:val="en-US" w:eastAsia="uk-UA"/>
              </w:rPr>
              <w:t xml:space="preserve"> and control</w:t>
            </w:r>
            <w:r w:rsidRPr="00775A57">
              <w:rPr>
                <w:sz w:val="28"/>
                <w:szCs w:val="28"/>
                <w:lang w:val="en-US"/>
              </w:rPr>
              <w:t>;</w:t>
            </w:r>
          </w:p>
          <w:p w14:paraId="0A182613" w14:textId="77777777" w:rsidR="00BE42A0" w:rsidRPr="00775A57" w:rsidRDefault="00BE42A0" w:rsidP="00580B15">
            <w:pPr>
              <w:numPr>
                <w:ilvl w:val="0"/>
                <w:numId w:val="19"/>
              </w:numPr>
              <w:shd w:val="clear" w:color="auto" w:fill="FFFFFF"/>
              <w:spacing w:line="240" w:lineRule="atLeast"/>
              <w:ind w:left="788"/>
              <w:jc w:val="both"/>
              <w:textAlignment w:val="baseline"/>
              <w:rPr>
                <w:sz w:val="28"/>
                <w:szCs w:val="28"/>
                <w:lang w:val="en-US"/>
              </w:rPr>
            </w:pPr>
            <w:r w:rsidRPr="00775A57">
              <w:rPr>
                <w:sz w:val="28"/>
                <w:szCs w:val="28"/>
                <w:lang w:val="en-US" w:eastAsia="uk-UA"/>
              </w:rPr>
              <w:t xml:space="preserve">control, economic, </w:t>
            </w:r>
            <w:r w:rsidR="00EC359B">
              <w:rPr>
                <w:sz w:val="28"/>
                <w:szCs w:val="28"/>
                <w:lang w:val="en-US" w:eastAsia="uk-UA"/>
              </w:rPr>
              <w:t xml:space="preserve">and </w:t>
            </w:r>
            <w:r w:rsidRPr="00775A57">
              <w:rPr>
                <w:sz w:val="28"/>
                <w:szCs w:val="28"/>
                <w:lang w:val="en-US" w:eastAsia="uk-UA"/>
              </w:rPr>
              <w:t>stimulating</w:t>
            </w:r>
            <w:r w:rsidRPr="00775A57">
              <w:rPr>
                <w:sz w:val="28"/>
                <w:szCs w:val="28"/>
                <w:lang w:val="en-US"/>
              </w:rPr>
              <w:t>;</w:t>
            </w:r>
          </w:p>
          <w:p w14:paraId="5B7950F0" w14:textId="77777777" w:rsidR="00BE42A0" w:rsidRPr="00775A57" w:rsidRDefault="00BE42A0" w:rsidP="00EC359B">
            <w:pPr>
              <w:numPr>
                <w:ilvl w:val="0"/>
                <w:numId w:val="19"/>
              </w:numPr>
              <w:shd w:val="clear" w:color="auto" w:fill="FFFFFF"/>
              <w:spacing w:after="120" w:line="240" w:lineRule="atLeast"/>
              <w:ind w:left="782" w:hanging="357"/>
              <w:jc w:val="both"/>
              <w:textAlignment w:val="baseline"/>
              <w:rPr>
                <w:sz w:val="28"/>
                <w:szCs w:val="28"/>
                <w:lang w:val="en-US"/>
              </w:rPr>
            </w:pPr>
            <w:r w:rsidRPr="00775A57">
              <w:rPr>
                <w:sz w:val="28"/>
                <w:szCs w:val="28"/>
                <w:lang w:val="en-US" w:eastAsia="uk-UA"/>
              </w:rPr>
              <w:t>distribution</w:t>
            </w:r>
            <w:r w:rsidR="00EC359B">
              <w:rPr>
                <w:sz w:val="28"/>
                <w:szCs w:val="28"/>
                <w:lang w:val="en-US" w:eastAsia="uk-UA"/>
              </w:rPr>
              <w:t xml:space="preserve"> and</w:t>
            </w:r>
            <w:r w:rsidRPr="00775A57">
              <w:rPr>
                <w:sz w:val="28"/>
                <w:szCs w:val="28"/>
                <w:lang w:val="en-US" w:eastAsia="uk-UA"/>
              </w:rPr>
              <w:t xml:space="preserve"> reproductive.</w:t>
            </w:r>
          </w:p>
        </w:tc>
      </w:tr>
      <w:tr w:rsidR="00BE42A0" w:rsidRPr="00775A57" w14:paraId="15916A0E" w14:textId="77777777" w:rsidTr="007557BC">
        <w:trPr>
          <w:trHeight w:val="1834"/>
        </w:trPr>
        <w:tc>
          <w:tcPr>
            <w:tcW w:w="9606" w:type="dxa"/>
          </w:tcPr>
          <w:p w14:paraId="4C8D01CF"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eastAsia="uk-UA"/>
              </w:rPr>
              <w:t>Primary distribution of GDP:</w:t>
            </w:r>
            <w:r w:rsidRPr="00775A57">
              <w:rPr>
                <w:sz w:val="28"/>
                <w:szCs w:val="28"/>
                <w:lang w:val="en-US"/>
              </w:rPr>
              <w:t xml:space="preserve"> </w:t>
            </w:r>
            <w:r w:rsidRPr="00775A57">
              <w:rPr>
                <w:sz w:val="28"/>
                <w:szCs w:val="28"/>
                <w:lang w:val="en-US"/>
              </w:rPr>
              <w:tab/>
            </w:r>
          </w:p>
          <w:p w14:paraId="588B4DF2" w14:textId="77777777" w:rsidR="00BE42A0" w:rsidRPr="00775A57" w:rsidRDefault="00BE42A0" w:rsidP="00580B15">
            <w:pPr>
              <w:numPr>
                <w:ilvl w:val="0"/>
                <w:numId w:val="20"/>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value added distribution and the formation of primary income distribution</w:t>
            </w:r>
            <w:r w:rsidRPr="00775A57">
              <w:rPr>
                <w:sz w:val="28"/>
                <w:szCs w:val="28"/>
                <w:lang w:val="en-US"/>
              </w:rPr>
              <w:t>;</w:t>
            </w:r>
          </w:p>
          <w:p w14:paraId="733A1E65" w14:textId="77777777" w:rsidR="00BE42A0" w:rsidRPr="00775A57" w:rsidRDefault="00BE42A0" w:rsidP="00580B15">
            <w:pPr>
              <w:numPr>
                <w:ilvl w:val="0"/>
                <w:numId w:val="20"/>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creation of centralized and decentralized funds</w:t>
            </w:r>
            <w:r w:rsidRPr="00775A57">
              <w:rPr>
                <w:sz w:val="28"/>
                <w:szCs w:val="28"/>
                <w:lang w:val="en-US"/>
              </w:rPr>
              <w:t>;</w:t>
            </w:r>
          </w:p>
          <w:p w14:paraId="17ACEE99" w14:textId="77777777" w:rsidR="00BE42A0" w:rsidRPr="00775A57" w:rsidRDefault="00BE42A0" w:rsidP="00580B15">
            <w:pPr>
              <w:numPr>
                <w:ilvl w:val="0"/>
                <w:numId w:val="20"/>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the redistribution of income between the spheres of material and non-material industries, sectors, territories, segments of the population through the budget system</w:t>
            </w:r>
            <w:r w:rsidRPr="00775A57">
              <w:rPr>
                <w:sz w:val="28"/>
                <w:szCs w:val="28"/>
                <w:lang w:val="en-US"/>
              </w:rPr>
              <w:t>;</w:t>
            </w:r>
          </w:p>
          <w:p w14:paraId="604A1841" w14:textId="77777777" w:rsidR="00BE42A0" w:rsidRPr="00775A57" w:rsidRDefault="00BE42A0" w:rsidP="00AE1076">
            <w:pPr>
              <w:numPr>
                <w:ilvl w:val="0"/>
                <w:numId w:val="20"/>
              </w:numPr>
              <w:shd w:val="clear" w:color="auto" w:fill="FFFFFF"/>
              <w:spacing w:after="120" w:line="240" w:lineRule="atLeast"/>
              <w:ind w:left="782" w:hanging="357"/>
              <w:jc w:val="both"/>
              <w:textAlignment w:val="baseline"/>
              <w:rPr>
                <w:sz w:val="28"/>
                <w:szCs w:val="28"/>
                <w:lang w:val="en-US"/>
              </w:rPr>
            </w:pPr>
            <w:r w:rsidRPr="00775A57">
              <w:rPr>
                <w:sz w:val="28"/>
                <w:szCs w:val="28"/>
                <w:lang w:val="en-US" w:eastAsia="uk-UA"/>
              </w:rPr>
              <w:t>no right answer</w:t>
            </w:r>
            <w:r w:rsidRPr="00775A57">
              <w:rPr>
                <w:sz w:val="28"/>
                <w:szCs w:val="28"/>
                <w:lang w:val="en-US"/>
              </w:rPr>
              <w:t>.</w:t>
            </w:r>
          </w:p>
        </w:tc>
      </w:tr>
      <w:tr w:rsidR="00BE42A0" w:rsidRPr="00775A57" w14:paraId="3C9C817B" w14:textId="77777777" w:rsidTr="007557BC">
        <w:trPr>
          <w:trHeight w:val="1791"/>
        </w:trPr>
        <w:tc>
          <w:tcPr>
            <w:tcW w:w="9606" w:type="dxa"/>
          </w:tcPr>
          <w:p w14:paraId="069E58E8"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eastAsia="uk-UA"/>
              </w:rPr>
              <w:t>Secondary distribution of GDP:</w:t>
            </w:r>
          </w:p>
          <w:p w14:paraId="03C56A24" w14:textId="77777777" w:rsidR="00BE42A0" w:rsidRPr="00775A57" w:rsidRDefault="00BE42A0" w:rsidP="00580B15">
            <w:pPr>
              <w:numPr>
                <w:ilvl w:val="0"/>
                <w:numId w:val="21"/>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creation of centralized and decentralized funds</w:t>
            </w:r>
            <w:r w:rsidRPr="00775A57">
              <w:rPr>
                <w:sz w:val="28"/>
                <w:szCs w:val="28"/>
                <w:lang w:val="en-US"/>
              </w:rPr>
              <w:t>;</w:t>
            </w:r>
          </w:p>
          <w:p w14:paraId="4785A0D9" w14:textId="77777777" w:rsidR="00BE42A0" w:rsidRPr="00775A57" w:rsidRDefault="00BE42A0" w:rsidP="00580B15">
            <w:pPr>
              <w:numPr>
                <w:ilvl w:val="0"/>
                <w:numId w:val="21"/>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value added distribution and the formation of primary income distribution</w:t>
            </w:r>
            <w:r w:rsidRPr="00775A57">
              <w:rPr>
                <w:sz w:val="28"/>
                <w:szCs w:val="28"/>
                <w:lang w:val="en-US"/>
              </w:rPr>
              <w:t>;</w:t>
            </w:r>
          </w:p>
          <w:p w14:paraId="6C788064" w14:textId="77777777" w:rsidR="00BE42A0" w:rsidRPr="00775A57" w:rsidRDefault="00BE42A0" w:rsidP="00580B15">
            <w:pPr>
              <w:numPr>
                <w:ilvl w:val="0"/>
                <w:numId w:val="21"/>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redistribution of income between the spheres of material and non-material industries, sectors, territories, segments of the population through the budget system</w:t>
            </w:r>
            <w:r w:rsidRPr="00775A57">
              <w:rPr>
                <w:sz w:val="28"/>
                <w:szCs w:val="28"/>
                <w:lang w:val="en-US"/>
              </w:rPr>
              <w:t>;</w:t>
            </w:r>
          </w:p>
          <w:p w14:paraId="65E27B2E" w14:textId="77777777" w:rsidR="00BE42A0" w:rsidRPr="00775A57" w:rsidRDefault="00BE42A0" w:rsidP="00AE1076">
            <w:pPr>
              <w:numPr>
                <w:ilvl w:val="0"/>
                <w:numId w:val="21"/>
              </w:numPr>
              <w:shd w:val="clear" w:color="auto" w:fill="FFFFFF"/>
              <w:spacing w:after="120" w:line="240" w:lineRule="atLeast"/>
              <w:ind w:left="782" w:hanging="357"/>
              <w:jc w:val="both"/>
              <w:textAlignment w:val="baseline"/>
              <w:rPr>
                <w:sz w:val="28"/>
                <w:szCs w:val="28"/>
                <w:lang w:val="en-US"/>
              </w:rPr>
            </w:pPr>
            <w:r w:rsidRPr="00775A57">
              <w:rPr>
                <w:sz w:val="28"/>
                <w:szCs w:val="28"/>
                <w:lang w:val="en-US" w:eastAsia="uk-UA"/>
              </w:rPr>
              <w:t>no right answer</w:t>
            </w:r>
            <w:r w:rsidRPr="00775A57">
              <w:rPr>
                <w:sz w:val="28"/>
                <w:szCs w:val="28"/>
                <w:lang w:val="en-US"/>
              </w:rPr>
              <w:t>.</w:t>
            </w:r>
          </w:p>
        </w:tc>
      </w:tr>
      <w:tr w:rsidR="00BE42A0" w:rsidRPr="00775A57" w14:paraId="59ECF419" w14:textId="77777777" w:rsidTr="007557BC">
        <w:trPr>
          <w:trHeight w:val="1591"/>
        </w:trPr>
        <w:tc>
          <w:tcPr>
            <w:tcW w:w="9606" w:type="dxa"/>
          </w:tcPr>
          <w:p w14:paraId="5B20297E"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rPr>
              <w:t xml:space="preserve">Finance </w:t>
            </w:r>
            <w:r w:rsidR="00EC359B">
              <w:rPr>
                <w:sz w:val="28"/>
                <w:szCs w:val="28"/>
                <w:lang w:val="en-US"/>
              </w:rPr>
              <w:t>is defines as follows</w:t>
            </w:r>
            <w:r w:rsidRPr="00775A57">
              <w:rPr>
                <w:sz w:val="28"/>
                <w:szCs w:val="28"/>
                <w:lang w:val="en-US"/>
              </w:rPr>
              <w:t>:</w:t>
            </w:r>
          </w:p>
          <w:p w14:paraId="7BE4B07E" w14:textId="77777777" w:rsidR="00BE42A0" w:rsidRPr="00775A57" w:rsidRDefault="00BE42A0" w:rsidP="00580B15">
            <w:pPr>
              <w:numPr>
                <w:ilvl w:val="0"/>
                <w:numId w:val="22"/>
              </w:numPr>
              <w:shd w:val="clear" w:color="auto" w:fill="FFFFFF"/>
              <w:spacing w:line="240" w:lineRule="atLeast"/>
              <w:ind w:left="782" w:hanging="357"/>
              <w:jc w:val="both"/>
              <w:textAlignment w:val="baseline"/>
              <w:rPr>
                <w:sz w:val="28"/>
                <w:szCs w:val="28"/>
                <w:lang w:val="en-US"/>
              </w:rPr>
            </w:pPr>
            <w:r w:rsidRPr="00775A57">
              <w:rPr>
                <w:sz w:val="28"/>
                <w:szCs w:val="28"/>
                <w:lang w:val="en-US"/>
              </w:rPr>
              <w:t>all kinds of state revenues;</w:t>
            </w:r>
          </w:p>
          <w:p w14:paraId="0F53DD4B" w14:textId="77777777" w:rsidR="00BE42A0" w:rsidRPr="00775A57" w:rsidRDefault="00BE42A0" w:rsidP="00580B15">
            <w:pPr>
              <w:numPr>
                <w:ilvl w:val="0"/>
                <w:numId w:val="22"/>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economic relations associated with the formation, distribution and use of money funds</w:t>
            </w:r>
            <w:r w:rsidRPr="00775A57">
              <w:rPr>
                <w:sz w:val="28"/>
                <w:szCs w:val="28"/>
                <w:lang w:val="en-US"/>
              </w:rPr>
              <w:t>;</w:t>
            </w:r>
          </w:p>
          <w:p w14:paraId="1F5D41F7" w14:textId="77777777" w:rsidR="00BE42A0" w:rsidRPr="00775A57" w:rsidRDefault="00BE42A0" w:rsidP="00580B15">
            <w:pPr>
              <w:numPr>
                <w:ilvl w:val="0"/>
                <w:numId w:val="22"/>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economic relations associated with the formation</w:t>
            </w:r>
            <w:r w:rsidR="00EC359B">
              <w:rPr>
                <w:sz w:val="28"/>
                <w:szCs w:val="28"/>
                <w:lang w:val="en-US" w:eastAsia="uk-UA"/>
              </w:rPr>
              <w:t>,</w:t>
            </w:r>
            <w:r w:rsidRPr="00775A57">
              <w:rPr>
                <w:sz w:val="28"/>
                <w:szCs w:val="28"/>
                <w:lang w:val="en-US" w:eastAsia="uk-UA"/>
              </w:rPr>
              <w:t xml:space="preserve"> and use of the state budget</w:t>
            </w:r>
            <w:r w:rsidRPr="00775A57">
              <w:rPr>
                <w:sz w:val="28"/>
                <w:szCs w:val="28"/>
                <w:lang w:val="en-US"/>
              </w:rPr>
              <w:t>;</w:t>
            </w:r>
          </w:p>
          <w:p w14:paraId="57B871A7" w14:textId="77777777" w:rsidR="00BE42A0" w:rsidRPr="00775A57" w:rsidRDefault="00BE42A0" w:rsidP="00AE1076">
            <w:pPr>
              <w:numPr>
                <w:ilvl w:val="0"/>
                <w:numId w:val="22"/>
              </w:numPr>
              <w:shd w:val="clear" w:color="auto" w:fill="FFFFFF"/>
              <w:spacing w:after="120" w:line="240" w:lineRule="atLeast"/>
              <w:ind w:left="782" w:hanging="357"/>
              <w:jc w:val="both"/>
              <w:textAlignment w:val="baseline"/>
              <w:rPr>
                <w:sz w:val="28"/>
                <w:szCs w:val="28"/>
                <w:lang w:val="en-US"/>
              </w:rPr>
            </w:pPr>
            <w:r w:rsidRPr="00775A57">
              <w:rPr>
                <w:sz w:val="28"/>
                <w:szCs w:val="28"/>
                <w:lang w:val="en-US" w:eastAsia="uk-UA"/>
              </w:rPr>
              <w:t>money and credit</w:t>
            </w:r>
            <w:r w:rsidRPr="00775A57">
              <w:rPr>
                <w:sz w:val="28"/>
                <w:szCs w:val="28"/>
                <w:lang w:val="en-US"/>
              </w:rPr>
              <w:t>.</w:t>
            </w:r>
          </w:p>
        </w:tc>
      </w:tr>
      <w:tr w:rsidR="00BE42A0" w:rsidRPr="00775A57" w14:paraId="475AB008" w14:textId="77777777" w:rsidTr="007557BC">
        <w:trPr>
          <w:trHeight w:val="1387"/>
        </w:trPr>
        <w:tc>
          <w:tcPr>
            <w:tcW w:w="9606" w:type="dxa"/>
          </w:tcPr>
          <w:p w14:paraId="725D5A84"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eastAsia="uk-UA"/>
              </w:rPr>
              <w:lastRenderedPageBreak/>
              <w:t>What features do financial resources have?</w:t>
            </w:r>
            <w:r w:rsidRPr="00775A57">
              <w:rPr>
                <w:sz w:val="28"/>
                <w:szCs w:val="28"/>
                <w:lang w:val="en-US"/>
              </w:rPr>
              <w:tab/>
            </w:r>
            <w:r w:rsidRPr="00775A57">
              <w:rPr>
                <w:sz w:val="28"/>
                <w:szCs w:val="28"/>
                <w:lang w:val="en-US"/>
              </w:rPr>
              <w:tab/>
            </w:r>
            <w:r w:rsidRPr="00775A57">
              <w:rPr>
                <w:sz w:val="28"/>
                <w:szCs w:val="28"/>
                <w:lang w:val="en-US"/>
              </w:rPr>
              <w:tab/>
            </w:r>
            <w:r w:rsidRPr="00775A57">
              <w:rPr>
                <w:sz w:val="28"/>
                <w:szCs w:val="28"/>
                <w:lang w:val="en-US"/>
              </w:rPr>
              <w:tab/>
            </w:r>
          </w:p>
          <w:p w14:paraId="02666854" w14:textId="77777777" w:rsidR="00BE42A0" w:rsidRPr="00775A57" w:rsidRDefault="00BE42A0" w:rsidP="00580B15">
            <w:pPr>
              <w:numPr>
                <w:ilvl w:val="0"/>
                <w:numId w:val="23"/>
              </w:numPr>
              <w:shd w:val="clear" w:color="auto" w:fill="FFFFFF"/>
              <w:spacing w:line="240" w:lineRule="atLeast"/>
              <w:ind w:left="782" w:hanging="357"/>
              <w:jc w:val="both"/>
              <w:textAlignment w:val="baseline"/>
              <w:rPr>
                <w:sz w:val="28"/>
                <w:szCs w:val="28"/>
                <w:lang w:val="en-US"/>
              </w:rPr>
            </w:pPr>
            <w:r w:rsidRPr="00775A57">
              <w:rPr>
                <w:iCs/>
                <w:sz w:val="28"/>
                <w:szCs w:val="28"/>
                <w:lang w:val="en-US" w:eastAsia="uk-UA"/>
              </w:rPr>
              <w:t>express the property relations</w:t>
            </w:r>
            <w:r w:rsidRPr="00775A57">
              <w:rPr>
                <w:sz w:val="28"/>
                <w:szCs w:val="28"/>
                <w:lang w:val="en-US"/>
              </w:rPr>
              <w:t>;</w:t>
            </w:r>
          </w:p>
          <w:p w14:paraId="2DBD010F" w14:textId="77777777" w:rsidR="00BE42A0" w:rsidRPr="00775A57" w:rsidRDefault="00BE42A0" w:rsidP="00580B15">
            <w:pPr>
              <w:numPr>
                <w:ilvl w:val="0"/>
                <w:numId w:val="23"/>
              </w:numPr>
              <w:shd w:val="clear" w:color="auto" w:fill="FFFFFF"/>
              <w:spacing w:line="240" w:lineRule="atLeast"/>
              <w:ind w:left="782" w:hanging="357"/>
              <w:jc w:val="both"/>
              <w:textAlignment w:val="baseline"/>
              <w:rPr>
                <w:sz w:val="28"/>
                <w:szCs w:val="28"/>
                <w:lang w:val="en-US"/>
              </w:rPr>
            </w:pPr>
            <w:r w:rsidRPr="00775A57">
              <w:rPr>
                <w:iCs/>
                <w:sz w:val="28"/>
                <w:szCs w:val="28"/>
                <w:lang w:val="en-US" w:eastAsia="uk-UA"/>
              </w:rPr>
              <w:t>have inherent sources and methods of accumulation</w:t>
            </w:r>
            <w:r w:rsidRPr="00775A57">
              <w:rPr>
                <w:sz w:val="28"/>
                <w:szCs w:val="28"/>
                <w:lang w:val="en-US"/>
              </w:rPr>
              <w:t xml:space="preserve">; </w:t>
            </w:r>
          </w:p>
          <w:p w14:paraId="46DE6C2D" w14:textId="77777777" w:rsidR="00BE42A0" w:rsidRPr="00775A57" w:rsidRDefault="00BE42A0" w:rsidP="00580B15">
            <w:pPr>
              <w:numPr>
                <w:ilvl w:val="0"/>
                <w:numId w:val="23"/>
              </w:numPr>
              <w:shd w:val="clear" w:color="auto" w:fill="FFFFFF"/>
              <w:spacing w:line="240" w:lineRule="atLeast"/>
              <w:ind w:left="782" w:hanging="357"/>
              <w:jc w:val="both"/>
              <w:textAlignment w:val="baseline"/>
              <w:rPr>
                <w:sz w:val="28"/>
                <w:szCs w:val="28"/>
                <w:lang w:val="en-US"/>
              </w:rPr>
            </w:pPr>
            <w:r w:rsidRPr="00775A57">
              <w:rPr>
                <w:iCs/>
                <w:sz w:val="28"/>
                <w:szCs w:val="28"/>
                <w:lang w:val="en-US" w:eastAsia="uk-UA"/>
              </w:rPr>
              <w:t>the specific composition of the formation, distribution, and use</w:t>
            </w:r>
            <w:r w:rsidRPr="00775A57">
              <w:rPr>
                <w:sz w:val="28"/>
                <w:szCs w:val="28"/>
                <w:lang w:val="en-US"/>
              </w:rPr>
              <w:t>;</w:t>
            </w:r>
          </w:p>
          <w:p w14:paraId="5DE8CF04" w14:textId="77777777" w:rsidR="00BE42A0" w:rsidRPr="00775A57" w:rsidRDefault="00BE42A0" w:rsidP="00AE1076">
            <w:pPr>
              <w:numPr>
                <w:ilvl w:val="0"/>
                <w:numId w:val="23"/>
              </w:numPr>
              <w:shd w:val="clear" w:color="auto" w:fill="FFFFFF"/>
              <w:spacing w:after="120" w:line="240" w:lineRule="atLeast"/>
              <w:ind w:left="782" w:hanging="357"/>
              <w:jc w:val="both"/>
              <w:textAlignment w:val="baseline"/>
              <w:rPr>
                <w:sz w:val="28"/>
                <w:szCs w:val="28"/>
                <w:lang w:val="en-US"/>
              </w:rPr>
            </w:pPr>
            <w:r w:rsidRPr="00775A57">
              <w:rPr>
                <w:sz w:val="28"/>
                <w:szCs w:val="28"/>
                <w:lang w:val="en-US"/>
              </w:rPr>
              <w:t>all answers are right.</w:t>
            </w:r>
          </w:p>
        </w:tc>
      </w:tr>
      <w:tr w:rsidR="00BE42A0" w:rsidRPr="00775A57" w14:paraId="779719D9" w14:textId="77777777" w:rsidTr="007557BC">
        <w:trPr>
          <w:trHeight w:val="1560"/>
        </w:trPr>
        <w:tc>
          <w:tcPr>
            <w:tcW w:w="9606" w:type="dxa"/>
          </w:tcPr>
          <w:p w14:paraId="7D200C1A"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eastAsia="uk-UA"/>
              </w:rPr>
              <w:t>What models of financial relations in society can be carried out in distribution and redistribution of gross domestic product?</w:t>
            </w:r>
          </w:p>
          <w:p w14:paraId="517D428C" w14:textId="77777777" w:rsidR="00BE42A0" w:rsidRPr="00775A57" w:rsidRDefault="00BE42A0" w:rsidP="00580B15">
            <w:pPr>
              <w:numPr>
                <w:ilvl w:val="0"/>
                <w:numId w:val="24"/>
              </w:numPr>
              <w:shd w:val="clear" w:color="auto" w:fill="FFFFFF"/>
              <w:spacing w:line="240" w:lineRule="atLeast"/>
              <w:ind w:left="782" w:hanging="357"/>
              <w:jc w:val="both"/>
              <w:textAlignment w:val="baseline"/>
              <w:rPr>
                <w:sz w:val="28"/>
                <w:szCs w:val="28"/>
                <w:lang w:val="en-US"/>
              </w:rPr>
            </w:pPr>
            <w:r w:rsidRPr="00775A57">
              <w:rPr>
                <w:sz w:val="28"/>
                <w:szCs w:val="28"/>
                <w:lang w:val="en-US"/>
              </w:rPr>
              <w:t>administrative and market;</w:t>
            </w:r>
          </w:p>
          <w:p w14:paraId="4D6ECD80" w14:textId="77777777" w:rsidR="00BE42A0" w:rsidRPr="00775A57" w:rsidRDefault="00BE42A0" w:rsidP="00580B15">
            <w:pPr>
              <w:numPr>
                <w:ilvl w:val="0"/>
                <w:numId w:val="24"/>
              </w:numPr>
              <w:shd w:val="clear" w:color="auto" w:fill="FFFFFF"/>
              <w:spacing w:line="240" w:lineRule="atLeast"/>
              <w:ind w:left="782" w:hanging="357"/>
              <w:jc w:val="both"/>
              <w:textAlignment w:val="baseline"/>
              <w:rPr>
                <w:sz w:val="28"/>
                <w:szCs w:val="28"/>
                <w:lang w:val="en-US"/>
              </w:rPr>
            </w:pPr>
            <w:r w:rsidRPr="00775A57">
              <w:rPr>
                <w:sz w:val="28"/>
                <w:szCs w:val="28"/>
                <w:lang w:val="en-US"/>
              </w:rPr>
              <w:t>administrative and monetary;</w:t>
            </w:r>
          </w:p>
          <w:p w14:paraId="2ECE7CC5" w14:textId="77777777" w:rsidR="00BE42A0" w:rsidRPr="00775A57" w:rsidRDefault="00BE42A0" w:rsidP="00580B15">
            <w:pPr>
              <w:numPr>
                <w:ilvl w:val="0"/>
                <w:numId w:val="24"/>
              </w:numPr>
              <w:shd w:val="clear" w:color="auto" w:fill="FFFFFF"/>
              <w:spacing w:line="240" w:lineRule="atLeast"/>
              <w:ind w:left="782" w:hanging="357"/>
              <w:jc w:val="both"/>
              <w:textAlignment w:val="baseline"/>
              <w:rPr>
                <w:sz w:val="28"/>
                <w:szCs w:val="28"/>
                <w:lang w:val="en-US"/>
              </w:rPr>
            </w:pPr>
            <w:r w:rsidRPr="00775A57">
              <w:rPr>
                <w:sz w:val="28"/>
                <w:szCs w:val="28"/>
                <w:lang w:val="en-US"/>
              </w:rPr>
              <w:t xml:space="preserve">American, European, </w:t>
            </w:r>
            <w:r w:rsidR="00EC359B">
              <w:rPr>
                <w:sz w:val="28"/>
                <w:szCs w:val="28"/>
                <w:lang w:val="en-US"/>
              </w:rPr>
              <w:t xml:space="preserve">and </w:t>
            </w:r>
            <w:r w:rsidRPr="00775A57">
              <w:rPr>
                <w:sz w:val="28"/>
                <w:szCs w:val="28"/>
                <w:lang w:val="en-US"/>
              </w:rPr>
              <w:t>Scandinavian;</w:t>
            </w:r>
          </w:p>
          <w:p w14:paraId="4295602B" w14:textId="77777777" w:rsidR="00BE42A0" w:rsidRPr="00775A57" w:rsidRDefault="00BE42A0" w:rsidP="00AE1076">
            <w:pPr>
              <w:numPr>
                <w:ilvl w:val="0"/>
                <w:numId w:val="24"/>
              </w:numPr>
              <w:shd w:val="clear" w:color="auto" w:fill="FFFFFF"/>
              <w:spacing w:after="120" w:line="240" w:lineRule="atLeast"/>
              <w:ind w:left="782" w:hanging="357"/>
              <w:jc w:val="both"/>
              <w:textAlignment w:val="baseline"/>
              <w:rPr>
                <w:sz w:val="28"/>
                <w:szCs w:val="28"/>
                <w:lang w:val="en-US"/>
              </w:rPr>
            </w:pPr>
            <w:r w:rsidRPr="00775A57">
              <w:rPr>
                <w:sz w:val="28"/>
                <w:szCs w:val="28"/>
                <w:lang w:val="en-US"/>
              </w:rPr>
              <w:t xml:space="preserve">fiscal and market. </w:t>
            </w:r>
            <w:r w:rsidRPr="00775A57">
              <w:rPr>
                <w:sz w:val="28"/>
                <w:szCs w:val="28"/>
                <w:lang w:val="en-US"/>
              </w:rPr>
              <w:tab/>
            </w:r>
          </w:p>
        </w:tc>
      </w:tr>
      <w:tr w:rsidR="00BE42A0" w:rsidRPr="00775A57" w14:paraId="5714EA0B" w14:textId="77777777" w:rsidTr="006B5AF6">
        <w:trPr>
          <w:trHeight w:val="426"/>
        </w:trPr>
        <w:tc>
          <w:tcPr>
            <w:tcW w:w="9606" w:type="dxa"/>
          </w:tcPr>
          <w:p w14:paraId="7AC79DED"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eastAsia="uk-UA"/>
              </w:rPr>
              <w:t>Control function allows to solve such important objectives:</w:t>
            </w:r>
          </w:p>
          <w:p w14:paraId="5702964A" w14:textId="77777777" w:rsidR="00BE42A0" w:rsidRPr="00775A57" w:rsidRDefault="00BE42A0" w:rsidP="00580B15">
            <w:pPr>
              <w:numPr>
                <w:ilvl w:val="0"/>
                <w:numId w:val="25"/>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search for increasing revenues and profits reserves</w:t>
            </w:r>
            <w:r w:rsidRPr="00775A57">
              <w:rPr>
                <w:sz w:val="28"/>
                <w:szCs w:val="28"/>
                <w:lang w:val="en-US"/>
              </w:rPr>
              <w:t>;</w:t>
            </w:r>
          </w:p>
          <w:p w14:paraId="194C8534" w14:textId="77777777" w:rsidR="00BE42A0" w:rsidRPr="00775A57" w:rsidRDefault="00BE42A0" w:rsidP="00580B15">
            <w:pPr>
              <w:numPr>
                <w:ilvl w:val="0"/>
                <w:numId w:val="25"/>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mobilization of financial resources to finance social and economic development</w:t>
            </w:r>
            <w:r w:rsidRPr="00775A57">
              <w:rPr>
                <w:sz w:val="28"/>
                <w:szCs w:val="28"/>
                <w:lang w:val="en-US"/>
              </w:rPr>
              <w:t>;</w:t>
            </w:r>
          </w:p>
          <w:p w14:paraId="279EDA15" w14:textId="77777777" w:rsidR="00BE42A0" w:rsidRPr="00775A57" w:rsidRDefault="00BE42A0" w:rsidP="00580B15">
            <w:pPr>
              <w:numPr>
                <w:ilvl w:val="0"/>
                <w:numId w:val="25"/>
              </w:numPr>
              <w:shd w:val="clear" w:color="auto" w:fill="FFFFFF"/>
              <w:spacing w:line="240" w:lineRule="atLeast"/>
              <w:ind w:left="782" w:hanging="357"/>
              <w:jc w:val="both"/>
              <w:textAlignment w:val="baseline"/>
              <w:rPr>
                <w:sz w:val="28"/>
                <w:szCs w:val="28"/>
                <w:lang w:val="en-US"/>
              </w:rPr>
            </w:pPr>
            <w:r w:rsidRPr="00775A57">
              <w:rPr>
                <w:sz w:val="28"/>
                <w:szCs w:val="28"/>
                <w:lang w:val="en-US" w:eastAsia="uk-UA"/>
              </w:rPr>
              <w:t>fulfillment of financial obligations</w:t>
            </w:r>
            <w:r w:rsidRPr="00775A57">
              <w:rPr>
                <w:sz w:val="28"/>
                <w:szCs w:val="28"/>
                <w:lang w:val="en-US"/>
              </w:rPr>
              <w:t>;</w:t>
            </w:r>
          </w:p>
          <w:p w14:paraId="14212854" w14:textId="77777777" w:rsidR="00BE42A0" w:rsidRPr="00775A57" w:rsidRDefault="00AE1076" w:rsidP="00AE1076">
            <w:pPr>
              <w:numPr>
                <w:ilvl w:val="0"/>
                <w:numId w:val="25"/>
              </w:numPr>
              <w:shd w:val="clear" w:color="auto" w:fill="FFFFFF"/>
              <w:spacing w:after="120" w:line="240" w:lineRule="atLeast"/>
              <w:ind w:left="782" w:hanging="357"/>
              <w:jc w:val="both"/>
              <w:textAlignment w:val="baseline"/>
              <w:rPr>
                <w:sz w:val="28"/>
                <w:szCs w:val="28"/>
                <w:lang w:val="en-US"/>
              </w:rPr>
            </w:pPr>
            <w:r>
              <w:rPr>
                <w:sz w:val="28"/>
                <w:szCs w:val="28"/>
                <w:lang w:val="en-US"/>
              </w:rPr>
              <w:t>all answers are right.</w:t>
            </w:r>
          </w:p>
        </w:tc>
      </w:tr>
      <w:tr w:rsidR="00BE42A0" w:rsidRPr="00775A57" w14:paraId="5BBE2577" w14:textId="77777777" w:rsidTr="00715FD4">
        <w:trPr>
          <w:trHeight w:val="1560"/>
        </w:trPr>
        <w:tc>
          <w:tcPr>
            <w:tcW w:w="9606" w:type="dxa"/>
          </w:tcPr>
          <w:p w14:paraId="5863856E" w14:textId="77777777" w:rsidR="00BE42A0" w:rsidRPr="00775A57" w:rsidRDefault="00BE42A0" w:rsidP="00580B15">
            <w:pPr>
              <w:numPr>
                <w:ilvl w:val="0"/>
                <w:numId w:val="17"/>
              </w:numPr>
              <w:spacing w:line="240" w:lineRule="atLeast"/>
              <w:ind w:left="426" w:hanging="284"/>
              <w:contextualSpacing/>
              <w:jc w:val="both"/>
              <w:rPr>
                <w:sz w:val="28"/>
                <w:szCs w:val="28"/>
                <w:lang w:val="en-US"/>
              </w:rPr>
            </w:pPr>
            <w:r w:rsidRPr="00775A57">
              <w:rPr>
                <w:sz w:val="28"/>
                <w:szCs w:val="28"/>
                <w:lang w:val="en-US" w:eastAsia="uk-UA"/>
              </w:rPr>
              <w:t>According to material form of Finance, it can be</w:t>
            </w:r>
            <w:r w:rsidR="00EC359B">
              <w:rPr>
                <w:sz w:val="28"/>
                <w:szCs w:val="28"/>
                <w:lang w:val="en-US" w:eastAsia="uk-UA"/>
              </w:rPr>
              <w:t xml:space="preserve"> recognized as follows</w:t>
            </w:r>
            <w:r w:rsidRPr="00775A57">
              <w:rPr>
                <w:sz w:val="28"/>
                <w:szCs w:val="28"/>
                <w:lang w:val="en-US"/>
              </w:rPr>
              <w:t>:</w:t>
            </w:r>
          </w:p>
          <w:p w14:paraId="7D02BA34" w14:textId="77777777" w:rsidR="00BE42A0" w:rsidRPr="00775A57" w:rsidRDefault="00BE42A0" w:rsidP="00580B15">
            <w:pPr>
              <w:numPr>
                <w:ilvl w:val="0"/>
                <w:numId w:val="26"/>
              </w:numPr>
              <w:shd w:val="clear" w:color="auto" w:fill="FFFFFF"/>
              <w:spacing w:line="240" w:lineRule="atLeast"/>
              <w:ind w:left="782" w:hanging="357"/>
              <w:jc w:val="both"/>
              <w:textAlignment w:val="baseline"/>
              <w:rPr>
                <w:sz w:val="28"/>
                <w:szCs w:val="28"/>
                <w:lang w:val="en-US"/>
              </w:rPr>
            </w:pPr>
            <w:r w:rsidRPr="00775A57">
              <w:rPr>
                <w:sz w:val="28"/>
                <w:szCs w:val="28"/>
                <w:lang w:val="en-US"/>
              </w:rPr>
              <w:t>state and private;</w:t>
            </w:r>
          </w:p>
          <w:p w14:paraId="6CAE56A6" w14:textId="77777777" w:rsidR="00BE42A0" w:rsidRPr="00775A57" w:rsidRDefault="00BE42A0" w:rsidP="00580B15">
            <w:pPr>
              <w:numPr>
                <w:ilvl w:val="0"/>
                <w:numId w:val="26"/>
              </w:numPr>
              <w:shd w:val="clear" w:color="auto" w:fill="FFFFFF"/>
              <w:spacing w:line="240" w:lineRule="atLeast"/>
              <w:ind w:left="782" w:hanging="357"/>
              <w:jc w:val="both"/>
              <w:textAlignment w:val="baseline"/>
              <w:rPr>
                <w:sz w:val="28"/>
                <w:szCs w:val="28"/>
                <w:lang w:val="en-US"/>
              </w:rPr>
            </w:pPr>
            <w:r w:rsidRPr="00775A57">
              <w:rPr>
                <w:sz w:val="28"/>
                <w:szCs w:val="28"/>
                <w:lang w:val="en-US"/>
              </w:rPr>
              <w:t>fund and non-fund;</w:t>
            </w:r>
          </w:p>
          <w:p w14:paraId="773EFE96" w14:textId="77777777" w:rsidR="00BE42A0" w:rsidRPr="00775A57" w:rsidRDefault="00BE42A0" w:rsidP="00580B15">
            <w:pPr>
              <w:numPr>
                <w:ilvl w:val="0"/>
                <w:numId w:val="26"/>
              </w:numPr>
              <w:shd w:val="clear" w:color="auto" w:fill="FFFFFF"/>
              <w:spacing w:line="240" w:lineRule="atLeast"/>
              <w:ind w:left="782" w:hanging="357"/>
              <w:jc w:val="both"/>
              <w:textAlignment w:val="baseline"/>
              <w:rPr>
                <w:sz w:val="28"/>
                <w:szCs w:val="28"/>
                <w:lang w:val="en-US"/>
              </w:rPr>
            </w:pPr>
            <w:r w:rsidRPr="00775A57">
              <w:rPr>
                <w:sz w:val="28"/>
                <w:szCs w:val="28"/>
                <w:lang w:val="en-US"/>
              </w:rPr>
              <w:t>centralized and decentralized;</w:t>
            </w:r>
          </w:p>
          <w:p w14:paraId="46B9AA11" w14:textId="77777777" w:rsidR="00BE42A0" w:rsidRPr="00775A57" w:rsidRDefault="00BE42A0" w:rsidP="00AE1076">
            <w:pPr>
              <w:numPr>
                <w:ilvl w:val="0"/>
                <w:numId w:val="26"/>
              </w:numPr>
              <w:shd w:val="clear" w:color="auto" w:fill="FFFFFF"/>
              <w:spacing w:after="120" w:line="240" w:lineRule="atLeast"/>
              <w:ind w:left="782" w:hanging="357"/>
              <w:jc w:val="both"/>
              <w:textAlignment w:val="baseline"/>
              <w:rPr>
                <w:sz w:val="28"/>
                <w:szCs w:val="28"/>
                <w:lang w:val="en-US"/>
              </w:rPr>
            </w:pPr>
            <w:r w:rsidRPr="00775A57">
              <w:rPr>
                <w:sz w:val="28"/>
                <w:szCs w:val="28"/>
                <w:lang w:val="en-US"/>
              </w:rPr>
              <w:t>distributive and redistributive.</w:t>
            </w:r>
          </w:p>
        </w:tc>
      </w:tr>
    </w:tbl>
    <w:p w14:paraId="28B03786" w14:textId="77777777" w:rsidR="00BE42A0" w:rsidRPr="00775A57" w:rsidRDefault="00BE42A0" w:rsidP="002E7F7B">
      <w:pPr>
        <w:pStyle w:val="end2"/>
        <w:rPr>
          <w:szCs w:val="28"/>
        </w:rPr>
      </w:pPr>
      <w:r w:rsidRPr="00775A57">
        <w:rPr>
          <w:szCs w:val="28"/>
        </w:rPr>
        <w:t>Short answer questions</w:t>
      </w:r>
    </w:p>
    <w:p w14:paraId="0B4EDBBC" w14:textId="77777777" w:rsidR="00BE42A0" w:rsidRPr="00775A57" w:rsidRDefault="00BE42A0" w:rsidP="002E7F7B">
      <w:pPr>
        <w:keepNext/>
        <w:keepLines/>
        <w:spacing w:after="120" w:line="240" w:lineRule="atLeast"/>
        <w:jc w:val="both"/>
        <w:outlineLvl w:val="1"/>
        <w:rPr>
          <w:b/>
          <w:caps/>
          <w:color w:val="000000" w:themeColor="text1"/>
          <w:spacing w:val="10"/>
          <w:kern w:val="20"/>
          <w:sz w:val="28"/>
          <w:szCs w:val="28"/>
          <w:lang w:val="en-US"/>
        </w:rPr>
      </w:pPr>
      <w:r w:rsidRPr="00775A57">
        <w:rPr>
          <w:b/>
          <w:caps/>
          <w:color w:val="000000" w:themeColor="text1"/>
          <w:spacing w:val="10"/>
          <w:kern w:val="20"/>
          <w:sz w:val="28"/>
          <w:szCs w:val="28"/>
          <w:lang w:val="en-US"/>
        </w:rPr>
        <w:t>Missing</w:t>
      </w:r>
      <w:r w:rsidR="004B4CB5">
        <w:rPr>
          <w:b/>
          <w:caps/>
          <w:color w:val="000000" w:themeColor="text1"/>
          <w:spacing w:val="10"/>
          <w:kern w:val="20"/>
          <w:sz w:val="28"/>
          <w:szCs w:val="28"/>
          <w:lang w:val="en-US"/>
        </w:rPr>
        <w:t xml:space="preserve"> </w:t>
      </w:r>
      <w:r w:rsidRPr="00775A57">
        <w:rPr>
          <w:b/>
          <w:caps/>
          <w:color w:val="000000" w:themeColor="text1"/>
          <w:spacing w:val="10"/>
          <w:kern w:val="20"/>
          <w:sz w:val="28"/>
          <w:szCs w:val="28"/>
          <w:lang w:val="en-US"/>
        </w:rPr>
        <w:t>word questions</w:t>
      </w:r>
    </w:p>
    <w:p w14:paraId="6B507CC8" w14:textId="77777777" w:rsidR="002E7F7B" w:rsidRPr="00AE1076" w:rsidRDefault="00BE42A0" w:rsidP="00E26AC8">
      <w:pPr>
        <w:spacing w:line="240" w:lineRule="atLeast"/>
        <w:ind w:firstLine="360"/>
        <w:jc w:val="both"/>
        <w:rPr>
          <w:color w:val="000000" w:themeColor="text1"/>
          <w:sz w:val="28"/>
          <w:szCs w:val="28"/>
          <w:lang w:val="en-US"/>
        </w:rPr>
      </w:pPr>
      <w:r w:rsidRPr="00AE1076">
        <w:rPr>
          <w:color w:val="000000" w:themeColor="text1"/>
          <w:sz w:val="28"/>
          <w:szCs w:val="28"/>
          <w:lang w:val="en-US"/>
        </w:rPr>
        <w:t>Choose the correct word to complete each sentence.</w:t>
      </w:r>
    </w:p>
    <w:p w14:paraId="09CFFB6C" w14:textId="77777777" w:rsidR="00E26AC8" w:rsidRPr="00AE1076" w:rsidRDefault="00E26AC8" w:rsidP="00E26AC8">
      <w:pPr>
        <w:spacing w:line="240" w:lineRule="atLeast"/>
        <w:ind w:firstLine="360"/>
        <w:jc w:val="both"/>
        <w:rPr>
          <w:color w:val="000000" w:themeColor="text1"/>
          <w:sz w:val="28"/>
          <w:szCs w:val="28"/>
          <w:lang w:val="en-US"/>
        </w:rPr>
      </w:pPr>
    </w:p>
    <w:p w14:paraId="0AED0DF8" w14:textId="77777777" w:rsidR="00BE42A0" w:rsidRPr="00AE1076" w:rsidRDefault="00BE42A0" w:rsidP="003D693A">
      <w:pPr>
        <w:numPr>
          <w:ilvl w:val="0"/>
          <w:numId w:val="3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 xml:space="preserve">Finance is a set of monetary relations connected with the formation, mobilization and ___________ of financial resources and the exchange, distribution and _____________ of gross domestic product value based on their use. </w:t>
      </w:r>
    </w:p>
    <w:p w14:paraId="433D8B41" w14:textId="77777777" w:rsidR="002E7F7B" w:rsidRPr="00AE1076" w:rsidRDefault="002E7F7B" w:rsidP="00E26AC8">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2B14243E" w14:textId="77777777" w:rsidR="00BE42A0" w:rsidRPr="00AE1076" w:rsidRDefault="00BE42A0" w:rsidP="003D693A">
      <w:pPr>
        <w:numPr>
          <w:ilvl w:val="0"/>
          <w:numId w:val="3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 xml:space="preserve">___________________ means the economic relations connected with the formation and use of state </w:t>
      </w:r>
      <w:r w:rsidR="00707782">
        <w:rPr>
          <w:rFonts w:eastAsia="Arial Unicode MS" w:cs="Arial Unicode MS"/>
          <w:sz w:val="28"/>
          <w:szCs w:val="28"/>
          <w:u w:color="000000"/>
          <w:bdr w:val="nil"/>
          <w:lang w:val="en-US"/>
        </w:rPr>
        <w:t>money fund</w:t>
      </w:r>
      <w:r w:rsidRPr="00AE1076">
        <w:rPr>
          <w:rFonts w:eastAsia="Arial Unicode MS" w:cs="Arial Unicode MS"/>
          <w:sz w:val="28"/>
          <w:szCs w:val="28"/>
          <w:u w:color="000000"/>
          <w:bdr w:val="nil"/>
          <w:lang w:val="en-US"/>
        </w:rPr>
        <w:t>s that are accumulated in the state budget system and government extra budgetary funds.</w:t>
      </w:r>
    </w:p>
    <w:p w14:paraId="3EBF1A04" w14:textId="77777777" w:rsidR="002E7F7B" w:rsidRPr="00AE1076" w:rsidRDefault="002E7F7B" w:rsidP="00E26AC8">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4455EDD6" w14:textId="77777777" w:rsidR="00BE42A0" w:rsidRPr="00AE1076" w:rsidRDefault="00BE42A0" w:rsidP="003D693A">
      <w:pPr>
        <w:numPr>
          <w:ilvl w:val="0"/>
          <w:numId w:val="3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Finance is an instrument of ___________ the activity of exchange</w:t>
      </w:r>
      <w:r w:rsidR="00EC359B">
        <w:rPr>
          <w:rFonts w:eastAsia="Arial Unicode MS" w:cs="Arial Unicode MS"/>
          <w:sz w:val="28"/>
          <w:szCs w:val="28"/>
          <w:u w:color="000000"/>
          <w:bdr w:val="nil"/>
          <w:lang w:val="en-US"/>
        </w:rPr>
        <w:t>-</w:t>
      </w:r>
      <w:r w:rsidRPr="00AE1076">
        <w:rPr>
          <w:rFonts w:eastAsia="Arial Unicode MS" w:cs="Arial Unicode MS"/>
          <w:sz w:val="28"/>
          <w:szCs w:val="28"/>
          <w:u w:color="000000"/>
          <w:bdr w:val="nil"/>
          <w:lang w:val="en-US"/>
        </w:rPr>
        <w:t>distribution relations.</w:t>
      </w:r>
    </w:p>
    <w:p w14:paraId="2F91F12D" w14:textId="77777777" w:rsidR="002E7F7B" w:rsidRPr="00AE1076" w:rsidRDefault="002E7F7B" w:rsidP="00E26AC8">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0CDE1B4D" w14:textId="77777777" w:rsidR="00BE42A0" w:rsidRPr="00AE1076" w:rsidRDefault="00BE42A0" w:rsidP="003D693A">
      <w:pPr>
        <w:numPr>
          <w:ilvl w:val="0"/>
          <w:numId w:val="3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Distribution and redistribution of ______________________ can be carried out with different models of financial relations in society.</w:t>
      </w:r>
    </w:p>
    <w:p w14:paraId="3FCA052E" w14:textId="77777777" w:rsidR="002E7F7B" w:rsidRPr="00AE1076" w:rsidRDefault="002E7F7B" w:rsidP="00E26AC8">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443595FE" w14:textId="77777777" w:rsidR="00BE42A0" w:rsidRPr="00AE1076" w:rsidRDefault="00BE42A0" w:rsidP="00715FD4">
      <w:pPr>
        <w:numPr>
          <w:ilvl w:val="0"/>
          <w:numId w:val="3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According to ___________________ by state within the financial models of market economy are used such models as American, European, and Scandinavian.</w:t>
      </w:r>
    </w:p>
    <w:p w14:paraId="56C81AC5" w14:textId="77777777" w:rsidR="00EC245C" w:rsidRDefault="00EC245C" w:rsidP="002E7F7B">
      <w:pPr>
        <w:keepNext/>
        <w:keepLines/>
        <w:spacing w:before="120" w:after="120" w:line="240" w:lineRule="atLeast"/>
        <w:jc w:val="both"/>
        <w:outlineLvl w:val="1"/>
        <w:rPr>
          <w:b/>
          <w:caps/>
          <w:color w:val="000000" w:themeColor="text1"/>
          <w:spacing w:val="20"/>
          <w:kern w:val="16"/>
          <w:sz w:val="28"/>
          <w:szCs w:val="28"/>
          <w:lang w:val="en-US"/>
        </w:rPr>
      </w:pPr>
    </w:p>
    <w:p w14:paraId="55B7EE2D" w14:textId="77777777" w:rsidR="00BE42A0" w:rsidRPr="00775A57" w:rsidRDefault="00BE42A0" w:rsidP="002E7F7B">
      <w:pPr>
        <w:keepNext/>
        <w:keepLines/>
        <w:spacing w:before="120" w:after="120" w:line="240" w:lineRule="atLeast"/>
        <w:jc w:val="both"/>
        <w:outlineLvl w:val="1"/>
        <w:rPr>
          <w:b/>
          <w:caps/>
          <w:color w:val="000000" w:themeColor="text1"/>
          <w:spacing w:val="20"/>
          <w:kern w:val="16"/>
          <w:sz w:val="28"/>
          <w:szCs w:val="28"/>
          <w:lang w:val="en-US"/>
        </w:rPr>
      </w:pPr>
      <w:r w:rsidRPr="00775A57">
        <w:rPr>
          <w:b/>
          <w:caps/>
          <w:color w:val="000000" w:themeColor="text1"/>
          <w:spacing w:val="20"/>
          <w:kern w:val="16"/>
          <w:sz w:val="28"/>
          <w:szCs w:val="28"/>
          <w:lang w:val="en-US"/>
        </w:rPr>
        <w:t>True/False/Uncertain questions</w:t>
      </w:r>
    </w:p>
    <w:p w14:paraId="0C3922CC" w14:textId="77777777" w:rsidR="00BE42A0" w:rsidRPr="00775A57" w:rsidRDefault="00BE42A0" w:rsidP="002E7F7B">
      <w:pPr>
        <w:spacing w:line="240" w:lineRule="atLeast"/>
        <w:ind w:firstLine="360"/>
        <w:jc w:val="both"/>
        <w:rPr>
          <w:color w:val="000000" w:themeColor="text1"/>
          <w:sz w:val="28"/>
          <w:szCs w:val="28"/>
          <w:lang w:val="en-US"/>
        </w:rPr>
      </w:pPr>
      <w:r w:rsidRPr="00775A57">
        <w:rPr>
          <w:color w:val="000000" w:themeColor="text1"/>
          <w:sz w:val="28"/>
          <w:szCs w:val="28"/>
          <w:lang w:val="en-US"/>
        </w:rPr>
        <w:t xml:space="preserve">Decide whether the following statements are True, False, or Uncertain. Explain your reasoning. Your score will be based not just on whether you get the True, False, </w:t>
      </w:r>
      <w:r w:rsidR="00EC359B">
        <w:rPr>
          <w:color w:val="000000" w:themeColor="text1"/>
          <w:sz w:val="28"/>
          <w:szCs w:val="28"/>
          <w:lang w:val="en-US"/>
        </w:rPr>
        <w:t xml:space="preserve">or </w:t>
      </w:r>
      <w:r w:rsidRPr="00775A57">
        <w:rPr>
          <w:color w:val="000000" w:themeColor="text1"/>
          <w:sz w:val="28"/>
          <w:szCs w:val="28"/>
          <w:lang w:val="en-US"/>
        </w:rPr>
        <w:t>Uncertain part right but also</w:t>
      </w:r>
      <w:r w:rsidR="00EC359B">
        <w:rPr>
          <w:color w:val="000000" w:themeColor="text1"/>
          <w:sz w:val="28"/>
          <w:szCs w:val="28"/>
          <w:lang w:val="en-US"/>
        </w:rPr>
        <w:t>, to a larger extent,</w:t>
      </w:r>
      <w:r w:rsidRPr="00775A57">
        <w:rPr>
          <w:color w:val="000000" w:themeColor="text1"/>
          <w:sz w:val="28"/>
          <w:szCs w:val="28"/>
          <w:lang w:val="en-US"/>
        </w:rPr>
        <w:t xml:space="preserve"> on the quality of your explanation.</w:t>
      </w:r>
    </w:p>
    <w:p w14:paraId="06F8958C" w14:textId="77777777" w:rsidR="002E7F7B" w:rsidRPr="00775A57" w:rsidRDefault="002E7F7B" w:rsidP="002E7F7B">
      <w:pPr>
        <w:spacing w:line="240" w:lineRule="atLeast"/>
        <w:ind w:firstLine="360"/>
        <w:jc w:val="both"/>
        <w:rPr>
          <w:color w:val="000000" w:themeColor="text1"/>
          <w:sz w:val="28"/>
          <w:szCs w:val="28"/>
          <w:lang w:val="en-US"/>
        </w:rPr>
      </w:pPr>
    </w:p>
    <w:p w14:paraId="098DE07F" w14:textId="77777777" w:rsidR="002E7F7B" w:rsidRPr="00775A57" w:rsidRDefault="00BE42A0" w:rsidP="006F749C">
      <w:pPr>
        <w:numPr>
          <w:ilvl w:val="0"/>
          <w:numId w:val="111"/>
        </w:numPr>
        <w:pBdr>
          <w:top w:val="nil"/>
          <w:left w:val="nil"/>
          <w:bottom w:val="nil"/>
          <w:right w:val="nil"/>
          <w:between w:val="nil"/>
          <w:bar w:val="nil"/>
        </w:pBdr>
        <w:tabs>
          <w:tab w:val="left"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hAnsi="Arial Unicode MS" w:cs="Arial Unicode MS"/>
          <w:sz w:val="28"/>
          <w:szCs w:val="28"/>
          <w:u w:color="000000"/>
          <w:bdr w:val="nil"/>
          <w:lang w:val="en-US"/>
        </w:rPr>
      </w:pPr>
      <w:r w:rsidRPr="00775A57">
        <w:rPr>
          <w:rFonts w:eastAsia="Arial Unicode MS" w:hAnsi="Arial Unicode MS" w:cs="Arial Unicode MS"/>
          <w:sz w:val="28"/>
          <w:szCs w:val="28"/>
          <w:u w:color="000000"/>
          <w:bdr w:val="nil"/>
          <w:lang w:val="en-US"/>
        </w:rPr>
        <w:t>Finance is a set of economic relations connected with the formation, mobilization and placement of cash money and the exchange and redistribution of state budget value.</w:t>
      </w:r>
    </w:p>
    <w:p w14:paraId="22EA2A4D" w14:textId="77777777" w:rsidR="002E7F7B" w:rsidRPr="00775A57" w:rsidRDefault="002E7F7B" w:rsidP="00E26AC8">
      <w:pPr>
        <w:pBdr>
          <w:top w:val="nil"/>
          <w:left w:val="nil"/>
          <w:bottom w:val="nil"/>
          <w:right w:val="nil"/>
          <w:between w:val="nil"/>
          <w:bar w:val="nil"/>
        </w:pBdr>
        <w:tabs>
          <w:tab w:val="left"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hAnsi="Arial Unicode MS" w:cs="Arial Unicode MS"/>
          <w:sz w:val="28"/>
          <w:szCs w:val="28"/>
          <w:u w:color="000000"/>
          <w:bdr w:val="nil"/>
          <w:lang w:val="en-US"/>
        </w:rPr>
      </w:pPr>
    </w:p>
    <w:p w14:paraId="0C658E5D" w14:textId="77777777" w:rsidR="00BE42A0" w:rsidRPr="00775A57" w:rsidRDefault="00BE42A0" w:rsidP="006F749C">
      <w:pPr>
        <w:numPr>
          <w:ilvl w:val="0"/>
          <w:numId w:val="111"/>
        </w:numPr>
        <w:pBdr>
          <w:top w:val="nil"/>
          <w:left w:val="nil"/>
          <w:bottom w:val="nil"/>
          <w:right w:val="nil"/>
          <w:between w:val="nil"/>
          <w:bar w:val="nil"/>
        </w:pBdr>
        <w:tabs>
          <w:tab w:val="left"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hAnsi="Arial Unicode MS" w:cs="Arial Unicode MS"/>
          <w:sz w:val="28"/>
          <w:szCs w:val="28"/>
          <w:u w:color="000000"/>
          <w:bdr w:val="nil"/>
          <w:lang w:val="en-US"/>
        </w:rPr>
      </w:pPr>
      <w:r w:rsidRPr="00775A57">
        <w:rPr>
          <w:rFonts w:eastAsia="Arial Unicode MS" w:hAnsi="Arial Unicode MS" w:cs="Arial Unicode MS"/>
          <w:sz w:val="28"/>
          <w:szCs w:val="28"/>
          <w:u w:color="000000"/>
          <w:bdr w:val="nil"/>
          <w:lang w:val="en-US"/>
        </w:rPr>
        <w:t>Financial</w:t>
      </w:r>
      <w:r w:rsidRPr="00775A57">
        <w:rPr>
          <w:rFonts w:eastAsia="Arial Unicode MS" w:hAnsi="Arial Unicode MS" w:cs="Arial Unicode MS"/>
          <w:sz w:val="28"/>
          <w:szCs w:val="28"/>
          <w:u w:color="000000"/>
          <w:bdr w:val="nil"/>
          <w:lang w:val="en-US"/>
        </w:rPr>
        <w:t> </w:t>
      </w:r>
      <w:r w:rsidRPr="00775A57">
        <w:rPr>
          <w:rFonts w:eastAsia="Arial Unicode MS" w:hAnsi="Arial Unicode MS" w:cs="Arial Unicode MS"/>
          <w:sz w:val="28"/>
          <w:szCs w:val="28"/>
          <w:u w:color="000000"/>
          <w:bdr w:val="nil"/>
          <w:lang w:val="en-US"/>
        </w:rPr>
        <w:t>resources</w:t>
      </w:r>
      <w:r w:rsidRPr="00775A57">
        <w:rPr>
          <w:rFonts w:eastAsia="Arial Unicode MS" w:hAnsi="Arial Unicode MS" w:cs="Arial Unicode MS"/>
          <w:sz w:val="28"/>
          <w:szCs w:val="28"/>
          <w:u w:color="000000"/>
          <w:bdr w:val="nil"/>
          <w:lang w:val="en-US"/>
        </w:rPr>
        <w:t> </w:t>
      </w:r>
      <w:r w:rsidRPr="00775A57">
        <w:rPr>
          <w:rFonts w:eastAsia="Arial Unicode MS" w:hAnsi="Arial Unicode MS" w:cs="Arial Unicode MS"/>
          <w:sz w:val="28"/>
          <w:szCs w:val="28"/>
          <w:u w:color="000000"/>
          <w:bdr w:val="nil"/>
          <w:lang w:val="en-US"/>
        </w:rPr>
        <w:t>are</w:t>
      </w:r>
      <w:r w:rsidRPr="00775A57">
        <w:rPr>
          <w:rFonts w:eastAsia="Arial Unicode MS" w:hAnsi="Arial Unicode MS" w:cs="Arial Unicode MS"/>
          <w:sz w:val="28"/>
          <w:szCs w:val="28"/>
          <w:u w:color="000000"/>
          <w:bdr w:val="nil"/>
          <w:lang w:val="en-US"/>
        </w:rPr>
        <w:t> </w:t>
      </w:r>
      <w:r w:rsidRPr="00775A57">
        <w:rPr>
          <w:rFonts w:eastAsia="Arial Unicode MS" w:hAnsi="Arial Unicode MS" w:cs="Arial Unicode MS"/>
          <w:sz w:val="28"/>
          <w:szCs w:val="28"/>
          <w:u w:color="000000"/>
          <w:bdr w:val="nil"/>
          <w:lang w:val="en-US"/>
        </w:rPr>
        <w:t xml:space="preserve">money transactions that are generated in the process of redistribution and use of national wealth concentrated in the non-fund form to ensure continuous production, to meet social needs, </w:t>
      </w:r>
      <w:r w:rsidR="00EC359B">
        <w:rPr>
          <w:rFonts w:eastAsia="Arial Unicode MS" w:hAnsi="Arial Unicode MS" w:cs="Arial Unicode MS"/>
          <w:sz w:val="28"/>
          <w:szCs w:val="28"/>
          <w:u w:color="000000"/>
          <w:bdr w:val="nil"/>
          <w:lang w:val="en-US"/>
        </w:rPr>
        <w:t xml:space="preserve">and </w:t>
      </w:r>
      <w:r w:rsidRPr="00775A57">
        <w:rPr>
          <w:rFonts w:eastAsia="Arial Unicode MS" w:hAnsi="Arial Unicode MS" w:cs="Arial Unicode MS"/>
          <w:sz w:val="28"/>
          <w:szCs w:val="28"/>
          <w:u w:color="000000"/>
          <w:bdr w:val="nil"/>
          <w:lang w:val="en-US"/>
        </w:rPr>
        <w:t>to carry out financial obligations.</w:t>
      </w:r>
    </w:p>
    <w:p w14:paraId="2F1336B7" w14:textId="77777777" w:rsidR="00E26AC8" w:rsidRPr="00775A57" w:rsidRDefault="00E26AC8" w:rsidP="00E26AC8">
      <w:pPr>
        <w:pBdr>
          <w:top w:val="nil"/>
          <w:left w:val="nil"/>
          <w:bottom w:val="nil"/>
          <w:right w:val="nil"/>
          <w:between w:val="nil"/>
          <w:bar w:val="nil"/>
        </w:pBdr>
        <w:tabs>
          <w:tab w:val="left"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0F26D569" w14:textId="77777777" w:rsidR="00BE42A0" w:rsidRPr="00775A57" w:rsidRDefault="00BE42A0" w:rsidP="006F749C">
      <w:pPr>
        <w:numPr>
          <w:ilvl w:val="0"/>
          <w:numId w:val="111"/>
        </w:numPr>
        <w:pBdr>
          <w:top w:val="nil"/>
          <w:left w:val="nil"/>
          <w:bottom w:val="nil"/>
          <w:right w:val="nil"/>
          <w:between w:val="nil"/>
          <w:bar w:val="nil"/>
        </w:pBdr>
        <w:tabs>
          <w:tab w:val="left"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775A57">
        <w:rPr>
          <w:rFonts w:eastAsia="Arial Unicode MS" w:cs="Arial Unicode MS"/>
          <w:sz w:val="28"/>
          <w:szCs w:val="28"/>
          <w:u w:color="000000"/>
          <w:bdr w:val="nil"/>
          <w:lang w:val="en-US"/>
        </w:rPr>
        <w:t>Finance numerically show</w:t>
      </w:r>
      <w:r w:rsidR="00EC359B">
        <w:rPr>
          <w:rFonts w:eastAsia="Arial Unicode MS" w:cs="Arial Unicode MS"/>
          <w:sz w:val="28"/>
          <w:szCs w:val="28"/>
          <w:u w:color="000000"/>
          <w:bdr w:val="nil"/>
          <w:lang w:val="en-US"/>
        </w:rPr>
        <w:t>s</w:t>
      </w:r>
      <w:r w:rsidRPr="00775A57">
        <w:rPr>
          <w:rFonts w:eastAsia="Arial Unicode MS" w:cs="Arial Unicode MS"/>
          <w:sz w:val="28"/>
          <w:szCs w:val="28"/>
          <w:u w:color="000000"/>
          <w:bdr w:val="nil"/>
          <w:lang w:val="en-US"/>
        </w:rPr>
        <w:t xml:space="preserve"> the movement of money flows and provide</w:t>
      </w:r>
      <w:r w:rsidR="00EC359B">
        <w:rPr>
          <w:rFonts w:eastAsia="Arial Unicode MS" w:cs="Arial Unicode MS"/>
          <w:sz w:val="28"/>
          <w:szCs w:val="28"/>
          <w:u w:color="000000"/>
          <w:bdr w:val="nil"/>
          <w:lang w:val="en-US"/>
        </w:rPr>
        <w:t>s</w:t>
      </w:r>
      <w:r w:rsidRPr="00775A57">
        <w:rPr>
          <w:rFonts w:eastAsia="Arial Unicode MS" w:cs="Arial Unicode MS"/>
          <w:sz w:val="28"/>
          <w:szCs w:val="28"/>
          <w:u w:color="000000"/>
          <w:bdr w:val="nil"/>
          <w:lang w:val="en-US"/>
        </w:rPr>
        <w:t xml:space="preserve"> control of the proportion</w:t>
      </w:r>
      <w:r w:rsidR="00EC359B">
        <w:rPr>
          <w:rFonts w:eastAsia="Arial Unicode MS" w:cs="Arial Unicode MS"/>
          <w:sz w:val="28"/>
          <w:szCs w:val="28"/>
          <w:u w:color="000000"/>
          <w:bdr w:val="nil"/>
          <w:lang w:val="en-US"/>
        </w:rPr>
        <w:t xml:space="preserve"> </w:t>
      </w:r>
      <w:r w:rsidRPr="00775A57">
        <w:rPr>
          <w:rFonts w:eastAsia="Arial Unicode MS" w:cs="Arial Unicode MS"/>
          <w:sz w:val="28"/>
          <w:szCs w:val="28"/>
          <w:u w:color="000000"/>
          <w:bdr w:val="nil"/>
          <w:lang w:val="en-US"/>
        </w:rPr>
        <w:t>compliance in GDP distribution, accuracy in f</w:t>
      </w:r>
      <w:r w:rsidR="00EC359B">
        <w:rPr>
          <w:rFonts w:eastAsia="Arial Unicode MS" w:cs="Arial Unicode MS"/>
          <w:sz w:val="28"/>
          <w:szCs w:val="28"/>
          <w:u w:color="000000"/>
          <w:bdr w:val="nil"/>
          <w:lang w:val="en-US"/>
        </w:rPr>
        <w:t>ormation, distribution and use</w:t>
      </w:r>
      <w:r w:rsidRPr="00775A57">
        <w:rPr>
          <w:rFonts w:eastAsia="Arial Unicode MS" w:cs="Arial Unicode MS"/>
          <w:sz w:val="28"/>
          <w:szCs w:val="28"/>
          <w:u w:color="000000"/>
          <w:bdr w:val="nil"/>
          <w:lang w:val="en-US"/>
        </w:rPr>
        <w:t xml:space="preserve"> of state’s financial resources and its management.  </w:t>
      </w:r>
    </w:p>
    <w:p w14:paraId="5FD5E932" w14:textId="77777777" w:rsidR="002E7F7B" w:rsidRPr="00775A57" w:rsidRDefault="002E7F7B" w:rsidP="00E26AC8">
      <w:pPr>
        <w:pBdr>
          <w:top w:val="nil"/>
          <w:left w:val="nil"/>
          <w:bottom w:val="nil"/>
          <w:right w:val="nil"/>
          <w:between w:val="nil"/>
          <w:bar w:val="nil"/>
        </w:pBdr>
        <w:tabs>
          <w:tab w:val="left"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hAnsi="Arial Unicode MS" w:cs="Arial Unicode MS"/>
          <w:sz w:val="28"/>
          <w:szCs w:val="28"/>
          <w:u w:color="000000"/>
          <w:bdr w:val="nil"/>
          <w:lang w:val="en-US"/>
        </w:rPr>
      </w:pPr>
    </w:p>
    <w:p w14:paraId="2C600B04" w14:textId="77777777" w:rsidR="00BE42A0" w:rsidRPr="00775A57" w:rsidRDefault="00BE42A0" w:rsidP="006F749C">
      <w:pPr>
        <w:numPr>
          <w:ilvl w:val="0"/>
          <w:numId w:val="111"/>
        </w:numPr>
        <w:pBdr>
          <w:top w:val="nil"/>
          <w:left w:val="nil"/>
          <w:bottom w:val="nil"/>
          <w:right w:val="nil"/>
          <w:between w:val="nil"/>
          <w:bar w:val="nil"/>
        </w:pBdr>
        <w:tabs>
          <w:tab w:val="left"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hAnsi="Arial Unicode MS" w:cs="Arial Unicode MS"/>
          <w:sz w:val="28"/>
          <w:szCs w:val="28"/>
          <w:u w:color="000000"/>
          <w:bdr w:val="nil"/>
          <w:lang w:val="en-US"/>
        </w:rPr>
      </w:pPr>
      <w:r w:rsidRPr="00775A57">
        <w:rPr>
          <w:rFonts w:eastAsia="Arial Unicode MS" w:hAnsi="Arial Unicode MS" w:cs="Arial Unicode MS"/>
          <w:sz w:val="28"/>
          <w:szCs w:val="28"/>
          <w:u w:color="000000"/>
          <w:bdr w:val="nil"/>
          <w:lang w:val="en-US"/>
        </w:rPr>
        <w:t>Finance and credit have the same economic nature</w:t>
      </w:r>
      <w:r w:rsidR="00707782">
        <w:rPr>
          <w:rFonts w:eastAsia="Arial Unicode MS" w:hAnsi="Arial Unicode MS" w:cs="Arial Unicode MS"/>
          <w:sz w:val="28"/>
          <w:szCs w:val="28"/>
          <w:u w:color="000000"/>
          <w:bdr w:val="nil"/>
          <w:lang w:val="en-US"/>
        </w:rPr>
        <w:t xml:space="preserve">: </w:t>
      </w:r>
      <w:r w:rsidRPr="00775A57">
        <w:rPr>
          <w:rFonts w:eastAsia="Arial Unicode MS" w:hAnsi="Arial Unicode MS" w:cs="Arial Unicode MS"/>
          <w:sz w:val="28"/>
          <w:szCs w:val="28"/>
          <w:u w:color="000000"/>
          <w:bdr w:val="nil"/>
          <w:lang w:val="en-US"/>
        </w:rPr>
        <w:t xml:space="preserve">while </w:t>
      </w:r>
      <w:r w:rsidR="00707782">
        <w:rPr>
          <w:rFonts w:eastAsia="Arial Unicode MS" w:hAnsi="Arial Unicode MS" w:cs="Arial Unicode MS"/>
          <w:sz w:val="28"/>
          <w:szCs w:val="28"/>
          <w:u w:color="000000"/>
          <w:bdr w:val="nil"/>
          <w:lang w:val="en-US"/>
        </w:rPr>
        <w:t>f</w:t>
      </w:r>
      <w:r w:rsidRPr="00775A57">
        <w:rPr>
          <w:rFonts w:eastAsia="Arial Unicode MS" w:hAnsi="Arial Unicode MS" w:cs="Arial Unicode MS"/>
          <w:sz w:val="28"/>
          <w:szCs w:val="28"/>
          <w:u w:color="000000"/>
          <w:bdr w:val="nil"/>
          <w:lang w:val="en-US"/>
        </w:rPr>
        <w:t xml:space="preserve">inance is only </w:t>
      </w:r>
      <w:r w:rsidR="00707782">
        <w:rPr>
          <w:rFonts w:eastAsia="Arial Unicode MS" w:hAnsi="Arial Unicode MS" w:cs="Arial Unicode MS"/>
          <w:sz w:val="28"/>
          <w:szCs w:val="28"/>
          <w:u w:color="000000"/>
          <w:bdr w:val="nil"/>
          <w:lang w:val="en-US"/>
        </w:rPr>
        <w:t xml:space="preserve">a </w:t>
      </w:r>
      <w:r w:rsidRPr="00775A57">
        <w:rPr>
          <w:rFonts w:eastAsia="Arial Unicode MS" w:hAnsi="Arial Unicode MS" w:cs="Arial Unicode MS"/>
          <w:sz w:val="28"/>
          <w:szCs w:val="28"/>
          <w:u w:color="000000"/>
          <w:bdr w:val="nil"/>
          <w:lang w:val="en-US"/>
        </w:rPr>
        <w:t xml:space="preserve">distributive category, credit is </w:t>
      </w:r>
      <w:r w:rsidR="00707782">
        <w:rPr>
          <w:rFonts w:eastAsia="Arial Unicode MS" w:hAnsi="Arial Unicode MS" w:cs="Arial Unicode MS"/>
          <w:sz w:val="28"/>
          <w:szCs w:val="28"/>
          <w:u w:color="000000"/>
          <w:bdr w:val="nil"/>
          <w:lang w:val="en-US"/>
        </w:rPr>
        <w:t xml:space="preserve">both </w:t>
      </w:r>
      <w:r w:rsidRPr="00775A57">
        <w:rPr>
          <w:rFonts w:eastAsia="Arial Unicode MS" w:hAnsi="Arial Unicode MS" w:cs="Arial Unicode MS"/>
          <w:sz w:val="28"/>
          <w:szCs w:val="28"/>
          <w:u w:color="000000"/>
          <w:bdr w:val="nil"/>
          <w:lang w:val="en-US"/>
        </w:rPr>
        <w:t>a distributive and redistributive category.</w:t>
      </w:r>
    </w:p>
    <w:p w14:paraId="7B9368D9" w14:textId="77777777" w:rsidR="002E7F7B" w:rsidRPr="00775A57" w:rsidRDefault="002E7F7B" w:rsidP="00E26AC8">
      <w:pPr>
        <w:pBdr>
          <w:top w:val="nil"/>
          <w:left w:val="nil"/>
          <w:bottom w:val="nil"/>
          <w:right w:val="nil"/>
          <w:between w:val="nil"/>
          <w:bar w:val="nil"/>
        </w:pBdr>
        <w:tabs>
          <w:tab w:val="left"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hAnsi="Arial Unicode MS" w:cs="Arial Unicode MS"/>
          <w:sz w:val="28"/>
          <w:szCs w:val="28"/>
          <w:u w:color="000000"/>
          <w:bdr w:val="nil"/>
          <w:lang w:val="en-US"/>
        </w:rPr>
      </w:pPr>
    </w:p>
    <w:p w14:paraId="612A4936" w14:textId="77777777" w:rsidR="00BE42A0" w:rsidRPr="00775A57" w:rsidRDefault="00BE42A0" w:rsidP="006F749C">
      <w:pPr>
        <w:numPr>
          <w:ilvl w:val="0"/>
          <w:numId w:val="111"/>
        </w:numPr>
        <w:pBdr>
          <w:top w:val="nil"/>
          <w:left w:val="nil"/>
          <w:bottom w:val="nil"/>
          <w:right w:val="nil"/>
          <w:between w:val="nil"/>
          <w:bar w:val="nil"/>
        </w:pBdr>
        <w:tabs>
          <w:tab w:val="left"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hAnsi="Arial Unicode MS" w:cs="Arial Unicode MS"/>
          <w:sz w:val="28"/>
          <w:szCs w:val="28"/>
          <w:u w:color="000000"/>
          <w:bdr w:val="nil"/>
          <w:lang w:val="en-US"/>
        </w:rPr>
      </w:pPr>
      <w:r w:rsidRPr="00775A57">
        <w:rPr>
          <w:rFonts w:eastAsia="Arial Unicode MS" w:hAnsi="Arial Unicode MS" w:cs="Arial Unicode MS"/>
          <w:sz w:val="28"/>
          <w:szCs w:val="28"/>
          <w:u w:color="000000"/>
          <w:bdr w:val="nil"/>
          <w:lang w:val="en-US"/>
        </w:rPr>
        <w:t>The administrative model of financial relations is based on the right of the state to concentrate and centralize the major part of GDP in a budget in the form of sales tax and a portion of profits.</w:t>
      </w:r>
    </w:p>
    <w:p w14:paraId="2E478A8A" w14:textId="77777777" w:rsidR="00BE42A0" w:rsidRPr="00775A57" w:rsidRDefault="00BE42A0" w:rsidP="002E7F7B">
      <w:pPr>
        <w:pStyle w:val="end2"/>
        <w:rPr>
          <w:szCs w:val="28"/>
        </w:rPr>
      </w:pPr>
      <w:r w:rsidRPr="00775A57">
        <w:rPr>
          <w:szCs w:val="28"/>
        </w:rPr>
        <w:t>Computation problems</w:t>
      </w:r>
    </w:p>
    <w:p w14:paraId="099A9585" w14:textId="77777777" w:rsidR="0093712A" w:rsidRPr="00F408F6" w:rsidRDefault="0093712A" w:rsidP="0093712A">
      <w:pPr>
        <w:numPr>
          <w:ilvl w:val="0"/>
          <w:numId w:val="27"/>
        </w:numPr>
        <w:spacing w:after="200" w:line="240" w:lineRule="atLeast"/>
        <w:ind w:left="426"/>
        <w:contextualSpacing/>
        <w:jc w:val="both"/>
        <w:rPr>
          <w:rFonts w:eastAsiaTheme="minorHAnsi"/>
          <w:color w:val="000000" w:themeColor="text1"/>
          <w:sz w:val="28"/>
          <w:szCs w:val="28"/>
          <w:lang w:val="en-US"/>
        </w:rPr>
      </w:pPr>
      <w:r w:rsidRPr="00F408F6">
        <w:rPr>
          <w:rFonts w:eastAsiaTheme="minorHAnsi"/>
          <w:color w:val="000000" w:themeColor="text1"/>
          <w:sz w:val="28"/>
          <w:szCs w:val="28"/>
          <w:lang w:val="en-US"/>
        </w:rPr>
        <w:t>Describe and give examples of monetary and financial relations. Define their differences. Characterize monetary relations which are financial relations. Explain the contradiction of financial relations and ways to overcome it.</w:t>
      </w:r>
    </w:p>
    <w:p w14:paraId="0A66CA70" w14:textId="77777777" w:rsidR="0093712A" w:rsidRPr="00775A57" w:rsidRDefault="0093712A" w:rsidP="0093712A">
      <w:pPr>
        <w:spacing w:line="240" w:lineRule="atLeast"/>
        <w:jc w:val="both"/>
        <w:rPr>
          <w:color w:val="000000" w:themeColor="text1"/>
          <w:sz w:val="28"/>
          <w:lang w:val="en-US"/>
        </w:rPr>
      </w:pPr>
    </w:p>
    <w:p w14:paraId="2470EA3B" w14:textId="77777777" w:rsidR="0093712A" w:rsidRDefault="0093712A" w:rsidP="0093712A">
      <w:pPr>
        <w:numPr>
          <w:ilvl w:val="0"/>
          <w:numId w:val="27"/>
        </w:numPr>
        <w:spacing w:after="200" w:line="240" w:lineRule="atLeast"/>
        <w:ind w:left="426"/>
        <w:contextualSpacing/>
        <w:jc w:val="both"/>
        <w:rPr>
          <w:rFonts w:eastAsiaTheme="minorHAnsi"/>
          <w:color w:val="000000" w:themeColor="text1"/>
          <w:sz w:val="28"/>
          <w:szCs w:val="28"/>
          <w:lang w:val="en-US"/>
        </w:rPr>
      </w:pPr>
      <w:r w:rsidRPr="00F408F6">
        <w:rPr>
          <w:rFonts w:eastAsiaTheme="minorHAnsi"/>
          <w:color w:val="000000" w:themeColor="text1"/>
          <w:sz w:val="28"/>
          <w:szCs w:val="28"/>
          <w:lang w:val="en-US"/>
        </w:rPr>
        <w:t xml:space="preserve">Present structural and logical scheme </w:t>
      </w:r>
      <w:r w:rsidRPr="008B42F0">
        <w:rPr>
          <w:rFonts w:eastAsiaTheme="minorHAnsi"/>
          <w:color w:val="000000" w:themeColor="text1"/>
          <w:sz w:val="28"/>
          <w:szCs w:val="28"/>
          <w:lang w:val="en-US"/>
        </w:rPr>
        <w:t xml:space="preserve">of </w:t>
      </w:r>
      <w:r>
        <w:rPr>
          <w:rFonts w:eastAsiaTheme="minorHAnsi"/>
          <w:color w:val="000000" w:themeColor="text1"/>
          <w:sz w:val="28"/>
          <w:szCs w:val="28"/>
          <w:lang w:val="en-US"/>
        </w:rPr>
        <w:t>f</w:t>
      </w:r>
      <w:r w:rsidRPr="008B42F0">
        <w:rPr>
          <w:rFonts w:eastAsiaTheme="minorHAnsi"/>
          <w:color w:val="000000" w:themeColor="text1"/>
          <w:sz w:val="28"/>
          <w:szCs w:val="28"/>
          <w:lang w:val="en-US"/>
        </w:rPr>
        <w:t>inance distribution process in the economy. Describe stages of primary distribution of GDP, redistribution and secondary distribution of GDP. Define the differences between these stages according to the role of (i) the state, (ii) enterprises and (iii) households.</w:t>
      </w:r>
    </w:p>
    <w:p w14:paraId="1AD68E1C" w14:textId="77777777" w:rsidR="0093712A" w:rsidRDefault="0093712A" w:rsidP="0093712A">
      <w:pPr>
        <w:pStyle w:val="ListParagraph"/>
        <w:rPr>
          <w:rFonts w:eastAsiaTheme="minorHAnsi"/>
          <w:color w:val="000000" w:themeColor="text1"/>
          <w:szCs w:val="28"/>
          <w:lang w:val="en-US"/>
        </w:rPr>
      </w:pPr>
    </w:p>
    <w:p w14:paraId="34169640" w14:textId="77777777" w:rsidR="00BE42A0" w:rsidRPr="00775A57" w:rsidRDefault="009C31B7" w:rsidP="006C5BC9">
      <w:pPr>
        <w:numPr>
          <w:ilvl w:val="0"/>
          <w:numId w:val="27"/>
        </w:numPr>
        <w:spacing w:after="200" w:line="240" w:lineRule="atLeast"/>
        <w:ind w:left="426"/>
        <w:contextualSpacing/>
        <w:jc w:val="both"/>
        <w:rPr>
          <w:rFonts w:eastAsiaTheme="minorHAnsi"/>
          <w:color w:val="000000" w:themeColor="text1"/>
          <w:sz w:val="28"/>
          <w:szCs w:val="28"/>
          <w:lang w:val="en-US"/>
        </w:rPr>
      </w:pPr>
      <w:r>
        <w:rPr>
          <w:rFonts w:eastAsiaTheme="minorHAnsi"/>
          <w:color w:val="000000" w:themeColor="text1"/>
          <w:sz w:val="28"/>
          <w:szCs w:val="28"/>
          <w:lang w:val="en-US"/>
        </w:rPr>
        <w:lastRenderedPageBreak/>
        <w:t>R</w:t>
      </w:r>
      <w:r w:rsidR="00BE42A0" w:rsidRPr="00775A57">
        <w:rPr>
          <w:rFonts w:eastAsiaTheme="minorHAnsi"/>
          <w:color w:val="000000" w:themeColor="text1"/>
          <w:sz w:val="28"/>
          <w:szCs w:val="28"/>
          <w:lang w:val="en-US"/>
        </w:rPr>
        <w:t xml:space="preserve">ead the following </w:t>
      </w:r>
      <w:r w:rsidR="008F194B" w:rsidRPr="00775A57">
        <w:rPr>
          <w:rFonts w:eastAsiaTheme="minorHAnsi"/>
          <w:color w:val="000000" w:themeColor="text1"/>
          <w:sz w:val="28"/>
          <w:szCs w:val="28"/>
          <w:lang w:val="en-US"/>
        </w:rPr>
        <w:t>quotations made by greatest scientists</w:t>
      </w:r>
      <w:r w:rsidR="00BE42A0" w:rsidRPr="00775A57">
        <w:rPr>
          <w:rFonts w:eastAsiaTheme="minorHAnsi"/>
          <w:color w:val="000000" w:themeColor="text1"/>
          <w:sz w:val="28"/>
          <w:szCs w:val="28"/>
          <w:lang w:val="en-US"/>
        </w:rPr>
        <w:t xml:space="preserve"> </w:t>
      </w:r>
      <w:r w:rsidR="00161FB2" w:rsidRPr="00775A57">
        <w:rPr>
          <w:rFonts w:eastAsiaTheme="minorHAnsi"/>
          <w:color w:val="000000" w:themeColor="text1"/>
          <w:sz w:val="28"/>
          <w:szCs w:val="28"/>
          <w:lang w:val="en-US"/>
        </w:rPr>
        <w:t xml:space="preserve">(see </w:t>
      </w:r>
      <w:r w:rsidR="00EC245C">
        <w:rPr>
          <w:rFonts w:eastAsiaTheme="minorHAnsi"/>
          <w:color w:val="000000" w:themeColor="text1"/>
          <w:sz w:val="28"/>
          <w:szCs w:val="28"/>
          <w:lang w:val="en-US"/>
        </w:rPr>
        <w:t>the box below</w:t>
      </w:r>
      <w:r w:rsidR="00161FB2" w:rsidRPr="00775A57">
        <w:rPr>
          <w:rFonts w:eastAsiaTheme="minorHAnsi"/>
          <w:color w:val="000000" w:themeColor="text1"/>
          <w:sz w:val="28"/>
          <w:szCs w:val="28"/>
          <w:lang w:val="en-US"/>
        </w:rPr>
        <w:t xml:space="preserve">) </w:t>
      </w:r>
      <w:r w:rsidR="00BE42A0" w:rsidRPr="00775A57">
        <w:rPr>
          <w:rFonts w:eastAsiaTheme="minorHAnsi"/>
          <w:color w:val="000000" w:themeColor="text1"/>
          <w:sz w:val="28"/>
          <w:szCs w:val="28"/>
          <w:lang w:val="en-US"/>
        </w:rPr>
        <w:t>and comment them. Express your own opinion based on your knowledge about finance, financial policies, forms of finance, financial relations, etc.</w:t>
      </w:r>
    </w:p>
    <w:p w14:paraId="618ED310" w14:textId="77777777" w:rsidR="00EC245C" w:rsidRDefault="00EC245C" w:rsidP="002E7F7B">
      <w:pPr>
        <w:spacing w:line="240" w:lineRule="atLeast"/>
        <w:jc w:val="center"/>
        <w:rPr>
          <w:b/>
          <w:color w:val="000000" w:themeColor="text1"/>
          <w:sz w:val="28"/>
          <w:szCs w:val="28"/>
          <w:lang w:val="en-US"/>
        </w:rPr>
      </w:pPr>
    </w:p>
    <w:p w14:paraId="3F440765" w14:textId="77777777" w:rsidR="00BE42A0" w:rsidRPr="00775A57" w:rsidRDefault="00323C6B" w:rsidP="002E7F7B">
      <w:pPr>
        <w:spacing w:line="240" w:lineRule="atLeast"/>
        <w:jc w:val="center"/>
        <w:rPr>
          <w:b/>
          <w:color w:val="000000" w:themeColor="text1"/>
          <w:sz w:val="28"/>
          <w:szCs w:val="28"/>
          <w:lang w:val="en-US"/>
        </w:rPr>
      </w:pPr>
      <w:r w:rsidRPr="00775A57">
        <w:rPr>
          <w:b/>
          <w:color w:val="000000" w:themeColor="text1"/>
          <w:sz w:val="28"/>
          <w:szCs w:val="28"/>
          <w:lang w:val="en-US"/>
        </w:rPr>
        <w:t>Science quotes and sayings</w:t>
      </w:r>
    </w:p>
    <w:tbl>
      <w:tblPr>
        <w:tblStyle w:val="TableGrid"/>
        <w:tblW w:w="0" w:type="auto"/>
        <w:tblInd w:w="207" w:type="dxa"/>
        <w:tblLook w:val="04A0" w:firstRow="1" w:lastRow="0" w:firstColumn="1" w:lastColumn="0" w:noHBand="0" w:noVBand="1"/>
      </w:tblPr>
      <w:tblGrid>
        <w:gridCol w:w="7131"/>
        <w:gridCol w:w="2126"/>
      </w:tblGrid>
      <w:tr w:rsidR="00323C6B" w:rsidRPr="00BE42A0" w14:paraId="2F9D1D79" w14:textId="77777777" w:rsidTr="0093712A">
        <w:trPr>
          <w:trHeight w:val="433"/>
        </w:trPr>
        <w:tc>
          <w:tcPr>
            <w:tcW w:w="7131" w:type="dxa"/>
            <w:shd w:val="clear" w:color="auto" w:fill="D9D9D9" w:themeFill="background1" w:themeFillShade="D9"/>
            <w:vAlign w:val="center"/>
          </w:tcPr>
          <w:p w14:paraId="2FDC8DD3" w14:textId="77777777" w:rsidR="00323C6B" w:rsidRPr="00F408F6" w:rsidRDefault="00323C6B" w:rsidP="0093712A">
            <w:pPr>
              <w:spacing w:line="240" w:lineRule="atLeast"/>
              <w:jc w:val="center"/>
              <w:rPr>
                <w:b/>
                <w:color w:val="000000" w:themeColor="text1"/>
                <w:sz w:val="28"/>
                <w:lang w:val="en-US"/>
              </w:rPr>
            </w:pPr>
            <w:r w:rsidRPr="00F408F6">
              <w:rPr>
                <w:b/>
                <w:color w:val="000000" w:themeColor="text1"/>
                <w:sz w:val="28"/>
                <w:lang w:val="en-US"/>
              </w:rPr>
              <w:t>Science quotes and sayings</w:t>
            </w:r>
          </w:p>
        </w:tc>
        <w:tc>
          <w:tcPr>
            <w:tcW w:w="2126" w:type="dxa"/>
            <w:shd w:val="clear" w:color="auto" w:fill="D9D9D9" w:themeFill="background1" w:themeFillShade="D9"/>
            <w:vAlign w:val="center"/>
          </w:tcPr>
          <w:p w14:paraId="3B39B337" w14:textId="77777777" w:rsidR="00323C6B" w:rsidRPr="00F408F6" w:rsidRDefault="00323C6B" w:rsidP="0093712A">
            <w:pPr>
              <w:spacing w:line="240" w:lineRule="atLeast"/>
              <w:jc w:val="center"/>
              <w:rPr>
                <w:b/>
                <w:color w:val="000000" w:themeColor="text1"/>
                <w:sz w:val="28"/>
                <w:lang w:val="en-US"/>
              </w:rPr>
            </w:pPr>
            <w:r w:rsidRPr="00F408F6">
              <w:rPr>
                <w:b/>
                <w:color w:val="000000" w:themeColor="text1"/>
                <w:sz w:val="28"/>
                <w:lang w:val="en-US"/>
              </w:rPr>
              <w:t>Author</w:t>
            </w:r>
          </w:p>
        </w:tc>
      </w:tr>
      <w:tr w:rsidR="00323C6B" w:rsidRPr="00BE42A0" w14:paraId="080B420E" w14:textId="77777777" w:rsidTr="0093712A">
        <w:trPr>
          <w:trHeight w:val="529"/>
        </w:trPr>
        <w:tc>
          <w:tcPr>
            <w:tcW w:w="7131" w:type="dxa"/>
          </w:tcPr>
          <w:p w14:paraId="3980724A"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A budget tells us what we can’t afford, but it doesn’t keep us from buying it</w:t>
            </w:r>
          </w:p>
        </w:tc>
        <w:tc>
          <w:tcPr>
            <w:tcW w:w="2126" w:type="dxa"/>
          </w:tcPr>
          <w:p w14:paraId="0FAD57BA" w14:textId="77777777" w:rsidR="00323C6B" w:rsidRPr="00F408F6" w:rsidRDefault="00323C6B" w:rsidP="0093712A">
            <w:pPr>
              <w:spacing w:line="240" w:lineRule="atLeast"/>
              <w:jc w:val="center"/>
              <w:rPr>
                <w:color w:val="000000" w:themeColor="text1"/>
                <w:sz w:val="28"/>
                <w:lang w:val="en-US"/>
              </w:rPr>
            </w:pPr>
            <w:r w:rsidRPr="00F408F6">
              <w:rPr>
                <w:color w:val="000000" w:themeColor="text1"/>
                <w:sz w:val="28"/>
                <w:lang w:val="en-US"/>
              </w:rPr>
              <w:t>William Feather</w:t>
            </w:r>
          </w:p>
        </w:tc>
      </w:tr>
      <w:tr w:rsidR="00323C6B" w:rsidRPr="00BE42A0" w14:paraId="2EDA27F9" w14:textId="77777777" w:rsidTr="0093712A">
        <w:trPr>
          <w:trHeight w:val="171"/>
        </w:trPr>
        <w:tc>
          <w:tcPr>
            <w:tcW w:w="7131" w:type="dxa"/>
          </w:tcPr>
          <w:p w14:paraId="32F1D181"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Beware of little expenses; a small leak will sink a big ship</w:t>
            </w:r>
          </w:p>
        </w:tc>
        <w:tc>
          <w:tcPr>
            <w:tcW w:w="2126" w:type="dxa"/>
          </w:tcPr>
          <w:p w14:paraId="01FF011B" w14:textId="77777777" w:rsidR="00323C6B" w:rsidRPr="00F408F6" w:rsidRDefault="00323C6B" w:rsidP="0093712A">
            <w:pPr>
              <w:spacing w:line="240" w:lineRule="atLeast"/>
              <w:jc w:val="center"/>
              <w:rPr>
                <w:rFonts w:eastAsiaTheme="minorHAnsi"/>
                <w:color w:val="000000" w:themeColor="text1"/>
                <w:sz w:val="28"/>
                <w:lang w:val="en-US"/>
              </w:rPr>
            </w:pPr>
            <w:r w:rsidRPr="00F408F6">
              <w:rPr>
                <w:rFonts w:eastAsiaTheme="minorHAnsi"/>
                <w:color w:val="000000" w:themeColor="text1"/>
                <w:sz w:val="28"/>
                <w:lang w:val="en-US"/>
              </w:rPr>
              <w:t>Benjamin Franklin</w:t>
            </w:r>
          </w:p>
        </w:tc>
      </w:tr>
      <w:tr w:rsidR="00323C6B" w:rsidRPr="00BE42A0" w14:paraId="68A728F4" w14:textId="77777777" w:rsidTr="0093712A">
        <w:trPr>
          <w:trHeight w:val="472"/>
        </w:trPr>
        <w:tc>
          <w:tcPr>
            <w:tcW w:w="7131" w:type="dxa"/>
          </w:tcPr>
          <w:p w14:paraId="023C5A06"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It is not the employer who pays the wages. Employers only handle the money. It is the customer who pays the wages</w:t>
            </w:r>
          </w:p>
        </w:tc>
        <w:tc>
          <w:tcPr>
            <w:tcW w:w="2126" w:type="dxa"/>
          </w:tcPr>
          <w:p w14:paraId="60564523" w14:textId="77777777" w:rsidR="00323C6B" w:rsidRPr="00F408F6" w:rsidRDefault="00323C6B" w:rsidP="0093712A">
            <w:pPr>
              <w:spacing w:line="240" w:lineRule="atLeast"/>
              <w:jc w:val="center"/>
              <w:rPr>
                <w:color w:val="000000" w:themeColor="text1"/>
                <w:sz w:val="28"/>
                <w:lang w:val="en-US"/>
              </w:rPr>
            </w:pPr>
            <w:r w:rsidRPr="00F408F6">
              <w:rPr>
                <w:color w:val="000000" w:themeColor="text1"/>
                <w:sz w:val="28"/>
                <w:lang w:val="en-US"/>
              </w:rPr>
              <w:t>Henry Ford</w:t>
            </w:r>
          </w:p>
        </w:tc>
      </w:tr>
      <w:tr w:rsidR="00323C6B" w:rsidRPr="00BE42A0" w14:paraId="06007630" w14:textId="77777777" w:rsidTr="0093712A">
        <w:trPr>
          <w:trHeight w:val="494"/>
        </w:trPr>
        <w:tc>
          <w:tcPr>
            <w:tcW w:w="7131" w:type="dxa"/>
          </w:tcPr>
          <w:p w14:paraId="6FDB164B"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The way to become rich is to put all your eggs in one basket and then watch that basket</w:t>
            </w:r>
          </w:p>
        </w:tc>
        <w:tc>
          <w:tcPr>
            <w:tcW w:w="2126" w:type="dxa"/>
          </w:tcPr>
          <w:p w14:paraId="42F32C8A" w14:textId="77777777" w:rsidR="00323C6B" w:rsidRPr="00F408F6" w:rsidRDefault="00323C6B" w:rsidP="0093712A">
            <w:pPr>
              <w:spacing w:line="240" w:lineRule="atLeast"/>
              <w:jc w:val="center"/>
              <w:rPr>
                <w:color w:val="000000" w:themeColor="text1"/>
                <w:sz w:val="28"/>
                <w:lang w:val="en-US"/>
              </w:rPr>
            </w:pPr>
            <w:r w:rsidRPr="00F408F6">
              <w:rPr>
                <w:color w:val="000000" w:themeColor="text1"/>
                <w:sz w:val="28"/>
                <w:lang w:val="en-US"/>
              </w:rPr>
              <w:t>Andrew Carnegie</w:t>
            </w:r>
          </w:p>
        </w:tc>
      </w:tr>
      <w:tr w:rsidR="00323C6B" w:rsidRPr="00BE42A0" w14:paraId="6EABB227" w14:textId="77777777" w:rsidTr="0093712A">
        <w:trPr>
          <w:trHeight w:val="530"/>
        </w:trPr>
        <w:tc>
          <w:tcPr>
            <w:tcW w:w="7131" w:type="dxa"/>
          </w:tcPr>
          <w:p w14:paraId="5AC2D0EC"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The avoidance of taxes is the only intellectual pursuit that still carries any reward</w:t>
            </w:r>
          </w:p>
        </w:tc>
        <w:tc>
          <w:tcPr>
            <w:tcW w:w="2126" w:type="dxa"/>
          </w:tcPr>
          <w:p w14:paraId="7ED5E47E" w14:textId="77777777" w:rsidR="00323C6B" w:rsidRPr="00F408F6" w:rsidRDefault="00323C6B" w:rsidP="0093712A">
            <w:pPr>
              <w:spacing w:line="240" w:lineRule="atLeast"/>
              <w:jc w:val="center"/>
              <w:rPr>
                <w:color w:val="000000" w:themeColor="text1"/>
                <w:sz w:val="28"/>
                <w:lang w:val="en-US"/>
              </w:rPr>
            </w:pPr>
            <w:r w:rsidRPr="00F408F6">
              <w:rPr>
                <w:color w:val="000000" w:themeColor="text1"/>
                <w:sz w:val="28"/>
                <w:lang w:val="en-US"/>
              </w:rPr>
              <w:t>John Maynard Keynes</w:t>
            </w:r>
          </w:p>
        </w:tc>
      </w:tr>
      <w:tr w:rsidR="00323C6B" w:rsidRPr="00BE42A0" w14:paraId="328FFF04" w14:textId="77777777" w:rsidTr="0093712A">
        <w:trPr>
          <w:trHeight w:val="269"/>
        </w:trPr>
        <w:tc>
          <w:tcPr>
            <w:tcW w:w="7131" w:type="dxa"/>
          </w:tcPr>
          <w:p w14:paraId="4BDE7016"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Finance, like time, devours its own children</w:t>
            </w:r>
          </w:p>
        </w:tc>
        <w:tc>
          <w:tcPr>
            <w:tcW w:w="2126" w:type="dxa"/>
          </w:tcPr>
          <w:p w14:paraId="2F7EE7D1" w14:textId="77777777" w:rsidR="00323C6B" w:rsidRPr="00F408F6" w:rsidRDefault="00323C6B" w:rsidP="0093712A">
            <w:pPr>
              <w:spacing w:line="240" w:lineRule="atLeast"/>
              <w:jc w:val="center"/>
              <w:rPr>
                <w:color w:val="000000" w:themeColor="text1"/>
                <w:sz w:val="28"/>
                <w:lang w:val="en-US"/>
              </w:rPr>
            </w:pPr>
            <w:r w:rsidRPr="00F408F6">
              <w:rPr>
                <w:color w:val="000000" w:themeColor="text1"/>
                <w:sz w:val="28"/>
                <w:lang w:val="en-US"/>
              </w:rPr>
              <w:t>Honore de Balzac</w:t>
            </w:r>
          </w:p>
        </w:tc>
      </w:tr>
      <w:tr w:rsidR="00323C6B" w:rsidRPr="00BE42A0" w14:paraId="42D37D27" w14:textId="77777777" w:rsidTr="0093712A">
        <w:trPr>
          <w:trHeight w:val="145"/>
        </w:trPr>
        <w:tc>
          <w:tcPr>
            <w:tcW w:w="7131" w:type="dxa"/>
          </w:tcPr>
          <w:p w14:paraId="5936F7DF"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Money is like manure. You have to spread it around or it smells</w:t>
            </w:r>
          </w:p>
        </w:tc>
        <w:tc>
          <w:tcPr>
            <w:tcW w:w="2126" w:type="dxa"/>
          </w:tcPr>
          <w:p w14:paraId="2CD0016D" w14:textId="77777777" w:rsidR="00323C6B" w:rsidRPr="00F408F6" w:rsidRDefault="00323C6B" w:rsidP="0093712A">
            <w:pPr>
              <w:spacing w:line="240" w:lineRule="atLeast"/>
              <w:jc w:val="center"/>
              <w:rPr>
                <w:color w:val="000000" w:themeColor="text1"/>
                <w:sz w:val="28"/>
                <w:lang w:val="en-US"/>
              </w:rPr>
            </w:pPr>
            <w:r w:rsidRPr="00F408F6">
              <w:rPr>
                <w:color w:val="000000" w:themeColor="text1"/>
                <w:sz w:val="28"/>
                <w:lang w:val="en-US"/>
              </w:rPr>
              <w:t>John Paul Getty</w:t>
            </w:r>
          </w:p>
        </w:tc>
      </w:tr>
      <w:tr w:rsidR="00323C6B" w:rsidRPr="00BE42A0" w14:paraId="4986906C" w14:textId="77777777" w:rsidTr="0093712A">
        <w:trPr>
          <w:trHeight w:val="432"/>
        </w:trPr>
        <w:tc>
          <w:tcPr>
            <w:tcW w:w="7131" w:type="dxa"/>
          </w:tcPr>
          <w:p w14:paraId="467510BE"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The safest way to double your money is to fold it over and put it in your pocket</w:t>
            </w:r>
          </w:p>
        </w:tc>
        <w:tc>
          <w:tcPr>
            <w:tcW w:w="2126" w:type="dxa"/>
          </w:tcPr>
          <w:p w14:paraId="14101F1E" w14:textId="77777777" w:rsidR="00323C6B" w:rsidRPr="00F408F6" w:rsidRDefault="00323C6B" w:rsidP="0093712A">
            <w:pPr>
              <w:spacing w:line="240" w:lineRule="atLeast"/>
              <w:jc w:val="center"/>
              <w:rPr>
                <w:color w:val="000000" w:themeColor="text1"/>
                <w:sz w:val="28"/>
                <w:lang w:val="en-US"/>
              </w:rPr>
            </w:pPr>
            <w:r w:rsidRPr="00F408F6">
              <w:rPr>
                <w:color w:val="000000" w:themeColor="text1"/>
                <w:sz w:val="28"/>
                <w:lang w:val="en-US"/>
              </w:rPr>
              <w:t>Kin Hubbard</w:t>
            </w:r>
          </w:p>
        </w:tc>
      </w:tr>
      <w:tr w:rsidR="00323C6B" w:rsidRPr="00BE42A0" w14:paraId="363D9FAD" w14:textId="77777777" w:rsidTr="0093712A">
        <w:trPr>
          <w:trHeight w:val="469"/>
        </w:trPr>
        <w:tc>
          <w:tcPr>
            <w:tcW w:w="7131" w:type="dxa"/>
          </w:tcPr>
          <w:p w14:paraId="4A5F66DC"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Finance is the art of passing currency from hand to hand until it finally disappears</w:t>
            </w:r>
          </w:p>
        </w:tc>
        <w:tc>
          <w:tcPr>
            <w:tcW w:w="2126" w:type="dxa"/>
          </w:tcPr>
          <w:p w14:paraId="48F9E7C7" w14:textId="77777777" w:rsidR="00323C6B" w:rsidRPr="00F408F6" w:rsidRDefault="00323C6B" w:rsidP="0093712A">
            <w:pPr>
              <w:spacing w:line="240" w:lineRule="atLeast"/>
              <w:jc w:val="center"/>
              <w:rPr>
                <w:color w:val="000000" w:themeColor="text1"/>
                <w:sz w:val="28"/>
                <w:lang w:val="en-US"/>
              </w:rPr>
            </w:pPr>
            <w:r w:rsidRPr="00F408F6">
              <w:rPr>
                <w:color w:val="000000" w:themeColor="text1"/>
                <w:sz w:val="28"/>
                <w:lang w:val="en-US"/>
              </w:rPr>
              <w:t>Robert W. Sarnoff</w:t>
            </w:r>
          </w:p>
        </w:tc>
      </w:tr>
      <w:tr w:rsidR="00323C6B" w:rsidRPr="00BE42A0" w14:paraId="24757675" w14:textId="77777777" w:rsidTr="0093712A">
        <w:trPr>
          <w:trHeight w:val="712"/>
        </w:trPr>
        <w:tc>
          <w:tcPr>
            <w:tcW w:w="7131" w:type="dxa"/>
          </w:tcPr>
          <w:p w14:paraId="75237647" w14:textId="77777777" w:rsidR="00323C6B" w:rsidRPr="00F408F6" w:rsidRDefault="00323C6B" w:rsidP="0093712A">
            <w:pPr>
              <w:spacing w:line="240" w:lineRule="atLeast"/>
              <w:jc w:val="both"/>
              <w:rPr>
                <w:color w:val="000000" w:themeColor="text1"/>
                <w:sz w:val="28"/>
                <w:lang w:val="en-US"/>
              </w:rPr>
            </w:pPr>
            <w:r w:rsidRPr="00F408F6">
              <w:rPr>
                <w:color w:val="000000" w:themeColor="text1"/>
                <w:sz w:val="28"/>
                <w:lang w:val="en-US"/>
              </w:rPr>
              <w:t>I am favor of cutting taxes under any circumstances and for any excuse, for any reason, whenever it's possible. Inflation is taxation without legislation</w:t>
            </w:r>
          </w:p>
        </w:tc>
        <w:tc>
          <w:tcPr>
            <w:tcW w:w="2126" w:type="dxa"/>
          </w:tcPr>
          <w:p w14:paraId="6C7D781A" w14:textId="77777777" w:rsidR="00323C6B" w:rsidRPr="00F408F6" w:rsidRDefault="00323C6B" w:rsidP="0093712A">
            <w:pPr>
              <w:spacing w:line="240" w:lineRule="atLeast"/>
              <w:jc w:val="center"/>
              <w:rPr>
                <w:color w:val="000000" w:themeColor="text1"/>
                <w:sz w:val="28"/>
                <w:lang w:val="en-US"/>
              </w:rPr>
            </w:pPr>
            <w:r w:rsidRPr="00F408F6">
              <w:rPr>
                <w:color w:val="000000" w:themeColor="text1"/>
                <w:sz w:val="28"/>
                <w:lang w:val="en-US"/>
              </w:rPr>
              <w:t>Milton Friedman</w:t>
            </w:r>
          </w:p>
        </w:tc>
      </w:tr>
    </w:tbl>
    <w:p w14:paraId="494E2777" w14:textId="77777777" w:rsidR="00707782" w:rsidRDefault="00707782" w:rsidP="00707782">
      <w:pPr>
        <w:spacing w:after="200" w:line="240" w:lineRule="atLeast"/>
        <w:ind w:left="426"/>
        <w:contextualSpacing/>
        <w:jc w:val="both"/>
        <w:rPr>
          <w:rFonts w:eastAsiaTheme="minorHAnsi"/>
          <w:color w:val="000000" w:themeColor="text1"/>
          <w:sz w:val="28"/>
          <w:szCs w:val="28"/>
          <w:lang w:val="en-US"/>
        </w:rPr>
      </w:pPr>
    </w:p>
    <w:p w14:paraId="564CEC93" w14:textId="77777777" w:rsidR="00BE42A0" w:rsidRPr="00F408F6" w:rsidRDefault="00707782" w:rsidP="006C5BC9">
      <w:pPr>
        <w:numPr>
          <w:ilvl w:val="0"/>
          <w:numId w:val="27"/>
        </w:numPr>
        <w:spacing w:after="200" w:line="240" w:lineRule="atLeast"/>
        <w:ind w:left="426"/>
        <w:contextualSpacing/>
        <w:jc w:val="both"/>
        <w:rPr>
          <w:rFonts w:eastAsiaTheme="minorHAnsi"/>
          <w:color w:val="000000" w:themeColor="text1"/>
          <w:sz w:val="28"/>
          <w:szCs w:val="28"/>
          <w:lang w:val="en-US"/>
        </w:rPr>
      </w:pPr>
      <w:r>
        <w:rPr>
          <w:rFonts w:eastAsiaTheme="minorHAnsi"/>
          <w:color w:val="000000" w:themeColor="text1"/>
          <w:sz w:val="28"/>
          <w:szCs w:val="28"/>
          <w:lang w:val="en-US"/>
        </w:rPr>
        <w:t>Give</w:t>
      </w:r>
      <w:r w:rsidR="00BE42A0" w:rsidRPr="00F408F6">
        <w:rPr>
          <w:rFonts w:eastAsiaTheme="minorHAnsi"/>
          <w:color w:val="000000" w:themeColor="text1"/>
          <w:sz w:val="28"/>
          <w:szCs w:val="28"/>
          <w:lang w:val="en-US"/>
        </w:rPr>
        <w:t xml:space="preserve"> examples of centralized and decentralized money funds, formed by state authorities, enterprises, and households. Describe them</w:t>
      </w:r>
      <w:r w:rsidR="00945609" w:rsidRPr="00F408F6">
        <w:rPr>
          <w:rFonts w:eastAsiaTheme="minorHAnsi"/>
          <w:color w:val="000000" w:themeColor="text1"/>
          <w:sz w:val="28"/>
          <w:szCs w:val="28"/>
          <w:lang w:val="en-US"/>
        </w:rPr>
        <w:t xml:space="preserve"> taking into account their</w:t>
      </w:r>
      <w:r w:rsidR="00BE42A0" w:rsidRPr="00F408F6">
        <w:rPr>
          <w:rFonts w:eastAsiaTheme="minorHAnsi"/>
          <w:color w:val="000000" w:themeColor="text1"/>
          <w:sz w:val="28"/>
          <w:szCs w:val="28"/>
          <w:lang w:val="en-US"/>
        </w:rPr>
        <w:t xml:space="preserve"> differences of formation and usage. The characteristic should be presented in the form of </w:t>
      </w:r>
      <w:r w:rsidR="00EC245C">
        <w:rPr>
          <w:rFonts w:eastAsiaTheme="minorHAnsi"/>
          <w:color w:val="000000" w:themeColor="text1"/>
          <w:sz w:val="28"/>
          <w:szCs w:val="28"/>
          <w:lang w:val="en-US"/>
        </w:rPr>
        <w:t>the box shown below</w:t>
      </w:r>
      <w:r w:rsidR="00BE42A0" w:rsidRPr="00F408F6">
        <w:rPr>
          <w:rFonts w:eastAsiaTheme="minorHAnsi"/>
          <w:color w:val="000000" w:themeColor="text1"/>
          <w:sz w:val="28"/>
          <w:szCs w:val="28"/>
          <w:lang w:val="en-US"/>
        </w:rPr>
        <w:t xml:space="preserve"> and </w:t>
      </w:r>
      <w:r>
        <w:rPr>
          <w:rFonts w:eastAsiaTheme="minorHAnsi"/>
          <w:color w:val="000000" w:themeColor="text1"/>
          <w:sz w:val="28"/>
          <w:szCs w:val="28"/>
          <w:lang w:val="en-US"/>
        </w:rPr>
        <w:t xml:space="preserve">should </w:t>
      </w:r>
      <w:r w:rsidR="00BE42A0" w:rsidRPr="00F408F6">
        <w:rPr>
          <w:rFonts w:eastAsiaTheme="minorHAnsi"/>
          <w:color w:val="000000" w:themeColor="text1"/>
          <w:sz w:val="28"/>
          <w:szCs w:val="28"/>
          <w:lang w:val="en-US"/>
        </w:rPr>
        <w:t>consist of founder name, the name of the fund, and fund’s brief characteristic.</w:t>
      </w:r>
    </w:p>
    <w:p w14:paraId="601CB644" w14:textId="77777777" w:rsidR="00EC245C" w:rsidRDefault="00EC245C" w:rsidP="00161FB2">
      <w:pPr>
        <w:spacing w:line="240" w:lineRule="atLeast"/>
        <w:ind w:left="717"/>
        <w:contextualSpacing/>
        <w:jc w:val="center"/>
        <w:rPr>
          <w:rFonts w:eastAsiaTheme="minorHAnsi"/>
          <w:b/>
          <w:color w:val="000000" w:themeColor="text1"/>
          <w:sz w:val="28"/>
          <w:lang w:val="en-US"/>
        </w:rPr>
      </w:pPr>
    </w:p>
    <w:p w14:paraId="48893A00" w14:textId="77777777" w:rsidR="00BE42A0" w:rsidRPr="00161FB2" w:rsidRDefault="00BE42A0" w:rsidP="00161FB2">
      <w:pPr>
        <w:spacing w:line="240" w:lineRule="atLeast"/>
        <w:ind w:left="717"/>
        <w:contextualSpacing/>
        <w:jc w:val="center"/>
        <w:rPr>
          <w:rFonts w:eastAsiaTheme="minorHAnsi"/>
          <w:b/>
          <w:color w:val="000000" w:themeColor="text1"/>
          <w:lang w:val="en-US"/>
        </w:rPr>
      </w:pPr>
      <w:r w:rsidRPr="00775A57">
        <w:rPr>
          <w:rFonts w:eastAsiaTheme="minorHAnsi"/>
          <w:b/>
          <w:color w:val="000000" w:themeColor="text1"/>
          <w:sz w:val="28"/>
          <w:lang w:val="en-US"/>
        </w:rPr>
        <w:t xml:space="preserve">The characteristic of money funds </w:t>
      </w:r>
    </w:p>
    <w:tbl>
      <w:tblPr>
        <w:tblStyle w:val="TableGrid"/>
        <w:tblW w:w="4820" w:type="pct"/>
        <w:tblInd w:w="250" w:type="dxa"/>
        <w:tblLook w:val="04A0" w:firstRow="1" w:lastRow="0" w:firstColumn="1" w:lastColumn="0" w:noHBand="0" w:noVBand="1"/>
      </w:tblPr>
      <w:tblGrid>
        <w:gridCol w:w="2355"/>
        <w:gridCol w:w="3317"/>
        <w:gridCol w:w="3599"/>
      </w:tblGrid>
      <w:tr w:rsidR="00BE42A0" w:rsidRPr="00161FB2" w14:paraId="6EE25A27" w14:textId="77777777" w:rsidTr="0093712A">
        <w:tc>
          <w:tcPr>
            <w:tcW w:w="1270" w:type="pct"/>
            <w:shd w:val="clear" w:color="auto" w:fill="D9D9D9" w:themeFill="background1" w:themeFillShade="D9"/>
          </w:tcPr>
          <w:p w14:paraId="5382F009" w14:textId="77777777" w:rsidR="00BE42A0" w:rsidRPr="00AE1076" w:rsidRDefault="008F194B" w:rsidP="00161FB2">
            <w:pPr>
              <w:spacing w:line="240" w:lineRule="atLeast"/>
              <w:jc w:val="center"/>
              <w:rPr>
                <w:color w:val="000000" w:themeColor="text1"/>
                <w:sz w:val="28"/>
                <w:lang w:val="en-US"/>
              </w:rPr>
            </w:pPr>
            <w:r w:rsidRPr="00AE1076">
              <w:rPr>
                <w:b/>
                <w:color w:val="000000" w:themeColor="text1"/>
                <w:sz w:val="28"/>
                <w:lang w:val="en-US"/>
              </w:rPr>
              <w:t>Economic unit</w:t>
            </w:r>
          </w:p>
        </w:tc>
        <w:tc>
          <w:tcPr>
            <w:tcW w:w="1789" w:type="pct"/>
            <w:shd w:val="clear" w:color="auto" w:fill="D9D9D9" w:themeFill="background1" w:themeFillShade="D9"/>
          </w:tcPr>
          <w:p w14:paraId="613F6189" w14:textId="77777777" w:rsidR="00BE42A0" w:rsidRPr="00AE1076" w:rsidRDefault="008F194B" w:rsidP="00161FB2">
            <w:pPr>
              <w:spacing w:line="240" w:lineRule="atLeast"/>
              <w:jc w:val="center"/>
              <w:rPr>
                <w:color w:val="000000" w:themeColor="text1"/>
                <w:sz w:val="28"/>
                <w:lang w:val="en-US"/>
              </w:rPr>
            </w:pPr>
            <w:r w:rsidRPr="00AE1076">
              <w:rPr>
                <w:b/>
                <w:color w:val="000000" w:themeColor="text1"/>
                <w:sz w:val="28"/>
                <w:lang w:val="en-US"/>
              </w:rPr>
              <w:t>F</w:t>
            </w:r>
            <w:r w:rsidR="00BE42A0" w:rsidRPr="00AE1076">
              <w:rPr>
                <w:b/>
                <w:color w:val="000000" w:themeColor="text1"/>
                <w:sz w:val="28"/>
                <w:lang w:val="en-US"/>
              </w:rPr>
              <w:t>und</w:t>
            </w:r>
          </w:p>
        </w:tc>
        <w:tc>
          <w:tcPr>
            <w:tcW w:w="1941" w:type="pct"/>
            <w:shd w:val="clear" w:color="auto" w:fill="D9D9D9" w:themeFill="background1" w:themeFillShade="D9"/>
          </w:tcPr>
          <w:p w14:paraId="578D9D8F" w14:textId="77777777" w:rsidR="00BE42A0" w:rsidRPr="00AE1076" w:rsidRDefault="008F194B" w:rsidP="00161FB2">
            <w:pPr>
              <w:spacing w:line="240" w:lineRule="atLeast"/>
              <w:jc w:val="center"/>
              <w:rPr>
                <w:color w:val="000000" w:themeColor="text1"/>
                <w:sz w:val="28"/>
                <w:lang w:val="en-US"/>
              </w:rPr>
            </w:pPr>
            <w:r w:rsidRPr="00AE1076">
              <w:rPr>
                <w:b/>
                <w:color w:val="000000" w:themeColor="text1"/>
                <w:sz w:val="28"/>
                <w:lang w:val="en-US"/>
              </w:rPr>
              <w:t>B</w:t>
            </w:r>
            <w:r w:rsidR="00BE42A0" w:rsidRPr="00AE1076">
              <w:rPr>
                <w:b/>
                <w:color w:val="000000" w:themeColor="text1"/>
                <w:sz w:val="28"/>
                <w:lang w:val="en-US"/>
              </w:rPr>
              <w:t>rief characteristic</w:t>
            </w:r>
          </w:p>
        </w:tc>
      </w:tr>
      <w:tr w:rsidR="00BE42A0" w:rsidRPr="00161FB2" w14:paraId="4EABFC7F" w14:textId="77777777" w:rsidTr="0093712A">
        <w:tc>
          <w:tcPr>
            <w:tcW w:w="1270" w:type="pct"/>
            <w:vMerge w:val="restart"/>
            <w:vAlign w:val="center"/>
          </w:tcPr>
          <w:p w14:paraId="7CA976E3"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State</w:t>
            </w:r>
          </w:p>
        </w:tc>
        <w:tc>
          <w:tcPr>
            <w:tcW w:w="1789" w:type="pct"/>
          </w:tcPr>
          <w:p w14:paraId="0C42D1E3"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Budget</w:t>
            </w:r>
          </w:p>
        </w:tc>
        <w:tc>
          <w:tcPr>
            <w:tcW w:w="1941" w:type="pct"/>
          </w:tcPr>
          <w:p w14:paraId="7A7AA8D5" w14:textId="77777777" w:rsidR="00BE42A0" w:rsidRPr="00AE1076" w:rsidRDefault="00BE42A0" w:rsidP="00161FB2">
            <w:pPr>
              <w:spacing w:line="240" w:lineRule="atLeast"/>
              <w:jc w:val="center"/>
              <w:rPr>
                <w:color w:val="000000" w:themeColor="text1"/>
                <w:sz w:val="28"/>
                <w:lang w:val="en-US"/>
              </w:rPr>
            </w:pPr>
          </w:p>
        </w:tc>
      </w:tr>
      <w:tr w:rsidR="00BE42A0" w:rsidRPr="00161FB2" w14:paraId="539B3B54" w14:textId="77777777" w:rsidTr="0093712A">
        <w:tc>
          <w:tcPr>
            <w:tcW w:w="1270" w:type="pct"/>
            <w:vMerge/>
            <w:vAlign w:val="center"/>
          </w:tcPr>
          <w:p w14:paraId="37027D69" w14:textId="77777777" w:rsidR="00BE42A0" w:rsidRPr="00AE1076" w:rsidRDefault="00BE42A0" w:rsidP="00161FB2">
            <w:pPr>
              <w:spacing w:line="240" w:lineRule="atLeast"/>
              <w:jc w:val="center"/>
              <w:rPr>
                <w:color w:val="000000" w:themeColor="text1"/>
                <w:sz w:val="28"/>
                <w:lang w:val="en-US"/>
              </w:rPr>
            </w:pPr>
          </w:p>
        </w:tc>
        <w:tc>
          <w:tcPr>
            <w:tcW w:w="1789" w:type="pct"/>
          </w:tcPr>
          <w:p w14:paraId="759206D9"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Pension fund</w:t>
            </w:r>
          </w:p>
        </w:tc>
        <w:tc>
          <w:tcPr>
            <w:tcW w:w="1941" w:type="pct"/>
          </w:tcPr>
          <w:p w14:paraId="7E1DADA3" w14:textId="77777777" w:rsidR="00BE42A0" w:rsidRPr="00AE1076" w:rsidRDefault="00BE42A0" w:rsidP="00161FB2">
            <w:pPr>
              <w:spacing w:line="240" w:lineRule="atLeast"/>
              <w:jc w:val="center"/>
              <w:rPr>
                <w:color w:val="000000" w:themeColor="text1"/>
                <w:sz w:val="28"/>
                <w:lang w:val="en-US"/>
              </w:rPr>
            </w:pPr>
          </w:p>
        </w:tc>
      </w:tr>
      <w:tr w:rsidR="00BE42A0" w:rsidRPr="00161FB2" w14:paraId="149DA6B9" w14:textId="77777777" w:rsidTr="0093712A">
        <w:tc>
          <w:tcPr>
            <w:tcW w:w="1270" w:type="pct"/>
            <w:vMerge/>
            <w:vAlign w:val="center"/>
          </w:tcPr>
          <w:p w14:paraId="053FDBC3" w14:textId="77777777" w:rsidR="00BE42A0" w:rsidRPr="00AE1076" w:rsidRDefault="00BE42A0" w:rsidP="00161FB2">
            <w:pPr>
              <w:spacing w:line="240" w:lineRule="atLeast"/>
              <w:jc w:val="center"/>
              <w:rPr>
                <w:color w:val="000000" w:themeColor="text1"/>
                <w:sz w:val="28"/>
                <w:lang w:val="en-US"/>
              </w:rPr>
            </w:pPr>
          </w:p>
        </w:tc>
        <w:tc>
          <w:tcPr>
            <w:tcW w:w="1789" w:type="pct"/>
          </w:tcPr>
          <w:p w14:paraId="7DDE7DEF"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w:t>
            </w:r>
          </w:p>
        </w:tc>
        <w:tc>
          <w:tcPr>
            <w:tcW w:w="1941" w:type="pct"/>
          </w:tcPr>
          <w:p w14:paraId="5B923F92" w14:textId="77777777" w:rsidR="00BE42A0" w:rsidRPr="00AE1076" w:rsidRDefault="00BE42A0" w:rsidP="00161FB2">
            <w:pPr>
              <w:spacing w:line="240" w:lineRule="atLeast"/>
              <w:jc w:val="center"/>
              <w:rPr>
                <w:color w:val="000000" w:themeColor="text1"/>
                <w:sz w:val="28"/>
                <w:lang w:val="en-US"/>
              </w:rPr>
            </w:pPr>
          </w:p>
        </w:tc>
      </w:tr>
      <w:tr w:rsidR="00BE42A0" w:rsidRPr="00161FB2" w14:paraId="324DDFCD" w14:textId="77777777" w:rsidTr="0093712A">
        <w:tc>
          <w:tcPr>
            <w:tcW w:w="1270" w:type="pct"/>
            <w:vMerge w:val="restart"/>
            <w:vAlign w:val="center"/>
          </w:tcPr>
          <w:p w14:paraId="7F11C325"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Enterprise</w:t>
            </w:r>
          </w:p>
        </w:tc>
        <w:tc>
          <w:tcPr>
            <w:tcW w:w="1789" w:type="pct"/>
          </w:tcPr>
          <w:p w14:paraId="67786EA1"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Reserve fund</w:t>
            </w:r>
          </w:p>
        </w:tc>
        <w:tc>
          <w:tcPr>
            <w:tcW w:w="1941" w:type="pct"/>
          </w:tcPr>
          <w:p w14:paraId="12391100" w14:textId="77777777" w:rsidR="00BE42A0" w:rsidRPr="00AE1076" w:rsidRDefault="00BE42A0" w:rsidP="00161FB2">
            <w:pPr>
              <w:spacing w:line="240" w:lineRule="atLeast"/>
              <w:jc w:val="center"/>
              <w:rPr>
                <w:color w:val="000000" w:themeColor="text1"/>
                <w:sz w:val="28"/>
                <w:lang w:val="en-US"/>
              </w:rPr>
            </w:pPr>
          </w:p>
        </w:tc>
      </w:tr>
      <w:tr w:rsidR="00BE42A0" w:rsidRPr="00161FB2" w14:paraId="07D215FB" w14:textId="77777777" w:rsidTr="0093712A">
        <w:tc>
          <w:tcPr>
            <w:tcW w:w="1270" w:type="pct"/>
            <w:vMerge/>
            <w:vAlign w:val="center"/>
          </w:tcPr>
          <w:p w14:paraId="708F9B27" w14:textId="77777777" w:rsidR="00BE42A0" w:rsidRPr="00AE1076" w:rsidRDefault="00BE42A0" w:rsidP="00161FB2">
            <w:pPr>
              <w:spacing w:line="240" w:lineRule="atLeast"/>
              <w:jc w:val="center"/>
              <w:rPr>
                <w:color w:val="000000" w:themeColor="text1"/>
                <w:sz w:val="28"/>
                <w:lang w:val="en-US"/>
              </w:rPr>
            </w:pPr>
          </w:p>
        </w:tc>
        <w:tc>
          <w:tcPr>
            <w:tcW w:w="1789" w:type="pct"/>
          </w:tcPr>
          <w:p w14:paraId="504025A5"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Capital investment fund</w:t>
            </w:r>
          </w:p>
        </w:tc>
        <w:tc>
          <w:tcPr>
            <w:tcW w:w="1941" w:type="pct"/>
          </w:tcPr>
          <w:p w14:paraId="47F11C28" w14:textId="77777777" w:rsidR="00BE42A0" w:rsidRPr="00AE1076" w:rsidRDefault="00BE42A0" w:rsidP="00161FB2">
            <w:pPr>
              <w:spacing w:line="240" w:lineRule="atLeast"/>
              <w:jc w:val="center"/>
              <w:rPr>
                <w:color w:val="000000" w:themeColor="text1"/>
                <w:sz w:val="28"/>
                <w:lang w:val="en-US"/>
              </w:rPr>
            </w:pPr>
          </w:p>
        </w:tc>
      </w:tr>
      <w:tr w:rsidR="00BE42A0" w:rsidRPr="00161FB2" w14:paraId="3B91CCF9" w14:textId="77777777" w:rsidTr="0093712A">
        <w:tc>
          <w:tcPr>
            <w:tcW w:w="1270" w:type="pct"/>
            <w:vMerge/>
            <w:vAlign w:val="center"/>
          </w:tcPr>
          <w:p w14:paraId="21A203CB" w14:textId="77777777" w:rsidR="00BE42A0" w:rsidRPr="00AE1076" w:rsidRDefault="00BE42A0" w:rsidP="00161FB2">
            <w:pPr>
              <w:spacing w:line="240" w:lineRule="atLeast"/>
              <w:jc w:val="center"/>
              <w:rPr>
                <w:color w:val="000000" w:themeColor="text1"/>
                <w:sz w:val="28"/>
                <w:lang w:val="en-US"/>
              </w:rPr>
            </w:pPr>
          </w:p>
        </w:tc>
        <w:tc>
          <w:tcPr>
            <w:tcW w:w="1789" w:type="pct"/>
          </w:tcPr>
          <w:p w14:paraId="5F7852C5"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w:t>
            </w:r>
          </w:p>
        </w:tc>
        <w:tc>
          <w:tcPr>
            <w:tcW w:w="1941" w:type="pct"/>
          </w:tcPr>
          <w:p w14:paraId="260C291C" w14:textId="77777777" w:rsidR="00BE42A0" w:rsidRPr="00AE1076" w:rsidRDefault="00BE42A0" w:rsidP="00161FB2">
            <w:pPr>
              <w:spacing w:line="240" w:lineRule="atLeast"/>
              <w:jc w:val="center"/>
              <w:rPr>
                <w:color w:val="000000" w:themeColor="text1"/>
                <w:sz w:val="28"/>
                <w:lang w:val="en-US"/>
              </w:rPr>
            </w:pPr>
          </w:p>
        </w:tc>
      </w:tr>
      <w:tr w:rsidR="00BE42A0" w:rsidRPr="00161FB2" w14:paraId="701D9EA8" w14:textId="77777777" w:rsidTr="0093712A">
        <w:tc>
          <w:tcPr>
            <w:tcW w:w="1270" w:type="pct"/>
            <w:vAlign w:val="center"/>
          </w:tcPr>
          <w:p w14:paraId="63712FF7"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Household</w:t>
            </w:r>
          </w:p>
        </w:tc>
        <w:tc>
          <w:tcPr>
            <w:tcW w:w="1789" w:type="pct"/>
          </w:tcPr>
          <w:p w14:paraId="084A09D3" w14:textId="77777777" w:rsidR="00BE42A0" w:rsidRPr="00AE1076" w:rsidRDefault="00BE42A0" w:rsidP="00161FB2">
            <w:pPr>
              <w:spacing w:line="240" w:lineRule="atLeast"/>
              <w:jc w:val="center"/>
              <w:rPr>
                <w:color w:val="000000" w:themeColor="text1"/>
                <w:sz w:val="28"/>
                <w:lang w:val="en-US"/>
              </w:rPr>
            </w:pPr>
            <w:r w:rsidRPr="00AE1076">
              <w:rPr>
                <w:color w:val="000000" w:themeColor="text1"/>
                <w:sz w:val="28"/>
                <w:lang w:val="en-US"/>
              </w:rPr>
              <w:t>……….</w:t>
            </w:r>
          </w:p>
        </w:tc>
        <w:tc>
          <w:tcPr>
            <w:tcW w:w="1941" w:type="pct"/>
          </w:tcPr>
          <w:p w14:paraId="1B679721" w14:textId="77777777" w:rsidR="00BE42A0" w:rsidRPr="00AE1076" w:rsidRDefault="00BE42A0" w:rsidP="00161FB2">
            <w:pPr>
              <w:spacing w:line="240" w:lineRule="atLeast"/>
              <w:jc w:val="center"/>
              <w:rPr>
                <w:color w:val="000000" w:themeColor="text1"/>
                <w:sz w:val="28"/>
                <w:lang w:val="en-US"/>
              </w:rPr>
            </w:pPr>
          </w:p>
        </w:tc>
      </w:tr>
    </w:tbl>
    <w:p w14:paraId="3B5C92C9" w14:textId="77777777" w:rsidR="00BE42A0" w:rsidRPr="00161FB2" w:rsidRDefault="00BE42A0" w:rsidP="00161FB2">
      <w:pPr>
        <w:spacing w:line="240" w:lineRule="atLeast"/>
        <w:ind w:left="357"/>
        <w:jc w:val="both"/>
        <w:rPr>
          <w:color w:val="000000" w:themeColor="text1"/>
          <w:lang w:val="en-US"/>
        </w:rPr>
      </w:pPr>
    </w:p>
    <w:p w14:paraId="6977F751" w14:textId="77777777" w:rsidR="00BE42A0" w:rsidRPr="00BE42A0" w:rsidRDefault="00BE42A0" w:rsidP="00AE1076">
      <w:pPr>
        <w:pStyle w:val="eng"/>
        <w:rPr>
          <w:rFonts w:eastAsia="Garamond"/>
          <w:u w:color="000000"/>
          <w:bdr w:val="nil"/>
          <w:lang w:val="en-US" w:eastAsia="en-US"/>
        </w:rPr>
      </w:pPr>
      <w:r>
        <w:rPr>
          <w:lang w:val="en-US"/>
        </w:rPr>
        <w:br w:type="page"/>
      </w:r>
      <w:r w:rsidRPr="00BE42A0">
        <w:rPr>
          <w:rFonts w:eastAsia="Arial Unicode MS"/>
          <w:u w:color="000000"/>
          <w:bdr w:val="nil"/>
          <w:lang w:val="en-US" w:eastAsia="en-US"/>
        </w:rPr>
        <w:lastRenderedPageBreak/>
        <w:t>Chapter 2</w:t>
      </w:r>
      <w:r w:rsidR="00114A68">
        <w:rPr>
          <w:rFonts w:eastAsia="Arial Unicode MS"/>
          <w:u w:color="000000"/>
          <w:bdr w:val="nil"/>
          <w:lang w:val="en-US" w:eastAsia="en-US"/>
        </w:rPr>
        <w:t>:</w:t>
      </w:r>
      <w:r w:rsidRPr="00BE42A0">
        <w:rPr>
          <w:rFonts w:eastAsia="Arial Unicode MS"/>
          <w:u w:color="000000"/>
          <w:bdr w:val="nil"/>
          <w:lang w:val="en-US" w:eastAsia="en-US"/>
        </w:rPr>
        <w:t xml:space="preserve"> </w:t>
      </w:r>
    </w:p>
    <w:p w14:paraId="3A57D783" w14:textId="77777777" w:rsidR="00BE42A0" w:rsidRPr="00BE42A0" w:rsidRDefault="00BE42A0" w:rsidP="00AE1076">
      <w:pPr>
        <w:pStyle w:val="eng"/>
        <w:rPr>
          <w:rFonts w:eastAsia="Garamond"/>
          <w:u w:color="000000"/>
          <w:bdr w:val="nil"/>
          <w:lang w:val="en-US" w:eastAsia="en-US"/>
        </w:rPr>
      </w:pPr>
      <w:r w:rsidRPr="00BE42A0">
        <w:rPr>
          <w:rFonts w:eastAsia="Arial Unicode MS"/>
          <w:u w:color="000000"/>
          <w:bdr w:val="nil"/>
          <w:lang w:val="en-US" w:eastAsia="en-US"/>
        </w:rPr>
        <w:t>Ev</w:t>
      </w:r>
      <w:r w:rsidR="00AA167D">
        <w:rPr>
          <w:rFonts w:eastAsia="Arial Unicode MS"/>
          <w:u w:color="000000"/>
          <w:bdr w:val="nil"/>
          <w:lang w:val="en-US" w:eastAsia="en-US"/>
        </w:rPr>
        <w:t>o</w:t>
      </w:r>
      <w:r w:rsidR="00612A90">
        <w:rPr>
          <w:rFonts w:eastAsia="Arial Unicode MS"/>
          <w:u w:color="000000"/>
          <w:bdr w:val="nil"/>
          <w:lang w:val="en-US" w:eastAsia="en-US"/>
        </w:rPr>
        <w:t>lution of finance</w:t>
      </w:r>
      <w:r w:rsidR="00114A68">
        <w:rPr>
          <w:rFonts w:eastAsia="Arial Unicode MS"/>
          <w:u w:color="000000"/>
          <w:bdr w:val="nil"/>
          <w:lang w:val="en-US" w:eastAsia="en-US"/>
        </w:rPr>
        <w:t>.</w:t>
      </w:r>
      <w:r w:rsidRPr="00BE42A0">
        <w:rPr>
          <w:rFonts w:eastAsia="Arial Unicode MS"/>
          <w:u w:color="000000"/>
          <w:bdr w:val="nil"/>
          <w:lang w:val="en-US" w:eastAsia="en-US"/>
        </w:rPr>
        <w:t xml:space="preserve"> </w:t>
      </w:r>
    </w:p>
    <w:p w14:paraId="56F38472" w14:textId="77777777" w:rsidR="00BE42A0" w:rsidRPr="0012324C" w:rsidRDefault="00BE42A0" w:rsidP="00AE1076">
      <w:pPr>
        <w:pStyle w:val="eng"/>
        <w:rPr>
          <w:rFonts w:eastAsia="Garamond"/>
          <w:u w:color="000000"/>
          <w:bdr w:val="nil"/>
          <w:lang w:val="en-US" w:eastAsia="en-US"/>
        </w:rPr>
      </w:pPr>
      <w:r w:rsidRPr="00BE42A0">
        <w:rPr>
          <w:rFonts w:eastAsia="Arial Unicode MS"/>
          <w:u w:color="000000"/>
          <w:bdr w:val="nil"/>
          <w:lang w:val="en-US" w:eastAsia="en-US"/>
        </w:rPr>
        <w:t>Main financial theories</w:t>
      </w:r>
    </w:p>
    <w:p w14:paraId="572CEAAB" w14:textId="77777777" w:rsidR="00BE42A0" w:rsidRPr="00AE1076" w:rsidRDefault="00BE42A0" w:rsidP="0012324C">
      <w:pPr>
        <w:pStyle w:val="end2"/>
        <w:rPr>
          <w:rFonts w:eastAsia="Garamond"/>
          <w:u w:color="000000"/>
          <w:bdr w:val="nil"/>
          <w:lang w:eastAsia="en-US"/>
        </w:rPr>
      </w:pPr>
      <w:r w:rsidRPr="00AE1076">
        <w:rPr>
          <w:rFonts w:eastAsia="Arial Unicode MS"/>
          <w:u w:color="000000"/>
          <w:bdr w:val="nil"/>
          <w:lang w:eastAsia="en-US"/>
        </w:rPr>
        <w:t>summary</w:t>
      </w:r>
    </w:p>
    <w:p w14:paraId="7133997B"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The first archeological traces of financial activity appeared in the earliest urban civilizations in the Near East. In ruins of Mesopotamia, it was found tokens </w:t>
      </w:r>
      <w:r w:rsidR="00B1459E">
        <w:rPr>
          <w:rFonts w:eastAsia="Arial Unicode MS" w:cs="Arial Unicode MS"/>
          <w:sz w:val="28"/>
          <w:u w:color="000000"/>
          <w:bdr w:val="nil"/>
          <w:lang w:val="en-US"/>
        </w:rPr>
        <w:t xml:space="preserve">that </w:t>
      </w:r>
      <w:r w:rsidRPr="00AE1076">
        <w:rPr>
          <w:rFonts w:eastAsia="Arial Unicode MS" w:cs="Arial Unicode MS"/>
          <w:sz w:val="28"/>
          <w:u w:color="000000"/>
          <w:bdr w:val="nil"/>
          <w:lang w:val="en-US"/>
        </w:rPr>
        <w:t>represented commodities from people’s daily life</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lambs, sheep, cows, dogs, loaves of bread, jars of oil, honey, beer, milk, clothing, ropes, and even “abstract” goods, such as units of work, and land. These tokens were elements of “a system of accounting”.</w:t>
      </w:r>
    </w:p>
    <w:p w14:paraId="6393EB15"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The beginning of the word “</w:t>
      </w:r>
      <w:r w:rsidRPr="00AE1076">
        <w:rPr>
          <w:rFonts w:eastAsia="Arial Unicode MS" w:cs="Arial Unicode MS"/>
          <w:b/>
          <w:bCs/>
          <w:sz w:val="28"/>
          <w:u w:color="000000"/>
          <w:bdr w:val="nil"/>
          <w:lang w:val="en-US"/>
        </w:rPr>
        <w:t>finance</w:t>
      </w:r>
      <w:r w:rsidRPr="00AE1076">
        <w:rPr>
          <w:rFonts w:eastAsia="Arial Unicode MS" w:cs="Arial Unicode MS"/>
          <w:sz w:val="28"/>
          <w:u w:color="000000"/>
          <w:bdr w:val="nil"/>
          <w:lang w:val="en-US"/>
        </w:rPr>
        <w:t>” has a charming past. Canonical definition and etymology of the word “finance” w</w:t>
      </w:r>
      <w:r w:rsidR="00B1459E">
        <w:rPr>
          <w:rFonts w:eastAsia="Arial Unicode MS" w:cs="Arial Unicode MS"/>
          <w:sz w:val="28"/>
          <w:u w:color="000000"/>
          <w:bdr w:val="nil"/>
          <w:lang w:val="en-US"/>
        </w:rPr>
        <w:t>as</w:t>
      </w:r>
      <w:r w:rsidRPr="00AE1076">
        <w:rPr>
          <w:rFonts w:eastAsia="Arial Unicode MS" w:cs="Arial Unicode MS"/>
          <w:sz w:val="28"/>
          <w:u w:color="000000"/>
          <w:bdr w:val="nil"/>
          <w:lang w:val="en-US"/>
        </w:rPr>
        <w:t xml:space="preserve"> given by the Aristotle near about two thousand years ago when there was no concept of financing and related issues. According to the author, “finance” is a related term that all the countries and government face the situations in which sometimes they need money to buy households and other things important for the life. Aristotle’s explanation was restricted to those involved with economical and financial operations of the government and countries but a type of finance concerning marketable nautical and other kinds of jobs loaning thrived in the prehistoric world.</w:t>
      </w:r>
    </w:p>
    <w:p w14:paraId="3CAE77F2"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The suggestion of the word started to modify over the time as it traveled from different countries. The word </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finance</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first discovered in Latin – «</w:t>
      </w:r>
      <w:r w:rsidRPr="00AE1076">
        <w:rPr>
          <w:rFonts w:eastAsia="Arial Unicode MS" w:cs="Arial Unicode MS"/>
          <w:b/>
          <w:bCs/>
          <w:sz w:val="28"/>
          <w:u w:color="000000"/>
          <w:bdr w:val="nil"/>
          <w:lang w:val="en-US"/>
        </w:rPr>
        <w:t>finis</w:t>
      </w:r>
      <w:r w:rsidRPr="00AE1076">
        <w:rPr>
          <w:rFonts w:eastAsia="Arial Unicode MS" w:cs="Arial Unicode MS"/>
          <w:sz w:val="28"/>
          <w:u w:color="000000"/>
          <w:bdr w:val="nil"/>
          <w:lang w:val="en-US"/>
        </w:rPr>
        <w:t>», means the end, finish. This concept was used in monetary relations between the monarch and people and mean</w:t>
      </w:r>
      <w:r w:rsidR="00B1459E">
        <w:rPr>
          <w:rFonts w:eastAsia="Arial Unicode MS" w:cs="Arial Unicode MS"/>
          <w:sz w:val="28"/>
          <w:u w:color="000000"/>
          <w:bdr w:val="nil"/>
          <w:lang w:val="en-US"/>
        </w:rPr>
        <w:t>t</w:t>
      </w:r>
      <w:r w:rsidRPr="00AE1076">
        <w:rPr>
          <w:rFonts w:eastAsia="Arial Unicode MS" w:cs="Arial Unicode MS"/>
          <w:sz w:val="28"/>
          <w:u w:color="000000"/>
          <w:bdr w:val="nil"/>
          <w:lang w:val="en-US"/>
        </w:rPr>
        <w:t xml:space="preserve"> complete cash payment. After the monetary calculation</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person, who paid the fee in favor of state authorities</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received a document – fine (the basis of the term “</w:t>
      </w:r>
      <w:r w:rsidRPr="00AE1076">
        <w:rPr>
          <w:rFonts w:eastAsia="Arial Unicode MS" w:cs="Arial Unicode MS"/>
          <w:b/>
          <w:bCs/>
          <w:sz w:val="28"/>
          <w:u w:color="000000"/>
          <w:bdr w:val="nil"/>
          <w:lang w:val="en-US"/>
        </w:rPr>
        <w:t>financia</w:t>
      </w:r>
      <w:r w:rsidRPr="00AE1076">
        <w:rPr>
          <w:rFonts w:eastAsia="Arial Unicode MS" w:cs="Arial Unicode MS"/>
          <w:sz w:val="28"/>
          <w:u w:color="000000"/>
          <w:bdr w:val="nil"/>
          <w:lang w:val="en-US"/>
        </w:rPr>
        <w:t>”). This happened in the 13th century in Italy. Then in Old French, the word transferred into the “</w:t>
      </w:r>
      <w:r w:rsidRPr="00AE1076">
        <w:rPr>
          <w:rFonts w:eastAsia="Arial Unicode MS" w:cs="Arial Unicode MS"/>
          <w:b/>
          <w:bCs/>
          <w:sz w:val="28"/>
          <w:u w:color="000000"/>
          <w:bdr w:val="nil"/>
          <w:lang w:val="en-US"/>
        </w:rPr>
        <w:t>finaunce</w:t>
      </w:r>
      <w:r w:rsidRPr="00AE1076">
        <w:rPr>
          <w:rFonts w:eastAsia="Arial Unicode MS" w:cs="Arial Unicode MS"/>
          <w:sz w:val="28"/>
          <w:u w:color="000000"/>
          <w:bdr w:val="nil"/>
          <w:lang w:val="en-US"/>
        </w:rPr>
        <w:t xml:space="preserve">”. The finance was called </w:t>
      </w:r>
      <w:r w:rsidR="00B1459E">
        <w:rPr>
          <w:rFonts w:eastAsia="Arial Unicode MS" w:cs="Arial Unicode MS"/>
          <w:sz w:val="28"/>
          <w:u w:color="000000"/>
          <w:bdr w:val="nil"/>
          <w:lang w:val="en-US"/>
        </w:rPr>
        <w:t>the</w:t>
      </w:r>
      <w:r w:rsidRPr="00AE1076">
        <w:rPr>
          <w:rFonts w:eastAsia="Arial Unicode MS" w:cs="Arial Unicode MS"/>
          <w:sz w:val="28"/>
          <w:u w:color="000000"/>
          <w:bdr w:val="nil"/>
          <w:lang w:val="en-US"/>
        </w:rPr>
        <w:t xml:space="preserve"> same</w:t>
      </w:r>
      <w:r w:rsidR="00B1459E">
        <w:rPr>
          <w:rFonts w:eastAsia="Arial Unicode MS" w:cs="Arial Unicode MS"/>
          <w:sz w:val="28"/>
          <w:u w:color="000000"/>
          <w:bdr w:val="nil"/>
          <w:lang w:val="en-US"/>
        </w:rPr>
        <w:t xml:space="preserve"> way as</w:t>
      </w:r>
      <w:r w:rsidRPr="00AE1076">
        <w:rPr>
          <w:rFonts w:eastAsia="Arial Unicode MS" w:cs="Arial Unicode MS"/>
          <w:sz w:val="28"/>
          <w:u w:color="000000"/>
          <w:bdr w:val="nil"/>
          <w:lang w:val="en-US"/>
        </w:rPr>
        <w:t xml:space="preserve"> today in Middle English. In 1700’s, the word involved people working in Finance of Courts, the word “rentiers” was used for those people. These investors supplied loaning tricks to the governments. </w:t>
      </w:r>
    </w:p>
    <w:p w14:paraId="0C3C474C"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All in all, even before the emergence of the concept of “finance”, the humanity has money and commodity-money relations, which development was appropriate to </w:t>
      </w:r>
      <w:r w:rsidRPr="00AE1076">
        <w:rPr>
          <w:rFonts w:eastAsia="Arial Unicode MS" w:cs="Arial Unicode MS"/>
          <w:sz w:val="28"/>
          <w:u w:color="000000"/>
          <w:bdr w:val="nil"/>
          <w:lang w:val="en-US"/>
        </w:rPr>
        <w:lastRenderedPageBreak/>
        <w:t xml:space="preserve">the particular political system of the state. But only in the Middle Ages the term “finance” </w:t>
      </w:r>
      <w:r w:rsidR="00B1459E">
        <w:rPr>
          <w:rFonts w:eastAsia="Arial Unicode MS" w:cs="Arial Unicode MS"/>
          <w:sz w:val="28"/>
          <w:u w:color="000000"/>
          <w:bdr w:val="nil"/>
          <w:lang w:val="en-US"/>
        </w:rPr>
        <w:t>widespread around the world</w:t>
      </w:r>
      <w:r w:rsidRPr="00AE1076">
        <w:rPr>
          <w:rFonts w:eastAsia="Arial Unicode MS" w:cs="Arial Unicode MS"/>
          <w:sz w:val="28"/>
          <w:u w:color="000000"/>
          <w:bdr w:val="nil"/>
          <w:lang w:val="en-US"/>
        </w:rPr>
        <w:t xml:space="preserve"> that can be explained due to the formation of certain historical background:</w:t>
      </w:r>
    </w:p>
    <w:p w14:paraId="7F87F3EA"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b/>
          <w:bCs/>
          <w:sz w:val="28"/>
          <w:u w:color="000000"/>
          <w:bdr w:val="nil"/>
          <w:lang w:val="en-US"/>
        </w:rPr>
        <w:t>Firstly</w:t>
      </w:r>
      <w:r w:rsidRPr="00AE1076">
        <w:rPr>
          <w:rFonts w:eastAsia="Arial Unicode MS" w:cs="Arial Unicode MS"/>
          <w:sz w:val="28"/>
          <w:u w:color="000000"/>
          <w:bdr w:val="nil"/>
          <w:lang w:val="en-US"/>
        </w:rPr>
        <w:t>, finances appeared as a result of labor social division and the creation of commodity production; development of money economy and implementation of basic money functions; the emergence of independent entities that create</w:t>
      </w:r>
      <w:r w:rsidR="00B1459E">
        <w:rPr>
          <w:rFonts w:eastAsia="Arial Unicode MS" w:cs="Arial Unicode MS"/>
          <w:sz w:val="28"/>
          <w:u w:color="000000"/>
          <w:bdr w:val="nil"/>
          <w:lang w:val="en-US"/>
        </w:rPr>
        <w:t>d</w:t>
      </w:r>
      <w:r w:rsidRPr="00AE1076">
        <w:rPr>
          <w:rFonts w:eastAsia="Arial Unicode MS" w:cs="Arial Unicode MS"/>
          <w:sz w:val="28"/>
          <w:u w:color="000000"/>
          <w:bdr w:val="nil"/>
          <w:lang w:val="en-US"/>
        </w:rPr>
        <w:t xml:space="preserve"> the necessary cash funds; centralized state strengthening, creating a system that provides legal norms.</w:t>
      </w:r>
    </w:p>
    <w:p w14:paraId="1DA558E3"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b/>
          <w:bCs/>
          <w:sz w:val="28"/>
          <w:u w:color="000000"/>
          <w:bdr w:val="nil"/>
          <w:lang w:val="en-US"/>
        </w:rPr>
        <w:t>Secondly</w:t>
      </w:r>
      <w:r w:rsidRPr="00AE1076">
        <w:rPr>
          <w:rFonts w:eastAsia="Arial Unicode MS" w:cs="Arial Unicode MS"/>
          <w:sz w:val="28"/>
          <w:u w:color="000000"/>
          <w:bdr w:val="nil"/>
          <w:lang w:val="en-US"/>
        </w:rPr>
        <w:t>, </w:t>
      </w:r>
      <w:r w:rsidR="00B1459E">
        <w:rPr>
          <w:rFonts w:eastAsia="Arial Unicode MS" w:cs="Arial Unicode MS"/>
          <w:sz w:val="28"/>
          <w:u w:color="000000"/>
          <w:bdr w:val="nil"/>
          <w:lang w:val="en-US"/>
        </w:rPr>
        <w:t>finance</w:t>
      </w:r>
      <w:r w:rsidRPr="00AE1076">
        <w:rPr>
          <w:rFonts w:eastAsia="Arial Unicode MS" w:cs="Arial Unicode MS"/>
          <w:sz w:val="28"/>
          <w:u w:color="000000"/>
          <w:bdr w:val="nil"/>
          <w:lang w:val="en-US"/>
        </w:rPr>
        <w:t xml:space="preserve"> depends on the bourgeois revolutions and limiting the power of monarchs in Europe to dispose of the treasury </w:t>
      </w:r>
      <w:r w:rsidR="00B1459E">
        <w:rPr>
          <w:rFonts w:eastAsia="Arial Unicode MS" w:cs="Arial Unicode MS"/>
          <w:sz w:val="28"/>
          <w:u w:color="000000"/>
          <w:bdr w:val="nil"/>
          <w:lang w:val="en-US"/>
        </w:rPr>
        <w:t>it</w:t>
      </w:r>
      <w:r w:rsidRPr="00AE1076">
        <w:rPr>
          <w:rFonts w:eastAsia="Arial Unicode MS" w:cs="Arial Unicode MS"/>
          <w:sz w:val="28"/>
          <w:u w:color="000000"/>
          <w:bdr w:val="nil"/>
          <w:lang w:val="en-US"/>
        </w:rPr>
        <w:t xml:space="preserve">self. It contributed to the formation of national money funds – budgets. Of course, it revenues and expenditures must be approved by </w:t>
      </w:r>
      <w:r w:rsidR="00B1459E">
        <w:rPr>
          <w:rFonts w:eastAsia="Arial Unicode MS" w:cs="Arial Unicode MS"/>
          <w:sz w:val="28"/>
          <w:u w:color="000000"/>
          <w:bdr w:val="nil"/>
          <w:lang w:val="en-US"/>
        </w:rPr>
        <w:t>P</w:t>
      </w:r>
      <w:r w:rsidRPr="00AE1076">
        <w:rPr>
          <w:rFonts w:eastAsia="Arial Unicode MS" w:cs="Arial Unicode MS"/>
          <w:sz w:val="28"/>
          <w:u w:color="000000"/>
          <w:bdr w:val="nil"/>
          <w:lang w:val="en-US"/>
        </w:rPr>
        <w:t xml:space="preserve">arliament – </w:t>
      </w:r>
      <w:r w:rsidR="00B1459E">
        <w:rPr>
          <w:rFonts w:eastAsia="Arial Unicode MS" w:cs="Arial Unicode MS"/>
          <w:sz w:val="28"/>
          <w:u w:color="000000"/>
          <w:bdr w:val="nil"/>
          <w:lang w:val="en-US"/>
        </w:rPr>
        <w:t xml:space="preserve">a </w:t>
      </w:r>
      <w:r w:rsidRPr="00AE1076">
        <w:rPr>
          <w:rFonts w:eastAsia="Arial Unicode MS" w:cs="Arial Unicode MS"/>
          <w:sz w:val="28"/>
          <w:u w:color="000000"/>
          <w:bdr w:val="nil"/>
          <w:lang w:val="en-US"/>
        </w:rPr>
        <w:t>monarch could not personally manage the budget. The budget’s formation and usage process seemed to be systematic. It promoted the appearance of the legislated system of public revenues and expenditures with strictly defined composition and structure.</w:t>
      </w:r>
    </w:p>
    <w:p w14:paraId="6B4FC01F"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b/>
          <w:bCs/>
          <w:sz w:val="28"/>
          <w:u w:color="000000"/>
          <w:bdr w:val="nil"/>
          <w:lang w:val="en-US"/>
        </w:rPr>
        <w:t>Thirdly</w:t>
      </w:r>
      <w:r w:rsidRPr="00AE1076">
        <w:rPr>
          <w:rFonts w:eastAsia="Arial Unicode MS" w:cs="Arial Unicode MS"/>
          <w:sz w:val="28"/>
          <w:u w:color="000000"/>
          <w:bdr w:val="nil"/>
          <w:lang w:val="en-US"/>
        </w:rPr>
        <w:t xml:space="preserve">, </w:t>
      </w:r>
      <w:r w:rsidR="00B1459E">
        <w:rPr>
          <w:rFonts w:eastAsia="Arial Unicode MS" w:cs="Arial Unicode MS"/>
          <w:sz w:val="28"/>
          <w:u w:color="000000"/>
          <w:bdr w:val="nil"/>
          <w:lang w:val="en-US"/>
        </w:rPr>
        <w:t>t</w:t>
      </w:r>
      <w:r w:rsidRPr="00AE1076">
        <w:rPr>
          <w:rFonts w:eastAsia="Arial Unicode MS" w:cs="Arial Unicode MS"/>
          <w:sz w:val="28"/>
          <w:u w:color="000000"/>
          <w:bdr w:val="nil"/>
          <w:lang w:val="en-US"/>
        </w:rPr>
        <w:t xml:space="preserve">axes in a form of cash acquired preemptive character, while state revenues </w:t>
      </w:r>
      <w:r w:rsidR="00B1459E">
        <w:rPr>
          <w:rFonts w:eastAsia="Arial Unicode MS" w:cs="Arial Unicode MS"/>
          <w:sz w:val="28"/>
          <w:u w:color="000000"/>
          <w:bdr w:val="nil"/>
          <w:lang w:val="en-US"/>
        </w:rPr>
        <w:t xml:space="preserve">were </w:t>
      </w:r>
      <w:r w:rsidRPr="00AE1076">
        <w:rPr>
          <w:rFonts w:eastAsia="Arial Unicode MS" w:cs="Arial Unicode MS"/>
          <w:sz w:val="28"/>
          <w:u w:color="000000"/>
          <w:bdr w:val="nil"/>
          <w:lang w:val="en-US"/>
        </w:rPr>
        <w:t>mainly formed by natural labor taxes and duties. Thus, only at this stage of state development, it became possible to form monetary relations according to the distribution of the domestic product.</w:t>
      </w:r>
    </w:p>
    <w:p w14:paraId="6D8A6649"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Historical analysis of any phenomenon should precede the selection of its certain characteristics. In order to find out the genesis of category “finance", it is necessary to pay attention to its characteristic features. Quite often</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in everyday life</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finances are equated with money. But it is wrong. They are two different economic categories with different social purpose. Money is a category that emerged in the early stage of human development as a commodity and plays the role of general equivalent, determining the cost of labor producers. Finance emerged with the appearance of the state, the existence of which required certain resources in the form of taxes and physical labor at the beginning, and in the form of money then. Therefore</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finance is always a money relationship.</w:t>
      </w:r>
    </w:p>
    <w:p w14:paraId="7182F67A"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With the emergence of the state and development of commodity-money relations in society, there is an objective need for the formation of a redistributive system of monetary relations, which is finance.</w:t>
      </w:r>
      <w:r w:rsidR="0012324C" w:rsidRPr="00AE1076">
        <w:rPr>
          <w:rFonts w:eastAsia="Arial Unicode MS" w:cs="Arial Unicode MS"/>
          <w:sz w:val="28"/>
          <w:u w:color="000000"/>
          <w:bdr w:val="nil"/>
          <w:lang w:val="en-US"/>
        </w:rPr>
        <w:t xml:space="preserve"> </w:t>
      </w:r>
      <w:r w:rsidRPr="00AE1076">
        <w:rPr>
          <w:rFonts w:eastAsia="Arial Unicode MS" w:cs="Arial Unicode MS"/>
          <w:sz w:val="28"/>
          <w:u w:color="000000"/>
          <w:bdr w:val="nil"/>
          <w:lang w:val="en-US"/>
        </w:rPr>
        <w:t xml:space="preserve">Social reproduction implies the existence of such stages as production, distribution, exchange and consumption. Finance </w:t>
      </w:r>
      <w:r w:rsidR="00B1459E" w:rsidRPr="00AE1076">
        <w:rPr>
          <w:rFonts w:eastAsia="Arial Unicode MS" w:cs="Arial Unicode MS"/>
          <w:sz w:val="28"/>
          <w:u w:color="000000"/>
          <w:bdr w:val="nil"/>
          <w:lang w:val="en-US"/>
        </w:rPr>
        <w:t>expres</w:t>
      </w:r>
      <w:r w:rsidR="00B1459E">
        <w:rPr>
          <w:rFonts w:eastAsia="Arial Unicode MS" w:cs="Arial Unicode MS"/>
          <w:sz w:val="28"/>
          <w:u w:color="000000"/>
          <w:bdr w:val="nil"/>
          <w:lang w:val="en-US"/>
        </w:rPr>
        <w:t>s</w:t>
      </w:r>
      <w:r w:rsidR="00B1459E" w:rsidRPr="00AE1076">
        <w:rPr>
          <w:rFonts w:eastAsia="Arial Unicode MS" w:cs="Arial Unicode MS"/>
          <w:sz w:val="28"/>
          <w:u w:color="000000"/>
          <w:bdr w:val="nil"/>
          <w:lang w:val="en-US"/>
        </w:rPr>
        <w:t>es</w:t>
      </w:r>
      <w:r w:rsidRPr="00AE1076">
        <w:rPr>
          <w:rFonts w:eastAsia="Arial Unicode MS" w:cs="Arial Unicode MS"/>
          <w:sz w:val="28"/>
          <w:u w:color="000000"/>
          <w:bdr w:val="nil"/>
          <w:lang w:val="en-US"/>
        </w:rPr>
        <w:t xml:space="preserve"> not all economic relations, but only those that arise at </w:t>
      </w:r>
      <w:r w:rsidRPr="00AE1076">
        <w:rPr>
          <w:rFonts w:eastAsia="Arial Unicode MS" w:cs="Arial Unicode MS"/>
          <w:sz w:val="28"/>
          <w:u w:color="000000"/>
          <w:bdr w:val="nil"/>
          <w:lang w:val="en-US"/>
        </w:rPr>
        <w:lastRenderedPageBreak/>
        <w:t>the stage of distribution. Each body divides income into two parts: consumption and accumulation. In distribution process is involved the state, which centralizes the funds, through taxes, compulsory payments and loans, and redistributes them among regions, industries and business areas, enterprises, and individuals. Companies</w:t>
      </w:r>
      <w:r w:rsidR="00B1459E">
        <w:rPr>
          <w:rFonts w:eastAsia="Arial Unicode MS" w:cs="Arial Unicode MS"/>
          <w:sz w:val="28"/>
          <w:u w:color="000000"/>
          <w:bdr w:val="nil"/>
          <w:lang w:val="en-US"/>
        </w:rPr>
        <w:t xml:space="preserve">, </w:t>
      </w:r>
      <w:r w:rsidRPr="00AE1076">
        <w:rPr>
          <w:rFonts w:eastAsia="Arial Unicode MS" w:cs="Arial Unicode MS"/>
          <w:sz w:val="28"/>
          <w:u w:color="000000"/>
          <w:bdr w:val="nil"/>
          <w:lang w:val="en-US"/>
        </w:rPr>
        <w:t>receiving income from their activities, pay taxes into the budgets and other funds. Having personal incomes</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people pay for various services, pay taxes, </w:t>
      </w:r>
      <w:r w:rsidR="00B1459E">
        <w:rPr>
          <w:rFonts w:eastAsia="Arial Unicode MS" w:cs="Arial Unicode MS"/>
          <w:sz w:val="28"/>
          <w:u w:color="000000"/>
          <w:bdr w:val="nil"/>
          <w:lang w:val="en-US"/>
        </w:rPr>
        <w:t xml:space="preserve">and </w:t>
      </w:r>
      <w:r w:rsidRPr="00AE1076">
        <w:rPr>
          <w:rFonts w:eastAsia="Arial Unicode MS" w:cs="Arial Unicode MS"/>
          <w:sz w:val="28"/>
          <w:u w:color="000000"/>
          <w:bdr w:val="nil"/>
          <w:lang w:val="en-US"/>
        </w:rPr>
        <w:t xml:space="preserve">repay loans to banks. </w:t>
      </w:r>
    </w:p>
    <w:p w14:paraId="48369F2E"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The beginning of different terms related to finance</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such as </w:t>
      </w:r>
      <w:r w:rsidRPr="00AE1076">
        <w:rPr>
          <w:rFonts w:eastAsia="Arial Unicode MS" w:cs="Arial Unicode MS"/>
          <w:b/>
          <w:bCs/>
          <w:sz w:val="28"/>
          <w:u w:color="000000"/>
          <w:bdr w:val="nil"/>
          <w:lang w:val="en-US"/>
        </w:rPr>
        <w:t>debt</w:t>
      </w:r>
      <w:r w:rsidRPr="00AE1076">
        <w:rPr>
          <w:rFonts w:eastAsia="Arial Unicode MS" w:cs="Arial Unicode MS"/>
          <w:sz w:val="28"/>
          <w:u w:color="000000"/>
          <w:bdr w:val="nil"/>
          <w:lang w:val="en-US"/>
        </w:rPr>
        <w:t xml:space="preserve">, </w:t>
      </w:r>
      <w:r w:rsidRPr="00AE1076">
        <w:rPr>
          <w:rFonts w:eastAsia="Arial Unicode MS" w:cs="Arial Unicode MS"/>
          <w:b/>
          <w:bCs/>
          <w:sz w:val="28"/>
          <w:u w:color="000000"/>
          <w:bdr w:val="nil"/>
          <w:lang w:val="en-US"/>
        </w:rPr>
        <w:t>credit</w:t>
      </w:r>
      <w:r w:rsidRPr="00AE1076">
        <w:rPr>
          <w:rFonts w:eastAsia="Arial Unicode MS" w:cs="Arial Unicode MS"/>
          <w:sz w:val="28"/>
          <w:u w:color="000000"/>
          <w:bdr w:val="nil"/>
          <w:lang w:val="en-US"/>
        </w:rPr>
        <w:t xml:space="preserve">, </w:t>
      </w:r>
      <w:r w:rsidRPr="00AE1076">
        <w:rPr>
          <w:rFonts w:eastAsia="Arial Unicode MS" w:cs="Arial Unicode MS"/>
          <w:b/>
          <w:bCs/>
          <w:sz w:val="28"/>
          <w:u w:color="000000"/>
          <w:bdr w:val="nil"/>
          <w:lang w:val="en-US"/>
        </w:rPr>
        <w:t>equity</w:t>
      </w:r>
      <w:r w:rsidRPr="00AE1076">
        <w:rPr>
          <w:rFonts w:eastAsia="Arial Unicode MS" w:cs="Arial Unicode MS"/>
          <w:sz w:val="28"/>
          <w:u w:color="000000"/>
          <w:bdr w:val="nil"/>
          <w:lang w:val="en-US"/>
        </w:rPr>
        <w:t xml:space="preserve">, </w:t>
      </w:r>
      <w:r w:rsidRPr="00AE1076">
        <w:rPr>
          <w:rFonts w:eastAsia="Arial Unicode MS" w:cs="Arial Unicode MS"/>
          <w:b/>
          <w:bCs/>
          <w:sz w:val="28"/>
          <w:u w:color="000000"/>
          <w:bdr w:val="nil"/>
          <w:lang w:val="en-US"/>
        </w:rPr>
        <w:t>profits</w:t>
      </w:r>
      <w:r w:rsidRPr="00AE1076">
        <w:rPr>
          <w:rFonts w:eastAsia="Arial Unicode MS" w:cs="Arial Unicode MS"/>
          <w:sz w:val="28"/>
          <w:u w:color="000000"/>
          <w:bdr w:val="nil"/>
          <w:lang w:val="en-US"/>
        </w:rPr>
        <w:t xml:space="preserve"> and </w:t>
      </w:r>
      <w:r w:rsidRPr="00AE1076">
        <w:rPr>
          <w:rFonts w:eastAsia="Arial Unicode MS" w:cs="Arial Unicode MS"/>
          <w:b/>
          <w:bCs/>
          <w:sz w:val="28"/>
          <w:u w:color="000000"/>
          <w:bdr w:val="nil"/>
          <w:lang w:val="en-US"/>
        </w:rPr>
        <w:t>losses</w:t>
      </w:r>
      <w:r w:rsidR="00B1459E">
        <w:rPr>
          <w:rFonts w:eastAsia="Arial Unicode MS" w:cs="Arial Unicode MS"/>
          <w:b/>
          <w:bCs/>
          <w:sz w:val="28"/>
          <w:u w:color="000000"/>
          <w:bdr w:val="nil"/>
          <w:lang w:val="en-US"/>
        </w:rPr>
        <w:t>,</w:t>
      </w:r>
      <w:r w:rsidRPr="00AE1076">
        <w:rPr>
          <w:rFonts w:eastAsia="Arial Unicode MS" w:cs="Arial Unicode MS"/>
          <w:sz w:val="28"/>
          <w:u w:color="000000"/>
          <w:bdr w:val="nil"/>
          <w:lang w:val="en-US"/>
        </w:rPr>
        <w:t xml:space="preserve"> also has a great history. The historic nature of finance is evident because of new financial relations’ emergence</w:t>
      </w:r>
      <w:r w:rsidR="00B1459E">
        <w:rPr>
          <w:rFonts w:eastAsia="Arial Unicode MS" w:cs="Arial Unicode MS"/>
          <w:sz w:val="28"/>
          <w:u w:color="000000"/>
          <w:bdr w:val="nil"/>
          <w:lang w:val="en-US"/>
        </w:rPr>
        <w:t xml:space="preserve">, which is </w:t>
      </w:r>
      <w:r w:rsidRPr="00AE1076">
        <w:rPr>
          <w:rFonts w:eastAsia="Arial Unicode MS" w:cs="Arial Unicode MS"/>
          <w:sz w:val="28"/>
          <w:u w:color="000000"/>
          <w:bdr w:val="nil"/>
          <w:lang w:val="en-US"/>
        </w:rPr>
        <w:t xml:space="preserve">associated with the development of society and evolution of finance’s forms: taxes, state and local budgets, extra-budgetary funds, </w:t>
      </w:r>
      <w:r w:rsidR="00B1459E">
        <w:rPr>
          <w:rFonts w:eastAsia="Arial Unicode MS" w:cs="Arial Unicode MS"/>
          <w:sz w:val="28"/>
          <w:u w:color="000000"/>
          <w:bdr w:val="nil"/>
          <w:lang w:val="en-US"/>
        </w:rPr>
        <w:t xml:space="preserve">and </w:t>
      </w:r>
      <w:r w:rsidRPr="00AE1076">
        <w:rPr>
          <w:rFonts w:eastAsia="Arial Unicode MS" w:cs="Arial Unicode MS"/>
          <w:sz w:val="28"/>
          <w:u w:color="000000"/>
          <w:bdr w:val="nil"/>
          <w:lang w:val="en-US"/>
        </w:rPr>
        <w:t>state and local credit</w:t>
      </w:r>
      <w:r w:rsidR="00B1459E">
        <w:rPr>
          <w:rFonts w:eastAsia="Arial Unicode MS" w:cs="Arial Unicode MS"/>
          <w:sz w:val="28"/>
          <w:u w:color="000000"/>
          <w:bdr w:val="nil"/>
          <w:lang w:val="en-US"/>
        </w:rPr>
        <w:t>s</w:t>
      </w:r>
      <w:r w:rsidRPr="00AE1076">
        <w:rPr>
          <w:rFonts w:eastAsia="Arial Unicode MS" w:cs="Arial Unicode MS"/>
          <w:sz w:val="28"/>
          <w:u w:color="000000"/>
          <w:bdr w:val="nil"/>
          <w:lang w:val="en-US"/>
        </w:rPr>
        <w:t>.</w:t>
      </w:r>
    </w:p>
    <w:p w14:paraId="72858119" w14:textId="77777777" w:rsidR="0012324C" w:rsidRPr="00AE1076" w:rsidRDefault="00B1459E" w:rsidP="0093712A">
      <w:pPr>
        <w:pBdr>
          <w:top w:val="nil"/>
          <w:left w:val="nil"/>
          <w:bottom w:val="nil"/>
          <w:right w:val="nil"/>
          <w:between w:val="nil"/>
          <w:bar w:val="nil"/>
        </w:pBdr>
        <w:spacing w:line="312" w:lineRule="auto"/>
        <w:ind w:firstLine="709"/>
        <w:jc w:val="both"/>
        <w:rPr>
          <w:rFonts w:eastAsia="Garamond"/>
          <w:b/>
          <w:bCs/>
          <w:sz w:val="28"/>
          <w:u w:color="000000"/>
          <w:bdr w:val="nil"/>
          <w:lang w:val="en-US" w:eastAsia="en-US"/>
        </w:rPr>
      </w:pPr>
      <w:r>
        <w:rPr>
          <w:rFonts w:eastAsia="Arial Unicode MS" w:cs="Arial Unicode MS"/>
          <w:b/>
          <w:bCs/>
          <w:sz w:val="28"/>
          <w:u w:color="000000"/>
          <w:bdr w:val="nil"/>
          <w:lang w:val="en-US" w:eastAsia="en-US"/>
        </w:rPr>
        <w:t>S</w:t>
      </w:r>
      <w:r w:rsidR="00BE42A0" w:rsidRPr="00AE1076">
        <w:rPr>
          <w:rFonts w:eastAsia="Arial Unicode MS" w:cs="Arial Unicode MS"/>
          <w:b/>
          <w:bCs/>
          <w:sz w:val="28"/>
          <w:u w:color="000000"/>
          <w:bdr w:val="nil"/>
          <w:lang w:val="en-US" w:eastAsia="en-US"/>
        </w:rPr>
        <w:t>everal phases in the evolution of finance</w:t>
      </w:r>
      <w:r w:rsidRPr="00B1459E">
        <w:rPr>
          <w:rFonts w:eastAsia="Arial Unicode MS" w:cs="Arial Unicode MS"/>
          <w:b/>
          <w:bCs/>
          <w:sz w:val="28"/>
          <w:u w:color="000000"/>
          <w:bdr w:val="nil"/>
          <w:lang w:val="en-US" w:eastAsia="en-US"/>
        </w:rPr>
        <w:t xml:space="preserve"> </w:t>
      </w:r>
      <w:r w:rsidRPr="00AE1076">
        <w:rPr>
          <w:rFonts w:eastAsia="Arial Unicode MS" w:cs="Arial Unicode MS"/>
          <w:b/>
          <w:bCs/>
          <w:sz w:val="28"/>
          <w:u w:color="000000"/>
          <w:bdr w:val="nil"/>
          <w:lang w:val="en-US" w:eastAsia="en-US"/>
        </w:rPr>
        <w:t>can be distinguished</w:t>
      </w:r>
      <w:r w:rsidR="0012324C" w:rsidRPr="00AE1076">
        <w:rPr>
          <w:rFonts w:eastAsia="Arial Unicode MS" w:cs="Arial Unicode MS"/>
          <w:b/>
          <w:bCs/>
          <w:sz w:val="28"/>
          <w:u w:color="000000"/>
          <w:bdr w:val="nil"/>
          <w:lang w:val="en-US" w:eastAsia="en-US"/>
        </w:rPr>
        <w:t xml:space="preserve">. </w:t>
      </w:r>
    </w:p>
    <w:p w14:paraId="06B690AD" w14:textId="77777777" w:rsidR="0012324C" w:rsidRPr="00AE1076" w:rsidRDefault="00BE42A0" w:rsidP="0093712A">
      <w:pPr>
        <w:pBdr>
          <w:top w:val="nil"/>
          <w:left w:val="nil"/>
          <w:bottom w:val="nil"/>
          <w:right w:val="nil"/>
          <w:between w:val="nil"/>
          <w:bar w:val="nil"/>
        </w:pBdr>
        <w:spacing w:line="312" w:lineRule="auto"/>
        <w:ind w:firstLine="709"/>
        <w:jc w:val="both"/>
        <w:rPr>
          <w:rFonts w:eastAsia="Garamond"/>
          <w:b/>
          <w:bCs/>
          <w:sz w:val="28"/>
          <w:u w:color="000000"/>
          <w:bdr w:val="nil"/>
          <w:lang w:val="en-US" w:eastAsia="en-US"/>
        </w:rPr>
      </w:pPr>
      <w:r w:rsidRPr="00AE1076">
        <w:rPr>
          <w:rFonts w:eastAsia="Arial Unicode MS" w:cs="Arial Unicode MS"/>
          <w:sz w:val="28"/>
          <w:u w:color="000000"/>
          <w:bdr w:val="nil"/>
          <w:lang w:val="en-US"/>
        </w:rPr>
        <w:t xml:space="preserve">On the </w:t>
      </w:r>
      <w:r w:rsidRPr="00AE1076">
        <w:rPr>
          <w:rFonts w:eastAsia="Arial Unicode MS" w:cs="Arial Unicode MS"/>
          <w:b/>
          <w:sz w:val="28"/>
          <w:u w:color="000000"/>
          <w:bdr w:val="nil"/>
          <w:lang w:val="en-US"/>
        </w:rPr>
        <w:t>first phase</w:t>
      </w:r>
      <w:r w:rsidRPr="00AE1076">
        <w:rPr>
          <w:rFonts w:eastAsia="Arial Unicode MS" w:cs="Arial Unicode MS"/>
          <w:sz w:val="28"/>
          <w:u w:color="000000"/>
          <w:bdr w:val="nil"/>
          <w:lang w:val="en-US"/>
        </w:rPr>
        <w:t xml:space="preserve">, most of the money </w:t>
      </w:r>
      <w:r w:rsidR="00B1459E">
        <w:rPr>
          <w:rFonts w:eastAsia="Arial Unicode MS" w:cs="Arial Unicode MS"/>
          <w:sz w:val="28"/>
          <w:u w:color="000000"/>
          <w:bdr w:val="nil"/>
          <w:lang w:val="en-US"/>
        </w:rPr>
        <w:t xml:space="preserve">were </w:t>
      </w:r>
      <w:r w:rsidRPr="00AE1076">
        <w:rPr>
          <w:rFonts w:eastAsia="Arial Unicode MS" w:cs="Arial Unicode MS"/>
          <w:sz w:val="28"/>
          <w:u w:color="000000"/>
          <w:bdr w:val="nil"/>
          <w:lang w:val="en-US"/>
        </w:rPr>
        <w:t>spent on military targets. Finance didn’t make any substantive impact on the economy. Another feature of this period was the narrowness of the financial system</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because it consisted of one link – the budget system: all financial relations were concerned only with the formation and usage of a budget.</w:t>
      </w:r>
    </w:p>
    <w:p w14:paraId="24D8E23D" w14:textId="77777777" w:rsidR="0012324C" w:rsidRPr="00AE1076" w:rsidRDefault="00BE42A0" w:rsidP="0093712A">
      <w:pPr>
        <w:pBdr>
          <w:top w:val="nil"/>
          <w:left w:val="nil"/>
          <w:bottom w:val="nil"/>
          <w:right w:val="nil"/>
          <w:between w:val="nil"/>
          <w:bar w:val="nil"/>
        </w:pBdr>
        <w:spacing w:line="312" w:lineRule="auto"/>
        <w:ind w:firstLine="709"/>
        <w:jc w:val="both"/>
        <w:rPr>
          <w:rFonts w:eastAsia="Garamond"/>
          <w:b/>
          <w:bCs/>
          <w:sz w:val="28"/>
          <w:u w:color="000000"/>
          <w:bdr w:val="nil"/>
          <w:lang w:val="en-US" w:eastAsia="en-US"/>
        </w:rPr>
      </w:pPr>
      <w:r w:rsidRPr="00AE1076">
        <w:rPr>
          <w:rFonts w:eastAsia="Arial Unicode MS" w:cs="Arial Unicode MS"/>
          <w:sz w:val="28"/>
          <w:u w:color="000000"/>
          <w:bdr w:val="nil"/>
          <w:lang w:val="en-US"/>
        </w:rPr>
        <w:t xml:space="preserve">The </w:t>
      </w:r>
      <w:r w:rsidRPr="00AE1076">
        <w:rPr>
          <w:rFonts w:eastAsia="Arial Unicode MS" w:cs="Arial Unicode MS"/>
          <w:b/>
          <w:sz w:val="28"/>
          <w:u w:color="000000"/>
          <w:bdr w:val="nil"/>
          <w:lang w:val="en-US"/>
        </w:rPr>
        <w:t>next phase</w:t>
      </w:r>
      <w:r w:rsidRPr="00AE1076">
        <w:rPr>
          <w:rFonts w:eastAsia="Arial Unicode MS" w:cs="Arial Unicode MS"/>
          <w:sz w:val="28"/>
          <w:u w:color="000000"/>
          <w:bdr w:val="nil"/>
          <w:lang w:val="en-US"/>
        </w:rPr>
        <w:t xml:space="preserve">, which was caused by the development of the state and state institutions, led to the expansion of financial relations. It </w:t>
      </w:r>
      <w:r w:rsidR="00B1459E">
        <w:rPr>
          <w:rFonts w:eastAsia="Arial Unicode MS" w:cs="Arial Unicode MS"/>
          <w:sz w:val="28"/>
          <w:u w:color="000000"/>
          <w:bdr w:val="nil"/>
          <w:lang w:val="en-US"/>
        </w:rPr>
        <w:t xml:space="preserve">was </w:t>
      </w:r>
      <w:r w:rsidRPr="00AE1076">
        <w:rPr>
          <w:rFonts w:eastAsia="Arial Unicode MS" w:cs="Arial Unicode MS"/>
          <w:sz w:val="28"/>
          <w:u w:color="000000"/>
          <w:bdr w:val="nil"/>
          <w:lang w:val="en-US"/>
        </w:rPr>
        <w:t xml:space="preserve">reflected in the formation of the Treasury, development of budgets, </w:t>
      </w:r>
      <w:r w:rsidR="00B1459E">
        <w:rPr>
          <w:rFonts w:eastAsia="Arial Unicode MS" w:cs="Arial Unicode MS"/>
          <w:sz w:val="28"/>
          <w:u w:color="000000"/>
          <w:bdr w:val="nil"/>
          <w:lang w:val="en-US"/>
        </w:rPr>
        <w:t xml:space="preserve">and </w:t>
      </w:r>
      <w:r w:rsidRPr="00AE1076">
        <w:rPr>
          <w:rFonts w:eastAsia="Arial Unicode MS" w:cs="Arial Unicode MS"/>
          <w:sz w:val="28"/>
          <w:u w:color="000000"/>
          <w:bdr w:val="nil"/>
          <w:lang w:val="en-US"/>
        </w:rPr>
        <w:t>the emergence of public credit and government securities. Changes in the system of financial relati</w:t>
      </w:r>
      <w:r w:rsidR="00B1459E">
        <w:rPr>
          <w:rFonts w:eastAsia="Arial Unicode MS" w:cs="Arial Unicode MS"/>
          <w:sz w:val="28"/>
          <w:u w:color="000000"/>
          <w:bdr w:val="nil"/>
          <w:lang w:val="en-US"/>
        </w:rPr>
        <w:t>onships were caused by the fact</w:t>
      </w:r>
      <w:r w:rsidRPr="00AE1076">
        <w:rPr>
          <w:rFonts w:eastAsia="Arial Unicode MS" w:cs="Arial Unicode MS"/>
          <w:sz w:val="28"/>
          <w:u w:color="000000"/>
          <w:bdr w:val="nil"/>
          <w:lang w:val="en-US"/>
        </w:rPr>
        <w:t xml:space="preserve"> that the state needed substantial financial resources to perform its functions – governance, support for defense, regulation of economic proportions, social financing and social protection, international cooperation, and others.</w:t>
      </w:r>
    </w:p>
    <w:p w14:paraId="2F6C0A24"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b/>
          <w:bCs/>
          <w:sz w:val="28"/>
          <w:u w:color="000000"/>
          <w:bdr w:val="nil"/>
          <w:lang w:val="en-US" w:eastAsia="en-US"/>
        </w:rPr>
      </w:pPr>
      <w:r w:rsidRPr="00AE1076">
        <w:rPr>
          <w:rFonts w:eastAsia="Arial Unicode MS" w:cs="Arial Unicode MS"/>
          <w:sz w:val="28"/>
          <w:u w:color="000000"/>
          <w:bdr w:val="nil"/>
          <w:lang w:val="en-US"/>
        </w:rPr>
        <w:t xml:space="preserve">The </w:t>
      </w:r>
      <w:r w:rsidRPr="00AE1076">
        <w:rPr>
          <w:rFonts w:eastAsia="Arial Unicode MS" w:cs="Arial Unicode MS"/>
          <w:b/>
          <w:sz w:val="28"/>
          <w:u w:color="000000"/>
          <w:bdr w:val="nil"/>
          <w:lang w:val="en-US"/>
        </w:rPr>
        <w:t>third phase</w:t>
      </w:r>
      <w:r w:rsidRPr="00AE1076">
        <w:rPr>
          <w:rFonts w:eastAsia="Arial Unicode MS" w:cs="Arial Unicode MS"/>
          <w:sz w:val="28"/>
          <w:u w:color="000000"/>
          <w:bdr w:val="nil"/>
          <w:lang w:val="en-US"/>
        </w:rPr>
        <w:t xml:space="preserve"> of the evolution of finance, which began in the first half of the twentieth century, is characterized by complex increase of the financial system and the emergence of its new units – financial market, the stock market, finance of public enterprises and industries, special and extrabudgetary funds, </w:t>
      </w:r>
      <w:r w:rsidR="00B1459E">
        <w:rPr>
          <w:rFonts w:eastAsia="Arial Unicode MS" w:cs="Arial Unicode MS"/>
          <w:sz w:val="28"/>
          <w:u w:color="000000"/>
          <w:bdr w:val="nil"/>
          <w:lang w:val="en-US"/>
        </w:rPr>
        <w:t xml:space="preserve">and </w:t>
      </w:r>
      <w:r w:rsidRPr="00AE1076">
        <w:rPr>
          <w:rFonts w:eastAsia="Arial Unicode MS" w:cs="Arial Unicode MS"/>
          <w:sz w:val="28"/>
          <w:u w:color="000000"/>
          <w:bdr w:val="nil"/>
          <w:lang w:val="en-US"/>
        </w:rPr>
        <w:t>households</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finance.</w:t>
      </w:r>
    </w:p>
    <w:p w14:paraId="5ECDC198"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The </w:t>
      </w:r>
      <w:r w:rsidRPr="00AE1076">
        <w:rPr>
          <w:rFonts w:eastAsia="Arial Unicode MS" w:cs="Arial Unicode MS"/>
          <w:b/>
          <w:bCs/>
          <w:sz w:val="28"/>
          <w:u w:color="000000"/>
          <w:bdr w:val="nil"/>
          <w:lang w:val="en-US"/>
        </w:rPr>
        <w:t>science of finance</w:t>
      </w:r>
      <w:r w:rsidRPr="00AE1076">
        <w:rPr>
          <w:rFonts w:eastAsia="Arial Unicode MS" w:cs="Arial Unicode MS"/>
          <w:sz w:val="28"/>
          <w:u w:color="000000"/>
          <w:bdr w:val="nil"/>
          <w:lang w:val="en-US"/>
        </w:rPr>
        <w:t xml:space="preserve"> was born out of practice in the XV</w:t>
      </w:r>
      <w:r w:rsidR="00B1459E"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XVI centuries, later than other social and pol</w:t>
      </w:r>
      <w:r w:rsidR="00B1459E">
        <w:rPr>
          <w:rFonts w:eastAsia="Arial Unicode MS" w:cs="Arial Unicode MS"/>
          <w:sz w:val="28"/>
          <w:u w:color="000000"/>
          <w:bdr w:val="nil"/>
          <w:lang w:val="en-US"/>
        </w:rPr>
        <w:t>itical sciences. It is believed</w:t>
      </w:r>
      <w:r w:rsidRPr="00AE1076">
        <w:rPr>
          <w:rFonts w:eastAsia="Arial Unicode MS" w:cs="Arial Unicode MS"/>
          <w:sz w:val="28"/>
          <w:u w:color="000000"/>
          <w:bdr w:val="nil"/>
          <w:lang w:val="en-US"/>
        </w:rPr>
        <w:t xml:space="preserve"> that financial theory emerged simultaneously with the political economy in the cities of northern Italy, including Florence, Genoa</w:t>
      </w:r>
      <w:r w:rsidR="00B1459E">
        <w:rPr>
          <w:rFonts w:eastAsia="Arial Unicode MS" w:cs="Arial Unicode MS"/>
          <w:sz w:val="28"/>
          <w:u w:color="000000"/>
          <w:bdr w:val="nil"/>
          <w:lang w:val="en-US"/>
        </w:rPr>
        <w:t xml:space="preserve"> and</w:t>
      </w:r>
      <w:r w:rsidRPr="00AE1076">
        <w:rPr>
          <w:rFonts w:eastAsia="Arial Unicode MS" w:cs="Arial Unicode MS"/>
          <w:sz w:val="28"/>
          <w:u w:color="000000"/>
          <w:bdr w:val="nil"/>
          <w:lang w:val="en-US"/>
        </w:rPr>
        <w:t xml:space="preserve"> Venice, which</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in those days</w:t>
      </w:r>
      <w:r w:rsidR="00B1459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experienced economic growth and cultural development. The appearance of financial concept was a response </w:t>
      </w:r>
      <w:r w:rsidRPr="00AE1076">
        <w:rPr>
          <w:rFonts w:eastAsia="Arial Unicode MS" w:cs="Arial Unicode MS"/>
          <w:sz w:val="28"/>
          <w:u w:color="000000"/>
          <w:bdr w:val="nil"/>
          <w:lang w:val="en-US"/>
        </w:rPr>
        <w:lastRenderedPageBreak/>
        <w:t>to economic, political and social processes (changes in the state system associated with the emergence of large absolute monarchies and standing large armies).</w:t>
      </w:r>
    </w:p>
    <w:p w14:paraId="1688DF1B"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b/>
          <w:bCs/>
          <w:sz w:val="28"/>
          <w:u w:color="000000"/>
          <w:bdr w:val="nil"/>
          <w:lang w:val="en-US"/>
        </w:rPr>
        <w:t xml:space="preserve">Formation and development of financial science </w:t>
      </w:r>
      <w:r w:rsidRPr="00AE1076">
        <w:rPr>
          <w:rFonts w:eastAsia="Arial Unicode MS" w:cs="Arial Unicode MS"/>
          <w:bCs/>
          <w:sz w:val="28"/>
          <w:u w:color="000000"/>
          <w:bdr w:val="nil"/>
          <w:lang w:val="en-US"/>
        </w:rPr>
        <w:t>are characterized by</w:t>
      </w:r>
      <w:r w:rsidRPr="00AE1076">
        <w:rPr>
          <w:rFonts w:eastAsia="Arial Unicode MS" w:cs="Arial Unicode MS"/>
          <w:b/>
          <w:bCs/>
          <w:sz w:val="28"/>
          <w:u w:color="000000"/>
          <w:bdr w:val="nil"/>
          <w:lang w:val="en-US"/>
        </w:rPr>
        <w:t xml:space="preserve"> two stages:</w:t>
      </w:r>
      <w:r w:rsidR="004E4C2B" w:rsidRPr="00AE1076">
        <w:rPr>
          <w:rFonts w:eastAsia="Arial Unicode MS" w:cs="Arial Unicode MS"/>
          <w:b/>
          <w:bCs/>
          <w:sz w:val="28"/>
          <w:u w:color="000000"/>
          <w:bdr w:val="nil"/>
          <w:lang w:val="en-US"/>
        </w:rPr>
        <w:t xml:space="preserve"> </w:t>
      </w:r>
      <w:r w:rsidR="004E4C2B" w:rsidRPr="00AE1076">
        <w:rPr>
          <w:rFonts w:eastAsia="Arial Unicode MS" w:cs="Arial Unicode MS"/>
          <w:bCs/>
          <w:sz w:val="28"/>
          <w:u w:color="000000"/>
          <w:bdr w:val="nil"/>
          <w:lang w:val="en-US"/>
        </w:rPr>
        <w:t>(i)</w:t>
      </w:r>
      <w:r w:rsidR="004E4C2B" w:rsidRPr="00AE1076">
        <w:rPr>
          <w:rFonts w:eastAsia="Arial Unicode MS" w:cs="Arial Unicode MS"/>
          <w:sz w:val="28"/>
          <w:u w:color="000000"/>
          <w:bdr w:val="nil"/>
          <w:lang w:val="en-US"/>
        </w:rPr>
        <w:t xml:space="preserve"> c</w:t>
      </w:r>
      <w:r w:rsidRPr="00AE1076">
        <w:rPr>
          <w:rFonts w:eastAsia="Arial Unicode MS" w:cs="Arial Unicode MS"/>
          <w:bCs/>
          <w:sz w:val="28"/>
          <w:u w:color="000000"/>
          <w:bdr w:val="nil"/>
          <w:lang w:val="en-US"/>
        </w:rPr>
        <w:t>lassical</w:t>
      </w:r>
      <w:r w:rsidRPr="00AE1076">
        <w:rPr>
          <w:rFonts w:eastAsia="Arial Unicode MS" w:cs="Arial Unicode MS"/>
          <w:sz w:val="28"/>
          <w:u w:color="000000"/>
          <w:bdr w:val="nil"/>
          <w:lang w:val="en-US"/>
        </w:rPr>
        <w:t xml:space="preserve"> – began in Roman times and ended in the mid-twentieth century</w:t>
      </w:r>
      <w:r w:rsidR="008C2F31">
        <w:rPr>
          <w:rFonts w:eastAsia="Arial Unicode MS" w:cs="Arial Unicode MS"/>
          <w:sz w:val="28"/>
          <w:u w:color="000000"/>
          <w:bdr w:val="nil"/>
          <w:lang w:val="en-US"/>
        </w:rPr>
        <w:t xml:space="preserve"> and was</w:t>
      </w:r>
      <w:r w:rsidRPr="00AE1076">
        <w:rPr>
          <w:rFonts w:eastAsia="Arial Unicode MS" w:cs="Arial Unicode MS"/>
          <w:sz w:val="28"/>
          <w:u w:color="000000"/>
          <w:bdr w:val="nil"/>
          <w:lang w:val="en-US"/>
        </w:rPr>
        <w:t xml:space="preserve"> characterized by the dominance of finance of the state;</w:t>
      </w:r>
      <w:r w:rsidR="004E4C2B" w:rsidRPr="00AE1076">
        <w:rPr>
          <w:rFonts w:eastAsia="Arial Unicode MS" w:cs="Arial Unicode MS"/>
          <w:sz w:val="28"/>
          <w:u w:color="000000"/>
          <w:bdr w:val="nil"/>
          <w:lang w:val="en-US"/>
        </w:rPr>
        <w:t xml:space="preserve"> (ii) </w:t>
      </w:r>
      <w:r w:rsidRPr="00AE1076">
        <w:rPr>
          <w:rFonts w:eastAsia="Arial Unicode MS" w:cs="Arial Unicode MS"/>
          <w:bCs/>
          <w:sz w:val="28"/>
          <w:u w:color="000000"/>
          <w:bdr w:val="nil"/>
          <w:lang w:val="en-US"/>
        </w:rPr>
        <w:t>neoclassical</w:t>
      </w:r>
      <w:r w:rsidRPr="00AE1076">
        <w:rPr>
          <w:rFonts w:eastAsia="Arial Unicode MS" w:cs="Arial Unicode MS"/>
          <w:sz w:val="28"/>
          <w:u w:color="000000"/>
          <w:bdr w:val="nil"/>
          <w:lang w:val="en-US"/>
        </w:rPr>
        <w:t xml:space="preserve"> –</w:t>
      </w:r>
      <w:r w:rsidR="008C2F31">
        <w:rPr>
          <w:rFonts w:eastAsia="Arial Unicode MS" w:cs="Arial Unicode MS"/>
          <w:sz w:val="28"/>
          <w:u w:color="000000"/>
          <w:bdr w:val="nil"/>
          <w:lang w:val="en-US"/>
        </w:rPr>
        <w:t xml:space="preserve"> it</w:t>
      </w:r>
      <w:r w:rsidRPr="00AE1076">
        <w:rPr>
          <w:rFonts w:eastAsia="Arial Unicode MS" w:cs="Arial Unicode MS"/>
          <w:sz w:val="28"/>
          <w:u w:color="000000"/>
          <w:bdr w:val="nil"/>
          <w:lang w:val="en-US"/>
        </w:rPr>
        <w:t xml:space="preserve"> is characterized by the dominance of finance of the private sector, particularly large companies</w:t>
      </w:r>
      <w:r w:rsidR="008C2F31">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and capital markets.</w:t>
      </w:r>
    </w:p>
    <w:p w14:paraId="1BE3BE17" w14:textId="77777777" w:rsidR="004E4C2B" w:rsidRPr="00AE1076" w:rsidRDefault="00BE42A0" w:rsidP="0093712A">
      <w:pPr>
        <w:pBdr>
          <w:top w:val="nil"/>
          <w:left w:val="nil"/>
          <w:bottom w:val="nil"/>
          <w:right w:val="nil"/>
          <w:between w:val="nil"/>
          <w:bar w:val="nil"/>
        </w:pBdr>
        <w:spacing w:line="312" w:lineRule="auto"/>
        <w:ind w:firstLine="709"/>
        <w:jc w:val="both"/>
        <w:rPr>
          <w:rFonts w:eastAsia="Arial Unicode MS" w:cs="Arial Unicode MS"/>
          <w:sz w:val="28"/>
          <w:u w:color="000000"/>
          <w:bdr w:val="nil"/>
          <w:lang w:val="en-US"/>
        </w:rPr>
      </w:pPr>
      <w:r w:rsidRPr="00FE0736">
        <w:rPr>
          <w:rFonts w:eastAsia="Arial Unicode MS" w:cs="Arial Unicode MS"/>
          <w:color w:val="auto"/>
          <w:sz w:val="28"/>
          <w:u w:color="000000"/>
          <w:bdr w:val="nil"/>
          <w:lang w:val="en-US"/>
        </w:rPr>
        <w:t>The becoming of classical financial science began at the end of the XV century, thanks to scientific works of the great scientists of that time</w:t>
      </w:r>
      <w:r w:rsidR="004E4C2B" w:rsidRPr="00FE0736">
        <w:rPr>
          <w:rFonts w:eastAsia="Arial Unicode MS" w:cs="Arial Unicode MS"/>
          <w:color w:val="auto"/>
          <w:sz w:val="28"/>
          <w:u w:color="000000"/>
          <w:bdr w:val="nil"/>
          <w:lang w:val="en-US"/>
        </w:rPr>
        <w:t xml:space="preserve"> </w:t>
      </w:r>
      <w:r w:rsidRPr="00AE1076">
        <w:rPr>
          <w:rFonts w:eastAsia="Arial Unicode MS" w:cs="Arial Unicode MS"/>
          <w:b/>
          <w:bCs/>
          <w:sz w:val="28"/>
          <w:u w:color="000000"/>
          <w:bdr w:val="nil"/>
          <w:lang w:val="en-US"/>
        </w:rPr>
        <w:t>J. Locke</w:t>
      </w:r>
      <w:r w:rsidRPr="00AE1076">
        <w:rPr>
          <w:rFonts w:eastAsia="Arial Unicode MS" w:cs="Arial Unicode MS"/>
          <w:sz w:val="28"/>
          <w:u w:color="000000"/>
          <w:bdr w:val="nil"/>
          <w:lang w:val="en-US"/>
        </w:rPr>
        <w:t xml:space="preserve"> (1632</w:t>
      </w:r>
      <w:r w:rsidR="008C2F31"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1704)</w:t>
      </w:r>
      <w:r w:rsidR="008C2F31">
        <w:rPr>
          <w:rFonts w:eastAsia="Arial Unicode MS" w:cs="Arial Unicode MS"/>
          <w:sz w:val="28"/>
          <w:u w:color="000000"/>
          <w:bdr w:val="nil"/>
          <w:lang w:val="en-US"/>
        </w:rPr>
        <w:t xml:space="preserve"> and</w:t>
      </w:r>
      <w:r w:rsidRPr="00AE1076">
        <w:rPr>
          <w:rFonts w:eastAsia="Arial Unicode MS" w:cs="Arial Unicode MS"/>
          <w:sz w:val="28"/>
          <w:u w:color="000000"/>
          <w:bdr w:val="nil"/>
          <w:lang w:val="en-US"/>
        </w:rPr>
        <w:t xml:space="preserve"> </w:t>
      </w:r>
      <w:r w:rsidRPr="00AE1076">
        <w:rPr>
          <w:rFonts w:eastAsia="Arial Unicode MS" w:cs="Arial Unicode MS"/>
          <w:b/>
          <w:bCs/>
          <w:sz w:val="28"/>
          <w:u w:color="000000"/>
          <w:bdr w:val="nil"/>
          <w:lang w:val="en-US"/>
        </w:rPr>
        <w:t>T. Hobbes</w:t>
      </w:r>
      <w:r w:rsidRPr="00AE1076">
        <w:rPr>
          <w:rFonts w:eastAsia="Arial Unicode MS" w:cs="Arial Unicode MS"/>
          <w:sz w:val="28"/>
          <w:u w:color="000000"/>
          <w:bdr w:val="nil"/>
          <w:lang w:val="en-US"/>
        </w:rPr>
        <w:t xml:space="preserve"> (1588</w:t>
      </w:r>
      <w:r w:rsidR="008C2F31"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1679). Major </w:t>
      </w:r>
      <w:r w:rsidR="008C2F31">
        <w:rPr>
          <w:rFonts w:eastAsia="Arial Unicode MS" w:cs="Arial Unicode MS"/>
          <w:sz w:val="28"/>
          <w:u w:color="000000"/>
          <w:bdr w:val="nil"/>
          <w:lang w:val="en-US"/>
        </w:rPr>
        <w:t xml:space="preserve">their </w:t>
      </w:r>
      <w:r w:rsidRPr="00AE1076">
        <w:rPr>
          <w:rFonts w:eastAsia="Arial Unicode MS" w:cs="Arial Unicode MS"/>
          <w:sz w:val="28"/>
          <w:u w:color="000000"/>
          <w:bdr w:val="nil"/>
          <w:lang w:val="en-US"/>
        </w:rPr>
        <w:t>works are devoted to the tax problems. They believed that the governor ha</w:t>
      </w:r>
      <w:r w:rsidR="008C2F31">
        <w:rPr>
          <w:rFonts w:eastAsia="Arial Unicode MS" w:cs="Arial Unicode MS"/>
          <w:sz w:val="28"/>
          <w:u w:color="000000"/>
          <w:bdr w:val="nil"/>
          <w:lang w:val="en-US"/>
        </w:rPr>
        <w:t>d</w:t>
      </w:r>
      <w:r w:rsidRPr="00AE1076">
        <w:rPr>
          <w:rFonts w:eastAsia="Arial Unicode MS" w:cs="Arial Unicode MS"/>
          <w:sz w:val="28"/>
          <w:u w:color="000000"/>
          <w:bdr w:val="nil"/>
          <w:lang w:val="en-US"/>
        </w:rPr>
        <w:t xml:space="preserve"> the absolute right to levy taxes on his subjects</w:t>
      </w:r>
      <w:r w:rsidR="008C2F31">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maintaining uniformity and moderation, </w:t>
      </w:r>
      <w:r w:rsidR="008C2F31">
        <w:rPr>
          <w:rFonts w:eastAsia="Arial Unicode MS" w:cs="Arial Unicode MS"/>
          <w:sz w:val="28"/>
          <w:u w:color="000000"/>
          <w:bdr w:val="nil"/>
          <w:lang w:val="en-US"/>
        </w:rPr>
        <w:t xml:space="preserve">and </w:t>
      </w:r>
      <w:r w:rsidRPr="00AE1076">
        <w:rPr>
          <w:rFonts w:eastAsia="Arial Unicode MS" w:cs="Arial Unicode MS"/>
          <w:sz w:val="28"/>
          <w:u w:color="000000"/>
          <w:bdr w:val="nil"/>
          <w:lang w:val="en-US"/>
        </w:rPr>
        <w:t>giving preference to the domin</w:t>
      </w:r>
      <w:r w:rsidR="004E4C2B" w:rsidRPr="00AE1076">
        <w:rPr>
          <w:rFonts w:eastAsia="Arial Unicode MS" w:cs="Arial Unicode MS"/>
          <w:sz w:val="28"/>
          <w:u w:color="000000"/>
          <w:bdr w:val="nil"/>
          <w:lang w:val="en-US"/>
        </w:rPr>
        <w:t xml:space="preserve">ance of direct taxes (land tax). </w:t>
      </w:r>
      <w:r w:rsidRPr="00AE1076">
        <w:rPr>
          <w:rFonts w:eastAsia="Arial Unicode MS" w:cs="Arial Unicode MS"/>
          <w:sz w:val="28"/>
          <w:u w:color="000000"/>
          <w:bdr w:val="nil"/>
          <w:lang w:val="en-US"/>
        </w:rPr>
        <w:t xml:space="preserve">English economist and statistician </w:t>
      </w:r>
      <w:r w:rsidRPr="00AE1076">
        <w:rPr>
          <w:rFonts w:eastAsia="Arial Unicode MS" w:cs="Arial Unicode MS"/>
          <w:b/>
          <w:bCs/>
          <w:sz w:val="28"/>
          <w:u w:color="000000"/>
          <w:bdr w:val="nil"/>
          <w:lang w:val="en-US"/>
        </w:rPr>
        <w:t>W. Petty</w:t>
      </w:r>
      <w:r w:rsidRPr="00AE1076">
        <w:rPr>
          <w:rFonts w:eastAsia="Arial Unicode MS" w:cs="Arial Unicode MS"/>
          <w:sz w:val="28"/>
          <w:u w:color="000000"/>
          <w:bdr w:val="nil"/>
          <w:lang w:val="en-US"/>
        </w:rPr>
        <w:t xml:space="preserve"> (1623</w:t>
      </w:r>
      <w:r w:rsidR="008C2F31" w:rsidRPr="008C2F31">
        <w:rPr>
          <w:rFonts w:eastAsia="Arial Unicode MS" w:cs="Arial Unicode MS"/>
          <w:sz w:val="28"/>
          <w:u w:color="000000"/>
          <w:bdr w:val="nil"/>
          <w:lang w:val="en-US"/>
        </w:rPr>
        <w:t>–</w:t>
      </w:r>
      <w:r w:rsidRPr="00AE1076">
        <w:rPr>
          <w:rFonts w:eastAsia="Arial Unicode MS" w:cs="Arial Unicode MS"/>
          <w:sz w:val="28"/>
          <w:u w:color="000000"/>
          <w:bdr w:val="nil"/>
          <w:lang w:val="en-US"/>
        </w:rPr>
        <w:t>1687), in his work “Treatise of taxes and contributions”, first gave a scientific interpretation of the state wealth, the value of money in the economy</w:t>
      </w:r>
      <w:r w:rsidR="008C2F31">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and how to use them; the price of things, which </w:t>
      </w:r>
      <w:r w:rsidR="008C2F31">
        <w:rPr>
          <w:rFonts w:eastAsia="Arial Unicode MS" w:cs="Arial Unicode MS"/>
          <w:sz w:val="28"/>
          <w:u w:color="000000"/>
          <w:bdr w:val="nil"/>
          <w:lang w:val="en-US"/>
        </w:rPr>
        <w:t>was</w:t>
      </w:r>
      <w:r w:rsidRPr="00AE1076">
        <w:rPr>
          <w:rFonts w:eastAsia="Arial Unicode MS" w:cs="Arial Unicode MS"/>
          <w:sz w:val="28"/>
          <w:u w:color="000000"/>
          <w:bdr w:val="nil"/>
          <w:lang w:val="en-US"/>
        </w:rPr>
        <w:t xml:space="preserve"> determined by the amount of </w:t>
      </w:r>
      <w:r w:rsidR="008C2F31">
        <w:rPr>
          <w:rFonts w:eastAsia="Arial Unicode MS" w:cs="Arial Unicode MS"/>
          <w:sz w:val="28"/>
          <w:u w:color="000000"/>
          <w:bdr w:val="nil"/>
          <w:lang w:val="en-US"/>
        </w:rPr>
        <w:t>time they</w:t>
      </w:r>
      <w:r w:rsidR="004E4C2B" w:rsidRPr="00AE1076">
        <w:rPr>
          <w:rFonts w:eastAsia="Arial Unicode MS" w:cs="Arial Unicode MS"/>
          <w:sz w:val="28"/>
          <w:u w:color="000000"/>
          <w:bdr w:val="nil"/>
          <w:lang w:val="en-US"/>
        </w:rPr>
        <w:t xml:space="preserve"> spent on their production.</w:t>
      </w:r>
    </w:p>
    <w:p w14:paraId="0B004370" w14:textId="77777777" w:rsidR="004E4C2B"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German scientist </w:t>
      </w:r>
      <w:r w:rsidRPr="00AE1076">
        <w:rPr>
          <w:rFonts w:eastAsia="Arial Unicode MS" w:cs="Arial Unicode MS"/>
          <w:b/>
          <w:bCs/>
          <w:sz w:val="28"/>
          <w:u w:color="000000"/>
          <w:bdr w:val="nil"/>
          <w:lang w:val="en-US"/>
        </w:rPr>
        <w:t xml:space="preserve">J. Justi </w:t>
      </w:r>
      <w:r w:rsidRPr="00AE1076">
        <w:rPr>
          <w:rFonts w:eastAsia="Arial Unicode MS" w:cs="Arial Unicode MS"/>
          <w:sz w:val="28"/>
          <w:u w:color="000000"/>
          <w:bdr w:val="nil"/>
          <w:lang w:val="en-US"/>
        </w:rPr>
        <w:t>(1717</w:t>
      </w:r>
      <w:r w:rsidR="002A045E"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1771) was the first who laid out the basic principles of financial science. He formed a common system of financial science by </w:t>
      </w:r>
      <w:r w:rsidR="008C2F31" w:rsidRPr="00AE1076">
        <w:rPr>
          <w:rFonts w:eastAsia="Arial Unicode MS" w:cs="Arial Unicode MS"/>
          <w:sz w:val="28"/>
          <w:u w:color="000000"/>
          <w:bdr w:val="nil"/>
          <w:lang w:val="en-US"/>
        </w:rPr>
        <w:t>systemizing</w:t>
      </w:r>
      <w:r w:rsidRPr="00AE1076">
        <w:rPr>
          <w:rFonts w:eastAsia="Arial Unicode MS" w:cs="Arial Unicode MS"/>
          <w:sz w:val="28"/>
          <w:u w:color="000000"/>
          <w:bdr w:val="nil"/>
          <w:lang w:val="en-US"/>
        </w:rPr>
        <w:t xml:space="preserve"> </w:t>
      </w:r>
      <w:r w:rsidR="008C2F31">
        <w:rPr>
          <w:rFonts w:eastAsia="Arial Unicode MS" w:cs="Arial Unicode MS"/>
          <w:sz w:val="28"/>
          <w:u w:color="000000"/>
          <w:bdr w:val="nil"/>
          <w:lang w:val="en-US"/>
        </w:rPr>
        <w:t xml:space="preserve">the </w:t>
      </w:r>
      <w:r w:rsidRPr="00AE1076">
        <w:rPr>
          <w:rFonts w:eastAsia="Arial Unicode MS" w:cs="Arial Unicode MS"/>
          <w:sz w:val="28"/>
          <w:u w:color="000000"/>
          <w:bdr w:val="nil"/>
          <w:lang w:val="en-US"/>
        </w:rPr>
        <w:t>existing financial theories. He proposed rules for the development of tax policy: taxes should not interfere with the freedom of individuals and harm the industry; they must be uniform and fair while costs and revenues must meet to benefit the country and its citizens. I</w:t>
      </w:r>
      <w:r w:rsidR="008C2F31">
        <w:rPr>
          <w:rFonts w:eastAsia="Arial Unicode MS" w:cs="Arial Unicode MS"/>
          <w:sz w:val="28"/>
          <w:u w:color="000000"/>
          <w:bdr w:val="nil"/>
          <w:lang w:val="en-US"/>
        </w:rPr>
        <w:t>t would be in place here to add</w:t>
      </w:r>
      <w:r w:rsidRPr="00AE1076">
        <w:rPr>
          <w:rFonts w:eastAsia="Arial Unicode MS" w:cs="Arial Unicode MS"/>
          <w:sz w:val="28"/>
          <w:u w:color="000000"/>
          <w:bdr w:val="nil"/>
          <w:lang w:val="en-US"/>
        </w:rPr>
        <w:t xml:space="preserve"> that the scientist mentioned not only fiscal function of tax but also regulatory function. In particular, he saw a special benefit from tax – raising or lowering their sizes, the state government can direct the economy into the desired direction.</w:t>
      </w:r>
      <w:r w:rsidR="004E4C2B" w:rsidRPr="00AE1076">
        <w:rPr>
          <w:rFonts w:eastAsia="Arial Unicode MS" w:cs="Arial Unicode MS"/>
          <w:sz w:val="28"/>
          <w:u w:color="000000"/>
          <w:bdr w:val="nil"/>
          <w:lang w:val="en-US"/>
        </w:rPr>
        <w:t xml:space="preserve"> </w:t>
      </w:r>
      <w:r w:rsidRPr="00AE1076">
        <w:rPr>
          <w:rFonts w:eastAsia="Arial Unicode MS" w:cs="Arial Unicode MS"/>
          <w:sz w:val="28"/>
          <w:u w:color="000000"/>
          <w:bdr w:val="nil"/>
          <w:lang w:val="en-US"/>
        </w:rPr>
        <w:t xml:space="preserve">Austrian economist </w:t>
      </w:r>
      <w:r w:rsidRPr="00AE1076">
        <w:rPr>
          <w:rFonts w:eastAsia="Arial Unicode MS" w:cs="Arial Unicode MS"/>
          <w:b/>
          <w:bCs/>
          <w:sz w:val="28"/>
          <w:u w:color="000000"/>
          <w:bdr w:val="nil"/>
          <w:lang w:val="en-US"/>
        </w:rPr>
        <w:t>J. Sonnenfels</w:t>
      </w:r>
      <w:r w:rsidRPr="00AE1076">
        <w:rPr>
          <w:rFonts w:eastAsia="Arial Unicode MS" w:cs="Arial Unicode MS"/>
          <w:sz w:val="28"/>
          <w:u w:color="000000"/>
          <w:bdr w:val="nil"/>
          <w:lang w:val="en-US"/>
        </w:rPr>
        <w:t xml:space="preserve"> (1733</w:t>
      </w:r>
      <w:r w:rsidR="008C2F31"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1817), in his work “The main principles of the police, commerce, and finance” defined finance as a set of rules for the collection of state revenue in the most profitable way. He </w:t>
      </w:r>
      <w:r w:rsidR="008C2F31" w:rsidRPr="00AE1076">
        <w:rPr>
          <w:rFonts w:eastAsia="Arial Unicode MS" w:cs="Arial Unicode MS"/>
          <w:sz w:val="28"/>
          <w:u w:color="000000"/>
          <w:bdr w:val="nil"/>
          <w:lang w:val="en-US"/>
        </w:rPr>
        <w:t xml:space="preserve">studied </w:t>
      </w:r>
      <w:r w:rsidR="008C2F31">
        <w:rPr>
          <w:rFonts w:eastAsia="Arial Unicode MS" w:cs="Arial Unicode MS"/>
          <w:sz w:val="28"/>
          <w:u w:color="000000"/>
          <w:bdr w:val="nil"/>
          <w:lang w:val="en-US"/>
        </w:rPr>
        <w:t xml:space="preserve">in </w:t>
      </w:r>
      <w:r w:rsidRPr="00AE1076">
        <w:rPr>
          <w:rFonts w:eastAsia="Arial Unicode MS" w:cs="Arial Unicode MS"/>
          <w:sz w:val="28"/>
          <w:u w:color="000000"/>
          <w:bdr w:val="nil"/>
          <w:lang w:val="en-US"/>
        </w:rPr>
        <w:t>details the historical transition from natural duties to taxes in the form of money. The basis of the tax system must be formed by consumption taxes</w:t>
      </w:r>
      <w:r w:rsidR="008C2F31">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because such payments return back to workers, merchants</w:t>
      </w:r>
      <w:r w:rsidR="008C2F31">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and officials in the form of premium prices for their services. He introduced into scientific usage the term «portio sacra», part of revenue, which is not a subjec</w:t>
      </w:r>
      <w:r w:rsidR="004E4C2B" w:rsidRPr="00AE1076">
        <w:rPr>
          <w:rFonts w:eastAsia="Arial Unicode MS" w:cs="Arial Unicode MS"/>
          <w:sz w:val="28"/>
          <w:u w:color="000000"/>
          <w:bdr w:val="nil"/>
          <w:lang w:val="en-US"/>
        </w:rPr>
        <w:t>t of taxation (exemption limit).</w:t>
      </w:r>
    </w:p>
    <w:p w14:paraId="2427D351" w14:textId="77777777" w:rsidR="004E4C2B" w:rsidRPr="00AE1076" w:rsidRDefault="008C2F31"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Pr>
          <w:rFonts w:eastAsia="Garamond"/>
          <w:sz w:val="28"/>
          <w:u w:color="000000"/>
          <w:bdr w:val="nil"/>
          <w:lang w:val="en-US"/>
        </w:rPr>
        <w:lastRenderedPageBreak/>
        <w:t>The f</w:t>
      </w:r>
      <w:r w:rsidR="00BE42A0" w:rsidRPr="00AE1076">
        <w:rPr>
          <w:rFonts w:eastAsia="Arial Unicode MS" w:cs="Arial Unicode MS"/>
          <w:sz w:val="28"/>
          <w:u w:color="000000"/>
          <w:bdr w:val="nil"/>
          <w:lang w:val="en-US"/>
        </w:rPr>
        <w:t xml:space="preserve">ounder of the Physiocrats’ school </w:t>
      </w:r>
      <w:r w:rsidR="00BE42A0" w:rsidRPr="00AE1076">
        <w:rPr>
          <w:rFonts w:eastAsia="Arial Unicode MS" w:cs="Arial Unicode MS"/>
          <w:b/>
          <w:bCs/>
          <w:sz w:val="28"/>
          <w:u w:color="000000"/>
          <w:bdr w:val="nil"/>
          <w:lang w:val="en-US"/>
        </w:rPr>
        <w:t>F. Quesnay</w:t>
      </w:r>
      <w:r w:rsidR="00BE42A0" w:rsidRPr="00AE1076">
        <w:rPr>
          <w:rFonts w:eastAsia="Arial Unicode MS" w:cs="Arial Unicode MS"/>
          <w:sz w:val="28"/>
          <w:u w:color="000000"/>
          <w:bdr w:val="nil"/>
          <w:lang w:val="en-US"/>
        </w:rPr>
        <w:t xml:space="preserve"> (1694</w:t>
      </w:r>
      <w:r w:rsidRPr="00AE1076">
        <w:rPr>
          <w:rFonts w:eastAsia="Arial Unicode MS" w:cs="Arial Unicode MS"/>
          <w:sz w:val="28"/>
          <w:u w:color="000000"/>
          <w:bdr w:val="nil"/>
          <w:lang w:val="en-US"/>
        </w:rPr>
        <w:t>–</w:t>
      </w:r>
      <w:r w:rsidR="00BE42A0" w:rsidRPr="00AE1076">
        <w:rPr>
          <w:rFonts w:eastAsia="Arial Unicode MS" w:cs="Arial Unicode MS"/>
          <w:sz w:val="28"/>
          <w:u w:color="000000"/>
          <w:bdr w:val="nil"/>
          <w:lang w:val="en-US"/>
        </w:rPr>
        <w:t>1774</w:t>
      </w:r>
      <w:r w:rsidR="004E4C2B" w:rsidRPr="00AE1076">
        <w:rPr>
          <w:rFonts w:eastAsia="Arial Unicode MS" w:cs="Arial Unicode MS"/>
          <w:sz w:val="28"/>
          <w:u w:color="000000"/>
          <w:bdr w:val="nil"/>
          <w:lang w:val="en-US"/>
        </w:rPr>
        <w:t>)</w:t>
      </w:r>
      <w:r w:rsidR="00BE42A0" w:rsidRPr="00AE1076">
        <w:rPr>
          <w:rFonts w:eastAsia="Arial Unicode MS" w:cs="Arial Unicode MS"/>
          <w:sz w:val="28"/>
          <w:u w:color="000000"/>
          <w:bdr w:val="nil"/>
          <w:lang w:val="en-US"/>
        </w:rPr>
        <w:t xml:space="preserve"> </w:t>
      </w:r>
      <w:r>
        <w:rPr>
          <w:rFonts w:eastAsia="Arial Unicode MS" w:cs="Arial Unicode MS"/>
          <w:sz w:val="28"/>
          <w:u w:color="000000"/>
          <w:bdr w:val="nil"/>
          <w:lang w:val="en-US"/>
        </w:rPr>
        <w:t xml:space="preserve">had </w:t>
      </w:r>
      <w:r w:rsidR="00BE42A0" w:rsidRPr="00AE1076">
        <w:rPr>
          <w:rFonts w:eastAsia="Arial Unicode MS" w:cs="Arial Unicode MS"/>
          <w:sz w:val="28"/>
          <w:u w:color="000000"/>
          <w:bdr w:val="nil"/>
          <w:lang w:val="en-US"/>
        </w:rPr>
        <w:t>designed the famous economic table that display</w:t>
      </w:r>
      <w:r>
        <w:rPr>
          <w:rFonts w:eastAsia="Arial Unicode MS" w:cs="Arial Unicode MS"/>
          <w:sz w:val="28"/>
          <w:u w:color="000000"/>
          <w:bdr w:val="nil"/>
          <w:lang w:val="en-US"/>
        </w:rPr>
        <w:t>ed</w:t>
      </w:r>
      <w:r w:rsidR="00BE42A0" w:rsidRPr="00AE1076">
        <w:rPr>
          <w:rFonts w:eastAsia="Arial Unicode MS" w:cs="Arial Unicode MS"/>
          <w:sz w:val="28"/>
          <w:u w:color="000000"/>
          <w:bdr w:val="nil"/>
          <w:lang w:val="en-US"/>
        </w:rPr>
        <w:t xml:space="preserve"> social process of reproduction, circulation, distribution, and consumption of products as a whole, which operate</w:t>
      </w:r>
      <w:r>
        <w:rPr>
          <w:rFonts w:eastAsia="Arial Unicode MS" w:cs="Arial Unicode MS"/>
          <w:sz w:val="28"/>
          <w:u w:color="000000"/>
          <w:bdr w:val="nil"/>
          <w:lang w:val="en-US"/>
        </w:rPr>
        <w:t>d</w:t>
      </w:r>
      <w:r w:rsidR="00BE42A0" w:rsidRPr="00AE1076">
        <w:rPr>
          <w:rFonts w:eastAsia="Arial Unicode MS" w:cs="Arial Unicode MS"/>
          <w:sz w:val="28"/>
          <w:u w:color="000000"/>
          <w:bdr w:val="nil"/>
          <w:lang w:val="en-US"/>
        </w:rPr>
        <w:t xml:space="preserve"> thr</w:t>
      </w:r>
      <w:r w:rsidR="004E4C2B" w:rsidRPr="00AE1076">
        <w:rPr>
          <w:rFonts w:eastAsia="Arial Unicode MS" w:cs="Arial Unicode MS"/>
          <w:sz w:val="28"/>
          <w:u w:color="000000"/>
          <w:bdr w:val="nil"/>
          <w:lang w:val="en-US"/>
        </w:rPr>
        <w:t xml:space="preserve">ough the circulation of capital. </w:t>
      </w:r>
      <w:r>
        <w:rPr>
          <w:rFonts w:eastAsia="Arial Unicode MS" w:cs="Arial Unicode MS"/>
          <w:sz w:val="28"/>
          <w:u w:color="000000"/>
          <w:bdr w:val="nil"/>
          <w:lang w:val="en-US"/>
        </w:rPr>
        <w:t>The f</w:t>
      </w:r>
      <w:r w:rsidR="004E4C2B" w:rsidRPr="00AE1076">
        <w:rPr>
          <w:rFonts w:eastAsia="Arial Unicode MS" w:cs="Arial Unicode MS"/>
          <w:sz w:val="28"/>
          <w:u w:color="000000"/>
          <w:bdr w:val="nil"/>
          <w:lang w:val="en-US"/>
        </w:rPr>
        <w:t>o</w:t>
      </w:r>
      <w:r w:rsidR="00BE42A0" w:rsidRPr="00AE1076">
        <w:rPr>
          <w:rFonts w:eastAsia="Arial Unicode MS" w:cs="Arial Unicode MS"/>
          <w:sz w:val="28"/>
          <w:u w:color="000000"/>
          <w:bdr w:val="nil"/>
          <w:lang w:val="en-US"/>
        </w:rPr>
        <w:t>under of the classi</w:t>
      </w:r>
      <w:r>
        <w:rPr>
          <w:rFonts w:eastAsia="Arial Unicode MS" w:cs="Arial Unicode MS"/>
          <w:sz w:val="28"/>
          <w:u w:color="000000"/>
          <w:bdr w:val="nil"/>
          <w:lang w:val="en-US"/>
        </w:rPr>
        <w:t>cal school of political economy</w:t>
      </w:r>
      <w:r w:rsidR="00BE42A0" w:rsidRPr="00AE1076">
        <w:rPr>
          <w:rFonts w:eastAsia="Arial Unicode MS" w:cs="Arial Unicode MS"/>
          <w:sz w:val="28"/>
          <w:u w:color="000000"/>
          <w:bdr w:val="nil"/>
          <w:lang w:val="en-US"/>
        </w:rPr>
        <w:t xml:space="preserve"> </w:t>
      </w:r>
      <w:r w:rsidR="00BE42A0" w:rsidRPr="00AE1076">
        <w:rPr>
          <w:rFonts w:eastAsia="Arial Unicode MS" w:cs="Arial Unicode MS"/>
          <w:b/>
          <w:bCs/>
          <w:sz w:val="28"/>
          <w:u w:color="000000"/>
          <w:bdr w:val="nil"/>
          <w:lang w:val="en-US"/>
        </w:rPr>
        <w:t>A. Smith</w:t>
      </w:r>
      <w:r w:rsidR="00BE42A0" w:rsidRPr="00AE1076">
        <w:rPr>
          <w:rFonts w:eastAsia="Arial Unicode MS" w:cs="Arial Unicode MS"/>
          <w:sz w:val="28"/>
          <w:u w:color="000000"/>
          <w:bdr w:val="nil"/>
          <w:lang w:val="en-US"/>
        </w:rPr>
        <w:t xml:space="preserve"> (1723</w:t>
      </w:r>
      <w:r w:rsidRPr="008C2F31">
        <w:rPr>
          <w:rFonts w:eastAsia="Arial Unicode MS" w:cs="Arial Unicode MS"/>
          <w:sz w:val="28"/>
          <w:u w:color="000000"/>
          <w:bdr w:val="nil"/>
          <w:lang w:val="en-US"/>
        </w:rPr>
        <w:t>–</w:t>
      </w:r>
      <w:r w:rsidR="00BE42A0" w:rsidRPr="00AE1076">
        <w:rPr>
          <w:rFonts w:eastAsia="Arial Unicode MS" w:cs="Arial Unicode MS"/>
          <w:sz w:val="28"/>
          <w:u w:color="000000"/>
          <w:bdr w:val="nil"/>
          <w:lang w:val="en-US"/>
        </w:rPr>
        <w:t>1790)</w:t>
      </w:r>
      <w:r w:rsidR="00114A68">
        <w:rPr>
          <w:rFonts w:eastAsia="Arial Unicode MS" w:cs="Arial Unicode MS"/>
          <w:sz w:val="28"/>
          <w:u w:color="000000"/>
          <w:bdr w:val="nil"/>
          <w:lang w:val="en-US"/>
        </w:rPr>
        <w:t>,</w:t>
      </w:r>
      <w:r w:rsidR="00BE42A0" w:rsidRPr="00AE1076">
        <w:rPr>
          <w:rFonts w:eastAsia="Arial Unicode MS" w:cs="Arial Unicode MS"/>
          <w:sz w:val="28"/>
          <w:u w:color="000000"/>
          <w:bdr w:val="nil"/>
          <w:lang w:val="en-US"/>
        </w:rPr>
        <w:t xml:space="preserve"> in his book “Inquiry into the Nature and Causes of the Wealth of Nations” (1776)</w:t>
      </w:r>
      <w:r>
        <w:rPr>
          <w:rFonts w:eastAsia="Arial Unicode MS" w:cs="Arial Unicode MS"/>
          <w:sz w:val="28"/>
          <w:u w:color="000000"/>
          <w:bdr w:val="nil"/>
          <w:lang w:val="en-US"/>
        </w:rPr>
        <w:t>,</w:t>
      </w:r>
      <w:r w:rsidR="00BE42A0" w:rsidRPr="00AE1076">
        <w:rPr>
          <w:rFonts w:eastAsia="Arial Unicode MS" w:cs="Arial Unicode MS"/>
          <w:sz w:val="28"/>
          <w:u w:color="000000"/>
          <w:bdr w:val="nil"/>
          <w:lang w:val="en-US"/>
        </w:rPr>
        <w:t xml:space="preserve"> substantiated the theory of public expenditures, government revenues, and public debt. He represented the theory of finance and financial justification of nat</w:t>
      </w:r>
      <w:r w:rsidR="004E4C2B" w:rsidRPr="00AE1076">
        <w:rPr>
          <w:rFonts w:eastAsia="Arial Unicode MS" w:cs="Arial Unicode MS"/>
          <w:sz w:val="28"/>
          <w:u w:color="000000"/>
          <w:bdr w:val="nil"/>
          <w:lang w:val="en-US"/>
        </w:rPr>
        <w:t xml:space="preserve">ional economic science. </w:t>
      </w:r>
      <w:r w:rsidR="00BE42A0" w:rsidRPr="00AE1076">
        <w:rPr>
          <w:rFonts w:eastAsia="Arial Unicode MS" w:cs="Arial Unicode MS"/>
          <w:sz w:val="28"/>
          <w:u w:color="000000"/>
          <w:bdr w:val="nil"/>
          <w:lang w:val="en-US"/>
        </w:rPr>
        <w:t xml:space="preserve">Swiss scientist </w:t>
      </w:r>
      <w:r w:rsidR="00BE42A0" w:rsidRPr="00AE1076">
        <w:rPr>
          <w:rFonts w:eastAsia="Arial Unicode MS" w:cs="Arial Unicode MS"/>
          <w:b/>
          <w:bCs/>
          <w:sz w:val="28"/>
          <w:u w:color="000000"/>
          <w:bdr w:val="nil"/>
          <w:lang w:val="en-US"/>
        </w:rPr>
        <w:t xml:space="preserve">S. </w:t>
      </w:r>
      <w:r w:rsidR="00FA3957" w:rsidRPr="00AE1076">
        <w:rPr>
          <w:rFonts w:eastAsia="Arial Unicode MS" w:cs="Arial Unicode MS"/>
          <w:b/>
          <w:bCs/>
          <w:sz w:val="28"/>
          <w:u w:color="000000"/>
          <w:bdr w:val="nil"/>
          <w:lang w:val="en-US"/>
        </w:rPr>
        <w:t>Sismondi</w:t>
      </w:r>
      <w:r w:rsidR="004E4C2B" w:rsidRPr="00AE1076">
        <w:rPr>
          <w:rFonts w:eastAsia="Arial Unicode MS" w:cs="Arial Unicode MS"/>
          <w:sz w:val="28"/>
          <w:u w:color="000000"/>
          <w:bdr w:val="nil"/>
          <w:lang w:val="en-US"/>
        </w:rPr>
        <w:t xml:space="preserve"> (1773</w:t>
      </w:r>
      <w:r w:rsidRPr="00AE1076">
        <w:rPr>
          <w:rFonts w:eastAsia="Arial Unicode MS" w:cs="Arial Unicode MS"/>
          <w:sz w:val="28"/>
          <w:u w:color="000000"/>
          <w:bdr w:val="nil"/>
          <w:lang w:val="en-US"/>
        </w:rPr>
        <w:t>–</w:t>
      </w:r>
      <w:r w:rsidR="004E4C2B" w:rsidRPr="00AE1076">
        <w:rPr>
          <w:rFonts w:eastAsia="Arial Unicode MS" w:cs="Arial Unicode MS"/>
          <w:sz w:val="28"/>
          <w:u w:color="000000"/>
          <w:bdr w:val="nil"/>
          <w:lang w:val="en-US"/>
        </w:rPr>
        <w:t xml:space="preserve">1842) </w:t>
      </w:r>
      <w:r w:rsidR="00BE42A0" w:rsidRPr="00AE1076">
        <w:rPr>
          <w:rFonts w:eastAsia="Arial Unicode MS" w:cs="Arial Unicode MS"/>
          <w:sz w:val="28"/>
          <w:u w:color="000000"/>
          <w:bdr w:val="nil"/>
          <w:lang w:val="en-US"/>
        </w:rPr>
        <w:t>mentioned that efficient financia</w:t>
      </w:r>
      <w:r w:rsidR="00114A68">
        <w:rPr>
          <w:rFonts w:eastAsia="Arial Unicode MS" w:cs="Arial Unicode MS"/>
          <w:sz w:val="28"/>
          <w:u w:color="000000"/>
          <w:bdr w:val="nil"/>
          <w:lang w:val="en-US"/>
        </w:rPr>
        <w:t>l</w:t>
      </w:r>
      <w:r w:rsidR="00BE42A0" w:rsidRPr="00AE1076">
        <w:rPr>
          <w:rFonts w:eastAsia="Arial Unicode MS" w:cs="Arial Unicode MS"/>
          <w:sz w:val="28"/>
          <w:u w:color="000000"/>
          <w:bdr w:val="nil"/>
          <w:lang w:val="en-US"/>
        </w:rPr>
        <w:t xml:space="preserve"> policy improve</w:t>
      </w:r>
      <w:r w:rsidR="00114A68">
        <w:rPr>
          <w:rFonts w:eastAsia="Arial Unicode MS" w:cs="Arial Unicode MS"/>
          <w:sz w:val="28"/>
          <w:u w:color="000000"/>
          <w:bdr w:val="nil"/>
          <w:lang w:val="en-US"/>
        </w:rPr>
        <w:t>d</w:t>
      </w:r>
      <w:r w:rsidR="00BE42A0" w:rsidRPr="00AE1076">
        <w:rPr>
          <w:rFonts w:eastAsia="Arial Unicode MS" w:cs="Arial Unicode MS"/>
          <w:sz w:val="28"/>
          <w:u w:color="000000"/>
          <w:bdr w:val="nil"/>
          <w:lang w:val="en-US"/>
        </w:rPr>
        <w:t xml:space="preserve"> the economic situation of people. Finances can be used to achieve an equitable distribution of income and wealth in the country. The s</w:t>
      </w:r>
      <w:r w:rsidR="00114A68">
        <w:rPr>
          <w:rFonts w:eastAsia="Arial Unicode MS" w:cs="Arial Unicode MS"/>
          <w:sz w:val="28"/>
          <w:u w:color="000000"/>
          <w:bdr w:val="nil"/>
          <w:lang w:val="en-US"/>
        </w:rPr>
        <w:t>c</w:t>
      </w:r>
      <w:r w:rsidR="00BE42A0" w:rsidRPr="00AE1076">
        <w:rPr>
          <w:rFonts w:eastAsia="Arial Unicode MS" w:cs="Arial Unicode MS"/>
          <w:sz w:val="28"/>
          <w:u w:color="000000"/>
          <w:bdr w:val="nil"/>
          <w:lang w:val="en-US"/>
        </w:rPr>
        <w:t xml:space="preserve">ientist </w:t>
      </w:r>
      <w:r w:rsidR="00114A68">
        <w:rPr>
          <w:rFonts w:eastAsia="Arial Unicode MS" w:cs="Arial Unicode MS"/>
          <w:sz w:val="28"/>
          <w:u w:color="000000"/>
          <w:bdr w:val="nil"/>
          <w:lang w:val="en-US"/>
        </w:rPr>
        <w:t>support</w:t>
      </w:r>
      <w:r w:rsidR="00BE42A0" w:rsidRPr="00AE1076">
        <w:rPr>
          <w:rFonts w:eastAsia="Arial Unicode MS" w:cs="Arial Unicode MS"/>
          <w:sz w:val="28"/>
          <w:u w:color="000000"/>
          <w:bdr w:val="nil"/>
          <w:lang w:val="en-US"/>
        </w:rPr>
        <w:t>ed the role of small industry and agriculture, deman</w:t>
      </w:r>
      <w:r w:rsidR="00114A68">
        <w:rPr>
          <w:rFonts w:eastAsia="Arial Unicode MS" w:cs="Arial Unicode MS"/>
          <w:sz w:val="28"/>
          <w:u w:color="000000"/>
          <w:bdr w:val="nil"/>
          <w:lang w:val="en-US"/>
        </w:rPr>
        <w:t>ded reduction of indirect taxes</w:t>
      </w:r>
      <w:r>
        <w:rPr>
          <w:rFonts w:eastAsia="Arial Unicode MS" w:cs="Arial Unicode MS"/>
          <w:sz w:val="28"/>
          <w:u w:color="000000"/>
          <w:bdr w:val="nil"/>
          <w:lang w:val="en-US"/>
        </w:rPr>
        <w:t xml:space="preserve"> and</w:t>
      </w:r>
      <w:r w:rsidR="00BE42A0" w:rsidRPr="00AE1076">
        <w:rPr>
          <w:rFonts w:eastAsia="Arial Unicode MS" w:cs="Arial Unicode MS"/>
          <w:sz w:val="28"/>
          <w:u w:color="000000"/>
          <w:bdr w:val="nil"/>
          <w:lang w:val="en-US"/>
        </w:rPr>
        <w:t xml:space="preserve"> setting a minimum tax-free. He voted for a progressive tax system</w:t>
      </w:r>
      <w:r w:rsidR="004E4C2B" w:rsidRPr="00AE1076">
        <w:rPr>
          <w:rFonts w:eastAsia="Arial Unicode MS" w:cs="Arial Unicode MS"/>
          <w:sz w:val="28"/>
          <w:u w:color="000000"/>
          <w:bdr w:val="nil"/>
          <w:lang w:val="en-US"/>
        </w:rPr>
        <w:t xml:space="preserve">. </w:t>
      </w:r>
    </w:p>
    <w:p w14:paraId="26E283AC" w14:textId="77777777" w:rsidR="004E4C2B"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German scientists </w:t>
      </w:r>
      <w:r w:rsidRPr="00AE1076">
        <w:rPr>
          <w:rFonts w:eastAsia="Arial Unicode MS" w:cs="Arial Unicode MS"/>
          <w:b/>
          <w:bCs/>
          <w:sz w:val="28"/>
          <w:u w:color="000000"/>
          <w:bdr w:val="nil"/>
          <w:lang w:val="en-US"/>
        </w:rPr>
        <w:t>K. Marx</w:t>
      </w:r>
      <w:r w:rsidRPr="00AE1076">
        <w:rPr>
          <w:rFonts w:eastAsia="Arial Unicode MS" w:cs="Arial Unicode MS"/>
          <w:sz w:val="28"/>
          <w:u w:color="000000"/>
          <w:bdr w:val="nil"/>
          <w:lang w:val="en-US"/>
        </w:rPr>
        <w:t xml:space="preserve"> (1818</w:t>
      </w:r>
      <w:r w:rsidR="002A045E"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1883) and </w:t>
      </w:r>
      <w:r w:rsidRPr="00AE1076">
        <w:rPr>
          <w:rFonts w:eastAsia="Arial Unicode MS" w:cs="Arial Unicode MS"/>
          <w:b/>
          <w:bCs/>
          <w:sz w:val="28"/>
          <w:u w:color="000000"/>
          <w:bdr w:val="nil"/>
          <w:lang w:val="en-US"/>
        </w:rPr>
        <w:t>F. Engels</w:t>
      </w:r>
      <w:r w:rsidR="004E4C2B" w:rsidRPr="00AE1076">
        <w:rPr>
          <w:rFonts w:eastAsia="Arial Unicode MS" w:cs="Arial Unicode MS"/>
          <w:sz w:val="28"/>
          <w:u w:color="000000"/>
          <w:bdr w:val="nil"/>
          <w:lang w:val="en-US"/>
        </w:rPr>
        <w:t xml:space="preserve"> (1820</w:t>
      </w:r>
      <w:r w:rsidR="002A045E" w:rsidRPr="00AE1076">
        <w:rPr>
          <w:rFonts w:eastAsia="Arial Unicode MS" w:cs="Arial Unicode MS"/>
          <w:sz w:val="28"/>
          <w:u w:color="000000"/>
          <w:bdr w:val="nil"/>
          <w:lang w:val="en-US"/>
        </w:rPr>
        <w:t>–</w:t>
      </w:r>
      <w:r w:rsidR="004E4C2B" w:rsidRPr="00AE1076">
        <w:rPr>
          <w:rFonts w:eastAsia="Arial Unicode MS" w:cs="Arial Unicode MS"/>
          <w:sz w:val="28"/>
          <w:u w:color="000000"/>
          <w:bdr w:val="nil"/>
          <w:lang w:val="en-US"/>
        </w:rPr>
        <w:t>1895), i</w:t>
      </w:r>
      <w:r w:rsidRPr="00AE1076">
        <w:rPr>
          <w:rFonts w:eastAsia="Arial Unicode MS" w:cs="Arial Unicode MS"/>
          <w:sz w:val="28"/>
          <w:u w:color="000000"/>
          <w:bdr w:val="nil"/>
          <w:lang w:val="en-US"/>
        </w:rPr>
        <w:t>n such works as “Capital”, “Critique of Political Economy”</w:t>
      </w:r>
      <w:r w:rsidR="002A045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and numerous articles, devoted to the analysis of British budgets of the </w:t>
      </w:r>
      <w:r w:rsidR="002A045E">
        <w:rPr>
          <w:rFonts w:eastAsia="Arial Unicode MS" w:cs="Arial Unicode MS"/>
          <w:sz w:val="28"/>
          <w:u w:color="000000"/>
          <w:bdr w:val="nil"/>
          <w:lang w:val="en-US"/>
        </w:rPr>
        <w:t>mid</w:t>
      </w:r>
      <w:r w:rsidRPr="00AE1076">
        <w:rPr>
          <w:rFonts w:eastAsia="Arial Unicode MS" w:cs="Arial Unicode MS"/>
          <w:sz w:val="28"/>
          <w:u w:color="000000"/>
          <w:bdr w:val="nil"/>
          <w:lang w:val="en-US"/>
        </w:rPr>
        <w:t>-</w:t>
      </w:r>
      <w:r w:rsidR="00114A68">
        <w:rPr>
          <w:rFonts w:eastAsia="Arial Unicode MS" w:cs="Arial Unicode MS"/>
          <w:sz w:val="28"/>
          <w:u w:color="000000"/>
          <w:bdr w:val="nil"/>
          <w:lang w:val="en-US"/>
        </w:rPr>
        <w:t>ninete</w:t>
      </w:r>
      <w:r w:rsidR="002A045E">
        <w:rPr>
          <w:rFonts w:eastAsia="Arial Unicode MS" w:cs="Arial Unicode MS"/>
          <w:sz w:val="28"/>
          <w:u w:color="000000"/>
          <w:bdr w:val="nil"/>
          <w:lang w:val="en-US"/>
        </w:rPr>
        <w:t>e</w:t>
      </w:r>
      <w:r w:rsidR="00114A68">
        <w:rPr>
          <w:rFonts w:eastAsia="Arial Unicode MS" w:cs="Arial Unicode MS"/>
          <w:sz w:val="28"/>
          <w:u w:color="000000"/>
          <w:bdr w:val="nil"/>
          <w:lang w:val="en-US"/>
        </w:rPr>
        <w:t>n</w:t>
      </w:r>
      <w:r w:rsidR="002A045E">
        <w:rPr>
          <w:rFonts w:eastAsia="Arial Unicode MS" w:cs="Arial Unicode MS"/>
          <w:sz w:val="28"/>
          <w:u w:color="000000"/>
          <w:bdr w:val="nil"/>
          <w:lang w:val="en-US"/>
        </w:rPr>
        <w:t>th</w:t>
      </w:r>
      <w:r w:rsidRPr="00AE1076">
        <w:rPr>
          <w:rFonts w:eastAsia="Arial Unicode MS" w:cs="Arial Unicode MS"/>
          <w:sz w:val="28"/>
          <w:u w:color="000000"/>
          <w:bdr w:val="nil"/>
          <w:lang w:val="en-US"/>
        </w:rPr>
        <w:t xml:space="preserve"> century, proved the negative influence of taxes because it </w:t>
      </w:r>
      <w:r w:rsidR="002A045E">
        <w:rPr>
          <w:rFonts w:eastAsia="Arial Unicode MS" w:cs="Arial Unicode MS"/>
          <w:sz w:val="28"/>
          <w:u w:color="000000"/>
          <w:bdr w:val="nil"/>
          <w:lang w:val="en-US"/>
        </w:rPr>
        <w:t xml:space="preserve">was </w:t>
      </w:r>
      <w:r w:rsidRPr="00AE1076">
        <w:rPr>
          <w:rFonts w:eastAsia="Arial Unicode MS" w:cs="Arial Unicode MS"/>
          <w:sz w:val="28"/>
          <w:u w:color="000000"/>
          <w:bdr w:val="nil"/>
          <w:lang w:val="en-US"/>
        </w:rPr>
        <w:t xml:space="preserve">the burden for all workers. It was an additional instrument </w:t>
      </w:r>
      <w:r w:rsidR="002A045E">
        <w:rPr>
          <w:rFonts w:eastAsia="Arial Unicode MS" w:cs="Arial Unicode MS"/>
          <w:sz w:val="28"/>
          <w:u w:color="000000"/>
          <w:bdr w:val="nil"/>
          <w:lang w:val="en-US"/>
        </w:rPr>
        <w:t xml:space="preserve">for </w:t>
      </w:r>
      <w:r w:rsidR="002A045E" w:rsidRPr="00AE1076">
        <w:rPr>
          <w:rFonts w:eastAsia="Arial Unicode MS" w:cs="Arial Unicode MS"/>
          <w:sz w:val="28"/>
          <w:u w:color="000000"/>
          <w:bdr w:val="nil"/>
          <w:lang w:val="en-US"/>
        </w:rPr>
        <w:t xml:space="preserve">exploitation </w:t>
      </w:r>
      <w:r w:rsidRPr="00AE1076">
        <w:rPr>
          <w:rFonts w:eastAsia="Arial Unicode MS" w:cs="Arial Unicode MS"/>
          <w:sz w:val="28"/>
          <w:u w:color="000000"/>
          <w:bdr w:val="nil"/>
          <w:lang w:val="en-US"/>
        </w:rPr>
        <w:t>of workers. Scientists preferred direct taxes</w:t>
      </w:r>
      <w:r w:rsidR="002A045E">
        <w:rPr>
          <w:rFonts w:eastAsia="Arial Unicode MS" w:cs="Arial Unicode MS"/>
          <w:sz w:val="28"/>
          <w:u w:color="000000"/>
          <w:bdr w:val="nil"/>
          <w:lang w:val="en-US"/>
        </w:rPr>
        <w:t>,</w:t>
      </w:r>
      <w:r w:rsidR="00114A68">
        <w:rPr>
          <w:rFonts w:eastAsia="Arial Unicode MS" w:cs="Arial Unicode MS"/>
          <w:sz w:val="28"/>
          <w:u w:color="000000"/>
          <w:bdr w:val="nil"/>
          <w:lang w:val="en-US"/>
        </w:rPr>
        <w:t xml:space="preserve"> </w:t>
      </w:r>
      <w:r w:rsidRPr="00AE1076">
        <w:rPr>
          <w:rFonts w:eastAsia="Arial Unicode MS" w:cs="Arial Unicode MS"/>
          <w:sz w:val="28"/>
          <w:u w:color="000000"/>
          <w:bdr w:val="nil"/>
          <w:lang w:val="en-US"/>
        </w:rPr>
        <w:t>and especially income tax, arguing for a progressive form of taxation. However, their ideas are quite controversial: they denied the possibility of the state in areas of financial policy to change the ratio between profit, interest, rent and wages; they thought it’s impossible to reduce negative effect of cyclical</w:t>
      </w:r>
      <w:r w:rsidR="002A045E">
        <w:rPr>
          <w:rFonts w:eastAsia="Arial Unicode MS" w:cs="Arial Unicode MS"/>
          <w:sz w:val="28"/>
          <w:u w:color="000000"/>
          <w:bdr w:val="nil"/>
          <w:lang w:val="en-US"/>
        </w:rPr>
        <w:t xml:space="preserve"> policy</w:t>
      </w:r>
      <w:r w:rsidRPr="00AE1076">
        <w:rPr>
          <w:rFonts w:eastAsia="Arial Unicode MS" w:cs="Arial Unicode MS"/>
          <w:sz w:val="28"/>
          <w:u w:color="000000"/>
          <w:bdr w:val="nil"/>
          <w:lang w:val="en-US"/>
        </w:rPr>
        <w:t>, us</w:t>
      </w:r>
      <w:r w:rsidR="004E4C2B" w:rsidRPr="00AE1076">
        <w:rPr>
          <w:rFonts w:eastAsia="Arial Unicode MS" w:cs="Arial Unicode MS"/>
          <w:sz w:val="28"/>
          <w:u w:color="000000"/>
          <w:bdr w:val="nil"/>
          <w:lang w:val="en-US"/>
        </w:rPr>
        <w:t xml:space="preserve">ing </w:t>
      </w:r>
      <w:r w:rsidR="002A045E">
        <w:rPr>
          <w:rFonts w:eastAsia="Arial Unicode MS" w:cs="Arial Unicode MS"/>
          <w:sz w:val="28"/>
          <w:u w:color="000000"/>
          <w:bdr w:val="nil"/>
          <w:lang w:val="en-US"/>
        </w:rPr>
        <w:t xml:space="preserve">both </w:t>
      </w:r>
      <w:r w:rsidR="004E4C2B" w:rsidRPr="00AE1076">
        <w:rPr>
          <w:rFonts w:eastAsia="Arial Unicode MS" w:cs="Arial Unicode MS"/>
          <w:sz w:val="28"/>
          <w:u w:color="000000"/>
          <w:bdr w:val="nil"/>
          <w:lang w:val="en-US"/>
        </w:rPr>
        <w:t>financial and fiscal polic</w:t>
      </w:r>
      <w:r w:rsidR="002A045E">
        <w:rPr>
          <w:rFonts w:eastAsia="Arial Unicode MS" w:cs="Arial Unicode MS"/>
          <w:sz w:val="28"/>
          <w:u w:color="000000"/>
          <w:bdr w:val="nil"/>
          <w:lang w:val="en-US"/>
        </w:rPr>
        <w:t>ies</w:t>
      </w:r>
      <w:r w:rsidR="004E4C2B" w:rsidRPr="00AE1076">
        <w:rPr>
          <w:rFonts w:eastAsia="Arial Unicode MS" w:cs="Arial Unicode MS"/>
          <w:sz w:val="28"/>
          <w:u w:color="000000"/>
          <w:bdr w:val="nil"/>
          <w:lang w:val="en-US"/>
        </w:rPr>
        <w:t xml:space="preserve">. </w:t>
      </w:r>
      <w:r w:rsidRPr="00AE1076">
        <w:rPr>
          <w:rFonts w:eastAsia="Arial Unicode MS" w:cs="Arial Unicode MS"/>
          <w:sz w:val="28"/>
          <w:u w:color="000000"/>
          <w:bdr w:val="nil"/>
          <w:lang w:val="en-US"/>
        </w:rPr>
        <w:t xml:space="preserve">American, Columbia University professor </w:t>
      </w:r>
      <w:r w:rsidRPr="00AE1076">
        <w:rPr>
          <w:rFonts w:eastAsia="Arial Unicode MS" w:cs="Arial Unicode MS"/>
          <w:b/>
          <w:bCs/>
          <w:sz w:val="28"/>
          <w:u w:color="000000"/>
          <w:bdr w:val="nil"/>
          <w:lang w:val="en-US"/>
        </w:rPr>
        <w:t>E. Seligman</w:t>
      </w:r>
      <w:r w:rsidRPr="00AE1076">
        <w:rPr>
          <w:rFonts w:eastAsia="Arial Unicode MS" w:cs="Arial Unicode MS"/>
          <w:sz w:val="28"/>
          <w:u w:color="000000"/>
          <w:bdr w:val="nil"/>
          <w:lang w:val="en-US"/>
        </w:rPr>
        <w:t xml:space="preserve"> (1861</w:t>
      </w:r>
      <w:r w:rsidR="002A045E"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1939)</w:t>
      </w:r>
      <w:r w:rsidR="002A045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in his book “The Shifting and Incidence of Taxation”</w:t>
      </w:r>
      <w:r w:rsidR="002A045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identified two varieties of shifting taxes: from the seller to the buyer (indirect taxation) and from </w:t>
      </w:r>
      <w:r w:rsidR="002A045E">
        <w:rPr>
          <w:rFonts w:eastAsia="Arial Unicode MS" w:cs="Arial Unicode MS"/>
          <w:sz w:val="28"/>
          <w:u w:color="000000"/>
          <w:bdr w:val="nil"/>
          <w:lang w:val="en-US"/>
        </w:rPr>
        <w:t xml:space="preserve">the </w:t>
      </w:r>
      <w:r w:rsidRPr="00AE1076">
        <w:rPr>
          <w:rFonts w:eastAsia="Arial Unicode MS" w:cs="Arial Unicode MS"/>
          <w:sz w:val="28"/>
          <w:u w:color="000000"/>
          <w:bdr w:val="nil"/>
          <w:lang w:val="en-US"/>
        </w:rPr>
        <w:t xml:space="preserve">buyer to </w:t>
      </w:r>
      <w:r w:rsidR="002A045E">
        <w:rPr>
          <w:rFonts w:eastAsia="Arial Unicode MS" w:cs="Arial Unicode MS"/>
          <w:sz w:val="28"/>
          <w:u w:color="000000"/>
          <w:bdr w:val="nil"/>
          <w:lang w:val="en-US"/>
        </w:rPr>
        <w:t xml:space="preserve">the </w:t>
      </w:r>
      <w:r w:rsidRPr="00AE1076">
        <w:rPr>
          <w:rFonts w:eastAsia="Arial Unicode MS" w:cs="Arial Unicode MS"/>
          <w:sz w:val="28"/>
          <w:u w:color="000000"/>
          <w:bdr w:val="nil"/>
          <w:lang w:val="en-US"/>
        </w:rPr>
        <w:t>seller (direct taxation, when the price of the product is high because taxes are too high (excise), that limits the dem</w:t>
      </w:r>
      <w:r w:rsidR="004E4C2B" w:rsidRPr="00AE1076">
        <w:rPr>
          <w:rFonts w:eastAsia="Arial Unicode MS" w:cs="Arial Unicode MS"/>
          <w:sz w:val="28"/>
          <w:u w:color="000000"/>
          <w:bdr w:val="nil"/>
          <w:lang w:val="en-US"/>
        </w:rPr>
        <w:t xml:space="preserve">and for this product). </w:t>
      </w:r>
      <w:r w:rsidRPr="00AE1076">
        <w:rPr>
          <w:rFonts w:eastAsia="Arial Unicode MS" w:cs="Arial Unicode MS"/>
          <w:sz w:val="28"/>
          <w:u w:color="000000"/>
          <w:bdr w:val="nil"/>
          <w:lang w:val="en-US"/>
        </w:rPr>
        <w:t xml:space="preserve">Italian scientists </w:t>
      </w:r>
      <w:r w:rsidRPr="00AE1076">
        <w:rPr>
          <w:rFonts w:eastAsia="Arial Unicode MS" w:cs="Arial Unicode MS"/>
          <w:b/>
          <w:bCs/>
          <w:sz w:val="28"/>
          <w:u w:color="000000"/>
          <w:bdr w:val="nil"/>
          <w:lang w:val="en-US"/>
        </w:rPr>
        <w:t>L. Cossa</w:t>
      </w:r>
      <w:r w:rsidRPr="00AE1076">
        <w:rPr>
          <w:rFonts w:eastAsia="Arial Unicode MS" w:cs="Arial Unicode MS"/>
          <w:sz w:val="28"/>
          <w:u w:color="000000"/>
          <w:bdr w:val="nil"/>
          <w:lang w:val="en-US"/>
        </w:rPr>
        <w:t xml:space="preserve"> (1831</w:t>
      </w:r>
      <w:r w:rsidR="002A045E"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1896) and </w:t>
      </w:r>
      <w:r w:rsidRPr="00AE1076">
        <w:rPr>
          <w:rFonts w:eastAsia="Arial Unicode MS" w:cs="Arial Unicode MS"/>
          <w:b/>
          <w:bCs/>
          <w:sz w:val="28"/>
          <w:u w:color="000000"/>
          <w:bdr w:val="nil"/>
          <w:lang w:val="en-US"/>
        </w:rPr>
        <w:t>F.</w:t>
      </w:r>
      <w:r w:rsidR="002A045E">
        <w:rPr>
          <w:rFonts w:eastAsia="Arial Unicode MS" w:cs="Arial Unicode MS"/>
          <w:b/>
          <w:bCs/>
          <w:sz w:val="28"/>
          <w:u w:color="000000"/>
          <w:bdr w:val="nil"/>
          <w:lang w:val="en-US"/>
        </w:rPr>
        <w:t> </w:t>
      </w:r>
      <w:r w:rsidRPr="00AE1076">
        <w:rPr>
          <w:rFonts w:eastAsia="Arial Unicode MS" w:cs="Arial Unicode MS"/>
          <w:b/>
          <w:bCs/>
          <w:sz w:val="28"/>
          <w:u w:color="000000"/>
          <w:bdr w:val="nil"/>
          <w:lang w:val="en-US"/>
        </w:rPr>
        <w:t>Nitti</w:t>
      </w:r>
      <w:r w:rsidRPr="00AE1076">
        <w:rPr>
          <w:rFonts w:eastAsia="Arial Unicode MS" w:cs="Arial Unicode MS"/>
          <w:sz w:val="28"/>
          <w:u w:color="000000"/>
          <w:bdr w:val="nil"/>
          <w:lang w:val="en-US"/>
        </w:rPr>
        <w:t xml:space="preserve"> (1868</w:t>
      </w:r>
      <w:r w:rsidR="002A045E"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1953) believed that financial science is a theory of state property. Its structure has three sections – public expenditure, government revenues, and their relationship. The main objective of financial science –</w:t>
      </w:r>
      <w:r w:rsidR="002A045E">
        <w:rPr>
          <w:rFonts w:eastAsia="Arial Unicode MS" w:cs="Arial Unicode MS"/>
          <w:sz w:val="28"/>
          <w:u w:color="000000"/>
          <w:bdr w:val="nil"/>
          <w:lang w:val="en-US"/>
        </w:rPr>
        <w:t xml:space="preserve"> to</w:t>
      </w:r>
      <w:r w:rsidRPr="00AE1076">
        <w:rPr>
          <w:rFonts w:eastAsia="Arial Unicode MS" w:cs="Arial Unicode MS"/>
          <w:sz w:val="28"/>
          <w:u w:color="000000"/>
          <w:bdr w:val="nil"/>
          <w:lang w:val="en-US"/>
        </w:rPr>
        <w:t xml:space="preserve"> indicate the stat</w:t>
      </w:r>
      <w:r w:rsidR="004E4C2B" w:rsidRPr="00AE1076">
        <w:rPr>
          <w:rFonts w:eastAsia="Arial Unicode MS" w:cs="Arial Unicode MS"/>
          <w:sz w:val="28"/>
          <w:u w:color="000000"/>
          <w:bdr w:val="nil"/>
          <w:lang w:val="en-US"/>
        </w:rPr>
        <w:t>e economy management principles.</w:t>
      </w:r>
    </w:p>
    <w:p w14:paraId="5AE22EA1"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British economist </w:t>
      </w:r>
      <w:r w:rsidRPr="00AE1076">
        <w:rPr>
          <w:rFonts w:eastAsia="Arial Unicode MS" w:cs="Arial Unicode MS"/>
          <w:b/>
          <w:bCs/>
          <w:sz w:val="28"/>
          <w:u w:color="000000"/>
          <w:bdr w:val="nil"/>
          <w:lang w:val="en-US"/>
        </w:rPr>
        <w:t>J. Keynes</w:t>
      </w:r>
      <w:r w:rsidRPr="00AE1076">
        <w:rPr>
          <w:rFonts w:eastAsia="Arial Unicode MS" w:cs="Arial Unicode MS"/>
          <w:sz w:val="28"/>
          <w:u w:color="000000"/>
          <w:bdr w:val="nil"/>
          <w:lang w:val="en-US"/>
        </w:rPr>
        <w:t xml:space="preserve"> (1883</w:t>
      </w:r>
      <w:r w:rsidR="002A045E" w:rsidRPr="00AE1076">
        <w:rPr>
          <w:rFonts w:eastAsia="Arial Unicode MS" w:cs="Arial Unicode MS"/>
          <w:sz w:val="28"/>
          <w:u w:color="000000"/>
          <w:bdr w:val="nil"/>
          <w:lang w:val="en-US"/>
        </w:rPr>
        <w:t>–</w:t>
      </w:r>
      <w:r w:rsidRPr="00AE1076">
        <w:rPr>
          <w:rFonts w:eastAsia="Arial Unicode MS" w:cs="Arial Unicode MS"/>
          <w:sz w:val="28"/>
          <w:u w:color="000000"/>
          <w:bdr w:val="nil"/>
          <w:lang w:val="en-US"/>
        </w:rPr>
        <w:t>1946), whose recommendations have been used in practice by governments of many countries</w:t>
      </w:r>
      <w:r w:rsidR="002A045E" w:rsidRPr="002A045E">
        <w:rPr>
          <w:rFonts w:eastAsia="Arial Unicode MS" w:cs="Arial Unicode MS"/>
          <w:sz w:val="28"/>
          <w:u w:color="000000"/>
          <w:bdr w:val="nil"/>
          <w:lang w:val="en-US"/>
        </w:rPr>
        <w:t xml:space="preserve"> </w:t>
      </w:r>
      <w:r w:rsidR="002A045E" w:rsidRPr="00AE1076">
        <w:rPr>
          <w:rFonts w:eastAsia="Arial Unicode MS" w:cs="Arial Unicode MS"/>
          <w:sz w:val="28"/>
          <w:u w:color="000000"/>
          <w:bdr w:val="nil"/>
          <w:lang w:val="en-US"/>
        </w:rPr>
        <w:t>nearly half a century</w:t>
      </w:r>
      <w:r w:rsidRPr="00AE1076">
        <w:rPr>
          <w:rFonts w:eastAsia="Arial Unicode MS" w:cs="Arial Unicode MS"/>
          <w:sz w:val="28"/>
          <w:u w:color="000000"/>
          <w:bdr w:val="nil"/>
          <w:lang w:val="en-US"/>
        </w:rPr>
        <w:t xml:space="preserve">, based on financial concepts argued the idea of </w:t>
      </w:r>
      <w:r w:rsidRPr="00AE1076">
        <w:rPr>
          <w:rFonts w:ascii="Times New Roman" w:eastAsia="Arial Unicode MS" w:hAnsi="Times New Roman"/>
          <w:sz w:val="28"/>
          <w:u w:color="000000"/>
          <w:bdr w:val="nil"/>
          <w:lang w:val="en-US"/>
        </w:rPr>
        <w:t>​​</w:t>
      </w:r>
      <w:r w:rsidRPr="00AE1076">
        <w:rPr>
          <w:rFonts w:eastAsia="Arial Unicode MS" w:cs="Arial Unicode MS"/>
          <w:sz w:val="28"/>
          <w:u w:color="000000"/>
          <w:bdr w:val="nil"/>
          <w:lang w:val="en-US"/>
        </w:rPr>
        <w:t xml:space="preserve">“effective demand”. He noted that the main </w:t>
      </w:r>
      <w:r w:rsidRPr="00AE1076">
        <w:rPr>
          <w:rFonts w:eastAsia="Arial Unicode MS" w:cs="Arial Unicode MS"/>
          <w:sz w:val="28"/>
          <w:u w:color="000000"/>
          <w:bdr w:val="nil"/>
          <w:lang w:val="en-US"/>
        </w:rPr>
        <w:lastRenderedPageBreak/>
        <w:t>instruments of state intervention into the cyclical development of the economy should be financial relations, and, first of all, government spending. Their formation, structure</w:t>
      </w:r>
      <w:r w:rsidR="002A045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and growth are important factors to achieve “effective demand”. Financing of public expenditure through taxes and loans should revive business activity and provide an increase in national income, and eliminate unemployment. Keynes</w:t>
      </w:r>
      <w:r w:rsidR="002A045E">
        <w:rPr>
          <w:rFonts w:eastAsia="Arial Unicode MS" w:cs="Arial Unicode MS"/>
          <w:sz w:val="28"/>
          <w:u w:color="000000"/>
          <w:bdr w:val="nil"/>
          <w:lang w:val="en-US"/>
        </w:rPr>
        <w:t xml:space="preserve"> “gave” the l</w:t>
      </w:r>
      <w:r w:rsidR="002A045E" w:rsidRPr="00AE1076">
        <w:rPr>
          <w:rFonts w:eastAsia="Arial Unicode MS" w:cs="Arial Unicode MS"/>
          <w:sz w:val="28"/>
          <w:u w:color="000000"/>
          <w:bdr w:val="nil"/>
          <w:lang w:val="en-US"/>
        </w:rPr>
        <w:t xml:space="preserve">eading role </w:t>
      </w:r>
      <w:r w:rsidRPr="00AE1076">
        <w:rPr>
          <w:rFonts w:eastAsia="Arial Unicode MS" w:cs="Arial Unicode MS"/>
          <w:sz w:val="28"/>
          <w:u w:color="000000"/>
          <w:bdr w:val="nil"/>
          <w:lang w:val="en-US"/>
        </w:rPr>
        <w:t>to the taxes and their impact on basic “psychological law” according to which people tend to increase their consumption, but not in such figures as their income increases (they prefer saving money). It leads to falling demand for goods and drop of production. Thus, the state should prevent the emergence of this or increase an effective demand by increasing their costs.</w:t>
      </w:r>
    </w:p>
    <w:p w14:paraId="3223CBD4"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Development and internationalization of capital markets, the increasing role of transnational corporations, the concentration of production, </w:t>
      </w:r>
      <w:r w:rsidR="002A045E">
        <w:rPr>
          <w:rFonts w:eastAsia="Arial Unicode MS" w:cs="Arial Unicode MS"/>
          <w:sz w:val="28"/>
          <w:u w:color="000000"/>
          <w:bdr w:val="nil"/>
          <w:lang w:val="en-US"/>
        </w:rPr>
        <w:t xml:space="preserve">and </w:t>
      </w:r>
      <w:r w:rsidRPr="00AE1076">
        <w:rPr>
          <w:rFonts w:eastAsia="Arial Unicode MS" w:cs="Arial Unicode MS"/>
          <w:sz w:val="28"/>
          <w:u w:color="000000"/>
          <w:bdr w:val="nil"/>
          <w:lang w:val="en-US"/>
        </w:rPr>
        <w:t>increasing importance of financial resources as a source of economic growth in the mid-twentieth century led to theoretical rethinking of the role of finance as one of the key elements of investment, pricing on the financial markets, capital structure, agency and financial management.</w:t>
      </w:r>
    </w:p>
    <w:p w14:paraId="224F48BA"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According to the efforts of the Anglo-American finance school, financial theory has received new content. It promoted the appearance of </w:t>
      </w:r>
      <w:r w:rsidRPr="00AE1076">
        <w:rPr>
          <w:rFonts w:eastAsia="Arial Unicode MS" w:cs="Arial Unicode MS"/>
          <w:b/>
          <w:bCs/>
          <w:sz w:val="28"/>
          <w:u w:color="000000"/>
          <w:bdr w:val="nil"/>
          <w:lang w:val="en-US"/>
        </w:rPr>
        <w:t>the neo-classical science of finance</w:t>
      </w:r>
      <w:r w:rsidRPr="00AE1076">
        <w:rPr>
          <w:rFonts w:eastAsia="Arial Unicode MS" w:cs="Arial Unicode MS"/>
          <w:sz w:val="28"/>
          <w:u w:color="000000"/>
          <w:bdr w:val="nil"/>
          <w:lang w:val="en-US"/>
        </w:rPr>
        <w:t xml:space="preserve">, which assists the idea of </w:t>
      </w:r>
      <w:r w:rsidRPr="00AE1076">
        <w:rPr>
          <w:rFonts w:ascii="Times New Roman" w:eastAsia="Arial Unicode MS" w:hAnsi="Times New Roman"/>
          <w:sz w:val="28"/>
          <w:u w:color="000000"/>
          <w:bdr w:val="nil"/>
          <w:lang w:val="en-US"/>
        </w:rPr>
        <w:t>​​</w:t>
      </w:r>
      <w:r w:rsidRPr="00AE1076">
        <w:rPr>
          <w:rFonts w:eastAsia="Arial Unicode MS" w:cs="Arial Unicode MS"/>
          <w:sz w:val="28"/>
          <w:u w:color="000000"/>
          <w:bdr w:val="nil"/>
          <w:lang w:val="en-US"/>
        </w:rPr>
        <w:t>free enterprise with limited government regulation (the theory of “economic proposals”). This concept was based on financial savings as the basis for economic growth. The state through the tax system and tax cuts should create necessary conditions for the formation of savings to ensure further investment in the country. The role of the state and financial system became to stimulate scientific and technological progress.</w:t>
      </w:r>
    </w:p>
    <w:p w14:paraId="56A5D0B3" w14:textId="77777777" w:rsidR="00BE42A0" w:rsidRPr="00AE1076" w:rsidRDefault="00BE42A0" w:rsidP="0093712A">
      <w:pPr>
        <w:pBdr>
          <w:top w:val="nil"/>
          <w:left w:val="nil"/>
          <w:bottom w:val="nil"/>
          <w:right w:val="nil"/>
          <w:between w:val="nil"/>
          <w:bar w:val="nil"/>
        </w:pBdr>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In the 1950s, fundamental changes in finance began to occur. The analytical methods and techniques traditional to economics began to be applied to problems in finance, and the resulting transformation </w:t>
      </w:r>
      <w:r w:rsidR="002A045E">
        <w:rPr>
          <w:rFonts w:eastAsia="Arial Unicode MS" w:cs="Arial Unicode MS"/>
          <w:sz w:val="28"/>
          <w:u w:color="000000"/>
          <w:bdr w:val="nil"/>
          <w:lang w:val="en-US"/>
        </w:rPr>
        <w:t xml:space="preserve">was </w:t>
      </w:r>
      <w:r w:rsidRPr="00AE1076">
        <w:rPr>
          <w:rFonts w:eastAsia="Arial Unicode MS" w:cs="Arial Unicode MS"/>
          <w:sz w:val="28"/>
          <w:u w:color="000000"/>
          <w:bdr w:val="nil"/>
          <w:lang w:val="en-US"/>
        </w:rPr>
        <w:t>significant. This evolution was accompanied by a change in the focus of the literature from normative questions such as “What should tax, investment,</w:t>
      </w:r>
      <w:r w:rsidR="002A045E">
        <w:rPr>
          <w:rFonts w:eastAsia="Arial Unicode MS" w:cs="Arial Unicode MS"/>
          <w:sz w:val="28"/>
          <w:u w:color="000000"/>
          <w:bdr w:val="nil"/>
          <w:lang w:val="en-US"/>
        </w:rPr>
        <w:t xml:space="preserve"> and</w:t>
      </w:r>
      <w:r w:rsidRPr="00AE1076">
        <w:rPr>
          <w:rFonts w:eastAsia="Arial Unicode MS" w:cs="Arial Unicode MS"/>
          <w:sz w:val="28"/>
          <w:u w:color="000000"/>
          <w:bdr w:val="nil"/>
          <w:lang w:val="en-US"/>
        </w:rPr>
        <w:t xml:space="preserve"> finances be?” to positive theories addressing questions such as “What are the effects of alternative investment, financing, savings or dividend policies on the value of the firm, bank, state, </w:t>
      </w:r>
      <w:r w:rsidR="002A045E">
        <w:rPr>
          <w:rFonts w:eastAsia="Arial Unicode MS" w:cs="Arial Unicode MS"/>
          <w:sz w:val="28"/>
          <w:u w:color="000000"/>
          <w:bdr w:val="nil"/>
          <w:lang w:val="en-US"/>
        </w:rPr>
        <w:t xml:space="preserve">and </w:t>
      </w:r>
      <w:r w:rsidRPr="00AE1076">
        <w:rPr>
          <w:rFonts w:eastAsia="Arial Unicode MS" w:cs="Arial Unicode MS"/>
          <w:sz w:val="28"/>
          <w:u w:color="000000"/>
          <w:bdr w:val="nil"/>
          <w:lang w:val="en-US"/>
        </w:rPr>
        <w:t>household?”</w:t>
      </w:r>
      <w:r w:rsidR="002A045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This shift in research emphasis was necessary to provide the scientific basis for the formation and analysis of new finance theories.</w:t>
      </w:r>
      <w:r w:rsidR="004E4C2B" w:rsidRPr="00AE1076">
        <w:rPr>
          <w:rFonts w:eastAsia="Arial Unicode MS" w:cs="Arial Unicode MS"/>
          <w:sz w:val="28"/>
          <w:u w:color="000000"/>
          <w:bdr w:val="nil"/>
          <w:lang w:val="en-US"/>
        </w:rPr>
        <w:t xml:space="preserve"> S</w:t>
      </w:r>
      <w:r w:rsidRPr="00AE1076">
        <w:rPr>
          <w:rFonts w:eastAsia="Arial Unicode MS" w:cs="Arial Unicode MS"/>
          <w:sz w:val="28"/>
          <w:u w:color="000000"/>
          <w:bdr w:val="nil"/>
          <w:lang w:val="en-US"/>
        </w:rPr>
        <w:t xml:space="preserve">ince 1950 </w:t>
      </w:r>
      <w:r w:rsidR="004E4C2B" w:rsidRPr="00AE1076">
        <w:rPr>
          <w:rFonts w:eastAsia="Arial Unicode MS" w:cs="Arial Unicode MS"/>
          <w:sz w:val="28"/>
          <w:u w:color="000000"/>
          <w:bdr w:val="nil"/>
          <w:lang w:val="en-US"/>
        </w:rPr>
        <w:t xml:space="preserve">the </w:t>
      </w:r>
      <w:r w:rsidRPr="00AE1076">
        <w:rPr>
          <w:rFonts w:eastAsia="Arial Unicode MS" w:cs="Arial Unicode MS"/>
          <w:b/>
          <w:bCs/>
          <w:sz w:val="28"/>
          <w:u w:color="000000"/>
          <w:bdr w:val="nil"/>
          <w:lang w:val="en-US"/>
        </w:rPr>
        <w:t>main areas in finance research</w:t>
      </w:r>
      <w:r w:rsidR="004E4C2B" w:rsidRPr="00AE1076">
        <w:rPr>
          <w:rFonts w:eastAsia="Arial Unicode MS" w:cs="Arial Unicode MS"/>
          <w:b/>
          <w:bCs/>
          <w:sz w:val="28"/>
          <w:u w:color="000000"/>
          <w:bdr w:val="nil"/>
          <w:lang w:val="en-US"/>
        </w:rPr>
        <w:t xml:space="preserve"> </w:t>
      </w:r>
      <w:r w:rsidR="004E4C2B" w:rsidRPr="00AE1076">
        <w:rPr>
          <w:rFonts w:eastAsia="Arial Unicode MS" w:cs="Arial Unicode MS"/>
          <w:bCs/>
          <w:sz w:val="28"/>
          <w:u w:color="000000"/>
          <w:bdr w:val="nil"/>
          <w:lang w:val="en-US"/>
        </w:rPr>
        <w:t xml:space="preserve">are </w:t>
      </w:r>
      <w:r w:rsidR="00114A68">
        <w:rPr>
          <w:rFonts w:eastAsia="Arial Unicode MS" w:cs="Arial Unicode MS"/>
          <w:bCs/>
          <w:sz w:val="28"/>
          <w:u w:color="000000"/>
          <w:bdr w:val="nil"/>
          <w:lang w:val="en-US"/>
        </w:rPr>
        <w:t xml:space="preserve">the </w:t>
      </w:r>
      <w:r w:rsidR="004E4C2B" w:rsidRPr="00AE1076">
        <w:rPr>
          <w:rFonts w:eastAsia="Arial Unicode MS" w:cs="Arial Unicode MS"/>
          <w:bCs/>
          <w:sz w:val="28"/>
          <w:u w:color="000000"/>
          <w:bdr w:val="nil"/>
          <w:lang w:val="en-US"/>
        </w:rPr>
        <w:t>following:</w:t>
      </w:r>
    </w:p>
    <w:p w14:paraId="324447A8" w14:textId="77777777" w:rsidR="00BE42A0" w:rsidRPr="00AE1076" w:rsidRDefault="004E4C2B" w:rsidP="006F749C">
      <w:pPr>
        <w:pStyle w:val="ListParagraph"/>
        <w:numPr>
          <w:ilvl w:val="0"/>
          <w:numId w:val="93"/>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1076">
        <w:rPr>
          <w:rFonts w:ascii="Garamond" w:eastAsia="Times New Roman" w:hAnsi="Garamond" w:cs="Garamond"/>
          <w:color w:val="auto"/>
          <w:lang w:val="en-US" w:eastAsia="ru-RU" w:bidi="ru-RU"/>
        </w:rPr>
        <w:lastRenderedPageBreak/>
        <w:t>public finance (financing of state budget deficit; state bonds;</w:t>
      </w:r>
      <w:r w:rsidR="002A045E">
        <w:rPr>
          <w:rFonts w:ascii="Garamond" w:eastAsia="Times New Roman" w:hAnsi="Garamond" w:cs="Garamond"/>
          <w:color w:val="auto"/>
          <w:lang w:val="en-US" w:eastAsia="ru-RU" w:bidi="ru-RU"/>
        </w:rPr>
        <w:t xml:space="preserve"> and</w:t>
      </w:r>
      <w:r w:rsidRPr="00AE1076">
        <w:rPr>
          <w:rFonts w:ascii="Garamond" w:eastAsia="Times New Roman" w:hAnsi="Garamond" w:cs="Garamond"/>
          <w:color w:val="auto"/>
          <w:lang w:val="en-US" w:eastAsia="ru-RU" w:bidi="ru-RU"/>
        </w:rPr>
        <w:t xml:space="preserve"> tax policy);</w:t>
      </w:r>
    </w:p>
    <w:p w14:paraId="007DCFB4" w14:textId="77777777" w:rsidR="00BE42A0" w:rsidRPr="00AE1076" w:rsidRDefault="004E4C2B" w:rsidP="006F749C">
      <w:pPr>
        <w:pStyle w:val="ListParagraph"/>
        <w:numPr>
          <w:ilvl w:val="0"/>
          <w:numId w:val="93"/>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1076">
        <w:rPr>
          <w:rFonts w:ascii="Garamond" w:eastAsia="Times New Roman" w:hAnsi="Garamond" w:cs="Garamond"/>
          <w:color w:val="auto"/>
          <w:lang w:val="en-US" w:eastAsia="ru-RU" w:bidi="ru-RU"/>
        </w:rPr>
        <w:t>financial markets (asset pricing; equity, debt, derivatives</w:t>
      </w:r>
      <w:r w:rsidR="002A045E">
        <w:rPr>
          <w:rFonts w:ascii="Garamond" w:eastAsia="Times New Roman" w:hAnsi="Garamond" w:cs="Garamond"/>
          <w:color w:val="auto"/>
          <w:lang w:val="en-US" w:eastAsia="ru-RU" w:bidi="ru-RU"/>
        </w:rPr>
        <w:t>,</w:t>
      </w:r>
      <w:r w:rsidRPr="00AE1076">
        <w:rPr>
          <w:rFonts w:ascii="Garamond" w:eastAsia="Times New Roman" w:hAnsi="Garamond" w:cs="Garamond"/>
          <w:color w:val="auto"/>
          <w:lang w:val="en-US" w:eastAsia="ru-RU" w:bidi="ru-RU"/>
        </w:rPr>
        <w:t xml:space="preserve"> and commodity markets; financial market integration; financial engineering and innovations; portfolio management and diversification; market efficiency; market microstructure);</w:t>
      </w:r>
    </w:p>
    <w:p w14:paraId="7595CD6E" w14:textId="77777777" w:rsidR="00BE42A0" w:rsidRPr="00AE1076" w:rsidRDefault="004E4C2B" w:rsidP="006F749C">
      <w:pPr>
        <w:pStyle w:val="ListParagraph"/>
        <w:numPr>
          <w:ilvl w:val="0"/>
          <w:numId w:val="93"/>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1076">
        <w:rPr>
          <w:rFonts w:ascii="Garamond" w:eastAsia="Times New Roman" w:hAnsi="Garamond" w:cs="Garamond"/>
          <w:color w:val="auto"/>
          <w:lang w:val="en-US" w:eastAsia="ru-RU" w:bidi="ru-RU"/>
        </w:rPr>
        <w:t xml:space="preserve">financial institutions and intermediaries (banking and non-banking financial institutions; central banks and regulatory issues; Islamic finance; mutual funds, hedge funds, and private equity; risk management; investment banking; venture capital; brokerage; ratings and rating agencies); </w:t>
      </w:r>
    </w:p>
    <w:p w14:paraId="0EF6F924" w14:textId="77777777" w:rsidR="00BE42A0" w:rsidRPr="00AE1076" w:rsidRDefault="004E4C2B" w:rsidP="006F749C">
      <w:pPr>
        <w:pStyle w:val="ListParagraph"/>
        <w:numPr>
          <w:ilvl w:val="0"/>
          <w:numId w:val="93"/>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1076">
        <w:rPr>
          <w:rFonts w:ascii="Garamond" w:eastAsia="Times New Roman" w:hAnsi="Garamond" w:cs="Garamond"/>
          <w:color w:val="auto"/>
          <w:lang w:val="en-US" w:eastAsia="ru-RU" w:bidi="ru-RU"/>
        </w:rPr>
        <w:t xml:space="preserve">corporate finance (capital and ownership structure; corporate governance; corporate diversification; financial modeling; mergers and acquisitions; valuation; asset pricing; trading volume; bond interest rates; capital budgeting; fixed investment and inventory studies; bankruptcy; </w:t>
      </w:r>
      <w:r w:rsidR="002A045E">
        <w:rPr>
          <w:rFonts w:ascii="Garamond" w:eastAsia="Times New Roman" w:hAnsi="Garamond" w:cs="Garamond"/>
          <w:color w:val="auto"/>
          <w:lang w:val="en-US" w:eastAsia="ru-RU" w:bidi="ru-RU"/>
        </w:rPr>
        <w:t xml:space="preserve">and </w:t>
      </w:r>
      <w:r w:rsidRPr="00AE1076">
        <w:rPr>
          <w:rFonts w:ascii="Garamond" w:eastAsia="Times New Roman" w:hAnsi="Garamond" w:cs="Garamond"/>
          <w:color w:val="auto"/>
          <w:lang w:val="en-US" w:eastAsia="ru-RU" w:bidi="ru-RU"/>
        </w:rPr>
        <w:t xml:space="preserve">liquidation; </w:t>
      </w:r>
    </w:p>
    <w:p w14:paraId="33C0829E" w14:textId="77777777" w:rsidR="00BE42A0" w:rsidRPr="00AE1076" w:rsidRDefault="004E4C2B" w:rsidP="006F749C">
      <w:pPr>
        <w:pStyle w:val="ListParagraph"/>
        <w:numPr>
          <w:ilvl w:val="0"/>
          <w:numId w:val="93"/>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1076">
        <w:rPr>
          <w:rFonts w:ascii="Garamond" w:eastAsia="Times New Roman" w:hAnsi="Garamond" w:cs="Garamond"/>
          <w:color w:val="auto"/>
          <w:lang w:val="en-US" w:eastAsia="ru-RU" w:bidi="ru-RU"/>
        </w:rPr>
        <w:t>financial economics (exchange rate modeling, financial crises; foreign direct investment; international parities; international trade and finance; monetary and fiscal policy issues; finance and economic development);</w:t>
      </w:r>
    </w:p>
    <w:p w14:paraId="7B5FA523" w14:textId="77777777" w:rsidR="00BE42A0" w:rsidRPr="00AE1076" w:rsidRDefault="004E4C2B" w:rsidP="006F749C">
      <w:pPr>
        <w:pStyle w:val="ListParagraph"/>
        <w:numPr>
          <w:ilvl w:val="0"/>
          <w:numId w:val="93"/>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1076">
        <w:rPr>
          <w:rFonts w:ascii="Garamond" w:eastAsia="Times New Roman" w:hAnsi="Garamond" w:cs="Garamond"/>
          <w:color w:val="auto"/>
          <w:lang w:val="en-US" w:eastAsia="ru-RU" w:bidi="ru-RU"/>
        </w:rPr>
        <w:t xml:space="preserve">investment (portfolio choice; investment decisions, multinational firms; international business; </w:t>
      </w:r>
      <w:r w:rsidR="002A045E">
        <w:rPr>
          <w:rFonts w:ascii="Garamond" w:eastAsia="Times New Roman" w:hAnsi="Garamond" w:cs="Garamond"/>
          <w:color w:val="auto"/>
          <w:lang w:val="en-US" w:eastAsia="ru-RU" w:bidi="ru-RU"/>
        </w:rPr>
        <w:t xml:space="preserve">and </w:t>
      </w:r>
      <w:r w:rsidRPr="00AE1076">
        <w:rPr>
          <w:rFonts w:ascii="Garamond" w:eastAsia="Times New Roman" w:hAnsi="Garamond" w:cs="Garamond"/>
          <w:color w:val="auto"/>
          <w:lang w:val="en-US" w:eastAsia="ru-RU" w:bidi="ru-RU"/>
        </w:rPr>
        <w:t xml:space="preserve">derivatives);   </w:t>
      </w:r>
    </w:p>
    <w:p w14:paraId="1F4F2355" w14:textId="77777777" w:rsidR="00BE42A0" w:rsidRPr="00AE1076" w:rsidRDefault="004E4C2B" w:rsidP="006F749C">
      <w:pPr>
        <w:pStyle w:val="ListParagraph"/>
        <w:numPr>
          <w:ilvl w:val="0"/>
          <w:numId w:val="93"/>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1076">
        <w:rPr>
          <w:rFonts w:ascii="Garamond" w:eastAsia="Times New Roman" w:hAnsi="Garamond" w:cs="Garamond"/>
          <w:color w:val="auto"/>
          <w:lang w:val="en-US" w:eastAsia="ru-RU" w:bidi="ru-RU"/>
        </w:rPr>
        <w:t>personal finance (personnel management; intertemporal consumer choice; life cycle models and saving).</w:t>
      </w:r>
    </w:p>
    <w:p w14:paraId="3A0B31D8" w14:textId="77777777" w:rsidR="00CE7CA3" w:rsidRPr="00AE1076" w:rsidRDefault="00BE42A0" w:rsidP="0093712A">
      <w:pPr>
        <w:pBdr>
          <w:top w:val="nil"/>
          <w:left w:val="nil"/>
          <w:bottom w:val="nil"/>
          <w:right w:val="nil"/>
          <w:between w:val="nil"/>
          <w:bar w:val="nil"/>
        </w:pBdr>
        <w:tabs>
          <w:tab w:val="left" w:pos="567"/>
        </w:tabs>
        <w:spacing w:line="312" w:lineRule="auto"/>
        <w:ind w:firstLine="709"/>
        <w:jc w:val="both"/>
        <w:rPr>
          <w:rFonts w:eastAsia="Arial Unicode MS" w:cs="Arial Unicode MS"/>
          <w:sz w:val="28"/>
          <w:u w:color="000000"/>
          <w:bdr w:val="nil"/>
          <w:lang w:val="en-US"/>
        </w:rPr>
      </w:pPr>
      <w:r w:rsidRPr="00AE1076">
        <w:rPr>
          <w:rFonts w:eastAsia="Arial Unicode MS" w:cs="Arial Unicode MS"/>
          <w:sz w:val="28"/>
          <w:u w:color="000000"/>
          <w:bdr w:val="nil"/>
          <w:lang w:val="en-US"/>
        </w:rPr>
        <w:t>According to the areas of finance</w:t>
      </w:r>
      <w:r w:rsidR="002A045E">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the </w:t>
      </w:r>
      <w:r w:rsidRPr="00AE1076">
        <w:rPr>
          <w:rFonts w:eastAsia="Arial Unicode MS" w:cs="Arial Unicode MS"/>
          <w:b/>
          <w:bCs/>
          <w:sz w:val="28"/>
          <w:u w:color="000000"/>
          <w:bdr w:val="nil"/>
          <w:lang w:val="en-US"/>
        </w:rPr>
        <w:t>financial theories</w:t>
      </w:r>
      <w:r w:rsidRPr="00AE1076">
        <w:rPr>
          <w:rFonts w:eastAsia="Arial Unicode MS" w:cs="Arial Unicode MS"/>
          <w:sz w:val="28"/>
          <w:u w:color="000000"/>
          <w:bdr w:val="nil"/>
          <w:lang w:val="en-US"/>
        </w:rPr>
        <w:t xml:space="preserve"> have formed. </w:t>
      </w:r>
      <w:r w:rsidRPr="00AE1076">
        <w:rPr>
          <w:rFonts w:eastAsia="Arial Unicode MS" w:cs="Arial Unicode MS"/>
          <w:b/>
          <w:bCs/>
          <w:sz w:val="28"/>
          <w:u w:color="000000"/>
          <w:bdr w:val="nil"/>
          <w:lang w:val="en-US"/>
        </w:rPr>
        <w:t>Theory of investment</w:t>
      </w:r>
      <w:r w:rsidR="00CE7CA3" w:rsidRPr="00AE1076">
        <w:rPr>
          <w:rFonts w:eastAsia="Arial Unicode MS" w:cs="Arial Unicode MS"/>
          <w:b/>
          <w:bCs/>
          <w:sz w:val="28"/>
          <w:u w:color="000000"/>
          <w:bdr w:val="nil"/>
          <w:lang w:val="en-US"/>
        </w:rPr>
        <w:t xml:space="preserve"> </w:t>
      </w:r>
      <w:r w:rsidRPr="00AE1076">
        <w:rPr>
          <w:rFonts w:eastAsia="Arial Unicode MS" w:cs="Arial Unicode MS"/>
          <w:sz w:val="28"/>
          <w:u w:color="000000"/>
          <w:bdr w:val="nil"/>
          <w:lang w:val="en-US"/>
        </w:rPr>
        <w:t>proposed by Miller and Modigliani (1958) argues that “the value of a firm is independent of its capital structure”. Dividends and capital structure are irrelevant in the determination of stock prices in the market; instead, the market value of a firm is based on the “earning power of the assets currently held and on the size and relative profitability of the investment opportunities”.</w:t>
      </w:r>
      <w:r w:rsidR="00CE7CA3" w:rsidRPr="00AE1076">
        <w:rPr>
          <w:rFonts w:eastAsia="Arial Unicode MS" w:cs="Arial Unicode MS"/>
          <w:sz w:val="28"/>
          <w:u w:color="000000"/>
          <w:bdr w:val="nil"/>
          <w:lang w:val="en-US"/>
        </w:rPr>
        <w:t xml:space="preserve"> </w:t>
      </w:r>
    </w:p>
    <w:p w14:paraId="5A840DA0" w14:textId="77777777" w:rsidR="00CE7CA3" w:rsidRPr="00AE1076" w:rsidRDefault="00BE42A0" w:rsidP="0093712A">
      <w:pPr>
        <w:pBdr>
          <w:top w:val="nil"/>
          <w:left w:val="nil"/>
          <w:bottom w:val="nil"/>
          <w:right w:val="nil"/>
          <w:between w:val="nil"/>
          <w:bar w:val="nil"/>
        </w:pBdr>
        <w:tabs>
          <w:tab w:val="left" w:pos="567"/>
        </w:tabs>
        <w:spacing w:line="312" w:lineRule="auto"/>
        <w:ind w:firstLine="709"/>
        <w:jc w:val="both"/>
        <w:rPr>
          <w:rFonts w:eastAsia="Garamond"/>
          <w:sz w:val="28"/>
          <w:u w:color="000000"/>
          <w:bdr w:val="nil"/>
          <w:lang w:val="en-US"/>
        </w:rPr>
      </w:pPr>
      <w:r w:rsidRPr="00AE1076">
        <w:rPr>
          <w:rFonts w:eastAsia="Arial Unicode MS" w:cs="Arial Unicode MS"/>
          <w:b/>
          <w:bCs/>
          <w:sz w:val="28"/>
          <w:u w:color="000000"/>
          <w:bdr w:val="nil"/>
          <w:lang w:val="en-US"/>
        </w:rPr>
        <w:t>Agency Cost Theory</w:t>
      </w:r>
      <w:r w:rsidR="00CE7CA3" w:rsidRPr="00AE1076">
        <w:rPr>
          <w:rFonts w:eastAsia="Arial Unicode MS" w:cs="Arial Unicode MS"/>
          <w:b/>
          <w:bCs/>
          <w:sz w:val="28"/>
          <w:u w:color="000000"/>
          <w:bdr w:val="nil"/>
          <w:lang w:val="en-US"/>
        </w:rPr>
        <w:t xml:space="preserve"> </w:t>
      </w:r>
      <w:r w:rsidRPr="00AE1076">
        <w:rPr>
          <w:rFonts w:eastAsia="Arial Unicode MS" w:cs="Arial Unicode MS"/>
          <w:sz w:val="28"/>
          <w:u w:color="000000"/>
          <w:bdr w:val="nil"/>
          <w:lang w:val="en-US"/>
        </w:rPr>
        <w:t>proposed by Jensen and Meckling (1976) analyzes the conflict between shareholders and managers – agents of shareholders. Conflict arises because shareholders require payouts for their investment, reducing internal resources controlled by managers. Since managers are compensated on the basis of accounting profits, it increases the incentives to manipulate information and/or favor projects with poor NPV if they provide immediate profits. This has negative consequences of the potential loss in value of public corporations.</w:t>
      </w:r>
    </w:p>
    <w:p w14:paraId="170B8B05" w14:textId="77777777" w:rsidR="00CE7CA3" w:rsidRPr="00AE1076" w:rsidRDefault="00BE42A0" w:rsidP="0093712A">
      <w:pPr>
        <w:pBdr>
          <w:top w:val="nil"/>
          <w:left w:val="nil"/>
          <w:bottom w:val="nil"/>
          <w:right w:val="nil"/>
          <w:between w:val="nil"/>
          <w:bar w:val="nil"/>
        </w:pBdr>
        <w:tabs>
          <w:tab w:val="left" w:pos="567"/>
        </w:tabs>
        <w:spacing w:line="312" w:lineRule="auto"/>
        <w:ind w:firstLine="709"/>
        <w:jc w:val="both"/>
        <w:rPr>
          <w:rFonts w:eastAsia="Arial Unicode MS" w:cs="Arial Unicode MS"/>
          <w:sz w:val="28"/>
          <w:u w:color="000000"/>
          <w:bdr w:val="nil"/>
          <w:lang w:val="en-US"/>
        </w:rPr>
      </w:pPr>
      <w:r w:rsidRPr="00AE1076">
        <w:rPr>
          <w:rFonts w:eastAsia="Arial Unicode MS" w:cs="Arial Unicode MS"/>
          <w:b/>
          <w:bCs/>
          <w:sz w:val="28"/>
          <w:u w:color="000000"/>
          <w:bdr w:val="nil"/>
          <w:lang w:val="en-US"/>
        </w:rPr>
        <w:lastRenderedPageBreak/>
        <w:t>Theory of the stock market efficiency</w:t>
      </w:r>
      <w:r w:rsidR="00CE7CA3" w:rsidRPr="00AE1076">
        <w:rPr>
          <w:rFonts w:eastAsia="Arial Unicode MS" w:cs="Arial Unicode MS"/>
          <w:sz w:val="28"/>
          <w:u w:color="000000"/>
          <w:bdr w:val="nil"/>
          <w:lang w:val="en-US"/>
        </w:rPr>
        <w:t xml:space="preserve"> </w:t>
      </w:r>
      <w:r w:rsidR="00114A68">
        <w:rPr>
          <w:rFonts w:eastAsia="Arial Unicode MS" w:cs="Arial Unicode MS"/>
          <w:sz w:val="28"/>
          <w:u w:color="000000"/>
          <w:bdr w:val="nil"/>
          <w:lang w:val="en-US"/>
        </w:rPr>
        <w:t>was</w:t>
      </w:r>
      <w:r w:rsidR="00AE69A1">
        <w:rPr>
          <w:rFonts w:eastAsia="Arial Unicode MS" w:cs="Arial Unicode MS"/>
          <w:sz w:val="28"/>
          <w:u w:color="000000"/>
          <w:bdr w:val="nil"/>
          <w:lang w:val="en-US"/>
        </w:rPr>
        <w:t xml:space="preserve"> </w:t>
      </w:r>
      <w:r w:rsidRPr="00AE1076">
        <w:rPr>
          <w:rFonts w:eastAsia="Arial Unicode MS" w:cs="Arial Unicode MS"/>
          <w:sz w:val="28"/>
          <w:u w:color="000000"/>
          <w:bdr w:val="nil"/>
          <w:lang w:val="en-US"/>
        </w:rPr>
        <w:t>discussed by Fama (1965) and French (1965). Efficient markets are characterized by competition among “profit maximizers” who attempt to estimate the value of securities in the future relying on the information they have.</w:t>
      </w:r>
    </w:p>
    <w:p w14:paraId="30E0F4C4" w14:textId="77777777" w:rsidR="00CE7CA3" w:rsidRPr="00AE1076" w:rsidRDefault="00BE42A0" w:rsidP="0093712A">
      <w:pPr>
        <w:pBdr>
          <w:top w:val="nil"/>
          <w:left w:val="nil"/>
          <w:bottom w:val="nil"/>
          <w:right w:val="nil"/>
          <w:between w:val="nil"/>
          <w:bar w:val="nil"/>
        </w:pBdr>
        <w:tabs>
          <w:tab w:val="left" w:pos="567"/>
        </w:tabs>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 xml:space="preserve">The </w:t>
      </w:r>
      <w:r w:rsidRPr="00AE1076">
        <w:rPr>
          <w:rFonts w:eastAsia="Arial Unicode MS" w:cs="Arial Unicode MS"/>
          <w:b/>
          <w:sz w:val="28"/>
          <w:u w:color="000000"/>
          <w:bdr w:val="nil"/>
          <w:lang w:val="en-US"/>
        </w:rPr>
        <w:t>theory of Discounted Cash Flow (DCF)</w:t>
      </w:r>
      <w:r w:rsidRPr="00AE1076">
        <w:rPr>
          <w:rFonts w:eastAsia="Arial Unicode MS" w:cs="Arial Unicode MS"/>
          <w:sz w:val="28"/>
          <w:u w:color="000000"/>
          <w:bdr w:val="nil"/>
          <w:lang w:val="en-US"/>
        </w:rPr>
        <w:t xml:space="preserve"> </w:t>
      </w:r>
      <w:r w:rsidR="00AE69A1">
        <w:rPr>
          <w:rFonts w:eastAsia="Arial Unicode MS" w:cs="Arial Unicode MS"/>
          <w:sz w:val="28"/>
          <w:u w:color="000000"/>
          <w:bdr w:val="nil"/>
          <w:lang w:val="en-US"/>
        </w:rPr>
        <w:t xml:space="preserve">is </w:t>
      </w:r>
      <w:r w:rsidRPr="00AE1076">
        <w:rPr>
          <w:rFonts w:eastAsia="Arial Unicode MS" w:cs="Arial Unicode MS"/>
          <w:sz w:val="28"/>
          <w:u w:color="000000"/>
          <w:bdr w:val="nil"/>
          <w:lang w:val="en-US"/>
        </w:rPr>
        <w:t>used in capital budgeting or project valuation, asset valuation and securities valuation.</w:t>
      </w:r>
      <w:r w:rsidRPr="00AE1076">
        <w:rPr>
          <w:rFonts w:eastAsia="Arial Unicode MS" w:cs="Arial Unicode MS"/>
          <w:b/>
          <w:bCs/>
          <w:sz w:val="28"/>
          <w:u w:color="000000"/>
          <w:bdr w:val="nil"/>
          <w:lang w:val="en-US"/>
        </w:rPr>
        <w:t xml:space="preserve"> </w:t>
      </w:r>
      <w:r w:rsidRPr="00AE1076">
        <w:rPr>
          <w:rFonts w:eastAsia="Arial Unicode MS" w:cs="Arial Unicode MS"/>
          <w:sz w:val="28"/>
          <w:u w:color="000000"/>
          <w:bdr w:val="nil"/>
          <w:lang w:val="en-US"/>
        </w:rPr>
        <w:t xml:space="preserve">DCF compares the future returns </w:t>
      </w:r>
      <w:r w:rsidR="00CE7CA3" w:rsidRPr="00AE1076">
        <w:rPr>
          <w:rFonts w:eastAsia="Arial Unicode MS" w:cs="Arial Unicode MS"/>
          <w:sz w:val="28"/>
          <w:u w:color="000000"/>
          <w:bdr w:val="nil"/>
          <w:lang w:val="en-US"/>
        </w:rPr>
        <w:t>of potential</w:t>
      </w:r>
      <w:r w:rsidRPr="00AE1076">
        <w:rPr>
          <w:rFonts w:eastAsia="Arial Unicode MS" w:cs="Arial Unicode MS"/>
          <w:sz w:val="28"/>
          <w:u w:color="000000"/>
          <w:bdr w:val="nil"/>
          <w:lang w:val="en-US"/>
        </w:rPr>
        <w:t xml:space="preserve"> projects by discounting the future cash flow at a rate that reflects the yield of similar securities in the market. </w:t>
      </w:r>
    </w:p>
    <w:p w14:paraId="411AD4A7" w14:textId="77777777" w:rsidR="00AE69A1" w:rsidRDefault="00BE42A0" w:rsidP="0093712A">
      <w:pPr>
        <w:pBdr>
          <w:top w:val="nil"/>
          <w:left w:val="nil"/>
          <w:bottom w:val="nil"/>
          <w:right w:val="nil"/>
          <w:between w:val="nil"/>
          <w:bar w:val="nil"/>
        </w:pBdr>
        <w:tabs>
          <w:tab w:val="left" w:pos="567"/>
        </w:tabs>
        <w:spacing w:line="312" w:lineRule="auto"/>
        <w:ind w:firstLine="709"/>
        <w:jc w:val="both"/>
        <w:rPr>
          <w:rFonts w:eastAsia="Arial Unicode MS" w:cs="Arial Unicode MS"/>
          <w:sz w:val="28"/>
          <w:u w:color="000000"/>
          <w:bdr w:val="nil"/>
          <w:lang w:val="en-US"/>
        </w:rPr>
      </w:pPr>
      <w:r w:rsidRPr="00AE1076">
        <w:rPr>
          <w:rFonts w:eastAsia="Arial Unicode MS" w:cs="Arial Unicode MS"/>
          <w:b/>
          <w:bCs/>
          <w:sz w:val="28"/>
          <w:u w:color="000000"/>
          <w:bdr w:val="nil"/>
          <w:lang w:val="en-US"/>
        </w:rPr>
        <w:t>Behavioral finance theory</w:t>
      </w:r>
      <w:r w:rsidR="00CE7CA3" w:rsidRPr="00AE1076">
        <w:rPr>
          <w:rFonts w:eastAsia="Arial Unicode MS" w:cs="Arial Unicode MS"/>
          <w:b/>
          <w:bCs/>
          <w:sz w:val="28"/>
          <w:u w:color="000000"/>
          <w:bdr w:val="nil"/>
          <w:lang w:val="en-US"/>
        </w:rPr>
        <w:t xml:space="preserve"> </w:t>
      </w:r>
      <w:r w:rsidRPr="00AE1076">
        <w:rPr>
          <w:rFonts w:eastAsia="Arial Unicode MS" w:cs="Arial Unicode MS"/>
          <w:sz w:val="28"/>
          <w:u w:color="000000"/>
          <w:bdr w:val="nil"/>
          <w:lang w:val="en-US"/>
        </w:rPr>
        <w:t xml:space="preserve">is the study of the impact of psychology on the behavior of market participants. According to behavioral finance, market prices are in large part determined by irrational investors affected by these biases. Some of the most commonly mentioned are: </w:t>
      </w:r>
    </w:p>
    <w:p w14:paraId="3D5CCF27" w14:textId="77777777" w:rsidR="00AE69A1" w:rsidRPr="00AE69A1" w:rsidRDefault="00BE42A0" w:rsidP="006F749C">
      <w:pPr>
        <w:pStyle w:val="ListParagraph"/>
        <w:numPr>
          <w:ilvl w:val="0"/>
          <w:numId w:val="265"/>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69A1">
        <w:rPr>
          <w:rFonts w:ascii="Garamond" w:eastAsia="Times New Roman" w:hAnsi="Garamond" w:cs="Garamond"/>
          <w:color w:val="auto"/>
          <w:lang w:val="en-US" w:eastAsia="ru-RU" w:bidi="ru-RU"/>
        </w:rPr>
        <w:t xml:space="preserve">Loss aversion  – people have a tendency to prefer avoiding losses to posting gains. A loss of $100 generally hurts more than a gain of $100 satisfies. This leads to an increase in risk aversion. </w:t>
      </w:r>
    </w:p>
    <w:p w14:paraId="2C83E5C2" w14:textId="77777777" w:rsidR="00AE69A1" w:rsidRPr="00AE69A1" w:rsidRDefault="00BE42A0" w:rsidP="006F749C">
      <w:pPr>
        <w:pStyle w:val="ListParagraph"/>
        <w:numPr>
          <w:ilvl w:val="0"/>
          <w:numId w:val="265"/>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69A1">
        <w:rPr>
          <w:rFonts w:ascii="Garamond" w:eastAsia="Times New Roman" w:hAnsi="Garamond" w:cs="Garamond"/>
          <w:color w:val="auto"/>
          <w:lang w:val="en-US" w:eastAsia="ru-RU" w:bidi="ru-RU"/>
        </w:rPr>
        <w:t xml:space="preserve">Anchoring – people have a tendency to rely too heavily on one piece of information when making a decision. In the investment world, this bias is best exemplified by equity research analysts, who are notoriously slow at adjusting their views. </w:t>
      </w:r>
    </w:p>
    <w:p w14:paraId="5B120E1B" w14:textId="77777777" w:rsidR="00CE7CA3" w:rsidRPr="00AE69A1" w:rsidRDefault="00BE42A0" w:rsidP="006F749C">
      <w:pPr>
        <w:pStyle w:val="ListParagraph"/>
        <w:numPr>
          <w:ilvl w:val="0"/>
          <w:numId w:val="265"/>
        </w:numPr>
        <w:tabs>
          <w:tab w:val="clear" w:pos="210"/>
        </w:tabs>
        <w:spacing w:after="0" w:line="312" w:lineRule="auto"/>
        <w:ind w:left="1077" w:hanging="368"/>
        <w:jc w:val="both"/>
        <w:rPr>
          <w:rFonts w:ascii="Garamond" w:eastAsia="Times New Roman" w:hAnsi="Garamond" w:cs="Garamond"/>
          <w:color w:val="auto"/>
          <w:lang w:val="en-US" w:eastAsia="ru-RU" w:bidi="ru-RU"/>
        </w:rPr>
      </w:pPr>
      <w:r w:rsidRPr="00AE69A1">
        <w:rPr>
          <w:rFonts w:ascii="Garamond" w:eastAsia="Times New Roman" w:hAnsi="Garamond" w:cs="Garamond"/>
          <w:color w:val="auto"/>
          <w:lang w:val="en-US" w:eastAsia="ru-RU" w:bidi="ru-RU"/>
        </w:rPr>
        <w:t>Mental accounting – people have a tendency to code, categorize</w:t>
      </w:r>
      <w:r w:rsidR="00AE69A1" w:rsidRPr="00AE69A1">
        <w:rPr>
          <w:rFonts w:ascii="Garamond" w:eastAsia="Times New Roman" w:hAnsi="Garamond" w:cs="Garamond"/>
          <w:color w:val="auto"/>
          <w:lang w:val="en-US" w:eastAsia="ru-RU" w:bidi="ru-RU"/>
        </w:rPr>
        <w:t>,</w:t>
      </w:r>
      <w:r w:rsidRPr="00AE69A1">
        <w:rPr>
          <w:rFonts w:ascii="Garamond" w:eastAsia="Times New Roman" w:hAnsi="Garamond" w:cs="Garamond"/>
          <w:color w:val="auto"/>
          <w:lang w:val="en-US" w:eastAsia="ru-RU" w:bidi="ru-RU"/>
        </w:rPr>
        <w:t xml:space="preserve"> and evaluate economic outcomes. An example of this is the tendency of investors to frame specific investments</w:t>
      </w:r>
      <w:r w:rsidR="00CE7CA3" w:rsidRPr="00AE69A1">
        <w:rPr>
          <w:rFonts w:ascii="Garamond" w:eastAsia="Times New Roman" w:hAnsi="Garamond" w:cs="Garamond"/>
          <w:color w:val="auto"/>
          <w:lang w:val="en-US" w:eastAsia="ru-RU" w:bidi="ru-RU"/>
        </w:rPr>
        <w:t>.</w:t>
      </w:r>
    </w:p>
    <w:p w14:paraId="5EB3F859" w14:textId="77777777" w:rsidR="00CE7CA3" w:rsidRPr="00AE1076" w:rsidRDefault="00CE7CA3" w:rsidP="0093712A">
      <w:pPr>
        <w:pBdr>
          <w:top w:val="nil"/>
          <w:left w:val="nil"/>
          <w:bottom w:val="nil"/>
          <w:right w:val="nil"/>
          <w:between w:val="nil"/>
          <w:bar w:val="nil"/>
        </w:pBdr>
        <w:tabs>
          <w:tab w:val="left" w:pos="567"/>
        </w:tabs>
        <w:spacing w:line="312" w:lineRule="auto"/>
        <w:ind w:firstLine="709"/>
        <w:jc w:val="both"/>
        <w:rPr>
          <w:rFonts w:eastAsia="Garamond"/>
          <w:sz w:val="28"/>
          <w:u w:color="000000"/>
          <w:bdr w:val="nil"/>
          <w:lang w:val="en-US"/>
        </w:rPr>
      </w:pPr>
      <w:r w:rsidRPr="00AE1076">
        <w:rPr>
          <w:rFonts w:eastAsia="Arial Unicode MS" w:cs="Arial Unicode MS"/>
          <w:b/>
          <w:bCs/>
          <w:sz w:val="28"/>
          <w:u w:color="000000"/>
          <w:bdr w:val="nil"/>
          <w:lang w:val="en-US"/>
        </w:rPr>
        <w:t>C</w:t>
      </w:r>
      <w:r w:rsidR="00BE42A0" w:rsidRPr="00AE1076">
        <w:rPr>
          <w:rFonts w:eastAsia="Arial Unicode MS" w:cs="Arial Unicode MS"/>
          <w:b/>
          <w:bCs/>
          <w:sz w:val="28"/>
          <w:u w:color="000000"/>
          <w:bdr w:val="nil"/>
          <w:lang w:val="en-US"/>
        </w:rPr>
        <w:t>apital Asset Pricing Theory (CAPM)</w:t>
      </w:r>
      <w:r w:rsidR="00AE69A1">
        <w:rPr>
          <w:rFonts w:eastAsia="Arial Unicode MS" w:cs="Arial Unicode MS"/>
          <w:b/>
          <w:bCs/>
          <w:sz w:val="28"/>
          <w:u w:color="000000"/>
          <w:bdr w:val="nil"/>
          <w:lang w:val="en-US"/>
        </w:rPr>
        <w:t>,</w:t>
      </w:r>
      <w:r w:rsidRPr="00AE1076">
        <w:rPr>
          <w:rFonts w:eastAsia="Arial Unicode MS" w:cs="Arial Unicode MS"/>
          <w:b/>
          <w:bCs/>
          <w:sz w:val="28"/>
          <w:u w:color="000000"/>
          <w:bdr w:val="nil"/>
          <w:lang w:val="en-US"/>
        </w:rPr>
        <w:t xml:space="preserve"> </w:t>
      </w:r>
      <w:r w:rsidR="00BE42A0" w:rsidRPr="00AE1076">
        <w:rPr>
          <w:rFonts w:eastAsia="Arial Unicode MS" w:cs="Arial Unicode MS"/>
          <w:sz w:val="28"/>
          <w:u w:color="000000"/>
          <w:bdr w:val="nil"/>
          <w:lang w:val="en-US"/>
        </w:rPr>
        <w:t>presented by Treynor (1961), Sharpe (1964), Lintner (1965) and Mossin (1966)</w:t>
      </w:r>
      <w:r w:rsidR="00AE69A1">
        <w:rPr>
          <w:rFonts w:eastAsia="Arial Unicode MS" w:cs="Arial Unicode MS"/>
          <w:sz w:val="28"/>
          <w:u w:color="000000"/>
          <w:bdr w:val="nil"/>
          <w:lang w:val="en-US"/>
        </w:rPr>
        <w:t>,</w:t>
      </w:r>
      <w:r w:rsidR="00BE42A0" w:rsidRPr="00AE1076">
        <w:rPr>
          <w:rFonts w:eastAsia="Arial Unicode MS" w:cs="Arial Unicode MS"/>
          <w:sz w:val="28"/>
          <w:u w:color="000000"/>
          <w:bdr w:val="nil"/>
          <w:lang w:val="en-US"/>
        </w:rPr>
        <w:t xml:space="preserve"> is used to determine a theoretically appropriate required rate of return of an asset, if that asset is to be added to an already well-diversified portfolio, given that asset's non-diversifiable risk. The model takes into account the asset's sensitivity to non-diversifiable risk (also known as systematic risk or market risk), as well as the expected return of the market and the expected return of a theoretical risk-free asset. </w:t>
      </w:r>
    </w:p>
    <w:p w14:paraId="394B66AB" w14:textId="77777777" w:rsidR="00CE7CA3" w:rsidRPr="00AE1076" w:rsidRDefault="00BE42A0" w:rsidP="0093712A">
      <w:pPr>
        <w:pBdr>
          <w:top w:val="nil"/>
          <w:left w:val="nil"/>
          <w:bottom w:val="nil"/>
          <w:right w:val="nil"/>
          <w:between w:val="nil"/>
          <w:bar w:val="nil"/>
        </w:pBdr>
        <w:tabs>
          <w:tab w:val="left" w:pos="567"/>
        </w:tabs>
        <w:spacing w:line="312" w:lineRule="auto"/>
        <w:ind w:firstLine="709"/>
        <w:jc w:val="both"/>
        <w:rPr>
          <w:rFonts w:eastAsia="Arial Unicode MS" w:cs="Arial Unicode MS"/>
          <w:sz w:val="28"/>
          <w:u w:color="000000"/>
          <w:bdr w:val="nil"/>
          <w:lang w:val="en-US"/>
        </w:rPr>
      </w:pPr>
      <w:r w:rsidRPr="00AE1076">
        <w:rPr>
          <w:rFonts w:eastAsia="Arial Unicode MS" w:cs="Arial Unicode MS"/>
          <w:b/>
          <w:bCs/>
          <w:sz w:val="28"/>
          <w:u w:color="000000"/>
          <w:bdr w:val="nil"/>
          <w:lang w:val="en-US"/>
        </w:rPr>
        <w:t>Financial liberalization theory of IMF</w:t>
      </w:r>
      <w:r w:rsidRPr="00AE1076">
        <w:rPr>
          <w:rFonts w:eastAsia="Arial Unicode MS" w:cs="Arial Unicode MS"/>
          <w:sz w:val="28"/>
          <w:u w:color="000000"/>
          <w:bdr w:val="nil"/>
          <w:lang w:val="en-US"/>
        </w:rPr>
        <w:t xml:space="preserve"> originated in the separate work of McKinnon (1973) and Shaw (1973). The hypothesis supporting this theory proposed that financial development and economic growth were strongly attached. The more liberalization of financial systems, the more growth in economic development. </w:t>
      </w:r>
    </w:p>
    <w:p w14:paraId="1CAE7D06" w14:textId="77777777" w:rsidR="00BE42A0" w:rsidRPr="00AE1076" w:rsidRDefault="00BE42A0" w:rsidP="0093712A">
      <w:pPr>
        <w:pBdr>
          <w:top w:val="nil"/>
          <w:left w:val="nil"/>
          <w:bottom w:val="nil"/>
          <w:right w:val="nil"/>
          <w:between w:val="nil"/>
          <w:bar w:val="nil"/>
        </w:pBdr>
        <w:tabs>
          <w:tab w:val="left" w:pos="567"/>
        </w:tabs>
        <w:spacing w:line="312" w:lineRule="auto"/>
        <w:ind w:firstLine="709"/>
        <w:jc w:val="both"/>
        <w:rPr>
          <w:rFonts w:eastAsia="Garamond"/>
          <w:sz w:val="28"/>
          <w:u w:color="000000"/>
          <w:bdr w:val="nil"/>
          <w:lang w:val="en-US"/>
        </w:rPr>
      </w:pPr>
      <w:r w:rsidRPr="00AE1076">
        <w:rPr>
          <w:rFonts w:eastAsia="Arial Unicode MS" w:cs="Arial Unicode MS"/>
          <w:b/>
          <w:bCs/>
          <w:sz w:val="28"/>
          <w:u w:color="000000"/>
          <w:bdr w:val="nil"/>
          <w:lang w:val="en-US"/>
        </w:rPr>
        <w:lastRenderedPageBreak/>
        <w:t>Financial structure theory</w:t>
      </w:r>
      <w:r w:rsidRPr="00AE1076">
        <w:rPr>
          <w:rFonts w:eastAsia="Arial Unicode MS" w:cs="Arial Unicode MS"/>
          <w:sz w:val="28"/>
          <w:u w:color="000000"/>
          <w:bdr w:val="nil"/>
          <w:lang w:val="en-US"/>
        </w:rPr>
        <w:t>. In the 1960s, Raymond Goldsmith (1969) gave stylized facts on financial structure and economic development. He found that in the course of economic development, a country’s financial system grows more rapidly than national wealth. It appears that the main determinant of the relative size of a country’s financial system is the separation of the functions of saving and investing among different (groups of) economic units. This observation sounds remarkably modern. Since the early 1990s, there has been growing recognition of the positive impact of financial intermediation on the economy. Both theoretical and empirical studies find that a well-developed financial system is beneficial to the economy as a whole. Basically, the argument behind this idea is that the efficient allocation of capital within an economy fosters economic growth. Financial intermediation can affect economic growth by acting on the saving rate, on the fraction of saving channeled to investment</w:t>
      </w:r>
      <w:r w:rsidR="00AE69A1">
        <w:rPr>
          <w:rFonts w:eastAsia="Arial Unicode MS" w:cs="Arial Unicode MS"/>
          <w:sz w:val="28"/>
          <w:u w:color="000000"/>
          <w:bdr w:val="nil"/>
          <w:lang w:val="en-US"/>
        </w:rPr>
        <w:t>,</w:t>
      </w:r>
      <w:r w:rsidRPr="00AE1076">
        <w:rPr>
          <w:rFonts w:eastAsia="Arial Unicode MS" w:cs="Arial Unicode MS"/>
          <w:sz w:val="28"/>
          <w:u w:color="000000"/>
          <w:bdr w:val="nil"/>
          <w:lang w:val="en-US"/>
        </w:rPr>
        <w:t xml:space="preserve"> or on the social marginal productivity of investment. In general, financial development will be positive for economic growth.</w:t>
      </w:r>
    </w:p>
    <w:p w14:paraId="6CFF0CEB" w14:textId="77777777" w:rsidR="00BE42A0" w:rsidRPr="00AE1076" w:rsidRDefault="00BE42A0" w:rsidP="0093712A">
      <w:pPr>
        <w:pBdr>
          <w:top w:val="nil"/>
          <w:left w:val="nil"/>
          <w:bottom w:val="nil"/>
          <w:right w:val="nil"/>
          <w:between w:val="nil"/>
          <w:bar w:val="nil"/>
        </w:pBdr>
        <w:tabs>
          <w:tab w:val="left" w:pos="567"/>
        </w:tabs>
        <w:spacing w:line="312" w:lineRule="auto"/>
        <w:ind w:firstLine="709"/>
        <w:jc w:val="both"/>
        <w:rPr>
          <w:rFonts w:eastAsia="Garamond"/>
          <w:sz w:val="28"/>
          <w:u w:color="000000"/>
          <w:bdr w:val="nil"/>
          <w:lang w:val="en-US"/>
        </w:rPr>
      </w:pPr>
      <w:r w:rsidRPr="00AE1076">
        <w:rPr>
          <w:rFonts w:eastAsia="Arial Unicode MS" w:cs="Arial Unicode MS"/>
          <w:sz w:val="28"/>
          <w:u w:color="000000"/>
          <w:bdr w:val="nil"/>
          <w:lang w:val="en-US"/>
        </w:rPr>
        <w:t>Today all over, regardless of the political and economic position of the state, finances are in a new stage of development. It appears</w:t>
      </w:r>
      <w:r w:rsidR="00AE69A1">
        <w:rPr>
          <w:rFonts w:eastAsia="Arial Unicode MS" w:cs="Arial Unicode MS"/>
          <w:sz w:val="28"/>
          <w:u w:color="000000"/>
          <w:bdr w:val="nil"/>
          <w:lang w:val="en-US"/>
        </w:rPr>
        <w:t xml:space="preserve"> that</w:t>
      </w:r>
      <w:r w:rsidRPr="00AE1076">
        <w:rPr>
          <w:rFonts w:eastAsia="Arial Unicode MS" w:cs="Arial Unicode MS"/>
          <w:sz w:val="28"/>
          <w:u w:color="000000"/>
          <w:bdr w:val="nil"/>
          <w:lang w:val="en-US"/>
        </w:rPr>
        <w:t xml:space="preserve"> fundamentally new forms of financial relations that play major role in country’s future prosperity.</w:t>
      </w:r>
    </w:p>
    <w:p w14:paraId="0F9F86FD" w14:textId="77777777" w:rsidR="00BE42A0" w:rsidRPr="00AE1076" w:rsidRDefault="007557BC" w:rsidP="00CE7CA3">
      <w:pPr>
        <w:pStyle w:val="end2"/>
        <w:rPr>
          <w:rFonts w:eastAsia="Garamond"/>
          <w:u w:color="000000"/>
          <w:bdr w:val="nil"/>
          <w:lang w:eastAsia="en-US"/>
        </w:rPr>
      </w:pPr>
      <w:r>
        <w:rPr>
          <w:rFonts w:eastAsia="Arial Unicode MS"/>
          <w:u w:color="000000"/>
          <w:bdr w:val="nil"/>
          <w:lang w:eastAsia="en-US"/>
        </w:rPr>
        <w:t>RECOMMENDED READING</w:t>
      </w:r>
      <w:r w:rsidR="00BE42A0" w:rsidRPr="00AE1076">
        <w:rPr>
          <w:rFonts w:eastAsia="Arial Unicode MS"/>
          <w:u w:color="000000"/>
          <w:bdr w:val="nil"/>
          <w:lang w:eastAsia="en-US"/>
        </w:rPr>
        <w:t xml:space="preserve"> </w:t>
      </w:r>
    </w:p>
    <w:p w14:paraId="760A55DF" w14:textId="77777777" w:rsidR="00715FD4" w:rsidRPr="0093712A" w:rsidRDefault="0093712A" w:rsidP="006F749C">
      <w:pPr>
        <w:pStyle w:val="ListParagraph"/>
        <w:numPr>
          <w:ilvl w:val="0"/>
          <w:numId w:val="270"/>
        </w:numPr>
        <w:spacing w:line="240" w:lineRule="atLeast"/>
        <w:ind w:left="284" w:hanging="284"/>
        <w:jc w:val="both"/>
        <w:rPr>
          <w:rFonts w:ascii="Garamond" w:eastAsia="Garamond" w:hAnsi="Garamond"/>
          <w:bdr w:val="none" w:sz="0" w:space="0" w:color="auto" w:frame="1"/>
          <w:lang w:val="en-US"/>
        </w:rPr>
      </w:pPr>
      <w:r>
        <w:rPr>
          <w:rFonts w:ascii="Garamond" w:hAnsi="Garamond"/>
          <w:color w:val="000000" w:themeColor="text1"/>
          <w:szCs w:val="28"/>
          <w:lang w:val="en-US"/>
        </w:rPr>
        <w:t xml:space="preserve">Chang, S. J., </w:t>
      </w:r>
      <w:r w:rsidR="00715FD4" w:rsidRPr="0093712A">
        <w:rPr>
          <w:rFonts w:ascii="Garamond" w:hAnsi="Garamond"/>
          <w:color w:val="000000" w:themeColor="text1"/>
          <w:szCs w:val="28"/>
          <w:lang w:val="en-US"/>
        </w:rPr>
        <w:t>2005</w:t>
      </w:r>
      <w:r>
        <w:rPr>
          <w:rFonts w:ascii="Garamond" w:hAnsi="Garamond"/>
          <w:color w:val="000000" w:themeColor="text1"/>
          <w:szCs w:val="28"/>
          <w:lang w:val="en-US"/>
        </w:rPr>
        <w:t>,</w:t>
      </w:r>
      <w:r w:rsidR="00715FD4" w:rsidRPr="0093712A">
        <w:rPr>
          <w:rFonts w:ascii="Garamond" w:hAnsi="Garamond"/>
          <w:color w:val="000000" w:themeColor="text1"/>
          <w:szCs w:val="28"/>
          <w:lang w:val="en-US"/>
        </w:rPr>
        <w:t xml:space="preserve"> </w:t>
      </w:r>
      <w:r w:rsidR="00715FD4" w:rsidRPr="00C13409">
        <w:rPr>
          <w:rFonts w:ascii="Garamond" w:hAnsi="Garamond"/>
          <w:color w:val="000000" w:themeColor="text1"/>
          <w:szCs w:val="28"/>
          <w:lang w:val="en-US"/>
        </w:rPr>
        <w:t xml:space="preserve">A Theoretical Discussion on Financial Theory: What Should We Teach and How? </w:t>
      </w:r>
      <w:r w:rsidR="00715FD4" w:rsidRPr="00C13409">
        <w:rPr>
          <w:rFonts w:ascii="Garamond" w:hAnsi="Garamond"/>
          <w:i/>
          <w:color w:val="000000" w:themeColor="text1"/>
          <w:szCs w:val="28"/>
          <w:lang w:val="en-US"/>
        </w:rPr>
        <w:t>Journal of Economics and Finance Education</w:t>
      </w:r>
      <w:r w:rsidR="00715FD4" w:rsidRPr="0093712A">
        <w:rPr>
          <w:rFonts w:ascii="Garamond" w:hAnsi="Garamond"/>
          <w:i/>
          <w:color w:val="000000" w:themeColor="text1"/>
          <w:szCs w:val="28"/>
          <w:lang w:val="en-US"/>
        </w:rPr>
        <w:t>,</w:t>
      </w:r>
      <w:r w:rsidR="00715FD4" w:rsidRPr="0093712A">
        <w:rPr>
          <w:rFonts w:ascii="Garamond" w:hAnsi="Garamond"/>
          <w:color w:val="000000" w:themeColor="text1"/>
          <w:szCs w:val="28"/>
          <w:lang w:val="en-US"/>
        </w:rPr>
        <w:t xml:space="preserve"> </w:t>
      </w:r>
      <w:r>
        <w:rPr>
          <w:rFonts w:ascii="Garamond" w:hAnsi="Garamond"/>
          <w:color w:val="000000" w:themeColor="text1"/>
          <w:szCs w:val="28"/>
          <w:lang w:val="en-US"/>
        </w:rPr>
        <w:t xml:space="preserve">vol. </w:t>
      </w:r>
      <w:r w:rsidR="00715FD4" w:rsidRPr="0093712A">
        <w:rPr>
          <w:rFonts w:ascii="Garamond" w:hAnsi="Garamond"/>
          <w:color w:val="000000" w:themeColor="text1"/>
          <w:szCs w:val="28"/>
          <w:lang w:val="en-US"/>
        </w:rPr>
        <w:t>4</w:t>
      </w:r>
      <w:r>
        <w:rPr>
          <w:rFonts w:ascii="Garamond" w:hAnsi="Garamond"/>
          <w:color w:val="000000" w:themeColor="text1"/>
          <w:szCs w:val="28"/>
          <w:lang w:val="en-US"/>
        </w:rPr>
        <w:t xml:space="preserve"> </w:t>
      </w:r>
      <w:r w:rsidR="00715FD4" w:rsidRPr="0093712A">
        <w:rPr>
          <w:rFonts w:ascii="Garamond" w:hAnsi="Garamond"/>
          <w:color w:val="000000" w:themeColor="text1"/>
          <w:szCs w:val="28"/>
          <w:lang w:val="en-US"/>
        </w:rPr>
        <w:t>(2</w:t>
      </w:r>
      <w:r>
        <w:rPr>
          <w:rFonts w:ascii="Garamond" w:hAnsi="Garamond"/>
          <w:color w:val="000000" w:themeColor="text1"/>
          <w:szCs w:val="28"/>
          <w:lang w:val="en-US"/>
        </w:rPr>
        <w:t>)</w:t>
      </w:r>
      <w:r w:rsidR="00715FD4" w:rsidRPr="0093712A">
        <w:rPr>
          <w:rFonts w:ascii="Garamond" w:hAnsi="Garamond"/>
          <w:color w:val="000000" w:themeColor="text1"/>
          <w:szCs w:val="28"/>
          <w:lang w:val="en-US"/>
        </w:rPr>
        <w:t>, 39</w:t>
      </w:r>
      <w:r>
        <w:rPr>
          <w:rFonts w:ascii="Garamond" w:hAnsi="Garamond"/>
          <w:color w:val="000000" w:themeColor="text1"/>
          <w:szCs w:val="28"/>
          <w:lang w:val="en-US"/>
        </w:rPr>
        <w:t>–</w:t>
      </w:r>
      <w:r w:rsidR="00715FD4" w:rsidRPr="0093712A">
        <w:rPr>
          <w:rFonts w:ascii="Garamond" w:hAnsi="Garamond"/>
          <w:color w:val="000000" w:themeColor="text1"/>
          <w:szCs w:val="28"/>
          <w:lang w:val="en-US"/>
        </w:rPr>
        <w:t>48.</w:t>
      </w:r>
    </w:p>
    <w:p w14:paraId="058D5489" w14:textId="77777777" w:rsidR="00715FD4" w:rsidRPr="0093712A" w:rsidRDefault="00715FD4" w:rsidP="006F749C">
      <w:pPr>
        <w:pStyle w:val="ListParagraph"/>
        <w:numPr>
          <w:ilvl w:val="0"/>
          <w:numId w:val="270"/>
        </w:numPr>
        <w:spacing w:line="240" w:lineRule="atLeast"/>
        <w:ind w:left="284" w:hanging="284"/>
        <w:jc w:val="both"/>
        <w:rPr>
          <w:rFonts w:ascii="Garamond" w:eastAsia="Garamond" w:hAnsi="Garamond"/>
          <w:bdr w:val="none" w:sz="0" w:space="0" w:color="auto" w:frame="1"/>
          <w:lang w:val="en-US"/>
        </w:rPr>
      </w:pPr>
      <w:r w:rsidRPr="0093712A">
        <w:rPr>
          <w:rFonts w:ascii="Garamond" w:hAnsi="Garamond"/>
          <w:color w:val="000000" w:themeColor="text1"/>
          <w:szCs w:val="28"/>
          <w:lang w:val="en-US"/>
        </w:rPr>
        <w:t xml:space="preserve">Jensen, M. C. </w:t>
      </w:r>
      <w:r w:rsidR="0093712A">
        <w:rPr>
          <w:rFonts w:ascii="Garamond" w:hAnsi="Garamond"/>
          <w:color w:val="000000" w:themeColor="text1"/>
          <w:szCs w:val="28"/>
          <w:lang w:val="en-US"/>
        </w:rPr>
        <w:t xml:space="preserve">and Smith, C. W., </w:t>
      </w:r>
      <w:r w:rsidRPr="0093712A">
        <w:rPr>
          <w:rFonts w:ascii="Garamond" w:hAnsi="Garamond"/>
          <w:color w:val="000000" w:themeColor="text1"/>
          <w:szCs w:val="28"/>
          <w:lang w:val="en-US"/>
        </w:rPr>
        <w:t>1984</w:t>
      </w:r>
      <w:r w:rsidR="0093712A">
        <w:rPr>
          <w:rFonts w:ascii="Garamond" w:hAnsi="Garamond"/>
          <w:color w:val="000000" w:themeColor="text1"/>
          <w:szCs w:val="28"/>
          <w:lang w:val="en-US"/>
        </w:rPr>
        <w:t>,</w:t>
      </w:r>
      <w:r w:rsidRPr="0093712A">
        <w:rPr>
          <w:rFonts w:ascii="Garamond" w:hAnsi="Garamond"/>
          <w:color w:val="000000" w:themeColor="text1"/>
          <w:szCs w:val="28"/>
          <w:lang w:val="en-US"/>
        </w:rPr>
        <w:t xml:space="preserve"> </w:t>
      </w:r>
      <w:r w:rsidRPr="00921FA9">
        <w:rPr>
          <w:rFonts w:ascii="Garamond" w:hAnsi="Garamond"/>
          <w:i/>
          <w:color w:val="000000" w:themeColor="text1"/>
          <w:szCs w:val="28"/>
          <w:lang w:val="en-US"/>
        </w:rPr>
        <w:t>The Modern Theory of Corporate Finance</w:t>
      </w:r>
      <w:r w:rsidR="0093712A" w:rsidRPr="00921FA9">
        <w:rPr>
          <w:rFonts w:ascii="Garamond" w:hAnsi="Garamond"/>
          <w:color w:val="000000" w:themeColor="text1"/>
          <w:szCs w:val="28"/>
          <w:lang w:val="en-US"/>
        </w:rPr>
        <w:t>,</w:t>
      </w:r>
      <w:r w:rsidRPr="00921FA9">
        <w:rPr>
          <w:rFonts w:ascii="Garamond" w:hAnsi="Garamond"/>
          <w:color w:val="000000" w:themeColor="text1"/>
          <w:szCs w:val="28"/>
          <w:lang w:val="en-US"/>
        </w:rPr>
        <w:t xml:space="preserve"> New York</w:t>
      </w:r>
      <w:r w:rsidR="004B7BB5" w:rsidRPr="00921FA9">
        <w:rPr>
          <w:rFonts w:ascii="Garamond" w:hAnsi="Garamond"/>
          <w:color w:val="000000" w:themeColor="text1"/>
          <w:szCs w:val="28"/>
          <w:lang w:val="en-US"/>
        </w:rPr>
        <w:t xml:space="preserve"> </w:t>
      </w:r>
      <w:r w:rsidRPr="00921FA9">
        <w:rPr>
          <w:rFonts w:ascii="Garamond" w:hAnsi="Garamond"/>
          <w:color w:val="000000" w:themeColor="text1"/>
          <w:szCs w:val="28"/>
          <w:lang w:val="en-US"/>
        </w:rPr>
        <w:t>: McGraw-Hill Inc.</w:t>
      </w:r>
      <w:r w:rsidR="0093712A" w:rsidRPr="00921FA9">
        <w:rPr>
          <w:rFonts w:ascii="Garamond" w:hAnsi="Garamond"/>
          <w:color w:val="000000" w:themeColor="text1"/>
          <w:szCs w:val="28"/>
          <w:lang w:val="en-US"/>
        </w:rPr>
        <w:t>,</w:t>
      </w:r>
      <w:r w:rsidR="0093712A">
        <w:rPr>
          <w:rFonts w:ascii="Garamond" w:hAnsi="Garamond"/>
          <w:color w:val="000000" w:themeColor="text1"/>
          <w:szCs w:val="28"/>
          <w:lang w:val="en-US"/>
        </w:rPr>
        <w:t xml:space="preserve"> pp.2</w:t>
      </w:r>
      <w:r w:rsidR="0093712A" w:rsidRPr="00AE69A1">
        <w:rPr>
          <w:rFonts w:ascii="Garamond" w:eastAsia="Times New Roman" w:hAnsi="Garamond" w:cs="Garamond"/>
          <w:color w:val="auto"/>
          <w:lang w:val="en-US" w:eastAsia="ru-RU" w:bidi="ru-RU"/>
        </w:rPr>
        <w:t>–</w:t>
      </w:r>
      <w:r w:rsidR="0093712A">
        <w:rPr>
          <w:rFonts w:ascii="Garamond" w:eastAsia="Times New Roman" w:hAnsi="Garamond" w:cs="Garamond"/>
          <w:color w:val="auto"/>
          <w:lang w:val="en-US" w:eastAsia="ru-RU" w:bidi="ru-RU"/>
        </w:rPr>
        <w:t>20.</w:t>
      </w:r>
    </w:p>
    <w:p w14:paraId="19F0BD4D" w14:textId="77777777" w:rsidR="00715FD4" w:rsidRPr="0093712A" w:rsidRDefault="00715FD4" w:rsidP="006F749C">
      <w:pPr>
        <w:pStyle w:val="ListParagraph"/>
        <w:numPr>
          <w:ilvl w:val="0"/>
          <w:numId w:val="270"/>
        </w:numPr>
        <w:spacing w:line="240" w:lineRule="atLeast"/>
        <w:ind w:left="284" w:hanging="284"/>
        <w:jc w:val="both"/>
        <w:rPr>
          <w:rFonts w:ascii="Garamond" w:eastAsia="Arial Unicode MS" w:hAnsi="Garamond" w:cs="Arial Unicode MS"/>
          <w:bdr w:val="none" w:sz="0" w:space="0" w:color="auto" w:frame="1"/>
          <w:lang w:val="en-US"/>
        </w:rPr>
      </w:pPr>
      <w:r w:rsidRPr="0093712A">
        <w:rPr>
          <w:rFonts w:ascii="Garamond" w:hAnsi="Garamond"/>
          <w:color w:val="000000" w:themeColor="text1"/>
          <w:szCs w:val="28"/>
          <w:lang w:val="en-US"/>
        </w:rPr>
        <w:t xml:space="preserve">Leveau, D., Gander, P., </w:t>
      </w:r>
      <w:r w:rsidR="0093712A">
        <w:rPr>
          <w:rFonts w:ascii="Garamond" w:hAnsi="Garamond"/>
          <w:color w:val="000000" w:themeColor="text1"/>
          <w:szCs w:val="28"/>
          <w:lang w:val="en-US"/>
        </w:rPr>
        <w:t xml:space="preserve">and Orgland, M., </w:t>
      </w:r>
      <w:r w:rsidRPr="0093712A">
        <w:rPr>
          <w:rFonts w:ascii="Garamond" w:hAnsi="Garamond"/>
          <w:color w:val="000000" w:themeColor="text1"/>
          <w:szCs w:val="28"/>
          <w:lang w:val="en-US"/>
        </w:rPr>
        <w:t>2010</w:t>
      </w:r>
      <w:r w:rsidR="0093712A">
        <w:rPr>
          <w:rFonts w:ascii="Garamond" w:hAnsi="Garamond"/>
          <w:color w:val="000000" w:themeColor="text1"/>
          <w:szCs w:val="28"/>
          <w:lang w:val="en-US"/>
        </w:rPr>
        <w:t>,</w:t>
      </w:r>
      <w:r w:rsidRPr="0093712A">
        <w:rPr>
          <w:rFonts w:ascii="Garamond" w:hAnsi="Garamond"/>
          <w:color w:val="000000" w:themeColor="text1"/>
          <w:szCs w:val="28"/>
          <w:lang w:val="en-US"/>
        </w:rPr>
        <w:t xml:space="preserve"> </w:t>
      </w:r>
      <w:r w:rsidRPr="004B7BB5">
        <w:rPr>
          <w:rFonts w:ascii="Garamond" w:hAnsi="Garamond"/>
          <w:i/>
          <w:color w:val="000000" w:themeColor="text1"/>
          <w:szCs w:val="28"/>
          <w:lang w:val="en-US"/>
        </w:rPr>
        <w:t>Evolution of Financial Theory</w:t>
      </w:r>
      <w:r w:rsidRPr="0093712A">
        <w:rPr>
          <w:rFonts w:ascii="Garamond" w:hAnsi="Garamond"/>
          <w:color w:val="000000" w:themeColor="text1"/>
          <w:szCs w:val="28"/>
          <w:lang w:val="en-US"/>
        </w:rPr>
        <w:t>. Available at SSRN: http://ssrn.com/abstract=1927124.</w:t>
      </w:r>
      <w:r w:rsidRPr="0093712A">
        <w:rPr>
          <w:rFonts w:ascii="Garamond" w:eastAsia="Arial Unicode MS" w:hAnsi="Garamond" w:cs="Arial Unicode MS"/>
          <w:bdr w:val="none" w:sz="0" w:space="0" w:color="auto" w:frame="1"/>
          <w:lang w:val="en-US"/>
        </w:rPr>
        <w:t xml:space="preserve"> </w:t>
      </w:r>
    </w:p>
    <w:p w14:paraId="439AE8EC" w14:textId="77777777" w:rsidR="00715FD4" w:rsidRPr="004B7BB5" w:rsidRDefault="00715FD4" w:rsidP="006F749C">
      <w:pPr>
        <w:pStyle w:val="ListParagraph"/>
        <w:numPr>
          <w:ilvl w:val="0"/>
          <w:numId w:val="270"/>
        </w:numPr>
        <w:spacing w:line="240" w:lineRule="atLeast"/>
        <w:ind w:left="284" w:hanging="284"/>
        <w:jc w:val="both"/>
        <w:rPr>
          <w:rFonts w:ascii="Garamond" w:eastAsia="Garamond" w:hAnsi="Garamond"/>
          <w:bdr w:val="none" w:sz="0" w:space="0" w:color="auto" w:frame="1"/>
          <w:lang w:val="en-US"/>
        </w:rPr>
      </w:pPr>
      <w:r w:rsidRPr="0093712A">
        <w:rPr>
          <w:rFonts w:ascii="Garamond" w:eastAsia="Arial Unicode MS" w:hAnsi="Garamond" w:cs="Arial Unicode MS"/>
          <w:bdr w:val="none" w:sz="0" w:space="0" w:color="auto" w:frame="1"/>
          <w:lang w:val="en-US"/>
        </w:rPr>
        <w:t xml:space="preserve">Martin, J., Cox, S., </w:t>
      </w:r>
      <w:r w:rsidR="004B7BB5">
        <w:rPr>
          <w:rFonts w:ascii="Garamond" w:eastAsia="Arial Unicode MS" w:hAnsi="Garamond" w:cs="Arial Unicode MS"/>
          <w:bdr w:val="none" w:sz="0" w:space="0" w:color="auto" w:frame="1"/>
          <w:lang w:val="en-US"/>
        </w:rPr>
        <w:t>and MacMinn, R.</w:t>
      </w:r>
      <w:r w:rsidR="0093712A">
        <w:rPr>
          <w:rFonts w:ascii="Garamond" w:eastAsia="Arial Unicode MS" w:hAnsi="Garamond" w:cs="Arial Unicode MS"/>
          <w:bdr w:val="none" w:sz="0" w:space="0" w:color="auto" w:frame="1"/>
          <w:lang w:val="en-US"/>
        </w:rPr>
        <w:t xml:space="preserve">, </w:t>
      </w:r>
      <w:r w:rsidRPr="0093712A">
        <w:rPr>
          <w:rFonts w:ascii="Garamond" w:eastAsia="Arial Unicode MS" w:hAnsi="Garamond" w:cs="Arial Unicode MS"/>
          <w:bdr w:val="none" w:sz="0" w:space="0" w:color="auto" w:frame="1"/>
          <w:lang w:val="en-US"/>
        </w:rPr>
        <w:t>1988</w:t>
      </w:r>
      <w:r w:rsidR="0093712A">
        <w:rPr>
          <w:rFonts w:ascii="Garamond" w:eastAsia="Arial Unicode MS" w:hAnsi="Garamond" w:cs="Arial Unicode MS"/>
          <w:bdr w:val="none" w:sz="0" w:space="0" w:color="auto" w:frame="1"/>
          <w:lang w:val="en-US"/>
        </w:rPr>
        <w:t>,</w:t>
      </w:r>
      <w:r w:rsidRPr="0093712A">
        <w:rPr>
          <w:rFonts w:ascii="Garamond" w:eastAsia="Arial Unicode MS" w:hAnsi="Garamond" w:cs="Arial Unicode MS"/>
          <w:bdr w:val="none" w:sz="0" w:space="0" w:color="auto" w:frame="1"/>
          <w:lang w:val="en-US"/>
        </w:rPr>
        <w:t xml:space="preserve"> </w:t>
      </w:r>
      <w:r w:rsidRPr="004B7BB5">
        <w:rPr>
          <w:rFonts w:ascii="Garamond" w:eastAsia="Arial Unicode MS" w:hAnsi="Garamond" w:cs="Arial Unicode MS"/>
          <w:i/>
          <w:bdr w:val="none" w:sz="0" w:space="0" w:color="auto" w:frame="1"/>
          <w:lang w:val="en-US"/>
        </w:rPr>
        <w:t>The Theory of Finance</w:t>
      </w:r>
      <w:r w:rsidR="004B7BB5">
        <w:rPr>
          <w:rFonts w:ascii="Garamond" w:eastAsia="Arial Unicode MS" w:hAnsi="Garamond" w:cs="Arial Unicode MS"/>
          <w:bdr w:val="none" w:sz="0" w:space="0" w:color="auto" w:frame="1"/>
          <w:lang w:val="en-US"/>
        </w:rPr>
        <w:t>,</w:t>
      </w:r>
      <w:r w:rsidRPr="0093712A">
        <w:rPr>
          <w:rFonts w:ascii="Garamond" w:eastAsia="Arial Unicode MS" w:hAnsi="Garamond" w:cs="Arial Unicode MS"/>
          <w:bdr w:val="none" w:sz="0" w:space="0" w:color="auto" w:frame="1"/>
          <w:lang w:val="en-US"/>
        </w:rPr>
        <w:t xml:space="preserve"> New York</w:t>
      </w:r>
      <w:r w:rsidR="004B7BB5">
        <w:rPr>
          <w:rFonts w:ascii="Garamond" w:eastAsia="Arial Unicode MS" w:hAnsi="Garamond" w:cs="Arial Unicode MS"/>
          <w:bdr w:val="none" w:sz="0" w:space="0" w:color="auto" w:frame="1"/>
          <w:lang w:val="en-US"/>
        </w:rPr>
        <w:t xml:space="preserve"> </w:t>
      </w:r>
      <w:r w:rsidRPr="0093712A">
        <w:rPr>
          <w:rFonts w:ascii="Garamond" w:eastAsia="Arial Unicode MS" w:hAnsi="Garamond" w:cs="Arial Unicode MS"/>
          <w:bdr w:val="none" w:sz="0" w:space="0" w:color="auto" w:frame="1"/>
          <w:lang w:val="en-US"/>
        </w:rPr>
        <w:t xml:space="preserve">: </w:t>
      </w:r>
      <w:r w:rsidRPr="004B7BB5">
        <w:rPr>
          <w:rFonts w:ascii="Garamond" w:eastAsia="Arial Unicode MS" w:hAnsi="Garamond" w:cs="Arial Unicode MS"/>
          <w:iCs/>
          <w:bdr w:val="none" w:sz="0" w:space="0" w:color="auto" w:frame="1"/>
          <w:lang w:val="en-US"/>
        </w:rPr>
        <w:t>Dryden Press</w:t>
      </w:r>
      <w:r w:rsidRPr="004B7BB5">
        <w:rPr>
          <w:rFonts w:ascii="Garamond" w:eastAsia="Arial Unicode MS" w:hAnsi="Garamond" w:cs="Arial Unicode MS"/>
          <w:bdr w:val="none" w:sz="0" w:space="0" w:color="auto" w:frame="1"/>
          <w:lang w:val="en-US"/>
        </w:rPr>
        <w:t>.</w:t>
      </w:r>
    </w:p>
    <w:p w14:paraId="28E6772F" w14:textId="77777777" w:rsidR="00715FD4" w:rsidRPr="0093712A" w:rsidRDefault="004B7BB5" w:rsidP="006F749C">
      <w:pPr>
        <w:pStyle w:val="ListParagraph"/>
        <w:numPr>
          <w:ilvl w:val="0"/>
          <w:numId w:val="270"/>
        </w:numPr>
        <w:spacing w:line="240" w:lineRule="atLeast"/>
        <w:ind w:left="284" w:hanging="284"/>
        <w:jc w:val="both"/>
        <w:rPr>
          <w:rFonts w:ascii="Garamond" w:eastAsia="Garamond" w:hAnsi="Garamond"/>
          <w:bdr w:val="none" w:sz="0" w:space="0" w:color="auto" w:frame="1"/>
          <w:lang w:val="en-US"/>
        </w:rPr>
      </w:pPr>
      <w:r>
        <w:rPr>
          <w:rFonts w:ascii="Garamond" w:eastAsia="Arial Unicode MS" w:hAnsi="Garamond" w:cs="Arial Unicode MS"/>
          <w:bdr w:val="none" w:sz="0" w:space="0" w:color="auto" w:frame="1"/>
          <w:lang w:val="en-US"/>
        </w:rPr>
        <w:t>Miller, M. H.</w:t>
      </w:r>
      <w:r w:rsidR="0093712A">
        <w:rPr>
          <w:rFonts w:ascii="Garamond" w:eastAsia="Arial Unicode MS" w:hAnsi="Garamond" w:cs="Arial Unicode MS"/>
          <w:bdr w:val="none" w:sz="0" w:space="0" w:color="auto" w:frame="1"/>
          <w:lang w:val="en-US"/>
        </w:rPr>
        <w:t xml:space="preserve">, </w:t>
      </w:r>
      <w:r w:rsidR="00715FD4" w:rsidRPr="0093712A">
        <w:rPr>
          <w:rFonts w:ascii="Garamond" w:eastAsia="Arial Unicode MS" w:hAnsi="Garamond" w:cs="Arial Unicode MS"/>
          <w:bdr w:val="none" w:sz="0" w:space="0" w:color="auto" w:frame="1"/>
          <w:lang w:val="en-US"/>
        </w:rPr>
        <w:t>1998</w:t>
      </w:r>
      <w:r w:rsidR="0093712A">
        <w:rPr>
          <w:rFonts w:ascii="Garamond" w:eastAsia="Arial Unicode MS" w:hAnsi="Garamond" w:cs="Arial Unicode MS"/>
          <w:bdr w:val="none" w:sz="0" w:space="0" w:color="auto" w:frame="1"/>
          <w:lang w:val="en-US"/>
        </w:rPr>
        <w:t>,</w:t>
      </w:r>
      <w:r w:rsidR="00715FD4" w:rsidRPr="0093712A">
        <w:rPr>
          <w:rFonts w:ascii="Garamond" w:eastAsia="Arial Unicode MS" w:hAnsi="Garamond" w:cs="Arial Unicode MS"/>
          <w:bdr w:val="none" w:sz="0" w:space="0" w:color="auto" w:frame="1"/>
          <w:lang w:val="en-US"/>
        </w:rPr>
        <w:t xml:space="preserve"> </w:t>
      </w:r>
      <w:r w:rsidR="00715FD4" w:rsidRPr="00921FA9">
        <w:rPr>
          <w:rFonts w:ascii="Garamond" w:eastAsia="Arial Unicode MS" w:hAnsi="Garamond" w:cs="Arial Unicode MS"/>
          <w:i/>
          <w:bdr w:val="none" w:sz="0" w:space="0" w:color="auto" w:frame="1"/>
          <w:lang w:val="en-US"/>
        </w:rPr>
        <w:t xml:space="preserve">The History of Finance: An Eyewitness Account. </w:t>
      </w:r>
      <w:r w:rsidR="00715FD4" w:rsidRPr="00921FA9">
        <w:rPr>
          <w:rFonts w:ascii="Garamond" w:eastAsia="Arial Unicode MS" w:hAnsi="Garamond" w:cs="Arial Unicode MS"/>
          <w:i/>
          <w:iCs/>
          <w:bdr w:val="none" w:sz="0" w:space="0" w:color="auto" w:frame="1"/>
          <w:lang w:val="en-US"/>
        </w:rPr>
        <w:t>The Revolution in Corporate Finance</w:t>
      </w:r>
      <w:r w:rsidRPr="00C13409">
        <w:rPr>
          <w:rFonts w:ascii="Garamond" w:eastAsia="Arial Unicode MS" w:hAnsi="Garamond" w:cs="Arial Unicode MS"/>
          <w:iCs/>
          <w:bdr w:val="none" w:sz="0" w:space="0" w:color="auto" w:frame="1"/>
          <w:lang w:val="en-US"/>
        </w:rPr>
        <w:t>,</w:t>
      </w:r>
      <w:r w:rsidR="00715FD4" w:rsidRPr="0093712A">
        <w:rPr>
          <w:rFonts w:ascii="Garamond" w:eastAsia="Arial Unicode MS" w:hAnsi="Garamond" w:cs="Arial Unicode MS"/>
          <w:bdr w:val="none" w:sz="0" w:space="0" w:color="auto" w:frame="1"/>
          <w:lang w:val="en-US"/>
        </w:rPr>
        <w:t xml:space="preserve"> </w:t>
      </w:r>
      <w:r w:rsidR="00715FD4" w:rsidRPr="00921FA9">
        <w:rPr>
          <w:rFonts w:ascii="Garamond" w:eastAsia="Arial Unicode MS" w:hAnsi="Garamond" w:cs="Arial Unicode MS"/>
          <w:bdr w:val="none" w:sz="0" w:space="0" w:color="auto" w:frame="1"/>
          <w:lang w:val="en-US"/>
        </w:rPr>
        <w:t>New York</w:t>
      </w:r>
      <w:r w:rsidRPr="00921FA9">
        <w:rPr>
          <w:rFonts w:ascii="Garamond" w:eastAsia="Arial Unicode MS" w:hAnsi="Garamond" w:cs="Arial Unicode MS"/>
          <w:bdr w:val="none" w:sz="0" w:space="0" w:color="auto" w:frame="1"/>
          <w:lang w:val="en-US"/>
        </w:rPr>
        <w:t xml:space="preserve"> </w:t>
      </w:r>
      <w:r w:rsidR="00715FD4" w:rsidRPr="00921FA9">
        <w:rPr>
          <w:rFonts w:ascii="Garamond" w:eastAsia="Arial Unicode MS" w:hAnsi="Garamond" w:cs="Arial Unicode MS"/>
          <w:bdr w:val="none" w:sz="0" w:space="0" w:color="auto" w:frame="1"/>
          <w:lang w:val="en-US"/>
        </w:rPr>
        <w:t>: Blackwell Publishing</w:t>
      </w:r>
      <w:r w:rsidRPr="00921FA9">
        <w:rPr>
          <w:rFonts w:ascii="Garamond" w:eastAsia="Arial Unicode MS" w:hAnsi="Garamond" w:cs="Arial Unicode MS"/>
          <w:bdr w:val="none" w:sz="0" w:space="0" w:color="auto" w:frame="1"/>
          <w:lang w:val="en-US"/>
        </w:rPr>
        <w:t>,</w:t>
      </w:r>
      <w:r>
        <w:rPr>
          <w:rFonts w:ascii="Garamond" w:eastAsia="Arial Unicode MS" w:hAnsi="Garamond" w:cs="Arial Unicode MS"/>
          <w:bdr w:val="none" w:sz="0" w:space="0" w:color="auto" w:frame="1"/>
          <w:lang w:val="en-US"/>
        </w:rPr>
        <w:t xml:space="preserve"> pp. 4</w:t>
      </w:r>
      <w:r w:rsidRPr="00AE69A1">
        <w:rPr>
          <w:rFonts w:ascii="Garamond" w:eastAsia="Times New Roman" w:hAnsi="Garamond" w:cs="Garamond"/>
          <w:color w:val="auto"/>
          <w:lang w:val="en-US" w:eastAsia="ru-RU" w:bidi="ru-RU"/>
        </w:rPr>
        <w:t>–</w:t>
      </w:r>
      <w:r>
        <w:rPr>
          <w:rFonts w:ascii="Garamond" w:eastAsia="Times New Roman" w:hAnsi="Garamond" w:cs="Garamond"/>
          <w:color w:val="auto"/>
          <w:lang w:val="en-US" w:eastAsia="ru-RU" w:bidi="ru-RU"/>
        </w:rPr>
        <w:t>9.</w:t>
      </w:r>
    </w:p>
    <w:p w14:paraId="2C770A8F" w14:textId="77777777" w:rsidR="00715FD4" w:rsidRPr="0093712A" w:rsidRDefault="004B7BB5" w:rsidP="006F749C">
      <w:pPr>
        <w:pStyle w:val="ListParagraph"/>
        <w:numPr>
          <w:ilvl w:val="0"/>
          <w:numId w:val="270"/>
        </w:numPr>
        <w:spacing w:line="240" w:lineRule="atLeast"/>
        <w:ind w:left="284" w:hanging="284"/>
        <w:jc w:val="both"/>
        <w:rPr>
          <w:rFonts w:ascii="Garamond" w:eastAsia="Arial Unicode MS" w:hAnsi="Garamond" w:cs="Arial Unicode MS"/>
          <w:bdr w:val="none" w:sz="0" w:space="0" w:color="auto" w:frame="1"/>
          <w:lang w:val="en-US"/>
        </w:rPr>
      </w:pPr>
      <w:r>
        <w:rPr>
          <w:rFonts w:ascii="Garamond" w:eastAsia="Arial Unicode MS" w:hAnsi="Garamond" w:cs="Arial Unicode MS"/>
          <w:bdr w:val="none" w:sz="0" w:space="0" w:color="auto" w:frame="1"/>
          <w:lang w:val="en-US"/>
        </w:rPr>
        <w:t>Scholtens, B.</w:t>
      </w:r>
      <w:r w:rsidR="00715FD4" w:rsidRPr="0093712A">
        <w:rPr>
          <w:rFonts w:ascii="Garamond" w:eastAsia="Arial Unicode MS" w:hAnsi="Garamond" w:cs="Arial Unicode MS"/>
          <w:bdr w:val="none" w:sz="0" w:space="0" w:color="auto" w:frame="1"/>
          <w:lang w:val="en-US"/>
        </w:rPr>
        <w:t xml:space="preserve"> </w:t>
      </w:r>
      <w:r>
        <w:rPr>
          <w:rFonts w:ascii="Garamond" w:eastAsia="Arial Unicode MS" w:hAnsi="Garamond" w:cs="Arial Unicode MS"/>
          <w:bdr w:val="none" w:sz="0" w:space="0" w:color="auto" w:frame="1"/>
          <w:lang w:val="en-US"/>
        </w:rPr>
        <w:t>and</w:t>
      </w:r>
      <w:r w:rsidR="00715FD4" w:rsidRPr="0093712A">
        <w:rPr>
          <w:rFonts w:ascii="Garamond" w:eastAsia="Arial Unicode MS" w:hAnsi="Garamond" w:cs="Arial Unicode MS"/>
          <w:bdr w:val="none" w:sz="0" w:space="0" w:color="auto" w:frame="1"/>
          <w:lang w:val="en-US"/>
        </w:rPr>
        <w:t xml:space="preserve"> Wensveen, D.</w:t>
      </w:r>
      <w:r w:rsidR="0093712A">
        <w:rPr>
          <w:rFonts w:ascii="Garamond" w:eastAsia="Arial Unicode MS" w:hAnsi="Garamond" w:cs="Arial Unicode MS"/>
          <w:bdr w:val="none" w:sz="0" w:space="0" w:color="auto" w:frame="1"/>
          <w:lang w:val="en-US"/>
        </w:rPr>
        <w:t xml:space="preserve">, </w:t>
      </w:r>
      <w:r w:rsidR="00715FD4" w:rsidRPr="0093712A">
        <w:rPr>
          <w:rFonts w:ascii="Garamond" w:eastAsia="Arial Unicode MS" w:hAnsi="Garamond" w:cs="Arial Unicode MS"/>
          <w:bdr w:val="none" w:sz="0" w:space="0" w:color="auto" w:frame="1"/>
          <w:lang w:val="en-US"/>
        </w:rPr>
        <w:t>2003</w:t>
      </w:r>
      <w:r w:rsidR="0093712A">
        <w:rPr>
          <w:rFonts w:ascii="Garamond" w:eastAsia="Arial Unicode MS" w:hAnsi="Garamond" w:cs="Arial Unicode MS"/>
          <w:bdr w:val="none" w:sz="0" w:space="0" w:color="auto" w:frame="1"/>
          <w:lang w:val="en-US"/>
        </w:rPr>
        <w:t>,</w:t>
      </w:r>
      <w:r w:rsidR="00715FD4" w:rsidRPr="0093712A">
        <w:rPr>
          <w:rFonts w:ascii="Garamond" w:eastAsia="Arial Unicode MS" w:hAnsi="Garamond" w:cs="Arial Unicode MS"/>
          <w:bdr w:val="none" w:sz="0" w:space="0" w:color="auto" w:frame="1"/>
          <w:lang w:val="en-US"/>
        </w:rPr>
        <w:t xml:space="preserve"> </w:t>
      </w:r>
      <w:r w:rsidR="00715FD4" w:rsidRPr="004B7BB5">
        <w:rPr>
          <w:rFonts w:ascii="Garamond" w:eastAsia="Arial Unicode MS" w:hAnsi="Garamond" w:cs="Arial Unicode MS"/>
          <w:i/>
          <w:bdr w:val="none" w:sz="0" w:space="0" w:color="auto" w:frame="1"/>
          <w:lang w:val="en-US"/>
        </w:rPr>
        <w:t xml:space="preserve">The Theory of Financial Intermediation: An Essay </w:t>
      </w:r>
      <w:r w:rsidRPr="004B7BB5">
        <w:rPr>
          <w:rFonts w:ascii="Garamond" w:eastAsia="Arial Unicode MS" w:hAnsi="Garamond" w:cs="Arial Unicode MS"/>
          <w:i/>
          <w:bdr w:val="none" w:sz="0" w:space="0" w:color="auto" w:frame="1"/>
          <w:lang w:val="en-US"/>
        </w:rPr>
        <w:t>on What it Does (Not) Explain</w:t>
      </w:r>
      <w:r>
        <w:rPr>
          <w:rFonts w:ascii="Garamond" w:eastAsia="Arial Unicode MS" w:hAnsi="Garamond" w:cs="Arial Unicode MS"/>
          <w:bdr w:val="none" w:sz="0" w:space="0" w:color="auto" w:frame="1"/>
          <w:lang w:val="en-US"/>
        </w:rPr>
        <w:t>,</w:t>
      </w:r>
      <w:r w:rsidR="00715FD4" w:rsidRPr="0093712A">
        <w:rPr>
          <w:rFonts w:ascii="Garamond" w:eastAsia="Arial Unicode MS" w:hAnsi="Garamond" w:cs="Arial Unicode MS"/>
          <w:bdr w:val="none" w:sz="0" w:space="0" w:color="auto" w:frame="1"/>
          <w:lang w:val="en-US"/>
        </w:rPr>
        <w:t xml:space="preserve"> </w:t>
      </w:r>
      <w:r w:rsidR="00715FD4" w:rsidRPr="004B7BB5">
        <w:rPr>
          <w:rFonts w:ascii="Garamond" w:eastAsia="Arial Unicode MS" w:hAnsi="Garamond" w:cs="Arial Unicode MS"/>
          <w:bdr w:val="none" w:sz="0" w:space="0" w:color="auto" w:frame="1"/>
          <w:lang w:val="en-US"/>
        </w:rPr>
        <w:t>Vienna</w:t>
      </w:r>
      <w:r w:rsidRPr="004B7BB5">
        <w:rPr>
          <w:rFonts w:ascii="Garamond" w:eastAsia="Arial Unicode MS" w:hAnsi="Garamond" w:cs="Arial Unicode MS"/>
          <w:bdr w:val="none" w:sz="0" w:space="0" w:color="auto" w:frame="1"/>
          <w:lang w:val="en-US"/>
        </w:rPr>
        <w:t xml:space="preserve"> </w:t>
      </w:r>
      <w:r w:rsidR="00715FD4" w:rsidRPr="004B7BB5">
        <w:rPr>
          <w:rFonts w:ascii="Garamond" w:eastAsia="Arial Unicode MS" w:hAnsi="Garamond" w:cs="Arial Unicode MS"/>
          <w:bdr w:val="none" w:sz="0" w:space="0" w:color="auto" w:frame="1"/>
          <w:lang w:val="en-US"/>
        </w:rPr>
        <w:t xml:space="preserve">: </w:t>
      </w:r>
      <w:r w:rsidR="00715FD4" w:rsidRPr="004B7BB5">
        <w:rPr>
          <w:rFonts w:ascii="Garamond" w:eastAsia="Arial Unicode MS" w:hAnsi="Garamond" w:cs="Arial Unicode MS"/>
          <w:iCs/>
          <w:bdr w:val="none" w:sz="0" w:space="0" w:color="auto" w:frame="1"/>
          <w:lang w:val="en-US"/>
        </w:rPr>
        <w:t>SUERF (SUERF Studies: 2003/1)</w:t>
      </w:r>
      <w:r w:rsidR="00715FD4" w:rsidRPr="004B7BB5">
        <w:rPr>
          <w:rFonts w:ascii="Garamond" w:eastAsia="Arial Unicode MS" w:hAnsi="Garamond" w:cs="Arial Unicode MS"/>
          <w:bdr w:val="none" w:sz="0" w:space="0" w:color="auto" w:frame="1"/>
          <w:lang w:val="en-US"/>
        </w:rPr>
        <w:t>.</w:t>
      </w:r>
    </w:p>
    <w:p w14:paraId="6DDCEA89" w14:textId="77777777" w:rsidR="00715FD4" w:rsidRPr="0093712A" w:rsidRDefault="00715FD4" w:rsidP="006F749C">
      <w:pPr>
        <w:pStyle w:val="ListParagraph"/>
        <w:numPr>
          <w:ilvl w:val="0"/>
          <w:numId w:val="270"/>
        </w:numPr>
        <w:spacing w:line="240" w:lineRule="atLeast"/>
        <w:ind w:left="284" w:hanging="284"/>
        <w:jc w:val="both"/>
        <w:rPr>
          <w:rFonts w:ascii="Garamond" w:eastAsia="Garamond" w:hAnsi="Garamond"/>
          <w:bdr w:val="none" w:sz="0" w:space="0" w:color="auto" w:frame="1"/>
          <w:lang w:val="en-US"/>
        </w:rPr>
      </w:pPr>
      <w:r w:rsidRPr="0093712A">
        <w:rPr>
          <w:rFonts w:ascii="Garamond" w:eastAsia="Arial Unicode MS" w:hAnsi="Garamond" w:cs="Arial Unicode MS"/>
          <w:bdr w:val="none" w:sz="0" w:space="0" w:color="auto" w:frame="1"/>
          <w:lang w:val="en-US"/>
        </w:rPr>
        <w:t>Weston, J. F.</w:t>
      </w:r>
      <w:r w:rsidR="0093712A">
        <w:rPr>
          <w:rFonts w:ascii="Garamond" w:eastAsia="Arial Unicode MS" w:hAnsi="Garamond" w:cs="Arial Unicode MS"/>
          <w:bdr w:val="none" w:sz="0" w:space="0" w:color="auto" w:frame="1"/>
          <w:lang w:val="en-US"/>
        </w:rPr>
        <w:t xml:space="preserve">, </w:t>
      </w:r>
      <w:r w:rsidRPr="0093712A">
        <w:rPr>
          <w:rFonts w:ascii="Garamond" w:eastAsia="Arial Unicode MS" w:hAnsi="Garamond" w:cs="Arial Unicode MS"/>
          <w:bdr w:val="none" w:sz="0" w:space="0" w:color="auto" w:frame="1"/>
          <w:lang w:val="en-US"/>
        </w:rPr>
        <w:t>1981</w:t>
      </w:r>
      <w:r w:rsidR="0093712A">
        <w:rPr>
          <w:rFonts w:ascii="Garamond" w:eastAsia="Arial Unicode MS" w:hAnsi="Garamond" w:cs="Arial Unicode MS"/>
          <w:bdr w:val="none" w:sz="0" w:space="0" w:color="auto" w:frame="1"/>
          <w:lang w:val="en-US"/>
        </w:rPr>
        <w:t>,</w:t>
      </w:r>
      <w:r w:rsidR="004B7BB5">
        <w:rPr>
          <w:rFonts w:ascii="Garamond" w:eastAsia="Arial Unicode MS" w:hAnsi="Garamond" w:cs="Arial Unicode MS"/>
          <w:bdr w:val="none" w:sz="0" w:space="0" w:color="auto" w:frame="1"/>
          <w:lang w:val="en-US"/>
        </w:rPr>
        <w:t xml:space="preserve"> </w:t>
      </w:r>
      <w:r w:rsidR="004B7BB5" w:rsidRPr="00C13409">
        <w:rPr>
          <w:rFonts w:ascii="Garamond" w:eastAsia="Arial Unicode MS" w:hAnsi="Garamond" w:cs="Arial Unicode MS"/>
          <w:bdr w:val="none" w:sz="0" w:space="0" w:color="auto" w:frame="1"/>
          <w:lang w:val="en-US"/>
        </w:rPr>
        <w:t>Developments in Finance Theory</w:t>
      </w:r>
      <w:r w:rsidR="004B7BB5" w:rsidRPr="00C13409">
        <w:rPr>
          <w:rFonts w:ascii="Garamond" w:eastAsia="Arial Unicode MS" w:hAnsi="Garamond" w:cs="Arial Unicode MS"/>
          <w:i/>
          <w:bdr w:val="none" w:sz="0" w:space="0" w:color="auto" w:frame="1"/>
          <w:lang w:val="en-US"/>
        </w:rPr>
        <w:t>,</w:t>
      </w:r>
      <w:r w:rsidRPr="00C13409">
        <w:rPr>
          <w:rFonts w:ascii="Garamond" w:eastAsia="Arial Unicode MS" w:hAnsi="Garamond" w:cs="Arial Unicode MS"/>
          <w:i/>
          <w:bdr w:val="none" w:sz="0" w:space="0" w:color="auto" w:frame="1"/>
          <w:lang w:val="en-US"/>
        </w:rPr>
        <w:t xml:space="preserve"> </w:t>
      </w:r>
      <w:r w:rsidRPr="00C13409">
        <w:rPr>
          <w:rFonts w:ascii="Garamond" w:eastAsia="Arial Unicode MS" w:hAnsi="Garamond" w:cs="Arial Unicode MS"/>
          <w:i/>
          <w:iCs/>
          <w:bdr w:val="none" w:sz="0" w:space="0" w:color="auto" w:frame="1"/>
          <w:lang w:val="en-US"/>
        </w:rPr>
        <w:t>Financial Management</w:t>
      </w:r>
      <w:r w:rsidR="00C13409">
        <w:rPr>
          <w:rFonts w:ascii="Garamond" w:eastAsia="Arial Unicode MS" w:hAnsi="Garamond" w:cs="Arial Unicode MS"/>
          <w:i/>
          <w:iCs/>
          <w:bdr w:val="none" w:sz="0" w:space="0" w:color="auto" w:frame="1"/>
          <w:lang w:val="en-US"/>
        </w:rPr>
        <w:t>,</w:t>
      </w:r>
      <w:r w:rsidR="004B7BB5">
        <w:rPr>
          <w:rFonts w:ascii="Garamond" w:eastAsia="Arial Unicode MS" w:hAnsi="Garamond" w:cs="Arial Unicode MS"/>
          <w:bdr w:val="none" w:sz="0" w:space="0" w:color="auto" w:frame="1"/>
          <w:lang w:val="en-US"/>
        </w:rPr>
        <w:t xml:space="preserve"> 10, pp.</w:t>
      </w:r>
      <w:r w:rsidR="00921FA9">
        <w:rPr>
          <w:rFonts w:ascii="Garamond" w:eastAsia="Arial Unicode MS" w:hAnsi="Garamond" w:cs="Arial Unicode MS"/>
          <w:bdr w:val="none" w:sz="0" w:space="0" w:color="auto" w:frame="1"/>
          <w:lang w:val="en-US"/>
        </w:rPr>
        <w:t> </w:t>
      </w:r>
      <w:r w:rsidR="004B7BB5">
        <w:rPr>
          <w:rFonts w:ascii="Garamond" w:eastAsia="Arial Unicode MS" w:hAnsi="Garamond" w:cs="Arial Unicode MS"/>
          <w:bdr w:val="none" w:sz="0" w:space="0" w:color="auto" w:frame="1"/>
          <w:lang w:val="en-US"/>
        </w:rPr>
        <w:t>5</w:t>
      </w:r>
      <w:r w:rsidR="004B7BB5" w:rsidRPr="00AE69A1">
        <w:rPr>
          <w:rFonts w:ascii="Garamond" w:eastAsia="Times New Roman" w:hAnsi="Garamond" w:cs="Garamond"/>
          <w:color w:val="auto"/>
          <w:lang w:val="en-US" w:eastAsia="ru-RU" w:bidi="ru-RU"/>
        </w:rPr>
        <w:t>–</w:t>
      </w:r>
      <w:r w:rsidR="004B7BB5">
        <w:rPr>
          <w:rFonts w:ascii="Garamond" w:eastAsia="Times New Roman" w:hAnsi="Garamond" w:cs="Garamond"/>
          <w:color w:val="auto"/>
          <w:lang w:val="en-US" w:eastAsia="ru-RU" w:bidi="ru-RU"/>
        </w:rPr>
        <w:t>22.</w:t>
      </w:r>
    </w:p>
    <w:p w14:paraId="4F1E7AC3" w14:textId="77777777" w:rsidR="00BE42A0" w:rsidRPr="00AE1076" w:rsidRDefault="00BE42A0" w:rsidP="00CE7CA3">
      <w:pPr>
        <w:pStyle w:val="end2"/>
        <w:rPr>
          <w:rFonts w:eastAsia="Garamond"/>
          <w:u w:color="000000"/>
          <w:bdr w:val="nil"/>
          <w:lang w:eastAsia="en-US"/>
        </w:rPr>
      </w:pPr>
      <w:r w:rsidRPr="00AE1076">
        <w:rPr>
          <w:rFonts w:eastAsia="Arial Unicode MS"/>
          <w:u w:color="000000"/>
          <w:bdr w:val="nil"/>
          <w:lang w:eastAsia="en-US"/>
        </w:rPr>
        <w:lastRenderedPageBreak/>
        <w:t>Key terms</w:t>
      </w:r>
    </w:p>
    <w:tbl>
      <w:tblPr>
        <w:tblW w:w="9747"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668"/>
        <w:gridCol w:w="8079"/>
      </w:tblGrid>
      <w:tr w:rsidR="00BE42A0" w:rsidRPr="00BE42A0" w14:paraId="53DB5A13" w14:textId="77777777" w:rsidTr="00CE7CA3">
        <w:trPr>
          <w:trHeight w:val="844"/>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5F586161" w14:textId="77777777" w:rsidR="00CE7CA3" w:rsidRPr="00AE1076" w:rsidRDefault="00BE42A0" w:rsidP="00CE7CA3">
            <w:pPr>
              <w:pBdr>
                <w:top w:val="nil"/>
                <w:left w:val="nil"/>
                <w:bottom w:val="nil"/>
                <w:right w:val="nil"/>
                <w:between w:val="nil"/>
                <w:bar w:val="nil"/>
              </w:pBdr>
              <w:spacing w:line="240" w:lineRule="atLeast"/>
              <w:rPr>
                <w:b/>
                <w:lang w:val="en-US" w:eastAsia="ru-RU"/>
              </w:rPr>
            </w:pPr>
            <w:r w:rsidRPr="00AE1076">
              <w:rPr>
                <w:b/>
                <w:lang w:val="en-US" w:eastAsia="ru-RU"/>
              </w:rPr>
              <w:t>commodity</w:t>
            </w:r>
            <w:r w:rsidR="00AE69A1">
              <w:rPr>
                <w:b/>
                <w:lang w:val="en-US" w:eastAsia="ru-RU"/>
              </w:rPr>
              <w:t>–</w:t>
            </w:r>
            <w:r w:rsidRPr="00AE1076">
              <w:rPr>
                <w:b/>
                <w:lang w:val="en-US" w:eastAsia="ru-RU"/>
              </w:rPr>
              <w:t xml:space="preserve">money </w:t>
            </w:r>
          </w:p>
          <w:p w14:paraId="5C9CBE92" w14:textId="77777777" w:rsidR="00BE42A0" w:rsidRPr="00AE1076" w:rsidRDefault="00BE42A0" w:rsidP="00CE7CA3">
            <w:pPr>
              <w:pBdr>
                <w:top w:val="nil"/>
                <w:left w:val="nil"/>
                <w:bottom w:val="nil"/>
                <w:right w:val="nil"/>
                <w:between w:val="nil"/>
                <w:bar w:val="nil"/>
              </w:pBdr>
              <w:spacing w:line="240" w:lineRule="atLeast"/>
              <w:rPr>
                <w:b/>
                <w:lang w:val="en-US" w:eastAsia="ru-RU"/>
              </w:rPr>
            </w:pPr>
            <w:r w:rsidRPr="00AE1076">
              <w:rPr>
                <w:b/>
                <w:lang w:val="en-US" w:eastAsia="ru-RU"/>
              </w:rPr>
              <w:t xml:space="preserve">relations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0447DC4E" w14:textId="77777777" w:rsidR="00BE42A0" w:rsidRPr="00AE1076" w:rsidRDefault="00BE42A0" w:rsidP="00AE69A1">
            <w:pPr>
              <w:pBdr>
                <w:top w:val="nil"/>
                <w:left w:val="nil"/>
                <w:bottom w:val="nil"/>
                <w:right w:val="nil"/>
                <w:between w:val="nil"/>
                <w:bar w:val="nil"/>
              </w:pBdr>
              <w:spacing w:after="120" w:line="240" w:lineRule="atLeast"/>
              <w:jc w:val="both"/>
              <w:rPr>
                <w:lang w:val="en-US" w:eastAsia="ru-RU"/>
              </w:rPr>
            </w:pPr>
            <w:r w:rsidRPr="00AE1076">
              <w:rPr>
                <w:lang w:val="en-US" w:eastAsia="ru-RU"/>
              </w:rPr>
              <w:t>are social relations arising between people by virtue of the production and sale of commodities. Only as a result of the long historical development of the social division of labor</w:t>
            </w:r>
            <w:r w:rsidR="00AE69A1">
              <w:rPr>
                <w:lang w:val="en-US" w:eastAsia="ru-RU"/>
              </w:rPr>
              <w:t>,</w:t>
            </w:r>
            <w:r w:rsidRPr="00AE1076">
              <w:rPr>
                <w:lang w:val="en-US" w:eastAsia="ru-RU"/>
              </w:rPr>
              <w:t xml:space="preserve"> commodity production arise, wherein the exchange of goods has a regular rather than an incidental character.</w:t>
            </w:r>
          </w:p>
        </w:tc>
      </w:tr>
      <w:tr w:rsidR="00BE42A0" w:rsidRPr="00BE42A0" w14:paraId="1C173672" w14:textId="77777777" w:rsidTr="00BE42A0">
        <w:trPr>
          <w:trHeight w:val="144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211B7E85"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 xml:space="preserve">public debt </w:t>
            </w:r>
            <w:r w:rsidR="00921FA9">
              <w:rPr>
                <w:rFonts w:eastAsia="Arial Unicode MS" w:cs="Arial Unicode MS"/>
                <w:sz w:val="28"/>
                <w:u w:color="000000"/>
                <w:bdr w:val="nil"/>
                <w:lang w:val="en-US"/>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36D17235" w14:textId="77777777" w:rsidR="00BE42A0" w:rsidRPr="00AE1076" w:rsidRDefault="00BE42A0" w:rsidP="00BE42A0">
            <w:pPr>
              <w:pBdr>
                <w:top w:val="nil"/>
                <w:left w:val="nil"/>
                <w:bottom w:val="nil"/>
                <w:right w:val="nil"/>
                <w:between w:val="nil"/>
                <w:bar w:val="nil"/>
              </w:pBdr>
              <w:spacing w:after="120" w:line="240" w:lineRule="atLeast"/>
              <w:jc w:val="both"/>
              <w:rPr>
                <w:lang w:val="en-US" w:eastAsia="ru-RU"/>
              </w:rPr>
            </w:pPr>
            <w:r w:rsidRPr="00AE1076">
              <w:rPr>
                <w:lang w:val="en-US" w:eastAsia="ru-RU"/>
              </w:rPr>
              <w:t>is defined as how much a country owes to lenders outside of itself. These can include individuals, businesses, and even other governments. The term “public debt” is often used interchangeably with the term sovereign debt. Public debt usually only refers to national debt, but some countries also include the debt owed by states, provinces</w:t>
            </w:r>
            <w:r w:rsidR="00AE69A1">
              <w:rPr>
                <w:lang w:val="en-US" w:eastAsia="ru-RU"/>
              </w:rPr>
              <w:t>,</w:t>
            </w:r>
            <w:r w:rsidRPr="00AE1076">
              <w:rPr>
                <w:lang w:val="en-US" w:eastAsia="ru-RU"/>
              </w:rPr>
              <w:t xml:space="preserve"> and municipalities. Therefore, be careful when comparing public debt between countries to make sure the definitions are the same.</w:t>
            </w:r>
          </w:p>
        </w:tc>
      </w:tr>
      <w:tr w:rsidR="00BE42A0" w:rsidRPr="00BE42A0" w14:paraId="2241A8B9" w14:textId="77777777" w:rsidTr="008F194B">
        <w:trPr>
          <w:trHeight w:val="204"/>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41906910"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 xml:space="preserve">effective demand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5C1B66C0" w14:textId="77777777" w:rsidR="00BE42A0" w:rsidRPr="00AE1076" w:rsidRDefault="00BE42A0" w:rsidP="00BE42A0">
            <w:pPr>
              <w:pBdr>
                <w:top w:val="nil"/>
                <w:left w:val="nil"/>
                <w:bottom w:val="nil"/>
                <w:right w:val="nil"/>
                <w:between w:val="nil"/>
                <w:bar w:val="nil"/>
              </w:pBdr>
              <w:spacing w:after="120" w:line="240" w:lineRule="atLeast"/>
              <w:jc w:val="both"/>
              <w:rPr>
                <w:lang w:val="en-US" w:eastAsia="ru-RU"/>
              </w:rPr>
            </w:pPr>
            <w:r w:rsidRPr="00AE1076">
              <w:rPr>
                <w:lang w:val="en-US" w:eastAsia="ru-RU"/>
              </w:rPr>
              <w:t>is the demand for a product or service which occurs when purchasers are constrained in a different market. It contrasts with national demand, which is the demand that occurs when purchasers are not constrained in any other market. In the aggregated market for goods in general, effective demand is the same thing as aggregate demand when the demand for goods is influenced by spillovers from quantity constraints from other markets. The concept of effective supply parallels the concept of effective demand. The concept of effective demand or supply becomes relevant when markets do not continuously maintain equilibrium prices.</w:t>
            </w:r>
          </w:p>
        </w:tc>
      </w:tr>
      <w:tr w:rsidR="00BE42A0" w:rsidRPr="00BE42A0" w14:paraId="22283A5F" w14:textId="77777777" w:rsidTr="00BE42A0">
        <w:trPr>
          <w:trHeight w:val="120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4BF273EF" w14:textId="77777777" w:rsidR="00BE42A0" w:rsidRPr="00AE1076" w:rsidRDefault="00BE42A0" w:rsidP="00BE42A0">
            <w:pPr>
              <w:pBdr>
                <w:top w:val="nil"/>
                <w:left w:val="nil"/>
                <w:bottom w:val="nil"/>
                <w:right w:val="nil"/>
                <w:between w:val="nil"/>
                <w:bar w:val="nil"/>
              </w:pBdr>
              <w:spacing w:after="120" w:line="240" w:lineRule="atLeast"/>
              <w:rPr>
                <w:b/>
                <w:lang w:val="en-US" w:eastAsia="ru-RU"/>
              </w:rPr>
            </w:pPr>
            <w:r w:rsidRPr="00AE1076">
              <w:rPr>
                <w:b/>
                <w:lang w:val="en-US" w:eastAsia="ru-RU"/>
              </w:rPr>
              <w:t xml:space="preserve">debt consolidation </w:t>
            </w:r>
            <w:r w:rsidR="00921FA9">
              <w:rPr>
                <w:b/>
                <w:lang w:val="en-US" w:eastAsia="ru-RU"/>
              </w:rPr>
              <w:t xml:space="preserve"> </w:t>
            </w:r>
            <w:r w:rsidRPr="00AE1076">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2F56708A" w14:textId="77777777" w:rsidR="00BE42A0" w:rsidRPr="00AE1076" w:rsidRDefault="00BE42A0" w:rsidP="00BE42A0">
            <w:pPr>
              <w:pBdr>
                <w:top w:val="nil"/>
                <w:left w:val="nil"/>
                <w:bottom w:val="nil"/>
                <w:right w:val="nil"/>
                <w:between w:val="nil"/>
                <w:bar w:val="nil"/>
              </w:pBdr>
              <w:spacing w:after="120" w:line="240" w:lineRule="atLeast"/>
              <w:jc w:val="both"/>
              <w:rPr>
                <w:lang w:val="en-US" w:eastAsia="ru-RU"/>
              </w:rPr>
            </w:pPr>
            <w:r w:rsidRPr="00AE1076">
              <w:rPr>
                <w:lang w:val="en-US" w:eastAsia="ru-RU"/>
              </w:rPr>
              <w:t>is a combining of several unsecured debts into a single, new loan that is more favorable. Debt consolidation involves taking out a new loan to pay off a number of other debts. The new loan may result in a lower interest rate, lower monthly payment or both. Consumers can use debt consolidation as a tool to make it easier to get out of student loan debt, credit card debt and other types of debt that aren’t tied to an asset.</w:t>
            </w:r>
          </w:p>
        </w:tc>
      </w:tr>
      <w:tr w:rsidR="00BE42A0" w:rsidRPr="00BE42A0" w14:paraId="2475E207" w14:textId="77777777" w:rsidTr="00BE42A0">
        <w:trPr>
          <w:trHeight w:val="96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7C5418FD"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financial system</w:t>
            </w:r>
            <w:r w:rsidR="00CE7CA3" w:rsidRPr="00AE1076">
              <w:rPr>
                <w:b/>
                <w:lang w:val="en-US" w:eastAsia="ru-RU"/>
              </w:rPr>
              <w:t>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414F90E1" w14:textId="77777777" w:rsidR="00BE42A0" w:rsidRPr="00AE1076" w:rsidRDefault="00BE42A0" w:rsidP="00AE69A1">
            <w:pPr>
              <w:pBdr>
                <w:top w:val="nil"/>
                <w:left w:val="nil"/>
                <w:bottom w:val="nil"/>
                <w:right w:val="nil"/>
                <w:between w:val="nil"/>
                <w:bar w:val="nil"/>
              </w:pBdr>
              <w:spacing w:after="120" w:line="240" w:lineRule="atLeast"/>
              <w:jc w:val="both"/>
              <w:rPr>
                <w:lang w:val="en-US" w:eastAsia="ru-RU"/>
              </w:rPr>
            </w:pPr>
            <w:r w:rsidRPr="00AE1076">
              <w:rPr>
                <w:lang w:val="en-US" w:eastAsia="ru-RU"/>
              </w:rPr>
              <w:t>is a system that allows the transfer of money between savers (and investors) and borrowers. Financial systems operate both at national and global levels or at a firm-specific level. The financial system is a set of complex and closely interconnected financial institutions, markets, instruments, services, practices, and transactions.</w:t>
            </w:r>
          </w:p>
        </w:tc>
      </w:tr>
      <w:tr w:rsidR="00BE42A0" w:rsidRPr="00BE42A0" w14:paraId="157C24B6" w14:textId="77777777" w:rsidTr="00BE42A0">
        <w:trPr>
          <w:trHeight w:val="7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596CFBA9"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financial policy</w:t>
            </w:r>
            <w:r w:rsidR="00CE7CA3" w:rsidRPr="00AE1076">
              <w:rPr>
                <w:b/>
                <w:lang w:val="en-US" w:eastAsia="ru-RU"/>
              </w:rPr>
              <w:t>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44FF696C" w14:textId="77777777" w:rsidR="00BE42A0" w:rsidRPr="00AE1076" w:rsidRDefault="00BE42A0" w:rsidP="00AE69A1">
            <w:pPr>
              <w:pBdr>
                <w:top w:val="nil"/>
                <w:left w:val="nil"/>
                <w:bottom w:val="nil"/>
                <w:right w:val="nil"/>
                <w:between w:val="nil"/>
                <w:bar w:val="nil"/>
              </w:pBdr>
              <w:spacing w:after="120" w:line="240" w:lineRule="atLeast"/>
              <w:jc w:val="both"/>
              <w:rPr>
                <w:lang w:val="en-US" w:eastAsia="ru-RU"/>
              </w:rPr>
            </w:pPr>
            <w:r w:rsidRPr="00AE1076">
              <w:rPr>
                <w:lang w:val="en-US" w:eastAsia="ru-RU"/>
              </w:rPr>
              <w:t xml:space="preserve">is a criterion describing a corporation's choices regarding its debt/equity mix, currencies of denomination, maturity structure, method of financing investment projects, and hedging decisions with a goal of maximizing the value of the firm to </w:t>
            </w:r>
            <w:r w:rsidR="00AE69A1">
              <w:rPr>
                <w:lang w:val="en-US" w:eastAsia="ru-RU"/>
              </w:rPr>
              <w:t>certain</w:t>
            </w:r>
            <w:r w:rsidRPr="00AE1076">
              <w:rPr>
                <w:lang w:val="en-US" w:eastAsia="ru-RU"/>
              </w:rPr>
              <w:t xml:space="preserve"> stockholders.</w:t>
            </w:r>
          </w:p>
        </w:tc>
      </w:tr>
      <w:tr w:rsidR="00BE42A0" w:rsidRPr="00BE42A0" w14:paraId="06FED0A1" w14:textId="77777777" w:rsidTr="00BE42A0">
        <w:trPr>
          <w:trHeight w:val="144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569910BD"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 xml:space="preserve">financial institution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49240C75" w14:textId="77777777" w:rsidR="00BE42A0" w:rsidRPr="00AE1076" w:rsidRDefault="00BE42A0" w:rsidP="00BE42A0">
            <w:pPr>
              <w:pBdr>
                <w:top w:val="nil"/>
                <w:left w:val="nil"/>
                <w:bottom w:val="nil"/>
                <w:right w:val="nil"/>
                <w:between w:val="nil"/>
                <w:bar w:val="nil"/>
              </w:pBdr>
              <w:spacing w:after="120" w:line="240" w:lineRule="atLeast"/>
              <w:jc w:val="both"/>
              <w:rPr>
                <w:lang w:val="en-US" w:eastAsia="ru-RU"/>
              </w:rPr>
            </w:pPr>
            <w:r w:rsidRPr="00AE1076">
              <w:rPr>
                <w:lang w:val="en-US" w:eastAsia="ru-RU"/>
              </w:rPr>
              <w:t>is an establishment that focuses on dealing with financial transactions, such as investments, loans, and deposits. Conventionally, financial institutions are composed of organizations such as banks, trust companies, insurance companies</w:t>
            </w:r>
            <w:r w:rsidR="00AE69A1">
              <w:rPr>
                <w:lang w:val="en-US" w:eastAsia="ru-RU"/>
              </w:rPr>
              <w:t>,</w:t>
            </w:r>
            <w:r w:rsidRPr="00AE1076">
              <w:rPr>
                <w:lang w:val="en-US" w:eastAsia="ru-RU"/>
              </w:rPr>
              <w:t xml:space="preserve"> and investment dealers. Almost everyone has the deal with a financial institution on a regular basis. Everything from depositing money to taking out loans and exchange currencies must be done through financial institutions.</w:t>
            </w:r>
          </w:p>
        </w:tc>
      </w:tr>
      <w:tr w:rsidR="00BE42A0" w:rsidRPr="00BE42A0" w14:paraId="252024DF" w14:textId="77777777" w:rsidTr="00BE42A0">
        <w:trPr>
          <w:trHeight w:val="120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78966815"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lastRenderedPageBreak/>
              <w:t xml:space="preserve">financial intermediary </w:t>
            </w:r>
            <w:r w:rsidR="00921FA9">
              <w:rPr>
                <w:b/>
                <w:lang w:val="en-US" w:eastAsia="ru-RU"/>
              </w:rPr>
              <w:t xml:space="preserve"> </w:t>
            </w:r>
            <w:r w:rsidRPr="00AE1076">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3D23E54A" w14:textId="77777777" w:rsidR="00BE42A0" w:rsidRPr="00AE1076" w:rsidRDefault="00BE42A0" w:rsidP="00BE42A0">
            <w:pPr>
              <w:pBdr>
                <w:top w:val="nil"/>
                <w:left w:val="nil"/>
                <w:bottom w:val="nil"/>
                <w:right w:val="nil"/>
                <w:between w:val="nil"/>
                <w:bar w:val="nil"/>
              </w:pBdr>
              <w:spacing w:after="120" w:line="240" w:lineRule="atLeast"/>
              <w:jc w:val="both"/>
              <w:rPr>
                <w:lang w:val="en-US" w:eastAsia="ru-RU"/>
              </w:rPr>
            </w:pPr>
            <w:r w:rsidRPr="00AE1076">
              <w:rPr>
                <w:lang w:val="en-US" w:eastAsia="ru-RU"/>
              </w:rPr>
              <w:t>is an entity that acts as the middleman between two parties in a financial transaction. While a commercial bank is a typical financial intermediary, this category also includes other financial institutions</w:t>
            </w:r>
            <w:r w:rsidR="003A6D9D">
              <w:rPr>
                <w:lang w:val="en-US" w:eastAsia="ru-RU"/>
              </w:rPr>
              <w:t>,</w:t>
            </w:r>
            <w:r w:rsidRPr="00AE1076">
              <w:rPr>
                <w:lang w:val="en-US" w:eastAsia="ru-RU"/>
              </w:rPr>
              <w:t xml:space="preserve"> such as investment banks, insurance companies, broker-dealers, mutual funds and pension funds. Financial intermediaries offer a number of benefits to the average consumer</w:t>
            </w:r>
            <w:r w:rsidR="003A6D9D">
              <w:rPr>
                <w:lang w:val="en-US" w:eastAsia="ru-RU"/>
              </w:rPr>
              <w:t>,</w:t>
            </w:r>
            <w:r w:rsidRPr="00AE1076">
              <w:rPr>
                <w:lang w:val="en-US" w:eastAsia="ru-RU"/>
              </w:rPr>
              <w:t xml:space="preserve"> including safety, liquidity, and economies of scale.</w:t>
            </w:r>
          </w:p>
        </w:tc>
      </w:tr>
      <w:tr w:rsidR="00BE42A0" w:rsidRPr="00BE42A0" w14:paraId="2C2694BB" w14:textId="77777777" w:rsidTr="00BE42A0">
        <w:trPr>
          <w:trHeight w:val="168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5D334272"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 xml:space="preserve">corporate finance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1288FB8A" w14:textId="77777777" w:rsidR="00BE42A0" w:rsidRPr="00AE1076" w:rsidRDefault="00BE42A0" w:rsidP="003A6D9D">
            <w:pPr>
              <w:pBdr>
                <w:top w:val="nil"/>
                <w:left w:val="nil"/>
                <w:bottom w:val="nil"/>
                <w:right w:val="nil"/>
                <w:between w:val="nil"/>
                <w:bar w:val="nil"/>
              </w:pBdr>
              <w:spacing w:after="120" w:line="240" w:lineRule="atLeast"/>
              <w:jc w:val="both"/>
              <w:rPr>
                <w:lang w:val="en-US" w:eastAsia="ru-RU"/>
              </w:rPr>
            </w:pPr>
            <w:r w:rsidRPr="00AE1076">
              <w:rPr>
                <w:lang w:val="en-US" w:eastAsia="ru-RU"/>
              </w:rPr>
              <w:t xml:space="preserve">is the area of finance dealing with the sources of funding and the capital structure of corporations and the actions that managers take to increase the value of the firm to the shareholders, as well as the tools and analysis used to allocate financial resources. The primary goal of corporate finance is to maximize or increase shareholder value. Although it is different </w:t>
            </w:r>
            <w:r w:rsidR="003A6D9D" w:rsidRPr="00AE1076">
              <w:rPr>
                <w:lang w:val="en-US" w:eastAsia="ru-RU"/>
              </w:rPr>
              <w:t xml:space="preserve">in principle </w:t>
            </w:r>
            <w:r w:rsidRPr="00AE1076">
              <w:rPr>
                <w:lang w:val="en-US" w:eastAsia="ru-RU"/>
              </w:rPr>
              <w:t>from managerial finance which studies the financial management of all firms, rather than corporations alone, the main concepts in the study of corporate finance are applicable to the financial problems of all kinds of firms.</w:t>
            </w:r>
          </w:p>
        </w:tc>
      </w:tr>
      <w:tr w:rsidR="00BE42A0" w:rsidRPr="00BE42A0" w14:paraId="09E129CE" w14:textId="77777777" w:rsidTr="00BE42A0">
        <w:trPr>
          <w:trHeight w:val="144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5F249B3B"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 xml:space="preserve">financial economics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1A640359" w14:textId="77777777" w:rsidR="00BE42A0" w:rsidRPr="00AE1076" w:rsidRDefault="00BE42A0" w:rsidP="00CE7CA3">
            <w:pPr>
              <w:pBdr>
                <w:top w:val="nil"/>
                <w:left w:val="nil"/>
                <w:bottom w:val="nil"/>
                <w:right w:val="nil"/>
                <w:between w:val="nil"/>
                <w:bar w:val="nil"/>
              </w:pBdr>
              <w:spacing w:after="120" w:line="240" w:lineRule="atLeast"/>
              <w:jc w:val="both"/>
              <w:rPr>
                <w:lang w:val="en-US" w:eastAsia="ru-RU"/>
              </w:rPr>
            </w:pPr>
            <w:r w:rsidRPr="00AE1076">
              <w:rPr>
                <w:lang w:val="en-US" w:eastAsia="ru-RU"/>
              </w:rPr>
              <w:t>is a branch of economics that analyzes the use and distribution of resources in markets in which decisions are made under uncertainty. Financial decisions must often take into account future events whether those be related to individual stocks, portfolios</w:t>
            </w:r>
            <w:r w:rsidR="003A6D9D">
              <w:rPr>
                <w:lang w:val="en-US" w:eastAsia="ru-RU"/>
              </w:rPr>
              <w:t>,</w:t>
            </w:r>
            <w:r w:rsidRPr="00AE1076">
              <w:rPr>
                <w:lang w:val="en-US" w:eastAsia="ru-RU"/>
              </w:rPr>
              <w:t xml:space="preserve"> or the market as a whole. Financial economics employs economic theory to evaluate how time, risk (uncertainty), opportunity costs</w:t>
            </w:r>
            <w:r w:rsidR="003A6D9D">
              <w:rPr>
                <w:lang w:val="en-US" w:eastAsia="ru-RU"/>
              </w:rPr>
              <w:t>,</w:t>
            </w:r>
            <w:r w:rsidRPr="00AE1076">
              <w:rPr>
                <w:lang w:val="en-US" w:eastAsia="ru-RU"/>
              </w:rPr>
              <w:t xml:space="preserve"> and information can create incentives or disincentives for a particular decision.</w:t>
            </w:r>
          </w:p>
        </w:tc>
      </w:tr>
      <w:tr w:rsidR="00BE42A0" w:rsidRPr="00BE42A0" w14:paraId="33972FFA" w14:textId="77777777" w:rsidTr="00BE42A0">
        <w:trPr>
          <w:trHeight w:val="19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1E0D675B"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 xml:space="preserve">personal finance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0342C549" w14:textId="77777777" w:rsidR="00BE42A0" w:rsidRPr="00AE1076" w:rsidRDefault="00BE42A0" w:rsidP="00BE42A0">
            <w:pPr>
              <w:pBdr>
                <w:top w:val="nil"/>
                <w:left w:val="nil"/>
                <w:bottom w:val="nil"/>
                <w:right w:val="nil"/>
                <w:between w:val="nil"/>
                <w:bar w:val="nil"/>
              </w:pBdr>
              <w:spacing w:after="120" w:line="240" w:lineRule="atLeast"/>
              <w:jc w:val="both"/>
              <w:rPr>
                <w:lang w:val="en-US" w:eastAsia="ru-RU"/>
              </w:rPr>
            </w:pPr>
            <w:r w:rsidRPr="00AE1076">
              <w:rPr>
                <w:lang w:val="en-US" w:eastAsia="ru-RU"/>
              </w:rPr>
              <w:t xml:space="preserve">is the financial management which an individual or a family unit performs to budget, save, and spend </w:t>
            </w:r>
            <w:r w:rsidR="00707782">
              <w:rPr>
                <w:lang w:val="en-US" w:eastAsia="ru-RU"/>
              </w:rPr>
              <w:t>money</w:t>
            </w:r>
            <w:r w:rsidRPr="00AE1076">
              <w:rPr>
                <w:lang w:val="en-US" w:eastAsia="ru-RU"/>
              </w:rPr>
              <w:t xml:space="preserve"> resources over time, taking into account various financial risks and future life events.</w:t>
            </w:r>
            <w:r w:rsidR="003A6D9D">
              <w:rPr>
                <w:lang w:val="en-US" w:eastAsia="ru-RU"/>
              </w:rPr>
              <w:t xml:space="preserve"> </w:t>
            </w:r>
            <w:r w:rsidRPr="00AE1076">
              <w:rPr>
                <w:lang w:val="en-US" w:eastAsia="ru-RU"/>
              </w:rPr>
              <w:t>When planning personal finances, the individual would consider the suitability to his or her needs of a range of banking products (checking, savings accounts, credit cards</w:t>
            </w:r>
            <w:r w:rsidR="003A6D9D">
              <w:rPr>
                <w:lang w:val="en-US" w:eastAsia="ru-RU"/>
              </w:rPr>
              <w:t>,</w:t>
            </w:r>
            <w:r w:rsidRPr="00AE1076">
              <w:rPr>
                <w:lang w:val="en-US" w:eastAsia="ru-RU"/>
              </w:rPr>
              <w:t xml:space="preserve"> and consumer loans) or investment (stock market, bonds, mutual funds) and insurance (life insurance, health insurance, </w:t>
            </w:r>
            <w:r w:rsidR="003A6D9D">
              <w:rPr>
                <w:lang w:val="en-US" w:eastAsia="ru-RU"/>
              </w:rPr>
              <w:t xml:space="preserve">and </w:t>
            </w:r>
            <w:r w:rsidRPr="00AE1076">
              <w:rPr>
                <w:lang w:val="en-US" w:eastAsia="ru-RU"/>
              </w:rPr>
              <w:t>disability insurance) products</w:t>
            </w:r>
            <w:r w:rsidR="003A6D9D">
              <w:rPr>
                <w:lang w:val="en-US" w:eastAsia="ru-RU"/>
              </w:rPr>
              <w:t>,</w:t>
            </w:r>
            <w:r w:rsidRPr="00AE1076">
              <w:rPr>
                <w:lang w:val="en-US" w:eastAsia="ru-RU"/>
              </w:rPr>
              <w:t xml:space="preserve"> or participation and monitoring of individual- or employer-sponsored retirement plans, social security benefits, and income tax management.</w:t>
            </w:r>
          </w:p>
        </w:tc>
      </w:tr>
      <w:tr w:rsidR="00BE42A0" w:rsidRPr="00BE42A0" w14:paraId="422EF74B" w14:textId="77777777" w:rsidTr="00BE42A0">
        <w:trPr>
          <w:trHeight w:val="78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4A1854FA"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 xml:space="preserve">capital asset pricing model (CAPM)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2280CC6B" w14:textId="77777777" w:rsidR="00BE42A0" w:rsidRPr="00AE1076" w:rsidRDefault="00BE42A0" w:rsidP="00BE42A0">
            <w:pPr>
              <w:pBdr>
                <w:top w:val="nil"/>
                <w:left w:val="nil"/>
                <w:bottom w:val="nil"/>
                <w:right w:val="nil"/>
                <w:between w:val="nil"/>
                <w:bar w:val="nil"/>
              </w:pBdr>
              <w:spacing w:after="120" w:line="240" w:lineRule="atLeast"/>
              <w:jc w:val="both"/>
              <w:rPr>
                <w:lang w:val="en-US" w:eastAsia="ru-RU"/>
              </w:rPr>
            </w:pPr>
            <w:r w:rsidRPr="00AE1076">
              <w:rPr>
                <w:lang w:val="en-US" w:eastAsia="ru-RU"/>
              </w:rPr>
              <w:t>is a mathematical model used to determine a theoretically appropriate required rate of return of an as</w:t>
            </w:r>
            <w:r w:rsidR="003A6D9D">
              <w:rPr>
                <w:lang w:val="en-US" w:eastAsia="ru-RU"/>
              </w:rPr>
              <w:t>set</w:t>
            </w:r>
            <w:r w:rsidRPr="00AE1076">
              <w:rPr>
                <w:lang w:val="en-US" w:eastAsia="ru-RU"/>
              </w:rPr>
              <w:t xml:space="preserve"> if that asset is to be added to an already well-diversified portfolio, given that asset's non-diversifiable risk.</w:t>
            </w:r>
          </w:p>
        </w:tc>
      </w:tr>
      <w:tr w:rsidR="00BE42A0" w:rsidRPr="00BE42A0" w14:paraId="09956116" w14:textId="77777777" w:rsidTr="00BE42A0">
        <w:trPr>
          <w:trHeight w:val="144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1ED1CA98"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 xml:space="preserve">financial structure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7155F498" w14:textId="77777777" w:rsidR="00BE42A0" w:rsidRPr="00AE1076" w:rsidRDefault="003A6D9D" w:rsidP="003A6D9D">
            <w:pPr>
              <w:pBdr>
                <w:top w:val="nil"/>
                <w:left w:val="nil"/>
                <w:bottom w:val="nil"/>
                <w:right w:val="nil"/>
                <w:between w:val="nil"/>
                <w:bar w:val="nil"/>
              </w:pBdr>
              <w:spacing w:after="120" w:line="240" w:lineRule="atLeast"/>
              <w:jc w:val="both"/>
              <w:rPr>
                <w:lang w:val="en-US" w:eastAsia="ru-RU"/>
              </w:rPr>
            </w:pPr>
            <w:r>
              <w:rPr>
                <w:lang w:val="en-US" w:eastAsia="ru-RU"/>
              </w:rPr>
              <w:t xml:space="preserve">is a </w:t>
            </w:r>
            <w:r w:rsidR="00BE42A0" w:rsidRPr="00AE1076">
              <w:rPr>
                <w:lang w:val="en-US" w:eastAsia="ru-RU"/>
              </w:rPr>
              <w:t xml:space="preserve">specific mixture of long–term debt and equity that a company uses to finance its operations. This financial structure is </w:t>
            </w:r>
            <w:r>
              <w:rPr>
                <w:lang w:val="en-US" w:eastAsia="ru-RU"/>
              </w:rPr>
              <w:t>the</w:t>
            </w:r>
            <w:r w:rsidR="00BE42A0" w:rsidRPr="00AE1076">
              <w:rPr>
                <w:lang w:val="en-US" w:eastAsia="ru-RU"/>
              </w:rPr>
              <w:t xml:space="preserve"> mixture that directly affects the risk and value of the business. The main concern for the financial manager of the company is deciding how much money should be borrowed and the best mixture of debt and equity to obtain. The financial manager also has to find the least expensive sources of funds for the company to use.</w:t>
            </w:r>
          </w:p>
        </w:tc>
      </w:tr>
      <w:tr w:rsidR="00BE42A0" w:rsidRPr="00BE42A0" w14:paraId="032BE29F" w14:textId="77777777" w:rsidTr="00BE42A0">
        <w:trPr>
          <w:trHeight w:val="240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42BA31D4"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lastRenderedPageBreak/>
              <w:t xml:space="preserve">financial development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7C166BA0" w14:textId="77777777" w:rsidR="00BE42A0" w:rsidRPr="00AE1076" w:rsidRDefault="00BE42A0" w:rsidP="003A6D9D">
            <w:pPr>
              <w:pBdr>
                <w:top w:val="nil"/>
                <w:left w:val="nil"/>
                <w:bottom w:val="nil"/>
                <w:right w:val="nil"/>
                <w:between w:val="nil"/>
                <w:bar w:val="nil"/>
              </w:pBdr>
              <w:spacing w:after="120" w:line="240" w:lineRule="atLeast"/>
              <w:jc w:val="both"/>
              <w:rPr>
                <w:lang w:val="en-US" w:eastAsia="ru-RU"/>
              </w:rPr>
            </w:pPr>
            <w:r w:rsidRPr="00AE1076">
              <w:rPr>
                <w:lang w:val="en-US" w:eastAsia="ru-RU"/>
              </w:rPr>
              <w:t>can be defined as the policies, factors, and the institutions that lead to the efficient intermediation and effective financial markets. A strong financial system offers risk diversification and effective capital allocation. The greater the financial development</w:t>
            </w:r>
            <w:r w:rsidR="003A6D9D">
              <w:rPr>
                <w:lang w:val="en-US" w:eastAsia="ru-RU"/>
              </w:rPr>
              <w:t xml:space="preserve"> is</w:t>
            </w:r>
            <w:r w:rsidRPr="00AE1076">
              <w:rPr>
                <w:lang w:val="en-US" w:eastAsia="ru-RU"/>
              </w:rPr>
              <w:t>, the higher the mobilization of savings and its allocation to high return projects</w:t>
            </w:r>
            <w:r w:rsidR="003A6D9D">
              <w:rPr>
                <w:lang w:val="en-US" w:eastAsia="ru-RU"/>
              </w:rPr>
              <w:t xml:space="preserve"> are</w:t>
            </w:r>
            <w:r w:rsidRPr="00AE1076">
              <w:rPr>
                <w:lang w:val="en-US" w:eastAsia="ru-RU"/>
              </w:rPr>
              <w:t>. Financial development can be measured by a number of factors including the depth, size, access, and soundness of the financial system. It can be measured by examining the performance and activities of the financial markets, banks, bond markets</w:t>
            </w:r>
            <w:r w:rsidR="003A6D9D">
              <w:rPr>
                <w:lang w:val="en-US" w:eastAsia="ru-RU"/>
              </w:rPr>
              <w:t>,</w:t>
            </w:r>
            <w:r w:rsidRPr="00AE1076">
              <w:rPr>
                <w:lang w:val="en-US" w:eastAsia="ru-RU"/>
              </w:rPr>
              <w:t xml:space="preserve"> and financial institutions. It is observed that </w:t>
            </w:r>
            <w:r w:rsidR="003A6D9D">
              <w:rPr>
                <w:lang w:val="en-US" w:eastAsia="ru-RU"/>
              </w:rPr>
              <w:t xml:space="preserve">the </w:t>
            </w:r>
            <w:r w:rsidRPr="00AE1076">
              <w:rPr>
                <w:lang w:val="en-US" w:eastAsia="ru-RU"/>
              </w:rPr>
              <w:t xml:space="preserve">higher the degree of financial development in </w:t>
            </w:r>
            <w:r w:rsidR="003A6D9D">
              <w:rPr>
                <w:lang w:val="en-US" w:eastAsia="ru-RU"/>
              </w:rPr>
              <w:t>the</w:t>
            </w:r>
            <w:r w:rsidRPr="00AE1076">
              <w:rPr>
                <w:lang w:val="en-US" w:eastAsia="ru-RU"/>
              </w:rPr>
              <w:t xml:space="preserve"> country</w:t>
            </w:r>
            <w:r w:rsidR="003A6D9D">
              <w:rPr>
                <w:lang w:val="en-US" w:eastAsia="ru-RU"/>
              </w:rPr>
              <w:t xml:space="preserve"> is</w:t>
            </w:r>
            <w:r w:rsidRPr="00AE1076">
              <w:rPr>
                <w:lang w:val="en-US" w:eastAsia="ru-RU"/>
              </w:rPr>
              <w:t>, the wider the availability of financial services</w:t>
            </w:r>
            <w:r w:rsidR="003A6D9D">
              <w:rPr>
                <w:lang w:val="en-US" w:eastAsia="ru-RU"/>
              </w:rPr>
              <w:t xml:space="preserve"> is</w:t>
            </w:r>
            <w:r w:rsidRPr="00AE1076">
              <w:rPr>
                <w:lang w:val="en-US" w:eastAsia="ru-RU"/>
              </w:rPr>
              <w:t>. A developed financial system offers higher returns with less risk.</w:t>
            </w:r>
          </w:p>
        </w:tc>
      </w:tr>
      <w:tr w:rsidR="00BE42A0" w:rsidRPr="00BE42A0" w14:paraId="3F4B7447" w14:textId="77777777" w:rsidTr="00BE42A0">
        <w:trPr>
          <w:trHeight w:val="19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45A1AD3A" w14:textId="77777777" w:rsidR="00BE42A0" w:rsidRPr="00AE1076" w:rsidRDefault="00BE42A0" w:rsidP="00CE7CA3">
            <w:pPr>
              <w:pBdr>
                <w:top w:val="nil"/>
                <w:left w:val="nil"/>
                <w:bottom w:val="nil"/>
                <w:right w:val="nil"/>
                <w:between w:val="nil"/>
                <w:bar w:val="nil"/>
              </w:pBdr>
              <w:spacing w:after="120" w:line="240" w:lineRule="atLeast"/>
              <w:rPr>
                <w:b/>
                <w:lang w:val="en-US" w:eastAsia="ru-RU"/>
              </w:rPr>
            </w:pPr>
            <w:r w:rsidRPr="00AE1076">
              <w:rPr>
                <w:b/>
                <w:lang w:val="en-US" w:eastAsia="ru-RU"/>
              </w:rPr>
              <w:t>financial depth</w:t>
            </w:r>
            <w:r w:rsidR="00CE7CA3" w:rsidRPr="00AE1076">
              <w:rPr>
                <w:b/>
                <w:lang w:val="en-US" w:eastAsia="ru-RU"/>
              </w:rPr>
              <w:t> </w:t>
            </w:r>
            <w:r w:rsidR="00921FA9">
              <w:rPr>
                <w:b/>
                <w:lang w:val="en-US" w:eastAsia="ru-RU"/>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667F5E24" w14:textId="77777777" w:rsidR="00BE42A0" w:rsidRPr="00AE1076" w:rsidRDefault="00BE42A0" w:rsidP="00BE42A0">
            <w:pPr>
              <w:pBdr>
                <w:top w:val="nil"/>
                <w:left w:val="nil"/>
                <w:bottom w:val="nil"/>
                <w:right w:val="nil"/>
                <w:between w:val="nil"/>
                <w:bar w:val="nil"/>
              </w:pBdr>
              <w:spacing w:after="120" w:line="240" w:lineRule="atLeast"/>
              <w:jc w:val="both"/>
              <w:rPr>
                <w:lang w:val="en-US" w:eastAsia="ru-RU"/>
              </w:rPr>
            </w:pPr>
            <w:r w:rsidRPr="00AE1076">
              <w:rPr>
                <w:lang w:val="en-US" w:eastAsia="ru-RU"/>
              </w:rPr>
              <w:t>captures the financial sector relative to the economy. It is the size of banks, other financial institutions, and financial markets in a country, taken together and compared to a measure of economic output. A proxy variable that has received much attention in the empirical literature in this regard is private credit relative to gross domestic product (GDP). More specifically, the variable is defined as a domestic private credit to the real sector by deposit money banks as a percentage of local currency GDP.  The private credit, therefore, excludes credit issued to governments, government agencies, and public enterprises. It also excludes credit issued by central banks.</w:t>
            </w:r>
          </w:p>
        </w:tc>
      </w:tr>
    </w:tbl>
    <w:p w14:paraId="4CB8A288" w14:textId="77777777" w:rsidR="00BE42A0" w:rsidRPr="00AE1076" w:rsidRDefault="00BE42A0" w:rsidP="00CE7CA3">
      <w:pPr>
        <w:pStyle w:val="end2"/>
        <w:rPr>
          <w:rFonts w:eastAsia="Garamond"/>
          <w:szCs w:val="28"/>
          <w:u w:color="000000"/>
          <w:bdr w:val="nil"/>
          <w:lang w:eastAsia="en-US"/>
        </w:rPr>
      </w:pPr>
      <w:r w:rsidRPr="00AE1076">
        <w:rPr>
          <w:rFonts w:eastAsia="Arial Unicode MS"/>
          <w:szCs w:val="28"/>
          <w:u w:color="000000"/>
          <w:bdr w:val="nil"/>
          <w:lang w:eastAsia="en-US"/>
        </w:rPr>
        <w:t>Review questions</w:t>
      </w:r>
    </w:p>
    <w:p w14:paraId="624013F8"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Describe the historical development of the term “finance”. Describe theories and views of the term “finance” origin.</w:t>
      </w:r>
    </w:p>
    <w:p w14:paraId="4F4B05C2"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What phases in the evolution of finance are distinguish</w:t>
      </w:r>
      <w:r w:rsidR="003A6D9D">
        <w:rPr>
          <w:rFonts w:eastAsia="Calibri" w:cs="Garamond"/>
          <w:color w:val="auto"/>
          <w:sz w:val="28"/>
          <w:szCs w:val="28"/>
          <w:lang w:val="en-US" w:eastAsia="ru-RU" w:bidi="ru-RU"/>
        </w:rPr>
        <w:t>ed</w:t>
      </w:r>
      <w:r w:rsidRPr="00AE1076">
        <w:rPr>
          <w:rFonts w:eastAsia="Calibri" w:cs="Garamond"/>
          <w:color w:val="auto"/>
          <w:sz w:val="28"/>
          <w:szCs w:val="28"/>
          <w:lang w:val="en-US" w:eastAsia="ru-RU" w:bidi="ru-RU"/>
        </w:rPr>
        <w:t>? Describe them.</w:t>
      </w:r>
    </w:p>
    <w:p w14:paraId="0C28B633"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What are the characteristic features of finance?</w:t>
      </w:r>
    </w:p>
    <w:p w14:paraId="10E28A63"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Define the essence of natural production as the basis for the emergence of financial relations.</w:t>
      </w:r>
    </w:p>
    <w:p w14:paraId="5DE3B2DB"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 xml:space="preserve">Why </w:t>
      </w:r>
      <w:r w:rsidR="003A6D9D">
        <w:rPr>
          <w:rFonts w:eastAsia="Calibri" w:cs="Garamond"/>
          <w:color w:val="auto"/>
          <w:sz w:val="28"/>
          <w:szCs w:val="28"/>
          <w:lang w:val="en-US" w:eastAsia="ru-RU" w:bidi="ru-RU"/>
        </w:rPr>
        <w:t>have</w:t>
      </w:r>
      <w:r w:rsidRPr="00AE1076">
        <w:rPr>
          <w:rFonts w:eastAsia="Calibri" w:cs="Garamond"/>
          <w:color w:val="auto"/>
          <w:sz w:val="28"/>
          <w:szCs w:val="28"/>
          <w:lang w:val="en-US" w:eastAsia="ru-RU" w:bidi="ru-RU"/>
        </w:rPr>
        <w:t xml:space="preserve"> commodity-money relations become a catalyst for finance development?</w:t>
      </w:r>
    </w:p>
    <w:p w14:paraId="035172EC"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Describe each stage of finance development. What is the main difference between them?</w:t>
      </w:r>
    </w:p>
    <w:p w14:paraId="66B288C5"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Define the role of taxes in the development of finance.</w:t>
      </w:r>
    </w:p>
    <w:p w14:paraId="6A35E0E2"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 xml:space="preserve">Describe the major stages of </w:t>
      </w:r>
      <w:r w:rsidR="003A6D9D" w:rsidRPr="00AE1076">
        <w:rPr>
          <w:rFonts w:eastAsia="Calibri" w:cs="Garamond"/>
          <w:color w:val="auto"/>
          <w:sz w:val="28"/>
          <w:szCs w:val="28"/>
          <w:lang w:val="en-US" w:eastAsia="ru-RU" w:bidi="ru-RU"/>
        </w:rPr>
        <w:t xml:space="preserve">finance </w:t>
      </w:r>
      <w:r w:rsidRPr="00AE1076">
        <w:rPr>
          <w:rFonts w:eastAsia="Calibri" w:cs="Garamond"/>
          <w:color w:val="auto"/>
          <w:sz w:val="28"/>
          <w:szCs w:val="28"/>
          <w:lang w:val="en-US" w:eastAsia="ru-RU" w:bidi="ru-RU"/>
        </w:rPr>
        <w:t>development in our country.</w:t>
      </w:r>
    </w:p>
    <w:p w14:paraId="30011D7D"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Describe the public finances of the slave, feudal, capitalist</w:t>
      </w:r>
      <w:r w:rsidR="003A6D9D">
        <w:rPr>
          <w:rFonts w:eastAsia="Calibri" w:cs="Garamond"/>
          <w:color w:val="auto"/>
          <w:sz w:val="28"/>
          <w:szCs w:val="28"/>
          <w:lang w:val="en-US" w:eastAsia="ru-RU" w:bidi="ru-RU"/>
        </w:rPr>
        <w:t>,</w:t>
      </w:r>
      <w:r w:rsidRPr="00AE1076">
        <w:rPr>
          <w:rFonts w:eastAsia="Calibri" w:cs="Garamond"/>
          <w:color w:val="auto"/>
          <w:sz w:val="28"/>
          <w:szCs w:val="28"/>
          <w:lang w:val="en-US" w:eastAsia="ru-RU" w:bidi="ru-RU"/>
        </w:rPr>
        <w:t xml:space="preserve"> and communist state</w:t>
      </w:r>
      <w:r w:rsidR="003A6D9D">
        <w:rPr>
          <w:rFonts w:eastAsia="Calibri" w:cs="Garamond"/>
          <w:color w:val="auto"/>
          <w:sz w:val="28"/>
          <w:szCs w:val="28"/>
          <w:lang w:val="en-US" w:eastAsia="ru-RU" w:bidi="ru-RU"/>
        </w:rPr>
        <w:t>s</w:t>
      </w:r>
      <w:r w:rsidRPr="00AE1076">
        <w:rPr>
          <w:rFonts w:eastAsia="Calibri" w:cs="Garamond"/>
          <w:color w:val="auto"/>
          <w:sz w:val="28"/>
          <w:szCs w:val="28"/>
          <w:lang w:val="en-US" w:eastAsia="ru-RU" w:bidi="ru-RU"/>
        </w:rPr>
        <w:t>.</w:t>
      </w:r>
    </w:p>
    <w:p w14:paraId="35D500A7"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Assess the value of financial teachings of J. M. Keynes. How did his ideas influence the financial policies of developed countries?</w:t>
      </w:r>
    </w:p>
    <w:p w14:paraId="4786E201"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On what ideas is based neo-classical science of finance? What are the main theories?</w:t>
      </w:r>
    </w:p>
    <w:p w14:paraId="1C992A50"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lastRenderedPageBreak/>
        <w:t xml:space="preserve">Mention major building blocks of the modern theory of financial economics. </w:t>
      </w:r>
    </w:p>
    <w:p w14:paraId="3AF912C2"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Describe the essence of such finance categories</w:t>
      </w:r>
      <w:r w:rsidR="003A6D9D">
        <w:rPr>
          <w:rFonts w:eastAsia="Calibri" w:cs="Garamond"/>
          <w:color w:val="auto"/>
          <w:sz w:val="28"/>
          <w:szCs w:val="28"/>
          <w:lang w:val="en-US" w:eastAsia="ru-RU" w:bidi="ru-RU"/>
        </w:rPr>
        <w:t xml:space="preserve"> as</w:t>
      </w:r>
      <w:r w:rsidRPr="00AE1076">
        <w:rPr>
          <w:rFonts w:eastAsia="Calibri" w:cs="Garamond"/>
          <w:color w:val="auto"/>
          <w:sz w:val="28"/>
          <w:szCs w:val="28"/>
          <w:lang w:val="en-US" w:eastAsia="ru-RU" w:bidi="ru-RU"/>
        </w:rPr>
        <w:t xml:space="preserve"> public finance, financial market, financial institution, financial intermediary, corporate finance, financial economics, investment, </w:t>
      </w:r>
      <w:r w:rsidR="003A6D9D">
        <w:rPr>
          <w:rFonts w:eastAsia="Calibri" w:cs="Garamond"/>
          <w:color w:val="auto"/>
          <w:sz w:val="28"/>
          <w:szCs w:val="28"/>
          <w:lang w:val="en-US" w:eastAsia="ru-RU" w:bidi="ru-RU"/>
        </w:rPr>
        <w:t xml:space="preserve">and </w:t>
      </w:r>
      <w:r w:rsidRPr="00AE1076">
        <w:rPr>
          <w:rFonts w:eastAsia="Calibri" w:cs="Garamond"/>
          <w:color w:val="auto"/>
          <w:sz w:val="28"/>
          <w:szCs w:val="28"/>
          <w:lang w:val="en-US" w:eastAsia="ru-RU" w:bidi="ru-RU"/>
        </w:rPr>
        <w:t xml:space="preserve">personal finance.  </w:t>
      </w:r>
    </w:p>
    <w:p w14:paraId="00517233"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Describe and explain the essence of behavioral finance theory. Why did this theory become so popular?</w:t>
      </w:r>
    </w:p>
    <w:p w14:paraId="4F96BA36" w14:textId="77777777" w:rsidR="00BE42A0" w:rsidRPr="00AE1076" w:rsidRDefault="00BE42A0" w:rsidP="006C5BC9">
      <w:pPr>
        <w:numPr>
          <w:ilvl w:val="0"/>
          <w:numId w:val="28"/>
        </w:numPr>
        <w:tabs>
          <w:tab w:val="clear" w:pos="210"/>
          <w:tab w:val="num" w:pos="1070"/>
        </w:tabs>
        <w:spacing w:line="312" w:lineRule="auto"/>
        <w:ind w:left="426" w:hanging="360"/>
        <w:contextualSpacing/>
        <w:jc w:val="both"/>
        <w:rPr>
          <w:rFonts w:eastAsia="Calibri" w:cs="Garamond"/>
          <w:color w:val="auto"/>
          <w:sz w:val="28"/>
          <w:szCs w:val="28"/>
          <w:lang w:val="en-US" w:eastAsia="ru-RU" w:bidi="ru-RU"/>
        </w:rPr>
      </w:pPr>
      <w:r w:rsidRPr="00AE1076">
        <w:rPr>
          <w:rFonts w:eastAsia="Calibri" w:cs="Garamond"/>
          <w:color w:val="auto"/>
          <w:sz w:val="28"/>
          <w:szCs w:val="28"/>
          <w:lang w:val="en-US" w:eastAsia="ru-RU" w:bidi="ru-RU"/>
        </w:rPr>
        <w:t>What ideas are in the center of financial structure theory? Describe major categories of it (financial development, financial depth).</w:t>
      </w:r>
    </w:p>
    <w:p w14:paraId="64727F7C" w14:textId="77777777" w:rsidR="00BE42A0" w:rsidRPr="00AE1076" w:rsidRDefault="00BE42A0" w:rsidP="008F194B">
      <w:pPr>
        <w:pStyle w:val="end2"/>
        <w:rPr>
          <w:rFonts w:eastAsia="Garamond"/>
          <w:szCs w:val="28"/>
          <w:u w:color="000000"/>
          <w:bdr w:val="nil"/>
          <w:lang w:eastAsia="en-US"/>
        </w:rPr>
      </w:pPr>
      <w:r w:rsidRPr="00AE1076">
        <w:rPr>
          <w:rFonts w:eastAsia="Arial Unicode MS"/>
          <w:szCs w:val="28"/>
          <w:u w:color="000000"/>
          <w:bdr w:val="nil"/>
          <w:lang w:eastAsia="en-US"/>
        </w:rPr>
        <w:t>Multiple</w:t>
      </w:r>
      <w:r w:rsidR="004B7BB5">
        <w:rPr>
          <w:rFonts w:eastAsia="Arial Unicode MS"/>
          <w:szCs w:val="28"/>
          <w:u w:color="000000"/>
          <w:bdr w:val="nil"/>
          <w:lang w:eastAsia="en-US"/>
        </w:rPr>
        <w:t xml:space="preserve"> </w:t>
      </w:r>
      <w:r w:rsidRPr="00AE1076">
        <w:rPr>
          <w:rFonts w:eastAsia="Arial Unicode MS"/>
          <w:szCs w:val="28"/>
          <w:u w:color="000000"/>
          <w:bdr w:val="nil"/>
          <w:lang w:eastAsia="en-US"/>
        </w:rPr>
        <w:t xml:space="preserve">choice questions </w:t>
      </w:r>
    </w:p>
    <w:p w14:paraId="1791A66B" w14:textId="77777777" w:rsidR="00BE42A0" w:rsidRPr="00AE1076" w:rsidRDefault="00BE42A0" w:rsidP="008F194B">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357"/>
        <w:jc w:val="both"/>
        <w:rPr>
          <w:rFonts w:eastAsia="Garamond"/>
          <w:sz w:val="28"/>
          <w:szCs w:val="28"/>
          <w:u w:color="000000"/>
          <w:bdr w:val="nil"/>
          <w:lang w:val="en-US" w:eastAsia="en-US"/>
        </w:rPr>
      </w:pPr>
      <w:r w:rsidRPr="00AE1076">
        <w:rPr>
          <w:rFonts w:eastAsia="Arial Unicode MS" w:cs="Arial Unicode MS"/>
          <w:sz w:val="28"/>
          <w:szCs w:val="28"/>
          <w:u w:color="000000"/>
          <w:bdr w:val="nil"/>
          <w:lang w:val="en-US" w:eastAsia="en-US"/>
        </w:rPr>
        <w:t>Choose the one alternative that best completes the statement or answers the question.</w:t>
      </w:r>
    </w:p>
    <w:tbl>
      <w:tblPr>
        <w:tblW w:w="947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428"/>
        <w:gridCol w:w="42"/>
      </w:tblGrid>
      <w:tr w:rsidR="008F194B" w:rsidRPr="00AE1076" w14:paraId="2ABA41AF" w14:textId="77777777" w:rsidTr="007557BC">
        <w:trPr>
          <w:gridAfter w:val="1"/>
          <w:wAfter w:w="42" w:type="dxa"/>
          <w:trHeight w:val="1419"/>
        </w:trPr>
        <w:tc>
          <w:tcPr>
            <w:tcW w:w="9428" w:type="dxa"/>
            <w:tcBorders>
              <w:top w:val="nil"/>
              <w:left w:val="nil"/>
              <w:bottom w:val="nil"/>
              <w:right w:val="nil"/>
            </w:tcBorders>
            <w:shd w:val="clear" w:color="auto" w:fill="auto"/>
            <w:tcMar>
              <w:top w:w="80" w:type="dxa"/>
              <w:left w:w="80" w:type="dxa"/>
              <w:bottom w:w="80" w:type="dxa"/>
              <w:right w:w="80" w:type="dxa"/>
            </w:tcMar>
          </w:tcPr>
          <w:p w14:paraId="49AA1FB3" w14:textId="77777777" w:rsidR="008F194B" w:rsidRPr="00AE1076" w:rsidRDefault="008F194B"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sidRPr="00AE1076">
              <w:rPr>
                <w:sz w:val="28"/>
                <w:szCs w:val="28"/>
                <w:lang w:val="en-US"/>
              </w:rPr>
              <w:t>Which of the factors do not belong to those that contribute the genesis of finance?</w:t>
            </w:r>
          </w:p>
          <w:p w14:paraId="1E8F0526" w14:textId="77777777" w:rsidR="008F194B" w:rsidRPr="00AE1076" w:rsidRDefault="008F194B" w:rsidP="003D693A">
            <w:pPr>
              <w:numPr>
                <w:ilvl w:val="0"/>
                <w:numId w:val="29"/>
              </w:numPr>
              <w:pBdr>
                <w:top w:val="nil"/>
                <w:left w:val="nil"/>
                <w:bottom w:val="nil"/>
                <w:right w:val="nil"/>
                <w:between w:val="nil"/>
                <w:bar w:val="nil"/>
              </w:pBdr>
              <w:shd w:val="clear" w:color="auto" w:fill="FFFFFF"/>
              <w:tabs>
                <w:tab w:val="clear" w:pos="788"/>
              </w:tabs>
              <w:spacing w:line="240" w:lineRule="atLeast"/>
              <w:ind w:left="782" w:hanging="357"/>
              <w:jc w:val="both"/>
              <w:textAlignment w:val="baseline"/>
              <w:rPr>
                <w:sz w:val="28"/>
                <w:szCs w:val="28"/>
                <w:lang w:val="en-US"/>
              </w:rPr>
            </w:pPr>
            <w:r w:rsidRPr="00AE1076">
              <w:rPr>
                <w:sz w:val="28"/>
                <w:szCs w:val="28"/>
                <w:lang w:val="en-US"/>
              </w:rPr>
              <w:t>commodity-money relations;</w:t>
            </w:r>
          </w:p>
          <w:p w14:paraId="6FC54497" w14:textId="77777777" w:rsidR="008F194B" w:rsidRPr="00AE1076" w:rsidRDefault="008F194B" w:rsidP="003D693A">
            <w:pPr>
              <w:numPr>
                <w:ilvl w:val="0"/>
                <w:numId w:val="29"/>
              </w:numPr>
              <w:pBdr>
                <w:top w:val="nil"/>
                <w:left w:val="nil"/>
                <w:bottom w:val="nil"/>
                <w:right w:val="nil"/>
                <w:between w:val="nil"/>
                <w:bar w:val="nil"/>
              </w:pBdr>
              <w:shd w:val="clear" w:color="auto" w:fill="FFFFFF"/>
              <w:tabs>
                <w:tab w:val="clear" w:pos="788"/>
              </w:tabs>
              <w:spacing w:line="240" w:lineRule="atLeast"/>
              <w:ind w:left="782" w:hanging="357"/>
              <w:jc w:val="both"/>
              <w:textAlignment w:val="baseline"/>
              <w:rPr>
                <w:sz w:val="28"/>
                <w:szCs w:val="28"/>
                <w:lang w:val="en-US"/>
              </w:rPr>
            </w:pPr>
            <w:r w:rsidRPr="00AE1076">
              <w:rPr>
                <w:sz w:val="28"/>
                <w:szCs w:val="28"/>
                <w:lang w:val="en-US"/>
              </w:rPr>
              <w:t>social labor division;</w:t>
            </w:r>
          </w:p>
          <w:p w14:paraId="7DE54120" w14:textId="77777777" w:rsidR="008F194B" w:rsidRPr="00AE1076" w:rsidRDefault="008F194B" w:rsidP="003D693A">
            <w:pPr>
              <w:numPr>
                <w:ilvl w:val="0"/>
                <w:numId w:val="29"/>
              </w:numPr>
              <w:pBdr>
                <w:top w:val="nil"/>
                <w:left w:val="nil"/>
                <w:bottom w:val="nil"/>
                <w:right w:val="nil"/>
                <w:between w:val="nil"/>
                <w:bar w:val="nil"/>
              </w:pBdr>
              <w:shd w:val="clear" w:color="auto" w:fill="FFFFFF"/>
              <w:tabs>
                <w:tab w:val="clear" w:pos="788"/>
              </w:tabs>
              <w:spacing w:line="240" w:lineRule="atLeast"/>
              <w:ind w:left="782" w:hanging="357"/>
              <w:jc w:val="both"/>
              <w:textAlignment w:val="baseline"/>
              <w:rPr>
                <w:sz w:val="28"/>
                <w:szCs w:val="28"/>
                <w:lang w:val="en-US"/>
              </w:rPr>
            </w:pPr>
            <w:r w:rsidRPr="00AE1076">
              <w:rPr>
                <w:sz w:val="28"/>
                <w:szCs w:val="28"/>
                <w:lang w:val="en-US"/>
              </w:rPr>
              <w:t>emergence of independent entities that create the necessary cash funds;</w:t>
            </w:r>
          </w:p>
          <w:p w14:paraId="5F005498" w14:textId="77777777" w:rsidR="008F194B" w:rsidRPr="00AE1076" w:rsidRDefault="008F194B" w:rsidP="003D693A">
            <w:pPr>
              <w:numPr>
                <w:ilvl w:val="0"/>
                <w:numId w:val="29"/>
              </w:numPr>
              <w:pBdr>
                <w:top w:val="nil"/>
                <w:left w:val="nil"/>
                <w:bottom w:val="nil"/>
                <w:right w:val="nil"/>
                <w:between w:val="nil"/>
                <w:bar w:val="nil"/>
              </w:pBdr>
              <w:shd w:val="clear" w:color="auto" w:fill="FFFFFF"/>
              <w:tabs>
                <w:tab w:val="clear" w:pos="788"/>
              </w:tabs>
              <w:spacing w:after="120" w:line="240" w:lineRule="atLeast"/>
              <w:ind w:left="782" w:hanging="357"/>
              <w:jc w:val="both"/>
              <w:textAlignment w:val="baseline"/>
              <w:rPr>
                <w:sz w:val="28"/>
                <w:szCs w:val="28"/>
                <w:lang w:val="en-US"/>
              </w:rPr>
            </w:pPr>
            <w:r w:rsidRPr="00AE1076">
              <w:rPr>
                <w:sz w:val="28"/>
                <w:szCs w:val="28"/>
                <w:lang w:val="en-US"/>
              </w:rPr>
              <w:t>lack of independent entities involved in business activity.</w:t>
            </w:r>
          </w:p>
        </w:tc>
      </w:tr>
      <w:tr w:rsidR="008F194B" w:rsidRPr="00AE1076" w14:paraId="73DE91B6" w14:textId="77777777" w:rsidTr="007557BC">
        <w:trPr>
          <w:gridAfter w:val="1"/>
          <w:wAfter w:w="42" w:type="dxa"/>
          <w:trHeight w:val="1257"/>
        </w:trPr>
        <w:tc>
          <w:tcPr>
            <w:tcW w:w="9428" w:type="dxa"/>
            <w:tcBorders>
              <w:top w:val="nil"/>
              <w:left w:val="nil"/>
              <w:bottom w:val="nil"/>
              <w:right w:val="nil"/>
            </w:tcBorders>
            <w:shd w:val="clear" w:color="auto" w:fill="auto"/>
            <w:tcMar>
              <w:top w:w="80" w:type="dxa"/>
              <w:left w:w="80" w:type="dxa"/>
              <w:bottom w:w="80" w:type="dxa"/>
              <w:right w:w="80" w:type="dxa"/>
            </w:tcMar>
          </w:tcPr>
          <w:p w14:paraId="467690B8" w14:textId="77777777" w:rsidR="008F194B" w:rsidRPr="00AE1076" w:rsidRDefault="008F194B"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sidRPr="00AE1076">
              <w:rPr>
                <w:sz w:val="28"/>
                <w:szCs w:val="28"/>
                <w:lang w:val="en-US"/>
              </w:rPr>
              <w:t xml:space="preserve">Finance expresses the economic relations that arise </w:t>
            </w:r>
            <w:r w:rsidR="003A6D9D">
              <w:rPr>
                <w:sz w:val="28"/>
                <w:szCs w:val="28"/>
                <w:lang w:val="en-US"/>
              </w:rPr>
              <w:t xml:space="preserve">at the following stage: </w:t>
            </w:r>
          </w:p>
          <w:p w14:paraId="4D9ABAE2" w14:textId="77777777" w:rsidR="008F194B" w:rsidRPr="00AE1076" w:rsidRDefault="008F194B" w:rsidP="006F749C">
            <w:pPr>
              <w:numPr>
                <w:ilvl w:val="0"/>
                <w:numId w:val="101"/>
              </w:numPr>
              <w:pBdr>
                <w:top w:val="nil"/>
                <w:left w:val="nil"/>
                <w:bottom w:val="nil"/>
                <w:right w:val="nil"/>
                <w:between w:val="nil"/>
                <w:bar w:val="nil"/>
              </w:pBdr>
              <w:shd w:val="clear" w:color="auto" w:fill="FFFFFF"/>
              <w:tabs>
                <w:tab w:val="num" w:pos="848"/>
              </w:tabs>
              <w:spacing w:line="240" w:lineRule="atLeast"/>
              <w:jc w:val="both"/>
              <w:textAlignment w:val="baseline"/>
              <w:rPr>
                <w:sz w:val="28"/>
                <w:szCs w:val="28"/>
                <w:lang w:val="en-US"/>
              </w:rPr>
            </w:pPr>
            <w:r w:rsidRPr="00AE1076">
              <w:rPr>
                <w:sz w:val="28"/>
                <w:szCs w:val="28"/>
                <w:lang w:val="en-US"/>
              </w:rPr>
              <w:t>production;</w:t>
            </w:r>
          </w:p>
          <w:p w14:paraId="44005A5A" w14:textId="77777777" w:rsidR="008F194B" w:rsidRPr="00AE1076" w:rsidRDefault="008F194B" w:rsidP="006F749C">
            <w:pPr>
              <w:numPr>
                <w:ilvl w:val="0"/>
                <w:numId w:val="101"/>
              </w:numPr>
              <w:pBdr>
                <w:top w:val="nil"/>
                <w:left w:val="nil"/>
                <w:bottom w:val="nil"/>
                <w:right w:val="nil"/>
                <w:between w:val="nil"/>
                <w:bar w:val="nil"/>
              </w:pBdr>
              <w:shd w:val="clear" w:color="auto" w:fill="FFFFFF"/>
              <w:tabs>
                <w:tab w:val="clear" w:pos="788"/>
                <w:tab w:val="num" w:pos="848"/>
              </w:tabs>
              <w:spacing w:line="240" w:lineRule="atLeast"/>
              <w:ind w:left="782" w:hanging="357"/>
              <w:jc w:val="both"/>
              <w:textAlignment w:val="baseline"/>
              <w:rPr>
                <w:sz w:val="28"/>
                <w:szCs w:val="28"/>
                <w:lang w:val="en-US"/>
              </w:rPr>
            </w:pPr>
            <w:r w:rsidRPr="00AE1076">
              <w:rPr>
                <w:sz w:val="28"/>
                <w:szCs w:val="28"/>
                <w:lang w:val="en-US"/>
              </w:rPr>
              <w:t>tax collection;</w:t>
            </w:r>
          </w:p>
          <w:p w14:paraId="5C96F7E6" w14:textId="77777777" w:rsidR="008F194B" w:rsidRPr="00AE1076" w:rsidRDefault="008F194B" w:rsidP="006F749C">
            <w:pPr>
              <w:numPr>
                <w:ilvl w:val="0"/>
                <w:numId w:val="101"/>
              </w:numPr>
              <w:pBdr>
                <w:top w:val="nil"/>
                <w:left w:val="nil"/>
                <w:bottom w:val="nil"/>
                <w:right w:val="nil"/>
                <w:between w:val="nil"/>
                <w:bar w:val="nil"/>
              </w:pBdr>
              <w:shd w:val="clear" w:color="auto" w:fill="FFFFFF"/>
              <w:tabs>
                <w:tab w:val="clear" w:pos="788"/>
                <w:tab w:val="num" w:pos="848"/>
              </w:tabs>
              <w:spacing w:line="240" w:lineRule="atLeast"/>
              <w:ind w:left="782" w:hanging="357"/>
              <w:jc w:val="both"/>
              <w:textAlignment w:val="baseline"/>
              <w:rPr>
                <w:sz w:val="28"/>
                <w:szCs w:val="28"/>
                <w:lang w:val="en-US"/>
              </w:rPr>
            </w:pPr>
            <w:r w:rsidRPr="00AE1076">
              <w:rPr>
                <w:sz w:val="28"/>
                <w:szCs w:val="28"/>
                <w:lang w:val="en-US"/>
              </w:rPr>
              <w:t>exchange and consumption;</w:t>
            </w:r>
          </w:p>
          <w:p w14:paraId="26B11E27" w14:textId="77777777" w:rsidR="008F194B" w:rsidRPr="00AE1076" w:rsidRDefault="008F194B" w:rsidP="006F749C">
            <w:pPr>
              <w:numPr>
                <w:ilvl w:val="0"/>
                <w:numId w:val="101"/>
              </w:numPr>
              <w:pBdr>
                <w:top w:val="nil"/>
                <w:left w:val="nil"/>
                <w:bottom w:val="nil"/>
                <w:right w:val="nil"/>
                <w:between w:val="nil"/>
                <w:bar w:val="nil"/>
              </w:pBdr>
              <w:shd w:val="clear" w:color="auto" w:fill="FFFFFF"/>
              <w:tabs>
                <w:tab w:val="clear" w:pos="788"/>
                <w:tab w:val="num" w:pos="848"/>
              </w:tabs>
              <w:spacing w:after="120" w:line="240" w:lineRule="atLeast"/>
              <w:ind w:left="782" w:hanging="357"/>
              <w:jc w:val="both"/>
              <w:textAlignment w:val="baseline"/>
              <w:rPr>
                <w:sz w:val="28"/>
                <w:szCs w:val="28"/>
                <w:lang w:val="en-US"/>
              </w:rPr>
            </w:pPr>
            <w:r w:rsidRPr="00AE1076">
              <w:rPr>
                <w:sz w:val="28"/>
                <w:szCs w:val="28"/>
                <w:lang w:val="en-US"/>
              </w:rPr>
              <w:t>distribution</w:t>
            </w:r>
            <w:r w:rsidR="00284651" w:rsidRPr="00AE1076">
              <w:rPr>
                <w:sz w:val="28"/>
                <w:szCs w:val="28"/>
                <w:lang w:val="en-US"/>
              </w:rPr>
              <w:t>.</w:t>
            </w:r>
          </w:p>
        </w:tc>
      </w:tr>
      <w:tr w:rsidR="008F194B" w:rsidRPr="00AE1076" w14:paraId="064C7378" w14:textId="77777777" w:rsidTr="007557BC">
        <w:trPr>
          <w:gridAfter w:val="1"/>
          <w:wAfter w:w="42" w:type="dxa"/>
          <w:trHeight w:val="1307"/>
        </w:trPr>
        <w:tc>
          <w:tcPr>
            <w:tcW w:w="9428" w:type="dxa"/>
            <w:tcBorders>
              <w:top w:val="nil"/>
              <w:left w:val="nil"/>
              <w:bottom w:val="nil"/>
              <w:right w:val="nil"/>
            </w:tcBorders>
            <w:shd w:val="clear" w:color="auto" w:fill="auto"/>
            <w:tcMar>
              <w:top w:w="80" w:type="dxa"/>
              <w:left w:w="80" w:type="dxa"/>
              <w:bottom w:w="80" w:type="dxa"/>
              <w:right w:w="80" w:type="dxa"/>
            </w:tcMar>
          </w:tcPr>
          <w:p w14:paraId="3C88E143" w14:textId="77777777" w:rsidR="008F194B" w:rsidRPr="00AE1076" w:rsidRDefault="008F194B"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sidRPr="00AE1076">
              <w:rPr>
                <w:sz w:val="28"/>
                <w:szCs w:val="28"/>
                <w:lang w:val="en-US"/>
              </w:rPr>
              <w:t>What phase of the evolution of finance is characterized by increase of the financial system</w:t>
            </w:r>
            <w:r w:rsidR="003A6D9D" w:rsidRPr="00AE1076">
              <w:rPr>
                <w:sz w:val="28"/>
                <w:szCs w:val="28"/>
                <w:lang w:val="en-US"/>
              </w:rPr>
              <w:t xml:space="preserve"> complexity</w:t>
            </w:r>
            <w:r w:rsidRPr="00AE1076">
              <w:rPr>
                <w:sz w:val="28"/>
                <w:szCs w:val="28"/>
                <w:lang w:val="en-US"/>
              </w:rPr>
              <w:t>?</w:t>
            </w:r>
          </w:p>
          <w:p w14:paraId="6A36A1A0" w14:textId="77777777" w:rsidR="008F194B" w:rsidRPr="00AE1076" w:rsidRDefault="008F194B" w:rsidP="006F749C">
            <w:pPr>
              <w:numPr>
                <w:ilvl w:val="0"/>
                <w:numId w:val="102"/>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first;</w:t>
            </w:r>
          </w:p>
          <w:p w14:paraId="4CE3729B" w14:textId="77777777" w:rsidR="008F194B" w:rsidRPr="00AE1076" w:rsidRDefault="008F194B" w:rsidP="006F749C">
            <w:pPr>
              <w:numPr>
                <w:ilvl w:val="0"/>
                <w:numId w:val="102"/>
              </w:numPr>
              <w:pBdr>
                <w:top w:val="nil"/>
                <w:left w:val="nil"/>
                <w:bottom w:val="nil"/>
                <w:right w:val="nil"/>
                <w:between w:val="nil"/>
                <w:bar w:val="nil"/>
              </w:pBdr>
              <w:shd w:val="clear" w:color="auto" w:fill="FFFFFF"/>
              <w:tabs>
                <w:tab w:val="num" w:pos="848"/>
              </w:tabs>
              <w:spacing w:line="240" w:lineRule="atLeast"/>
              <w:jc w:val="both"/>
              <w:textAlignment w:val="baseline"/>
              <w:rPr>
                <w:sz w:val="28"/>
                <w:szCs w:val="28"/>
                <w:lang w:val="en-US"/>
              </w:rPr>
            </w:pPr>
            <w:r w:rsidRPr="00AE1076">
              <w:rPr>
                <w:sz w:val="28"/>
                <w:szCs w:val="28"/>
                <w:lang w:val="en-US"/>
              </w:rPr>
              <w:t>second;</w:t>
            </w:r>
          </w:p>
          <w:p w14:paraId="4CB08B56" w14:textId="77777777" w:rsidR="008F194B" w:rsidRPr="00AE1076" w:rsidRDefault="008F194B" w:rsidP="006F749C">
            <w:pPr>
              <w:numPr>
                <w:ilvl w:val="0"/>
                <w:numId w:val="102"/>
              </w:numPr>
              <w:pBdr>
                <w:top w:val="nil"/>
                <w:left w:val="nil"/>
                <w:bottom w:val="nil"/>
                <w:right w:val="nil"/>
                <w:between w:val="nil"/>
                <w:bar w:val="nil"/>
              </w:pBdr>
              <w:shd w:val="clear" w:color="auto" w:fill="FFFFFF"/>
              <w:tabs>
                <w:tab w:val="num" w:pos="848"/>
              </w:tabs>
              <w:spacing w:line="240" w:lineRule="atLeast"/>
              <w:jc w:val="both"/>
              <w:textAlignment w:val="baseline"/>
              <w:rPr>
                <w:sz w:val="28"/>
                <w:szCs w:val="28"/>
                <w:lang w:val="en-US"/>
              </w:rPr>
            </w:pPr>
            <w:r w:rsidRPr="00AE1076">
              <w:rPr>
                <w:sz w:val="28"/>
                <w:szCs w:val="28"/>
                <w:lang w:val="en-US"/>
              </w:rPr>
              <w:t>third;</w:t>
            </w:r>
          </w:p>
          <w:p w14:paraId="2BDE32B7" w14:textId="77777777" w:rsidR="008F194B" w:rsidRPr="00AE1076" w:rsidRDefault="008F194B" w:rsidP="006F749C">
            <w:pPr>
              <w:numPr>
                <w:ilvl w:val="0"/>
                <w:numId w:val="102"/>
              </w:numPr>
              <w:pBdr>
                <w:top w:val="nil"/>
                <w:left w:val="nil"/>
                <w:bottom w:val="nil"/>
                <w:right w:val="nil"/>
                <w:between w:val="nil"/>
                <w:bar w:val="nil"/>
              </w:pBdr>
              <w:shd w:val="clear" w:color="auto" w:fill="FFFFFF"/>
              <w:tabs>
                <w:tab w:val="num" w:pos="848"/>
              </w:tabs>
              <w:spacing w:after="120" w:line="240" w:lineRule="atLeast"/>
              <w:ind w:left="782" w:hanging="357"/>
              <w:jc w:val="both"/>
              <w:textAlignment w:val="baseline"/>
              <w:rPr>
                <w:sz w:val="28"/>
                <w:szCs w:val="28"/>
                <w:lang w:val="en-US"/>
              </w:rPr>
            </w:pPr>
            <w:r w:rsidRPr="00AE1076">
              <w:rPr>
                <w:sz w:val="28"/>
                <w:szCs w:val="28"/>
                <w:lang w:val="en-US"/>
              </w:rPr>
              <w:t>fourth</w:t>
            </w:r>
            <w:r w:rsidR="00284651" w:rsidRPr="00AE1076">
              <w:rPr>
                <w:sz w:val="28"/>
                <w:szCs w:val="28"/>
                <w:lang w:val="en-US"/>
              </w:rPr>
              <w:t>.</w:t>
            </w:r>
          </w:p>
        </w:tc>
      </w:tr>
      <w:tr w:rsidR="008F194B" w:rsidRPr="00AE1076" w14:paraId="488E26BE" w14:textId="77777777" w:rsidTr="007557BC">
        <w:trPr>
          <w:gridAfter w:val="1"/>
          <w:wAfter w:w="42" w:type="dxa"/>
          <w:trHeight w:val="382"/>
        </w:trPr>
        <w:tc>
          <w:tcPr>
            <w:tcW w:w="9428" w:type="dxa"/>
            <w:tcBorders>
              <w:top w:val="nil"/>
              <w:left w:val="nil"/>
              <w:bottom w:val="nil"/>
              <w:right w:val="nil"/>
            </w:tcBorders>
            <w:shd w:val="clear" w:color="auto" w:fill="auto"/>
            <w:tcMar>
              <w:top w:w="80" w:type="dxa"/>
              <w:left w:w="80" w:type="dxa"/>
              <w:bottom w:w="80" w:type="dxa"/>
              <w:right w:w="80" w:type="dxa"/>
            </w:tcMar>
          </w:tcPr>
          <w:p w14:paraId="3DF68608" w14:textId="77777777" w:rsidR="008F194B" w:rsidRPr="00AE1076" w:rsidRDefault="008F194B"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sidRPr="00AE1076">
              <w:rPr>
                <w:sz w:val="28"/>
                <w:szCs w:val="28"/>
                <w:lang w:val="en-US"/>
              </w:rPr>
              <w:t xml:space="preserve">What stage of financial science development is characterized by the dominance of finance of the private sector, particularly large </w:t>
            </w:r>
            <w:r w:rsidR="003A6D9D">
              <w:rPr>
                <w:sz w:val="28"/>
                <w:szCs w:val="28"/>
                <w:lang w:val="en-US"/>
              </w:rPr>
              <w:t xml:space="preserve">companies and capital markets? </w:t>
            </w:r>
          </w:p>
          <w:p w14:paraId="3580A6AA" w14:textId="77777777" w:rsidR="008F194B" w:rsidRPr="00AE1076" w:rsidRDefault="00284651" w:rsidP="006F749C">
            <w:pPr>
              <w:numPr>
                <w:ilvl w:val="0"/>
                <w:numId w:val="103"/>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Classical;</w:t>
            </w:r>
          </w:p>
          <w:p w14:paraId="2386A5B8" w14:textId="77777777" w:rsidR="008F194B" w:rsidRPr="00AE1076" w:rsidRDefault="00284651" w:rsidP="006F749C">
            <w:pPr>
              <w:numPr>
                <w:ilvl w:val="0"/>
                <w:numId w:val="103"/>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Mercantilism;</w:t>
            </w:r>
          </w:p>
          <w:p w14:paraId="7F905523" w14:textId="77777777" w:rsidR="008F194B" w:rsidRPr="00AE1076" w:rsidRDefault="00284651" w:rsidP="006F749C">
            <w:pPr>
              <w:numPr>
                <w:ilvl w:val="0"/>
                <w:numId w:val="103"/>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Neo-classical;</w:t>
            </w:r>
          </w:p>
          <w:p w14:paraId="5F1F22FD" w14:textId="77777777" w:rsidR="008F194B" w:rsidRPr="00AE1076" w:rsidRDefault="008F194B" w:rsidP="006F749C">
            <w:pPr>
              <w:numPr>
                <w:ilvl w:val="0"/>
                <w:numId w:val="103"/>
              </w:numPr>
              <w:pBdr>
                <w:top w:val="nil"/>
                <w:left w:val="nil"/>
                <w:bottom w:val="nil"/>
                <w:right w:val="nil"/>
                <w:between w:val="nil"/>
                <w:bar w:val="nil"/>
              </w:pBdr>
              <w:shd w:val="clear" w:color="auto" w:fill="FFFFFF"/>
              <w:tabs>
                <w:tab w:val="num" w:pos="841"/>
              </w:tabs>
              <w:spacing w:after="120" w:line="240" w:lineRule="atLeast"/>
              <w:ind w:left="782" w:hanging="357"/>
              <w:jc w:val="both"/>
              <w:textAlignment w:val="baseline"/>
              <w:rPr>
                <w:sz w:val="28"/>
                <w:szCs w:val="28"/>
                <w:lang w:val="en-US"/>
              </w:rPr>
            </w:pPr>
            <w:r w:rsidRPr="00AE1076">
              <w:rPr>
                <w:sz w:val="28"/>
                <w:szCs w:val="28"/>
                <w:lang w:val="en-US"/>
              </w:rPr>
              <w:t>Keynesianism.</w:t>
            </w:r>
          </w:p>
        </w:tc>
      </w:tr>
      <w:tr w:rsidR="008F194B" w:rsidRPr="00AE1076" w14:paraId="605A0287" w14:textId="77777777" w:rsidTr="007557BC">
        <w:trPr>
          <w:gridAfter w:val="1"/>
          <w:wAfter w:w="42" w:type="dxa"/>
          <w:trHeight w:val="861"/>
        </w:trPr>
        <w:tc>
          <w:tcPr>
            <w:tcW w:w="9428" w:type="dxa"/>
            <w:tcBorders>
              <w:top w:val="nil"/>
              <w:left w:val="nil"/>
              <w:bottom w:val="nil"/>
              <w:right w:val="nil"/>
            </w:tcBorders>
            <w:shd w:val="clear" w:color="auto" w:fill="auto"/>
            <w:tcMar>
              <w:top w:w="80" w:type="dxa"/>
              <w:left w:w="80" w:type="dxa"/>
              <w:bottom w:w="80" w:type="dxa"/>
              <w:right w:w="80" w:type="dxa"/>
            </w:tcMar>
          </w:tcPr>
          <w:p w14:paraId="107110E8" w14:textId="77777777" w:rsidR="008F194B" w:rsidRPr="00AE1076" w:rsidRDefault="008F194B"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sidRPr="00AE1076">
              <w:rPr>
                <w:sz w:val="28"/>
                <w:szCs w:val="28"/>
                <w:lang w:val="en-US"/>
              </w:rPr>
              <w:lastRenderedPageBreak/>
              <w:t>Who was the first who laid out the basic principles</w:t>
            </w:r>
            <w:r w:rsidR="00984233">
              <w:rPr>
                <w:sz w:val="28"/>
                <w:szCs w:val="28"/>
                <w:lang w:val="en-US"/>
              </w:rPr>
              <w:t xml:space="preserve"> of financial science by system</w:t>
            </w:r>
            <w:r w:rsidRPr="00AE1076">
              <w:rPr>
                <w:sz w:val="28"/>
                <w:szCs w:val="28"/>
                <w:lang w:val="en-US"/>
              </w:rPr>
              <w:t>izing existing financial theories?</w:t>
            </w:r>
          </w:p>
          <w:p w14:paraId="5CA24B81" w14:textId="77777777" w:rsidR="008F194B" w:rsidRPr="00AE1076" w:rsidRDefault="008F194B" w:rsidP="006F749C">
            <w:pPr>
              <w:numPr>
                <w:ilvl w:val="0"/>
                <w:numId w:val="104"/>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A. Smith;</w:t>
            </w:r>
          </w:p>
          <w:p w14:paraId="593768AE" w14:textId="77777777" w:rsidR="008F194B" w:rsidRPr="00AE1076" w:rsidRDefault="008F194B" w:rsidP="006F749C">
            <w:pPr>
              <w:numPr>
                <w:ilvl w:val="0"/>
                <w:numId w:val="104"/>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J. Justi;</w:t>
            </w:r>
          </w:p>
          <w:p w14:paraId="3DB7CCBA" w14:textId="77777777" w:rsidR="008F194B" w:rsidRPr="00AE1076" w:rsidRDefault="008F194B" w:rsidP="006F749C">
            <w:pPr>
              <w:numPr>
                <w:ilvl w:val="0"/>
                <w:numId w:val="104"/>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K. Marx;</w:t>
            </w:r>
          </w:p>
          <w:p w14:paraId="4F35DC87" w14:textId="77777777" w:rsidR="008F194B" w:rsidRPr="00AE1076" w:rsidRDefault="008F194B" w:rsidP="006F749C">
            <w:pPr>
              <w:numPr>
                <w:ilvl w:val="0"/>
                <w:numId w:val="104"/>
              </w:numPr>
              <w:pBdr>
                <w:top w:val="nil"/>
                <w:left w:val="nil"/>
                <w:bottom w:val="nil"/>
                <w:right w:val="nil"/>
                <w:between w:val="nil"/>
                <w:bar w:val="nil"/>
              </w:pBdr>
              <w:shd w:val="clear" w:color="auto" w:fill="FFFFFF"/>
              <w:tabs>
                <w:tab w:val="num" w:pos="841"/>
              </w:tabs>
              <w:spacing w:after="120" w:line="240" w:lineRule="atLeast"/>
              <w:ind w:left="782" w:hanging="357"/>
              <w:jc w:val="both"/>
              <w:textAlignment w:val="baseline"/>
              <w:rPr>
                <w:sz w:val="28"/>
                <w:szCs w:val="28"/>
                <w:lang w:val="en-US"/>
              </w:rPr>
            </w:pPr>
            <w:r w:rsidRPr="00AE1076">
              <w:rPr>
                <w:sz w:val="28"/>
                <w:szCs w:val="28"/>
                <w:lang w:val="en-US"/>
              </w:rPr>
              <w:t>J. Keynes.</w:t>
            </w:r>
          </w:p>
        </w:tc>
      </w:tr>
      <w:tr w:rsidR="008F194B" w:rsidRPr="00AE1076" w14:paraId="4819FBCF" w14:textId="77777777" w:rsidTr="007557BC">
        <w:trPr>
          <w:gridAfter w:val="1"/>
          <w:wAfter w:w="42" w:type="dxa"/>
          <w:trHeight w:val="1054"/>
        </w:trPr>
        <w:tc>
          <w:tcPr>
            <w:tcW w:w="9428" w:type="dxa"/>
            <w:tcBorders>
              <w:top w:val="nil"/>
              <w:left w:val="nil"/>
              <w:bottom w:val="nil"/>
              <w:right w:val="nil"/>
            </w:tcBorders>
            <w:shd w:val="clear" w:color="auto" w:fill="auto"/>
            <w:tcMar>
              <w:top w:w="80" w:type="dxa"/>
              <w:left w:w="80" w:type="dxa"/>
              <w:bottom w:w="80" w:type="dxa"/>
              <w:right w:w="80" w:type="dxa"/>
            </w:tcMar>
          </w:tcPr>
          <w:p w14:paraId="781FECED" w14:textId="77777777" w:rsidR="008F194B" w:rsidRPr="00AE1076" w:rsidRDefault="008F194B"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sidRPr="00AE1076">
              <w:rPr>
                <w:sz w:val="28"/>
                <w:szCs w:val="28"/>
                <w:lang w:val="en-US"/>
              </w:rPr>
              <w:t xml:space="preserve">According to </w:t>
            </w:r>
            <w:r w:rsidR="00FA7B64">
              <w:rPr>
                <w:sz w:val="28"/>
                <w:szCs w:val="28"/>
                <w:lang w:val="en-US"/>
              </w:rPr>
              <w:t>what theory the main instrument</w:t>
            </w:r>
            <w:r w:rsidRPr="00AE1076">
              <w:rPr>
                <w:sz w:val="28"/>
                <w:szCs w:val="28"/>
                <w:lang w:val="en-US"/>
              </w:rPr>
              <w:t xml:space="preserve"> of state intervention into the cyclical development is government spending</w:t>
            </w:r>
            <w:r w:rsidR="00984233">
              <w:rPr>
                <w:sz w:val="28"/>
                <w:szCs w:val="28"/>
                <w:lang w:val="en-US"/>
              </w:rPr>
              <w:t>?</w:t>
            </w:r>
          </w:p>
          <w:p w14:paraId="7BD131E9" w14:textId="77777777" w:rsidR="008F194B" w:rsidRPr="00AE1076" w:rsidRDefault="008F194B" w:rsidP="006F749C">
            <w:pPr>
              <w:numPr>
                <w:ilvl w:val="0"/>
                <w:numId w:val="105"/>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behavioral finance;</w:t>
            </w:r>
          </w:p>
          <w:p w14:paraId="2374B48D" w14:textId="77777777" w:rsidR="008F194B" w:rsidRPr="00AE1076" w:rsidRDefault="008F194B" w:rsidP="006F749C">
            <w:pPr>
              <w:numPr>
                <w:ilvl w:val="0"/>
                <w:numId w:val="105"/>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economic proposals;</w:t>
            </w:r>
          </w:p>
          <w:p w14:paraId="4F3F5745" w14:textId="77777777" w:rsidR="008F194B" w:rsidRPr="00AE1076" w:rsidRDefault="008F194B" w:rsidP="006F749C">
            <w:pPr>
              <w:numPr>
                <w:ilvl w:val="0"/>
                <w:numId w:val="105"/>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CAPM;</w:t>
            </w:r>
          </w:p>
          <w:p w14:paraId="4C03C7EF" w14:textId="77777777" w:rsidR="008F194B" w:rsidRPr="00AE1076" w:rsidRDefault="008F194B" w:rsidP="006F749C">
            <w:pPr>
              <w:numPr>
                <w:ilvl w:val="0"/>
                <w:numId w:val="105"/>
              </w:numPr>
              <w:pBdr>
                <w:top w:val="nil"/>
                <w:left w:val="nil"/>
                <w:bottom w:val="nil"/>
                <w:right w:val="nil"/>
                <w:between w:val="nil"/>
                <w:bar w:val="nil"/>
              </w:pBdr>
              <w:shd w:val="clear" w:color="auto" w:fill="FFFFFF"/>
              <w:tabs>
                <w:tab w:val="num" w:pos="841"/>
              </w:tabs>
              <w:spacing w:after="120" w:line="240" w:lineRule="atLeast"/>
              <w:ind w:left="782" w:hanging="357"/>
              <w:jc w:val="both"/>
              <w:textAlignment w:val="baseline"/>
              <w:rPr>
                <w:sz w:val="28"/>
                <w:szCs w:val="28"/>
                <w:lang w:val="en-US"/>
              </w:rPr>
            </w:pPr>
            <w:r w:rsidRPr="00AE1076">
              <w:rPr>
                <w:sz w:val="28"/>
                <w:szCs w:val="28"/>
                <w:lang w:val="en-US"/>
              </w:rPr>
              <w:t>effective demand.</w:t>
            </w:r>
          </w:p>
        </w:tc>
      </w:tr>
      <w:tr w:rsidR="008F194B" w:rsidRPr="00AE1076" w14:paraId="53EDB283" w14:textId="77777777" w:rsidTr="007557BC">
        <w:trPr>
          <w:gridAfter w:val="1"/>
          <w:wAfter w:w="42" w:type="dxa"/>
          <w:trHeight w:val="1055"/>
        </w:trPr>
        <w:tc>
          <w:tcPr>
            <w:tcW w:w="9428" w:type="dxa"/>
            <w:tcBorders>
              <w:top w:val="nil"/>
              <w:left w:val="nil"/>
              <w:bottom w:val="nil"/>
              <w:right w:val="nil"/>
            </w:tcBorders>
            <w:shd w:val="clear" w:color="auto" w:fill="auto"/>
            <w:tcMar>
              <w:top w:w="80" w:type="dxa"/>
              <w:left w:w="80" w:type="dxa"/>
              <w:bottom w:w="80" w:type="dxa"/>
              <w:right w:w="80" w:type="dxa"/>
            </w:tcMar>
          </w:tcPr>
          <w:p w14:paraId="27DE01D4" w14:textId="77777777" w:rsidR="008F194B" w:rsidRPr="00AE1076" w:rsidRDefault="008F194B"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sidRPr="00AE1076">
              <w:rPr>
                <w:sz w:val="28"/>
                <w:szCs w:val="28"/>
                <w:lang w:val="en-US"/>
              </w:rPr>
              <w:t>An establishment that focuses on dealing with financial transactions, such as investments, loans, and deposits:</w:t>
            </w:r>
          </w:p>
          <w:p w14:paraId="0AF8DC63" w14:textId="77777777" w:rsidR="008F194B" w:rsidRPr="00AE1076" w:rsidRDefault="008F194B" w:rsidP="006F749C">
            <w:pPr>
              <w:numPr>
                <w:ilvl w:val="0"/>
                <w:numId w:val="106"/>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financial institution;</w:t>
            </w:r>
          </w:p>
          <w:p w14:paraId="082B888D" w14:textId="77777777" w:rsidR="008F194B" w:rsidRPr="00AE1076" w:rsidRDefault="008F194B" w:rsidP="006F749C">
            <w:pPr>
              <w:numPr>
                <w:ilvl w:val="0"/>
                <w:numId w:val="106"/>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 xml:space="preserve">government; </w:t>
            </w:r>
          </w:p>
          <w:p w14:paraId="092240C0" w14:textId="77777777" w:rsidR="008F194B" w:rsidRPr="00AE1076" w:rsidRDefault="008F194B" w:rsidP="006F749C">
            <w:pPr>
              <w:numPr>
                <w:ilvl w:val="0"/>
                <w:numId w:val="106"/>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financial market;</w:t>
            </w:r>
          </w:p>
          <w:p w14:paraId="021AA9B8" w14:textId="77777777" w:rsidR="008F194B" w:rsidRPr="00AE1076" w:rsidRDefault="008F194B" w:rsidP="006F749C">
            <w:pPr>
              <w:numPr>
                <w:ilvl w:val="0"/>
                <w:numId w:val="106"/>
              </w:numPr>
              <w:pBdr>
                <w:top w:val="nil"/>
                <w:left w:val="nil"/>
                <w:bottom w:val="nil"/>
                <w:right w:val="nil"/>
                <w:between w:val="nil"/>
                <w:bar w:val="nil"/>
              </w:pBdr>
              <w:shd w:val="clear" w:color="auto" w:fill="FFFFFF"/>
              <w:tabs>
                <w:tab w:val="num" w:pos="841"/>
              </w:tabs>
              <w:spacing w:after="120" w:line="240" w:lineRule="atLeast"/>
              <w:ind w:left="782" w:hanging="357"/>
              <w:jc w:val="both"/>
              <w:textAlignment w:val="baseline"/>
              <w:rPr>
                <w:sz w:val="28"/>
                <w:szCs w:val="28"/>
                <w:lang w:val="en-US"/>
              </w:rPr>
            </w:pPr>
            <w:r w:rsidRPr="00AE1076">
              <w:rPr>
                <w:sz w:val="28"/>
                <w:szCs w:val="28"/>
                <w:lang w:val="en-US"/>
              </w:rPr>
              <w:t>stock market.</w:t>
            </w:r>
          </w:p>
        </w:tc>
      </w:tr>
      <w:tr w:rsidR="008F194B" w:rsidRPr="00AE1076" w14:paraId="5BC9021F" w14:textId="77777777" w:rsidTr="007557BC">
        <w:trPr>
          <w:gridAfter w:val="1"/>
          <w:wAfter w:w="42" w:type="dxa"/>
          <w:trHeight w:val="965"/>
        </w:trPr>
        <w:tc>
          <w:tcPr>
            <w:tcW w:w="9428" w:type="dxa"/>
            <w:tcBorders>
              <w:top w:val="nil"/>
              <w:left w:val="nil"/>
              <w:bottom w:val="nil"/>
              <w:right w:val="nil"/>
            </w:tcBorders>
            <w:shd w:val="clear" w:color="auto" w:fill="auto"/>
            <w:tcMar>
              <w:top w:w="80" w:type="dxa"/>
              <w:left w:w="80" w:type="dxa"/>
              <w:bottom w:w="80" w:type="dxa"/>
              <w:right w:w="80" w:type="dxa"/>
            </w:tcMar>
          </w:tcPr>
          <w:p w14:paraId="60E62E0C" w14:textId="77777777" w:rsidR="008F194B" w:rsidRPr="00AE1076" w:rsidRDefault="008F194B"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sidRPr="00AE1076">
              <w:rPr>
                <w:sz w:val="28"/>
                <w:szCs w:val="28"/>
                <w:lang w:val="en-US"/>
              </w:rPr>
              <w:t>It can be defined as the policies, factors, and the institutions that lead to the efficient intermediation and effective financial markets:</w:t>
            </w:r>
          </w:p>
          <w:p w14:paraId="798166C3" w14:textId="77777777" w:rsidR="008F194B" w:rsidRPr="00AE1076" w:rsidRDefault="008F194B" w:rsidP="006F749C">
            <w:pPr>
              <w:numPr>
                <w:ilvl w:val="0"/>
                <w:numId w:val="107"/>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financial structure;</w:t>
            </w:r>
          </w:p>
          <w:p w14:paraId="74502FF6" w14:textId="77777777" w:rsidR="008F194B" w:rsidRPr="00AE1076" w:rsidRDefault="008F194B" w:rsidP="006F749C">
            <w:pPr>
              <w:numPr>
                <w:ilvl w:val="0"/>
                <w:numId w:val="107"/>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financial development;</w:t>
            </w:r>
          </w:p>
          <w:p w14:paraId="434CEA93" w14:textId="77777777" w:rsidR="008F194B" w:rsidRPr="00AE1076" w:rsidRDefault="008F194B" w:rsidP="006F749C">
            <w:pPr>
              <w:numPr>
                <w:ilvl w:val="0"/>
                <w:numId w:val="107"/>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financial depth;</w:t>
            </w:r>
          </w:p>
          <w:p w14:paraId="78CFED21" w14:textId="77777777" w:rsidR="008F194B" w:rsidRPr="00AE1076" w:rsidRDefault="008F194B" w:rsidP="006F749C">
            <w:pPr>
              <w:numPr>
                <w:ilvl w:val="0"/>
                <w:numId w:val="107"/>
              </w:numPr>
              <w:pBdr>
                <w:top w:val="nil"/>
                <w:left w:val="nil"/>
                <w:bottom w:val="nil"/>
                <w:right w:val="nil"/>
                <w:between w:val="nil"/>
                <w:bar w:val="nil"/>
              </w:pBdr>
              <w:shd w:val="clear" w:color="auto" w:fill="FFFFFF"/>
              <w:tabs>
                <w:tab w:val="num" w:pos="841"/>
              </w:tabs>
              <w:spacing w:after="120" w:line="240" w:lineRule="atLeast"/>
              <w:ind w:left="782" w:hanging="357"/>
              <w:jc w:val="both"/>
              <w:textAlignment w:val="baseline"/>
              <w:rPr>
                <w:sz w:val="28"/>
                <w:szCs w:val="28"/>
                <w:lang w:val="en-US"/>
              </w:rPr>
            </w:pPr>
            <w:r w:rsidRPr="00AE1076">
              <w:rPr>
                <w:sz w:val="28"/>
                <w:szCs w:val="28"/>
                <w:lang w:val="en-US"/>
              </w:rPr>
              <w:t xml:space="preserve">financial policy. </w:t>
            </w:r>
            <w:r w:rsidRPr="00AE1076">
              <w:rPr>
                <w:sz w:val="28"/>
                <w:szCs w:val="28"/>
                <w:lang w:val="en-US"/>
              </w:rPr>
              <w:tab/>
            </w:r>
          </w:p>
        </w:tc>
      </w:tr>
      <w:tr w:rsidR="00BE42A0" w:rsidRPr="00AE1076" w14:paraId="2EA595A4" w14:textId="77777777" w:rsidTr="00715FD4">
        <w:trPr>
          <w:trHeight w:val="1541"/>
        </w:trPr>
        <w:tc>
          <w:tcPr>
            <w:tcW w:w="9470" w:type="dxa"/>
            <w:gridSpan w:val="2"/>
            <w:tcBorders>
              <w:top w:val="nil"/>
              <w:left w:val="nil"/>
              <w:bottom w:val="nil"/>
              <w:right w:val="nil"/>
            </w:tcBorders>
            <w:shd w:val="clear" w:color="auto" w:fill="auto"/>
            <w:tcMar>
              <w:top w:w="80" w:type="dxa"/>
              <w:left w:w="80" w:type="dxa"/>
              <w:bottom w:w="80" w:type="dxa"/>
              <w:right w:w="80" w:type="dxa"/>
            </w:tcMar>
          </w:tcPr>
          <w:p w14:paraId="4963581F" w14:textId="77777777" w:rsidR="00BE42A0" w:rsidRPr="00AE1076" w:rsidRDefault="00BE42A0"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sidRPr="00AE1076">
              <w:rPr>
                <w:sz w:val="28"/>
                <w:szCs w:val="28"/>
                <w:lang w:val="en-US"/>
              </w:rPr>
              <w:t>The</w:t>
            </w:r>
            <w:r w:rsidR="00984233">
              <w:rPr>
                <w:sz w:val="28"/>
                <w:szCs w:val="28"/>
                <w:lang w:val="en-US"/>
              </w:rPr>
              <w:t xml:space="preserve"> following is the</w:t>
            </w:r>
            <w:r w:rsidRPr="00AE1076">
              <w:rPr>
                <w:sz w:val="28"/>
                <w:szCs w:val="28"/>
                <w:lang w:val="en-US"/>
              </w:rPr>
              <w:t xml:space="preserve"> main indicator of country’s financial development:</w:t>
            </w:r>
          </w:p>
          <w:p w14:paraId="03387695" w14:textId="77777777" w:rsidR="00BE42A0" w:rsidRPr="00AE1076" w:rsidRDefault="00BE42A0" w:rsidP="006F749C">
            <w:pPr>
              <w:numPr>
                <w:ilvl w:val="0"/>
                <w:numId w:val="108"/>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GDP;</w:t>
            </w:r>
          </w:p>
          <w:p w14:paraId="2829D306" w14:textId="77777777" w:rsidR="00BE42A0" w:rsidRPr="00AE1076" w:rsidRDefault="00BE42A0" w:rsidP="006F749C">
            <w:pPr>
              <w:numPr>
                <w:ilvl w:val="0"/>
                <w:numId w:val="108"/>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government expenditures;</w:t>
            </w:r>
          </w:p>
          <w:p w14:paraId="67915D0E" w14:textId="77777777" w:rsidR="00BE42A0" w:rsidRPr="00AE1076" w:rsidRDefault="00BE42A0" w:rsidP="006F749C">
            <w:pPr>
              <w:numPr>
                <w:ilvl w:val="0"/>
                <w:numId w:val="108"/>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government debt;</w:t>
            </w:r>
          </w:p>
          <w:p w14:paraId="4EABC4B1" w14:textId="77777777" w:rsidR="00BE42A0" w:rsidRPr="00AE1076" w:rsidRDefault="00BE42A0" w:rsidP="006F749C">
            <w:pPr>
              <w:numPr>
                <w:ilvl w:val="0"/>
                <w:numId w:val="108"/>
              </w:numPr>
              <w:pBdr>
                <w:top w:val="nil"/>
                <w:left w:val="nil"/>
                <w:bottom w:val="nil"/>
                <w:right w:val="nil"/>
                <w:between w:val="nil"/>
                <w:bar w:val="nil"/>
              </w:pBdr>
              <w:shd w:val="clear" w:color="auto" w:fill="FFFFFF"/>
              <w:tabs>
                <w:tab w:val="num" w:pos="841"/>
              </w:tabs>
              <w:spacing w:after="120" w:line="240" w:lineRule="atLeast"/>
              <w:ind w:left="782" w:hanging="357"/>
              <w:jc w:val="both"/>
              <w:textAlignment w:val="baseline"/>
              <w:rPr>
                <w:sz w:val="28"/>
                <w:szCs w:val="28"/>
                <w:lang w:val="en-US"/>
              </w:rPr>
            </w:pPr>
            <w:r w:rsidRPr="00AE1076">
              <w:rPr>
                <w:sz w:val="28"/>
                <w:szCs w:val="28"/>
                <w:lang w:val="en-US"/>
              </w:rPr>
              <w:t>financial depth</w:t>
            </w:r>
            <w:r w:rsidR="00284651" w:rsidRPr="00AE1076">
              <w:rPr>
                <w:sz w:val="28"/>
                <w:szCs w:val="28"/>
                <w:lang w:val="en-US"/>
              </w:rPr>
              <w:t>.</w:t>
            </w:r>
          </w:p>
        </w:tc>
      </w:tr>
      <w:tr w:rsidR="00BE42A0" w:rsidRPr="00AE1076" w14:paraId="06AEC2DB" w14:textId="77777777" w:rsidTr="007557BC">
        <w:trPr>
          <w:trHeight w:val="1890"/>
        </w:trPr>
        <w:tc>
          <w:tcPr>
            <w:tcW w:w="9470" w:type="dxa"/>
            <w:gridSpan w:val="2"/>
            <w:tcBorders>
              <w:top w:val="nil"/>
              <w:left w:val="nil"/>
              <w:bottom w:val="nil"/>
              <w:right w:val="nil"/>
            </w:tcBorders>
            <w:shd w:val="clear" w:color="auto" w:fill="auto"/>
            <w:tcMar>
              <w:top w:w="80" w:type="dxa"/>
              <w:left w:w="80" w:type="dxa"/>
              <w:bottom w:w="80" w:type="dxa"/>
              <w:right w:w="80" w:type="dxa"/>
            </w:tcMar>
          </w:tcPr>
          <w:p w14:paraId="216A782A" w14:textId="77777777" w:rsidR="00BE42A0" w:rsidRPr="00AE1076" w:rsidRDefault="00984233" w:rsidP="006F749C">
            <w:pPr>
              <w:numPr>
                <w:ilvl w:val="0"/>
                <w:numId w:val="99"/>
              </w:numPr>
              <w:pBdr>
                <w:top w:val="nil"/>
                <w:left w:val="nil"/>
                <w:bottom w:val="nil"/>
                <w:right w:val="nil"/>
                <w:between w:val="nil"/>
                <w:bar w:val="nil"/>
              </w:pBdr>
              <w:tabs>
                <w:tab w:val="clear" w:pos="788"/>
              </w:tabs>
              <w:spacing w:line="240" w:lineRule="atLeast"/>
              <w:ind w:left="426" w:hanging="284"/>
              <w:contextualSpacing/>
              <w:jc w:val="both"/>
              <w:rPr>
                <w:sz w:val="28"/>
                <w:szCs w:val="28"/>
                <w:lang w:val="en-US"/>
              </w:rPr>
            </w:pPr>
            <w:r>
              <w:rPr>
                <w:sz w:val="28"/>
                <w:szCs w:val="28"/>
                <w:lang w:val="en-US"/>
              </w:rPr>
              <w:t>This is the</w:t>
            </w:r>
            <w:r w:rsidR="00BE42A0" w:rsidRPr="00AE1076">
              <w:rPr>
                <w:sz w:val="28"/>
                <w:szCs w:val="28"/>
                <w:lang w:val="en-US"/>
              </w:rPr>
              <w:t xml:space="preserve"> financial management which an individual or a family unit performs to budget, save</w:t>
            </w:r>
            <w:r>
              <w:rPr>
                <w:sz w:val="28"/>
                <w:szCs w:val="28"/>
                <w:lang w:val="en-US"/>
              </w:rPr>
              <w:t>s</w:t>
            </w:r>
            <w:r w:rsidR="00BE42A0" w:rsidRPr="00AE1076">
              <w:rPr>
                <w:sz w:val="28"/>
                <w:szCs w:val="28"/>
                <w:lang w:val="en-US"/>
              </w:rPr>
              <w:t>, and spend</w:t>
            </w:r>
            <w:r>
              <w:rPr>
                <w:sz w:val="28"/>
                <w:szCs w:val="28"/>
                <w:lang w:val="en-US"/>
              </w:rPr>
              <w:t>s</w:t>
            </w:r>
            <w:r w:rsidR="00BE42A0" w:rsidRPr="00AE1076">
              <w:rPr>
                <w:sz w:val="28"/>
                <w:szCs w:val="28"/>
                <w:lang w:val="en-US"/>
              </w:rPr>
              <w:t xml:space="preserve"> </w:t>
            </w:r>
            <w:r w:rsidR="00707782">
              <w:rPr>
                <w:sz w:val="28"/>
                <w:szCs w:val="28"/>
                <w:lang w:val="en-US"/>
              </w:rPr>
              <w:t>money</w:t>
            </w:r>
            <w:r w:rsidR="00BE42A0" w:rsidRPr="00AE1076">
              <w:rPr>
                <w:sz w:val="28"/>
                <w:szCs w:val="28"/>
                <w:lang w:val="en-US"/>
              </w:rPr>
              <w:t xml:space="preserve"> resources over time, taking into account various financial risks and future life events:</w:t>
            </w:r>
          </w:p>
          <w:p w14:paraId="0C90B6F5" w14:textId="77777777" w:rsidR="00BE42A0" w:rsidRPr="00AE1076" w:rsidRDefault="00BE42A0" w:rsidP="006F749C">
            <w:pPr>
              <w:numPr>
                <w:ilvl w:val="0"/>
                <w:numId w:val="109"/>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investment;</w:t>
            </w:r>
          </w:p>
          <w:p w14:paraId="26C7845C" w14:textId="77777777" w:rsidR="00BE42A0" w:rsidRPr="00AE1076" w:rsidRDefault="00BE42A0" w:rsidP="006F749C">
            <w:pPr>
              <w:numPr>
                <w:ilvl w:val="0"/>
                <w:numId w:val="109"/>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public finance;</w:t>
            </w:r>
          </w:p>
          <w:p w14:paraId="4F2D8F78" w14:textId="77777777" w:rsidR="00BE42A0" w:rsidRPr="00AE1076" w:rsidRDefault="00BE42A0" w:rsidP="006F749C">
            <w:pPr>
              <w:numPr>
                <w:ilvl w:val="0"/>
                <w:numId w:val="109"/>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sidRPr="00AE1076">
              <w:rPr>
                <w:sz w:val="28"/>
                <w:szCs w:val="28"/>
                <w:lang w:val="en-US"/>
              </w:rPr>
              <w:t>state budget;</w:t>
            </w:r>
          </w:p>
          <w:p w14:paraId="21E5C477" w14:textId="77777777" w:rsidR="00BE42A0" w:rsidRPr="00AE1076" w:rsidRDefault="00BE42A0" w:rsidP="006F749C">
            <w:pPr>
              <w:numPr>
                <w:ilvl w:val="0"/>
                <w:numId w:val="109"/>
              </w:numPr>
              <w:pBdr>
                <w:top w:val="nil"/>
                <w:left w:val="nil"/>
                <w:bottom w:val="nil"/>
                <w:right w:val="nil"/>
                <w:between w:val="nil"/>
                <w:bar w:val="nil"/>
              </w:pBdr>
              <w:shd w:val="clear" w:color="auto" w:fill="FFFFFF"/>
              <w:tabs>
                <w:tab w:val="num" w:pos="841"/>
              </w:tabs>
              <w:spacing w:after="120" w:line="240" w:lineRule="atLeast"/>
              <w:ind w:left="782" w:hanging="357"/>
              <w:jc w:val="both"/>
              <w:textAlignment w:val="baseline"/>
              <w:rPr>
                <w:sz w:val="28"/>
                <w:szCs w:val="28"/>
                <w:lang w:val="en-US"/>
              </w:rPr>
            </w:pPr>
            <w:r w:rsidRPr="00AE1076">
              <w:rPr>
                <w:sz w:val="28"/>
                <w:szCs w:val="28"/>
                <w:lang w:val="en-US"/>
              </w:rPr>
              <w:t>corporate finance.</w:t>
            </w:r>
          </w:p>
        </w:tc>
      </w:tr>
    </w:tbl>
    <w:p w14:paraId="7975F2D1" w14:textId="77777777" w:rsidR="00BE42A0" w:rsidRPr="00AE1076" w:rsidRDefault="00BE42A0" w:rsidP="00284651">
      <w:pPr>
        <w:pStyle w:val="end2"/>
        <w:rPr>
          <w:rFonts w:eastAsia="Garamond"/>
          <w:szCs w:val="28"/>
          <w:u w:color="000000"/>
          <w:bdr w:val="nil"/>
          <w:lang w:eastAsia="en-US"/>
        </w:rPr>
      </w:pPr>
      <w:r w:rsidRPr="00AE1076">
        <w:rPr>
          <w:rFonts w:eastAsia="Arial Unicode MS"/>
          <w:szCs w:val="28"/>
          <w:u w:color="000000"/>
          <w:bdr w:val="nil"/>
          <w:lang w:eastAsia="en-US"/>
        </w:rPr>
        <w:lastRenderedPageBreak/>
        <w:t>Short answer questions</w:t>
      </w:r>
    </w:p>
    <w:p w14:paraId="3CF14306" w14:textId="77777777" w:rsidR="00BE42A0" w:rsidRPr="00AE1076" w:rsidRDefault="00BE42A0" w:rsidP="00284651">
      <w:pPr>
        <w:keepNext/>
        <w:keepLines/>
        <w:spacing w:after="120" w:line="240" w:lineRule="atLeast"/>
        <w:jc w:val="both"/>
        <w:outlineLvl w:val="1"/>
        <w:rPr>
          <w:b/>
          <w:caps/>
          <w:color w:val="000000" w:themeColor="text1"/>
          <w:spacing w:val="10"/>
          <w:kern w:val="20"/>
          <w:sz w:val="28"/>
          <w:szCs w:val="28"/>
          <w:lang w:val="en-US"/>
        </w:rPr>
      </w:pPr>
      <w:r w:rsidRPr="00AE1076">
        <w:rPr>
          <w:b/>
          <w:caps/>
          <w:color w:val="000000" w:themeColor="text1"/>
          <w:spacing w:val="10"/>
          <w:kern w:val="20"/>
          <w:sz w:val="28"/>
          <w:szCs w:val="28"/>
          <w:lang w:val="en-US"/>
        </w:rPr>
        <w:t>Missing</w:t>
      </w:r>
      <w:r w:rsidR="004B7BB5">
        <w:rPr>
          <w:b/>
          <w:caps/>
          <w:color w:val="000000" w:themeColor="text1"/>
          <w:spacing w:val="10"/>
          <w:kern w:val="20"/>
          <w:sz w:val="28"/>
          <w:szCs w:val="28"/>
          <w:lang w:val="en-US"/>
        </w:rPr>
        <w:t xml:space="preserve"> </w:t>
      </w:r>
      <w:r w:rsidRPr="00AE1076">
        <w:rPr>
          <w:b/>
          <w:caps/>
          <w:color w:val="000000" w:themeColor="text1"/>
          <w:spacing w:val="10"/>
          <w:kern w:val="20"/>
          <w:sz w:val="28"/>
          <w:szCs w:val="28"/>
          <w:lang w:val="en-US"/>
        </w:rPr>
        <w:t>word questions</w:t>
      </w:r>
    </w:p>
    <w:p w14:paraId="0EA503D7" w14:textId="77777777" w:rsidR="00BE42A0" w:rsidRPr="00AE1076" w:rsidRDefault="00BE42A0" w:rsidP="00284651">
      <w:pPr>
        <w:spacing w:line="240" w:lineRule="atLeast"/>
        <w:ind w:left="284" w:firstLine="360"/>
        <w:jc w:val="both"/>
        <w:rPr>
          <w:rFonts w:eastAsia="Garamond"/>
          <w:sz w:val="28"/>
          <w:szCs w:val="28"/>
          <w:u w:color="000000"/>
          <w:bdr w:val="nil"/>
          <w:lang w:val="en-US" w:eastAsia="en-US"/>
        </w:rPr>
      </w:pPr>
      <w:r w:rsidRPr="00AE1076">
        <w:rPr>
          <w:color w:val="000000" w:themeColor="text1"/>
          <w:sz w:val="28"/>
          <w:szCs w:val="28"/>
          <w:lang w:val="en-US"/>
        </w:rPr>
        <w:t>Choose the correct word to complete each sentence.</w:t>
      </w:r>
    </w:p>
    <w:p w14:paraId="6B910D98"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firstLine="360"/>
        <w:jc w:val="both"/>
        <w:rPr>
          <w:rFonts w:eastAsia="Garamond"/>
          <w:sz w:val="28"/>
          <w:szCs w:val="28"/>
          <w:u w:color="000000"/>
          <w:bdr w:val="nil"/>
          <w:lang w:val="en-US" w:eastAsia="en-US"/>
        </w:rPr>
      </w:pPr>
    </w:p>
    <w:p w14:paraId="36C36CCA" w14:textId="77777777" w:rsidR="00BE42A0" w:rsidRPr="00AE1076" w:rsidRDefault="00BE42A0" w:rsidP="006F749C">
      <w:pPr>
        <w:numPr>
          <w:ilvl w:val="0"/>
          <w:numId w:val="11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Finances appeared as a result of ___________ and the creation of ________</w:t>
      </w:r>
      <w:r w:rsidR="007557BC">
        <w:rPr>
          <w:rFonts w:eastAsia="Arial Unicode MS" w:cs="Arial Unicode MS"/>
          <w:sz w:val="28"/>
          <w:szCs w:val="28"/>
          <w:u w:color="000000"/>
          <w:bdr w:val="nil"/>
          <w:lang w:val="en-US"/>
        </w:rPr>
        <w:t>_</w:t>
      </w:r>
      <w:r w:rsidRPr="00AE1076">
        <w:rPr>
          <w:rFonts w:eastAsia="Arial Unicode MS" w:cs="Arial Unicode MS"/>
          <w:sz w:val="28"/>
          <w:szCs w:val="28"/>
          <w:u w:color="000000"/>
          <w:bdr w:val="nil"/>
          <w:lang w:val="en-US"/>
        </w:rPr>
        <w:t>___.</w:t>
      </w:r>
    </w:p>
    <w:p w14:paraId="023162DE" w14:textId="77777777" w:rsidR="00284651" w:rsidRPr="00AE1076" w:rsidRDefault="00284651" w:rsidP="00284651">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3BAA9E30" w14:textId="77777777" w:rsidR="00BE42A0" w:rsidRPr="00AE1076" w:rsidRDefault="00BE42A0" w:rsidP="006F749C">
      <w:pPr>
        <w:numPr>
          <w:ilvl w:val="0"/>
          <w:numId w:val="11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 xml:space="preserve">On the first phase in the evolution of finance, most of the money </w:t>
      </w:r>
      <w:r w:rsidR="00984233">
        <w:rPr>
          <w:rFonts w:eastAsia="Arial Unicode MS" w:cs="Arial Unicode MS"/>
          <w:sz w:val="28"/>
          <w:szCs w:val="28"/>
          <w:u w:color="000000"/>
          <w:bdr w:val="nil"/>
          <w:lang w:val="en-US"/>
        </w:rPr>
        <w:t xml:space="preserve">were </w:t>
      </w:r>
      <w:r w:rsidRPr="00AE1076">
        <w:rPr>
          <w:rFonts w:eastAsia="Arial Unicode MS" w:cs="Arial Unicode MS"/>
          <w:sz w:val="28"/>
          <w:szCs w:val="28"/>
          <w:u w:color="000000"/>
          <w:bdr w:val="nil"/>
          <w:lang w:val="en-US"/>
        </w:rPr>
        <w:t>spent on ____</w:t>
      </w:r>
      <w:r w:rsidR="00984233">
        <w:rPr>
          <w:rFonts w:eastAsia="Arial Unicode MS" w:cs="Arial Unicode MS"/>
          <w:sz w:val="28"/>
          <w:szCs w:val="28"/>
          <w:u w:color="000000"/>
          <w:bdr w:val="nil"/>
          <w:lang w:val="en-US"/>
        </w:rPr>
        <w:t>______</w:t>
      </w:r>
      <w:r w:rsidRPr="00AE1076">
        <w:rPr>
          <w:rFonts w:eastAsia="Arial Unicode MS" w:cs="Arial Unicode MS"/>
          <w:sz w:val="28"/>
          <w:szCs w:val="28"/>
          <w:u w:color="000000"/>
          <w:bdr w:val="nil"/>
          <w:lang w:val="en-US"/>
        </w:rPr>
        <w:t>__.</w:t>
      </w:r>
    </w:p>
    <w:p w14:paraId="1B83727B" w14:textId="77777777" w:rsidR="00284651" w:rsidRPr="00AE1076" w:rsidRDefault="00284651" w:rsidP="00284651">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1CCB9767" w14:textId="77777777" w:rsidR="00BE42A0" w:rsidRPr="00AE1076" w:rsidRDefault="007557BC" w:rsidP="006F749C">
      <w:pPr>
        <w:numPr>
          <w:ilvl w:val="0"/>
          <w:numId w:val="11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Pr>
          <w:rFonts w:eastAsia="Arial Unicode MS" w:cs="Arial Unicode MS"/>
          <w:sz w:val="28"/>
          <w:szCs w:val="28"/>
          <w:u w:color="000000"/>
          <w:bdr w:val="nil"/>
          <w:lang w:val="en-US"/>
        </w:rPr>
        <w:t>_______</w:t>
      </w:r>
      <w:r w:rsidR="00BE42A0" w:rsidRPr="00AE1076">
        <w:rPr>
          <w:rFonts w:eastAsia="Arial Unicode MS" w:cs="Arial Unicode MS"/>
          <w:sz w:val="28"/>
          <w:szCs w:val="28"/>
          <w:u w:color="000000"/>
          <w:bdr w:val="nil"/>
          <w:lang w:val="en-US"/>
        </w:rPr>
        <w:t>_ stage of financial science development is characterized by the dominance of finance of the private sector, particularly large companies and capital markets.</w:t>
      </w:r>
    </w:p>
    <w:p w14:paraId="497BFF2B" w14:textId="77777777" w:rsidR="00284651" w:rsidRPr="00AE1076" w:rsidRDefault="00284651" w:rsidP="00284651">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34F8E9AA" w14:textId="77777777" w:rsidR="00BE42A0" w:rsidRPr="00AE1076" w:rsidRDefault="00BE42A0" w:rsidP="006F749C">
      <w:pPr>
        <w:numPr>
          <w:ilvl w:val="0"/>
          <w:numId w:val="11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According to ________________, market prices are in large part determined by irrational investors affected by these biases.</w:t>
      </w:r>
    </w:p>
    <w:p w14:paraId="4C28FED1" w14:textId="77777777" w:rsidR="00BE42A0" w:rsidRDefault="00BE42A0" w:rsidP="006F749C">
      <w:pPr>
        <w:numPr>
          <w:ilvl w:val="0"/>
          <w:numId w:val="11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____________________ can affect economic growth by acting on the saving rate, on the fraction of saving channeled to investment</w:t>
      </w:r>
      <w:r w:rsidR="00984233">
        <w:rPr>
          <w:rFonts w:eastAsia="Arial Unicode MS" w:cs="Arial Unicode MS"/>
          <w:sz w:val="28"/>
          <w:szCs w:val="28"/>
          <w:u w:color="000000"/>
          <w:bdr w:val="nil"/>
          <w:lang w:val="en-US"/>
        </w:rPr>
        <w:t>,</w:t>
      </w:r>
      <w:r w:rsidRPr="00AE1076">
        <w:rPr>
          <w:rFonts w:eastAsia="Arial Unicode MS" w:cs="Arial Unicode MS"/>
          <w:sz w:val="28"/>
          <w:szCs w:val="28"/>
          <w:u w:color="000000"/>
          <w:bdr w:val="nil"/>
          <w:lang w:val="en-US"/>
        </w:rPr>
        <w:t xml:space="preserve"> or on the social marginal productivity of investment. In general, _______________ will be positive for economic growth.</w:t>
      </w:r>
    </w:p>
    <w:p w14:paraId="5BC46C85" w14:textId="77777777" w:rsidR="00EC245C" w:rsidRPr="00AE1076" w:rsidRDefault="00EC245C" w:rsidP="00EC245C">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198406EE" w14:textId="77777777" w:rsidR="00BE42A0" w:rsidRPr="00AE1076" w:rsidRDefault="00BE42A0" w:rsidP="00284651">
      <w:pPr>
        <w:keepNext/>
        <w:keepLines/>
        <w:spacing w:before="120" w:after="120" w:line="240" w:lineRule="atLeast"/>
        <w:jc w:val="both"/>
        <w:outlineLvl w:val="1"/>
        <w:rPr>
          <w:rFonts w:eastAsia="Garamond"/>
          <w:b/>
          <w:bCs/>
          <w:caps/>
          <w:spacing w:val="20"/>
          <w:kern w:val="16"/>
          <w:sz w:val="28"/>
          <w:szCs w:val="28"/>
          <w:u w:color="000000"/>
          <w:bdr w:val="nil"/>
          <w:lang w:val="en-US" w:eastAsia="en-US"/>
        </w:rPr>
      </w:pPr>
      <w:r w:rsidRPr="00AE1076">
        <w:rPr>
          <w:b/>
          <w:caps/>
          <w:color w:val="000000" w:themeColor="text1"/>
          <w:spacing w:val="20"/>
          <w:kern w:val="16"/>
          <w:sz w:val="28"/>
          <w:szCs w:val="28"/>
          <w:lang w:val="en-US"/>
        </w:rPr>
        <w:t>True/False/Uncertain questions</w:t>
      </w:r>
    </w:p>
    <w:p w14:paraId="790A9F6A" w14:textId="77777777" w:rsidR="00BE42A0" w:rsidRPr="00AE1076" w:rsidRDefault="00BE42A0" w:rsidP="00284651">
      <w:pPr>
        <w:spacing w:line="240" w:lineRule="atLeast"/>
        <w:ind w:left="284" w:firstLine="360"/>
        <w:jc w:val="both"/>
        <w:rPr>
          <w:color w:val="000000" w:themeColor="text1"/>
          <w:sz w:val="28"/>
          <w:szCs w:val="28"/>
          <w:lang w:val="en-US"/>
        </w:rPr>
      </w:pPr>
      <w:r w:rsidRPr="00AE1076">
        <w:rPr>
          <w:color w:val="000000" w:themeColor="text1"/>
          <w:sz w:val="28"/>
          <w:szCs w:val="28"/>
          <w:lang w:val="en-US"/>
        </w:rPr>
        <w:t xml:space="preserve">Decide whether the following statements are True, False, or Uncertain. Explain your reasoning. Your score will be based not just on whether you get the True, False, </w:t>
      </w:r>
      <w:r w:rsidR="00984233">
        <w:rPr>
          <w:color w:val="000000" w:themeColor="text1"/>
          <w:sz w:val="28"/>
          <w:szCs w:val="28"/>
          <w:lang w:val="en-US"/>
        </w:rPr>
        <w:t xml:space="preserve">or </w:t>
      </w:r>
      <w:r w:rsidRPr="00AE1076">
        <w:rPr>
          <w:color w:val="000000" w:themeColor="text1"/>
          <w:sz w:val="28"/>
          <w:szCs w:val="28"/>
          <w:lang w:val="en-US"/>
        </w:rPr>
        <w:t>Uncertain part right but</w:t>
      </w:r>
      <w:r w:rsidR="00984233">
        <w:rPr>
          <w:color w:val="000000" w:themeColor="text1"/>
          <w:sz w:val="28"/>
          <w:szCs w:val="28"/>
          <w:lang w:val="en-US"/>
        </w:rPr>
        <w:t xml:space="preserve">, to a larger extent, </w:t>
      </w:r>
      <w:r w:rsidRPr="00AE1076">
        <w:rPr>
          <w:color w:val="000000" w:themeColor="text1"/>
          <w:sz w:val="28"/>
          <w:szCs w:val="28"/>
          <w:lang w:val="en-US"/>
        </w:rPr>
        <w:t>on the quality of your explanation.</w:t>
      </w:r>
    </w:p>
    <w:p w14:paraId="2792A63D" w14:textId="77777777" w:rsidR="00BE42A0" w:rsidRPr="00AE1076" w:rsidRDefault="00BE42A0" w:rsidP="00284651">
      <w:pPr>
        <w:spacing w:line="240" w:lineRule="atLeast"/>
        <w:ind w:left="284" w:firstLine="360"/>
        <w:jc w:val="both"/>
        <w:rPr>
          <w:color w:val="000000" w:themeColor="text1"/>
          <w:sz w:val="28"/>
          <w:szCs w:val="28"/>
          <w:lang w:val="en-US"/>
        </w:rPr>
      </w:pPr>
    </w:p>
    <w:p w14:paraId="400027E2" w14:textId="77777777" w:rsidR="00BE42A0" w:rsidRPr="00AE1076" w:rsidRDefault="00BE42A0" w:rsidP="006F749C">
      <w:pPr>
        <w:numPr>
          <w:ilvl w:val="0"/>
          <w:numId w:val="110"/>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 xml:space="preserve">Finance emerged with the appearance of the state, the existence of which required certain resources in the form of taxes and money capital at the beginning, and in the form of commodity </w:t>
      </w:r>
      <w:r w:rsidR="00984233">
        <w:rPr>
          <w:rFonts w:eastAsia="Arial Unicode MS" w:cs="Arial Unicode MS"/>
          <w:sz w:val="28"/>
          <w:szCs w:val="28"/>
          <w:u w:color="000000"/>
          <w:bdr w:val="nil"/>
          <w:lang w:val="en-US"/>
        </w:rPr>
        <w:t>later on</w:t>
      </w:r>
      <w:r w:rsidRPr="00AE1076">
        <w:rPr>
          <w:rFonts w:eastAsia="Arial Unicode MS" w:cs="Arial Unicode MS"/>
          <w:sz w:val="28"/>
          <w:szCs w:val="28"/>
          <w:u w:color="000000"/>
          <w:bdr w:val="nil"/>
          <w:lang w:val="en-US"/>
        </w:rPr>
        <w:t>. Therefore</w:t>
      </w:r>
      <w:r w:rsidR="00984233">
        <w:rPr>
          <w:rFonts w:eastAsia="Arial Unicode MS" w:cs="Arial Unicode MS"/>
          <w:sz w:val="28"/>
          <w:szCs w:val="28"/>
          <w:u w:color="000000"/>
          <w:bdr w:val="nil"/>
          <w:lang w:val="en-US"/>
        </w:rPr>
        <w:t>,</w:t>
      </w:r>
      <w:r w:rsidRPr="00AE1076">
        <w:rPr>
          <w:rFonts w:eastAsia="Arial Unicode MS" w:cs="Arial Unicode MS"/>
          <w:sz w:val="28"/>
          <w:szCs w:val="28"/>
          <w:u w:color="000000"/>
          <w:bdr w:val="nil"/>
          <w:lang w:val="en-US"/>
        </w:rPr>
        <w:t xml:space="preserve"> finance is always production relationship.</w:t>
      </w:r>
    </w:p>
    <w:p w14:paraId="6106EC01" w14:textId="77777777" w:rsidR="00284651" w:rsidRPr="00AE1076" w:rsidRDefault="00284651" w:rsidP="00284651">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6198D993" w14:textId="77777777" w:rsidR="00BE42A0" w:rsidRPr="00AE1076" w:rsidRDefault="00BE42A0" w:rsidP="006F749C">
      <w:pPr>
        <w:numPr>
          <w:ilvl w:val="0"/>
          <w:numId w:val="110"/>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The second phase of finance evolution is reflected in the formation of the Treasury, development of budgets, the emergence of public credit and government securities.</w:t>
      </w:r>
    </w:p>
    <w:p w14:paraId="3FDFB5DE" w14:textId="77777777" w:rsidR="00284651" w:rsidRPr="00AE1076" w:rsidRDefault="00284651" w:rsidP="00284651">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0450DAD9" w14:textId="77777777" w:rsidR="00BE42A0" w:rsidRPr="00AE1076" w:rsidRDefault="00BE42A0" w:rsidP="006F749C">
      <w:pPr>
        <w:numPr>
          <w:ilvl w:val="0"/>
          <w:numId w:val="110"/>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 xml:space="preserve">German scientist W. Petty was the first who laid out the basic principles of financial science. He has formed a common system of financial science by systematizing existing financial theories.  </w:t>
      </w:r>
    </w:p>
    <w:p w14:paraId="2CE8581A" w14:textId="77777777" w:rsidR="00284651" w:rsidRPr="00AE1076" w:rsidRDefault="00284651" w:rsidP="00284651">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6888A9CC" w14:textId="77777777" w:rsidR="00284651" w:rsidRPr="00AE1076" w:rsidRDefault="00BE42A0" w:rsidP="006F749C">
      <w:pPr>
        <w:numPr>
          <w:ilvl w:val="0"/>
          <w:numId w:val="110"/>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t>The neo-classical science of finance assists the idea of free enterprise with limited government regulation and based on financial savings as the basis for economic growth.</w:t>
      </w:r>
    </w:p>
    <w:p w14:paraId="5DE6D478" w14:textId="77777777" w:rsidR="00BE42A0" w:rsidRPr="00AE1076" w:rsidRDefault="00BE42A0" w:rsidP="00284651">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7B71E5DE" w14:textId="77777777" w:rsidR="00BE42A0" w:rsidRPr="00AE1076" w:rsidRDefault="00BE42A0" w:rsidP="006F749C">
      <w:pPr>
        <w:numPr>
          <w:ilvl w:val="0"/>
          <w:numId w:val="110"/>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AE1076">
        <w:rPr>
          <w:rFonts w:eastAsia="Arial Unicode MS" w:cs="Arial Unicode MS"/>
          <w:sz w:val="28"/>
          <w:szCs w:val="28"/>
          <w:u w:color="000000"/>
          <w:bdr w:val="nil"/>
          <w:lang w:val="en-US"/>
        </w:rPr>
        <w:lastRenderedPageBreak/>
        <w:t>A financial intermediary is an entity that acts as the middleman between two parties in a financial transaction. Financial intermediation can affect economic growth by acting on the saving rate, on the fraction of saving channeled to investment</w:t>
      </w:r>
      <w:r w:rsidR="00984233">
        <w:rPr>
          <w:rFonts w:eastAsia="Arial Unicode MS" w:cs="Arial Unicode MS"/>
          <w:sz w:val="28"/>
          <w:szCs w:val="28"/>
          <w:u w:color="000000"/>
          <w:bdr w:val="nil"/>
          <w:lang w:val="en-US"/>
        </w:rPr>
        <w:t>,</w:t>
      </w:r>
      <w:r w:rsidRPr="00AE1076">
        <w:rPr>
          <w:rFonts w:eastAsia="Arial Unicode MS" w:cs="Arial Unicode MS"/>
          <w:sz w:val="28"/>
          <w:szCs w:val="28"/>
          <w:u w:color="000000"/>
          <w:bdr w:val="nil"/>
          <w:lang w:val="en-US"/>
        </w:rPr>
        <w:t xml:space="preserve"> or on the social marginal productivity of investment. In general, financial development will be positive for economic growth.</w:t>
      </w:r>
    </w:p>
    <w:p w14:paraId="5B8C7387" w14:textId="77777777" w:rsidR="00BE42A0" w:rsidRPr="00AE1076" w:rsidRDefault="00BE42A0" w:rsidP="00284651">
      <w:pPr>
        <w:pStyle w:val="end2"/>
        <w:rPr>
          <w:rFonts w:eastAsia="Garamond"/>
          <w:szCs w:val="28"/>
          <w:u w:color="000000"/>
          <w:bdr w:val="nil"/>
          <w:lang w:eastAsia="en-US"/>
        </w:rPr>
      </w:pPr>
      <w:r w:rsidRPr="00AE1076">
        <w:rPr>
          <w:rFonts w:eastAsia="Arial Unicode MS"/>
          <w:szCs w:val="28"/>
          <w:u w:color="000000"/>
          <w:bdr w:val="nil"/>
          <w:lang w:eastAsia="en-US"/>
        </w:rPr>
        <w:t>Computation problems</w:t>
      </w:r>
    </w:p>
    <w:p w14:paraId="3638E1E1" w14:textId="77777777" w:rsidR="00083698" w:rsidRPr="00AE1076" w:rsidRDefault="007557BC" w:rsidP="003D693A">
      <w:pPr>
        <w:numPr>
          <w:ilvl w:val="0"/>
          <w:numId w:val="35"/>
        </w:numPr>
        <w:tabs>
          <w:tab w:val="clear" w:pos="717"/>
        </w:tabs>
        <w:spacing w:line="240" w:lineRule="atLeast"/>
        <w:ind w:left="426"/>
        <w:jc w:val="both"/>
        <w:rPr>
          <w:rFonts w:eastAsiaTheme="minorHAnsi"/>
          <w:color w:val="000000" w:themeColor="text1"/>
          <w:sz w:val="28"/>
          <w:szCs w:val="28"/>
          <w:lang w:val="en-US"/>
        </w:rPr>
      </w:pPr>
      <w:r>
        <w:rPr>
          <w:rFonts w:eastAsiaTheme="minorHAnsi"/>
          <w:color w:val="000000" w:themeColor="text1"/>
          <w:sz w:val="28"/>
          <w:szCs w:val="28"/>
          <w:lang w:val="en-US"/>
        </w:rPr>
        <w:t>D</w:t>
      </w:r>
      <w:r w:rsidR="00BE42A0" w:rsidRPr="00AE1076">
        <w:rPr>
          <w:rFonts w:eastAsiaTheme="minorHAnsi"/>
          <w:color w:val="000000" w:themeColor="text1"/>
          <w:sz w:val="28"/>
          <w:szCs w:val="28"/>
          <w:lang w:val="en-US"/>
        </w:rPr>
        <w:t>escribe the place and role of public finances in the slave, feudal, capitalist</w:t>
      </w:r>
      <w:r w:rsidR="00984233">
        <w:rPr>
          <w:rFonts w:eastAsiaTheme="minorHAnsi"/>
          <w:color w:val="000000" w:themeColor="text1"/>
          <w:sz w:val="28"/>
          <w:szCs w:val="28"/>
          <w:lang w:val="en-US"/>
        </w:rPr>
        <w:t>,</w:t>
      </w:r>
      <w:r w:rsidR="00BE42A0" w:rsidRPr="00AE1076">
        <w:rPr>
          <w:rFonts w:eastAsiaTheme="minorHAnsi"/>
          <w:color w:val="000000" w:themeColor="text1"/>
          <w:sz w:val="28"/>
          <w:szCs w:val="28"/>
          <w:lang w:val="en-US"/>
        </w:rPr>
        <w:t xml:space="preserve"> and communist state</w:t>
      </w:r>
      <w:r w:rsidR="00984233">
        <w:rPr>
          <w:rFonts w:eastAsiaTheme="minorHAnsi"/>
          <w:color w:val="000000" w:themeColor="text1"/>
          <w:sz w:val="28"/>
          <w:szCs w:val="28"/>
          <w:lang w:val="en-US"/>
        </w:rPr>
        <w:t>s</w:t>
      </w:r>
      <w:r w:rsidR="00BE42A0" w:rsidRPr="00AE1076">
        <w:rPr>
          <w:rFonts w:eastAsiaTheme="minorHAnsi"/>
          <w:color w:val="000000" w:themeColor="text1"/>
          <w:sz w:val="28"/>
          <w:szCs w:val="28"/>
          <w:lang w:val="en-US"/>
        </w:rPr>
        <w:t>. The characteristics should be pre</w:t>
      </w:r>
      <w:r>
        <w:rPr>
          <w:rFonts w:eastAsiaTheme="minorHAnsi"/>
          <w:color w:val="000000" w:themeColor="text1"/>
          <w:sz w:val="28"/>
          <w:szCs w:val="28"/>
          <w:lang w:val="en-US"/>
        </w:rPr>
        <w:t xml:space="preserve">sented in the </w:t>
      </w:r>
      <w:r w:rsidR="00EC245C">
        <w:rPr>
          <w:rFonts w:eastAsiaTheme="minorHAnsi"/>
          <w:color w:val="000000" w:themeColor="text1"/>
          <w:sz w:val="28"/>
          <w:szCs w:val="28"/>
          <w:lang w:val="en-US"/>
        </w:rPr>
        <w:t>box below</w:t>
      </w:r>
      <w:r>
        <w:rPr>
          <w:rFonts w:eastAsiaTheme="minorHAnsi"/>
          <w:color w:val="000000" w:themeColor="text1"/>
          <w:sz w:val="28"/>
          <w:szCs w:val="28"/>
          <w:lang w:val="en-US"/>
        </w:rPr>
        <w:t>.</w:t>
      </w:r>
    </w:p>
    <w:p w14:paraId="3F3E346D" w14:textId="77777777" w:rsidR="007557BC" w:rsidRDefault="007557BC" w:rsidP="00083698">
      <w:pPr>
        <w:spacing w:line="240" w:lineRule="atLeast"/>
        <w:ind w:left="426"/>
        <w:jc w:val="both"/>
        <w:rPr>
          <w:rFonts w:eastAsiaTheme="minorHAnsi"/>
          <w:color w:val="000000" w:themeColor="text1"/>
          <w:sz w:val="28"/>
          <w:szCs w:val="28"/>
          <w:lang w:val="en-US"/>
        </w:rPr>
      </w:pPr>
    </w:p>
    <w:p w14:paraId="506E2292" w14:textId="77777777" w:rsidR="00E26AC8" w:rsidRPr="00AE1076" w:rsidRDefault="00BE42A0" w:rsidP="00EC245C">
      <w:pPr>
        <w:spacing w:line="240" w:lineRule="atLeast"/>
        <w:ind w:left="426"/>
        <w:jc w:val="center"/>
        <w:rPr>
          <w:rFonts w:eastAsia="Arial Unicode MS" w:cs="Arial Unicode MS"/>
          <w:b/>
          <w:bCs/>
          <w:sz w:val="28"/>
          <w:szCs w:val="28"/>
          <w:u w:color="000000"/>
          <w:bdr w:val="nil"/>
          <w:lang w:val="en-US"/>
        </w:rPr>
      </w:pPr>
      <w:r w:rsidRPr="00AE1076">
        <w:rPr>
          <w:rFonts w:eastAsia="Arial Unicode MS" w:cs="Arial Unicode MS"/>
          <w:b/>
          <w:bCs/>
          <w:sz w:val="28"/>
          <w:szCs w:val="28"/>
          <w:u w:color="000000"/>
          <w:bdr w:val="nil"/>
          <w:lang w:val="en-US"/>
        </w:rPr>
        <w:t xml:space="preserve">Characteristics of finance according </w:t>
      </w:r>
    </w:p>
    <w:p w14:paraId="2C31273D" w14:textId="77777777" w:rsidR="00BE42A0" w:rsidRPr="00AE1076" w:rsidRDefault="00984233" w:rsidP="00EC245C">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717"/>
        <w:jc w:val="center"/>
        <w:rPr>
          <w:rFonts w:eastAsia="Arial Unicode MS" w:cs="Arial Unicode MS"/>
          <w:b/>
          <w:bCs/>
          <w:sz w:val="28"/>
          <w:szCs w:val="28"/>
          <w:u w:color="000000"/>
          <w:bdr w:val="nil"/>
          <w:lang w:val="en-US"/>
        </w:rPr>
      </w:pPr>
      <w:r w:rsidRPr="00AE1076">
        <w:rPr>
          <w:rFonts w:eastAsia="Arial Unicode MS" w:cs="Arial Unicode MS"/>
          <w:b/>
          <w:bCs/>
          <w:sz w:val="28"/>
          <w:szCs w:val="28"/>
          <w:u w:color="000000"/>
          <w:bdr w:val="nil"/>
          <w:lang w:val="en-US"/>
        </w:rPr>
        <w:t xml:space="preserve">to </w:t>
      </w:r>
      <w:r w:rsidR="00BE42A0" w:rsidRPr="00AE1076">
        <w:rPr>
          <w:rFonts w:eastAsia="Arial Unicode MS" w:cs="Arial Unicode MS"/>
          <w:b/>
          <w:bCs/>
          <w:sz w:val="28"/>
          <w:szCs w:val="28"/>
          <w:u w:color="000000"/>
          <w:bdr w:val="nil"/>
          <w:lang w:val="en-US"/>
        </w:rPr>
        <w:t>the type of socio-economic system in a country</w:t>
      </w:r>
    </w:p>
    <w:tbl>
      <w:tblPr>
        <w:tblW w:w="9203"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302"/>
        <w:gridCol w:w="2836"/>
        <w:gridCol w:w="2411"/>
        <w:gridCol w:w="1654"/>
      </w:tblGrid>
      <w:tr w:rsidR="00BE42A0" w:rsidRPr="00AE1076" w14:paraId="6DED8D62" w14:textId="77777777" w:rsidTr="00E26AC8">
        <w:trPr>
          <w:trHeight w:val="530"/>
          <w:jc w:val="center"/>
        </w:trPr>
        <w:tc>
          <w:tcPr>
            <w:tcW w:w="230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74BB0DB9" w14:textId="77777777" w:rsidR="00BE42A0" w:rsidRPr="00AE1076" w:rsidRDefault="00BE42A0" w:rsidP="00284651">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Type of socio-economic system</w:t>
            </w:r>
          </w:p>
        </w:tc>
        <w:tc>
          <w:tcPr>
            <w:tcW w:w="283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470A65BF" w14:textId="77777777" w:rsidR="00BE42A0" w:rsidRPr="00AE1076" w:rsidRDefault="00BE42A0" w:rsidP="00284651">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Specification of socio-economic system’s type</w:t>
            </w:r>
          </w:p>
        </w:tc>
        <w:tc>
          <w:tcPr>
            <w:tcW w:w="241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74EE2DAB" w14:textId="77777777" w:rsidR="00BE42A0" w:rsidRPr="00AE1076" w:rsidRDefault="00BE42A0" w:rsidP="00284651">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Example of country / Year of usage</w:t>
            </w:r>
          </w:p>
        </w:tc>
        <w:tc>
          <w:tcPr>
            <w:tcW w:w="165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705AFECA" w14:textId="77777777" w:rsidR="00BE42A0" w:rsidRPr="00AE1076" w:rsidRDefault="00BE42A0" w:rsidP="00284651">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Form of finance in use</w:t>
            </w:r>
          </w:p>
        </w:tc>
      </w:tr>
      <w:tr w:rsidR="00BE42A0" w:rsidRPr="00AE1076" w14:paraId="5E3FC432" w14:textId="77777777" w:rsidTr="00BE42A0">
        <w:trPr>
          <w:trHeight w:val="250"/>
          <w:jc w:val="center"/>
        </w:trPr>
        <w:tc>
          <w:tcPr>
            <w:tcW w:w="23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55C822"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283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EEBB0F7"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F0F428"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6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0D3891B"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bl>
    <w:p w14:paraId="4F56A7E0" w14:textId="77777777" w:rsidR="00984233" w:rsidRDefault="00984233" w:rsidP="00984233">
      <w:pPr>
        <w:spacing w:line="240" w:lineRule="atLeast"/>
        <w:ind w:left="426"/>
        <w:jc w:val="both"/>
        <w:rPr>
          <w:rFonts w:eastAsiaTheme="minorHAnsi"/>
          <w:color w:val="000000" w:themeColor="text1"/>
          <w:sz w:val="28"/>
          <w:szCs w:val="28"/>
          <w:lang w:val="en-US"/>
        </w:rPr>
      </w:pPr>
    </w:p>
    <w:p w14:paraId="4A7323ED" w14:textId="77777777" w:rsidR="00BE42A0" w:rsidRPr="00AE1076" w:rsidRDefault="007557BC" w:rsidP="003D693A">
      <w:pPr>
        <w:numPr>
          <w:ilvl w:val="0"/>
          <w:numId w:val="35"/>
        </w:numPr>
        <w:tabs>
          <w:tab w:val="clear" w:pos="717"/>
        </w:tabs>
        <w:spacing w:line="240" w:lineRule="atLeast"/>
        <w:ind w:left="426"/>
        <w:jc w:val="both"/>
        <w:rPr>
          <w:rFonts w:eastAsiaTheme="minorHAnsi"/>
          <w:color w:val="000000" w:themeColor="text1"/>
          <w:sz w:val="28"/>
          <w:szCs w:val="28"/>
          <w:lang w:val="en-US"/>
        </w:rPr>
      </w:pPr>
      <w:r>
        <w:rPr>
          <w:rFonts w:eastAsiaTheme="minorHAnsi"/>
          <w:color w:val="000000" w:themeColor="text1"/>
          <w:sz w:val="28"/>
          <w:szCs w:val="28"/>
          <w:lang w:val="en-US"/>
        </w:rPr>
        <w:t>D</w:t>
      </w:r>
      <w:r w:rsidR="00BE42A0" w:rsidRPr="00AE1076">
        <w:rPr>
          <w:rFonts w:eastAsiaTheme="minorHAnsi"/>
          <w:color w:val="000000" w:themeColor="text1"/>
          <w:sz w:val="28"/>
          <w:szCs w:val="28"/>
          <w:lang w:val="en-US"/>
        </w:rPr>
        <w:t xml:space="preserve">escribe the evolution of scientific thoughts about finance according to major economic doctrines. The characteristic should be presented in </w:t>
      </w:r>
      <w:r w:rsidR="00EC245C">
        <w:rPr>
          <w:rFonts w:eastAsiaTheme="minorHAnsi"/>
          <w:color w:val="000000" w:themeColor="text1"/>
          <w:sz w:val="28"/>
          <w:szCs w:val="28"/>
          <w:lang w:val="en-US"/>
        </w:rPr>
        <w:t>the box below</w:t>
      </w:r>
      <w:r w:rsidR="00BE42A0" w:rsidRPr="00AE1076">
        <w:rPr>
          <w:rFonts w:eastAsiaTheme="minorHAnsi"/>
          <w:color w:val="000000" w:themeColor="text1"/>
          <w:sz w:val="28"/>
          <w:szCs w:val="28"/>
          <w:lang w:val="en-US"/>
        </w:rPr>
        <w:t xml:space="preserve"> and </w:t>
      </w:r>
      <w:r w:rsidR="00984233">
        <w:rPr>
          <w:rFonts w:eastAsiaTheme="minorHAnsi"/>
          <w:color w:val="000000" w:themeColor="text1"/>
          <w:sz w:val="28"/>
          <w:szCs w:val="28"/>
          <w:lang w:val="en-US"/>
        </w:rPr>
        <w:t>should consist</w:t>
      </w:r>
      <w:r w:rsidR="00BE42A0" w:rsidRPr="00AE1076">
        <w:rPr>
          <w:rFonts w:eastAsiaTheme="minorHAnsi"/>
          <w:color w:val="000000" w:themeColor="text1"/>
          <w:sz w:val="28"/>
          <w:szCs w:val="28"/>
          <w:lang w:val="en-US"/>
        </w:rPr>
        <w:t xml:space="preserve"> of types of economic doctrine, a name of its major representatives, and brief characteristic of their thoughts about finance.</w:t>
      </w:r>
    </w:p>
    <w:p w14:paraId="3E3615FC" w14:textId="77777777" w:rsidR="00083698" w:rsidRPr="00AE1076" w:rsidRDefault="00083698" w:rsidP="00083698">
      <w:pPr>
        <w:spacing w:line="240" w:lineRule="atLeast"/>
        <w:ind w:left="426"/>
        <w:jc w:val="both"/>
        <w:rPr>
          <w:rFonts w:eastAsiaTheme="minorHAnsi"/>
          <w:color w:val="000000" w:themeColor="text1"/>
          <w:sz w:val="28"/>
          <w:szCs w:val="28"/>
          <w:lang w:val="en-US"/>
        </w:rPr>
      </w:pPr>
    </w:p>
    <w:p w14:paraId="3BF64B0D"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717"/>
        <w:jc w:val="center"/>
        <w:rPr>
          <w:rFonts w:eastAsia="Garamond"/>
          <w:b/>
          <w:bCs/>
          <w:sz w:val="28"/>
          <w:szCs w:val="28"/>
          <w:u w:color="000000"/>
          <w:bdr w:val="nil"/>
          <w:lang w:val="en-US"/>
        </w:rPr>
      </w:pPr>
      <w:r w:rsidRPr="00AE1076">
        <w:rPr>
          <w:rFonts w:eastAsia="Arial Unicode MS" w:cs="Arial Unicode MS"/>
          <w:b/>
          <w:bCs/>
          <w:sz w:val="28"/>
          <w:szCs w:val="28"/>
          <w:u w:color="000000"/>
          <w:bdr w:val="nil"/>
          <w:lang w:val="en-US"/>
        </w:rPr>
        <w:t xml:space="preserve">The evolution of scientific thoughts about finance </w:t>
      </w:r>
    </w:p>
    <w:p w14:paraId="72A9F7C7"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717"/>
        <w:jc w:val="center"/>
        <w:rPr>
          <w:rFonts w:eastAsia="Garamond"/>
          <w:b/>
          <w:bCs/>
          <w:sz w:val="28"/>
          <w:szCs w:val="28"/>
          <w:u w:color="000000"/>
          <w:bdr w:val="nil"/>
          <w:lang w:val="en-US"/>
        </w:rPr>
      </w:pPr>
      <w:r w:rsidRPr="00AE1076">
        <w:rPr>
          <w:rFonts w:eastAsia="Arial Unicode MS" w:cs="Arial Unicode MS"/>
          <w:b/>
          <w:bCs/>
          <w:sz w:val="28"/>
          <w:szCs w:val="28"/>
          <w:u w:color="000000"/>
          <w:bdr w:val="nil"/>
          <w:lang w:val="en-US"/>
        </w:rPr>
        <w:t xml:space="preserve">according to major economic doctrines </w:t>
      </w:r>
    </w:p>
    <w:tbl>
      <w:tblPr>
        <w:tblW w:w="925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187"/>
        <w:gridCol w:w="2835"/>
        <w:gridCol w:w="3228"/>
      </w:tblGrid>
      <w:tr w:rsidR="00BE42A0" w:rsidRPr="00AE1076" w14:paraId="15F7D3E9" w14:textId="77777777" w:rsidTr="00984233">
        <w:trPr>
          <w:trHeight w:val="530"/>
          <w:jc w:val="center"/>
        </w:trPr>
        <w:tc>
          <w:tcPr>
            <w:tcW w:w="318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7D93871F" w14:textId="77777777" w:rsidR="00BE42A0" w:rsidRPr="00AE1076" w:rsidRDefault="00BE42A0" w:rsidP="00284651">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Type of economic doctrine</w:t>
            </w:r>
          </w:p>
        </w:tc>
        <w:tc>
          <w:tcPr>
            <w:tcW w:w="283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1FB3BDCE" w14:textId="77777777" w:rsidR="00BE42A0" w:rsidRPr="00AE1076" w:rsidRDefault="00BE42A0" w:rsidP="00284651">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Name of scientist</w:t>
            </w:r>
          </w:p>
        </w:tc>
        <w:tc>
          <w:tcPr>
            <w:tcW w:w="322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4D853FF5"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spacing w:line="240" w:lineRule="atLeast"/>
              <w:jc w:val="center"/>
              <w:rPr>
                <w:rFonts w:eastAsia="Garamond"/>
                <w:sz w:val="28"/>
                <w:szCs w:val="28"/>
                <w:u w:color="000000"/>
                <w:bdr w:val="nil"/>
                <w:lang w:val="en-US" w:eastAsia="en-US"/>
              </w:rPr>
            </w:pPr>
            <w:r w:rsidRPr="00AE1076">
              <w:rPr>
                <w:rFonts w:eastAsia="Arial Unicode MS" w:cs="Arial Unicode MS"/>
                <w:sz w:val="28"/>
                <w:szCs w:val="28"/>
                <w:u w:color="000000"/>
                <w:bdr w:val="nil"/>
                <w:lang w:val="en-US" w:eastAsia="en-US"/>
              </w:rPr>
              <w:t xml:space="preserve">Brief characteristic </w:t>
            </w:r>
          </w:p>
          <w:p w14:paraId="0BF375B8"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of thoughts about finance</w:t>
            </w:r>
          </w:p>
        </w:tc>
      </w:tr>
      <w:tr w:rsidR="00BE42A0" w:rsidRPr="00AE1076" w14:paraId="5D9D5CA2" w14:textId="77777777" w:rsidTr="00984233">
        <w:trPr>
          <w:trHeight w:val="250"/>
          <w:jc w:val="center"/>
        </w:trPr>
        <w:tc>
          <w:tcPr>
            <w:tcW w:w="31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F8950BC"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Mercantilism</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EB13E4"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66D245"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0587FCE8" w14:textId="77777777" w:rsidTr="00984233">
        <w:trPr>
          <w:trHeight w:val="382"/>
          <w:jc w:val="center"/>
        </w:trPr>
        <w:tc>
          <w:tcPr>
            <w:tcW w:w="31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F79C33"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Classical political economy</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303934"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0F504A"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563C6CEA" w14:textId="77777777" w:rsidTr="00984233">
        <w:trPr>
          <w:trHeight w:val="250"/>
          <w:jc w:val="center"/>
        </w:trPr>
        <w:tc>
          <w:tcPr>
            <w:tcW w:w="31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FDF179"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Socialist doctrine</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5259AB4"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ACCCDF"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75FE8928" w14:textId="77777777" w:rsidTr="00984233">
        <w:trPr>
          <w:trHeight w:val="610"/>
          <w:jc w:val="center"/>
        </w:trPr>
        <w:tc>
          <w:tcPr>
            <w:tcW w:w="31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2B280B"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Historical school and social way of political economy</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AC226E"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B1E081"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0692FA59" w14:textId="77777777" w:rsidTr="00984233">
        <w:trPr>
          <w:trHeight w:val="694"/>
          <w:jc w:val="center"/>
        </w:trPr>
        <w:tc>
          <w:tcPr>
            <w:tcW w:w="31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E0AAA2"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Marginalism and early neo-classical political economy</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FEE04C"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DEF761D"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4943F696" w14:textId="77777777" w:rsidTr="00984233">
        <w:trPr>
          <w:trHeight w:val="490"/>
          <w:jc w:val="center"/>
        </w:trPr>
        <w:tc>
          <w:tcPr>
            <w:tcW w:w="31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9AEA91"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Keynesianism, neo- and post- Keynesianism</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25AC66"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15371DD"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7D09283C" w14:textId="77777777" w:rsidTr="00984233">
        <w:trPr>
          <w:trHeight w:val="250"/>
          <w:jc w:val="center"/>
        </w:trPr>
        <w:tc>
          <w:tcPr>
            <w:tcW w:w="31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57C763"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Monetarism</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88F435"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0D8DE4"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17DED8C6" w14:textId="77777777" w:rsidTr="00984233">
        <w:trPr>
          <w:trHeight w:val="250"/>
          <w:jc w:val="center"/>
        </w:trPr>
        <w:tc>
          <w:tcPr>
            <w:tcW w:w="31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3597FC7"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Institutionalism</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87EA67"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386DF3"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bl>
    <w:p w14:paraId="5B2EE112" w14:textId="77777777" w:rsidR="00BE42A0" w:rsidRPr="00AE1076" w:rsidRDefault="007557BC" w:rsidP="003D693A">
      <w:pPr>
        <w:numPr>
          <w:ilvl w:val="0"/>
          <w:numId w:val="35"/>
        </w:numPr>
        <w:tabs>
          <w:tab w:val="clear" w:pos="717"/>
        </w:tabs>
        <w:spacing w:line="240" w:lineRule="atLeast"/>
        <w:ind w:left="426"/>
        <w:jc w:val="both"/>
        <w:rPr>
          <w:rFonts w:eastAsiaTheme="minorHAnsi"/>
          <w:color w:val="000000" w:themeColor="text1"/>
          <w:sz w:val="28"/>
          <w:szCs w:val="28"/>
          <w:lang w:val="en-US"/>
        </w:rPr>
      </w:pPr>
      <w:r>
        <w:rPr>
          <w:rFonts w:eastAsiaTheme="minorHAnsi"/>
          <w:color w:val="000000" w:themeColor="text1"/>
          <w:sz w:val="28"/>
          <w:szCs w:val="28"/>
          <w:lang w:val="en-US"/>
        </w:rPr>
        <w:lastRenderedPageBreak/>
        <w:t>F</w:t>
      </w:r>
      <w:r w:rsidR="00BE42A0" w:rsidRPr="00AE1076">
        <w:rPr>
          <w:rFonts w:eastAsiaTheme="minorHAnsi"/>
          <w:color w:val="000000" w:themeColor="text1"/>
          <w:sz w:val="28"/>
          <w:szCs w:val="28"/>
          <w:lang w:val="en-US"/>
        </w:rPr>
        <w:t>ind out the definition and major indicators of such blocks of the modern financial economics (each student should choose one block):</w:t>
      </w:r>
    </w:p>
    <w:p w14:paraId="307D51C5" w14:textId="77777777" w:rsidR="00BE42A0" w:rsidRPr="00AE1076" w:rsidRDefault="00984233" w:rsidP="006F749C">
      <w:pPr>
        <w:numPr>
          <w:ilvl w:val="0"/>
          <w:numId w:val="113"/>
        </w:numPr>
        <w:pBdr>
          <w:top w:val="nil"/>
          <w:left w:val="nil"/>
          <w:bottom w:val="nil"/>
          <w:right w:val="nil"/>
          <w:between w:val="nil"/>
          <w:bar w:val="nil"/>
        </w:pBdr>
        <w:shd w:val="clear" w:color="auto" w:fill="FFFFFF"/>
        <w:spacing w:line="240" w:lineRule="atLeast"/>
        <w:jc w:val="both"/>
        <w:textAlignment w:val="baseline"/>
        <w:rPr>
          <w:sz w:val="28"/>
          <w:szCs w:val="28"/>
          <w:lang w:val="en-US"/>
        </w:rPr>
      </w:pPr>
      <w:r>
        <w:rPr>
          <w:sz w:val="28"/>
          <w:szCs w:val="28"/>
          <w:lang w:val="en-US"/>
        </w:rPr>
        <w:t>p</w:t>
      </w:r>
      <w:r w:rsidR="00BE42A0" w:rsidRPr="00AE1076">
        <w:rPr>
          <w:sz w:val="28"/>
          <w:szCs w:val="28"/>
          <w:lang w:val="en-US"/>
        </w:rPr>
        <w:t>ublic finance (state budget deficit</w:t>
      </w:r>
      <w:r>
        <w:rPr>
          <w:sz w:val="28"/>
          <w:szCs w:val="28"/>
          <w:lang w:val="en-US"/>
        </w:rPr>
        <w:t>,</w:t>
      </w:r>
      <w:r w:rsidR="00BE42A0" w:rsidRPr="00AE1076">
        <w:rPr>
          <w:sz w:val="28"/>
          <w:szCs w:val="28"/>
          <w:lang w:val="en-US"/>
        </w:rPr>
        <w:t xml:space="preserve"> state bonds</w:t>
      </w:r>
      <w:r>
        <w:rPr>
          <w:sz w:val="28"/>
          <w:szCs w:val="28"/>
          <w:lang w:val="en-US"/>
        </w:rPr>
        <w:t>, and</w:t>
      </w:r>
      <w:r w:rsidR="00BE42A0" w:rsidRPr="00AE1076">
        <w:rPr>
          <w:sz w:val="28"/>
          <w:szCs w:val="28"/>
          <w:lang w:val="en-US"/>
        </w:rPr>
        <w:t xml:space="preserve"> tax policy);</w:t>
      </w:r>
    </w:p>
    <w:p w14:paraId="52B6D16D" w14:textId="77777777" w:rsidR="00BE42A0" w:rsidRPr="00AE1076" w:rsidRDefault="00984233" w:rsidP="006F749C">
      <w:pPr>
        <w:numPr>
          <w:ilvl w:val="0"/>
          <w:numId w:val="113"/>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Pr>
          <w:sz w:val="28"/>
          <w:szCs w:val="28"/>
          <w:lang w:val="en-US"/>
        </w:rPr>
        <w:t>f</w:t>
      </w:r>
      <w:r w:rsidR="00BE42A0" w:rsidRPr="00AE1076">
        <w:rPr>
          <w:sz w:val="28"/>
          <w:szCs w:val="28"/>
          <w:lang w:val="en-US"/>
        </w:rPr>
        <w:t>inancial markets (assets</w:t>
      </w:r>
      <w:r>
        <w:rPr>
          <w:sz w:val="28"/>
          <w:szCs w:val="28"/>
          <w:lang w:val="en-US"/>
        </w:rPr>
        <w:t>,</w:t>
      </w:r>
      <w:r w:rsidR="00BE42A0" w:rsidRPr="00AE1076">
        <w:rPr>
          <w:sz w:val="28"/>
          <w:szCs w:val="28"/>
          <w:lang w:val="en-US"/>
        </w:rPr>
        <w:t xml:space="preserve"> equity</w:t>
      </w:r>
      <w:r>
        <w:rPr>
          <w:sz w:val="28"/>
          <w:szCs w:val="28"/>
          <w:lang w:val="en-US"/>
        </w:rPr>
        <w:t>, and</w:t>
      </w:r>
      <w:r w:rsidR="00BE42A0" w:rsidRPr="00AE1076">
        <w:rPr>
          <w:sz w:val="28"/>
          <w:szCs w:val="28"/>
          <w:lang w:val="en-US"/>
        </w:rPr>
        <w:t xml:space="preserve"> debt);</w:t>
      </w:r>
    </w:p>
    <w:p w14:paraId="4A8D1ACA" w14:textId="77777777" w:rsidR="00BE42A0" w:rsidRPr="00AE1076" w:rsidRDefault="00984233" w:rsidP="006F749C">
      <w:pPr>
        <w:numPr>
          <w:ilvl w:val="0"/>
          <w:numId w:val="113"/>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Pr>
          <w:sz w:val="28"/>
          <w:szCs w:val="28"/>
          <w:lang w:val="en-US"/>
        </w:rPr>
        <w:t>f</w:t>
      </w:r>
      <w:r w:rsidR="00BE42A0" w:rsidRPr="00AE1076">
        <w:rPr>
          <w:sz w:val="28"/>
          <w:szCs w:val="28"/>
          <w:lang w:val="en-US"/>
        </w:rPr>
        <w:t>inancial institutions and intermediaries (banking and non-banking financial institutions</w:t>
      </w:r>
      <w:r>
        <w:rPr>
          <w:sz w:val="28"/>
          <w:szCs w:val="28"/>
          <w:lang w:val="en-US"/>
        </w:rPr>
        <w:t>,</w:t>
      </w:r>
      <w:r w:rsidR="00BE42A0" w:rsidRPr="00AE1076">
        <w:rPr>
          <w:sz w:val="28"/>
          <w:szCs w:val="28"/>
          <w:lang w:val="en-US"/>
        </w:rPr>
        <w:t xml:space="preserve"> mutual funds, </w:t>
      </w:r>
      <w:r>
        <w:rPr>
          <w:sz w:val="28"/>
          <w:szCs w:val="28"/>
          <w:lang w:val="en-US"/>
        </w:rPr>
        <w:t xml:space="preserve">and </w:t>
      </w:r>
      <w:r w:rsidR="00BE42A0" w:rsidRPr="00AE1076">
        <w:rPr>
          <w:sz w:val="28"/>
          <w:szCs w:val="28"/>
          <w:lang w:val="en-US"/>
        </w:rPr>
        <w:t>venture capital);</w:t>
      </w:r>
    </w:p>
    <w:p w14:paraId="22498935" w14:textId="77777777" w:rsidR="00BE42A0" w:rsidRPr="00AE1076" w:rsidRDefault="00984233" w:rsidP="006F749C">
      <w:pPr>
        <w:numPr>
          <w:ilvl w:val="0"/>
          <w:numId w:val="113"/>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Pr>
          <w:sz w:val="28"/>
          <w:szCs w:val="28"/>
          <w:lang w:val="en-US"/>
        </w:rPr>
        <w:t>c</w:t>
      </w:r>
      <w:r w:rsidR="00BE42A0" w:rsidRPr="00AE1076">
        <w:rPr>
          <w:sz w:val="28"/>
          <w:szCs w:val="28"/>
          <w:lang w:val="en-US"/>
        </w:rPr>
        <w:t>orporate finance (capital</w:t>
      </w:r>
      <w:r>
        <w:rPr>
          <w:sz w:val="28"/>
          <w:szCs w:val="28"/>
          <w:lang w:val="en-US"/>
        </w:rPr>
        <w:t>,</w:t>
      </w:r>
      <w:r w:rsidR="00BE42A0" w:rsidRPr="00AE1076">
        <w:rPr>
          <w:sz w:val="28"/>
          <w:szCs w:val="28"/>
          <w:lang w:val="en-US"/>
        </w:rPr>
        <w:t xml:space="preserve"> corporate governance</w:t>
      </w:r>
      <w:r>
        <w:rPr>
          <w:sz w:val="28"/>
          <w:szCs w:val="28"/>
          <w:lang w:val="en-US"/>
        </w:rPr>
        <w:t>, and</w:t>
      </w:r>
      <w:r w:rsidR="00BE42A0" w:rsidRPr="00AE1076">
        <w:rPr>
          <w:sz w:val="28"/>
          <w:szCs w:val="28"/>
          <w:lang w:val="en-US"/>
        </w:rPr>
        <w:t xml:space="preserve"> bankruptcy); </w:t>
      </w:r>
    </w:p>
    <w:p w14:paraId="7A217737" w14:textId="77777777" w:rsidR="00BE42A0" w:rsidRPr="00AE1076" w:rsidRDefault="00984233" w:rsidP="006F749C">
      <w:pPr>
        <w:numPr>
          <w:ilvl w:val="0"/>
          <w:numId w:val="113"/>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Pr>
          <w:sz w:val="28"/>
          <w:szCs w:val="28"/>
          <w:lang w:val="en-US"/>
        </w:rPr>
        <w:t>f</w:t>
      </w:r>
      <w:r w:rsidR="00BE42A0" w:rsidRPr="00AE1076">
        <w:rPr>
          <w:sz w:val="28"/>
          <w:szCs w:val="28"/>
          <w:lang w:val="en-US"/>
        </w:rPr>
        <w:t>inancial economics (exchange rate, financial crises</w:t>
      </w:r>
      <w:r>
        <w:rPr>
          <w:sz w:val="28"/>
          <w:szCs w:val="28"/>
          <w:lang w:val="en-US"/>
        </w:rPr>
        <w:t>, and</w:t>
      </w:r>
      <w:r w:rsidR="00BE42A0" w:rsidRPr="00AE1076">
        <w:rPr>
          <w:sz w:val="28"/>
          <w:szCs w:val="28"/>
          <w:lang w:val="en-US"/>
        </w:rPr>
        <w:t xml:space="preserve"> foreign direct investment);</w:t>
      </w:r>
    </w:p>
    <w:p w14:paraId="70E76553" w14:textId="77777777" w:rsidR="00BE42A0" w:rsidRPr="00AE1076" w:rsidRDefault="00984233" w:rsidP="006F749C">
      <w:pPr>
        <w:numPr>
          <w:ilvl w:val="0"/>
          <w:numId w:val="113"/>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Pr>
          <w:sz w:val="28"/>
          <w:szCs w:val="28"/>
          <w:lang w:val="en-US"/>
        </w:rPr>
        <w:t>i</w:t>
      </w:r>
      <w:r w:rsidR="00BE42A0" w:rsidRPr="00AE1076">
        <w:rPr>
          <w:sz w:val="28"/>
          <w:szCs w:val="28"/>
          <w:lang w:val="en-US"/>
        </w:rPr>
        <w:t xml:space="preserve">nvestment (investment decisions, net present value, </w:t>
      </w:r>
      <w:r>
        <w:rPr>
          <w:sz w:val="28"/>
          <w:szCs w:val="28"/>
          <w:lang w:val="en-US"/>
        </w:rPr>
        <w:t xml:space="preserve">and </w:t>
      </w:r>
      <w:r w:rsidR="00BE42A0" w:rsidRPr="00AE1076">
        <w:rPr>
          <w:sz w:val="28"/>
          <w:szCs w:val="28"/>
          <w:lang w:val="en-US"/>
        </w:rPr>
        <w:t xml:space="preserve">derivatives);   </w:t>
      </w:r>
    </w:p>
    <w:p w14:paraId="78271404" w14:textId="77777777" w:rsidR="00BE42A0" w:rsidRPr="00AE1076" w:rsidRDefault="00984233" w:rsidP="006F749C">
      <w:pPr>
        <w:numPr>
          <w:ilvl w:val="0"/>
          <w:numId w:val="113"/>
        </w:numPr>
        <w:pBdr>
          <w:top w:val="nil"/>
          <w:left w:val="nil"/>
          <w:bottom w:val="nil"/>
          <w:right w:val="nil"/>
          <w:between w:val="nil"/>
          <w:bar w:val="nil"/>
        </w:pBdr>
        <w:shd w:val="clear" w:color="auto" w:fill="FFFFFF"/>
        <w:tabs>
          <w:tab w:val="num" w:pos="841"/>
        </w:tabs>
        <w:spacing w:line="240" w:lineRule="atLeast"/>
        <w:jc w:val="both"/>
        <w:textAlignment w:val="baseline"/>
        <w:rPr>
          <w:sz w:val="28"/>
          <w:szCs w:val="28"/>
          <w:lang w:val="en-US"/>
        </w:rPr>
      </w:pPr>
      <w:r>
        <w:rPr>
          <w:sz w:val="28"/>
          <w:szCs w:val="28"/>
          <w:lang w:val="en-US"/>
        </w:rPr>
        <w:t>p</w:t>
      </w:r>
      <w:r w:rsidR="00BE42A0" w:rsidRPr="00AE1076">
        <w:rPr>
          <w:sz w:val="28"/>
          <w:szCs w:val="28"/>
          <w:lang w:val="en-US"/>
        </w:rPr>
        <w:t xml:space="preserve">ersonal finance (consumption, savings, </w:t>
      </w:r>
      <w:r>
        <w:rPr>
          <w:sz w:val="28"/>
          <w:szCs w:val="28"/>
          <w:lang w:val="en-US"/>
        </w:rPr>
        <w:t xml:space="preserve">and </w:t>
      </w:r>
      <w:r w:rsidR="00BE42A0" w:rsidRPr="00AE1076">
        <w:rPr>
          <w:sz w:val="28"/>
          <w:szCs w:val="28"/>
          <w:lang w:val="en-US"/>
        </w:rPr>
        <w:t>consumer credit).</w:t>
      </w:r>
    </w:p>
    <w:p w14:paraId="0E37C8D4" w14:textId="77777777" w:rsidR="00775A57" w:rsidRPr="00AE1076" w:rsidRDefault="00775A57" w:rsidP="00775A57">
      <w:pPr>
        <w:pBdr>
          <w:top w:val="nil"/>
          <w:left w:val="nil"/>
          <w:bottom w:val="nil"/>
          <w:right w:val="nil"/>
          <w:between w:val="nil"/>
          <w:bar w:val="nil"/>
        </w:pBdr>
        <w:shd w:val="clear" w:color="auto" w:fill="FFFFFF"/>
        <w:spacing w:line="240" w:lineRule="atLeast"/>
        <w:ind w:left="788"/>
        <w:jc w:val="both"/>
        <w:textAlignment w:val="baseline"/>
        <w:rPr>
          <w:sz w:val="28"/>
          <w:szCs w:val="28"/>
          <w:lang w:val="en-US"/>
        </w:rPr>
      </w:pPr>
    </w:p>
    <w:p w14:paraId="0D202BBC" w14:textId="77777777" w:rsidR="00BE42A0" w:rsidRPr="00AE1076" w:rsidRDefault="00BE42A0" w:rsidP="003D693A">
      <w:pPr>
        <w:numPr>
          <w:ilvl w:val="0"/>
          <w:numId w:val="35"/>
        </w:numPr>
        <w:tabs>
          <w:tab w:val="clear" w:pos="717"/>
        </w:tabs>
        <w:spacing w:line="240" w:lineRule="atLeast"/>
        <w:ind w:left="426"/>
        <w:jc w:val="both"/>
        <w:rPr>
          <w:rFonts w:eastAsia="Arial Unicode MS" w:cs="Arial Unicode MS"/>
          <w:sz w:val="28"/>
          <w:szCs w:val="28"/>
          <w:u w:color="000000"/>
          <w:bdr w:val="nil"/>
          <w:lang w:val="en-US"/>
        </w:rPr>
      </w:pPr>
      <w:r w:rsidRPr="00AE1076">
        <w:rPr>
          <w:rFonts w:eastAsiaTheme="minorHAnsi"/>
          <w:color w:val="000000" w:themeColor="text1"/>
          <w:sz w:val="28"/>
          <w:szCs w:val="28"/>
          <w:lang w:val="en-US"/>
        </w:rPr>
        <w:t>Based on open source data from IMF, the World Bank</w:t>
      </w:r>
      <w:r w:rsidR="00984233">
        <w:rPr>
          <w:rFonts w:eastAsiaTheme="minorHAnsi"/>
          <w:color w:val="000000" w:themeColor="text1"/>
          <w:sz w:val="28"/>
          <w:szCs w:val="28"/>
          <w:lang w:val="en-US"/>
        </w:rPr>
        <w:t>,</w:t>
      </w:r>
      <w:r w:rsidRPr="00AE1076">
        <w:rPr>
          <w:rFonts w:eastAsiaTheme="minorHAnsi"/>
          <w:color w:val="000000" w:themeColor="text1"/>
          <w:sz w:val="28"/>
          <w:szCs w:val="28"/>
          <w:lang w:val="en-US"/>
        </w:rPr>
        <w:t xml:space="preserve"> etc.</w:t>
      </w:r>
      <w:r w:rsidR="00984233">
        <w:rPr>
          <w:rFonts w:eastAsiaTheme="minorHAnsi"/>
          <w:color w:val="000000" w:themeColor="text1"/>
          <w:sz w:val="28"/>
          <w:szCs w:val="28"/>
          <w:lang w:val="en-US"/>
        </w:rPr>
        <w:t>,</w:t>
      </w:r>
      <w:r w:rsidRPr="00AE1076">
        <w:rPr>
          <w:rFonts w:eastAsiaTheme="minorHAnsi"/>
          <w:color w:val="000000" w:themeColor="text1"/>
          <w:sz w:val="28"/>
          <w:szCs w:val="28"/>
          <w:lang w:val="en-US"/>
        </w:rPr>
        <w:t xml:space="preserve"> find out the level of financial development of Ukraine, Russia, Poland, Germany, and the USA. Compare and describe the results. </w:t>
      </w:r>
      <w:r w:rsidR="00083698" w:rsidRPr="00AE1076">
        <w:rPr>
          <w:rFonts w:eastAsiaTheme="minorHAnsi"/>
          <w:color w:val="000000" w:themeColor="text1"/>
          <w:sz w:val="28"/>
          <w:szCs w:val="28"/>
          <w:lang w:val="en-US"/>
        </w:rPr>
        <w:t>A</w:t>
      </w:r>
      <w:r w:rsidR="00083698" w:rsidRPr="00AE1076">
        <w:rPr>
          <w:rFonts w:eastAsia="Arial Unicode MS" w:cs="Arial Unicode MS"/>
          <w:sz w:val="28"/>
          <w:szCs w:val="28"/>
          <w:u w:color="000000"/>
          <w:bdr w:val="nil"/>
          <w:lang w:val="en-US"/>
        </w:rPr>
        <w:t>ccording to financial structure theory, financial development of the country can be measured by a number of factors</w:t>
      </w:r>
      <w:r w:rsidR="00984233">
        <w:rPr>
          <w:rFonts w:eastAsia="Arial Unicode MS" w:cs="Arial Unicode MS"/>
          <w:sz w:val="28"/>
          <w:szCs w:val="28"/>
          <w:u w:color="000000"/>
          <w:bdr w:val="nil"/>
          <w:lang w:val="en-US"/>
        </w:rPr>
        <w:t>,</w:t>
      </w:r>
      <w:r w:rsidR="00083698" w:rsidRPr="00AE1076">
        <w:rPr>
          <w:rFonts w:eastAsia="Arial Unicode MS" w:cs="Arial Unicode MS"/>
          <w:sz w:val="28"/>
          <w:szCs w:val="28"/>
          <w:u w:color="000000"/>
          <w:bdr w:val="nil"/>
          <w:lang w:val="en-US"/>
        </w:rPr>
        <w:t xml:space="preserve"> including the depth, size, access, and soundness of financial system. One of the major indicators is financial depth, which is the size of banks, other financial institutions, and</w:t>
      </w:r>
      <w:r w:rsidR="00984233">
        <w:rPr>
          <w:rFonts w:eastAsia="Arial Unicode MS" w:cs="Arial Unicode MS"/>
          <w:sz w:val="28"/>
          <w:szCs w:val="28"/>
          <w:u w:color="000000"/>
          <w:bdr w:val="nil"/>
          <w:lang w:val="en-US"/>
        </w:rPr>
        <w:t xml:space="preserve"> financial markets in a country</w:t>
      </w:r>
      <w:r w:rsidR="00083698" w:rsidRPr="00AE1076">
        <w:rPr>
          <w:rFonts w:eastAsia="Arial Unicode MS" w:cs="Arial Unicode MS"/>
          <w:sz w:val="28"/>
          <w:szCs w:val="28"/>
          <w:u w:color="000000"/>
          <w:bdr w:val="nil"/>
          <w:lang w:val="en-US"/>
        </w:rPr>
        <w:t xml:space="preserve"> taken together (average) and compared to </w:t>
      </w:r>
      <w:r w:rsidR="00984233">
        <w:rPr>
          <w:rFonts w:eastAsia="Arial Unicode MS" w:cs="Arial Unicode MS"/>
          <w:sz w:val="28"/>
          <w:szCs w:val="28"/>
          <w:u w:color="000000"/>
          <w:bdr w:val="nil"/>
          <w:lang w:val="en-US"/>
        </w:rPr>
        <w:t>m</w:t>
      </w:r>
      <w:r w:rsidR="00083698" w:rsidRPr="00AE1076">
        <w:rPr>
          <w:rFonts w:eastAsia="Arial Unicode MS" w:cs="Arial Unicode MS"/>
          <w:sz w:val="28"/>
          <w:szCs w:val="28"/>
          <w:u w:color="000000"/>
          <w:bdr w:val="nil"/>
          <w:lang w:val="en-US"/>
        </w:rPr>
        <w:t xml:space="preserve">easure economic output. The result should be presented in </w:t>
      </w:r>
      <w:r w:rsidR="00B17A60">
        <w:rPr>
          <w:rFonts w:eastAsia="Arial Unicode MS" w:cs="Arial Unicode MS"/>
          <w:sz w:val="28"/>
          <w:szCs w:val="28"/>
          <w:u w:color="000000"/>
          <w:bdr w:val="nil"/>
          <w:lang w:val="en-US"/>
        </w:rPr>
        <w:t>the box below</w:t>
      </w:r>
      <w:r w:rsidR="00083698" w:rsidRPr="00AE1076">
        <w:rPr>
          <w:rFonts w:eastAsia="Arial Unicode MS" w:cs="Arial Unicode MS"/>
          <w:sz w:val="28"/>
          <w:szCs w:val="28"/>
          <w:u w:color="000000"/>
          <w:bdr w:val="nil"/>
          <w:lang w:val="en-US"/>
        </w:rPr>
        <w:t xml:space="preserve"> and </w:t>
      </w:r>
      <w:r w:rsidR="00984233">
        <w:rPr>
          <w:rFonts w:eastAsia="Arial Unicode MS" w:cs="Arial Unicode MS"/>
          <w:sz w:val="28"/>
          <w:szCs w:val="28"/>
          <w:u w:color="000000"/>
          <w:bdr w:val="nil"/>
          <w:lang w:val="en-US"/>
        </w:rPr>
        <w:t>should consist</w:t>
      </w:r>
      <w:r w:rsidR="00083698" w:rsidRPr="00AE1076">
        <w:rPr>
          <w:rFonts w:eastAsia="Arial Unicode MS" w:cs="Arial Unicode MS"/>
          <w:sz w:val="28"/>
          <w:szCs w:val="28"/>
          <w:u w:color="000000"/>
          <w:bdr w:val="nil"/>
          <w:lang w:val="en-US"/>
        </w:rPr>
        <w:t xml:space="preserve"> of </w:t>
      </w:r>
      <w:r w:rsidR="00984233">
        <w:rPr>
          <w:rFonts w:eastAsia="Arial Unicode MS" w:cs="Arial Unicode MS"/>
          <w:sz w:val="28"/>
          <w:szCs w:val="28"/>
          <w:u w:color="000000"/>
          <w:bdr w:val="nil"/>
          <w:lang w:val="en-US"/>
        </w:rPr>
        <w:t xml:space="preserve">the </w:t>
      </w:r>
      <w:r w:rsidR="00083698" w:rsidRPr="00AE1076">
        <w:rPr>
          <w:rFonts w:eastAsia="Arial Unicode MS" w:cs="Arial Unicode MS"/>
          <w:sz w:val="28"/>
          <w:szCs w:val="28"/>
          <w:u w:color="000000"/>
          <w:bdr w:val="nil"/>
          <w:lang w:val="en-US"/>
        </w:rPr>
        <w:t xml:space="preserve">name of </w:t>
      </w:r>
      <w:r w:rsidR="00FA7B64">
        <w:rPr>
          <w:rFonts w:eastAsia="Arial Unicode MS" w:cs="Arial Unicode MS"/>
          <w:sz w:val="28"/>
          <w:szCs w:val="28"/>
          <w:u w:color="000000"/>
          <w:bdr w:val="nil"/>
          <w:lang w:val="en-US"/>
        </w:rPr>
        <w:t xml:space="preserve">the </w:t>
      </w:r>
      <w:r w:rsidR="00083698" w:rsidRPr="00AE1076">
        <w:rPr>
          <w:rFonts w:eastAsia="Arial Unicode MS" w:cs="Arial Unicode MS"/>
          <w:sz w:val="28"/>
          <w:szCs w:val="28"/>
          <w:u w:color="000000"/>
          <w:bdr w:val="nil"/>
          <w:lang w:val="en-US"/>
        </w:rPr>
        <w:t xml:space="preserve">country, </w:t>
      </w:r>
      <w:r w:rsidR="00984233">
        <w:rPr>
          <w:rFonts w:eastAsia="Arial Unicode MS" w:cs="Arial Unicode MS"/>
          <w:sz w:val="28"/>
          <w:szCs w:val="28"/>
          <w:u w:color="000000"/>
          <w:bdr w:val="nil"/>
          <w:lang w:val="en-US"/>
        </w:rPr>
        <w:t xml:space="preserve">the </w:t>
      </w:r>
      <w:r w:rsidR="00083698" w:rsidRPr="00AE1076">
        <w:rPr>
          <w:rFonts w:eastAsia="Arial Unicode MS" w:cs="Arial Unicode MS"/>
          <w:sz w:val="28"/>
          <w:szCs w:val="28"/>
          <w:u w:color="000000"/>
          <w:bdr w:val="nil"/>
          <w:lang w:val="en-US"/>
        </w:rPr>
        <w:t>indicators of financial development and interpretation of</w:t>
      </w:r>
      <w:r w:rsidR="00984233">
        <w:rPr>
          <w:rFonts w:eastAsia="Arial Unicode MS" w:cs="Arial Unicode MS"/>
          <w:sz w:val="28"/>
          <w:szCs w:val="28"/>
          <w:u w:color="000000"/>
          <w:bdr w:val="nil"/>
          <w:lang w:val="en-US"/>
        </w:rPr>
        <w:t xml:space="preserve"> the</w:t>
      </w:r>
      <w:r w:rsidR="00083698" w:rsidRPr="00AE1076">
        <w:rPr>
          <w:rFonts w:eastAsia="Arial Unicode MS" w:cs="Arial Unicode MS"/>
          <w:sz w:val="28"/>
          <w:szCs w:val="28"/>
          <w:u w:color="000000"/>
          <w:bdr w:val="nil"/>
          <w:lang w:val="en-US"/>
        </w:rPr>
        <w:t xml:space="preserve"> results.</w:t>
      </w:r>
    </w:p>
    <w:p w14:paraId="263A800C" w14:textId="77777777" w:rsidR="00083698" w:rsidRPr="00AE1076" w:rsidRDefault="00083698" w:rsidP="00083698">
      <w:pPr>
        <w:spacing w:line="240" w:lineRule="atLeast"/>
        <w:ind w:left="426"/>
        <w:jc w:val="both"/>
        <w:rPr>
          <w:rFonts w:eastAsia="Arial Unicode MS" w:cs="Arial Unicode MS"/>
          <w:sz w:val="28"/>
          <w:szCs w:val="28"/>
          <w:u w:color="000000"/>
          <w:bdr w:val="nil"/>
          <w:lang w:val="en-US"/>
        </w:rPr>
      </w:pPr>
    </w:p>
    <w:p w14:paraId="2D4F2168"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717"/>
        <w:jc w:val="center"/>
        <w:rPr>
          <w:rFonts w:eastAsia="Garamond"/>
          <w:b/>
          <w:bCs/>
          <w:sz w:val="28"/>
          <w:szCs w:val="28"/>
          <w:u w:color="000000"/>
          <w:bdr w:val="nil"/>
          <w:lang w:val="en-US"/>
        </w:rPr>
      </w:pPr>
      <w:r w:rsidRPr="00AE1076">
        <w:rPr>
          <w:rFonts w:eastAsia="Arial Unicode MS" w:cs="Arial Unicode MS"/>
          <w:b/>
          <w:bCs/>
          <w:sz w:val="28"/>
          <w:szCs w:val="28"/>
          <w:u w:color="000000"/>
          <w:bdr w:val="nil"/>
          <w:lang w:val="en-US"/>
        </w:rPr>
        <w:t xml:space="preserve">Comparison of country’s financial development, 2015  </w:t>
      </w:r>
    </w:p>
    <w:tbl>
      <w:tblPr>
        <w:tblW w:w="925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003"/>
        <w:gridCol w:w="850"/>
        <w:gridCol w:w="851"/>
        <w:gridCol w:w="850"/>
        <w:gridCol w:w="993"/>
        <w:gridCol w:w="992"/>
        <w:gridCol w:w="1711"/>
      </w:tblGrid>
      <w:tr w:rsidR="00BE42A0" w:rsidRPr="00AE1076" w14:paraId="75FB2BB7" w14:textId="77777777" w:rsidTr="00984233">
        <w:trPr>
          <w:trHeight w:val="270"/>
          <w:jc w:val="center"/>
        </w:trPr>
        <w:tc>
          <w:tcPr>
            <w:tcW w:w="3003"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FC14C7A" w14:textId="77777777" w:rsidR="00BE42A0" w:rsidRPr="00AE1076" w:rsidRDefault="00BE42A0" w:rsidP="00284651">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Indicators of financial development</w:t>
            </w:r>
          </w:p>
        </w:tc>
        <w:tc>
          <w:tcPr>
            <w:tcW w:w="4536" w:type="dxa"/>
            <w:gridSpan w:val="5"/>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59FB8EA" w14:textId="77777777" w:rsidR="00BE42A0" w:rsidRPr="00AE1076" w:rsidRDefault="00BE42A0" w:rsidP="00284651">
            <w:pPr>
              <w:pBdr>
                <w:top w:val="nil"/>
                <w:left w:val="nil"/>
                <w:bottom w:val="nil"/>
                <w:right w:val="nil"/>
                <w:between w:val="nil"/>
                <w:bar w:val="nil"/>
              </w:pBdr>
              <w:tabs>
                <w:tab w:val="left" w:pos="709"/>
                <w:tab w:val="left" w:pos="1418"/>
                <w:tab w:val="left" w:pos="2127"/>
              </w:tabs>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Country</w:t>
            </w:r>
          </w:p>
        </w:tc>
        <w:tc>
          <w:tcPr>
            <w:tcW w:w="1711"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B85C59F"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s>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 xml:space="preserve">Results’ interpretation </w:t>
            </w:r>
          </w:p>
        </w:tc>
      </w:tr>
      <w:tr w:rsidR="00083698" w:rsidRPr="00AE1076" w14:paraId="0F432E6E" w14:textId="77777777" w:rsidTr="00984233">
        <w:trPr>
          <w:cantSplit/>
          <w:trHeight w:val="1364"/>
          <w:jc w:val="center"/>
        </w:trPr>
        <w:tc>
          <w:tcPr>
            <w:tcW w:w="3003" w:type="dxa"/>
            <w:vMerge/>
            <w:tcBorders>
              <w:top w:val="single" w:sz="4" w:space="0" w:color="000000"/>
              <w:left w:val="single" w:sz="4" w:space="0" w:color="000000"/>
              <w:bottom w:val="single" w:sz="4" w:space="0" w:color="000000"/>
              <w:right w:val="single" w:sz="4" w:space="0" w:color="000000"/>
            </w:tcBorders>
            <w:shd w:val="clear" w:color="auto" w:fill="auto"/>
          </w:tcPr>
          <w:p w14:paraId="3FC90C35"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193" w:type="dxa"/>
            </w:tcMar>
            <w:textDirection w:val="btLr"/>
            <w:vAlign w:val="center"/>
          </w:tcPr>
          <w:p w14:paraId="1EE62958"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s>
              <w:spacing w:line="240" w:lineRule="atLeast"/>
              <w:ind w:left="113" w:right="113"/>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Ukraine</w:t>
            </w:r>
          </w:p>
        </w:tc>
        <w:tc>
          <w:tcPr>
            <w:tcW w:w="8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193" w:type="dxa"/>
            </w:tcMar>
            <w:textDirection w:val="btLr"/>
            <w:vAlign w:val="center"/>
          </w:tcPr>
          <w:p w14:paraId="7ECCD182"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s>
              <w:spacing w:line="240" w:lineRule="atLeast"/>
              <w:ind w:left="113" w:right="113"/>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Russia</w:t>
            </w:r>
          </w:p>
        </w:tc>
        <w:tc>
          <w:tcPr>
            <w:tcW w:w="8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193" w:type="dxa"/>
            </w:tcMar>
            <w:textDirection w:val="btLr"/>
            <w:vAlign w:val="center"/>
          </w:tcPr>
          <w:p w14:paraId="128E5F71"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s>
              <w:spacing w:line="240" w:lineRule="atLeast"/>
              <w:ind w:left="113" w:right="113"/>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Poland</w:t>
            </w:r>
          </w:p>
        </w:tc>
        <w:tc>
          <w:tcPr>
            <w:tcW w:w="99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193" w:type="dxa"/>
            </w:tcMar>
            <w:textDirection w:val="btLr"/>
            <w:vAlign w:val="center"/>
          </w:tcPr>
          <w:p w14:paraId="7AF02539"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s>
              <w:spacing w:line="240" w:lineRule="atLeast"/>
              <w:ind w:left="113" w:right="113"/>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Germany</w:t>
            </w:r>
          </w:p>
        </w:tc>
        <w:tc>
          <w:tcPr>
            <w:tcW w:w="9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193" w:type="dxa"/>
            </w:tcMar>
            <w:textDirection w:val="btLr"/>
            <w:vAlign w:val="center"/>
          </w:tcPr>
          <w:p w14:paraId="69D0FE3B" w14:textId="77777777" w:rsidR="00BE42A0" w:rsidRPr="00AE1076" w:rsidRDefault="00BE42A0" w:rsidP="00284651">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s>
              <w:spacing w:line="240" w:lineRule="atLeast"/>
              <w:ind w:left="113" w:right="113"/>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USA</w:t>
            </w:r>
          </w:p>
        </w:tc>
        <w:tc>
          <w:tcPr>
            <w:tcW w:w="1711" w:type="dxa"/>
            <w:vMerge/>
            <w:tcBorders>
              <w:top w:val="single" w:sz="4" w:space="0" w:color="000000"/>
              <w:left w:val="single" w:sz="4" w:space="0" w:color="000000"/>
              <w:bottom w:val="single" w:sz="4" w:space="0" w:color="000000"/>
              <w:right w:val="single" w:sz="4" w:space="0" w:color="000000"/>
            </w:tcBorders>
            <w:shd w:val="clear" w:color="auto" w:fill="auto"/>
          </w:tcPr>
          <w:p w14:paraId="11B6074F"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03088F99" w14:textId="77777777" w:rsidTr="00984233">
        <w:trPr>
          <w:trHeight w:val="530"/>
          <w:jc w:val="center"/>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58E570"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Banking institutions’ assets / GDP</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66CB5C"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9461CF"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7936CA"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37AF22"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469DB2"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1C702E"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77E8194F" w14:textId="77777777" w:rsidTr="00984233">
        <w:trPr>
          <w:trHeight w:val="596"/>
          <w:jc w:val="center"/>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798FDC"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Non-banking institutions’ assets / GDP</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490DC5E"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62CCB3"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53E4F7"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83ADD2"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B0462E"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8113F9"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06EA91BF" w14:textId="77777777" w:rsidTr="00984233">
        <w:trPr>
          <w:trHeight w:val="270"/>
          <w:jc w:val="center"/>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1FF472"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w:t>
            </w:r>
            <w:r w:rsidRPr="00AE1076">
              <w:rPr>
                <w:rFonts w:eastAsia="Arial Unicode MS" w:cs="Arial Unicode MS"/>
                <w:sz w:val="28"/>
                <w:szCs w:val="28"/>
                <w:u w:color="000000"/>
                <w:bdr w:val="nil"/>
                <w:vertAlign w:val="subscript"/>
                <w:lang w:val="en-US" w:eastAsia="en-US"/>
              </w:rPr>
              <w:t>1</w:t>
            </w:r>
            <w:r w:rsidRPr="00AE1076">
              <w:rPr>
                <w:rFonts w:eastAsia="Arial Unicode MS" w:cs="Arial Unicode MS"/>
                <w:sz w:val="28"/>
                <w:szCs w:val="28"/>
                <w:u w:color="000000"/>
                <w:bdr w:val="nil"/>
                <w:lang w:val="en-US" w:eastAsia="en-US"/>
              </w:rPr>
              <w:t>+M</w:t>
            </w:r>
            <w:r w:rsidRPr="00AE1076">
              <w:rPr>
                <w:rFonts w:eastAsia="Arial Unicode MS" w:cs="Arial Unicode MS"/>
                <w:sz w:val="28"/>
                <w:szCs w:val="28"/>
                <w:u w:color="000000"/>
                <w:bdr w:val="nil"/>
                <w:vertAlign w:val="subscript"/>
                <w:lang w:val="en-US" w:eastAsia="en-US"/>
              </w:rPr>
              <w:t>2</w:t>
            </w:r>
            <w:r w:rsidRPr="00AE1076">
              <w:rPr>
                <w:rFonts w:eastAsia="Arial Unicode MS" w:cs="Arial Unicode MS"/>
                <w:sz w:val="28"/>
                <w:szCs w:val="28"/>
                <w:u w:color="000000"/>
                <w:bdr w:val="nil"/>
                <w:lang w:val="en-US" w:eastAsia="en-US"/>
              </w:rPr>
              <w:t>/ GDP</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F17FEC"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DC557A7"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6C0701F"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9A0F8F"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453A08F"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7439652"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0B6B3873" w14:textId="77777777" w:rsidTr="00984233">
        <w:trPr>
          <w:trHeight w:val="270"/>
          <w:jc w:val="center"/>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FE60A93"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Bank credits / GDP</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30A076"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88C0D5"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5A8FC8"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4AD4C8"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D1D06D"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35C249"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6477A86D" w14:textId="77777777" w:rsidTr="00984233">
        <w:trPr>
          <w:trHeight w:val="336"/>
          <w:jc w:val="center"/>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6143A8"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Stock market capitalization/ GDP</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6D607E"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1BA127"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025E23"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E2400E"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C01CAC"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18C62E"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BE42A0" w:rsidRPr="00AE1076" w14:paraId="593B4C1C" w14:textId="77777777" w:rsidTr="00984233">
        <w:trPr>
          <w:trHeight w:val="435"/>
          <w:jc w:val="center"/>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D855602" w14:textId="77777777" w:rsidR="00BE42A0" w:rsidRPr="00AE1076" w:rsidRDefault="00BE42A0" w:rsidP="00284651">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Financial depth (average)</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F416098"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A238733"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06A384"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BBDFAF"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7812998"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259113" w14:textId="77777777" w:rsidR="00BE42A0" w:rsidRPr="00AE1076" w:rsidRDefault="00BE42A0" w:rsidP="0028465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bl>
    <w:p w14:paraId="52E3AF94" w14:textId="77777777" w:rsidR="00083698" w:rsidRPr="00AE1076" w:rsidRDefault="00083698" w:rsidP="00083698">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710"/>
        <w:jc w:val="both"/>
        <w:rPr>
          <w:rFonts w:eastAsia="Arial Unicode MS" w:cs="Arial Unicode MS"/>
          <w:sz w:val="28"/>
          <w:szCs w:val="28"/>
          <w:u w:color="000000"/>
          <w:bdr w:val="nil"/>
          <w:lang w:val="en-US"/>
        </w:rPr>
      </w:pPr>
    </w:p>
    <w:p w14:paraId="03D39FB4" w14:textId="77777777" w:rsidR="007557BC" w:rsidRPr="00AE1076" w:rsidRDefault="007557BC" w:rsidP="003D693A">
      <w:pPr>
        <w:numPr>
          <w:ilvl w:val="0"/>
          <w:numId w:val="35"/>
        </w:numPr>
        <w:tabs>
          <w:tab w:val="clear" w:pos="717"/>
        </w:tabs>
        <w:spacing w:line="240" w:lineRule="atLeast"/>
        <w:ind w:left="426"/>
        <w:jc w:val="both"/>
        <w:rPr>
          <w:rFonts w:eastAsiaTheme="minorHAnsi"/>
          <w:color w:val="000000" w:themeColor="text1"/>
          <w:sz w:val="28"/>
          <w:szCs w:val="28"/>
          <w:lang w:val="en-US"/>
        </w:rPr>
      </w:pPr>
      <w:r>
        <w:rPr>
          <w:rFonts w:eastAsiaTheme="minorHAnsi"/>
          <w:color w:val="000000" w:themeColor="text1"/>
          <w:sz w:val="28"/>
          <w:szCs w:val="28"/>
          <w:lang w:val="en-US"/>
        </w:rPr>
        <w:lastRenderedPageBreak/>
        <w:t>D</w:t>
      </w:r>
      <w:r w:rsidRPr="00AE1076">
        <w:rPr>
          <w:rFonts w:eastAsiaTheme="minorHAnsi"/>
          <w:color w:val="000000" w:themeColor="text1"/>
          <w:sz w:val="28"/>
          <w:szCs w:val="28"/>
          <w:lang w:val="en-US"/>
        </w:rPr>
        <w:t xml:space="preserve">escribe the evolution of Ukrainian scientific thoughts about finance. The characteristic should be presented in </w:t>
      </w:r>
      <w:r w:rsidR="00B17A60">
        <w:rPr>
          <w:rFonts w:eastAsiaTheme="minorHAnsi"/>
          <w:color w:val="000000" w:themeColor="text1"/>
          <w:sz w:val="28"/>
          <w:szCs w:val="28"/>
          <w:lang w:val="en-US"/>
        </w:rPr>
        <w:t>the box below</w:t>
      </w:r>
      <w:r w:rsidRPr="00AE1076">
        <w:rPr>
          <w:rFonts w:eastAsiaTheme="minorHAnsi"/>
          <w:color w:val="000000" w:themeColor="text1"/>
          <w:sz w:val="28"/>
          <w:szCs w:val="28"/>
          <w:lang w:val="en-US"/>
        </w:rPr>
        <w:t xml:space="preserve"> and consis</w:t>
      </w:r>
      <w:r w:rsidR="00756009">
        <w:rPr>
          <w:rFonts w:eastAsiaTheme="minorHAnsi"/>
          <w:color w:val="000000" w:themeColor="text1"/>
          <w:sz w:val="28"/>
          <w:szCs w:val="28"/>
          <w:lang w:val="en-US"/>
        </w:rPr>
        <w:t>t</w:t>
      </w:r>
      <w:r w:rsidRPr="00AE1076">
        <w:rPr>
          <w:rFonts w:eastAsiaTheme="minorHAnsi"/>
          <w:color w:val="000000" w:themeColor="text1"/>
          <w:sz w:val="28"/>
          <w:szCs w:val="28"/>
          <w:lang w:val="en-US"/>
        </w:rPr>
        <w:t xml:space="preserve"> of the name of Ukrainian scientist, his brief characteristic (years of life, major works, job positions</w:t>
      </w:r>
      <w:r w:rsidR="00756009">
        <w:rPr>
          <w:rFonts w:eastAsiaTheme="minorHAnsi"/>
          <w:color w:val="000000" w:themeColor="text1"/>
          <w:sz w:val="28"/>
          <w:szCs w:val="28"/>
          <w:lang w:val="en-US"/>
        </w:rPr>
        <w:t>,</w:t>
      </w:r>
      <w:r w:rsidRPr="00AE1076">
        <w:rPr>
          <w:rFonts w:eastAsiaTheme="minorHAnsi"/>
          <w:color w:val="000000" w:themeColor="text1"/>
          <w:sz w:val="28"/>
          <w:szCs w:val="28"/>
          <w:lang w:val="en-US"/>
        </w:rPr>
        <w:t xml:space="preserve"> etc.) and </w:t>
      </w:r>
      <w:r w:rsidR="00756009">
        <w:rPr>
          <w:rFonts w:eastAsiaTheme="minorHAnsi"/>
          <w:color w:val="000000" w:themeColor="text1"/>
          <w:sz w:val="28"/>
          <w:szCs w:val="28"/>
          <w:lang w:val="en-US"/>
        </w:rPr>
        <w:t xml:space="preserve">a </w:t>
      </w:r>
      <w:r w:rsidRPr="00AE1076">
        <w:rPr>
          <w:rFonts w:eastAsiaTheme="minorHAnsi"/>
          <w:color w:val="000000" w:themeColor="text1"/>
          <w:sz w:val="28"/>
          <w:szCs w:val="28"/>
          <w:lang w:val="en-US"/>
        </w:rPr>
        <w:t>review of his thoughts about finance.</w:t>
      </w:r>
    </w:p>
    <w:p w14:paraId="68A2752F" w14:textId="77777777" w:rsidR="007557BC" w:rsidRDefault="007557BC" w:rsidP="007557BC">
      <w:pPr>
        <w:spacing w:line="240" w:lineRule="atLeast"/>
        <w:ind w:left="426"/>
        <w:jc w:val="both"/>
        <w:rPr>
          <w:rFonts w:eastAsiaTheme="minorHAnsi"/>
          <w:color w:val="000000" w:themeColor="text1"/>
          <w:sz w:val="28"/>
          <w:szCs w:val="28"/>
          <w:lang w:val="en-US"/>
        </w:rPr>
      </w:pPr>
    </w:p>
    <w:p w14:paraId="3B768024" w14:textId="77777777" w:rsidR="007557BC" w:rsidRPr="00AE1076" w:rsidRDefault="007557BC" w:rsidP="007557BC">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717"/>
        <w:jc w:val="center"/>
        <w:rPr>
          <w:rFonts w:eastAsia="Garamond"/>
          <w:b/>
          <w:bCs/>
          <w:sz w:val="28"/>
          <w:szCs w:val="28"/>
          <w:u w:color="000000"/>
          <w:bdr w:val="nil"/>
          <w:lang w:val="en-US"/>
        </w:rPr>
      </w:pPr>
      <w:r w:rsidRPr="00AE1076">
        <w:rPr>
          <w:rFonts w:eastAsia="Arial Unicode MS" w:cs="Arial Unicode MS"/>
          <w:b/>
          <w:bCs/>
          <w:sz w:val="28"/>
          <w:szCs w:val="28"/>
          <w:u w:color="000000"/>
          <w:bdr w:val="nil"/>
          <w:lang w:val="en-US"/>
        </w:rPr>
        <w:t xml:space="preserve">The evolution of Ukrainian scientific thoughts about finance </w:t>
      </w:r>
    </w:p>
    <w:tbl>
      <w:tblPr>
        <w:tblW w:w="925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447"/>
        <w:gridCol w:w="2840"/>
        <w:gridCol w:w="3963"/>
      </w:tblGrid>
      <w:tr w:rsidR="007557BC" w:rsidRPr="00AE1076" w14:paraId="5E24B207" w14:textId="77777777" w:rsidTr="00F17567">
        <w:trPr>
          <w:trHeight w:val="530"/>
          <w:jc w:val="center"/>
        </w:trPr>
        <w:tc>
          <w:tcPr>
            <w:tcW w:w="244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4C1EA66A" w14:textId="77777777" w:rsidR="007557BC" w:rsidRPr="00AE1076" w:rsidRDefault="007557BC" w:rsidP="00F17567">
            <w:pPr>
              <w:pBdr>
                <w:top w:val="nil"/>
                <w:left w:val="nil"/>
                <w:bottom w:val="nil"/>
                <w:right w:val="nil"/>
                <w:between w:val="nil"/>
                <w:bar w:val="nil"/>
              </w:pBdr>
              <w:spacing w:line="240" w:lineRule="atLeast"/>
              <w:jc w:val="center"/>
              <w:rPr>
                <w:rFonts w:eastAsia="Garamond"/>
                <w:sz w:val="28"/>
                <w:szCs w:val="28"/>
                <w:u w:color="000000"/>
                <w:bdr w:val="nil"/>
                <w:lang w:val="en-US" w:eastAsia="en-US"/>
              </w:rPr>
            </w:pPr>
            <w:r w:rsidRPr="00AE1076">
              <w:rPr>
                <w:rFonts w:eastAsia="Arial Unicode MS" w:cs="Arial Unicode MS"/>
                <w:sz w:val="28"/>
                <w:szCs w:val="28"/>
                <w:u w:color="000000"/>
                <w:bdr w:val="nil"/>
                <w:lang w:val="en-US" w:eastAsia="en-US"/>
              </w:rPr>
              <w:t xml:space="preserve">Name of </w:t>
            </w:r>
          </w:p>
          <w:p w14:paraId="4EE31955" w14:textId="77777777" w:rsidR="007557BC" w:rsidRPr="00AE1076" w:rsidRDefault="007557BC" w:rsidP="00F17567">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Ukrainian scientist</w:t>
            </w:r>
          </w:p>
        </w:tc>
        <w:tc>
          <w:tcPr>
            <w:tcW w:w="28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794FB023" w14:textId="77777777" w:rsidR="007557BC" w:rsidRPr="00AE1076" w:rsidRDefault="007557BC" w:rsidP="00F17567">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Scientist’s brief characteristic</w:t>
            </w:r>
          </w:p>
        </w:tc>
        <w:tc>
          <w:tcPr>
            <w:tcW w:w="396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01251BE4" w14:textId="77777777" w:rsidR="007557BC" w:rsidRPr="00AE1076" w:rsidRDefault="007557BC" w:rsidP="00F17567">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s>
              <w:spacing w:line="240" w:lineRule="atLeast"/>
              <w:jc w:val="center"/>
              <w:rPr>
                <w:rFonts w:eastAsia="Garamond"/>
                <w:sz w:val="28"/>
                <w:szCs w:val="28"/>
                <w:u w:color="000000"/>
                <w:bdr w:val="nil"/>
                <w:lang w:val="en-US" w:eastAsia="en-US"/>
              </w:rPr>
            </w:pPr>
            <w:r w:rsidRPr="00AE1076">
              <w:rPr>
                <w:rFonts w:eastAsia="Arial Unicode MS" w:cs="Arial Unicode MS"/>
                <w:sz w:val="28"/>
                <w:szCs w:val="28"/>
                <w:u w:color="000000"/>
                <w:bdr w:val="nil"/>
                <w:lang w:val="en-US" w:eastAsia="en-US"/>
              </w:rPr>
              <w:t xml:space="preserve">Review of scientist’s thoughts </w:t>
            </w:r>
          </w:p>
          <w:p w14:paraId="07AB9FF8" w14:textId="77777777" w:rsidR="007557BC" w:rsidRPr="00AE1076" w:rsidRDefault="007557BC" w:rsidP="00F17567">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s>
              <w:spacing w:line="240" w:lineRule="atLeast"/>
              <w:jc w:val="center"/>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about finance</w:t>
            </w:r>
          </w:p>
        </w:tc>
      </w:tr>
      <w:tr w:rsidR="007557BC" w:rsidRPr="00AE1076" w14:paraId="3DDF74F1" w14:textId="77777777" w:rsidTr="00F17567">
        <w:trPr>
          <w:trHeight w:val="270"/>
          <w:jc w:val="center"/>
        </w:trPr>
        <w:tc>
          <w:tcPr>
            <w:tcW w:w="2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CEA014" w14:textId="77777777" w:rsidR="007557BC" w:rsidRPr="00AE1076" w:rsidRDefault="007557BC" w:rsidP="00F17567">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 Bunge</w:t>
            </w:r>
          </w:p>
        </w:tc>
        <w:tc>
          <w:tcPr>
            <w:tcW w:w="2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E00637"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9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5B5BDA"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7557BC" w:rsidRPr="00AE1076" w14:paraId="374EA6EA" w14:textId="77777777" w:rsidTr="00F17567">
        <w:trPr>
          <w:trHeight w:val="270"/>
          <w:jc w:val="center"/>
        </w:trPr>
        <w:tc>
          <w:tcPr>
            <w:tcW w:w="2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96049D" w14:textId="77777777" w:rsidR="007557BC" w:rsidRPr="00AE1076" w:rsidRDefault="007557BC" w:rsidP="00F17567">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 Baludyanskiy</w:t>
            </w:r>
          </w:p>
        </w:tc>
        <w:tc>
          <w:tcPr>
            <w:tcW w:w="2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3BC450"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9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E723A1"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7557BC" w:rsidRPr="00AE1076" w14:paraId="0C16F010" w14:textId="77777777" w:rsidTr="00F17567">
        <w:trPr>
          <w:trHeight w:val="270"/>
          <w:jc w:val="center"/>
        </w:trPr>
        <w:tc>
          <w:tcPr>
            <w:tcW w:w="2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F66272A" w14:textId="77777777" w:rsidR="007557BC" w:rsidRPr="00AE1076" w:rsidRDefault="007557BC" w:rsidP="00F17567">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 Tugan-Baranovskiy</w:t>
            </w:r>
          </w:p>
        </w:tc>
        <w:tc>
          <w:tcPr>
            <w:tcW w:w="2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CF94D06"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9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0CC60F"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7557BC" w:rsidRPr="00AE1076" w14:paraId="3A8B3BB9" w14:textId="77777777" w:rsidTr="00F17567">
        <w:trPr>
          <w:trHeight w:val="270"/>
          <w:jc w:val="center"/>
        </w:trPr>
        <w:tc>
          <w:tcPr>
            <w:tcW w:w="2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045BA5" w14:textId="77777777" w:rsidR="007557BC" w:rsidRPr="00AE1076" w:rsidRDefault="007557BC" w:rsidP="00F17567">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I. Franko</w:t>
            </w:r>
          </w:p>
        </w:tc>
        <w:tc>
          <w:tcPr>
            <w:tcW w:w="2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D3CADDF"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9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BE71131"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7557BC" w:rsidRPr="00AE1076" w14:paraId="74E884A2" w14:textId="77777777" w:rsidTr="00F17567">
        <w:trPr>
          <w:trHeight w:val="270"/>
          <w:jc w:val="center"/>
        </w:trPr>
        <w:tc>
          <w:tcPr>
            <w:tcW w:w="2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7F0785" w14:textId="77777777" w:rsidR="007557BC" w:rsidRPr="00AE1076" w:rsidRDefault="007557BC" w:rsidP="00F17567">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V. Vernadskiy</w:t>
            </w:r>
          </w:p>
        </w:tc>
        <w:tc>
          <w:tcPr>
            <w:tcW w:w="2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502E97"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9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183651"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7557BC" w:rsidRPr="00AE1076" w14:paraId="41755BC7" w14:textId="77777777" w:rsidTr="00F17567">
        <w:trPr>
          <w:trHeight w:val="270"/>
          <w:jc w:val="center"/>
        </w:trPr>
        <w:tc>
          <w:tcPr>
            <w:tcW w:w="2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35386F" w14:textId="77777777" w:rsidR="007557BC" w:rsidRPr="00AE1076" w:rsidRDefault="007557BC" w:rsidP="00F17567">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 Yasnopolskiy</w:t>
            </w:r>
          </w:p>
        </w:tc>
        <w:tc>
          <w:tcPr>
            <w:tcW w:w="2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FC2BE48"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9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D0AC6B2"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7557BC" w:rsidRPr="00AE1076" w14:paraId="3062B33F" w14:textId="77777777" w:rsidTr="00F17567">
        <w:trPr>
          <w:trHeight w:val="270"/>
          <w:jc w:val="center"/>
        </w:trPr>
        <w:tc>
          <w:tcPr>
            <w:tcW w:w="2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4EB536" w14:textId="77777777" w:rsidR="007557BC" w:rsidRPr="00AE1076" w:rsidRDefault="007557BC" w:rsidP="00F17567">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 Dobrilovskiy</w:t>
            </w:r>
          </w:p>
        </w:tc>
        <w:tc>
          <w:tcPr>
            <w:tcW w:w="2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8AC33E"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9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270E735"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7557BC" w:rsidRPr="00AE1076" w14:paraId="6B4EA844" w14:textId="77777777" w:rsidTr="00F17567">
        <w:trPr>
          <w:trHeight w:val="270"/>
          <w:jc w:val="center"/>
        </w:trPr>
        <w:tc>
          <w:tcPr>
            <w:tcW w:w="244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834D4E" w14:textId="77777777" w:rsidR="007557BC" w:rsidRPr="00AE1076" w:rsidRDefault="007557BC" w:rsidP="00F17567">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AE1076">
              <w:rPr>
                <w:rFonts w:eastAsia="Arial Unicode MS" w:cs="Arial Unicode MS"/>
                <w:sz w:val="28"/>
                <w:szCs w:val="28"/>
                <w:u w:color="000000"/>
                <w:bdr w:val="nil"/>
                <w:lang w:val="en-US" w:eastAsia="en-US"/>
              </w:rPr>
              <w:t>M. Mitilino</w:t>
            </w:r>
          </w:p>
        </w:tc>
        <w:tc>
          <w:tcPr>
            <w:tcW w:w="2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3985E0"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39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D1A25E" w14:textId="77777777" w:rsidR="007557BC" w:rsidRPr="00AE1076" w:rsidRDefault="007557BC" w:rsidP="00F17567">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bl>
    <w:p w14:paraId="439A3AC7" w14:textId="77777777" w:rsidR="007557BC" w:rsidRPr="00AE1076" w:rsidRDefault="007557BC" w:rsidP="007557BC">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rPr>
          <w:rFonts w:eastAsia="Garamond"/>
          <w:sz w:val="28"/>
          <w:szCs w:val="28"/>
          <w:u w:color="000000"/>
          <w:bdr w:val="nil"/>
          <w:lang w:val="en-US"/>
        </w:rPr>
      </w:pPr>
    </w:p>
    <w:p w14:paraId="0ECDCAB9" w14:textId="77777777" w:rsidR="00BE42A0" w:rsidRPr="00BE42A0" w:rsidRDefault="00BE42A0" w:rsidP="00BE42A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200"/>
        <w:ind w:left="357" w:firstLine="360"/>
        <w:jc w:val="center"/>
        <w:rPr>
          <w:rFonts w:ascii="Times New Roman" w:eastAsia="Arial Unicode MS" w:hAnsi="Arial Unicode MS" w:cs="Arial Unicode MS"/>
          <w:sz w:val="28"/>
          <w:szCs w:val="28"/>
          <w:u w:color="000000"/>
          <w:bdr w:val="nil"/>
        </w:rPr>
      </w:pPr>
    </w:p>
    <w:p w14:paraId="07E6DA4D" w14:textId="77777777" w:rsidR="00BE42A0" w:rsidRDefault="00BE42A0">
      <w:pPr>
        <w:rPr>
          <w:rFonts w:eastAsia="Garamond"/>
          <w:b/>
          <w:bCs/>
          <w:u w:color="000000"/>
          <w:bdr w:val="nil"/>
          <w:lang w:val="en-US"/>
        </w:rPr>
      </w:pPr>
      <w:r>
        <w:rPr>
          <w:rFonts w:eastAsia="Garamond"/>
          <w:b/>
          <w:bCs/>
          <w:u w:color="000000"/>
          <w:bdr w:val="nil"/>
          <w:lang w:val="en-US"/>
        </w:rPr>
        <w:br w:type="page"/>
      </w:r>
    </w:p>
    <w:p w14:paraId="3E516D33" w14:textId="77777777" w:rsidR="00BE42A0" w:rsidRPr="00BE42A0" w:rsidRDefault="00BE42A0" w:rsidP="00083698">
      <w:pPr>
        <w:pStyle w:val="eng"/>
        <w:rPr>
          <w:lang w:val="en-US"/>
        </w:rPr>
      </w:pPr>
      <w:r w:rsidRPr="00BE42A0">
        <w:rPr>
          <w:lang w:val="en-US"/>
        </w:rPr>
        <w:lastRenderedPageBreak/>
        <w:t>Chapter 3</w:t>
      </w:r>
      <w:r w:rsidR="00FA7B64">
        <w:rPr>
          <w:lang w:val="en-US"/>
        </w:rPr>
        <w:t>:</w:t>
      </w:r>
      <w:r w:rsidRPr="00BE42A0">
        <w:rPr>
          <w:lang w:val="en-US"/>
        </w:rPr>
        <w:t xml:space="preserve"> </w:t>
      </w:r>
    </w:p>
    <w:p w14:paraId="54D72454" w14:textId="77777777" w:rsidR="00612A90" w:rsidRDefault="00612A90" w:rsidP="00083698">
      <w:pPr>
        <w:pStyle w:val="eng"/>
        <w:rPr>
          <w:lang w:val="en-US"/>
        </w:rPr>
      </w:pPr>
      <w:r>
        <w:rPr>
          <w:lang w:val="en-US"/>
        </w:rPr>
        <w:t>Financial policy</w:t>
      </w:r>
      <w:r w:rsidR="00FA7B64">
        <w:rPr>
          <w:lang w:val="en-US"/>
        </w:rPr>
        <w:t>.</w:t>
      </w:r>
    </w:p>
    <w:p w14:paraId="5C998C72" w14:textId="77777777" w:rsidR="00BE42A0" w:rsidRPr="00BE42A0" w:rsidRDefault="00BE42A0" w:rsidP="00083698">
      <w:pPr>
        <w:pStyle w:val="eng"/>
        <w:rPr>
          <w:lang w:val="en-US"/>
        </w:rPr>
      </w:pPr>
      <w:r w:rsidRPr="00BE42A0">
        <w:rPr>
          <w:lang w:val="en-US"/>
        </w:rPr>
        <w:t>Financial SYSTEM</w:t>
      </w:r>
    </w:p>
    <w:p w14:paraId="09ADDAC4" w14:textId="77777777" w:rsidR="00BE42A0" w:rsidRPr="007557BC" w:rsidRDefault="00BE42A0" w:rsidP="00083698">
      <w:pPr>
        <w:pStyle w:val="end2"/>
      </w:pPr>
      <w:r w:rsidRPr="007557BC">
        <w:t>summary</w:t>
      </w:r>
    </w:p>
    <w:p w14:paraId="6DAE5383" w14:textId="77777777" w:rsidR="00BE42A0" w:rsidRPr="007557BC" w:rsidRDefault="00BE42A0" w:rsidP="004B7BB5">
      <w:pPr>
        <w:spacing w:line="312" w:lineRule="auto"/>
        <w:ind w:firstLine="709"/>
        <w:contextualSpacing/>
        <w:jc w:val="both"/>
        <w:rPr>
          <w:sz w:val="28"/>
          <w:lang w:val="en-US" w:bidi="ru-RU"/>
        </w:rPr>
      </w:pPr>
      <w:r w:rsidRPr="007557BC">
        <w:rPr>
          <w:sz w:val="28"/>
          <w:lang w:val="en-US" w:bidi="ru-RU"/>
        </w:rPr>
        <w:t>Financial policy refers to the actions that governments take in the economic field, i.</w:t>
      </w:r>
      <w:r w:rsidR="00F617FF">
        <w:rPr>
          <w:sz w:val="28"/>
          <w:lang w:val="en-US" w:bidi="ru-RU"/>
        </w:rPr>
        <w:t>g</w:t>
      </w:r>
      <w:r w:rsidRPr="007557BC">
        <w:rPr>
          <w:sz w:val="28"/>
          <w:lang w:val="en-US" w:bidi="ru-RU"/>
        </w:rPr>
        <w:t>.</w:t>
      </w:r>
      <w:r w:rsidR="00F617FF">
        <w:rPr>
          <w:sz w:val="28"/>
          <w:lang w:val="en-US" w:bidi="ru-RU"/>
        </w:rPr>
        <w:t>,</w:t>
      </w:r>
      <w:r w:rsidRPr="007557BC">
        <w:rPr>
          <w:sz w:val="28"/>
          <w:lang w:val="en-US" w:bidi="ru-RU"/>
        </w:rPr>
        <w:t xml:space="preserve"> sphere of the financial activity of the business entities, financial institutions, households</w:t>
      </w:r>
      <w:r w:rsidR="00F617FF">
        <w:rPr>
          <w:sz w:val="28"/>
          <w:lang w:val="en-US" w:bidi="ru-RU"/>
        </w:rPr>
        <w:t>,</w:t>
      </w:r>
      <w:r w:rsidRPr="007557BC">
        <w:rPr>
          <w:sz w:val="28"/>
          <w:lang w:val="en-US" w:bidi="ru-RU"/>
        </w:rPr>
        <w:t xml:space="preserve"> and the State itself. Government financial policies typically focus on how to stimulate the economy and thus increase the wealth of corporations and individuals. There are varying schools of thought on how this is best accomplished. Some </w:t>
      </w:r>
      <w:r w:rsidR="00F617FF" w:rsidRPr="007557BC">
        <w:rPr>
          <w:sz w:val="28"/>
          <w:lang w:val="en-US" w:bidi="ru-RU"/>
        </w:rPr>
        <w:t>beli</w:t>
      </w:r>
      <w:r w:rsidR="00F617FF">
        <w:rPr>
          <w:sz w:val="28"/>
          <w:lang w:val="en-US" w:bidi="ru-RU"/>
        </w:rPr>
        <w:t>eve that</w:t>
      </w:r>
      <w:r w:rsidRPr="007557BC">
        <w:rPr>
          <w:sz w:val="28"/>
          <w:lang w:val="en-US" w:bidi="ru-RU"/>
        </w:rPr>
        <w:t xml:space="preserve"> a sound governmental financial policy is to cut taxes; others believe it is best for the government to spend more money </w:t>
      </w:r>
      <w:r w:rsidR="00F617FF" w:rsidRPr="007557BC">
        <w:rPr>
          <w:sz w:val="28"/>
          <w:lang w:val="en-US" w:bidi="ru-RU"/>
        </w:rPr>
        <w:t xml:space="preserve">directly </w:t>
      </w:r>
      <w:r w:rsidRPr="007557BC">
        <w:rPr>
          <w:sz w:val="28"/>
          <w:lang w:val="en-US" w:bidi="ru-RU"/>
        </w:rPr>
        <w:t xml:space="preserve">on hiring workers and creating new services for the public. </w:t>
      </w:r>
      <w:r w:rsidRPr="007557BC">
        <w:rPr>
          <w:b/>
          <w:sz w:val="28"/>
          <w:lang w:val="en-US" w:bidi="ru-RU"/>
        </w:rPr>
        <w:t>The financial policy</w:t>
      </w:r>
      <w:r w:rsidRPr="007557BC">
        <w:rPr>
          <w:sz w:val="28"/>
          <w:lang w:val="en-US" w:bidi="ru-RU"/>
        </w:rPr>
        <w:t xml:space="preserve"> covers the systems for setting levels of taxation, government budgets, the money supply and interest rates as well as the labor market, national ownership, and many other areas of government interventions into the economy. </w:t>
      </w:r>
    </w:p>
    <w:p w14:paraId="53C6BF46" w14:textId="77777777" w:rsidR="00BE42A0" w:rsidRPr="007557BC" w:rsidRDefault="00BE42A0" w:rsidP="004B7BB5">
      <w:pPr>
        <w:spacing w:line="312" w:lineRule="auto"/>
        <w:ind w:firstLine="709"/>
        <w:contextualSpacing/>
        <w:jc w:val="both"/>
        <w:rPr>
          <w:sz w:val="28"/>
          <w:lang w:val="en-US" w:bidi="ru-RU"/>
        </w:rPr>
      </w:pPr>
      <w:r w:rsidRPr="007557BC">
        <w:rPr>
          <w:sz w:val="28"/>
          <w:lang w:val="en-US" w:bidi="ru-RU"/>
        </w:rPr>
        <w:t xml:space="preserve">The financial policies include solving tasks of the social-economic development and working out the measures for gaining the predetermined goals. Such policies are often influenced by </w:t>
      </w:r>
      <w:r w:rsidR="00F617FF">
        <w:rPr>
          <w:sz w:val="28"/>
          <w:lang w:val="en-US" w:bidi="ru-RU"/>
        </w:rPr>
        <w:t xml:space="preserve">the </w:t>
      </w:r>
      <w:r w:rsidRPr="007557BC">
        <w:rPr>
          <w:sz w:val="28"/>
          <w:lang w:val="en-US" w:bidi="ru-RU"/>
        </w:rPr>
        <w:t xml:space="preserve">Ministry of Finance, </w:t>
      </w:r>
      <w:r w:rsidR="00F617FF">
        <w:rPr>
          <w:sz w:val="28"/>
          <w:lang w:val="en-US" w:bidi="ru-RU"/>
        </w:rPr>
        <w:t xml:space="preserve">the </w:t>
      </w:r>
      <w:r w:rsidRPr="007557BC">
        <w:rPr>
          <w:sz w:val="28"/>
          <w:lang w:val="en-US" w:bidi="ru-RU"/>
        </w:rPr>
        <w:t xml:space="preserve">Central </w:t>
      </w:r>
      <w:r w:rsidR="00F617FF">
        <w:rPr>
          <w:sz w:val="28"/>
          <w:lang w:val="en-US" w:bidi="ru-RU"/>
        </w:rPr>
        <w:t>B</w:t>
      </w:r>
      <w:r w:rsidRPr="007557BC">
        <w:rPr>
          <w:sz w:val="28"/>
          <w:lang w:val="en-US" w:bidi="ru-RU"/>
        </w:rPr>
        <w:t xml:space="preserve">ank (National </w:t>
      </w:r>
      <w:r w:rsidR="00F617FF">
        <w:rPr>
          <w:sz w:val="28"/>
          <w:lang w:val="en-US" w:bidi="ru-RU"/>
        </w:rPr>
        <w:t>B</w:t>
      </w:r>
      <w:r w:rsidRPr="007557BC">
        <w:rPr>
          <w:sz w:val="28"/>
          <w:lang w:val="en-US" w:bidi="ru-RU"/>
        </w:rPr>
        <w:t xml:space="preserve">ank of Ukraine) as well as political beliefs and the consequent policies of parties, international institutions like the International Monetary Fund or </w:t>
      </w:r>
      <w:r w:rsidR="00F617FF">
        <w:rPr>
          <w:sz w:val="28"/>
          <w:lang w:val="en-US" w:bidi="ru-RU"/>
        </w:rPr>
        <w:t xml:space="preserve">the </w:t>
      </w:r>
      <w:r w:rsidRPr="007557BC">
        <w:rPr>
          <w:sz w:val="28"/>
          <w:lang w:val="en-US" w:bidi="ru-RU"/>
        </w:rPr>
        <w:t xml:space="preserve">World Bank. </w:t>
      </w:r>
    </w:p>
    <w:p w14:paraId="0AA4D5D9" w14:textId="77777777" w:rsidR="00BE42A0" w:rsidRPr="007557BC" w:rsidRDefault="00BE42A0" w:rsidP="004B7BB5">
      <w:pPr>
        <w:spacing w:line="312" w:lineRule="auto"/>
        <w:ind w:firstLine="709"/>
        <w:contextualSpacing/>
        <w:jc w:val="both"/>
        <w:rPr>
          <w:sz w:val="28"/>
          <w:lang w:val="en-US" w:bidi="ru-RU"/>
        </w:rPr>
      </w:pPr>
      <w:r w:rsidRPr="007557BC">
        <w:rPr>
          <w:sz w:val="28"/>
          <w:lang w:val="en-US" w:bidi="ru-RU"/>
        </w:rPr>
        <w:t xml:space="preserve">The </w:t>
      </w:r>
      <w:r w:rsidRPr="007557BC">
        <w:rPr>
          <w:b/>
          <w:sz w:val="28"/>
          <w:lang w:val="en-US" w:bidi="ru-RU"/>
        </w:rPr>
        <w:t>main objective</w:t>
      </w:r>
      <w:r w:rsidRPr="007557BC">
        <w:rPr>
          <w:sz w:val="28"/>
          <w:lang w:val="en-US" w:bidi="ru-RU"/>
        </w:rPr>
        <w:t xml:space="preserve"> of the financial policy is an optimal distribution of </w:t>
      </w:r>
      <w:r w:rsidR="00F617FF">
        <w:rPr>
          <w:sz w:val="28"/>
          <w:lang w:val="en-US" w:bidi="ru-RU"/>
        </w:rPr>
        <w:t>g</w:t>
      </w:r>
      <w:r w:rsidRPr="007557BC">
        <w:rPr>
          <w:sz w:val="28"/>
          <w:lang w:val="en-US" w:bidi="ru-RU"/>
        </w:rPr>
        <w:t xml:space="preserve">ross domestic product (GDP) between industries, business entities, households, social groups, </w:t>
      </w:r>
      <w:r w:rsidR="00F617FF">
        <w:rPr>
          <w:sz w:val="28"/>
          <w:lang w:val="en-US" w:bidi="ru-RU"/>
        </w:rPr>
        <w:t xml:space="preserve">and </w:t>
      </w:r>
      <w:r w:rsidRPr="007557BC">
        <w:rPr>
          <w:sz w:val="28"/>
          <w:lang w:val="en-US" w:bidi="ru-RU"/>
        </w:rPr>
        <w:t xml:space="preserve">regions in order to ensure sustainable economic development, to create financial independence of the territory, implementation of national programs </w:t>
      </w:r>
      <w:r w:rsidR="00FA7B64">
        <w:rPr>
          <w:sz w:val="28"/>
          <w:lang w:val="en-US" w:bidi="ru-RU"/>
        </w:rPr>
        <w:t xml:space="preserve">of </w:t>
      </w:r>
      <w:r w:rsidRPr="007557BC">
        <w:rPr>
          <w:sz w:val="28"/>
          <w:lang w:val="en-US" w:bidi="ru-RU"/>
        </w:rPr>
        <w:t>social security. The definition of the ambit of "financial policy" explicitly excludes those financial interventions that are not sectoral but macroeconomi</w:t>
      </w:r>
      <w:r w:rsidR="00F617FF">
        <w:rPr>
          <w:sz w:val="28"/>
          <w:lang w:val="en-US" w:bidi="ru-RU"/>
        </w:rPr>
        <w:t>c in nature, and are dealt with</w:t>
      </w:r>
      <w:r w:rsidRPr="007557BC">
        <w:rPr>
          <w:sz w:val="28"/>
          <w:lang w:val="en-US" w:bidi="ru-RU"/>
        </w:rPr>
        <w:t>in Macroeconomic and Growth Policies.</w:t>
      </w:r>
    </w:p>
    <w:p w14:paraId="70AC8B25" w14:textId="77777777" w:rsidR="00BE42A0" w:rsidRPr="00BE42A0" w:rsidRDefault="00BE42A0" w:rsidP="004B7BB5">
      <w:pPr>
        <w:spacing w:line="312" w:lineRule="auto"/>
        <w:ind w:firstLine="709"/>
        <w:contextualSpacing/>
        <w:jc w:val="both"/>
        <w:rPr>
          <w:sz w:val="20"/>
          <w:lang w:val="en-US" w:bidi="ru-RU"/>
        </w:rPr>
      </w:pPr>
    </w:p>
    <w:p w14:paraId="2662F5D1" w14:textId="77777777" w:rsidR="00BE42A0" w:rsidRPr="00B17A60" w:rsidRDefault="00BE42A0" w:rsidP="004B7BB5">
      <w:pPr>
        <w:shd w:val="clear" w:color="auto" w:fill="D9D9D9" w:themeFill="background1" w:themeFillShade="D9"/>
        <w:spacing w:line="312" w:lineRule="auto"/>
        <w:ind w:left="425" w:right="425"/>
        <w:contextualSpacing/>
        <w:jc w:val="both"/>
        <w:rPr>
          <w:lang w:val="en-US" w:bidi="ru-RU"/>
        </w:rPr>
      </w:pPr>
      <w:r w:rsidRPr="00B17A60">
        <w:rPr>
          <w:lang w:val="en-US" w:bidi="ru-RU"/>
        </w:rPr>
        <w:t xml:space="preserve">For example, the government can be considered the grand financial intermediary in any economy, inasmuch as it absorbs, through taxation, a part of the money incomes and, through borrowing, draws on the savings of the private sector, part of which is transferred to entities needing funds for investment purposes. Through these means the government </w:t>
      </w:r>
      <w:r w:rsidRPr="00B17A60">
        <w:rPr>
          <w:lang w:val="en-US" w:bidi="ru-RU"/>
        </w:rPr>
        <w:lastRenderedPageBreak/>
        <w:t xml:space="preserve">can seek to ensure the realization in the financial realm of desired rates of savings and the desired allocation of </w:t>
      </w:r>
      <w:r w:rsidR="00F617FF">
        <w:rPr>
          <w:lang w:val="en-US" w:bidi="ru-RU"/>
        </w:rPr>
        <w:t xml:space="preserve">those </w:t>
      </w:r>
      <w:r w:rsidRPr="00B17A60">
        <w:rPr>
          <w:lang w:val="en-US" w:bidi="ru-RU"/>
        </w:rPr>
        <w:t>savings. However, the government is not a financial intermediary and is normally not an agent seeking to make a profit from the difference between the cost of funds and the returns on subsequent transfers. Hence, the extent to which the government can and should resort to such "intermediation" is not co</w:t>
      </w:r>
      <w:r w:rsidR="00F617FF">
        <w:rPr>
          <w:lang w:val="en-US" w:bidi="ru-RU"/>
        </w:rPr>
        <w:t>nsidered the ambit of financial</w:t>
      </w:r>
      <w:r w:rsidRPr="00B17A60">
        <w:rPr>
          <w:lang w:val="en-US" w:bidi="ru-RU"/>
        </w:rPr>
        <w:t xml:space="preserve"> but fiscal policy. While there is a need to coordinate fiscal and financial policies, they are conceptually and practically different.</w:t>
      </w:r>
    </w:p>
    <w:p w14:paraId="3D7D11A4" w14:textId="77777777" w:rsidR="00BE42A0" w:rsidRPr="00BE42A0" w:rsidRDefault="00BE42A0" w:rsidP="004B7BB5">
      <w:pPr>
        <w:spacing w:line="312" w:lineRule="auto"/>
        <w:ind w:firstLine="709"/>
        <w:contextualSpacing/>
        <w:jc w:val="both"/>
        <w:rPr>
          <w:sz w:val="20"/>
          <w:lang w:val="en-US" w:bidi="ru-RU"/>
        </w:rPr>
      </w:pPr>
    </w:p>
    <w:p w14:paraId="021A9BB2" w14:textId="77777777" w:rsidR="00BE42A0" w:rsidRDefault="00BE42A0" w:rsidP="004B7BB5">
      <w:pPr>
        <w:spacing w:line="312" w:lineRule="auto"/>
        <w:ind w:firstLine="709"/>
        <w:contextualSpacing/>
        <w:jc w:val="both"/>
        <w:rPr>
          <w:sz w:val="28"/>
          <w:lang w:val="en-US" w:bidi="ru-RU"/>
        </w:rPr>
      </w:pPr>
      <w:r w:rsidRPr="007557BC">
        <w:rPr>
          <w:sz w:val="28"/>
          <w:lang w:val="en-US" w:bidi="ru-RU"/>
        </w:rPr>
        <w:t>Financial policy in a broad meaning reflect</w:t>
      </w:r>
      <w:r w:rsidR="00F617FF">
        <w:rPr>
          <w:sz w:val="28"/>
          <w:lang w:val="en-US" w:bidi="ru-RU"/>
        </w:rPr>
        <w:t>s</w:t>
      </w:r>
      <w:r w:rsidRPr="007557BC">
        <w:rPr>
          <w:sz w:val="28"/>
          <w:lang w:val="en-US" w:bidi="ru-RU"/>
        </w:rPr>
        <w:t xml:space="preserve"> all aspects of financial operating and include</w:t>
      </w:r>
      <w:r w:rsidR="00F617FF">
        <w:rPr>
          <w:sz w:val="28"/>
          <w:lang w:val="en-US" w:bidi="ru-RU"/>
        </w:rPr>
        <w:t>s</w:t>
      </w:r>
      <w:r w:rsidRPr="007557BC">
        <w:rPr>
          <w:sz w:val="28"/>
          <w:lang w:val="en-US" w:bidi="ru-RU"/>
        </w:rPr>
        <w:t xml:space="preserve"> tax, budgetary, monetary, depreciation, exchange rate and customs policies. Table 3.1 represents contents and tools of mentioned above financial policies.</w:t>
      </w:r>
    </w:p>
    <w:p w14:paraId="51D3AA58" w14:textId="77777777" w:rsidR="007557BC" w:rsidRPr="007557BC" w:rsidRDefault="007557BC" w:rsidP="004B7BB5">
      <w:pPr>
        <w:spacing w:line="312" w:lineRule="auto"/>
        <w:ind w:firstLine="709"/>
        <w:contextualSpacing/>
        <w:jc w:val="both"/>
        <w:rPr>
          <w:sz w:val="28"/>
          <w:lang w:val="en-US" w:bidi="ru-RU"/>
        </w:rPr>
      </w:pPr>
    </w:p>
    <w:p w14:paraId="403AD208" w14:textId="77777777" w:rsidR="00BE42A0" w:rsidRPr="007557BC" w:rsidRDefault="00BE42A0" w:rsidP="000552CE">
      <w:pPr>
        <w:spacing w:line="312" w:lineRule="auto"/>
        <w:contextualSpacing/>
        <w:jc w:val="both"/>
        <w:rPr>
          <w:b/>
          <w:sz w:val="28"/>
          <w:lang w:val="en-US" w:bidi="ru-RU"/>
        </w:rPr>
      </w:pPr>
      <w:r w:rsidRPr="007557BC">
        <w:rPr>
          <w:b/>
          <w:sz w:val="28"/>
          <w:lang w:val="en-US" w:bidi="ru-RU"/>
        </w:rPr>
        <w:t>Table 3.1</w:t>
      </w:r>
      <w:r w:rsidR="004B7BB5">
        <w:rPr>
          <w:b/>
          <w:sz w:val="28"/>
          <w:lang w:val="en-US" w:bidi="ru-RU"/>
        </w:rPr>
        <w:t xml:space="preserve"> </w:t>
      </w:r>
      <w:r w:rsidR="004B7BB5" w:rsidRPr="004B7BB5">
        <w:rPr>
          <w:b/>
          <w:sz w:val="28"/>
          <w:lang w:val="en-US" w:bidi="ru-RU"/>
        </w:rPr>
        <w:t xml:space="preserve">– </w:t>
      </w:r>
      <w:r w:rsidRPr="007557BC">
        <w:rPr>
          <w:b/>
          <w:sz w:val="28"/>
          <w:lang w:val="en-US" w:bidi="ru-RU"/>
        </w:rPr>
        <w:t>Description of the financial policies' contents and tools</w:t>
      </w:r>
    </w:p>
    <w:tbl>
      <w:tblPr>
        <w:tblStyle w:val="23"/>
        <w:tblW w:w="0" w:type="auto"/>
        <w:tblLayout w:type="fixed"/>
        <w:tblLook w:val="04A0" w:firstRow="1" w:lastRow="0" w:firstColumn="1" w:lastColumn="0" w:noHBand="0" w:noVBand="1"/>
      </w:tblPr>
      <w:tblGrid>
        <w:gridCol w:w="1242"/>
        <w:gridCol w:w="242"/>
        <w:gridCol w:w="2126"/>
        <w:gridCol w:w="184"/>
        <w:gridCol w:w="2793"/>
        <w:gridCol w:w="467"/>
        <w:gridCol w:w="2561"/>
      </w:tblGrid>
      <w:tr w:rsidR="00BE42A0" w:rsidRPr="00BE42A0" w14:paraId="03329F29" w14:textId="77777777" w:rsidTr="006E1266">
        <w:tc>
          <w:tcPr>
            <w:tcW w:w="1242" w:type="dxa"/>
            <w:shd w:val="clear" w:color="auto" w:fill="D9D9D9" w:themeFill="background1" w:themeFillShade="D9"/>
            <w:vAlign w:val="center"/>
          </w:tcPr>
          <w:p w14:paraId="2B984224" w14:textId="77777777" w:rsidR="00BE42A0" w:rsidRPr="007557BC" w:rsidRDefault="00BE42A0" w:rsidP="00BE42A0">
            <w:pPr>
              <w:contextualSpacing/>
              <w:jc w:val="center"/>
              <w:rPr>
                <w:szCs w:val="22"/>
                <w:lang w:val="en-US" w:bidi="ru-RU"/>
              </w:rPr>
            </w:pPr>
            <w:r w:rsidRPr="007557BC">
              <w:rPr>
                <w:szCs w:val="22"/>
                <w:lang w:val="en-US" w:bidi="ru-RU"/>
              </w:rPr>
              <w:t>Elements</w:t>
            </w:r>
          </w:p>
        </w:tc>
        <w:tc>
          <w:tcPr>
            <w:tcW w:w="2368" w:type="dxa"/>
            <w:gridSpan w:val="2"/>
            <w:shd w:val="clear" w:color="auto" w:fill="D9D9D9" w:themeFill="background1" w:themeFillShade="D9"/>
            <w:vAlign w:val="center"/>
          </w:tcPr>
          <w:p w14:paraId="0B2E32A0" w14:textId="77777777" w:rsidR="00BE42A0" w:rsidRPr="007557BC" w:rsidRDefault="00BE42A0" w:rsidP="00BE42A0">
            <w:pPr>
              <w:contextualSpacing/>
              <w:jc w:val="center"/>
              <w:rPr>
                <w:szCs w:val="22"/>
                <w:lang w:val="en-US" w:bidi="ru-RU"/>
              </w:rPr>
            </w:pPr>
            <w:r w:rsidRPr="007557BC">
              <w:rPr>
                <w:szCs w:val="22"/>
                <w:lang w:val="en-US" w:bidi="ru-RU"/>
              </w:rPr>
              <w:t>Goals or Objectives</w:t>
            </w:r>
          </w:p>
        </w:tc>
        <w:tc>
          <w:tcPr>
            <w:tcW w:w="2977" w:type="dxa"/>
            <w:gridSpan w:val="2"/>
            <w:shd w:val="clear" w:color="auto" w:fill="D9D9D9" w:themeFill="background1" w:themeFillShade="D9"/>
          </w:tcPr>
          <w:p w14:paraId="0658EBE9" w14:textId="77777777" w:rsidR="00BE42A0" w:rsidRPr="007557BC" w:rsidRDefault="00BE42A0" w:rsidP="00BE42A0">
            <w:pPr>
              <w:contextualSpacing/>
              <w:jc w:val="center"/>
              <w:rPr>
                <w:szCs w:val="22"/>
                <w:lang w:val="en-US" w:bidi="ru-RU"/>
              </w:rPr>
            </w:pPr>
            <w:r w:rsidRPr="007557BC">
              <w:rPr>
                <w:szCs w:val="22"/>
                <w:lang w:val="en-US" w:bidi="ru-RU"/>
              </w:rPr>
              <w:t>Content</w:t>
            </w:r>
          </w:p>
        </w:tc>
        <w:tc>
          <w:tcPr>
            <w:tcW w:w="3028" w:type="dxa"/>
            <w:gridSpan w:val="2"/>
            <w:shd w:val="clear" w:color="auto" w:fill="D9D9D9" w:themeFill="background1" w:themeFillShade="D9"/>
            <w:vAlign w:val="center"/>
          </w:tcPr>
          <w:p w14:paraId="1C5EFD93" w14:textId="77777777" w:rsidR="00BE42A0" w:rsidRPr="007557BC" w:rsidRDefault="00BE42A0" w:rsidP="00BE42A0">
            <w:pPr>
              <w:contextualSpacing/>
              <w:jc w:val="center"/>
              <w:rPr>
                <w:szCs w:val="22"/>
                <w:lang w:val="en-US" w:bidi="ru-RU"/>
              </w:rPr>
            </w:pPr>
            <w:r w:rsidRPr="007557BC">
              <w:rPr>
                <w:szCs w:val="22"/>
                <w:lang w:val="en-US" w:bidi="ru-RU"/>
              </w:rPr>
              <w:t>Instruments or Tools</w:t>
            </w:r>
          </w:p>
        </w:tc>
      </w:tr>
      <w:tr w:rsidR="00F617FF" w:rsidRPr="00BE42A0" w14:paraId="74CB6DA1" w14:textId="77777777" w:rsidTr="006E1266">
        <w:tc>
          <w:tcPr>
            <w:tcW w:w="1242" w:type="dxa"/>
            <w:shd w:val="clear" w:color="auto" w:fill="D9D9D9" w:themeFill="background1" w:themeFillShade="D9"/>
            <w:vAlign w:val="center"/>
          </w:tcPr>
          <w:p w14:paraId="4810A88F" w14:textId="77777777" w:rsidR="00F617FF" w:rsidRPr="007557BC" w:rsidRDefault="00F617FF" w:rsidP="00BE42A0">
            <w:pPr>
              <w:contextualSpacing/>
              <w:jc w:val="center"/>
              <w:rPr>
                <w:szCs w:val="22"/>
                <w:lang w:val="en-US" w:bidi="ru-RU"/>
              </w:rPr>
            </w:pPr>
            <w:r>
              <w:rPr>
                <w:szCs w:val="22"/>
                <w:lang w:val="en-US" w:bidi="ru-RU"/>
              </w:rPr>
              <w:t>1</w:t>
            </w:r>
          </w:p>
        </w:tc>
        <w:tc>
          <w:tcPr>
            <w:tcW w:w="2368" w:type="dxa"/>
            <w:gridSpan w:val="2"/>
            <w:shd w:val="clear" w:color="auto" w:fill="D9D9D9" w:themeFill="background1" w:themeFillShade="D9"/>
            <w:vAlign w:val="center"/>
          </w:tcPr>
          <w:p w14:paraId="421F466D" w14:textId="77777777" w:rsidR="00F617FF" w:rsidRPr="007557BC" w:rsidRDefault="00F617FF" w:rsidP="00BE42A0">
            <w:pPr>
              <w:contextualSpacing/>
              <w:jc w:val="center"/>
              <w:rPr>
                <w:szCs w:val="22"/>
                <w:lang w:val="en-US" w:bidi="ru-RU"/>
              </w:rPr>
            </w:pPr>
            <w:r>
              <w:rPr>
                <w:szCs w:val="22"/>
                <w:lang w:val="en-US" w:bidi="ru-RU"/>
              </w:rPr>
              <w:t>2</w:t>
            </w:r>
          </w:p>
        </w:tc>
        <w:tc>
          <w:tcPr>
            <w:tcW w:w="2977" w:type="dxa"/>
            <w:gridSpan w:val="2"/>
            <w:shd w:val="clear" w:color="auto" w:fill="D9D9D9" w:themeFill="background1" w:themeFillShade="D9"/>
          </w:tcPr>
          <w:p w14:paraId="44DD9139" w14:textId="77777777" w:rsidR="00F617FF" w:rsidRPr="007557BC" w:rsidRDefault="00F617FF" w:rsidP="00BE42A0">
            <w:pPr>
              <w:contextualSpacing/>
              <w:jc w:val="center"/>
              <w:rPr>
                <w:szCs w:val="22"/>
                <w:lang w:val="en-US" w:bidi="ru-RU"/>
              </w:rPr>
            </w:pPr>
            <w:r>
              <w:rPr>
                <w:szCs w:val="22"/>
                <w:lang w:val="en-US" w:bidi="ru-RU"/>
              </w:rPr>
              <w:t>3</w:t>
            </w:r>
          </w:p>
        </w:tc>
        <w:tc>
          <w:tcPr>
            <w:tcW w:w="3028" w:type="dxa"/>
            <w:gridSpan w:val="2"/>
            <w:shd w:val="clear" w:color="auto" w:fill="D9D9D9" w:themeFill="background1" w:themeFillShade="D9"/>
            <w:vAlign w:val="center"/>
          </w:tcPr>
          <w:p w14:paraId="03191872" w14:textId="77777777" w:rsidR="00F617FF" w:rsidRPr="007557BC" w:rsidRDefault="00F617FF" w:rsidP="00BE42A0">
            <w:pPr>
              <w:contextualSpacing/>
              <w:jc w:val="center"/>
              <w:rPr>
                <w:szCs w:val="22"/>
                <w:lang w:val="en-US" w:bidi="ru-RU"/>
              </w:rPr>
            </w:pPr>
            <w:r>
              <w:rPr>
                <w:szCs w:val="22"/>
                <w:lang w:val="en-US" w:bidi="ru-RU"/>
              </w:rPr>
              <w:t>4</w:t>
            </w:r>
          </w:p>
        </w:tc>
      </w:tr>
      <w:tr w:rsidR="00BE42A0" w:rsidRPr="00BE42A0" w14:paraId="001C87DA" w14:textId="77777777" w:rsidTr="006E1266">
        <w:tc>
          <w:tcPr>
            <w:tcW w:w="1242" w:type="dxa"/>
          </w:tcPr>
          <w:p w14:paraId="3B39BDBD" w14:textId="77777777" w:rsidR="00BE42A0" w:rsidRPr="007557BC" w:rsidRDefault="00BE42A0" w:rsidP="00BE42A0">
            <w:pPr>
              <w:contextualSpacing/>
              <w:jc w:val="both"/>
              <w:rPr>
                <w:szCs w:val="22"/>
                <w:lang w:val="en-US" w:bidi="ru-RU"/>
              </w:rPr>
            </w:pPr>
            <w:r w:rsidRPr="007557BC">
              <w:rPr>
                <w:szCs w:val="22"/>
                <w:lang w:val="en-US" w:bidi="ru-RU"/>
              </w:rPr>
              <w:t>Tax policy</w:t>
            </w:r>
          </w:p>
        </w:tc>
        <w:tc>
          <w:tcPr>
            <w:tcW w:w="2368" w:type="dxa"/>
            <w:gridSpan w:val="2"/>
            <w:vMerge w:val="restart"/>
          </w:tcPr>
          <w:p w14:paraId="3130DCFE" w14:textId="77777777" w:rsidR="00BE42A0" w:rsidRPr="007557BC" w:rsidRDefault="00BE42A0" w:rsidP="006F749C">
            <w:pPr>
              <w:numPr>
                <w:ilvl w:val="0"/>
                <w:numId w:val="38"/>
              </w:numPr>
              <w:ind w:left="253" w:hanging="253"/>
              <w:contextualSpacing/>
              <w:rPr>
                <w:szCs w:val="22"/>
                <w:lang w:val="en-US" w:bidi="ru-RU"/>
              </w:rPr>
            </w:pPr>
            <w:r w:rsidRPr="007557BC">
              <w:rPr>
                <w:szCs w:val="22"/>
                <w:lang w:val="en-US" w:bidi="ru-RU"/>
              </w:rPr>
              <w:t>full employment;</w:t>
            </w:r>
          </w:p>
          <w:p w14:paraId="3A9AD43D" w14:textId="77777777" w:rsidR="00BE42A0" w:rsidRPr="007557BC" w:rsidRDefault="00BE42A0" w:rsidP="006F749C">
            <w:pPr>
              <w:numPr>
                <w:ilvl w:val="0"/>
                <w:numId w:val="38"/>
              </w:numPr>
              <w:ind w:left="253" w:hanging="253"/>
              <w:contextualSpacing/>
              <w:rPr>
                <w:szCs w:val="22"/>
                <w:lang w:val="en-US" w:bidi="ru-RU"/>
              </w:rPr>
            </w:pPr>
            <w:r w:rsidRPr="007557BC">
              <w:rPr>
                <w:szCs w:val="22"/>
                <w:lang w:val="en-US" w:bidi="ru-RU"/>
              </w:rPr>
              <w:t>price stability</w:t>
            </w:r>
            <w:r w:rsidR="006E1266">
              <w:rPr>
                <w:szCs w:val="22"/>
                <w:lang w:val="en-US" w:bidi="ru-RU"/>
              </w:rPr>
              <w:t>;</w:t>
            </w:r>
          </w:p>
          <w:p w14:paraId="60CD0B70" w14:textId="77777777" w:rsidR="00BE42A0" w:rsidRPr="007557BC" w:rsidRDefault="00BE42A0" w:rsidP="006F749C">
            <w:pPr>
              <w:numPr>
                <w:ilvl w:val="0"/>
                <w:numId w:val="38"/>
              </w:numPr>
              <w:ind w:left="253" w:hanging="253"/>
              <w:contextualSpacing/>
              <w:rPr>
                <w:szCs w:val="22"/>
                <w:lang w:val="en-US" w:bidi="ru-RU"/>
              </w:rPr>
            </w:pPr>
            <w:r w:rsidRPr="007557BC">
              <w:rPr>
                <w:szCs w:val="22"/>
                <w:lang w:val="en-US" w:bidi="ru-RU"/>
              </w:rPr>
              <w:t>accelerating economic development;</w:t>
            </w:r>
          </w:p>
          <w:p w14:paraId="353CBB61" w14:textId="77777777" w:rsidR="00BE42A0" w:rsidRPr="007557BC" w:rsidRDefault="00BE42A0" w:rsidP="006F749C">
            <w:pPr>
              <w:numPr>
                <w:ilvl w:val="0"/>
                <w:numId w:val="38"/>
              </w:numPr>
              <w:ind w:left="253" w:hanging="253"/>
              <w:contextualSpacing/>
              <w:rPr>
                <w:szCs w:val="22"/>
                <w:lang w:val="en-US" w:bidi="ru-RU"/>
              </w:rPr>
            </w:pPr>
            <w:r w:rsidRPr="007557BC">
              <w:rPr>
                <w:szCs w:val="22"/>
                <w:lang w:val="en-US" w:bidi="ru-RU"/>
              </w:rPr>
              <w:t>optimum allocation of resources;</w:t>
            </w:r>
          </w:p>
          <w:p w14:paraId="75ED3D18" w14:textId="77777777" w:rsidR="00BE42A0" w:rsidRPr="007557BC" w:rsidRDefault="00BE42A0" w:rsidP="006F749C">
            <w:pPr>
              <w:numPr>
                <w:ilvl w:val="0"/>
                <w:numId w:val="38"/>
              </w:numPr>
              <w:ind w:left="253" w:hanging="253"/>
              <w:contextualSpacing/>
              <w:rPr>
                <w:szCs w:val="22"/>
                <w:lang w:val="en-US" w:bidi="ru-RU"/>
              </w:rPr>
            </w:pPr>
            <w:r w:rsidRPr="007557BC">
              <w:rPr>
                <w:szCs w:val="22"/>
                <w:lang w:val="en-US" w:bidi="ru-RU"/>
              </w:rPr>
              <w:t>equitable distribution of income and wealth;</w:t>
            </w:r>
          </w:p>
          <w:p w14:paraId="294DBF27" w14:textId="77777777" w:rsidR="00BE42A0" w:rsidRPr="007557BC" w:rsidRDefault="00BE42A0" w:rsidP="006F749C">
            <w:pPr>
              <w:numPr>
                <w:ilvl w:val="0"/>
                <w:numId w:val="38"/>
              </w:numPr>
              <w:ind w:left="253" w:hanging="253"/>
              <w:contextualSpacing/>
              <w:rPr>
                <w:szCs w:val="22"/>
                <w:lang w:val="en-US" w:bidi="ru-RU"/>
              </w:rPr>
            </w:pPr>
            <w:r w:rsidRPr="007557BC">
              <w:rPr>
                <w:szCs w:val="22"/>
                <w:lang w:val="en-US" w:bidi="ru-RU"/>
              </w:rPr>
              <w:t>economic stability;</w:t>
            </w:r>
          </w:p>
          <w:p w14:paraId="26AAF131" w14:textId="77777777" w:rsidR="00BE42A0" w:rsidRPr="007557BC" w:rsidRDefault="00BE42A0" w:rsidP="006F749C">
            <w:pPr>
              <w:numPr>
                <w:ilvl w:val="0"/>
                <w:numId w:val="38"/>
              </w:numPr>
              <w:ind w:left="253" w:hanging="253"/>
              <w:contextualSpacing/>
              <w:rPr>
                <w:szCs w:val="22"/>
                <w:lang w:val="en-US" w:bidi="ru-RU"/>
              </w:rPr>
            </w:pPr>
            <w:r w:rsidRPr="007557BC">
              <w:rPr>
                <w:szCs w:val="22"/>
                <w:lang w:val="en-US" w:bidi="ru-RU"/>
              </w:rPr>
              <w:t>capital formation and growth;</w:t>
            </w:r>
          </w:p>
          <w:p w14:paraId="06F3BD38" w14:textId="77777777" w:rsidR="00BE42A0" w:rsidRPr="007557BC" w:rsidRDefault="00FA7B64" w:rsidP="006F749C">
            <w:pPr>
              <w:numPr>
                <w:ilvl w:val="0"/>
                <w:numId w:val="38"/>
              </w:numPr>
              <w:ind w:left="253" w:hanging="253"/>
              <w:contextualSpacing/>
              <w:rPr>
                <w:szCs w:val="22"/>
                <w:lang w:val="en-US" w:bidi="ru-RU"/>
              </w:rPr>
            </w:pPr>
            <w:r>
              <w:rPr>
                <w:szCs w:val="22"/>
                <w:lang w:val="en-US" w:bidi="ru-RU"/>
              </w:rPr>
              <w:t>encouraging investment</w:t>
            </w:r>
          </w:p>
          <w:p w14:paraId="4FAECDB5" w14:textId="77777777" w:rsidR="00BE42A0" w:rsidRPr="007557BC" w:rsidRDefault="00BE42A0" w:rsidP="00BE42A0">
            <w:pPr>
              <w:contextualSpacing/>
              <w:rPr>
                <w:szCs w:val="22"/>
                <w:lang w:val="en-US" w:bidi="ru-RU"/>
              </w:rPr>
            </w:pPr>
          </w:p>
        </w:tc>
        <w:tc>
          <w:tcPr>
            <w:tcW w:w="2977" w:type="dxa"/>
            <w:gridSpan w:val="2"/>
          </w:tcPr>
          <w:p w14:paraId="001673B9" w14:textId="77777777" w:rsidR="00BE42A0" w:rsidRPr="007557BC" w:rsidRDefault="00BE42A0" w:rsidP="006E1266">
            <w:pPr>
              <w:contextualSpacing/>
              <w:jc w:val="both"/>
              <w:rPr>
                <w:szCs w:val="22"/>
                <w:lang w:val="en-US" w:bidi="ru-RU"/>
              </w:rPr>
            </w:pPr>
            <w:r w:rsidRPr="007557BC">
              <w:rPr>
                <w:szCs w:val="22"/>
                <w:lang w:val="en-US" w:bidi="ru-RU"/>
              </w:rPr>
              <w:t xml:space="preserve">The taxation policy characterizes the activity of the </w:t>
            </w:r>
            <w:r w:rsidR="006E1266">
              <w:rPr>
                <w:szCs w:val="22"/>
                <w:lang w:val="en-US" w:bidi="ru-RU"/>
              </w:rPr>
              <w:t>s</w:t>
            </w:r>
            <w:r w:rsidRPr="007557BC">
              <w:rPr>
                <w:szCs w:val="22"/>
                <w:lang w:val="en-US" w:bidi="ru-RU"/>
              </w:rPr>
              <w:t xml:space="preserve">tate in the sphere of taxation. Tax policy is the choice by a government as to what taxes to levy, in what amounts, and on whom. The taxation policy reflects the </w:t>
            </w:r>
            <w:r w:rsidR="006E1266">
              <w:rPr>
                <w:szCs w:val="22"/>
                <w:lang w:val="en-US" w:bidi="ru-RU"/>
              </w:rPr>
              <w:t>s</w:t>
            </w:r>
            <w:r w:rsidRPr="007557BC">
              <w:rPr>
                <w:szCs w:val="22"/>
                <w:lang w:val="en-US" w:bidi="ru-RU"/>
              </w:rPr>
              <w:t>tate’s need for money costs and also the influence of taxes on the enterp</w:t>
            </w:r>
            <w:r w:rsidR="00FA7B64">
              <w:rPr>
                <w:szCs w:val="22"/>
                <w:lang w:val="en-US" w:bidi="ru-RU"/>
              </w:rPr>
              <w:t>rise and individual’s activity</w:t>
            </w:r>
          </w:p>
        </w:tc>
        <w:tc>
          <w:tcPr>
            <w:tcW w:w="3028" w:type="dxa"/>
            <w:gridSpan w:val="2"/>
          </w:tcPr>
          <w:p w14:paraId="786220F3" w14:textId="77777777" w:rsidR="00BE42A0" w:rsidRPr="007557BC" w:rsidRDefault="00BE42A0" w:rsidP="006F749C">
            <w:pPr>
              <w:numPr>
                <w:ilvl w:val="0"/>
                <w:numId w:val="37"/>
              </w:numPr>
              <w:ind w:left="253" w:hanging="253"/>
              <w:contextualSpacing/>
              <w:rPr>
                <w:szCs w:val="22"/>
                <w:lang w:val="en-US" w:bidi="ru-RU"/>
              </w:rPr>
            </w:pPr>
            <w:r w:rsidRPr="007557BC">
              <w:rPr>
                <w:szCs w:val="22"/>
                <w:lang w:val="en-US" w:bidi="ru-RU"/>
              </w:rPr>
              <w:t>tax legislation, principles, procedures, and rules;</w:t>
            </w:r>
          </w:p>
          <w:p w14:paraId="6796F294" w14:textId="77777777" w:rsidR="00BE42A0" w:rsidRPr="007557BC" w:rsidRDefault="00BE42A0" w:rsidP="006F749C">
            <w:pPr>
              <w:numPr>
                <w:ilvl w:val="0"/>
                <w:numId w:val="37"/>
              </w:numPr>
              <w:ind w:left="253" w:hanging="253"/>
              <w:contextualSpacing/>
              <w:rPr>
                <w:szCs w:val="22"/>
                <w:lang w:val="en-US" w:bidi="ru-RU"/>
              </w:rPr>
            </w:pPr>
            <w:r w:rsidRPr="007557BC">
              <w:rPr>
                <w:szCs w:val="22"/>
                <w:lang w:val="en-US" w:bidi="ru-RU"/>
              </w:rPr>
              <w:t>types and the total amount of taxes;</w:t>
            </w:r>
          </w:p>
          <w:p w14:paraId="24E4F940" w14:textId="77777777" w:rsidR="00BE42A0" w:rsidRPr="007557BC" w:rsidRDefault="00BE42A0" w:rsidP="006F749C">
            <w:pPr>
              <w:numPr>
                <w:ilvl w:val="0"/>
                <w:numId w:val="37"/>
              </w:numPr>
              <w:ind w:left="253" w:hanging="253"/>
              <w:contextualSpacing/>
              <w:rPr>
                <w:szCs w:val="22"/>
                <w:lang w:val="en-US" w:bidi="ru-RU"/>
              </w:rPr>
            </w:pPr>
            <w:r w:rsidRPr="007557BC">
              <w:rPr>
                <w:szCs w:val="22"/>
                <w:lang w:val="en-US" w:bidi="ru-RU"/>
              </w:rPr>
              <w:t>tax base and taxpayers;</w:t>
            </w:r>
          </w:p>
          <w:p w14:paraId="7F3ACBC9" w14:textId="77777777" w:rsidR="00BE42A0" w:rsidRPr="007557BC" w:rsidRDefault="00BE42A0" w:rsidP="006F749C">
            <w:pPr>
              <w:numPr>
                <w:ilvl w:val="0"/>
                <w:numId w:val="37"/>
              </w:numPr>
              <w:ind w:left="253" w:hanging="253"/>
              <w:contextualSpacing/>
              <w:rPr>
                <w:szCs w:val="22"/>
                <w:lang w:val="en-US" w:bidi="ru-RU"/>
              </w:rPr>
            </w:pPr>
            <w:r w:rsidRPr="007557BC">
              <w:rPr>
                <w:szCs w:val="22"/>
                <w:lang w:val="en-US" w:bidi="ru-RU"/>
              </w:rPr>
              <w:t>tax rates;</w:t>
            </w:r>
          </w:p>
          <w:p w14:paraId="0DA8DF6D" w14:textId="77777777" w:rsidR="00BE42A0" w:rsidRPr="007557BC" w:rsidRDefault="00BE42A0" w:rsidP="006F749C">
            <w:pPr>
              <w:numPr>
                <w:ilvl w:val="0"/>
                <w:numId w:val="37"/>
              </w:numPr>
              <w:ind w:left="253" w:hanging="253"/>
              <w:contextualSpacing/>
              <w:rPr>
                <w:szCs w:val="22"/>
                <w:lang w:val="en-US" w:bidi="ru-RU"/>
              </w:rPr>
            </w:pPr>
            <w:r w:rsidRPr="007557BC">
              <w:rPr>
                <w:szCs w:val="22"/>
                <w:lang w:val="en-US" w:bidi="ru-RU"/>
              </w:rPr>
              <w:t>tax privileges (benefits);</w:t>
            </w:r>
          </w:p>
          <w:p w14:paraId="22900063" w14:textId="77777777" w:rsidR="00BE42A0" w:rsidRPr="007557BC" w:rsidRDefault="00BE42A0" w:rsidP="006F749C">
            <w:pPr>
              <w:numPr>
                <w:ilvl w:val="0"/>
                <w:numId w:val="37"/>
              </w:numPr>
              <w:ind w:left="253" w:hanging="253"/>
              <w:contextualSpacing/>
              <w:rPr>
                <w:szCs w:val="22"/>
                <w:lang w:val="en-US" w:bidi="ru-RU"/>
              </w:rPr>
            </w:pPr>
            <w:r w:rsidRPr="007557BC">
              <w:rPr>
                <w:szCs w:val="22"/>
                <w:lang w:val="en-US" w:bidi="ru-RU"/>
              </w:rPr>
              <w:t>tax exemptions;</w:t>
            </w:r>
          </w:p>
          <w:p w14:paraId="096B9AC1" w14:textId="77777777" w:rsidR="00BE42A0" w:rsidRPr="007557BC" w:rsidRDefault="00BE42A0" w:rsidP="00FA7B64">
            <w:pPr>
              <w:numPr>
                <w:ilvl w:val="0"/>
                <w:numId w:val="37"/>
              </w:numPr>
              <w:ind w:left="253" w:hanging="253"/>
              <w:contextualSpacing/>
              <w:rPr>
                <w:szCs w:val="22"/>
                <w:lang w:val="en-US" w:bidi="ru-RU"/>
              </w:rPr>
            </w:pPr>
            <w:r w:rsidRPr="007557BC">
              <w:rPr>
                <w:szCs w:val="22"/>
                <w:lang w:val="en-US" w:bidi="ru-RU"/>
              </w:rPr>
              <w:t>fine taxing or tax penalties</w:t>
            </w:r>
          </w:p>
        </w:tc>
      </w:tr>
      <w:tr w:rsidR="00BE42A0" w:rsidRPr="00BE42A0" w14:paraId="3E493835" w14:textId="77777777" w:rsidTr="006E1266">
        <w:tc>
          <w:tcPr>
            <w:tcW w:w="1242" w:type="dxa"/>
          </w:tcPr>
          <w:p w14:paraId="61947057" w14:textId="77777777" w:rsidR="00BE42A0" w:rsidRPr="007557BC" w:rsidRDefault="00BE42A0" w:rsidP="00BE42A0">
            <w:pPr>
              <w:contextualSpacing/>
              <w:jc w:val="both"/>
              <w:rPr>
                <w:szCs w:val="22"/>
                <w:lang w:val="en-US" w:bidi="ru-RU"/>
              </w:rPr>
            </w:pPr>
            <w:r w:rsidRPr="007557BC">
              <w:rPr>
                <w:szCs w:val="22"/>
                <w:lang w:val="en-US" w:bidi="ru-RU"/>
              </w:rPr>
              <w:t>Budgetary policy</w:t>
            </w:r>
          </w:p>
        </w:tc>
        <w:tc>
          <w:tcPr>
            <w:tcW w:w="2368" w:type="dxa"/>
            <w:gridSpan w:val="2"/>
            <w:vMerge/>
          </w:tcPr>
          <w:p w14:paraId="16A691A7" w14:textId="77777777" w:rsidR="00BE42A0" w:rsidRPr="007557BC" w:rsidRDefault="00BE42A0" w:rsidP="00BE42A0">
            <w:pPr>
              <w:contextualSpacing/>
              <w:rPr>
                <w:szCs w:val="22"/>
                <w:lang w:val="en-US" w:bidi="ru-RU"/>
              </w:rPr>
            </w:pPr>
          </w:p>
        </w:tc>
        <w:tc>
          <w:tcPr>
            <w:tcW w:w="2977" w:type="dxa"/>
            <w:gridSpan w:val="2"/>
          </w:tcPr>
          <w:p w14:paraId="0F2E5F94" w14:textId="77777777" w:rsidR="00BE42A0" w:rsidRPr="007557BC" w:rsidRDefault="00BE42A0" w:rsidP="00BE42A0">
            <w:pPr>
              <w:contextualSpacing/>
              <w:jc w:val="both"/>
              <w:rPr>
                <w:szCs w:val="22"/>
                <w:lang w:val="en-US" w:bidi="ru-RU"/>
              </w:rPr>
            </w:pPr>
            <w:r w:rsidRPr="007557BC">
              <w:rPr>
                <w:szCs w:val="22"/>
                <w:lang w:val="en-US" w:bidi="ru-RU"/>
              </w:rPr>
              <w:t>To generate revenue and to incur expenditure, the government frames a policy called budgetary policy. Budgetary policy refers to government attempts to run a budget in equilibrium or in surplus. The a</w:t>
            </w:r>
            <w:r w:rsidR="00FA7B64">
              <w:rPr>
                <w:szCs w:val="22"/>
                <w:lang w:val="en-US" w:bidi="ru-RU"/>
              </w:rPr>
              <w:t>im is to reduce the public debt</w:t>
            </w:r>
          </w:p>
        </w:tc>
        <w:tc>
          <w:tcPr>
            <w:tcW w:w="3028" w:type="dxa"/>
            <w:gridSpan w:val="2"/>
          </w:tcPr>
          <w:p w14:paraId="0115752E" w14:textId="77777777" w:rsidR="00BE42A0" w:rsidRPr="007557BC" w:rsidRDefault="00BE42A0" w:rsidP="006F749C">
            <w:pPr>
              <w:numPr>
                <w:ilvl w:val="0"/>
                <w:numId w:val="39"/>
              </w:numPr>
              <w:ind w:left="253" w:hanging="253"/>
              <w:contextualSpacing/>
              <w:rPr>
                <w:szCs w:val="22"/>
                <w:lang w:val="en-US" w:bidi="ru-RU"/>
              </w:rPr>
            </w:pPr>
            <w:r w:rsidRPr="007557BC">
              <w:rPr>
                <w:szCs w:val="22"/>
                <w:lang w:val="en-US" w:bidi="ru-RU"/>
              </w:rPr>
              <w:t>budget legislation;</w:t>
            </w:r>
          </w:p>
          <w:p w14:paraId="2F3D12F8" w14:textId="77777777" w:rsidR="00BE42A0" w:rsidRPr="007557BC" w:rsidRDefault="00BE42A0" w:rsidP="006F749C">
            <w:pPr>
              <w:numPr>
                <w:ilvl w:val="0"/>
                <w:numId w:val="39"/>
              </w:numPr>
              <w:ind w:left="253" w:hanging="253"/>
              <w:contextualSpacing/>
              <w:rPr>
                <w:szCs w:val="22"/>
                <w:lang w:val="en-US" w:bidi="ru-RU"/>
              </w:rPr>
            </w:pPr>
            <w:r w:rsidRPr="007557BC">
              <w:rPr>
                <w:szCs w:val="22"/>
                <w:lang w:val="en-US" w:bidi="ru-RU"/>
              </w:rPr>
              <w:t>budget process;</w:t>
            </w:r>
          </w:p>
          <w:p w14:paraId="550D82D8" w14:textId="77777777" w:rsidR="00BE42A0" w:rsidRPr="007557BC" w:rsidRDefault="00BE42A0" w:rsidP="006F749C">
            <w:pPr>
              <w:numPr>
                <w:ilvl w:val="0"/>
                <w:numId w:val="39"/>
              </w:numPr>
              <w:ind w:left="253" w:hanging="253"/>
              <w:contextualSpacing/>
              <w:rPr>
                <w:szCs w:val="22"/>
                <w:lang w:val="en-US" w:bidi="ru-RU"/>
              </w:rPr>
            </w:pPr>
            <w:r w:rsidRPr="007557BC">
              <w:rPr>
                <w:szCs w:val="22"/>
                <w:lang w:val="en-US" w:bidi="ru-RU"/>
              </w:rPr>
              <w:t>government expenditures and revenue;</w:t>
            </w:r>
          </w:p>
          <w:p w14:paraId="02617A24" w14:textId="77777777" w:rsidR="00BE42A0" w:rsidRPr="007557BC" w:rsidRDefault="00BE42A0" w:rsidP="006F749C">
            <w:pPr>
              <w:numPr>
                <w:ilvl w:val="0"/>
                <w:numId w:val="39"/>
              </w:numPr>
              <w:ind w:left="253" w:hanging="253"/>
              <w:contextualSpacing/>
              <w:rPr>
                <w:szCs w:val="22"/>
                <w:lang w:val="en-US" w:bidi="ru-RU"/>
              </w:rPr>
            </w:pPr>
            <w:r w:rsidRPr="007557BC">
              <w:rPr>
                <w:szCs w:val="22"/>
                <w:lang w:val="en-US" w:bidi="ru-RU"/>
              </w:rPr>
              <w:t>the budget deficit,</w:t>
            </w:r>
          </w:p>
          <w:p w14:paraId="709774E4" w14:textId="77777777" w:rsidR="00BE42A0" w:rsidRPr="007557BC" w:rsidRDefault="00BE42A0" w:rsidP="006F749C">
            <w:pPr>
              <w:numPr>
                <w:ilvl w:val="0"/>
                <w:numId w:val="39"/>
              </w:numPr>
              <w:ind w:left="253" w:hanging="253"/>
              <w:contextualSpacing/>
              <w:rPr>
                <w:szCs w:val="22"/>
                <w:lang w:val="en-US" w:bidi="ru-RU"/>
              </w:rPr>
            </w:pPr>
            <w:r w:rsidRPr="007557BC">
              <w:rPr>
                <w:szCs w:val="22"/>
                <w:lang w:val="en-US" w:bidi="ru-RU"/>
              </w:rPr>
              <w:t>subsidies, transfer payments including welfare programs, contracts to perform all kinds of public works, and, of course, salaries to government employees;</w:t>
            </w:r>
          </w:p>
          <w:p w14:paraId="7D6C4969" w14:textId="77777777" w:rsidR="00BE42A0" w:rsidRPr="007557BC" w:rsidRDefault="00BE42A0" w:rsidP="00FA7B64">
            <w:pPr>
              <w:numPr>
                <w:ilvl w:val="0"/>
                <w:numId w:val="39"/>
              </w:numPr>
              <w:ind w:left="253" w:hanging="253"/>
              <w:contextualSpacing/>
              <w:rPr>
                <w:szCs w:val="22"/>
                <w:lang w:val="en-US" w:bidi="ru-RU"/>
              </w:rPr>
            </w:pPr>
            <w:r w:rsidRPr="007557BC">
              <w:rPr>
                <w:szCs w:val="22"/>
                <w:lang w:val="en-US" w:bidi="ru-RU"/>
              </w:rPr>
              <w:t xml:space="preserve">the marginal size of the national debt </w:t>
            </w:r>
          </w:p>
        </w:tc>
      </w:tr>
      <w:tr w:rsidR="006E1266" w:rsidRPr="007557BC" w14:paraId="3E2CD922" w14:textId="77777777" w:rsidTr="006E1266">
        <w:trPr>
          <w:trHeight w:val="885"/>
        </w:trPr>
        <w:tc>
          <w:tcPr>
            <w:tcW w:w="1242" w:type="dxa"/>
          </w:tcPr>
          <w:p w14:paraId="19FE14DC" w14:textId="77777777" w:rsidR="006E1266" w:rsidRPr="007557BC" w:rsidRDefault="006E1266" w:rsidP="00674331">
            <w:pPr>
              <w:contextualSpacing/>
              <w:jc w:val="both"/>
              <w:rPr>
                <w:szCs w:val="22"/>
                <w:lang w:val="en-US" w:bidi="ru-RU"/>
              </w:rPr>
            </w:pPr>
            <w:r w:rsidRPr="007557BC">
              <w:rPr>
                <w:szCs w:val="22"/>
                <w:lang w:val="en-US" w:bidi="ru-RU"/>
              </w:rPr>
              <w:t>Depreciation policy</w:t>
            </w:r>
          </w:p>
        </w:tc>
        <w:tc>
          <w:tcPr>
            <w:tcW w:w="2368" w:type="dxa"/>
            <w:gridSpan w:val="2"/>
          </w:tcPr>
          <w:p w14:paraId="4372F9F6" w14:textId="77777777" w:rsidR="006E1266" w:rsidRPr="007557BC" w:rsidRDefault="006E1266" w:rsidP="006F749C">
            <w:pPr>
              <w:numPr>
                <w:ilvl w:val="0"/>
                <w:numId w:val="44"/>
              </w:numPr>
              <w:ind w:left="359" w:hanging="283"/>
              <w:contextualSpacing/>
              <w:rPr>
                <w:szCs w:val="22"/>
                <w:lang w:val="en-US" w:bidi="ru-RU"/>
              </w:rPr>
            </w:pPr>
            <w:r w:rsidRPr="007557BC">
              <w:rPr>
                <w:szCs w:val="22"/>
                <w:lang w:val="en-US" w:bidi="ru-RU"/>
              </w:rPr>
              <w:t>economic growth;</w:t>
            </w:r>
          </w:p>
          <w:p w14:paraId="2CEC3B7E" w14:textId="77777777" w:rsidR="006E1266" w:rsidRPr="007557BC" w:rsidRDefault="00FA7B64" w:rsidP="006F749C">
            <w:pPr>
              <w:numPr>
                <w:ilvl w:val="0"/>
                <w:numId w:val="44"/>
              </w:numPr>
              <w:ind w:left="359" w:hanging="283"/>
              <w:contextualSpacing/>
              <w:rPr>
                <w:szCs w:val="22"/>
                <w:lang w:val="en-US" w:bidi="ru-RU"/>
              </w:rPr>
            </w:pPr>
            <w:r>
              <w:rPr>
                <w:szCs w:val="22"/>
                <w:lang w:val="en-US" w:bidi="ru-RU"/>
              </w:rPr>
              <w:t>encouraging investment</w:t>
            </w:r>
          </w:p>
        </w:tc>
        <w:tc>
          <w:tcPr>
            <w:tcW w:w="2977" w:type="dxa"/>
            <w:gridSpan w:val="2"/>
          </w:tcPr>
          <w:p w14:paraId="7DB3248A" w14:textId="77777777" w:rsidR="006E1266" w:rsidRPr="007557BC" w:rsidRDefault="006E1266" w:rsidP="00674331">
            <w:pPr>
              <w:contextualSpacing/>
              <w:jc w:val="both"/>
              <w:rPr>
                <w:szCs w:val="22"/>
                <w:lang w:val="en-US" w:bidi="ru-RU"/>
              </w:rPr>
            </w:pPr>
            <w:r w:rsidRPr="007557BC">
              <w:rPr>
                <w:szCs w:val="22"/>
                <w:lang w:val="en-US" w:bidi="ru-RU"/>
              </w:rPr>
              <w:t xml:space="preserve">Depreciation policy, in fact, relates to the choice of the depreciation </w:t>
            </w:r>
            <w:r>
              <w:rPr>
                <w:szCs w:val="22"/>
                <w:lang w:val="en-US" w:bidi="ru-RU"/>
              </w:rPr>
              <w:t xml:space="preserve">method </w:t>
            </w:r>
            <w:r w:rsidRPr="007557BC">
              <w:rPr>
                <w:szCs w:val="22"/>
                <w:lang w:val="en-US" w:bidi="ru-RU"/>
              </w:rPr>
              <w:t>and its su</w:t>
            </w:r>
            <w:r w:rsidR="00FA7B64">
              <w:rPr>
                <w:szCs w:val="22"/>
                <w:lang w:val="en-US" w:bidi="ru-RU"/>
              </w:rPr>
              <w:t>itability for the organizations</w:t>
            </w:r>
          </w:p>
        </w:tc>
        <w:tc>
          <w:tcPr>
            <w:tcW w:w="3028" w:type="dxa"/>
            <w:gridSpan w:val="2"/>
          </w:tcPr>
          <w:p w14:paraId="5C8DC52E" w14:textId="77777777" w:rsidR="006E1266" w:rsidRPr="007557BC" w:rsidRDefault="006E1266" w:rsidP="006F749C">
            <w:pPr>
              <w:numPr>
                <w:ilvl w:val="0"/>
                <w:numId w:val="45"/>
              </w:numPr>
              <w:ind w:left="253" w:hanging="253"/>
              <w:contextualSpacing/>
              <w:rPr>
                <w:szCs w:val="22"/>
                <w:lang w:val="en-US" w:bidi="ru-RU"/>
              </w:rPr>
            </w:pPr>
            <w:r w:rsidRPr="007557BC">
              <w:rPr>
                <w:szCs w:val="22"/>
                <w:lang w:val="en-US" w:bidi="ru-RU"/>
              </w:rPr>
              <w:t>methods of depreciation;</w:t>
            </w:r>
          </w:p>
          <w:p w14:paraId="45D26A13" w14:textId="77777777" w:rsidR="006E1266" w:rsidRPr="007557BC" w:rsidRDefault="006E1266" w:rsidP="006F749C">
            <w:pPr>
              <w:numPr>
                <w:ilvl w:val="0"/>
                <w:numId w:val="45"/>
              </w:numPr>
              <w:ind w:left="253" w:hanging="253"/>
              <w:contextualSpacing/>
              <w:rPr>
                <w:szCs w:val="22"/>
                <w:lang w:val="en-US" w:bidi="ru-RU"/>
              </w:rPr>
            </w:pPr>
            <w:r w:rsidRPr="007557BC">
              <w:rPr>
                <w:szCs w:val="22"/>
                <w:lang w:val="en-US" w:bidi="ru-RU"/>
              </w:rPr>
              <w:t>provision for depreciation;</w:t>
            </w:r>
          </w:p>
          <w:p w14:paraId="343C381D" w14:textId="77777777" w:rsidR="006E1266" w:rsidRPr="007557BC" w:rsidRDefault="006E1266" w:rsidP="006F749C">
            <w:pPr>
              <w:numPr>
                <w:ilvl w:val="0"/>
                <w:numId w:val="45"/>
              </w:numPr>
              <w:ind w:left="253" w:hanging="253"/>
              <w:contextualSpacing/>
              <w:rPr>
                <w:szCs w:val="22"/>
                <w:lang w:val="en-US" w:bidi="ru-RU"/>
              </w:rPr>
            </w:pPr>
            <w:r w:rsidRPr="007557BC">
              <w:rPr>
                <w:szCs w:val="22"/>
                <w:lang w:val="en-US" w:bidi="ru-RU"/>
              </w:rPr>
              <w:t>depreciation rates;</w:t>
            </w:r>
          </w:p>
          <w:p w14:paraId="054188E1" w14:textId="77777777" w:rsidR="006E1266" w:rsidRPr="007557BC" w:rsidRDefault="00FA7B64" w:rsidP="006F749C">
            <w:pPr>
              <w:numPr>
                <w:ilvl w:val="0"/>
                <w:numId w:val="45"/>
              </w:numPr>
              <w:ind w:left="253" w:hanging="253"/>
              <w:contextualSpacing/>
              <w:rPr>
                <w:szCs w:val="22"/>
                <w:lang w:val="en-US" w:bidi="ru-RU"/>
              </w:rPr>
            </w:pPr>
            <w:r>
              <w:rPr>
                <w:szCs w:val="22"/>
                <w:lang w:val="en-US" w:bidi="ru-RU"/>
              </w:rPr>
              <w:t>asset class or groups</w:t>
            </w:r>
          </w:p>
        </w:tc>
      </w:tr>
      <w:tr w:rsidR="006E1266" w:rsidRPr="00BE42A0" w14:paraId="6FB9AB6B" w14:textId="77777777" w:rsidTr="006E1266">
        <w:tc>
          <w:tcPr>
            <w:tcW w:w="9615" w:type="dxa"/>
            <w:gridSpan w:val="7"/>
            <w:tcBorders>
              <w:top w:val="nil"/>
              <w:left w:val="nil"/>
              <w:bottom w:val="single" w:sz="4" w:space="0" w:color="auto"/>
              <w:right w:val="nil"/>
            </w:tcBorders>
          </w:tcPr>
          <w:p w14:paraId="5992CC6F" w14:textId="77777777" w:rsidR="006E1266" w:rsidRPr="007557BC" w:rsidRDefault="006E1266" w:rsidP="006E1266">
            <w:pPr>
              <w:contextualSpacing/>
              <w:rPr>
                <w:szCs w:val="22"/>
                <w:lang w:val="en-US" w:bidi="ru-RU"/>
              </w:rPr>
            </w:pPr>
            <w:r w:rsidRPr="006E1266">
              <w:rPr>
                <w:sz w:val="28"/>
                <w:lang w:val="en-US" w:eastAsia="uk-UA" w:bidi="ru-RU"/>
              </w:rPr>
              <w:lastRenderedPageBreak/>
              <w:t>Continuation of Table 3.1</w:t>
            </w:r>
          </w:p>
        </w:tc>
      </w:tr>
      <w:tr w:rsidR="006E1266" w:rsidRPr="00BE42A0" w14:paraId="606E270B" w14:textId="77777777" w:rsidTr="002D6C8B">
        <w:tc>
          <w:tcPr>
            <w:tcW w:w="1484" w:type="dxa"/>
            <w:gridSpan w:val="2"/>
            <w:tcBorders>
              <w:top w:val="single" w:sz="4" w:space="0" w:color="auto"/>
            </w:tcBorders>
            <w:shd w:val="clear" w:color="auto" w:fill="D9D9D9" w:themeFill="background1" w:themeFillShade="D9"/>
            <w:vAlign w:val="center"/>
          </w:tcPr>
          <w:p w14:paraId="40F213B1" w14:textId="77777777" w:rsidR="006E1266" w:rsidRPr="007557BC" w:rsidRDefault="006E1266" w:rsidP="00674331">
            <w:pPr>
              <w:contextualSpacing/>
              <w:jc w:val="center"/>
              <w:rPr>
                <w:szCs w:val="22"/>
                <w:lang w:val="en-US" w:bidi="ru-RU"/>
              </w:rPr>
            </w:pPr>
            <w:r>
              <w:rPr>
                <w:szCs w:val="22"/>
                <w:lang w:val="en-US" w:bidi="ru-RU"/>
              </w:rPr>
              <w:t>1</w:t>
            </w:r>
          </w:p>
        </w:tc>
        <w:tc>
          <w:tcPr>
            <w:tcW w:w="2310" w:type="dxa"/>
            <w:gridSpan w:val="2"/>
            <w:tcBorders>
              <w:top w:val="single" w:sz="4" w:space="0" w:color="auto"/>
            </w:tcBorders>
            <w:shd w:val="clear" w:color="auto" w:fill="D9D9D9" w:themeFill="background1" w:themeFillShade="D9"/>
            <w:vAlign w:val="center"/>
          </w:tcPr>
          <w:p w14:paraId="21EA55D4" w14:textId="77777777" w:rsidR="006E1266" w:rsidRPr="007557BC" w:rsidRDefault="006E1266" w:rsidP="00674331">
            <w:pPr>
              <w:contextualSpacing/>
              <w:jc w:val="center"/>
              <w:rPr>
                <w:szCs w:val="22"/>
                <w:lang w:val="en-US" w:bidi="ru-RU"/>
              </w:rPr>
            </w:pPr>
            <w:r>
              <w:rPr>
                <w:szCs w:val="22"/>
                <w:lang w:val="en-US" w:bidi="ru-RU"/>
              </w:rPr>
              <w:t>2</w:t>
            </w:r>
          </w:p>
        </w:tc>
        <w:tc>
          <w:tcPr>
            <w:tcW w:w="3260" w:type="dxa"/>
            <w:gridSpan w:val="2"/>
            <w:tcBorders>
              <w:top w:val="single" w:sz="4" w:space="0" w:color="auto"/>
            </w:tcBorders>
            <w:shd w:val="clear" w:color="auto" w:fill="D9D9D9" w:themeFill="background1" w:themeFillShade="D9"/>
          </w:tcPr>
          <w:p w14:paraId="35EB6867" w14:textId="77777777" w:rsidR="006E1266" w:rsidRPr="007557BC" w:rsidRDefault="006E1266" w:rsidP="00674331">
            <w:pPr>
              <w:contextualSpacing/>
              <w:jc w:val="center"/>
              <w:rPr>
                <w:szCs w:val="22"/>
                <w:lang w:val="en-US" w:bidi="ru-RU"/>
              </w:rPr>
            </w:pPr>
            <w:r>
              <w:rPr>
                <w:szCs w:val="22"/>
                <w:lang w:val="en-US" w:bidi="ru-RU"/>
              </w:rPr>
              <w:t>3</w:t>
            </w:r>
          </w:p>
        </w:tc>
        <w:tc>
          <w:tcPr>
            <w:tcW w:w="2561" w:type="dxa"/>
            <w:tcBorders>
              <w:top w:val="single" w:sz="4" w:space="0" w:color="auto"/>
            </w:tcBorders>
            <w:shd w:val="clear" w:color="auto" w:fill="D9D9D9" w:themeFill="background1" w:themeFillShade="D9"/>
            <w:vAlign w:val="center"/>
          </w:tcPr>
          <w:p w14:paraId="23110EB6" w14:textId="77777777" w:rsidR="006E1266" w:rsidRPr="007557BC" w:rsidRDefault="006E1266" w:rsidP="00674331">
            <w:pPr>
              <w:contextualSpacing/>
              <w:jc w:val="center"/>
              <w:rPr>
                <w:szCs w:val="22"/>
                <w:lang w:val="en-US" w:bidi="ru-RU"/>
              </w:rPr>
            </w:pPr>
            <w:r>
              <w:rPr>
                <w:szCs w:val="22"/>
                <w:lang w:val="en-US" w:bidi="ru-RU"/>
              </w:rPr>
              <w:t>4</w:t>
            </w:r>
          </w:p>
        </w:tc>
      </w:tr>
      <w:tr w:rsidR="006E1266" w:rsidRPr="00BE42A0" w14:paraId="1EEEF703" w14:textId="77777777" w:rsidTr="002D6C8B">
        <w:tc>
          <w:tcPr>
            <w:tcW w:w="1484" w:type="dxa"/>
            <w:gridSpan w:val="2"/>
          </w:tcPr>
          <w:p w14:paraId="7CDCC369" w14:textId="77777777" w:rsidR="006E1266" w:rsidRPr="007557BC" w:rsidRDefault="006E1266" w:rsidP="00674331">
            <w:pPr>
              <w:contextualSpacing/>
              <w:jc w:val="both"/>
              <w:rPr>
                <w:szCs w:val="22"/>
                <w:lang w:val="en-US" w:bidi="ru-RU"/>
              </w:rPr>
            </w:pPr>
            <w:r w:rsidRPr="007557BC">
              <w:rPr>
                <w:szCs w:val="22"/>
                <w:lang w:val="en-US" w:bidi="ru-RU"/>
              </w:rPr>
              <w:t>Monetary policy</w:t>
            </w:r>
          </w:p>
        </w:tc>
        <w:tc>
          <w:tcPr>
            <w:tcW w:w="2310" w:type="dxa"/>
            <w:gridSpan w:val="2"/>
          </w:tcPr>
          <w:p w14:paraId="3C417AFF" w14:textId="77777777" w:rsidR="006E1266" w:rsidRPr="007557BC" w:rsidRDefault="006E1266" w:rsidP="006F749C">
            <w:pPr>
              <w:numPr>
                <w:ilvl w:val="0"/>
                <w:numId w:val="266"/>
              </w:numPr>
              <w:ind w:left="253" w:hanging="253"/>
              <w:contextualSpacing/>
              <w:rPr>
                <w:szCs w:val="22"/>
                <w:lang w:val="en-US" w:bidi="ru-RU"/>
              </w:rPr>
            </w:pPr>
            <w:r w:rsidRPr="007557BC">
              <w:rPr>
                <w:szCs w:val="22"/>
                <w:lang w:val="en-US" w:bidi="ru-RU"/>
              </w:rPr>
              <w:t>high employment;</w:t>
            </w:r>
          </w:p>
          <w:p w14:paraId="37185909" w14:textId="77777777" w:rsidR="006E1266" w:rsidRPr="007557BC" w:rsidRDefault="006E1266" w:rsidP="006F749C">
            <w:pPr>
              <w:numPr>
                <w:ilvl w:val="0"/>
                <w:numId w:val="266"/>
              </w:numPr>
              <w:ind w:left="253" w:hanging="253"/>
              <w:contextualSpacing/>
              <w:rPr>
                <w:szCs w:val="22"/>
                <w:lang w:val="en-US" w:bidi="ru-RU"/>
              </w:rPr>
            </w:pPr>
            <w:r w:rsidRPr="007557BC">
              <w:rPr>
                <w:szCs w:val="22"/>
                <w:lang w:val="en-US" w:bidi="ru-RU"/>
              </w:rPr>
              <w:t>economic growth;</w:t>
            </w:r>
          </w:p>
          <w:p w14:paraId="3C1C844A" w14:textId="77777777" w:rsidR="006E1266" w:rsidRPr="007557BC" w:rsidRDefault="006E1266" w:rsidP="006F749C">
            <w:pPr>
              <w:numPr>
                <w:ilvl w:val="0"/>
                <w:numId w:val="266"/>
              </w:numPr>
              <w:ind w:left="253" w:hanging="253"/>
              <w:contextualSpacing/>
              <w:rPr>
                <w:szCs w:val="22"/>
                <w:lang w:val="en-US" w:bidi="ru-RU"/>
              </w:rPr>
            </w:pPr>
            <w:r w:rsidRPr="007557BC">
              <w:rPr>
                <w:szCs w:val="22"/>
                <w:lang w:val="en-US" w:bidi="ru-RU"/>
              </w:rPr>
              <w:t>price stability;</w:t>
            </w:r>
          </w:p>
          <w:p w14:paraId="2D0BD271" w14:textId="77777777" w:rsidR="006E1266" w:rsidRPr="007557BC" w:rsidRDefault="006E1266" w:rsidP="006F749C">
            <w:pPr>
              <w:numPr>
                <w:ilvl w:val="0"/>
                <w:numId w:val="266"/>
              </w:numPr>
              <w:ind w:left="253" w:hanging="253"/>
              <w:contextualSpacing/>
              <w:rPr>
                <w:szCs w:val="22"/>
                <w:lang w:val="en-US" w:bidi="ru-RU"/>
              </w:rPr>
            </w:pPr>
            <w:r w:rsidRPr="007557BC">
              <w:rPr>
                <w:szCs w:val="22"/>
                <w:lang w:val="en-US" w:bidi="ru-RU"/>
              </w:rPr>
              <w:t>interest-rate stability;</w:t>
            </w:r>
          </w:p>
          <w:p w14:paraId="3994FE6F" w14:textId="77777777" w:rsidR="006E1266" w:rsidRPr="007557BC" w:rsidRDefault="006E1266" w:rsidP="006F749C">
            <w:pPr>
              <w:numPr>
                <w:ilvl w:val="0"/>
                <w:numId w:val="266"/>
              </w:numPr>
              <w:ind w:left="253" w:hanging="253"/>
              <w:contextualSpacing/>
              <w:rPr>
                <w:szCs w:val="22"/>
                <w:lang w:val="en-US" w:bidi="ru-RU"/>
              </w:rPr>
            </w:pPr>
            <w:r w:rsidRPr="007557BC">
              <w:rPr>
                <w:szCs w:val="22"/>
                <w:lang w:val="en-US" w:bidi="ru-RU"/>
              </w:rPr>
              <w:t>stability of financial markets;</w:t>
            </w:r>
          </w:p>
          <w:p w14:paraId="23F1C9CF" w14:textId="77777777" w:rsidR="006E1266" w:rsidRPr="007557BC" w:rsidRDefault="006E1266" w:rsidP="00FA7B64">
            <w:pPr>
              <w:numPr>
                <w:ilvl w:val="0"/>
                <w:numId w:val="266"/>
              </w:numPr>
              <w:ind w:left="253" w:hanging="253"/>
              <w:contextualSpacing/>
              <w:rPr>
                <w:szCs w:val="22"/>
                <w:lang w:val="en-US" w:bidi="ru-RU"/>
              </w:rPr>
            </w:pPr>
            <w:r w:rsidRPr="007557BC">
              <w:rPr>
                <w:szCs w:val="22"/>
                <w:lang w:val="en-US" w:bidi="ru-RU"/>
              </w:rPr>
              <w:t>stability in foreign exchange markets</w:t>
            </w:r>
          </w:p>
        </w:tc>
        <w:tc>
          <w:tcPr>
            <w:tcW w:w="3260" w:type="dxa"/>
            <w:gridSpan w:val="2"/>
          </w:tcPr>
          <w:p w14:paraId="0DD7C9BE" w14:textId="77777777" w:rsidR="006E1266" w:rsidRPr="007557BC" w:rsidRDefault="006E1266" w:rsidP="00FA7B64">
            <w:pPr>
              <w:contextualSpacing/>
              <w:jc w:val="both"/>
              <w:rPr>
                <w:szCs w:val="22"/>
                <w:lang w:val="en-US" w:bidi="ru-RU"/>
              </w:rPr>
            </w:pPr>
            <w:r w:rsidRPr="007557BC">
              <w:rPr>
                <w:szCs w:val="22"/>
                <w:lang w:val="en-US" w:bidi="ru-RU"/>
              </w:rPr>
              <w:t>The monetary policy</w:t>
            </w:r>
            <w:r>
              <w:rPr>
                <w:szCs w:val="22"/>
                <w:lang w:val="en-US" w:bidi="ru-RU"/>
              </w:rPr>
              <w:t xml:space="preserve"> is</w:t>
            </w:r>
            <w:r w:rsidRPr="007557BC">
              <w:rPr>
                <w:szCs w:val="22"/>
                <w:lang w:val="en-US" w:bidi="ru-RU"/>
              </w:rPr>
              <w:t xml:space="preserve"> laid down by the </w:t>
            </w:r>
            <w:r>
              <w:rPr>
                <w:szCs w:val="22"/>
                <w:lang w:val="en-US" w:bidi="ru-RU"/>
              </w:rPr>
              <w:t>C</w:t>
            </w:r>
            <w:r w:rsidRPr="007557BC">
              <w:rPr>
                <w:szCs w:val="22"/>
                <w:lang w:val="en-US" w:bidi="ru-RU"/>
              </w:rPr>
              <w:t xml:space="preserve">entral </w:t>
            </w:r>
            <w:r>
              <w:rPr>
                <w:szCs w:val="22"/>
                <w:lang w:val="en-US" w:bidi="ru-RU"/>
              </w:rPr>
              <w:t>B</w:t>
            </w:r>
            <w:r w:rsidRPr="007557BC">
              <w:rPr>
                <w:szCs w:val="22"/>
                <w:lang w:val="en-US" w:bidi="ru-RU"/>
              </w:rPr>
              <w:t>ank. It involves management of money supply and interest rate and is the demand side</w:t>
            </w:r>
            <w:r>
              <w:rPr>
                <w:szCs w:val="22"/>
                <w:lang w:val="en-US" w:bidi="ru-RU"/>
              </w:rPr>
              <w:t xml:space="preserve"> of </w:t>
            </w:r>
            <w:r w:rsidRPr="007557BC">
              <w:rPr>
                <w:szCs w:val="22"/>
                <w:lang w:val="en-US" w:bidi="ru-RU"/>
              </w:rPr>
              <w:t xml:space="preserve">financial policy used by the government of </w:t>
            </w:r>
            <w:r>
              <w:rPr>
                <w:szCs w:val="22"/>
                <w:lang w:val="en-US" w:bidi="ru-RU"/>
              </w:rPr>
              <w:t>the</w:t>
            </w:r>
            <w:r w:rsidRPr="007557BC">
              <w:rPr>
                <w:szCs w:val="22"/>
                <w:lang w:val="en-US" w:bidi="ru-RU"/>
              </w:rPr>
              <w:t xml:space="preserve"> country to achieve macroeconomic objectives like inflation, consumption, growth, and liquidity </w:t>
            </w:r>
          </w:p>
        </w:tc>
        <w:tc>
          <w:tcPr>
            <w:tcW w:w="2561" w:type="dxa"/>
          </w:tcPr>
          <w:p w14:paraId="2A6332B3" w14:textId="77777777" w:rsidR="006E1266" w:rsidRPr="007557BC" w:rsidRDefault="006E1266" w:rsidP="006F749C">
            <w:pPr>
              <w:numPr>
                <w:ilvl w:val="0"/>
                <w:numId w:val="36"/>
              </w:numPr>
              <w:ind w:left="253" w:hanging="253"/>
              <w:contextualSpacing/>
              <w:rPr>
                <w:szCs w:val="22"/>
                <w:lang w:val="en-US" w:bidi="ru-RU"/>
              </w:rPr>
            </w:pPr>
            <w:r w:rsidRPr="007557BC">
              <w:rPr>
                <w:szCs w:val="22"/>
                <w:lang w:val="en-US" w:bidi="ru-RU"/>
              </w:rPr>
              <w:t>open market operations;</w:t>
            </w:r>
          </w:p>
          <w:p w14:paraId="3A9CCB1A" w14:textId="77777777" w:rsidR="006E1266" w:rsidRPr="007557BC" w:rsidRDefault="006E1266" w:rsidP="006F749C">
            <w:pPr>
              <w:numPr>
                <w:ilvl w:val="0"/>
                <w:numId w:val="36"/>
              </w:numPr>
              <w:ind w:left="253" w:hanging="253"/>
              <w:contextualSpacing/>
              <w:rPr>
                <w:szCs w:val="22"/>
                <w:lang w:val="en-US" w:bidi="ru-RU"/>
              </w:rPr>
            </w:pPr>
            <w:r w:rsidRPr="007557BC">
              <w:rPr>
                <w:szCs w:val="22"/>
                <w:lang w:val="en-US" w:bidi="ru-RU"/>
              </w:rPr>
              <w:t>reserve requirements;</w:t>
            </w:r>
          </w:p>
          <w:p w14:paraId="2C2888A0" w14:textId="77777777" w:rsidR="006E1266" w:rsidRPr="007557BC" w:rsidRDefault="006E1266" w:rsidP="006F749C">
            <w:pPr>
              <w:numPr>
                <w:ilvl w:val="0"/>
                <w:numId w:val="36"/>
              </w:numPr>
              <w:ind w:left="253" w:hanging="253"/>
              <w:contextualSpacing/>
              <w:rPr>
                <w:szCs w:val="22"/>
                <w:lang w:val="en-US" w:bidi="ru-RU"/>
              </w:rPr>
            </w:pPr>
            <w:r w:rsidRPr="007557BC">
              <w:rPr>
                <w:szCs w:val="22"/>
                <w:lang w:val="en-US" w:bidi="ru-RU"/>
              </w:rPr>
              <w:t>operating band for the overnight rate;</w:t>
            </w:r>
          </w:p>
          <w:p w14:paraId="2A0E3659" w14:textId="77777777" w:rsidR="006E1266" w:rsidRPr="007557BC" w:rsidRDefault="006E1266" w:rsidP="006F749C">
            <w:pPr>
              <w:numPr>
                <w:ilvl w:val="0"/>
                <w:numId w:val="36"/>
              </w:numPr>
              <w:ind w:left="253" w:hanging="253"/>
              <w:contextualSpacing/>
              <w:rPr>
                <w:szCs w:val="22"/>
                <w:lang w:val="en-US" w:bidi="ru-RU"/>
              </w:rPr>
            </w:pPr>
            <w:r w:rsidRPr="007557BC">
              <w:rPr>
                <w:szCs w:val="22"/>
                <w:lang w:val="en-US" w:bidi="ru-RU"/>
              </w:rPr>
              <w:t>discount window lending;</w:t>
            </w:r>
          </w:p>
          <w:p w14:paraId="7E47AE19" w14:textId="77777777" w:rsidR="006E1266" w:rsidRPr="007557BC" w:rsidRDefault="006E1266" w:rsidP="00FA7B64">
            <w:pPr>
              <w:numPr>
                <w:ilvl w:val="0"/>
                <w:numId w:val="36"/>
              </w:numPr>
              <w:ind w:left="253" w:hanging="253"/>
              <w:contextualSpacing/>
              <w:rPr>
                <w:szCs w:val="22"/>
                <w:lang w:val="en-US" w:bidi="ru-RU"/>
              </w:rPr>
            </w:pPr>
            <w:r w:rsidRPr="007557BC">
              <w:rPr>
                <w:szCs w:val="22"/>
                <w:lang w:val="en-US" w:bidi="ru-RU"/>
              </w:rPr>
              <w:t>bank rate</w:t>
            </w:r>
          </w:p>
        </w:tc>
      </w:tr>
      <w:tr w:rsidR="006E1266" w:rsidRPr="00BE42A0" w14:paraId="4F0244B0" w14:textId="77777777" w:rsidTr="002D6C8B">
        <w:tc>
          <w:tcPr>
            <w:tcW w:w="1484" w:type="dxa"/>
            <w:gridSpan w:val="2"/>
          </w:tcPr>
          <w:p w14:paraId="5086E037" w14:textId="77777777" w:rsidR="006E1266" w:rsidRPr="007557BC" w:rsidRDefault="006E1266" w:rsidP="00BE42A0">
            <w:pPr>
              <w:contextualSpacing/>
              <w:jc w:val="both"/>
              <w:rPr>
                <w:szCs w:val="22"/>
                <w:lang w:val="en-US" w:bidi="ru-RU"/>
              </w:rPr>
            </w:pPr>
            <w:r w:rsidRPr="007557BC">
              <w:rPr>
                <w:szCs w:val="22"/>
                <w:lang w:val="en-US" w:bidi="ru-RU"/>
              </w:rPr>
              <w:t>Exchange rate policy</w:t>
            </w:r>
          </w:p>
        </w:tc>
        <w:tc>
          <w:tcPr>
            <w:tcW w:w="2310" w:type="dxa"/>
            <w:gridSpan w:val="2"/>
          </w:tcPr>
          <w:p w14:paraId="61548BAC" w14:textId="77777777" w:rsidR="006E1266" w:rsidRPr="007557BC" w:rsidRDefault="006E1266" w:rsidP="006F749C">
            <w:pPr>
              <w:numPr>
                <w:ilvl w:val="0"/>
                <w:numId w:val="40"/>
              </w:numPr>
              <w:ind w:left="253" w:hanging="253"/>
              <w:contextualSpacing/>
              <w:rPr>
                <w:szCs w:val="22"/>
                <w:lang w:val="en-US" w:bidi="ru-RU"/>
              </w:rPr>
            </w:pPr>
            <w:r w:rsidRPr="007557BC">
              <w:rPr>
                <w:szCs w:val="22"/>
                <w:lang w:val="en-US" w:bidi="ru-RU"/>
              </w:rPr>
              <w:t>price stability;</w:t>
            </w:r>
          </w:p>
          <w:p w14:paraId="037F42B2" w14:textId="77777777" w:rsidR="006E1266" w:rsidRPr="007557BC" w:rsidRDefault="006E1266" w:rsidP="00FA7B64">
            <w:pPr>
              <w:numPr>
                <w:ilvl w:val="0"/>
                <w:numId w:val="40"/>
              </w:numPr>
              <w:ind w:left="253" w:hanging="253"/>
              <w:contextualSpacing/>
              <w:rPr>
                <w:szCs w:val="22"/>
                <w:lang w:val="en-US" w:bidi="ru-RU"/>
              </w:rPr>
            </w:pPr>
            <w:r w:rsidRPr="007557BC">
              <w:rPr>
                <w:szCs w:val="22"/>
                <w:lang w:val="en-US" w:bidi="ru-RU"/>
              </w:rPr>
              <w:t>stability in foreign exchange markets</w:t>
            </w:r>
          </w:p>
        </w:tc>
        <w:tc>
          <w:tcPr>
            <w:tcW w:w="3260" w:type="dxa"/>
            <w:gridSpan w:val="2"/>
          </w:tcPr>
          <w:p w14:paraId="442E47C8" w14:textId="77777777" w:rsidR="006E1266" w:rsidRPr="007557BC" w:rsidRDefault="006E1266" w:rsidP="00FA7B64">
            <w:pPr>
              <w:contextualSpacing/>
              <w:jc w:val="both"/>
              <w:rPr>
                <w:szCs w:val="22"/>
                <w:lang w:val="en-US" w:bidi="ru-RU"/>
              </w:rPr>
            </w:pPr>
            <w:r w:rsidRPr="007557BC">
              <w:rPr>
                <w:szCs w:val="22"/>
                <w:lang w:val="en-US" w:bidi="ru-RU"/>
              </w:rPr>
              <w:t>Exchange rate policy is the way an authority manages its currency in relation to other currencies and the foreign exchange market. It is closely related to monetary policy and the two are generally dependent on many of the same factors</w:t>
            </w:r>
          </w:p>
        </w:tc>
        <w:tc>
          <w:tcPr>
            <w:tcW w:w="2561" w:type="dxa"/>
          </w:tcPr>
          <w:p w14:paraId="3E84A86F" w14:textId="77777777" w:rsidR="006E1266" w:rsidRPr="007557BC" w:rsidRDefault="006E1266" w:rsidP="006F749C">
            <w:pPr>
              <w:numPr>
                <w:ilvl w:val="0"/>
                <w:numId w:val="41"/>
              </w:numPr>
              <w:ind w:left="253" w:hanging="253"/>
              <w:contextualSpacing/>
              <w:rPr>
                <w:szCs w:val="22"/>
                <w:lang w:val="en-US" w:bidi="ru-RU"/>
              </w:rPr>
            </w:pPr>
            <w:r w:rsidRPr="007557BC">
              <w:rPr>
                <w:szCs w:val="22"/>
                <w:lang w:val="en-US" w:bidi="ru-RU"/>
              </w:rPr>
              <w:t>exchange rate regime;</w:t>
            </w:r>
          </w:p>
          <w:p w14:paraId="023E8FEE" w14:textId="77777777" w:rsidR="006E1266" w:rsidRPr="007557BC" w:rsidRDefault="006E1266" w:rsidP="006F749C">
            <w:pPr>
              <w:numPr>
                <w:ilvl w:val="0"/>
                <w:numId w:val="41"/>
              </w:numPr>
              <w:ind w:left="253" w:hanging="253"/>
              <w:contextualSpacing/>
              <w:rPr>
                <w:szCs w:val="22"/>
                <w:lang w:val="en-US" w:bidi="ru-RU"/>
              </w:rPr>
            </w:pPr>
            <w:r w:rsidRPr="007557BC">
              <w:rPr>
                <w:szCs w:val="22"/>
                <w:lang w:val="en-US" w:bidi="ru-RU"/>
              </w:rPr>
              <w:t>currency restrictions;</w:t>
            </w:r>
          </w:p>
          <w:p w14:paraId="35245CA0" w14:textId="77777777" w:rsidR="006E1266" w:rsidRPr="007557BC" w:rsidRDefault="006E1266" w:rsidP="00FA7B64">
            <w:pPr>
              <w:numPr>
                <w:ilvl w:val="0"/>
                <w:numId w:val="41"/>
              </w:numPr>
              <w:ind w:left="253" w:hanging="253"/>
              <w:contextualSpacing/>
              <w:rPr>
                <w:szCs w:val="22"/>
                <w:lang w:val="en-US" w:bidi="ru-RU"/>
              </w:rPr>
            </w:pPr>
            <w:r w:rsidRPr="007557BC">
              <w:rPr>
                <w:szCs w:val="22"/>
                <w:lang w:val="en-US" w:bidi="ru-RU"/>
              </w:rPr>
              <w:t>foreign exchange inventions</w:t>
            </w:r>
          </w:p>
        </w:tc>
      </w:tr>
      <w:tr w:rsidR="006E1266" w:rsidRPr="00BE42A0" w14:paraId="612EF588" w14:textId="77777777" w:rsidTr="002D6C8B">
        <w:tc>
          <w:tcPr>
            <w:tcW w:w="1484" w:type="dxa"/>
            <w:gridSpan w:val="2"/>
          </w:tcPr>
          <w:p w14:paraId="2511E742" w14:textId="77777777" w:rsidR="006E1266" w:rsidRPr="007557BC" w:rsidRDefault="006E1266" w:rsidP="00BE42A0">
            <w:pPr>
              <w:contextualSpacing/>
              <w:jc w:val="both"/>
              <w:rPr>
                <w:szCs w:val="22"/>
                <w:lang w:val="en-US" w:bidi="ru-RU"/>
              </w:rPr>
            </w:pPr>
            <w:r w:rsidRPr="007557BC">
              <w:rPr>
                <w:szCs w:val="22"/>
                <w:lang w:val="en-US" w:bidi="ru-RU"/>
              </w:rPr>
              <w:t>Customs policy</w:t>
            </w:r>
          </w:p>
        </w:tc>
        <w:tc>
          <w:tcPr>
            <w:tcW w:w="2310" w:type="dxa"/>
            <w:gridSpan w:val="2"/>
          </w:tcPr>
          <w:p w14:paraId="3AE1A837" w14:textId="77777777" w:rsidR="006E1266" w:rsidRPr="007557BC" w:rsidRDefault="006E1266" w:rsidP="006F749C">
            <w:pPr>
              <w:numPr>
                <w:ilvl w:val="0"/>
                <w:numId w:val="43"/>
              </w:numPr>
              <w:ind w:left="218" w:hanging="218"/>
              <w:contextualSpacing/>
              <w:rPr>
                <w:szCs w:val="22"/>
                <w:lang w:val="en-US" w:bidi="ru-RU"/>
              </w:rPr>
            </w:pPr>
            <w:r w:rsidRPr="007557BC">
              <w:rPr>
                <w:szCs w:val="22"/>
                <w:lang w:val="en-US" w:bidi="ru-RU"/>
              </w:rPr>
              <w:t>high employment;</w:t>
            </w:r>
          </w:p>
          <w:p w14:paraId="7DFF2CA1" w14:textId="77777777" w:rsidR="006E1266" w:rsidRPr="007557BC" w:rsidRDefault="006E1266" w:rsidP="00FA7B64">
            <w:pPr>
              <w:numPr>
                <w:ilvl w:val="0"/>
                <w:numId w:val="43"/>
              </w:numPr>
              <w:ind w:left="253" w:hanging="253"/>
              <w:contextualSpacing/>
              <w:rPr>
                <w:szCs w:val="22"/>
                <w:lang w:val="en-US" w:bidi="ru-RU"/>
              </w:rPr>
            </w:pPr>
            <w:r w:rsidRPr="007557BC">
              <w:rPr>
                <w:szCs w:val="22"/>
                <w:lang w:val="en-US" w:bidi="ru-RU"/>
              </w:rPr>
              <w:t>economic growth</w:t>
            </w:r>
          </w:p>
        </w:tc>
        <w:tc>
          <w:tcPr>
            <w:tcW w:w="3260" w:type="dxa"/>
            <w:gridSpan w:val="2"/>
          </w:tcPr>
          <w:p w14:paraId="416016D9" w14:textId="77777777" w:rsidR="006E1266" w:rsidRPr="007557BC" w:rsidRDefault="006E1266" w:rsidP="00FA7B64">
            <w:pPr>
              <w:ind w:left="76"/>
              <w:contextualSpacing/>
              <w:jc w:val="both"/>
              <w:rPr>
                <w:szCs w:val="22"/>
                <w:lang w:val="en-US" w:bidi="ru-RU"/>
              </w:rPr>
            </w:pPr>
            <w:r w:rsidRPr="007557BC">
              <w:rPr>
                <w:szCs w:val="22"/>
                <w:lang w:val="en-US" w:bidi="ru-RU"/>
              </w:rPr>
              <w:t>Customs policy</w:t>
            </w:r>
            <w:r>
              <w:rPr>
                <w:szCs w:val="22"/>
                <w:lang w:val="en-US" w:bidi="ru-RU"/>
              </w:rPr>
              <w:t xml:space="preserve"> is</w:t>
            </w:r>
            <w:r w:rsidRPr="007557BC">
              <w:rPr>
                <w:szCs w:val="22"/>
                <w:lang w:val="en-US" w:bidi="ru-RU"/>
              </w:rPr>
              <w:t xml:space="preserve"> related to the exchange of goods or services involved in </w:t>
            </w:r>
            <w:r>
              <w:rPr>
                <w:szCs w:val="22"/>
                <w:lang w:val="en-US" w:bidi="ru-RU"/>
              </w:rPr>
              <w:t xml:space="preserve">the </w:t>
            </w:r>
            <w:r w:rsidRPr="007557BC">
              <w:rPr>
                <w:szCs w:val="22"/>
                <w:lang w:val="en-US" w:bidi="ru-RU"/>
              </w:rPr>
              <w:t>international trade</w:t>
            </w:r>
            <w:r>
              <w:rPr>
                <w:szCs w:val="22"/>
                <w:lang w:val="en-US" w:bidi="ru-RU"/>
              </w:rPr>
              <w:t>,</w:t>
            </w:r>
            <w:r w:rsidRPr="007557BC">
              <w:rPr>
                <w:szCs w:val="22"/>
                <w:lang w:val="en-US" w:bidi="ru-RU"/>
              </w:rPr>
              <w:t xml:space="preserve"> including taxes, subsidies, and import/export regulations</w:t>
            </w:r>
          </w:p>
        </w:tc>
        <w:tc>
          <w:tcPr>
            <w:tcW w:w="2561" w:type="dxa"/>
          </w:tcPr>
          <w:p w14:paraId="1E594E23" w14:textId="77777777" w:rsidR="006E1266" w:rsidRPr="007557BC" w:rsidRDefault="006E1266" w:rsidP="006F749C">
            <w:pPr>
              <w:numPr>
                <w:ilvl w:val="0"/>
                <w:numId w:val="42"/>
              </w:numPr>
              <w:ind w:left="253" w:hanging="253"/>
              <w:contextualSpacing/>
              <w:rPr>
                <w:szCs w:val="22"/>
                <w:lang w:val="en-US" w:bidi="ru-RU"/>
              </w:rPr>
            </w:pPr>
            <w:r w:rsidRPr="007557BC">
              <w:rPr>
                <w:szCs w:val="22"/>
                <w:lang w:val="en-US" w:bidi="ru-RU"/>
              </w:rPr>
              <w:t>absolute and tariff-rate quotas;</w:t>
            </w:r>
          </w:p>
          <w:p w14:paraId="63175D3E" w14:textId="77777777" w:rsidR="006E1266" w:rsidRPr="007557BC" w:rsidRDefault="006E1266" w:rsidP="006F749C">
            <w:pPr>
              <w:numPr>
                <w:ilvl w:val="0"/>
                <w:numId w:val="42"/>
              </w:numPr>
              <w:ind w:left="253" w:hanging="253"/>
              <w:contextualSpacing/>
              <w:rPr>
                <w:szCs w:val="22"/>
                <w:lang w:val="en-US" w:bidi="ru-RU"/>
              </w:rPr>
            </w:pPr>
            <w:r w:rsidRPr="007557BC">
              <w:rPr>
                <w:szCs w:val="22"/>
                <w:lang w:val="en-US" w:bidi="ru-RU"/>
              </w:rPr>
              <w:t>types and rated of duties;</w:t>
            </w:r>
          </w:p>
          <w:p w14:paraId="12610D23" w14:textId="77777777" w:rsidR="006E1266" w:rsidRPr="007557BC" w:rsidRDefault="006E1266" w:rsidP="006F749C">
            <w:pPr>
              <w:numPr>
                <w:ilvl w:val="0"/>
                <w:numId w:val="42"/>
              </w:numPr>
              <w:ind w:left="253" w:hanging="253"/>
              <w:contextualSpacing/>
              <w:rPr>
                <w:szCs w:val="22"/>
                <w:lang w:val="en-US" w:bidi="ru-RU"/>
              </w:rPr>
            </w:pPr>
            <w:r w:rsidRPr="007557BC">
              <w:rPr>
                <w:szCs w:val="22"/>
                <w:lang w:val="en-US" w:bidi="ru-RU"/>
              </w:rPr>
              <w:t>subsidies;</w:t>
            </w:r>
          </w:p>
          <w:p w14:paraId="3041A3A0" w14:textId="77777777" w:rsidR="006E1266" w:rsidRPr="007557BC" w:rsidRDefault="006E1266" w:rsidP="00FA7B64">
            <w:pPr>
              <w:numPr>
                <w:ilvl w:val="0"/>
                <w:numId w:val="42"/>
              </w:numPr>
              <w:ind w:left="253" w:hanging="253"/>
              <w:contextualSpacing/>
              <w:rPr>
                <w:szCs w:val="22"/>
                <w:lang w:val="en-US" w:bidi="ru-RU"/>
              </w:rPr>
            </w:pPr>
            <w:r w:rsidRPr="007557BC">
              <w:rPr>
                <w:szCs w:val="22"/>
                <w:lang w:val="en-US" w:bidi="ru-RU"/>
              </w:rPr>
              <w:t>embargo</w:t>
            </w:r>
          </w:p>
        </w:tc>
      </w:tr>
    </w:tbl>
    <w:p w14:paraId="618E5C63" w14:textId="77777777" w:rsidR="007557BC" w:rsidRDefault="007557BC" w:rsidP="00BE42A0">
      <w:pPr>
        <w:spacing w:line="312" w:lineRule="auto"/>
        <w:ind w:firstLine="357"/>
        <w:contextualSpacing/>
        <w:jc w:val="both"/>
        <w:rPr>
          <w:lang w:val="en-US" w:bidi="ru-RU"/>
        </w:rPr>
      </w:pPr>
    </w:p>
    <w:p w14:paraId="2D7B3714" w14:textId="77777777" w:rsidR="00BE42A0" w:rsidRPr="007557BC" w:rsidRDefault="00BE42A0" w:rsidP="004B7BB5">
      <w:pPr>
        <w:spacing w:line="312" w:lineRule="auto"/>
        <w:ind w:firstLine="709"/>
        <w:contextualSpacing/>
        <w:jc w:val="both"/>
        <w:rPr>
          <w:sz w:val="28"/>
          <w:lang w:val="en-US" w:bidi="ru-RU"/>
        </w:rPr>
      </w:pPr>
      <w:r w:rsidRPr="007557BC">
        <w:rPr>
          <w:sz w:val="28"/>
          <w:lang w:val="en-US" w:bidi="ru-RU"/>
        </w:rPr>
        <w:t>However, in foreign literature, most factors of economic policy can be divided into either monetary policy, which deals with central banking actions regarding the money supply and interest rates, or fiscal policy, which deals with government actions regarding taxation and spending.</w:t>
      </w:r>
      <w:r w:rsidR="00ED053B">
        <w:rPr>
          <w:sz w:val="28"/>
          <w:lang w:val="en-US" w:bidi="ru-RU"/>
        </w:rPr>
        <w:t xml:space="preserve"> </w:t>
      </w:r>
      <w:r w:rsidRPr="007557BC">
        <w:rPr>
          <w:b/>
          <w:sz w:val="28"/>
          <w:lang w:val="en-US" w:bidi="ru-RU"/>
        </w:rPr>
        <w:t>Monetary policy</w:t>
      </w:r>
      <w:r w:rsidRPr="007557BC">
        <w:rPr>
          <w:sz w:val="28"/>
          <w:lang w:val="en-US" w:bidi="ru-RU"/>
        </w:rPr>
        <w:t xml:space="preserve"> is the process by which the government, central bank, or monetary authority of a country controls (i) the supply, (ii) availability, and (iii) cost of money or rate of interest to attain a set of objectives oriented towards the growth and stability of the economy. Monetary policy is referred to as either being expansionary or contractionary, where an </w:t>
      </w:r>
      <w:r w:rsidRPr="007557BC">
        <w:rPr>
          <w:b/>
          <w:sz w:val="28"/>
          <w:lang w:val="en-US" w:bidi="ru-RU"/>
        </w:rPr>
        <w:t>expansionary policy</w:t>
      </w:r>
      <w:r w:rsidRPr="007557BC">
        <w:rPr>
          <w:sz w:val="28"/>
          <w:lang w:val="en-US" w:bidi="ru-RU"/>
        </w:rPr>
        <w:t xml:space="preserve"> increases the total supply of money in the economy more rapidly than usual, and </w:t>
      </w:r>
      <w:r w:rsidRPr="007557BC">
        <w:rPr>
          <w:b/>
          <w:sz w:val="28"/>
          <w:lang w:val="en-US" w:bidi="ru-RU"/>
        </w:rPr>
        <w:t>contractionary policy</w:t>
      </w:r>
      <w:r w:rsidRPr="007557BC">
        <w:rPr>
          <w:sz w:val="28"/>
          <w:lang w:val="en-US" w:bidi="ru-RU"/>
        </w:rPr>
        <w:t xml:space="preserve"> expands the money supply more slowly than usual or shrinks it. Expansionary policy is traditionally used to try to combat unemployment in a recession by lowering interest rates in the hope that easy credit will entice businesses into expanding. Contractionary policy is intended to slow inflation in order to avoid the resulting distortions and deterioration of asset values.</w:t>
      </w:r>
    </w:p>
    <w:p w14:paraId="6AFCD06E" w14:textId="77777777" w:rsidR="00BE42A0" w:rsidRPr="007557BC" w:rsidRDefault="00BE42A0" w:rsidP="004B7BB5">
      <w:pPr>
        <w:spacing w:line="312" w:lineRule="auto"/>
        <w:ind w:firstLine="709"/>
        <w:contextualSpacing/>
        <w:jc w:val="both"/>
        <w:rPr>
          <w:sz w:val="28"/>
          <w:lang w:val="en-US" w:bidi="ru-RU"/>
        </w:rPr>
      </w:pPr>
      <w:r w:rsidRPr="007557BC">
        <w:rPr>
          <w:sz w:val="28"/>
          <w:lang w:val="en-US" w:bidi="ru-RU"/>
        </w:rPr>
        <w:lastRenderedPageBreak/>
        <w:t xml:space="preserve">Tax policy coupled with budgetary policy reflects fiscal policy. </w:t>
      </w:r>
      <w:r w:rsidRPr="007557BC">
        <w:rPr>
          <w:b/>
          <w:sz w:val="28"/>
          <w:lang w:val="en-US" w:bidi="ru-RU"/>
        </w:rPr>
        <w:t>Fiscal policy</w:t>
      </w:r>
      <w:r w:rsidRPr="007557BC">
        <w:rPr>
          <w:sz w:val="28"/>
          <w:lang w:val="en-US" w:bidi="ru-RU"/>
        </w:rPr>
        <w:t xml:space="preserve"> has to decide on the size and pattern of flow of expenditure from the government to the economy and from the economy back to the government. So, in broad term</w:t>
      </w:r>
      <w:r w:rsidR="00ED053B">
        <w:rPr>
          <w:sz w:val="28"/>
          <w:lang w:val="en-US" w:bidi="ru-RU"/>
        </w:rPr>
        <w:t>,</w:t>
      </w:r>
      <w:r w:rsidRPr="007557BC">
        <w:rPr>
          <w:sz w:val="28"/>
          <w:lang w:val="en-US" w:bidi="ru-RU"/>
        </w:rPr>
        <w:t xml:space="preserve"> fiscal policy refers to "that segment of national economic policy which is primarily concerned with the receipts and expenditure of central government." In other words, fiscal policy refers to the policy of the government with regard to taxation, public expenditure, and public borrowings. The importance of fiscal policy is high in underdeveloped countries. The state has to play an active and important role. In a democratic society, direct methods are not approved. So, the government has to depend on indirect methods of regulations. In this way, fiscal policy is a powerful weapon in the hands of government by means of which it can achieve the objectives of development. With fiscal policy, there will be certain levels of lag time in which conditions will deteriorate before being recognized. At the same time, the fiscal policy takes the time to implement due to legislative and administrative processes, and those same policies will take the time to show results after implementation. </w:t>
      </w:r>
    </w:p>
    <w:p w14:paraId="7FD507D0" w14:textId="77777777" w:rsidR="00BE42A0" w:rsidRPr="007557BC" w:rsidRDefault="00BE42A0" w:rsidP="004B7BB5">
      <w:pPr>
        <w:spacing w:line="312" w:lineRule="auto"/>
        <w:ind w:firstLine="709"/>
        <w:contextualSpacing/>
        <w:jc w:val="both"/>
        <w:rPr>
          <w:sz w:val="28"/>
          <w:lang w:val="en-US" w:bidi="ru-RU"/>
        </w:rPr>
      </w:pPr>
      <w:r w:rsidRPr="007557BC">
        <w:rPr>
          <w:sz w:val="28"/>
          <w:lang w:val="en-US" w:bidi="ru-RU"/>
        </w:rPr>
        <w:t>There are two main types of fiscal policy: expansionary and contractionary.</w:t>
      </w:r>
    </w:p>
    <w:p w14:paraId="2A99C082" w14:textId="77777777" w:rsidR="00BE42A0" w:rsidRPr="007557BC" w:rsidRDefault="00BE42A0" w:rsidP="004B7BB5">
      <w:pPr>
        <w:spacing w:line="312" w:lineRule="auto"/>
        <w:ind w:firstLine="709"/>
        <w:contextualSpacing/>
        <w:jc w:val="both"/>
        <w:rPr>
          <w:sz w:val="28"/>
          <w:lang w:val="en-US" w:bidi="ru-RU"/>
        </w:rPr>
      </w:pPr>
      <w:r w:rsidRPr="007557BC">
        <w:rPr>
          <w:b/>
          <w:sz w:val="28"/>
          <w:lang w:val="en-US" w:bidi="ru-RU"/>
        </w:rPr>
        <w:t>Expansionary fiscal policy</w:t>
      </w:r>
      <w:r w:rsidRPr="007557BC">
        <w:rPr>
          <w:sz w:val="28"/>
          <w:lang w:val="en-US" w:bidi="ru-RU"/>
        </w:rPr>
        <w:t>, designed to stimulate the economy, is most often used during a recession, times of high unemployment</w:t>
      </w:r>
      <w:r w:rsidR="00ED053B">
        <w:rPr>
          <w:sz w:val="28"/>
          <w:lang w:val="en-US" w:bidi="ru-RU"/>
        </w:rPr>
        <w:t>,</w:t>
      </w:r>
      <w:r w:rsidRPr="007557BC">
        <w:rPr>
          <w:sz w:val="28"/>
          <w:lang w:val="en-US" w:bidi="ru-RU"/>
        </w:rPr>
        <w:t xml:space="preserve"> or other low periods of the business cycle. It entails the government spending more money, lowering taxes, or both. The goal is to put more money in the hands of consumers so</w:t>
      </w:r>
      <w:r w:rsidR="00ED053B">
        <w:rPr>
          <w:sz w:val="28"/>
          <w:lang w:val="en-US" w:bidi="ru-RU"/>
        </w:rPr>
        <w:t xml:space="preserve"> that</w:t>
      </w:r>
      <w:r w:rsidRPr="007557BC">
        <w:rPr>
          <w:sz w:val="28"/>
          <w:lang w:val="en-US" w:bidi="ru-RU"/>
        </w:rPr>
        <w:t xml:space="preserve"> they spend more and stimulate the economy. </w:t>
      </w:r>
      <w:r w:rsidRPr="007557BC">
        <w:rPr>
          <w:b/>
          <w:sz w:val="28"/>
          <w:lang w:val="en-US" w:bidi="ru-RU"/>
        </w:rPr>
        <w:t>Contractionary fiscal policy</w:t>
      </w:r>
      <w:r w:rsidRPr="007557BC">
        <w:rPr>
          <w:sz w:val="28"/>
          <w:lang w:val="en-US" w:bidi="ru-RU"/>
        </w:rPr>
        <w:t xml:space="preserve"> is used to slow down economic growth, such as when inflation is growing too rapidly. </w:t>
      </w:r>
      <w:r w:rsidR="00ED053B">
        <w:rPr>
          <w:sz w:val="28"/>
          <w:lang w:val="en-US" w:bidi="ru-RU"/>
        </w:rPr>
        <w:t>As</w:t>
      </w:r>
      <w:r w:rsidRPr="007557BC">
        <w:rPr>
          <w:sz w:val="28"/>
          <w:lang w:val="en-US" w:bidi="ru-RU"/>
        </w:rPr>
        <w:t xml:space="preserve"> oppose</w:t>
      </w:r>
      <w:r w:rsidR="00ED053B">
        <w:rPr>
          <w:sz w:val="28"/>
          <w:lang w:val="en-US" w:bidi="ru-RU"/>
        </w:rPr>
        <w:t>d</w:t>
      </w:r>
      <w:r w:rsidRPr="007557BC">
        <w:rPr>
          <w:sz w:val="28"/>
          <w:lang w:val="en-US" w:bidi="ru-RU"/>
        </w:rPr>
        <w:t xml:space="preserve"> </w:t>
      </w:r>
      <w:r w:rsidR="00ED053B">
        <w:rPr>
          <w:sz w:val="28"/>
          <w:lang w:val="en-US" w:bidi="ru-RU"/>
        </w:rPr>
        <w:t>to</w:t>
      </w:r>
      <w:r w:rsidRPr="007557BC">
        <w:rPr>
          <w:sz w:val="28"/>
          <w:lang w:val="en-US" w:bidi="ru-RU"/>
        </w:rPr>
        <w:t xml:space="preserve"> expansionary fiscal policy, contractionary fiscal policy raises taxes and cuts spending.</w:t>
      </w:r>
    </w:p>
    <w:p w14:paraId="677AFE23" w14:textId="77777777" w:rsidR="00BE42A0" w:rsidRPr="00BE42A0" w:rsidRDefault="00BE42A0" w:rsidP="004B7BB5">
      <w:pPr>
        <w:spacing w:line="312" w:lineRule="auto"/>
        <w:ind w:firstLine="709"/>
        <w:contextualSpacing/>
        <w:jc w:val="both"/>
        <w:rPr>
          <w:lang w:val="en-US" w:bidi="ru-RU"/>
        </w:rPr>
      </w:pPr>
      <w:r w:rsidRPr="007557BC">
        <w:rPr>
          <w:sz w:val="28"/>
          <w:lang w:val="en-US" w:bidi="ru-RU"/>
        </w:rPr>
        <w:t xml:space="preserve">Finance includes a great variety of the exchange-allocation relations, which are expressed by money flows. The essence of these relations is the same but they have certain peculiarities. According to these peculiarities, the financial relations acquire certain forms and make up the financial system. Thus, the </w:t>
      </w:r>
      <w:r w:rsidRPr="007557BC">
        <w:rPr>
          <w:b/>
          <w:sz w:val="28"/>
          <w:lang w:val="en-US" w:bidi="ru-RU"/>
        </w:rPr>
        <w:t>financial system</w:t>
      </w:r>
      <w:r w:rsidRPr="007557BC">
        <w:rPr>
          <w:sz w:val="28"/>
          <w:lang w:val="en-US" w:bidi="ru-RU"/>
        </w:rPr>
        <w:t xml:space="preserve"> is a set of financial relations forms which are interconnected, have certain common features and</w:t>
      </w:r>
      <w:r w:rsidR="00ED053B">
        <w:rPr>
          <w:sz w:val="28"/>
          <w:lang w:val="en-US" w:bidi="ru-RU"/>
        </w:rPr>
        <w:t>,</w:t>
      </w:r>
      <w:r w:rsidRPr="007557BC">
        <w:rPr>
          <w:sz w:val="28"/>
          <w:lang w:val="en-US" w:bidi="ru-RU"/>
        </w:rPr>
        <w:t xml:space="preserve"> at the same time</w:t>
      </w:r>
      <w:r w:rsidR="00ED053B">
        <w:rPr>
          <w:sz w:val="28"/>
          <w:lang w:val="en-US" w:bidi="ru-RU"/>
        </w:rPr>
        <w:t>,</w:t>
      </w:r>
      <w:r w:rsidRPr="007557BC">
        <w:rPr>
          <w:sz w:val="28"/>
          <w:lang w:val="en-US" w:bidi="ru-RU"/>
        </w:rPr>
        <w:t xml:space="preserve"> certain peculiarities. The financial system is an integral part of the economy. When the system functions properly, it channels funds from savers to investors. By increasing productivity, the financial system helps spur economic growth and raise the standard of living. A financial system can operate on a global, regional or firm-specific level. The financial system is a set of complex and closely interconnected financial institutions, markets, instruments, services, practices, and transactions.</w:t>
      </w:r>
    </w:p>
    <w:p w14:paraId="7474666B" w14:textId="77777777" w:rsidR="00BE42A0" w:rsidRPr="007557BC" w:rsidRDefault="00BE42A0" w:rsidP="004B7BB5">
      <w:pPr>
        <w:shd w:val="clear" w:color="auto" w:fill="D9D9D9" w:themeFill="background1" w:themeFillShade="D9"/>
        <w:spacing w:line="312" w:lineRule="auto"/>
        <w:ind w:left="425" w:right="425" w:firstLine="1"/>
        <w:contextualSpacing/>
        <w:jc w:val="both"/>
        <w:rPr>
          <w:szCs w:val="22"/>
          <w:lang w:val="en-US" w:bidi="ru-RU"/>
        </w:rPr>
      </w:pPr>
      <w:r w:rsidRPr="007557BC">
        <w:rPr>
          <w:szCs w:val="22"/>
          <w:lang w:val="en-US" w:bidi="ru-RU"/>
        </w:rPr>
        <w:lastRenderedPageBreak/>
        <w:t>According to Franklin Allen and Douglas Gale in Comparing Financial Systems:</w:t>
      </w:r>
    </w:p>
    <w:p w14:paraId="308A11AE" w14:textId="77777777" w:rsidR="00BE42A0" w:rsidRPr="007557BC" w:rsidRDefault="00BE42A0" w:rsidP="004B7BB5">
      <w:pPr>
        <w:shd w:val="clear" w:color="auto" w:fill="D9D9D9" w:themeFill="background1" w:themeFillShade="D9"/>
        <w:spacing w:line="312" w:lineRule="auto"/>
        <w:ind w:left="425" w:right="425" w:firstLine="1"/>
        <w:contextualSpacing/>
        <w:jc w:val="both"/>
        <w:rPr>
          <w:szCs w:val="22"/>
          <w:lang w:val="en-US" w:bidi="ru-RU"/>
        </w:rPr>
      </w:pPr>
      <w:r w:rsidRPr="007557BC">
        <w:rPr>
          <w:szCs w:val="22"/>
          <w:lang w:val="en-US" w:bidi="ru-RU"/>
        </w:rPr>
        <w:t>"Financial systems are crucial to the allocation of resources in a modern economy. They channel household savings to the corporate sector and allocate investment funds among firms; they allow intertemporal smoothing of consumption by households and expenditures by firms, and they enable households and firms to share risks. These functions are common to the financial syste</w:t>
      </w:r>
      <w:r w:rsidR="00EC3B3C">
        <w:rPr>
          <w:szCs w:val="22"/>
          <w:lang w:val="en-US" w:bidi="ru-RU"/>
        </w:rPr>
        <w:t>ms of most developed economies.</w:t>
      </w:r>
      <w:r w:rsidRPr="007557BC">
        <w:rPr>
          <w:szCs w:val="22"/>
          <w:lang w:val="en-US" w:bidi="ru-RU"/>
        </w:rPr>
        <w:t xml:space="preserve">" </w:t>
      </w:r>
    </w:p>
    <w:p w14:paraId="3BD50EF6" w14:textId="77777777" w:rsidR="00BE42A0" w:rsidRPr="007557BC" w:rsidRDefault="00BE42A0" w:rsidP="004B7BB5">
      <w:pPr>
        <w:spacing w:line="312" w:lineRule="auto"/>
        <w:ind w:firstLine="709"/>
        <w:contextualSpacing/>
        <w:jc w:val="both"/>
        <w:rPr>
          <w:sz w:val="28"/>
          <w:lang w:val="en-US" w:bidi="ru-RU"/>
        </w:rPr>
      </w:pPr>
    </w:p>
    <w:p w14:paraId="77ABC988" w14:textId="77777777" w:rsidR="00BE42A0" w:rsidRPr="007557BC" w:rsidRDefault="00BE42A0" w:rsidP="004B7BB5">
      <w:pPr>
        <w:spacing w:line="312" w:lineRule="auto"/>
        <w:ind w:firstLine="709"/>
        <w:contextualSpacing/>
        <w:jc w:val="both"/>
        <w:rPr>
          <w:sz w:val="28"/>
          <w:lang w:val="en-US" w:bidi="ru-RU"/>
        </w:rPr>
      </w:pPr>
      <w:r w:rsidRPr="007557BC">
        <w:rPr>
          <w:sz w:val="28"/>
          <w:lang w:val="en-US" w:bidi="ru-RU"/>
        </w:rPr>
        <w:t xml:space="preserve">Usually, the financial system is determined according to (i) the inner structure and (ii) the organizing structure. According to the </w:t>
      </w:r>
      <w:r w:rsidRPr="007557BC">
        <w:rPr>
          <w:b/>
          <w:sz w:val="28"/>
          <w:lang w:val="en-US" w:bidi="ru-RU"/>
        </w:rPr>
        <w:t>inner structure</w:t>
      </w:r>
      <w:r w:rsidRPr="007557BC">
        <w:rPr>
          <w:sz w:val="28"/>
          <w:lang w:val="en-US" w:bidi="ru-RU"/>
        </w:rPr>
        <w:t xml:space="preserve">: the Financial system is an aggregate of separate but interconnected spheres and links which reflect different forms and means of financial relations. According to the </w:t>
      </w:r>
      <w:r w:rsidRPr="007557BC">
        <w:rPr>
          <w:b/>
          <w:sz w:val="28"/>
          <w:lang w:val="en-US" w:bidi="ru-RU"/>
        </w:rPr>
        <w:t>organizing structure</w:t>
      </w:r>
      <w:r w:rsidRPr="007557BC">
        <w:rPr>
          <w:sz w:val="28"/>
          <w:lang w:val="en-US" w:bidi="ru-RU"/>
        </w:rPr>
        <w:t>: the Financial system is an aggregate of financial bodies and institutions which manage money flows.</w:t>
      </w:r>
    </w:p>
    <w:p w14:paraId="145F6244" w14:textId="77777777" w:rsidR="00BE42A0" w:rsidRPr="007557BC" w:rsidRDefault="00BE42A0" w:rsidP="004B7BB5">
      <w:pPr>
        <w:spacing w:line="312" w:lineRule="auto"/>
        <w:ind w:firstLine="709"/>
        <w:contextualSpacing/>
        <w:jc w:val="both"/>
        <w:rPr>
          <w:sz w:val="28"/>
          <w:lang w:val="en-US" w:bidi="ru-RU"/>
        </w:rPr>
      </w:pPr>
      <w:r w:rsidRPr="007557BC">
        <w:rPr>
          <w:b/>
          <w:sz w:val="28"/>
          <w:lang w:val="en-US" w:bidi="ru-RU"/>
        </w:rPr>
        <w:t>The inner structure of the financial system consists</w:t>
      </w:r>
      <w:r w:rsidRPr="007557BC">
        <w:rPr>
          <w:sz w:val="28"/>
          <w:lang w:val="en-US" w:bidi="ru-RU"/>
        </w:rPr>
        <w:t xml:space="preserve"> of (i) spheres and (ii) links. The sphere is an aggregate of financial relations with some common feature. Link characterizes financial relations concerning their peculiarities. There are a lot of features according to which financial system can be classified: subjects of the financial relations, funds of money assets, the level of the economic system, financial bodies and institutions. The most expedient seem to be the level of the economic system.</w:t>
      </w:r>
    </w:p>
    <w:p w14:paraId="2A4987EC" w14:textId="77777777" w:rsidR="009013F5" w:rsidRPr="009013F5" w:rsidRDefault="00BE42A0" w:rsidP="004B7BB5">
      <w:pPr>
        <w:spacing w:line="312" w:lineRule="auto"/>
        <w:ind w:firstLine="709"/>
        <w:contextualSpacing/>
        <w:jc w:val="both"/>
        <w:rPr>
          <w:rFonts w:cs="Garamond"/>
          <w:color w:val="auto"/>
          <w:sz w:val="28"/>
          <w:lang w:val="en-US" w:eastAsia="ru-RU" w:bidi="ru-RU"/>
        </w:rPr>
      </w:pPr>
      <w:r w:rsidRPr="007557BC">
        <w:rPr>
          <w:sz w:val="28"/>
          <w:lang w:val="en-US" w:bidi="ru-RU"/>
        </w:rPr>
        <w:t>According to the level of the economic system, the financial system consists of the following spheres, shown in Figure 3.1.</w:t>
      </w:r>
    </w:p>
    <w:p w14:paraId="61F02B92" w14:textId="77777777" w:rsidR="009013F5" w:rsidRPr="009013F5" w:rsidRDefault="009013F5" w:rsidP="009013F5">
      <w:pPr>
        <w:spacing w:line="312" w:lineRule="auto"/>
        <w:contextualSpacing/>
        <w:jc w:val="both"/>
        <w:rPr>
          <w:rFonts w:cs="Garamond"/>
          <w:color w:val="auto"/>
          <w:lang w:val="en-US" w:eastAsia="ru-RU" w:bidi="ru-RU"/>
        </w:rPr>
      </w:pPr>
      <w:r w:rsidRPr="009013F5">
        <w:rPr>
          <w:rFonts w:cs="Garamond"/>
          <w:noProof/>
          <w:color w:val="auto"/>
          <w:lang w:val="ru-RU" w:eastAsia="ru-RU"/>
        </w:rPr>
        <mc:AlternateContent>
          <mc:Choice Requires="wps">
            <w:drawing>
              <wp:anchor distT="0" distB="0" distL="114300" distR="114300" simplePos="0" relativeHeight="251661824" behindDoc="0" locked="0" layoutInCell="1" allowOverlap="1" wp14:anchorId="776D809D" wp14:editId="3EEBEFA3">
                <wp:simplePos x="0" y="0"/>
                <wp:positionH relativeFrom="column">
                  <wp:posOffset>1872695</wp:posOffset>
                </wp:positionH>
                <wp:positionV relativeFrom="paragraph">
                  <wp:posOffset>29210</wp:posOffset>
                </wp:positionV>
                <wp:extent cx="2038350" cy="266700"/>
                <wp:effectExtent l="0" t="0" r="19050" b="19050"/>
                <wp:wrapNone/>
                <wp:docPr id="1073741841" name="Поле 1073741841"/>
                <wp:cNvGraphicFramePr/>
                <a:graphic xmlns:a="http://schemas.openxmlformats.org/drawingml/2006/main">
                  <a:graphicData uri="http://schemas.microsoft.com/office/word/2010/wordprocessingShape">
                    <wps:wsp>
                      <wps:cNvSpPr txBox="1"/>
                      <wps:spPr>
                        <a:xfrm>
                          <a:off x="0" y="0"/>
                          <a:ext cx="2038350" cy="266700"/>
                        </a:xfrm>
                        <a:prstGeom prst="rect">
                          <a:avLst/>
                        </a:prstGeom>
                        <a:solidFill>
                          <a:sysClr val="window" lastClr="FFFFFF"/>
                        </a:solidFill>
                        <a:ln w="6350">
                          <a:solidFill>
                            <a:srgbClr val="002060"/>
                          </a:solidFill>
                        </a:ln>
                        <a:effectLst/>
                      </wps:spPr>
                      <wps:txbx>
                        <w:txbxContent>
                          <w:p w14:paraId="195FDC22" w14:textId="77777777" w:rsidR="00B56753" w:rsidRPr="00B27BB8" w:rsidRDefault="00B56753" w:rsidP="009013F5">
                            <w:pPr>
                              <w:spacing w:line="312" w:lineRule="auto"/>
                              <w:contextualSpacing/>
                              <w:jc w:val="center"/>
                              <w:rPr>
                                <w:rFonts w:cs="Garamond"/>
                                <w:lang w:val="en-US" w:eastAsia="ru-RU" w:bidi="ru-RU"/>
                              </w:rPr>
                            </w:pPr>
                            <w:r w:rsidRPr="00B27BB8">
                              <w:rPr>
                                <w:rFonts w:cs="Garamond"/>
                                <w:lang w:val="en-US" w:eastAsia="ru-RU" w:bidi="ru-RU"/>
                              </w:rPr>
                              <w:t>Financial system</w:t>
                            </w:r>
                          </w:p>
                          <w:p w14:paraId="0D8CC6D1" w14:textId="77777777" w:rsidR="00B56753" w:rsidRDefault="00B56753" w:rsidP="009013F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Поле 1073741841" o:spid="_x0000_s1028" type="#_x0000_t202" style="position:absolute;left:0;text-align:left;margin-left:147.45pt;margin-top:2.3pt;width:160.5pt;height:21pt;z-index:251661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" fillcolor="window" strokecolor="#002060" strokeweight=".5pt">
                <v:textbox>
                  <w:txbxContent>
                    <w:p w:rsidR="00B56753" w:rsidRPr="00B27BB8" w:rsidRDefault="00B56753" w:rsidP="009013F5">
                      <w:pPr>
                        <w:spacing w:line="312" w:lineRule="auto"/>
                        <w:contextualSpacing/>
                        <w:jc w:val="center"/>
                        <w:rPr>
                          <w:rFonts w:cs="Garamond"/>
                          <w:lang w:val="en-US" w:eastAsia="ru-RU" w:bidi="ru-RU"/>
                        </w:rPr>
                      </w:pPr>
                      <w:r w:rsidRPr="00B27BB8">
                        <w:rPr>
                          <w:rFonts w:cs="Garamond"/>
                          <w:lang w:val="en-US" w:eastAsia="ru-RU" w:bidi="ru-RU"/>
                        </w:rPr>
                        <w:t>Financial system</w:t>
                      </w:r>
                    </w:p>
                    <w:p w:rsidR="00B56753" w:rsidRDefault="00B56753" w:rsidP="009013F5"/>
                  </w:txbxContent>
                </v:textbox>
              </v:shape>
            </w:pict>
          </mc:Fallback>
        </mc:AlternateContent>
      </w:r>
    </w:p>
    <w:p w14:paraId="55C45AC7" w14:textId="77777777" w:rsidR="009013F5" w:rsidRPr="009013F5" w:rsidRDefault="00EC3B3C" w:rsidP="009013F5">
      <w:pPr>
        <w:spacing w:line="312" w:lineRule="auto"/>
        <w:ind w:firstLine="357"/>
        <w:contextualSpacing/>
        <w:jc w:val="both"/>
        <w:rPr>
          <w:rFonts w:cs="Garamond"/>
          <w:color w:val="auto"/>
          <w:lang w:val="en-US" w:eastAsia="ru-RU" w:bidi="ru-RU"/>
        </w:rPr>
      </w:pPr>
      <w:r w:rsidRPr="009013F5">
        <w:rPr>
          <w:rFonts w:cs="Garamond"/>
          <w:noProof/>
          <w:color w:val="auto"/>
          <w:lang w:val="ru-RU" w:eastAsia="ru-RU"/>
        </w:rPr>
        <mc:AlternateContent>
          <mc:Choice Requires="wps">
            <w:drawing>
              <wp:anchor distT="0" distB="0" distL="114300" distR="114300" simplePos="0" relativeHeight="251706880" behindDoc="0" locked="0" layoutInCell="1" allowOverlap="1" wp14:anchorId="7C550991" wp14:editId="655CF935">
                <wp:simplePos x="0" y="0"/>
                <wp:positionH relativeFrom="column">
                  <wp:posOffset>5531485</wp:posOffset>
                </wp:positionH>
                <wp:positionV relativeFrom="paragraph">
                  <wp:posOffset>196215</wp:posOffset>
                </wp:positionV>
                <wp:extent cx="0" cy="137795"/>
                <wp:effectExtent l="38100" t="0" r="76200" b="52705"/>
                <wp:wrapNone/>
                <wp:docPr id="1073741845" name="Прямая со стрелкой 1073741845"/>
                <wp:cNvGraphicFramePr/>
                <a:graphic xmlns:a="http://schemas.openxmlformats.org/drawingml/2006/main">
                  <a:graphicData uri="http://schemas.microsoft.com/office/word/2010/wordprocessingShape">
                    <wps:wsp>
                      <wps:cNvCnPr/>
                      <wps:spPr>
                        <a:xfrm>
                          <a:off x="0" y="0"/>
                          <a:ext cx="0" cy="137795"/>
                        </a:xfrm>
                        <a:prstGeom prst="straightConnector1">
                          <a:avLst/>
                        </a:prstGeom>
                        <a:noFill/>
                        <a:ln w="12700" cap="flat" cmpd="sng" algn="ctr">
                          <a:solidFill>
                            <a:sysClr val="windowText" lastClr="000000">
                              <a:shade val="95000"/>
                              <a:satMod val="105000"/>
                            </a:sysClr>
                          </a:solidFill>
                          <a:prstDash val="solid"/>
                          <a:headEnd type="none" w="med" len="med"/>
                          <a:tailEnd type="stealth" w="med" len="lg"/>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073741845" o:spid="_x0000_s1026" type="#_x0000_t32" style="position:absolute;margin-left:435.55pt;margin-top:15.45pt;width:0;height:10.8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" strokeweight="1pt">
                <v:stroke endarrow="classic" endarrowlength="long"/>
              </v:shape>
            </w:pict>
          </mc:Fallback>
        </mc:AlternateContent>
      </w:r>
      <w:r w:rsidRPr="009013F5">
        <w:rPr>
          <w:rFonts w:cs="Garamond"/>
          <w:noProof/>
          <w:color w:val="auto"/>
          <w:lang w:val="ru-RU" w:eastAsia="ru-RU"/>
        </w:rPr>
        <mc:AlternateContent>
          <mc:Choice Requires="wps">
            <w:drawing>
              <wp:anchor distT="0" distB="0" distL="114300" distR="114300" simplePos="0" relativeHeight="251700736" behindDoc="0" locked="0" layoutInCell="1" allowOverlap="1" wp14:anchorId="3AD157EC" wp14:editId="0C26C145">
                <wp:simplePos x="0" y="0"/>
                <wp:positionH relativeFrom="column">
                  <wp:posOffset>4217035</wp:posOffset>
                </wp:positionH>
                <wp:positionV relativeFrom="paragraph">
                  <wp:posOffset>193675</wp:posOffset>
                </wp:positionV>
                <wp:extent cx="0" cy="137795"/>
                <wp:effectExtent l="38100" t="0" r="76200" b="52705"/>
                <wp:wrapNone/>
                <wp:docPr id="1073741842" name="Прямая со стрелкой 1073741842"/>
                <wp:cNvGraphicFramePr/>
                <a:graphic xmlns:a="http://schemas.openxmlformats.org/drawingml/2006/main">
                  <a:graphicData uri="http://schemas.microsoft.com/office/word/2010/wordprocessingShape">
                    <wps:wsp>
                      <wps:cNvCnPr/>
                      <wps:spPr>
                        <a:xfrm>
                          <a:off x="0" y="0"/>
                          <a:ext cx="0" cy="137795"/>
                        </a:xfrm>
                        <a:prstGeom prst="straightConnector1">
                          <a:avLst/>
                        </a:prstGeom>
                        <a:noFill/>
                        <a:ln w="12700" cap="flat" cmpd="sng" algn="ctr">
                          <a:solidFill>
                            <a:sysClr val="windowText" lastClr="000000">
                              <a:shade val="95000"/>
                              <a:satMod val="105000"/>
                            </a:sysClr>
                          </a:solidFill>
                          <a:prstDash val="solid"/>
                          <a:headEnd type="none" w="med" len="med"/>
                          <a:tailEnd type="stealth" w="med" len="lg"/>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073741842" o:spid="_x0000_s1026" type="#_x0000_t32" style="position:absolute;margin-left:332.05pt;margin-top:15.25pt;width:0;height:10.8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" strokeweight="1pt">
                <v:stroke endarrow="classic" endarrowlength="long"/>
              </v:shape>
            </w:pict>
          </mc:Fallback>
        </mc:AlternateContent>
      </w:r>
      <w:r w:rsidRPr="009013F5">
        <w:rPr>
          <w:rFonts w:cs="Garamond"/>
          <w:noProof/>
          <w:color w:val="auto"/>
          <w:lang w:val="ru-RU" w:eastAsia="ru-RU"/>
        </w:rPr>
        <mc:AlternateContent>
          <mc:Choice Requires="wps">
            <w:drawing>
              <wp:anchor distT="0" distB="0" distL="114300" distR="114300" simplePos="0" relativeHeight="251704832" behindDoc="0" locked="0" layoutInCell="1" allowOverlap="1" wp14:anchorId="45D120F3" wp14:editId="02E9DC8D">
                <wp:simplePos x="0" y="0"/>
                <wp:positionH relativeFrom="column">
                  <wp:posOffset>2920365</wp:posOffset>
                </wp:positionH>
                <wp:positionV relativeFrom="paragraph">
                  <wp:posOffset>193675</wp:posOffset>
                </wp:positionV>
                <wp:extent cx="0" cy="137795"/>
                <wp:effectExtent l="38100" t="0" r="76200" b="52705"/>
                <wp:wrapNone/>
                <wp:docPr id="1073741844" name="Прямая со стрелкой 1073741844"/>
                <wp:cNvGraphicFramePr/>
                <a:graphic xmlns:a="http://schemas.openxmlformats.org/drawingml/2006/main">
                  <a:graphicData uri="http://schemas.microsoft.com/office/word/2010/wordprocessingShape">
                    <wps:wsp>
                      <wps:cNvCnPr/>
                      <wps:spPr>
                        <a:xfrm>
                          <a:off x="0" y="0"/>
                          <a:ext cx="0" cy="137795"/>
                        </a:xfrm>
                        <a:prstGeom prst="straightConnector1">
                          <a:avLst/>
                        </a:prstGeom>
                        <a:noFill/>
                        <a:ln w="12700" cap="flat" cmpd="sng" algn="ctr">
                          <a:solidFill>
                            <a:sysClr val="windowText" lastClr="000000">
                              <a:shade val="95000"/>
                              <a:satMod val="105000"/>
                            </a:sysClr>
                          </a:solidFill>
                          <a:prstDash val="solid"/>
                          <a:headEnd type="none" w="med" len="med"/>
                          <a:tailEnd type="stealth" w="med" len="lg"/>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073741844" o:spid="_x0000_s1026" type="#_x0000_t32" style="position:absolute;margin-left:229.95pt;margin-top:15.25pt;width:0;height:10.8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" strokeweight="1pt">
                <v:stroke endarrow="classic" endarrowlength="long"/>
              </v:shape>
            </w:pict>
          </mc:Fallback>
        </mc:AlternateContent>
      </w:r>
      <w:r w:rsidRPr="009013F5">
        <w:rPr>
          <w:rFonts w:cs="Garamond"/>
          <w:noProof/>
          <w:color w:val="auto"/>
          <w:lang w:val="ru-RU" w:eastAsia="ru-RU"/>
        </w:rPr>
        <mc:AlternateContent>
          <mc:Choice Requires="wps">
            <w:drawing>
              <wp:anchor distT="0" distB="0" distL="114300" distR="114300" simplePos="0" relativeHeight="251664896" behindDoc="0" locked="0" layoutInCell="1" allowOverlap="1" wp14:anchorId="60BED1A1" wp14:editId="137D077A">
                <wp:simplePos x="0" y="0"/>
                <wp:positionH relativeFrom="column">
                  <wp:posOffset>534670</wp:posOffset>
                </wp:positionH>
                <wp:positionV relativeFrom="paragraph">
                  <wp:posOffset>191770</wp:posOffset>
                </wp:positionV>
                <wp:extent cx="0" cy="137795"/>
                <wp:effectExtent l="38100" t="0" r="76200" b="52705"/>
                <wp:wrapNone/>
                <wp:docPr id="8" name="Прямая со стрелкой 8"/>
                <wp:cNvGraphicFramePr/>
                <a:graphic xmlns:a="http://schemas.openxmlformats.org/drawingml/2006/main">
                  <a:graphicData uri="http://schemas.microsoft.com/office/word/2010/wordprocessingShape">
                    <wps:wsp>
                      <wps:cNvCnPr/>
                      <wps:spPr>
                        <a:xfrm>
                          <a:off x="0" y="0"/>
                          <a:ext cx="0" cy="137795"/>
                        </a:xfrm>
                        <a:prstGeom prst="straightConnector1">
                          <a:avLst/>
                        </a:prstGeom>
                        <a:noFill/>
                        <a:ln w="12700" cap="flat" cmpd="sng" algn="ctr">
                          <a:solidFill>
                            <a:sysClr val="windowText" lastClr="000000">
                              <a:shade val="95000"/>
                              <a:satMod val="105000"/>
                            </a:sysClr>
                          </a:solidFill>
                          <a:prstDash val="solid"/>
                          <a:headEnd type="none" w="med" len="med"/>
                          <a:tailEnd type="stealth" w="med" len="lg"/>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8" o:spid="_x0000_s1026" type="#_x0000_t32" style="position:absolute;margin-left:42.1pt;margin-top:15.1pt;width:0;height:10.8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" strokeweight="1pt">
                <v:stroke endarrow="classic" endarrowlength="long"/>
              </v:shape>
            </w:pict>
          </mc:Fallback>
        </mc:AlternateContent>
      </w:r>
      <w:r w:rsidRPr="009013F5">
        <w:rPr>
          <w:rFonts w:cs="Garamond"/>
          <w:noProof/>
          <w:color w:val="auto"/>
          <w:lang w:val="ru-RU" w:eastAsia="ru-RU"/>
        </w:rPr>
        <mc:AlternateContent>
          <mc:Choice Requires="wps">
            <w:drawing>
              <wp:anchor distT="0" distB="0" distL="114300" distR="114300" simplePos="0" relativeHeight="251708928" behindDoc="0" locked="0" layoutInCell="1" allowOverlap="1" wp14:anchorId="3E9492B6" wp14:editId="64CD1D37">
                <wp:simplePos x="0" y="0"/>
                <wp:positionH relativeFrom="column">
                  <wp:posOffset>1659255</wp:posOffset>
                </wp:positionH>
                <wp:positionV relativeFrom="paragraph">
                  <wp:posOffset>193675</wp:posOffset>
                </wp:positionV>
                <wp:extent cx="0" cy="137795"/>
                <wp:effectExtent l="38100" t="0" r="76200" b="52705"/>
                <wp:wrapNone/>
                <wp:docPr id="1073741846" name="Прямая со стрелкой 1073741846"/>
                <wp:cNvGraphicFramePr/>
                <a:graphic xmlns:a="http://schemas.openxmlformats.org/drawingml/2006/main">
                  <a:graphicData uri="http://schemas.microsoft.com/office/word/2010/wordprocessingShape">
                    <wps:wsp>
                      <wps:cNvCnPr/>
                      <wps:spPr>
                        <a:xfrm>
                          <a:off x="0" y="0"/>
                          <a:ext cx="0" cy="137795"/>
                        </a:xfrm>
                        <a:prstGeom prst="straightConnector1">
                          <a:avLst/>
                        </a:prstGeom>
                        <a:noFill/>
                        <a:ln w="12700" cap="flat" cmpd="sng" algn="ctr">
                          <a:solidFill>
                            <a:sysClr val="windowText" lastClr="000000">
                              <a:shade val="95000"/>
                              <a:satMod val="105000"/>
                            </a:sysClr>
                          </a:solidFill>
                          <a:prstDash val="solid"/>
                          <a:headEnd type="none" w="med" len="med"/>
                          <a:tailEnd type="stealth" w="med" len="lg"/>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073741846" o:spid="_x0000_s1026" type="#_x0000_t32" style="position:absolute;margin-left:130.65pt;margin-top:15.25pt;width:0;height:10.8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" strokeweight="1pt">
                <v:stroke endarrow="classic" endarrowlength="long"/>
              </v:shape>
            </w:pict>
          </mc:Fallback>
        </mc:AlternateContent>
      </w:r>
      <w:r w:rsidRPr="009013F5">
        <w:rPr>
          <w:rFonts w:cs="Garamond"/>
          <w:noProof/>
          <w:color w:val="auto"/>
          <w:lang w:val="ru-RU" w:eastAsia="ru-RU"/>
        </w:rPr>
        <mc:AlternateContent>
          <mc:Choice Requires="wps">
            <w:drawing>
              <wp:anchor distT="0" distB="0" distL="114300" distR="114300" simplePos="0" relativeHeight="251663872" behindDoc="0" locked="0" layoutInCell="1" allowOverlap="1" wp14:anchorId="2BE6C3AA" wp14:editId="4EED0DD3">
                <wp:simplePos x="0" y="0"/>
                <wp:positionH relativeFrom="column">
                  <wp:posOffset>542290</wp:posOffset>
                </wp:positionH>
                <wp:positionV relativeFrom="paragraph">
                  <wp:posOffset>192405</wp:posOffset>
                </wp:positionV>
                <wp:extent cx="4981575" cy="0"/>
                <wp:effectExtent l="0" t="0" r="9525" b="1905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498157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w:pict>
              <v:line id="Прямая соединительная линия 6" o:spid="_x0000_s1026" style="position:absolute;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2.7pt,15.15pt" to="434.95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"/>
            </w:pict>
          </mc:Fallback>
        </mc:AlternateContent>
      </w:r>
      <w:r w:rsidRPr="009013F5">
        <w:rPr>
          <w:rFonts w:cs="Garamond"/>
          <w:noProof/>
          <w:color w:val="auto"/>
          <w:lang w:val="ru-RU" w:eastAsia="ru-RU"/>
        </w:rPr>
        <mc:AlternateContent>
          <mc:Choice Requires="wps">
            <w:drawing>
              <wp:anchor distT="0" distB="0" distL="114300" distR="114300" simplePos="0" relativeHeight="251662848" behindDoc="0" locked="0" layoutInCell="1" allowOverlap="1" wp14:anchorId="773832E9" wp14:editId="42061DFD">
                <wp:simplePos x="0" y="0"/>
                <wp:positionH relativeFrom="column">
                  <wp:posOffset>2903220</wp:posOffset>
                </wp:positionH>
                <wp:positionV relativeFrom="paragraph">
                  <wp:posOffset>72390</wp:posOffset>
                </wp:positionV>
                <wp:extent cx="0" cy="142875"/>
                <wp:effectExtent l="0" t="0" r="19050" b="9525"/>
                <wp:wrapNone/>
                <wp:docPr id="5" name="Прямая со стрелкой 5"/>
                <wp:cNvGraphicFramePr/>
                <a:graphic xmlns:a="http://schemas.openxmlformats.org/drawingml/2006/main">
                  <a:graphicData uri="http://schemas.microsoft.com/office/word/2010/wordprocessingShape">
                    <wps:wsp>
                      <wps:cNvCnPr/>
                      <wps:spPr>
                        <a:xfrm>
                          <a:off x="0" y="0"/>
                          <a:ext cx="0" cy="142875"/>
                        </a:xfrm>
                        <a:prstGeom prst="straightConnector1">
                          <a:avLst/>
                        </a:prstGeom>
                        <a:noFill/>
                        <a:ln w="12700" cap="flat" cmpd="sng" algn="ctr">
                          <a:solidFill>
                            <a:sysClr val="windowText" lastClr="000000">
                              <a:shade val="95000"/>
                              <a:satMod val="105000"/>
                            </a:sysClr>
                          </a:solidFill>
                          <a:prstDash val="solid"/>
                          <a:headEnd type="none" w="med" len="med"/>
                          <a:tailEnd type="none" w="med" len="med"/>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5" o:spid="_x0000_s1026" type="#_x0000_t32" style="position:absolute;margin-left:228.6pt;margin-top:5.7pt;width:0;height:11.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" strokeweight="1pt"/>
            </w:pict>
          </mc:Fallback>
        </mc:AlternateContent>
      </w:r>
    </w:p>
    <w:p w14:paraId="68DB5CDB" w14:textId="77777777" w:rsidR="009013F5" w:rsidRPr="009013F5" w:rsidRDefault="00EC3B3C" w:rsidP="009013F5">
      <w:pPr>
        <w:spacing w:line="312" w:lineRule="auto"/>
        <w:ind w:firstLine="357"/>
        <w:contextualSpacing/>
        <w:jc w:val="both"/>
        <w:rPr>
          <w:rFonts w:cs="Garamond"/>
          <w:color w:val="auto"/>
          <w:lang w:val="en-US" w:eastAsia="ru-RU" w:bidi="ru-RU"/>
        </w:rPr>
      </w:pPr>
      <w:r w:rsidRPr="009013F5">
        <w:rPr>
          <w:rFonts w:cs="Garamond"/>
          <w:noProof/>
          <w:color w:val="auto"/>
          <w:lang w:val="ru-RU" w:eastAsia="ru-RU"/>
        </w:rPr>
        <mc:AlternateContent>
          <mc:Choice Requires="wps">
            <w:drawing>
              <wp:anchor distT="0" distB="0" distL="114300" distR="114300" simplePos="0" relativeHeight="251673088" behindDoc="0" locked="0" layoutInCell="1" allowOverlap="1" wp14:anchorId="7FB94ACC" wp14:editId="027776CA">
                <wp:simplePos x="0" y="0"/>
                <wp:positionH relativeFrom="column">
                  <wp:posOffset>3697605</wp:posOffset>
                </wp:positionH>
                <wp:positionV relativeFrom="paragraph">
                  <wp:posOffset>106680</wp:posOffset>
                </wp:positionV>
                <wp:extent cx="1162050" cy="428625"/>
                <wp:effectExtent l="0" t="0" r="19050" b="28575"/>
                <wp:wrapNone/>
                <wp:docPr id="18" name="Поле 18"/>
                <wp:cNvGraphicFramePr/>
                <a:graphic xmlns:a="http://schemas.openxmlformats.org/drawingml/2006/main">
                  <a:graphicData uri="http://schemas.microsoft.com/office/word/2010/wordprocessingShape">
                    <wps:wsp>
                      <wps:cNvSpPr txBox="1"/>
                      <wps:spPr>
                        <a:xfrm>
                          <a:off x="0" y="0"/>
                          <a:ext cx="1162050" cy="428625"/>
                        </a:xfrm>
                        <a:prstGeom prst="rect">
                          <a:avLst/>
                        </a:prstGeom>
                        <a:solidFill>
                          <a:sysClr val="window" lastClr="FFFFFF">
                            <a:lumMod val="85000"/>
                          </a:sysClr>
                        </a:solidFill>
                        <a:ln w="6350">
                          <a:solidFill>
                            <a:srgbClr val="002060"/>
                          </a:solidFill>
                        </a:ln>
                        <a:effectLst/>
                      </wps:spPr>
                      <wps:txbx>
                        <w:txbxContent>
                          <w:p w14:paraId="50F05C9B" w14:textId="77777777" w:rsidR="00B56753" w:rsidRDefault="00B56753" w:rsidP="009013F5">
                            <w:r w:rsidRPr="008B1E49">
                              <w:rPr>
                                <w:rFonts w:cs="Garamond"/>
                                <w:lang w:val="en-US" w:eastAsia="ru-RU" w:bidi="ru-RU"/>
                              </w:rPr>
                              <w:t>Financial market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8" o:spid="_x0000_s1029" type="#_x0000_t202" style="position:absolute;left:0;text-align:left;margin-left:291.15pt;margin-top:8.4pt;width:91.5pt;height:33.7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" fillcolor="#d9d9d9" strokecolor="#002060" strokeweight=".5pt">
                <v:textbox>
                  <w:txbxContent>
                    <w:p w:rsidR="00B56753" w:rsidRDefault="00B56753" w:rsidP="009013F5">
                      <w:r w:rsidRPr="008B1E49">
                        <w:rPr>
                          <w:rFonts w:cs="Garamond"/>
                          <w:lang w:val="en-US" w:eastAsia="ru-RU" w:bidi="ru-RU"/>
                        </w:rPr>
                        <w:t>Financial market</w:t>
                      </w:r>
                    </w:p>
                  </w:txbxContent>
                </v:textbox>
              </v:shape>
            </w:pict>
          </mc:Fallback>
        </mc:AlternateContent>
      </w:r>
      <w:r w:rsidRPr="009013F5">
        <w:rPr>
          <w:rFonts w:cs="Garamond"/>
          <w:noProof/>
          <w:color w:val="auto"/>
          <w:lang w:val="ru-RU" w:eastAsia="ru-RU"/>
        </w:rPr>
        <mc:AlternateContent>
          <mc:Choice Requires="wps">
            <w:drawing>
              <wp:anchor distT="0" distB="0" distL="114300" distR="114300" simplePos="0" relativeHeight="251672064" behindDoc="0" locked="0" layoutInCell="1" allowOverlap="1" wp14:anchorId="3C14CE78" wp14:editId="05419616">
                <wp:simplePos x="0" y="0"/>
                <wp:positionH relativeFrom="column">
                  <wp:posOffset>2421255</wp:posOffset>
                </wp:positionH>
                <wp:positionV relativeFrom="paragraph">
                  <wp:posOffset>106680</wp:posOffset>
                </wp:positionV>
                <wp:extent cx="1085850" cy="428625"/>
                <wp:effectExtent l="0" t="0" r="19050" b="28575"/>
                <wp:wrapNone/>
                <wp:docPr id="17" name="Поле 17"/>
                <wp:cNvGraphicFramePr/>
                <a:graphic xmlns:a="http://schemas.openxmlformats.org/drawingml/2006/main">
                  <a:graphicData uri="http://schemas.microsoft.com/office/word/2010/wordprocessingShape">
                    <wps:wsp>
                      <wps:cNvSpPr txBox="1"/>
                      <wps:spPr>
                        <a:xfrm>
                          <a:off x="0" y="0"/>
                          <a:ext cx="1085850" cy="428625"/>
                        </a:xfrm>
                        <a:prstGeom prst="rect">
                          <a:avLst/>
                        </a:prstGeom>
                        <a:solidFill>
                          <a:sysClr val="window" lastClr="FFFFFF">
                            <a:lumMod val="85000"/>
                          </a:sysClr>
                        </a:solidFill>
                        <a:ln w="6350">
                          <a:solidFill>
                            <a:srgbClr val="002060"/>
                          </a:solidFill>
                        </a:ln>
                        <a:effectLst/>
                      </wps:spPr>
                      <wps:txbx>
                        <w:txbxContent>
                          <w:p w14:paraId="7A9597C3" w14:textId="77777777" w:rsidR="00B56753" w:rsidRPr="00B27BB8" w:rsidRDefault="00B56753" w:rsidP="009013F5">
                            <w:pPr>
                              <w:contextualSpacing/>
                              <w:jc w:val="both"/>
                              <w:rPr>
                                <w:rFonts w:cs="Garamond"/>
                                <w:lang w:val="en-US" w:eastAsia="ru-RU" w:bidi="ru-RU"/>
                              </w:rPr>
                            </w:pPr>
                            <w:r w:rsidRPr="00B27BB8">
                              <w:rPr>
                                <w:rFonts w:cs="Garamond"/>
                                <w:lang w:val="en-US" w:eastAsia="ru-RU" w:bidi="ru-RU"/>
                              </w:rPr>
                              <w:t>Personal finance</w:t>
                            </w:r>
                          </w:p>
                          <w:p w14:paraId="57EC07C1" w14:textId="77777777" w:rsidR="00B56753" w:rsidRDefault="00B56753" w:rsidP="009013F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7" o:spid="_x0000_s1030" type="#_x0000_t202" style="position:absolute;left:0;text-align:left;margin-left:190.65pt;margin-top:8.4pt;width:85.5pt;height:33.7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" fillcolor="#d9d9d9" strokecolor="#002060" strokeweight=".5pt">
                <v:textbox>
                  <w:txbxContent>
                    <w:p w:rsidR="00B56753" w:rsidRPr="00B27BB8" w:rsidRDefault="00B56753" w:rsidP="009013F5">
                      <w:pPr>
                        <w:contextualSpacing/>
                        <w:jc w:val="both"/>
                        <w:rPr>
                          <w:rFonts w:cs="Garamond"/>
                          <w:lang w:val="en-US" w:eastAsia="ru-RU" w:bidi="ru-RU"/>
                        </w:rPr>
                      </w:pPr>
                      <w:r w:rsidRPr="00B27BB8">
                        <w:rPr>
                          <w:rFonts w:cs="Garamond"/>
                          <w:lang w:val="en-US" w:eastAsia="ru-RU" w:bidi="ru-RU"/>
                        </w:rPr>
                        <w:t>Personal finance</w:t>
                      </w:r>
                    </w:p>
                    <w:p w:rsidR="00B56753" w:rsidRDefault="00B56753" w:rsidP="009013F5"/>
                  </w:txbxContent>
                </v:textbox>
              </v:shape>
            </w:pict>
          </mc:Fallback>
        </mc:AlternateContent>
      </w:r>
      <w:r w:rsidRPr="009013F5">
        <w:rPr>
          <w:rFonts w:cs="Garamond"/>
          <w:noProof/>
          <w:color w:val="auto"/>
          <w:lang w:val="ru-RU" w:eastAsia="ru-RU"/>
        </w:rPr>
        <mc:AlternateContent>
          <mc:Choice Requires="wps">
            <w:drawing>
              <wp:anchor distT="0" distB="0" distL="114300" distR="114300" simplePos="0" relativeHeight="251671040" behindDoc="0" locked="0" layoutInCell="1" allowOverlap="1" wp14:anchorId="40276EDB" wp14:editId="43D4AF7C">
                <wp:simplePos x="0" y="0"/>
                <wp:positionH relativeFrom="column">
                  <wp:posOffset>1240155</wp:posOffset>
                </wp:positionH>
                <wp:positionV relativeFrom="paragraph">
                  <wp:posOffset>106680</wp:posOffset>
                </wp:positionV>
                <wp:extent cx="971550" cy="428625"/>
                <wp:effectExtent l="0" t="0" r="19050" b="28575"/>
                <wp:wrapNone/>
                <wp:docPr id="16" name="Поле 16"/>
                <wp:cNvGraphicFramePr/>
                <a:graphic xmlns:a="http://schemas.openxmlformats.org/drawingml/2006/main">
                  <a:graphicData uri="http://schemas.microsoft.com/office/word/2010/wordprocessingShape">
                    <wps:wsp>
                      <wps:cNvSpPr txBox="1"/>
                      <wps:spPr>
                        <a:xfrm>
                          <a:off x="0" y="0"/>
                          <a:ext cx="971550" cy="428625"/>
                        </a:xfrm>
                        <a:prstGeom prst="rect">
                          <a:avLst/>
                        </a:prstGeom>
                        <a:solidFill>
                          <a:sysClr val="window" lastClr="FFFFFF">
                            <a:lumMod val="85000"/>
                          </a:sysClr>
                        </a:solidFill>
                        <a:ln w="6350">
                          <a:solidFill>
                            <a:srgbClr val="002060"/>
                          </a:solidFill>
                        </a:ln>
                        <a:effectLst/>
                      </wps:spPr>
                      <wps:txbx>
                        <w:txbxContent>
                          <w:p w14:paraId="2F187250" w14:textId="77777777" w:rsidR="00B56753" w:rsidRPr="00B27BB8" w:rsidRDefault="00B56753" w:rsidP="009013F5">
                            <w:pPr>
                              <w:contextualSpacing/>
                              <w:jc w:val="both"/>
                              <w:rPr>
                                <w:rFonts w:cs="Garamond"/>
                                <w:lang w:val="en-US" w:eastAsia="ru-RU" w:bidi="ru-RU"/>
                              </w:rPr>
                            </w:pPr>
                            <w:r w:rsidRPr="00B27BB8">
                              <w:rPr>
                                <w:rFonts w:cs="Garamond"/>
                                <w:lang w:val="en-US" w:eastAsia="ru-RU" w:bidi="ru-RU"/>
                              </w:rPr>
                              <w:t>Corporate finance</w:t>
                            </w:r>
                          </w:p>
                          <w:p w14:paraId="57E64073" w14:textId="77777777" w:rsidR="00B56753" w:rsidRPr="00B50D0C" w:rsidRDefault="00B56753" w:rsidP="009013F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6" o:spid="_x0000_s1031" type="#_x0000_t202" style="position:absolute;left:0;text-align:left;margin-left:97.65pt;margin-top:8.4pt;width:76.5pt;height:33.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" fillcolor="#d9d9d9" strokecolor="#002060" strokeweight=".5pt">
                <v:textbox>
                  <w:txbxContent>
                    <w:p w:rsidR="00B56753" w:rsidRPr="00B27BB8" w:rsidRDefault="00B56753" w:rsidP="009013F5">
                      <w:pPr>
                        <w:contextualSpacing/>
                        <w:jc w:val="both"/>
                        <w:rPr>
                          <w:rFonts w:cs="Garamond"/>
                          <w:lang w:val="en-US" w:eastAsia="ru-RU" w:bidi="ru-RU"/>
                        </w:rPr>
                      </w:pPr>
                      <w:r w:rsidRPr="00B27BB8">
                        <w:rPr>
                          <w:rFonts w:cs="Garamond"/>
                          <w:lang w:val="en-US" w:eastAsia="ru-RU" w:bidi="ru-RU"/>
                        </w:rPr>
                        <w:t>Corporate finance</w:t>
                      </w:r>
                    </w:p>
                    <w:p w:rsidR="00B56753" w:rsidRPr="00B50D0C" w:rsidRDefault="00B56753" w:rsidP="009013F5"/>
                  </w:txbxContent>
                </v:textbox>
              </v:shape>
            </w:pict>
          </mc:Fallback>
        </mc:AlternateContent>
      </w:r>
      <w:r w:rsidRPr="009013F5">
        <w:rPr>
          <w:rFonts w:cs="Garamond"/>
          <w:noProof/>
          <w:color w:val="auto"/>
          <w:lang w:val="ru-RU" w:eastAsia="ru-RU"/>
        </w:rPr>
        <mc:AlternateContent>
          <mc:Choice Requires="wps">
            <w:drawing>
              <wp:anchor distT="0" distB="0" distL="114300" distR="114300" simplePos="0" relativeHeight="251670016" behindDoc="0" locked="0" layoutInCell="1" allowOverlap="1" wp14:anchorId="515CFF6A" wp14:editId="77BF5767">
                <wp:simplePos x="0" y="0"/>
                <wp:positionH relativeFrom="column">
                  <wp:posOffset>135255</wp:posOffset>
                </wp:positionH>
                <wp:positionV relativeFrom="paragraph">
                  <wp:posOffset>106680</wp:posOffset>
                </wp:positionV>
                <wp:extent cx="904875" cy="428625"/>
                <wp:effectExtent l="0" t="0" r="28575" b="28575"/>
                <wp:wrapNone/>
                <wp:docPr id="15" name="Поле 15"/>
                <wp:cNvGraphicFramePr/>
                <a:graphic xmlns:a="http://schemas.openxmlformats.org/drawingml/2006/main">
                  <a:graphicData uri="http://schemas.microsoft.com/office/word/2010/wordprocessingShape">
                    <wps:wsp>
                      <wps:cNvSpPr txBox="1"/>
                      <wps:spPr>
                        <a:xfrm>
                          <a:off x="0" y="0"/>
                          <a:ext cx="904875" cy="428625"/>
                        </a:xfrm>
                        <a:prstGeom prst="rect">
                          <a:avLst/>
                        </a:prstGeom>
                        <a:solidFill>
                          <a:sysClr val="window" lastClr="FFFFFF">
                            <a:lumMod val="85000"/>
                          </a:sysClr>
                        </a:solidFill>
                        <a:ln w="6350">
                          <a:solidFill>
                            <a:srgbClr val="002060"/>
                          </a:solidFill>
                        </a:ln>
                        <a:effectLst/>
                      </wps:spPr>
                      <wps:txbx>
                        <w:txbxContent>
                          <w:p w14:paraId="313A91E7" w14:textId="77777777" w:rsidR="00B56753" w:rsidRDefault="00B56753" w:rsidP="009013F5">
                            <w:pPr>
                              <w:contextualSpacing/>
                              <w:jc w:val="both"/>
                              <w:rPr>
                                <w:rFonts w:cs="Garamond"/>
                                <w:lang w:val="en-US" w:eastAsia="ru-RU" w:bidi="ru-RU"/>
                              </w:rPr>
                            </w:pPr>
                            <w:r w:rsidRPr="00B27BB8">
                              <w:rPr>
                                <w:rFonts w:cs="Garamond"/>
                                <w:lang w:val="en-US" w:eastAsia="ru-RU" w:bidi="ru-RU"/>
                              </w:rPr>
                              <w:t xml:space="preserve">Public </w:t>
                            </w:r>
                          </w:p>
                          <w:p w14:paraId="2EFC16E6" w14:textId="77777777" w:rsidR="00B56753" w:rsidRPr="00B27BB8" w:rsidRDefault="00B56753" w:rsidP="009013F5">
                            <w:pPr>
                              <w:contextualSpacing/>
                              <w:jc w:val="both"/>
                              <w:rPr>
                                <w:rFonts w:cs="Garamond"/>
                                <w:lang w:val="en-US" w:eastAsia="ru-RU" w:bidi="ru-RU"/>
                              </w:rPr>
                            </w:pPr>
                            <w:r w:rsidRPr="00B27BB8">
                              <w:rPr>
                                <w:rFonts w:cs="Garamond"/>
                                <w:lang w:val="en-US" w:eastAsia="ru-RU" w:bidi="ru-RU"/>
                              </w:rPr>
                              <w:t>finance</w:t>
                            </w:r>
                          </w:p>
                          <w:p w14:paraId="18073014" w14:textId="77777777" w:rsidR="00B56753" w:rsidRDefault="00B56753" w:rsidP="009013F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5" o:spid="_x0000_s1032" type="#_x0000_t202" style="position:absolute;left:0;text-align:left;margin-left:10.65pt;margin-top:8.4pt;width:71.25pt;height:33.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" fillcolor="#d9d9d9" strokecolor="#002060" strokeweight=".5pt">
                <v:textbox>
                  <w:txbxContent>
                    <w:p w:rsidR="00B56753" w:rsidRDefault="00B56753" w:rsidP="009013F5">
                      <w:pPr>
                        <w:contextualSpacing/>
                        <w:jc w:val="both"/>
                        <w:rPr>
                          <w:rFonts w:cs="Garamond"/>
                          <w:lang w:val="en-US" w:eastAsia="ru-RU" w:bidi="ru-RU"/>
                        </w:rPr>
                      </w:pPr>
                      <w:r w:rsidRPr="00B27BB8">
                        <w:rPr>
                          <w:rFonts w:cs="Garamond"/>
                          <w:lang w:val="en-US" w:eastAsia="ru-RU" w:bidi="ru-RU"/>
                        </w:rPr>
                        <w:t xml:space="preserve">Public </w:t>
                      </w:r>
                    </w:p>
                    <w:p w:rsidR="00B56753" w:rsidRPr="00B27BB8" w:rsidRDefault="00B56753" w:rsidP="009013F5">
                      <w:pPr>
                        <w:contextualSpacing/>
                        <w:jc w:val="both"/>
                        <w:rPr>
                          <w:rFonts w:cs="Garamond"/>
                          <w:lang w:val="en-US" w:eastAsia="ru-RU" w:bidi="ru-RU"/>
                        </w:rPr>
                      </w:pPr>
                      <w:r w:rsidRPr="00B27BB8">
                        <w:rPr>
                          <w:rFonts w:cs="Garamond"/>
                          <w:lang w:val="en-US" w:eastAsia="ru-RU" w:bidi="ru-RU"/>
                        </w:rPr>
                        <w:t>finance</w:t>
                      </w:r>
                    </w:p>
                    <w:p w:rsidR="00B56753" w:rsidRDefault="00B56753" w:rsidP="009013F5"/>
                  </w:txbxContent>
                </v:textbox>
              </v:shape>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90496" behindDoc="0" locked="0" layoutInCell="1" allowOverlap="1" wp14:anchorId="0288F8B7" wp14:editId="5BBA4657">
                <wp:simplePos x="0" y="0"/>
                <wp:positionH relativeFrom="column">
                  <wp:posOffset>5069205</wp:posOffset>
                </wp:positionH>
                <wp:positionV relativeFrom="paragraph">
                  <wp:posOffset>106816</wp:posOffset>
                </wp:positionV>
                <wp:extent cx="1000125" cy="428625"/>
                <wp:effectExtent l="0" t="0" r="28575" b="28575"/>
                <wp:wrapNone/>
                <wp:docPr id="35" name="Поле 35"/>
                <wp:cNvGraphicFramePr/>
                <a:graphic xmlns:a="http://schemas.openxmlformats.org/drawingml/2006/main">
                  <a:graphicData uri="http://schemas.microsoft.com/office/word/2010/wordprocessingShape">
                    <wps:wsp>
                      <wps:cNvSpPr txBox="1"/>
                      <wps:spPr>
                        <a:xfrm>
                          <a:off x="0" y="0"/>
                          <a:ext cx="1000125" cy="428625"/>
                        </a:xfrm>
                        <a:prstGeom prst="rect">
                          <a:avLst/>
                        </a:prstGeom>
                        <a:solidFill>
                          <a:sysClr val="window" lastClr="FFFFFF">
                            <a:lumMod val="85000"/>
                          </a:sysClr>
                        </a:solidFill>
                        <a:ln w="6350">
                          <a:solidFill>
                            <a:srgbClr val="002060"/>
                          </a:solidFill>
                        </a:ln>
                        <a:effectLst/>
                      </wps:spPr>
                      <wps:txbx>
                        <w:txbxContent>
                          <w:p w14:paraId="3F918DE1" w14:textId="77777777" w:rsidR="00B56753" w:rsidRPr="00B27BB8" w:rsidRDefault="00B56753" w:rsidP="009013F5">
                            <w:pPr>
                              <w:contextualSpacing/>
                              <w:jc w:val="both"/>
                              <w:rPr>
                                <w:rFonts w:cs="Garamond"/>
                                <w:lang w:val="en-US" w:eastAsia="ru-RU" w:bidi="ru-RU"/>
                              </w:rPr>
                            </w:pPr>
                            <w:r w:rsidRPr="00B27BB8">
                              <w:rPr>
                                <w:rFonts w:cs="Garamond"/>
                                <w:lang w:val="en-US" w:eastAsia="ru-RU" w:bidi="ru-RU"/>
                              </w:rPr>
                              <w:t>International finance</w:t>
                            </w:r>
                          </w:p>
                          <w:p w14:paraId="4DFCBBD1" w14:textId="77777777" w:rsidR="00B56753" w:rsidRDefault="00B56753" w:rsidP="009013F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5" o:spid="_x0000_s1033" type="#_x0000_t202" style="position:absolute;left:0;text-align:left;margin-left:399.15pt;margin-top:8.4pt;width:78.75pt;height:33.7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" fillcolor="#d9d9d9" strokecolor="#002060" strokeweight=".5pt">
                <v:textbox>
                  <w:txbxContent>
                    <w:p w:rsidR="00B56753" w:rsidRPr="00B27BB8" w:rsidRDefault="00B56753" w:rsidP="009013F5">
                      <w:pPr>
                        <w:contextualSpacing/>
                        <w:jc w:val="both"/>
                        <w:rPr>
                          <w:rFonts w:cs="Garamond"/>
                          <w:lang w:val="en-US" w:eastAsia="ru-RU" w:bidi="ru-RU"/>
                        </w:rPr>
                      </w:pPr>
                      <w:r w:rsidRPr="00B27BB8">
                        <w:rPr>
                          <w:rFonts w:cs="Garamond"/>
                          <w:lang w:val="en-US" w:eastAsia="ru-RU" w:bidi="ru-RU"/>
                        </w:rPr>
                        <w:t>International finance</w:t>
                      </w:r>
                    </w:p>
                    <w:p w:rsidR="00B56753" w:rsidRDefault="00B56753" w:rsidP="009013F5"/>
                  </w:txbxContent>
                </v:textbox>
              </v:shape>
            </w:pict>
          </mc:Fallback>
        </mc:AlternateContent>
      </w:r>
    </w:p>
    <w:p w14:paraId="42863239" w14:textId="77777777" w:rsidR="009013F5" w:rsidRPr="009013F5" w:rsidRDefault="00EC3B3C" w:rsidP="009013F5">
      <w:pPr>
        <w:spacing w:line="312" w:lineRule="auto"/>
        <w:ind w:firstLine="357"/>
        <w:contextualSpacing/>
        <w:jc w:val="both"/>
        <w:rPr>
          <w:rFonts w:cs="Garamond"/>
          <w:color w:val="auto"/>
          <w:lang w:val="en-US" w:eastAsia="ru-RU" w:bidi="ru-RU"/>
        </w:rPr>
      </w:pPr>
      <w:r w:rsidRPr="009013F5">
        <w:rPr>
          <w:rFonts w:cs="Garamond"/>
          <w:noProof/>
          <w:color w:val="auto"/>
          <w:lang w:val="ru-RU" w:eastAsia="ru-RU"/>
        </w:rPr>
        <mc:AlternateContent>
          <mc:Choice Requires="wps">
            <w:drawing>
              <wp:anchor distT="0" distB="0" distL="114300" distR="114300" simplePos="0" relativeHeight="251675136" behindDoc="0" locked="0" layoutInCell="1" allowOverlap="1" wp14:anchorId="14296ADA" wp14:editId="13F4DF40">
                <wp:simplePos x="0" y="0"/>
                <wp:positionH relativeFrom="column">
                  <wp:posOffset>-8681</wp:posOffset>
                </wp:positionH>
                <wp:positionV relativeFrom="paragraph">
                  <wp:posOffset>198321</wp:posOffset>
                </wp:positionV>
                <wp:extent cx="0" cy="450850"/>
                <wp:effectExtent l="0" t="0" r="19050" b="2540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0" cy="45085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0" o:spid="_x0000_s1026" style="position:absolute;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15.6pt" to="-.7pt,5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" strokecolor="windowText" strokeweight="1pt"/>
            </w:pict>
          </mc:Fallback>
        </mc:AlternateContent>
      </w:r>
      <w:r w:rsidRPr="009013F5">
        <w:rPr>
          <w:rFonts w:cs="Garamond"/>
          <w:noProof/>
          <w:color w:val="auto"/>
          <w:lang w:val="ru-RU" w:eastAsia="ru-RU"/>
        </w:rPr>
        <mc:AlternateContent>
          <mc:Choice Requires="wps">
            <w:drawing>
              <wp:anchor distT="0" distB="0" distL="114300" distR="114300" simplePos="0" relativeHeight="251674112" behindDoc="0" locked="0" layoutInCell="1" allowOverlap="1" wp14:anchorId="34255A9D" wp14:editId="18121400">
                <wp:simplePos x="0" y="0"/>
                <wp:positionH relativeFrom="column">
                  <wp:posOffset>2540</wp:posOffset>
                </wp:positionH>
                <wp:positionV relativeFrom="paragraph">
                  <wp:posOffset>198120</wp:posOffset>
                </wp:positionV>
                <wp:extent cx="127000" cy="0"/>
                <wp:effectExtent l="0" t="0" r="25400" b="19050"/>
                <wp:wrapNone/>
                <wp:docPr id="19" name="Прямая соединительная линия 19"/>
                <wp:cNvGraphicFramePr/>
                <a:graphic xmlns:a="http://schemas.openxmlformats.org/drawingml/2006/main">
                  <a:graphicData uri="http://schemas.microsoft.com/office/word/2010/wordprocessingShape">
                    <wps:wsp>
                      <wps:cNvCnPr/>
                      <wps:spPr>
                        <a:xfrm flipH="1">
                          <a:off x="0" y="0"/>
                          <a:ext cx="127000" cy="0"/>
                        </a:xfrm>
                        <a:prstGeom prst="line">
                          <a:avLst/>
                        </a:prstGeom>
                        <a:noFill/>
                        <a:ln w="12700"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9" o:spid="_x0000_s1026" style="position:absolute;flip:x;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15.6pt" to="10.2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" strokeweight="1pt"/>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89472" behindDoc="0" locked="0" layoutInCell="1" allowOverlap="1" wp14:anchorId="08960B1C" wp14:editId="7F34F31B">
                <wp:simplePos x="0" y="0"/>
                <wp:positionH relativeFrom="column">
                  <wp:posOffset>4935855</wp:posOffset>
                </wp:positionH>
                <wp:positionV relativeFrom="paragraph">
                  <wp:posOffset>675005</wp:posOffset>
                </wp:positionV>
                <wp:extent cx="133350" cy="0"/>
                <wp:effectExtent l="0" t="76200" r="19050" b="95250"/>
                <wp:wrapNone/>
                <wp:docPr id="34" name="Прямая соединительная линия 34"/>
                <wp:cNvGraphicFramePr/>
                <a:graphic xmlns:a="http://schemas.openxmlformats.org/drawingml/2006/main">
                  <a:graphicData uri="http://schemas.microsoft.com/office/word/2010/wordprocessingShape">
                    <wps:wsp>
                      <wps:cNvCnPr/>
                      <wps:spPr>
                        <a:xfrm flipH="1" flipV="1">
                          <a:off x="0" y="0"/>
                          <a:ext cx="133350" cy="0"/>
                        </a:xfrm>
                        <a:prstGeom prst="line">
                          <a:avLst/>
                        </a:prstGeom>
                        <a:noFill/>
                        <a:ln w="12700" cap="flat" cmpd="sng" algn="ctr">
                          <a:solidFill>
                            <a:sysClr val="windowText" lastClr="000000">
                              <a:shade val="95000"/>
                              <a:satMod val="105000"/>
                            </a:sysClr>
                          </a:solidFill>
                          <a:prstDash val="solid"/>
                          <a:headEnd type="triangle" w="med" len="med"/>
                          <a:tailEnd type="none" w="med" len="me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4" o:spid="_x0000_s1026" style="position:absolute;flip:x y;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8.65pt,53.15pt" to="399.15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" strokeweight="1pt">
                <v:stroke startarrow="block"/>
              </v:line>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93568" behindDoc="0" locked="0" layoutInCell="1" allowOverlap="1" wp14:anchorId="2D5F4D05" wp14:editId="3C1A762F">
                <wp:simplePos x="0" y="0"/>
                <wp:positionH relativeFrom="column">
                  <wp:posOffset>4935855</wp:posOffset>
                </wp:positionH>
                <wp:positionV relativeFrom="paragraph">
                  <wp:posOffset>208280</wp:posOffset>
                </wp:positionV>
                <wp:extent cx="0" cy="466725"/>
                <wp:effectExtent l="0" t="0" r="19050" b="9525"/>
                <wp:wrapNone/>
                <wp:docPr id="39" name="Прямая соединительная линия 39"/>
                <wp:cNvGraphicFramePr/>
                <a:graphic xmlns:a="http://schemas.openxmlformats.org/drawingml/2006/main">
                  <a:graphicData uri="http://schemas.microsoft.com/office/word/2010/wordprocessingShape">
                    <wps:wsp>
                      <wps:cNvCnPr/>
                      <wps:spPr>
                        <a:xfrm>
                          <a:off x="0" y="0"/>
                          <a:ext cx="0" cy="466725"/>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Прямая соединительная линия 39" o:spid="_x0000_s1026" style="position:absolute;z-index:251693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88.65pt,16.4pt" to="388.65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" strokecolor="windowText" strokeweight="1pt"/>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92544" behindDoc="0" locked="0" layoutInCell="1" allowOverlap="1" wp14:anchorId="5E34B9D8" wp14:editId="27CA8C54">
                <wp:simplePos x="0" y="0"/>
                <wp:positionH relativeFrom="column">
                  <wp:posOffset>4935855</wp:posOffset>
                </wp:positionH>
                <wp:positionV relativeFrom="paragraph">
                  <wp:posOffset>208280</wp:posOffset>
                </wp:positionV>
                <wp:extent cx="133350" cy="0"/>
                <wp:effectExtent l="0" t="0" r="19050" b="19050"/>
                <wp:wrapNone/>
                <wp:docPr id="38" name="Прямая соединительная линия 38"/>
                <wp:cNvGraphicFramePr/>
                <a:graphic xmlns:a="http://schemas.openxmlformats.org/drawingml/2006/main">
                  <a:graphicData uri="http://schemas.microsoft.com/office/word/2010/wordprocessingShape">
                    <wps:wsp>
                      <wps:cNvCnPr/>
                      <wps:spPr>
                        <a:xfrm flipH="1" flipV="1">
                          <a:off x="0" y="0"/>
                          <a:ext cx="133350" cy="0"/>
                        </a:xfrm>
                        <a:prstGeom prst="line">
                          <a:avLst/>
                        </a:prstGeom>
                        <a:noFill/>
                        <a:ln w="12700"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8" o:spid="_x0000_s1026" style="position:absolute;flip:x y;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8.65pt,16.4pt" to="399.1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" strokeweight="1pt"/>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88448" behindDoc="0" locked="0" layoutInCell="1" allowOverlap="1" wp14:anchorId="20764BD5" wp14:editId="7547F1A2">
                <wp:simplePos x="0" y="0"/>
                <wp:positionH relativeFrom="column">
                  <wp:posOffset>3564255</wp:posOffset>
                </wp:positionH>
                <wp:positionV relativeFrom="paragraph">
                  <wp:posOffset>198755</wp:posOffset>
                </wp:positionV>
                <wp:extent cx="0" cy="466725"/>
                <wp:effectExtent l="0" t="0" r="19050" b="9525"/>
                <wp:wrapNone/>
                <wp:docPr id="33" name="Прямая соединительная линия 33"/>
                <wp:cNvGraphicFramePr/>
                <a:graphic xmlns:a="http://schemas.openxmlformats.org/drawingml/2006/main">
                  <a:graphicData uri="http://schemas.microsoft.com/office/word/2010/wordprocessingShape">
                    <wps:wsp>
                      <wps:cNvCnPr/>
                      <wps:spPr>
                        <a:xfrm>
                          <a:off x="0" y="0"/>
                          <a:ext cx="0" cy="466725"/>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Прямая соединительная линия 33" o:spid="_x0000_s1026" style="position:absolute;z-index:251688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80.65pt,15.65pt" to="280.65pt,5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" strokecolor="windowText" strokeweight="1pt"/>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87424" behindDoc="0" locked="0" layoutInCell="1" allowOverlap="1" wp14:anchorId="640DCA16" wp14:editId="000E9FF6">
                <wp:simplePos x="0" y="0"/>
                <wp:positionH relativeFrom="column">
                  <wp:posOffset>3564255</wp:posOffset>
                </wp:positionH>
                <wp:positionV relativeFrom="paragraph">
                  <wp:posOffset>198755</wp:posOffset>
                </wp:positionV>
                <wp:extent cx="133350" cy="0"/>
                <wp:effectExtent l="0" t="0" r="19050" b="19050"/>
                <wp:wrapNone/>
                <wp:docPr id="32" name="Прямая соединительная линия 32"/>
                <wp:cNvGraphicFramePr/>
                <a:graphic xmlns:a="http://schemas.openxmlformats.org/drawingml/2006/main">
                  <a:graphicData uri="http://schemas.microsoft.com/office/word/2010/wordprocessingShape">
                    <wps:wsp>
                      <wps:cNvCnPr/>
                      <wps:spPr>
                        <a:xfrm flipH="1" flipV="1">
                          <a:off x="0" y="0"/>
                          <a:ext cx="133350" cy="0"/>
                        </a:xfrm>
                        <a:prstGeom prst="line">
                          <a:avLst/>
                        </a:prstGeom>
                        <a:noFill/>
                        <a:ln w="12700"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2" o:spid="_x0000_s1026" style="position:absolute;flip:x y;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0.65pt,15.65pt" to="291.1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" strokeweight="1pt"/>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82304" behindDoc="0" locked="0" layoutInCell="1" allowOverlap="1" wp14:anchorId="4C1B5E68" wp14:editId="5101A4E8">
                <wp:simplePos x="0" y="0"/>
                <wp:positionH relativeFrom="column">
                  <wp:posOffset>2287905</wp:posOffset>
                </wp:positionH>
                <wp:positionV relativeFrom="paragraph">
                  <wp:posOffset>208280</wp:posOffset>
                </wp:positionV>
                <wp:extent cx="133350" cy="0"/>
                <wp:effectExtent l="0" t="0" r="19050" b="19050"/>
                <wp:wrapNone/>
                <wp:docPr id="27" name="Прямая соединительная линия 27"/>
                <wp:cNvGraphicFramePr/>
                <a:graphic xmlns:a="http://schemas.openxmlformats.org/drawingml/2006/main">
                  <a:graphicData uri="http://schemas.microsoft.com/office/word/2010/wordprocessingShape">
                    <wps:wsp>
                      <wps:cNvCnPr/>
                      <wps:spPr>
                        <a:xfrm flipH="1" flipV="1">
                          <a:off x="0" y="0"/>
                          <a:ext cx="133350" cy="0"/>
                        </a:xfrm>
                        <a:prstGeom prst="line">
                          <a:avLst/>
                        </a:prstGeom>
                        <a:noFill/>
                        <a:ln w="12700"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7" o:spid="_x0000_s1026" style="position:absolute;flip:x y;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15pt,16.4pt" to="190.6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" strokeweight="1pt"/>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84352" behindDoc="0" locked="0" layoutInCell="1" allowOverlap="1" wp14:anchorId="472039B0" wp14:editId="3A51F3DF">
                <wp:simplePos x="0" y="0"/>
                <wp:positionH relativeFrom="column">
                  <wp:posOffset>2287905</wp:posOffset>
                </wp:positionH>
                <wp:positionV relativeFrom="paragraph">
                  <wp:posOffset>675005</wp:posOffset>
                </wp:positionV>
                <wp:extent cx="133350" cy="0"/>
                <wp:effectExtent l="0" t="76200" r="19050" b="95250"/>
                <wp:wrapNone/>
                <wp:docPr id="29" name="Прямая соединительная линия 29"/>
                <wp:cNvGraphicFramePr/>
                <a:graphic xmlns:a="http://schemas.openxmlformats.org/drawingml/2006/main">
                  <a:graphicData uri="http://schemas.microsoft.com/office/word/2010/wordprocessingShape">
                    <wps:wsp>
                      <wps:cNvCnPr/>
                      <wps:spPr>
                        <a:xfrm flipH="1" flipV="1">
                          <a:off x="0" y="0"/>
                          <a:ext cx="133350" cy="0"/>
                        </a:xfrm>
                        <a:prstGeom prst="line">
                          <a:avLst/>
                        </a:prstGeom>
                        <a:noFill/>
                        <a:ln w="12700" cap="flat" cmpd="sng" algn="ctr">
                          <a:solidFill>
                            <a:sysClr val="windowText" lastClr="000000">
                              <a:shade val="95000"/>
                              <a:satMod val="105000"/>
                            </a:sysClr>
                          </a:solidFill>
                          <a:prstDash val="solid"/>
                          <a:headEnd type="triangle" w="med" len="med"/>
                          <a:tailEnd type="none" w="med" len="me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9" o:spid="_x0000_s1026" style="position:absolute;flip:x y;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15pt,53.15pt" to="190.65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" strokeweight="1pt">
                <v:stroke startarrow="block"/>
              </v:line>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83328" behindDoc="0" locked="0" layoutInCell="1" allowOverlap="1" wp14:anchorId="7505912B" wp14:editId="719F12AF">
                <wp:simplePos x="0" y="0"/>
                <wp:positionH relativeFrom="column">
                  <wp:posOffset>2287905</wp:posOffset>
                </wp:positionH>
                <wp:positionV relativeFrom="paragraph">
                  <wp:posOffset>208280</wp:posOffset>
                </wp:positionV>
                <wp:extent cx="0" cy="466725"/>
                <wp:effectExtent l="0" t="0" r="19050" b="9525"/>
                <wp:wrapNone/>
                <wp:docPr id="28" name="Прямая соединительная линия 28"/>
                <wp:cNvGraphicFramePr/>
                <a:graphic xmlns:a="http://schemas.openxmlformats.org/drawingml/2006/main">
                  <a:graphicData uri="http://schemas.microsoft.com/office/word/2010/wordprocessingShape">
                    <wps:wsp>
                      <wps:cNvCnPr/>
                      <wps:spPr>
                        <a:xfrm>
                          <a:off x="0" y="0"/>
                          <a:ext cx="0" cy="466725"/>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Прямая соединительная линия 28" o:spid="_x0000_s1026" style="position:absolute;z-index:251683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0.15pt,16.4pt" to="180.15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" strokecolor="windowText" strokeweight="1pt"/>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79232" behindDoc="0" locked="0" layoutInCell="1" allowOverlap="1" wp14:anchorId="7E9CAB59" wp14:editId="5B666533">
                <wp:simplePos x="0" y="0"/>
                <wp:positionH relativeFrom="column">
                  <wp:posOffset>1106805</wp:posOffset>
                </wp:positionH>
                <wp:positionV relativeFrom="paragraph">
                  <wp:posOffset>198755</wp:posOffset>
                </wp:positionV>
                <wp:extent cx="0" cy="466725"/>
                <wp:effectExtent l="0" t="0" r="19050" b="9525"/>
                <wp:wrapNone/>
                <wp:docPr id="24" name="Прямая соединительная линия 24"/>
                <wp:cNvGraphicFramePr/>
                <a:graphic xmlns:a="http://schemas.openxmlformats.org/drawingml/2006/main">
                  <a:graphicData uri="http://schemas.microsoft.com/office/word/2010/wordprocessingShape">
                    <wps:wsp>
                      <wps:cNvCnPr/>
                      <wps:spPr>
                        <a:xfrm>
                          <a:off x="0" y="0"/>
                          <a:ext cx="0" cy="466725"/>
                        </a:xfrm>
                        <a:prstGeom prst="line">
                          <a:avLst/>
                        </a:prstGeom>
                        <a:noFill/>
                        <a:ln w="12700" cap="flat" cmpd="sng" algn="ctr">
                          <a:solidFill>
                            <a:sysClr val="windowText" lastClr="000000"/>
                          </a:solidFill>
                          <a:prstDash val="solid"/>
                        </a:ln>
                        <a:effectLst/>
                      </wps:spPr>
                      <wps:bodyPr/>
                    </wps:wsp>
                  </a:graphicData>
                </a:graphic>
                <wp14:sizeRelV relativeFrom="margin">
                  <wp14:pctHeight>0</wp14:pctHeight>
                </wp14:sizeRelV>
              </wp:anchor>
            </w:drawing>
          </mc:Choice>
          <mc:Fallback>
            <w:pict>
              <v:line id="Прямая соединительная линия 24" o:spid="_x0000_s1026" style="position:absolute;z-index:251679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7.15pt,15.65pt" to="87.15pt,5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" strokecolor="windowText" strokeweight="1pt"/>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78208" behindDoc="0" locked="0" layoutInCell="1" allowOverlap="1" wp14:anchorId="024536B7" wp14:editId="3450AE26">
                <wp:simplePos x="0" y="0"/>
                <wp:positionH relativeFrom="column">
                  <wp:posOffset>1106805</wp:posOffset>
                </wp:positionH>
                <wp:positionV relativeFrom="paragraph">
                  <wp:posOffset>198755</wp:posOffset>
                </wp:positionV>
                <wp:extent cx="133350" cy="0"/>
                <wp:effectExtent l="0" t="0" r="19050" b="19050"/>
                <wp:wrapNone/>
                <wp:docPr id="23" name="Прямая соединительная линия 23"/>
                <wp:cNvGraphicFramePr/>
                <a:graphic xmlns:a="http://schemas.openxmlformats.org/drawingml/2006/main">
                  <a:graphicData uri="http://schemas.microsoft.com/office/word/2010/wordprocessingShape">
                    <wps:wsp>
                      <wps:cNvCnPr/>
                      <wps:spPr>
                        <a:xfrm flipH="1" flipV="1">
                          <a:off x="0" y="0"/>
                          <a:ext cx="133350" cy="0"/>
                        </a:xfrm>
                        <a:prstGeom prst="line">
                          <a:avLst/>
                        </a:prstGeom>
                        <a:noFill/>
                        <a:ln w="12700"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w:pict>
              <v:line id="Прямая соединительная линия 23" o:spid="_x0000_s1026" style="position:absolute;flip:x y;z-index:251678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7.15pt,15.65pt" to="97.6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" strokeweight="1pt"/>
            </w:pict>
          </mc:Fallback>
        </mc:AlternateContent>
      </w:r>
      <w:r w:rsidR="009013F5" w:rsidRPr="009013F5">
        <w:rPr>
          <w:rFonts w:cs="Garamond"/>
          <w:noProof/>
          <w:color w:val="auto"/>
          <w:lang w:val="ru-RU" w:eastAsia="ru-RU"/>
        </w:rPr>
        <mc:AlternateContent>
          <mc:Choice Requires="wps">
            <w:drawing>
              <wp:anchor distT="0" distB="0" distL="114300" distR="114300" simplePos="0" relativeHeight="251681280" behindDoc="0" locked="0" layoutInCell="1" allowOverlap="1" wp14:anchorId="1635ACF8" wp14:editId="24396350">
                <wp:simplePos x="0" y="0"/>
                <wp:positionH relativeFrom="column">
                  <wp:posOffset>1106805</wp:posOffset>
                </wp:positionH>
                <wp:positionV relativeFrom="paragraph">
                  <wp:posOffset>665480</wp:posOffset>
                </wp:positionV>
                <wp:extent cx="133350" cy="0"/>
                <wp:effectExtent l="0" t="76200" r="19050" b="95250"/>
                <wp:wrapNone/>
                <wp:docPr id="26" name="Прямая соединительная линия 26"/>
                <wp:cNvGraphicFramePr/>
                <a:graphic xmlns:a="http://schemas.openxmlformats.org/drawingml/2006/main">
                  <a:graphicData uri="http://schemas.microsoft.com/office/word/2010/wordprocessingShape">
                    <wps:wsp>
                      <wps:cNvCnPr/>
                      <wps:spPr>
                        <a:xfrm flipH="1" flipV="1">
                          <a:off x="0" y="0"/>
                          <a:ext cx="133350" cy="0"/>
                        </a:xfrm>
                        <a:prstGeom prst="line">
                          <a:avLst/>
                        </a:prstGeom>
                        <a:noFill/>
                        <a:ln w="12700" cap="flat" cmpd="sng" algn="ctr">
                          <a:solidFill>
                            <a:sysClr val="windowText" lastClr="000000">
                              <a:shade val="95000"/>
                              <a:satMod val="105000"/>
                            </a:sysClr>
                          </a:solidFill>
                          <a:prstDash val="solid"/>
                          <a:headEnd type="triangle" w="med" len="med"/>
                          <a:tailEnd type="none" w="med" len="med"/>
                        </a:ln>
                        <a:effectLst/>
                      </wps:spPr>
                      <wps:bodyPr/>
                    </wps:wsp>
                  </a:graphicData>
                </a:graphic>
                <wp14:sizeRelV relativeFrom="margin">
                  <wp14:pctHeight>0</wp14:pctHeight>
                </wp14:sizeRelV>
              </wp:anchor>
            </w:drawing>
          </mc:Choice>
          <mc:Fallback>
            <w:pict>
              <v:line id="Прямая соединительная линия 26" o:spid="_x0000_s1026" style="position:absolute;flip:x y;z-index:251681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7.15pt,52.4pt" to="97.65pt,5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" strokeweight="1pt">
                <v:stroke startarrow="block"/>
              </v:line>
            </w:pict>
          </mc:Fallback>
        </mc:AlternateContent>
      </w:r>
    </w:p>
    <w:p w14:paraId="3141876E" w14:textId="77777777" w:rsidR="009013F5" w:rsidRPr="009013F5" w:rsidRDefault="00ED053B" w:rsidP="009013F5">
      <w:pPr>
        <w:spacing w:line="312" w:lineRule="auto"/>
        <w:ind w:firstLine="357"/>
        <w:contextualSpacing/>
        <w:jc w:val="both"/>
        <w:rPr>
          <w:rFonts w:cs="Garamond"/>
          <w:color w:val="auto"/>
          <w:lang w:val="en-US" w:eastAsia="ru-RU" w:bidi="ru-RU"/>
        </w:rPr>
      </w:pPr>
      <w:r w:rsidRPr="009013F5">
        <w:rPr>
          <w:rFonts w:cs="Garamond"/>
          <w:noProof/>
          <w:color w:val="auto"/>
          <w:lang w:val="ru-RU" w:eastAsia="ru-RU"/>
        </w:rPr>
        <mc:AlternateContent>
          <mc:Choice Requires="wps">
            <w:drawing>
              <wp:anchor distT="0" distB="0" distL="114300" distR="114300" simplePos="0" relativeHeight="251691520" behindDoc="0" locked="0" layoutInCell="1" allowOverlap="1" wp14:anchorId="48A3B6E6" wp14:editId="4BAC704B">
                <wp:simplePos x="0" y="0"/>
                <wp:positionH relativeFrom="column">
                  <wp:posOffset>5070764</wp:posOffset>
                </wp:positionH>
                <wp:positionV relativeFrom="paragraph">
                  <wp:posOffset>156844</wp:posOffset>
                </wp:positionV>
                <wp:extent cx="1000125" cy="2020281"/>
                <wp:effectExtent l="0" t="0" r="28575" b="18415"/>
                <wp:wrapNone/>
                <wp:docPr id="36" name="Поле 36"/>
                <wp:cNvGraphicFramePr/>
                <a:graphic xmlns:a="http://schemas.openxmlformats.org/drawingml/2006/main">
                  <a:graphicData uri="http://schemas.microsoft.com/office/word/2010/wordprocessingShape">
                    <wps:wsp>
                      <wps:cNvSpPr txBox="1"/>
                      <wps:spPr>
                        <a:xfrm>
                          <a:off x="0" y="0"/>
                          <a:ext cx="1000125" cy="2020281"/>
                        </a:xfrm>
                        <a:prstGeom prst="rect">
                          <a:avLst/>
                        </a:prstGeom>
                        <a:solidFill>
                          <a:sysClr val="window" lastClr="FFFFFF"/>
                        </a:solidFill>
                        <a:ln w="6350">
                          <a:solidFill>
                            <a:srgbClr val="002060"/>
                          </a:solidFill>
                        </a:ln>
                        <a:effectLst/>
                      </wps:spPr>
                      <wps:txbx>
                        <w:txbxContent>
                          <w:p w14:paraId="5F1B629D"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international organizations and institutions</w:t>
                            </w:r>
                          </w:p>
                          <w:p w14:paraId="38A3188C"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foreign companies and</w:t>
                            </w:r>
                            <w:r w:rsidRPr="007239C0">
                              <w:rPr>
                                <w:rFonts w:ascii="Garamond" w:eastAsia="Times New Roman" w:hAnsi="Garamond" w:cs="Garamond"/>
                                <w:lang w:val="en-US" w:eastAsia="ru-RU" w:bidi="ru-RU"/>
                              </w:rPr>
                              <w:t xml:space="preserve"> </w:t>
                            </w:r>
                            <w:r w:rsidRPr="00EC3B3C">
                              <w:rPr>
                                <w:rFonts w:ascii="Garamond" w:eastAsia="Times New Roman" w:hAnsi="Garamond" w:cs="Garamond"/>
                                <w:sz w:val="22"/>
                                <w:lang w:val="en-US" w:eastAsia="ru-RU" w:bidi="ru-RU"/>
                              </w:rPr>
                              <w:t>individuals</w:t>
                            </w:r>
                          </w:p>
                          <w:p w14:paraId="63F181D5"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International financial market</w:t>
                            </w:r>
                          </w:p>
                          <w:p w14:paraId="430EB374" w14:textId="77777777" w:rsidR="00B56753" w:rsidRPr="007239C0" w:rsidRDefault="00B56753" w:rsidP="009013F5">
                            <w:pPr>
                              <w:pStyle w:val="ListParagraph"/>
                              <w:ind w:left="0"/>
                              <w:rPr>
                                <w:rFonts w:ascii="Garamond" w:eastAsia="Times New Roman" w:hAnsi="Garamond" w:cs="Garamond"/>
                                <w:lang w:val="en-US" w:eastAsia="ru-RU" w:bidi="ru-RU"/>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6" o:spid="_x0000_s1034" type="#_x0000_t202" style="position:absolute;left:0;text-align:left;margin-left:399.25pt;margin-top:12.35pt;width:78.75pt;height:159.1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" fillcolor="window" strokecolor="#002060" strokeweight=".5pt">
                <v:textbox>
                  <w:txbxContent>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international organizations and institutions</w:t>
                      </w:r>
                    </w:p>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foreign companies and</w:t>
                      </w:r>
                      <w:r w:rsidRPr="007239C0">
                        <w:rPr>
                          <w:rFonts w:ascii="Garamond" w:eastAsia="Times New Roman" w:hAnsi="Garamond" w:cs="Garamond"/>
                          <w:lang w:val="en-US" w:eastAsia="ru-RU" w:bidi="ru-RU"/>
                        </w:rPr>
                        <w:t xml:space="preserve"> </w:t>
                      </w:r>
                      <w:r w:rsidRPr="00EC3B3C">
                        <w:rPr>
                          <w:rFonts w:ascii="Garamond" w:eastAsia="Times New Roman" w:hAnsi="Garamond" w:cs="Garamond"/>
                          <w:sz w:val="22"/>
                          <w:lang w:val="en-US" w:eastAsia="ru-RU" w:bidi="ru-RU"/>
                        </w:rPr>
                        <w:t>individuals</w:t>
                      </w:r>
                    </w:p>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International financial market</w:t>
                      </w:r>
                    </w:p>
                    <w:p w:rsidR="00B56753" w:rsidRPr="007239C0" w:rsidRDefault="00B56753" w:rsidP="009013F5">
                      <w:pPr>
                        <w:pStyle w:val="afb"/>
                        <w:ind w:left="0"/>
                        <w:rPr>
                          <w:rFonts w:ascii="Garamond" w:eastAsia="Times New Roman" w:hAnsi="Garamond" w:cs="Garamond"/>
                          <w:lang w:val="en-US" w:eastAsia="ru-RU" w:bidi="ru-RU"/>
                        </w:rPr>
                      </w:pPr>
                    </w:p>
                  </w:txbxContent>
                </v:textbox>
              </v:shape>
            </w:pict>
          </mc:Fallback>
        </mc:AlternateContent>
      </w:r>
      <w:r w:rsidRPr="009013F5">
        <w:rPr>
          <w:rFonts w:cs="Garamond"/>
          <w:noProof/>
          <w:color w:val="auto"/>
          <w:lang w:val="ru-RU" w:eastAsia="ru-RU"/>
        </w:rPr>
        <mc:AlternateContent>
          <mc:Choice Requires="wps">
            <w:drawing>
              <wp:anchor distT="0" distB="0" distL="114300" distR="114300" simplePos="0" relativeHeight="251686400" behindDoc="0" locked="0" layoutInCell="1" allowOverlap="1" wp14:anchorId="315CC5D0" wp14:editId="4F1D8ADD">
                <wp:simplePos x="0" y="0"/>
                <wp:positionH relativeFrom="column">
                  <wp:posOffset>3698875</wp:posOffset>
                </wp:positionH>
                <wp:positionV relativeFrom="paragraph">
                  <wp:posOffset>156845</wp:posOffset>
                </wp:positionV>
                <wp:extent cx="1162050" cy="1953260"/>
                <wp:effectExtent l="0" t="0" r="19050" b="27940"/>
                <wp:wrapNone/>
                <wp:docPr id="31" name="Поле 31"/>
                <wp:cNvGraphicFramePr/>
                <a:graphic xmlns:a="http://schemas.openxmlformats.org/drawingml/2006/main">
                  <a:graphicData uri="http://schemas.microsoft.com/office/word/2010/wordprocessingShape">
                    <wps:wsp>
                      <wps:cNvSpPr txBox="1"/>
                      <wps:spPr>
                        <a:xfrm>
                          <a:off x="0" y="0"/>
                          <a:ext cx="1162050" cy="1953260"/>
                        </a:xfrm>
                        <a:prstGeom prst="rect">
                          <a:avLst/>
                        </a:prstGeom>
                        <a:solidFill>
                          <a:sysClr val="window" lastClr="FFFFFF"/>
                        </a:solidFill>
                        <a:ln w="6350">
                          <a:solidFill>
                            <a:srgbClr val="002060"/>
                          </a:solidFill>
                        </a:ln>
                        <a:effectLst/>
                      </wps:spPr>
                      <wps:txbx>
                        <w:txbxContent>
                          <w:p w14:paraId="7D2065B1"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Stock market</w:t>
                            </w:r>
                          </w:p>
                          <w:p w14:paraId="5EEA3554"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Capital market</w:t>
                            </w:r>
                          </w:p>
                          <w:p w14:paraId="5A0CC549"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Money market</w:t>
                            </w:r>
                          </w:p>
                          <w:p w14:paraId="36F95F55"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Foreign exchange market</w:t>
                            </w:r>
                          </w:p>
                          <w:p w14:paraId="17CB033E"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Insurance market</w:t>
                            </w:r>
                          </w:p>
                          <w:p w14:paraId="62482050"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Market of precious and semiprecious metals</w:t>
                            </w:r>
                          </w:p>
                          <w:p w14:paraId="040C7F26" w14:textId="77777777" w:rsidR="00B56753" w:rsidRPr="00EC3B3C" w:rsidRDefault="00B56753" w:rsidP="006F749C">
                            <w:pPr>
                              <w:pStyle w:val="ListParagraph"/>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 xml:space="preserve">Real estate </w:t>
                            </w:r>
                            <w:r>
                              <w:rPr>
                                <w:rFonts w:ascii="Garamond" w:eastAsia="Times New Roman" w:hAnsi="Garamond" w:cs="Garamond"/>
                                <w:sz w:val="22"/>
                                <w:lang w:val="en-US" w:eastAsia="ru-RU" w:bidi="ru-RU"/>
                              </w:rPr>
                              <w:t>m</w:t>
                            </w:r>
                            <w:r w:rsidRPr="00EC3B3C">
                              <w:rPr>
                                <w:rFonts w:ascii="Garamond" w:eastAsia="Times New Roman" w:hAnsi="Garamond" w:cs="Garamond"/>
                                <w:sz w:val="22"/>
                                <w:lang w:val="en-US" w:eastAsia="ru-RU" w:bidi="ru-RU"/>
                              </w:rPr>
                              <w:t>arket</w:t>
                            </w:r>
                          </w:p>
                        </w:txbxContent>
                      </wps:txbx>
                      <wps:bodyPr rot="0" spcFirstLastPara="0" vertOverflow="overflow" horzOverflow="overflow" vert="horz" wrap="square" lIns="108000" tIns="45720" rIns="3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1" o:spid="_x0000_s1035" type="#_x0000_t202" style="position:absolute;left:0;text-align:left;margin-left:291.25pt;margin-top:12.35pt;width:91.5pt;height:153.8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" fillcolor="window" strokecolor="#002060" strokeweight=".5pt">
                <v:textbox inset="3mm,,1mm">
                  <w:txbxContent>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Stock market</w:t>
                      </w:r>
                    </w:p>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Capital market</w:t>
                      </w:r>
                    </w:p>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Money market</w:t>
                      </w:r>
                    </w:p>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Foreign exchange market</w:t>
                      </w:r>
                    </w:p>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Insurance market</w:t>
                      </w:r>
                    </w:p>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Market of precious and semiprecious metals</w:t>
                      </w:r>
                    </w:p>
                    <w:p w:rsidR="00B56753" w:rsidRPr="00EC3B3C" w:rsidRDefault="00B56753" w:rsidP="006F749C">
                      <w:pPr>
                        <w:pStyle w:val="afb"/>
                        <w:numPr>
                          <w:ilvl w:val="0"/>
                          <w:numId w:val="46"/>
                        </w:numPr>
                        <w:spacing w:after="0" w:line="240" w:lineRule="auto"/>
                        <w:ind w:left="0"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 xml:space="preserve">Real estate </w:t>
                      </w:r>
                      <w:r>
                        <w:rPr>
                          <w:rFonts w:ascii="Garamond" w:eastAsia="Times New Roman" w:hAnsi="Garamond" w:cs="Garamond"/>
                          <w:sz w:val="22"/>
                          <w:lang w:val="en-US" w:eastAsia="ru-RU" w:bidi="ru-RU"/>
                        </w:rPr>
                        <w:t>m</w:t>
                      </w:r>
                      <w:r w:rsidRPr="00EC3B3C">
                        <w:rPr>
                          <w:rFonts w:ascii="Garamond" w:eastAsia="Times New Roman" w:hAnsi="Garamond" w:cs="Garamond"/>
                          <w:sz w:val="22"/>
                          <w:lang w:val="en-US" w:eastAsia="ru-RU" w:bidi="ru-RU"/>
                        </w:rPr>
                        <w:t>arket</w:t>
                      </w:r>
                    </w:p>
                  </w:txbxContent>
                </v:textbox>
              </v:shape>
            </w:pict>
          </mc:Fallback>
        </mc:AlternateContent>
      </w:r>
      <w:r w:rsidRPr="009013F5">
        <w:rPr>
          <w:rFonts w:cs="Garamond"/>
          <w:noProof/>
          <w:color w:val="auto"/>
          <w:lang w:val="ru-RU" w:eastAsia="ru-RU"/>
        </w:rPr>
        <mc:AlternateContent>
          <mc:Choice Requires="wps">
            <w:drawing>
              <wp:anchor distT="0" distB="0" distL="114300" distR="114300" simplePos="0" relativeHeight="251685376" behindDoc="0" locked="0" layoutInCell="1" allowOverlap="1" wp14:anchorId="3B651302" wp14:editId="2F96FB96">
                <wp:simplePos x="0" y="0"/>
                <wp:positionH relativeFrom="column">
                  <wp:posOffset>2420620</wp:posOffset>
                </wp:positionH>
                <wp:positionV relativeFrom="paragraph">
                  <wp:posOffset>156845</wp:posOffset>
                </wp:positionV>
                <wp:extent cx="1085850" cy="1953260"/>
                <wp:effectExtent l="0" t="0" r="19050" b="27940"/>
                <wp:wrapNone/>
                <wp:docPr id="30" name="Поле 30"/>
                <wp:cNvGraphicFramePr/>
                <a:graphic xmlns:a="http://schemas.openxmlformats.org/drawingml/2006/main">
                  <a:graphicData uri="http://schemas.microsoft.com/office/word/2010/wordprocessingShape">
                    <wps:wsp>
                      <wps:cNvSpPr txBox="1"/>
                      <wps:spPr>
                        <a:xfrm>
                          <a:off x="0" y="0"/>
                          <a:ext cx="1085850" cy="1953260"/>
                        </a:xfrm>
                        <a:prstGeom prst="rect">
                          <a:avLst/>
                        </a:prstGeom>
                        <a:solidFill>
                          <a:sysClr val="window" lastClr="FFFFFF"/>
                        </a:solidFill>
                        <a:ln w="6350">
                          <a:solidFill>
                            <a:srgbClr val="002060"/>
                          </a:solidFill>
                        </a:ln>
                        <a:effectLst/>
                      </wps:spPr>
                      <wps:txbx>
                        <w:txbxContent>
                          <w:p w14:paraId="5300F338" w14:textId="77777777" w:rsidR="00B56753" w:rsidRPr="00EC3B3C" w:rsidRDefault="00B56753" w:rsidP="006F749C">
                            <w:pPr>
                              <w:pStyle w:val="ListParagraph"/>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individuals employed in the public sector</w:t>
                            </w:r>
                          </w:p>
                          <w:p w14:paraId="667F7C7D" w14:textId="77777777" w:rsidR="00B56753" w:rsidRPr="00EC3B3C" w:rsidRDefault="00B56753" w:rsidP="006F749C">
                            <w:pPr>
                              <w:pStyle w:val="ListParagraph"/>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individuals employed in the private sector</w:t>
                            </w:r>
                          </w:p>
                          <w:p w14:paraId="43D7BCBF" w14:textId="77777777" w:rsidR="00B56753" w:rsidRPr="00EC3B3C" w:rsidRDefault="00B56753" w:rsidP="006F749C">
                            <w:pPr>
                              <w:pStyle w:val="ListParagraph"/>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self-employed individuals</w:t>
                            </w:r>
                          </w:p>
                        </w:txbxContent>
                      </wps:txbx>
                      <wps:bodyPr rot="0" spcFirstLastPara="0" vertOverflow="overflow" horzOverflow="overflow" vert="horz" wrap="square" lIns="18000" tIns="0" rIns="18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0" o:spid="_x0000_s1036" type="#_x0000_t202" style="position:absolute;left:0;text-align:left;margin-left:190.6pt;margin-top:12.35pt;width:85.5pt;height:153.8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" fillcolor="window" strokecolor="#002060" strokeweight=".5pt">
                <v:textbox inset=".5mm,0,.5mm,0">
                  <w:txbxContent>
                    <w:p w:rsidR="00B56753" w:rsidRPr="00EC3B3C" w:rsidRDefault="00B56753" w:rsidP="006F749C">
                      <w:pPr>
                        <w:pStyle w:val="afb"/>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individuals employed in the public sector</w:t>
                      </w:r>
                    </w:p>
                    <w:p w:rsidR="00B56753" w:rsidRPr="00EC3B3C" w:rsidRDefault="00B56753" w:rsidP="006F749C">
                      <w:pPr>
                        <w:pStyle w:val="afb"/>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individuals employed in the private sector</w:t>
                      </w:r>
                    </w:p>
                    <w:p w:rsidR="00B56753" w:rsidRPr="00EC3B3C" w:rsidRDefault="00B56753" w:rsidP="006F749C">
                      <w:pPr>
                        <w:pStyle w:val="afb"/>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self-employed individuals</w:t>
                      </w:r>
                    </w:p>
                  </w:txbxContent>
                </v:textbox>
              </v:shape>
            </w:pict>
          </mc:Fallback>
        </mc:AlternateContent>
      </w:r>
      <w:r w:rsidR="00EC3B3C" w:rsidRPr="009013F5">
        <w:rPr>
          <w:rFonts w:cs="Garamond"/>
          <w:noProof/>
          <w:color w:val="auto"/>
          <w:lang w:val="ru-RU" w:eastAsia="ru-RU"/>
        </w:rPr>
        <mc:AlternateContent>
          <mc:Choice Requires="wps">
            <w:drawing>
              <wp:anchor distT="0" distB="0" distL="114300" distR="114300" simplePos="0" relativeHeight="251709952" behindDoc="0" locked="0" layoutInCell="1" allowOverlap="1" wp14:anchorId="4E3E6463" wp14:editId="4A9DFAF6">
                <wp:simplePos x="0" y="0"/>
                <wp:positionH relativeFrom="column">
                  <wp:posOffset>1240790</wp:posOffset>
                </wp:positionH>
                <wp:positionV relativeFrom="paragraph">
                  <wp:posOffset>160020</wp:posOffset>
                </wp:positionV>
                <wp:extent cx="971550" cy="1701165"/>
                <wp:effectExtent l="0" t="0" r="19050" b="13335"/>
                <wp:wrapNone/>
                <wp:docPr id="25" name="Поле 25"/>
                <wp:cNvGraphicFramePr/>
                <a:graphic xmlns:a="http://schemas.openxmlformats.org/drawingml/2006/main">
                  <a:graphicData uri="http://schemas.microsoft.com/office/word/2010/wordprocessingShape">
                    <wps:wsp>
                      <wps:cNvSpPr txBox="1"/>
                      <wps:spPr>
                        <a:xfrm>
                          <a:off x="0" y="0"/>
                          <a:ext cx="971550" cy="1701165"/>
                        </a:xfrm>
                        <a:prstGeom prst="rect">
                          <a:avLst/>
                        </a:prstGeom>
                        <a:solidFill>
                          <a:sysClr val="window" lastClr="FFFFFF"/>
                        </a:solidFill>
                        <a:ln w="6350">
                          <a:solidFill>
                            <a:srgbClr val="002060"/>
                          </a:solidFill>
                        </a:ln>
                        <a:effectLst/>
                      </wps:spPr>
                      <wps:txbx>
                        <w:txbxContent>
                          <w:p w14:paraId="71E035FF" w14:textId="77777777" w:rsidR="00B56753" w:rsidRPr="00EC3B3C" w:rsidRDefault="00B56753" w:rsidP="006F749C">
                            <w:pPr>
                              <w:pStyle w:val="ListParagraph"/>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business entities</w:t>
                            </w:r>
                          </w:p>
                          <w:p w14:paraId="41845C44" w14:textId="77777777" w:rsidR="00B56753" w:rsidRPr="00EC3B3C" w:rsidRDefault="00B56753" w:rsidP="006F749C">
                            <w:pPr>
                              <w:pStyle w:val="ListParagraph"/>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non-profit and social institutions</w:t>
                            </w:r>
                          </w:p>
                          <w:p w14:paraId="0DD47473" w14:textId="77777777" w:rsidR="00B56753" w:rsidRPr="00EC3B3C" w:rsidRDefault="00B56753" w:rsidP="006F749C">
                            <w:pPr>
                              <w:pStyle w:val="ListParagraph"/>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financial intermediaries</w:t>
                            </w:r>
                          </w:p>
                        </w:txbxContent>
                      </wps:txbx>
                      <wps:bodyPr rot="0" spcFirstLastPara="0" vertOverflow="overflow" horzOverflow="overflow" vert="horz" wrap="square" lIns="18000" tIns="0" rIns="18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5" o:spid="_x0000_s1037" type="#_x0000_t202" style="position:absolute;left:0;text-align:left;margin-left:97.7pt;margin-top:12.6pt;width:76.5pt;height:133.9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" fillcolor="window" strokecolor="#002060" strokeweight=".5pt">
                <v:textbox inset=".5mm,0,.5mm,0">
                  <w:txbxContent>
                    <w:p w:rsidR="00B56753" w:rsidRPr="00EC3B3C" w:rsidRDefault="00B56753" w:rsidP="006F749C">
                      <w:pPr>
                        <w:pStyle w:val="afb"/>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business entities</w:t>
                      </w:r>
                    </w:p>
                    <w:p w:rsidR="00B56753" w:rsidRPr="00EC3B3C" w:rsidRDefault="00B56753" w:rsidP="006F749C">
                      <w:pPr>
                        <w:pStyle w:val="afb"/>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non-profit and social institutions</w:t>
                      </w:r>
                    </w:p>
                    <w:p w:rsidR="00B56753" w:rsidRPr="00EC3B3C" w:rsidRDefault="00B56753" w:rsidP="006F749C">
                      <w:pPr>
                        <w:pStyle w:val="afb"/>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financial intermediaries</w:t>
                      </w:r>
                    </w:p>
                  </w:txbxContent>
                </v:textbox>
              </v:shape>
            </w:pict>
          </mc:Fallback>
        </mc:AlternateContent>
      </w:r>
      <w:r w:rsidR="00EC3B3C" w:rsidRPr="009013F5">
        <w:rPr>
          <w:rFonts w:cs="Garamond"/>
          <w:noProof/>
          <w:color w:val="auto"/>
          <w:lang w:val="ru-RU" w:eastAsia="ru-RU"/>
        </w:rPr>
        <mc:AlternateContent>
          <mc:Choice Requires="wps">
            <w:drawing>
              <wp:anchor distT="0" distB="0" distL="114300" distR="114300" simplePos="0" relativeHeight="251676160" behindDoc="0" locked="0" layoutInCell="1" allowOverlap="1" wp14:anchorId="29B196C5" wp14:editId="1CF1D085">
                <wp:simplePos x="0" y="0"/>
                <wp:positionH relativeFrom="column">
                  <wp:posOffset>130175</wp:posOffset>
                </wp:positionH>
                <wp:positionV relativeFrom="paragraph">
                  <wp:posOffset>160020</wp:posOffset>
                </wp:positionV>
                <wp:extent cx="904875" cy="1353820"/>
                <wp:effectExtent l="0" t="0" r="28575" b="17780"/>
                <wp:wrapNone/>
                <wp:docPr id="21" name="Поле 21"/>
                <wp:cNvGraphicFramePr/>
                <a:graphic xmlns:a="http://schemas.openxmlformats.org/drawingml/2006/main">
                  <a:graphicData uri="http://schemas.microsoft.com/office/word/2010/wordprocessingShape">
                    <wps:wsp>
                      <wps:cNvSpPr txBox="1"/>
                      <wps:spPr>
                        <a:xfrm>
                          <a:off x="0" y="0"/>
                          <a:ext cx="904875" cy="1353820"/>
                        </a:xfrm>
                        <a:prstGeom prst="rect">
                          <a:avLst/>
                        </a:prstGeom>
                        <a:solidFill>
                          <a:sysClr val="window" lastClr="FFFFFF"/>
                        </a:solidFill>
                        <a:ln w="6350">
                          <a:solidFill>
                            <a:srgbClr val="002060"/>
                          </a:solidFill>
                        </a:ln>
                        <a:effectLst/>
                      </wps:spPr>
                      <wps:txbx>
                        <w:txbxContent>
                          <w:p w14:paraId="262BAA13" w14:textId="77777777" w:rsidR="00B56753" w:rsidRPr="00EC3B3C" w:rsidRDefault="00B56753" w:rsidP="006F749C">
                            <w:pPr>
                              <w:pStyle w:val="ListParagraph"/>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State and local budgets</w:t>
                            </w:r>
                          </w:p>
                          <w:p w14:paraId="74285EA2" w14:textId="77777777" w:rsidR="00B56753" w:rsidRPr="00EC3B3C" w:rsidRDefault="00B56753" w:rsidP="006F749C">
                            <w:pPr>
                              <w:pStyle w:val="ListParagraph"/>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Special purpose funds</w:t>
                            </w:r>
                          </w:p>
                          <w:p w14:paraId="4BC374D9" w14:textId="77777777" w:rsidR="00B56753" w:rsidRPr="00EC3B3C" w:rsidRDefault="00B56753" w:rsidP="006F749C">
                            <w:pPr>
                              <w:pStyle w:val="ListParagraph"/>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state-owned enterprises</w:t>
                            </w:r>
                          </w:p>
                          <w:p w14:paraId="24667663" w14:textId="77777777" w:rsidR="00B56753" w:rsidRPr="00EC3B3C" w:rsidRDefault="00B56753" w:rsidP="00EC3B3C">
                            <w:pPr>
                              <w:spacing w:line="240" w:lineRule="atLeast"/>
                              <w:ind w:left="142" w:hanging="142"/>
                            </w:pPr>
                          </w:p>
                        </w:txbxContent>
                      </wps:txbx>
                      <wps:bodyPr rot="0" spcFirstLastPara="0" vertOverflow="overflow" horzOverflow="overflow" vert="horz" wrap="square" lIns="18000" tIns="0" rIns="18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 o:spid="_x0000_s1038" type="#_x0000_t202" style="position:absolute;left:0;text-align:left;margin-left:10.25pt;margin-top:12.6pt;width:71.25pt;height:106.6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" fillcolor="window" strokecolor="#002060" strokeweight=".5pt">
                <v:textbox inset=".5mm,0,.5mm,0">
                  <w:txbxContent>
                    <w:p w:rsidR="00B56753" w:rsidRPr="00EC3B3C" w:rsidRDefault="00B56753" w:rsidP="006F749C">
                      <w:pPr>
                        <w:pStyle w:val="afb"/>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State and local budgets</w:t>
                      </w:r>
                    </w:p>
                    <w:p w:rsidR="00B56753" w:rsidRPr="00EC3B3C" w:rsidRDefault="00B56753" w:rsidP="006F749C">
                      <w:pPr>
                        <w:pStyle w:val="afb"/>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Special purpose funds</w:t>
                      </w:r>
                    </w:p>
                    <w:p w:rsidR="00B56753" w:rsidRPr="00EC3B3C" w:rsidRDefault="00B56753" w:rsidP="006F749C">
                      <w:pPr>
                        <w:pStyle w:val="afb"/>
                        <w:numPr>
                          <w:ilvl w:val="0"/>
                          <w:numId w:val="46"/>
                        </w:numPr>
                        <w:spacing w:after="0" w:line="240" w:lineRule="auto"/>
                        <w:ind w:left="142" w:hanging="142"/>
                        <w:rPr>
                          <w:rFonts w:ascii="Garamond" w:eastAsia="Times New Roman" w:hAnsi="Garamond" w:cs="Garamond"/>
                          <w:sz w:val="22"/>
                          <w:lang w:val="en-US" w:eastAsia="ru-RU" w:bidi="ru-RU"/>
                        </w:rPr>
                      </w:pPr>
                      <w:r w:rsidRPr="00EC3B3C">
                        <w:rPr>
                          <w:rFonts w:ascii="Garamond" w:eastAsia="Times New Roman" w:hAnsi="Garamond" w:cs="Garamond"/>
                          <w:sz w:val="22"/>
                          <w:lang w:val="en-US" w:eastAsia="ru-RU" w:bidi="ru-RU"/>
                        </w:rPr>
                        <w:t>Finance of state-owned enterprises</w:t>
                      </w:r>
                    </w:p>
                    <w:p w:rsidR="00B56753" w:rsidRPr="00EC3B3C" w:rsidRDefault="00B56753" w:rsidP="00EC3B3C">
                      <w:pPr>
                        <w:spacing w:line="240" w:lineRule="atLeast"/>
                        <w:ind w:left="142" w:hanging="142"/>
                      </w:pPr>
                    </w:p>
                  </w:txbxContent>
                </v:textbox>
              </v:shape>
            </w:pict>
          </mc:Fallback>
        </mc:AlternateContent>
      </w:r>
    </w:p>
    <w:p w14:paraId="39F54ED1" w14:textId="77777777" w:rsidR="009013F5" w:rsidRPr="009013F5" w:rsidRDefault="00EC3B3C" w:rsidP="009013F5">
      <w:pPr>
        <w:spacing w:line="312" w:lineRule="auto"/>
        <w:ind w:firstLine="357"/>
        <w:contextualSpacing/>
        <w:jc w:val="both"/>
        <w:rPr>
          <w:rFonts w:cs="Garamond"/>
          <w:color w:val="auto"/>
          <w:lang w:val="en-US" w:eastAsia="ru-RU" w:bidi="ru-RU"/>
        </w:rPr>
      </w:pPr>
      <w:r w:rsidRPr="009013F5">
        <w:rPr>
          <w:rFonts w:cs="Garamond"/>
          <w:noProof/>
          <w:color w:val="auto"/>
          <w:lang w:val="ru-RU" w:eastAsia="ru-RU"/>
        </w:rPr>
        <mc:AlternateContent>
          <mc:Choice Requires="wps">
            <w:drawing>
              <wp:anchor distT="0" distB="0" distL="114300" distR="114300" simplePos="0" relativeHeight="251677184" behindDoc="0" locked="0" layoutInCell="1" allowOverlap="1" wp14:anchorId="03D946B3" wp14:editId="417A0656">
                <wp:simplePos x="0" y="0"/>
                <wp:positionH relativeFrom="column">
                  <wp:posOffset>-4445</wp:posOffset>
                </wp:positionH>
                <wp:positionV relativeFrom="paragraph">
                  <wp:posOffset>200660</wp:posOffset>
                </wp:positionV>
                <wp:extent cx="133350" cy="0"/>
                <wp:effectExtent l="0" t="76200" r="19050" b="95250"/>
                <wp:wrapNone/>
                <wp:docPr id="22" name="Прямая соединительная линия 22"/>
                <wp:cNvGraphicFramePr/>
                <a:graphic xmlns:a="http://schemas.openxmlformats.org/drawingml/2006/main">
                  <a:graphicData uri="http://schemas.microsoft.com/office/word/2010/wordprocessingShape">
                    <wps:wsp>
                      <wps:cNvCnPr/>
                      <wps:spPr>
                        <a:xfrm flipH="1" flipV="1">
                          <a:off x="0" y="0"/>
                          <a:ext cx="133350" cy="0"/>
                        </a:xfrm>
                        <a:prstGeom prst="line">
                          <a:avLst/>
                        </a:prstGeom>
                        <a:noFill/>
                        <a:ln w="12700" cap="flat" cmpd="sng" algn="ctr">
                          <a:solidFill>
                            <a:sysClr val="windowText" lastClr="000000">
                              <a:shade val="95000"/>
                              <a:satMod val="105000"/>
                            </a:sysClr>
                          </a:solidFill>
                          <a:prstDash val="solid"/>
                          <a:headEnd type="triangle" w="med" len="med"/>
                          <a:tailEnd type="none" w="med" len="med"/>
                        </a:ln>
                        <a:effectLst/>
                      </wps:spPr>
                      <wps:bodyPr/>
                    </wps:wsp>
                  </a:graphicData>
                </a:graphic>
                <wp14:sizeRelV relativeFrom="margin">
                  <wp14:pctHeight>0</wp14:pctHeight>
                </wp14:sizeRelV>
              </wp:anchor>
            </w:drawing>
          </mc:Choice>
          <mc:Fallback>
            <w:pict>
              <v:line id="Прямая соединительная линия 22" o:spid="_x0000_s1026" style="position:absolute;flip:x y;z-index:251677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5pt,15.8pt" to="10.1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" strokeweight="1pt">
                <v:stroke startarrow="block"/>
              </v:line>
            </w:pict>
          </mc:Fallback>
        </mc:AlternateContent>
      </w:r>
    </w:p>
    <w:p w14:paraId="12DD8930" w14:textId="77777777" w:rsidR="009013F5" w:rsidRPr="009013F5" w:rsidRDefault="009013F5" w:rsidP="009013F5">
      <w:pPr>
        <w:spacing w:line="312" w:lineRule="auto"/>
        <w:ind w:firstLine="357"/>
        <w:contextualSpacing/>
        <w:jc w:val="both"/>
        <w:rPr>
          <w:rFonts w:cs="Garamond"/>
          <w:color w:val="auto"/>
          <w:lang w:val="en-US" w:eastAsia="ru-RU" w:bidi="ru-RU"/>
        </w:rPr>
      </w:pPr>
      <w:r w:rsidRPr="009013F5">
        <w:rPr>
          <w:rFonts w:cs="Garamond"/>
          <w:noProof/>
          <w:color w:val="auto"/>
          <w:lang w:val="ru-RU" w:eastAsia="ru-RU"/>
        </w:rPr>
        <mc:AlternateContent>
          <mc:Choice Requires="wps">
            <w:drawing>
              <wp:anchor distT="0" distB="0" distL="114300" distR="114300" simplePos="0" relativeHeight="251694592" behindDoc="0" locked="0" layoutInCell="1" allowOverlap="1" wp14:anchorId="0151EBC2" wp14:editId="3ECE3523">
                <wp:simplePos x="0" y="0"/>
                <wp:positionH relativeFrom="column">
                  <wp:posOffset>3564255</wp:posOffset>
                </wp:positionH>
                <wp:positionV relativeFrom="paragraph">
                  <wp:posOffset>-3175</wp:posOffset>
                </wp:positionV>
                <wp:extent cx="133350" cy="0"/>
                <wp:effectExtent l="0" t="76200" r="19050" b="95250"/>
                <wp:wrapNone/>
                <wp:docPr id="40" name="Прямая соединительная линия 40"/>
                <wp:cNvGraphicFramePr/>
                <a:graphic xmlns:a="http://schemas.openxmlformats.org/drawingml/2006/main">
                  <a:graphicData uri="http://schemas.microsoft.com/office/word/2010/wordprocessingShape">
                    <wps:wsp>
                      <wps:cNvCnPr/>
                      <wps:spPr>
                        <a:xfrm flipH="1" flipV="1">
                          <a:off x="0" y="0"/>
                          <a:ext cx="133350" cy="0"/>
                        </a:xfrm>
                        <a:prstGeom prst="line">
                          <a:avLst/>
                        </a:prstGeom>
                        <a:noFill/>
                        <a:ln w="12700" cap="flat" cmpd="sng" algn="ctr">
                          <a:solidFill>
                            <a:sysClr val="windowText" lastClr="000000">
                              <a:shade val="95000"/>
                              <a:satMod val="105000"/>
                            </a:sysClr>
                          </a:solidFill>
                          <a:prstDash val="solid"/>
                          <a:headEnd type="triangle" w="med" len="med"/>
                          <a:tailEnd type="none" w="med" len="me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40" o:spid="_x0000_s1026" style="position:absolute;flip:x y;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0.65pt,-.25pt" to="291.1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" strokeweight="1pt">
                <v:stroke startarrow="block"/>
              </v:line>
            </w:pict>
          </mc:Fallback>
        </mc:AlternateContent>
      </w:r>
    </w:p>
    <w:p w14:paraId="57E4A112" w14:textId="77777777" w:rsidR="009013F5" w:rsidRPr="009013F5" w:rsidRDefault="009013F5" w:rsidP="009013F5">
      <w:pPr>
        <w:spacing w:line="312" w:lineRule="auto"/>
        <w:ind w:firstLine="357"/>
        <w:contextualSpacing/>
        <w:jc w:val="both"/>
        <w:rPr>
          <w:rFonts w:cs="Garamond"/>
          <w:color w:val="auto"/>
          <w:lang w:val="en-US" w:eastAsia="ru-RU" w:bidi="ru-RU"/>
        </w:rPr>
      </w:pPr>
    </w:p>
    <w:p w14:paraId="790416F0" w14:textId="77777777" w:rsidR="009013F5" w:rsidRPr="009013F5" w:rsidRDefault="009013F5" w:rsidP="009013F5">
      <w:pPr>
        <w:spacing w:line="312" w:lineRule="auto"/>
        <w:ind w:firstLine="357"/>
        <w:contextualSpacing/>
        <w:jc w:val="both"/>
        <w:rPr>
          <w:rFonts w:cs="Garamond"/>
          <w:color w:val="auto"/>
          <w:lang w:val="en-US" w:eastAsia="ru-RU" w:bidi="ru-RU"/>
        </w:rPr>
      </w:pPr>
    </w:p>
    <w:p w14:paraId="2CF0E881" w14:textId="77777777" w:rsidR="009013F5" w:rsidRPr="009013F5" w:rsidRDefault="009013F5" w:rsidP="009013F5">
      <w:pPr>
        <w:spacing w:line="312" w:lineRule="auto"/>
        <w:ind w:firstLine="357"/>
        <w:contextualSpacing/>
        <w:jc w:val="both"/>
        <w:rPr>
          <w:rFonts w:cs="Garamond"/>
          <w:color w:val="auto"/>
          <w:lang w:val="en-US" w:eastAsia="ru-RU" w:bidi="ru-RU"/>
        </w:rPr>
      </w:pPr>
    </w:p>
    <w:p w14:paraId="31146552" w14:textId="77777777" w:rsidR="009013F5" w:rsidRPr="009013F5" w:rsidRDefault="009013F5" w:rsidP="009013F5">
      <w:pPr>
        <w:spacing w:line="312" w:lineRule="auto"/>
        <w:ind w:firstLine="357"/>
        <w:contextualSpacing/>
        <w:jc w:val="both"/>
        <w:rPr>
          <w:rFonts w:cs="Garamond"/>
          <w:color w:val="auto"/>
          <w:lang w:val="en-US" w:eastAsia="ru-RU" w:bidi="ru-RU"/>
        </w:rPr>
      </w:pPr>
    </w:p>
    <w:p w14:paraId="767FC710" w14:textId="77777777" w:rsidR="009013F5" w:rsidRPr="009013F5" w:rsidRDefault="002D2236" w:rsidP="009013F5">
      <w:pPr>
        <w:spacing w:line="312" w:lineRule="auto"/>
        <w:ind w:firstLine="357"/>
        <w:contextualSpacing/>
        <w:jc w:val="both"/>
        <w:rPr>
          <w:rFonts w:cs="Garamond"/>
          <w:color w:val="auto"/>
          <w:lang w:val="en-US" w:eastAsia="ru-RU" w:bidi="ru-RU"/>
        </w:rPr>
      </w:pPr>
      <w:r w:rsidRPr="009013F5">
        <w:rPr>
          <w:rFonts w:cs="Garamond"/>
          <w:noProof/>
          <w:color w:val="auto"/>
          <w:lang w:val="ru-RU" w:eastAsia="ru-RU"/>
        </w:rPr>
        <mc:AlternateContent>
          <mc:Choice Requires="wps">
            <w:drawing>
              <wp:anchor distT="0" distB="0" distL="114300" distR="114300" simplePos="0" relativeHeight="251697664" behindDoc="0" locked="0" layoutInCell="1" allowOverlap="1" wp14:anchorId="07D95A62" wp14:editId="386D184D">
                <wp:simplePos x="0" y="0"/>
                <wp:positionH relativeFrom="column">
                  <wp:posOffset>650907</wp:posOffset>
                </wp:positionH>
                <wp:positionV relativeFrom="paragraph">
                  <wp:posOffset>58910</wp:posOffset>
                </wp:positionV>
                <wp:extent cx="682657" cy="245600"/>
                <wp:effectExtent l="0" t="0" r="3175" b="2540"/>
                <wp:wrapNone/>
                <wp:docPr id="43" name="Поле 43"/>
                <wp:cNvGraphicFramePr/>
                <a:graphic xmlns:a="http://schemas.openxmlformats.org/drawingml/2006/main">
                  <a:graphicData uri="http://schemas.microsoft.com/office/word/2010/wordprocessingShape">
                    <wps:wsp>
                      <wps:cNvSpPr txBox="1"/>
                      <wps:spPr>
                        <a:xfrm>
                          <a:off x="0" y="0"/>
                          <a:ext cx="682657" cy="245600"/>
                        </a:xfrm>
                        <a:prstGeom prst="rect">
                          <a:avLst/>
                        </a:prstGeom>
                        <a:solidFill>
                          <a:sysClr val="window" lastClr="FFFFFF"/>
                        </a:solidFill>
                        <a:ln w="6350">
                          <a:noFill/>
                        </a:ln>
                        <a:effectLst/>
                      </wps:spPr>
                      <wps:txbx>
                        <w:txbxContent>
                          <w:p w14:paraId="4E024BDA" w14:textId="77777777" w:rsidR="00B56753" w:rsidRPr="005A66B0" w:rsidRDefault="00B56753" w:rsidP="009013F5">
                            <w:pPr>
                              <w:ind w:right="57"/>
                              <w:rPr>
                                <w:lang w:val="en-US"/>
                              </w:rPr>
                            </w:pPr>
                            <w:r w:rsidRPr="005A66B0">
                              <w:rPr>
                                <w:lang w:val="en-US"/>
                              </w:rPr>
                              <w:t>-</w:t>
                            </w:r>
                            <w:r>
                              <w:rPr>
                                <w:lang w:val="en-US"/>
                              </w:rPr>
                              <w:t xml:space="preserve">  </w:t>
                            </w:r>
                            <w:r w:rsidRPr="005A66B0">
                              <w:rPr>
                                <w:lang w:val="en-US"/>
                              </w:rPr>
                              <w:t>Sphere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3" o:spid="_x0000_s1039" type="#_x0000_t202" style="position:absolute;left:0;text-align:left;margin-left:51.25pt;margin-top:4.65pt;width:53.75pt;height:19.3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" fillcolor="window" stroked="f" strokeweight=".5pt">
                <v:textbox inset="0,0,0,0">
                  <w:txbxContent>
                    <w:p w:rsidR="00B56753" w:rsidRPr="005A66B0" w:rsidRDefault="00B56753" w:rsidP="009013F5">
                      <w:pPr>
                        <w:ind w:right="57"/>
                        <w:rPr>
                          <w:lang w:val="en-US"/>
                        </w:rPr>
                      </w:pPr>
                      <w:r w:rsidRPr="005A66B0">
                        <w:rPr>
                          <w:lang w:val="en-US"/>
                        </w:rPr>
                        <w:t>-</w:t>
                      </w:r>
                      <w:r>
                        <w:rPr>
                          <w:lang w:val="en-US"/>
                        </w:rPr>
                        <w:t xml:space="preserve">  </w:t>
                      </w:r>
                      <w:r w:rsidRPr="005A66B0">
                        <w:rPr>
                          <w:lang w:val="en-US"/>
                        </w:rPr>
                        <w:t>Sphere</w:t>
                      </w:r>
                    </w:p>
                  </w:txbxContent>
                </v:textbox>
              </v:shape>
            </w:pict>
          </mc:Fallback>
        </mc:AlternateContent>
      </w:r>
      <w:r w:rsidRPr="009013F5">
        <w:rPr>
          <w:rFonts w:cs="Garamond"/>
          <w:noProof/>
          <w:color w:val="auto"/>
          <w:lang w:val="ru-RU" w:eastAsia="ru-RU"/>
        </w:rPr>
        <mc:AlternateContent>
          <mc:Choice Requires="wps">
            <w:drawing>
              <wp:anchor distT="0" distB="0" distL="114300" distR="114300" simplePos="0" relativeHeight="251695616" behindDoc="0" locked="0" layoutInCell="1" allowOverlap="1" wp14:anchorId="4C4A0C60" wp14:editId="4FC9A6E0">
                <wp:simplePos x="0" y="0"/>
                <wp:positionH relativeFrom="column">
                  <wp:posOffset>-9525</wp:posOffset>
                </wp:positionH>
                <wp:positionV relativeFrom="paragraph">
                  <wp:posOffset>43815</wp:posOffset>
                </wp:positionV>
                <wp:extent cx="532130" cy="257175"/>
                <wp:effectExtent l="0" t="0" r="20320" b="28575"/>
                <wp:wrapNone/>
                <wp:docPr id="41" name="Поле 41"/>
                <wp:cNvGraphicFramePr/>
                <a:graphic xmlns:a="http://schemas.openxmlformats.org/drawingml/2006/main">
                  <a:graphicData uri="http://schemas.microsoft.com/office/word/2010/wordprocessingShape">
                    <wps:wsp>
                      <wps:cNvSpPr txBox="1"/>
                      <wps:spPr>
                        <a:xfrm>
                          <a:off x="0" y="0"/>
                          <a:ext cx="532130" cy="257175"/>
                        </a:xfrm>
                        <a:prstGeom prst="rect">
                          <a:avLst/>
                        </a:prstGeom>
                        <a:solidFill>
                          <a:sysClr val="window" lastClr="FFFFFF">
                            <a:lumMod val="85000"/>
                          </a:sysClr>
                        </a:solidFill>
                        <a:ln w="6350">
                          <a:solidFill>
                            <a:srgbClr val="002060"/>
                          </a:solidFill>
                        </a:ln>
                        <a:effectLst/>
                      </wps:spPr>
                      <wps:txbx>
                        <w:txbxContent>
                          <w:p w14:paraId="230E389B" w14:textId="77777777" w:rsidR="00B56753" w:rsidRDefault="00B56753" w:rsidP="009013F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1" o:spid="_x0000_s1040" type="#_x0000_t202" style="position:absolute;left:0;text-align:left;margin-left:-.75pt;margin-top:3.45pt;width:41.9pt;height:20.2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" fillcolor="#d9d9d9" strokecolor="#002060" strokeweight=".5pt">
                <v:textbox>
                  <w:txbxContent>
                    <w:p w:rsidR="00B56753" w:rsidRDefault="00B56753" w:rsidP="009013F5"/>
                  </w:txbxContent>
                </v:textbox>
              </v:shape>
            </w:pict>
          </mc:Fallback>
        </mc:AlternateContent>
      </w:r>
    </w:p>
    <w:p w14:paraId="1F04AD92" w14:textId="77777777" w:rsidR="009013F5" w:rsidRPr="009013F5" w:rsidRDefault="002D2236" w:rsidP="009013F5">
      <w:pPr>
        <w:spacing w:line="312" w:lineRule="auto"/>
        <w:ind w:firstLine="357"/>
        <w:contextualSpacing/>
        <w:jc w:val="both"/>
        <w:rPr>
          <w:rFonts w:cs="Garamond"/>
          <w:color w:val="auto"/>
          <w:lang w:val="en-US" w:eastAsia="ru-RU" w:bidi="ru-RU"/>
        </w:rPr>
      </w:pPr>
      <w:r w:rsidRPr="009013F5">
        <w:rPr>
          <w:rFonts w:cs="Garamond"/>
          <w:noProof/>
          <w:color w:val="auto"/>
          <w:lang w:val="ru-RU" w:eastAsia="ru-RU"/>
        </w:rPr>
        <mc:AlternateContent>
          <mc:Choice Requires="wps">
            <w:drawing>
              <wp:anchor distT="0" distB="0" distL="114300" distR="114300" simplePos="0" relativeHeight="251698688" behindDoc="0" locked="0" layoutInCell="1" allowOverlap="1" wp14:anchorId="0613BDB7" wp14:editId="3E61BCE5">
                <wp:simplePos x="0" y="0"/>
                <wp:positionH relativeFrom="column">
                  <wp:posOffset>656301</wp:posOffset>
                </wp:positionH>
                <wp:positionV relativeFrom="paragraph">
                  <wp:posOffset>159385</wp:posOffset>
                </wp:positionV>
                <wp:extent cx="578735" cy="257175"/>
                <wp:effectExtent l="0" t="0" r="0" b="9525"/>
                <wp:wrapNone/>
                <wp:docPr id="44" name="Поле 44"/>
                <wp:cNvGraphicFramePr/>
                <a:graphic xmlns:a="http://schemas.openxmlformats.org/drawingml/2006/main">
                  <a:graphicData uri="http://schemas.microsoft.com/office/word/2010/wordprocessingShape">
                    <wps:wsp>
                      <wps:cNvSpPr txBox="1"/>
                      <wps:spPr>
                        <a:xfrm>
                          <a:off x="0" y="0"/>
                          <a:ext cx="578735" cy="257175"/>
                        </a:xfrm>
                        <a:prstGeom prst="rect">
                          <a:avLst/>
                        </a:prstGeom>
                        <a:solidFill>
                          <a:sysClr val="window" lastClr="FFFFFF"/>
                        </a:solidFill>
                        <a:ln w="6350">
                          <a:noFill/>
                        </a:ln>
                        <a:effectLst/>
                      </wps:spPr>
                      <wps:txbx>
                        <w:txbxContent>
                          <w:p w14:paraId="1E1271B7" w14:textId="77777777" w:rsidR="00B56753" w:rsidRPr="005A66B0" w:rsidRDefault="00B56753" w:rsidP="009013F5">
                            <w:pPr>
                              <w:rPr>
                                <w:lang w:val="en-US"/>
                              </w:rPr>
                            </w:pPr>
                            <w:r w:rsidRPr="005A66B0">
                              <w:rPr>
                                <w:lang w:val="en-US"/>
                              </w:rPr>
                              <w:t>-</w:t>
                            </w:r>
                            <w:r>
                              <w:rPr>
                                <w:lang w:val="en-US"/>
                              </w:rPr>
                              <w:t xml:space="preserve">  </w:t>
                            </w:r>
                            <w:r w:rsidRPr="005A66B0">
                              <w:rPr>
                                <w:lang w:val="en-US"/>
                              </w:rPr>
                              <w:t>Link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Поле 44" o:spid="_x0000_s1041" type="#_x0000_t202" style="position:absolute;left:0;text-align:left;margin-left:51.7pt;margin-top:12.55pt;width:45.55pt;height:20.25pt;z-index:251698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" fillcolor="window" stroked="f" strokeweight=".5pt">
                <v:textbox inset="0,0,0,0">
                  <w:txbxContent>
                    <w:p w:rsidR="00B56753" w:rsidRPr="005A66B0" w:rsidRDefault="00B56753" w:rsidP="009013F5">
                      <w:pPr>
                        <w:rPr>
                          <w:lang w:val="en-US"/>
                        </w:rPr>
                      </w:pPr>
                      <w:r w:rsidRPr="005A66B0">
                        <w:rPr>
                          <w:lang w:val="en-US"/>
                        </w:rPr>
                        <w:t>-</w:t>
                      </w:r>
                      <w:r>
                        <w:rPr>
                          <w:lang w:val="en-US"/>
                        </w:rPr>
                        <w:t xml:space="preserve">  </w:t>
                      </w:r>
                      <w:r w:rsidRPr="005A66B0">
                        <w:rPr>
                          <w:lang w:val="en-US"/>
                        </w:rPr>
                        <w:t>Link</w:t>
                      </w:r>
                    </w:p>
                  </w:txbxContent>
                </v:textbox>
              </v:shape>
            </w:pict>
          </mc:Fallback>
        </mc:AlternateContent>
      </w:r>
      <w:r w:rsidR="00EC3B3C" w:rsidRPr="009013F5">
        <w:rPr>
          <w:rFonts w:cs="Garamond"/>
          <w:noProof/>
          <w:color w:val="auto"/>
          <w:lang w:val="ru-RU" w:eastAsia="ru-RU"/>
        </w:rPr>
        <mc:AlternateContent>
          <mc:Choice Requires="wps">
            <w:drawing>
              <wp:anchor distT="0" distB="0" distL="114300" distR="114300" simplePos="0" relativeHeight="251696640" behindDoc="0" locked="0" layoutInCell="1" allowOverlap="1" wp14:anchorId="4698657F" wp14:editId="5F7A9DD7">
                <wp:simplePos x="0" y="0"/>
                <wp:positionH relativeFrom="column">
                  <wp:posOffset>2894</wp:posOffset>
                </wp:positionH>
                <wp:positionV relativeFrom="paragraph">
                  <wp:posOffset>160053</wp:posOffset>
                </wp:positionV>
                <wp:extent cx="532435" cy="233624"/>
                <wp:effectExtent l="0" t="0" r="20320" b="14605"/>
                <wp:wrapNone/>
                <wp:docPr id="42" name="Поле 42"/>
                <wp:cNvGraphicFramePr/>
                <a:graphic xmlns:a="http://schemas.openxmlformats.org/drawingml/2006/main">
                  <a:graphicData uri="http://schemas.microsoft.com/office/word/2010/wordprocessingShape">
                    <wps:wsp>
                      <wps:cNvSpPr txBox="1"/>
                      <wps:spPr>
                        <a:xfrm>
                          <a:off x="0" y="0"/>
                          <a:ext cx="532435" cy="233624"/>
                        </a:xfrm>
                        <a:prstGeom prst="rect">
                          <a:avLst/>
                        </a:prstGeom>
                        <a:solidFill>
                          <a:sysClr val="window" lastClr="FFFFFF"/>
                        </a:solidFill>
                        <a:ln w="6350">
                          <a:solidFill>
                            <a:srgbClr val="002060"/>
                          </a:solidFill>
                        </a:ln>
                        <a:effectLst/>
                      </wps:spPr>
                      <wps:txbx>
                        <w:txbxContent>
                          <w:p w14:paraId="770FBB9F" w14:textId="77777777" w:rsidR="00B56753" w:rsidRDefault="00B56753" w:rsidP="009013F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2" o:spid="_x0000_s1042" type="#_x0000_t202" style="position:absolute;left:0;text-align:left;margin-left:.25pt;margin-top:12.6pt;width:41.9pt;height:18.4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" fillcolor="window" strokecolor="#002060" strokeweight=".5pt">
                <v:textbox>
                  <w:txbxContent>
                    <w:p w:rsidR="00B56753" w:rsidRDefault="00B56753" w:rsidP="009013F5"/>
                  </w:txbxContent>
                </v:textbox>
              </v:shape>
            </w:pict>
          </mc:Fallback>
        </mc:AlternateContent>
      </w:r>
    </w:p>
    <w:p w14:paraId="11837E27" w14:textId="77777777" w:rsidR="009013F5" w:rsidRPr="009013F5" w:rsidRDefault="009013F5" w:rsidP="009013F5">
      <w:pPr>
        <w:spacing w:line="312" w:lineRule="auto"/>
        <w:ind w:firstLine="357"/>
        <w:contextualSpacing/>
        <w:jc w:val="both"/>
        <w:rPr>
          <w:rFonts w:cs="Garamond"/>
          <w:color w:val="auto"/>
          <w:lang w:val="en-US" w:eastAsia="ru-RU" w:bidi="ru-RU"/>
        </w:rPr>
      </w:pPr>
    </w:p>
    <w:p w14:paraId="7C8B55E9" w14:textId="77777777" w:rsidR="00BE42A0" w:rsidRPr="00EC3B3C" w:rsidRDefault="00BE42A0" w:rsidP="004B7BB5">
      <w:pPr>
        <w:tabs>
          <w:tab w:val="left" w:pos="6030"/>
        </w:tabs>
        <w:spacing w:line="312" w:lineRule="auto"/>
        <w:ind w:firstLine="357"/>
        <w:contextualSpacing/>
        <w:jc w:val="center"/>
        <w:rPr>
          <w:b/>
          <w:sz w:val="28"/>
          <w:szCs w:val="28"/>
          <w:lang w:val="en-US" w:bidi="ru-RU"/>
        </w:rPr>
      </w:pPr>
      <w:r w:rsidRPr="00EC3B3C">
        <w:rPr>
          <w:b/>
          <w:sz w:val="28"/>
          <w:szCs w:val="28"/>
          <w:lang w:val="en-US" w:bidi="ru-RU"/>
        </w:rPr>
        <w:t>Figure 3.1</w:t>
      </w:r>
      <w:r w:rsidR="004B7BB5">
        <w:rPr>
          <w:b/>
          <w:sz w:val="28"/>
          <w:szCs w:val="28"/>
          <w:lang w:val="en-US" w:bidi="ru-RU"/>
        </w:rPr>
        <w:t xml:space="preserve"> </w:t>
      </w:r>
      <w:r w:rsidR="004B7BB5" w:rsidRPr="004B7BB5">
        <w:rPr>
          <w:b/>
          <w:sz w:val="28"/>
          <w:szCs w:val="28"/>
          <w:lang w:val="en-US" w:bidi="ru-RU"/>
        </w:rPr>
        <w:t>–</w:t>
      </w:r>
      <w:r w:rsidRPr="00EC3B3C">
        <w:rPr>
          <w:b/>
          <w:sz w:val="28"/>
          <w:szCs w:val="28"/>
          <w:lang w:val="en-US" w:bidi="ru-RU"/>
        </w:rPr>
        <w:t xml:space="preserve"> The structure of the financial system</w:t>
      </w:r>
    </w:p>
    <w:p w14:paraId="086BD13F" w14:textId="77777777" w:rsidR="00BE42A0" w:rsidRPr="00EC3B3C" w:rsidRDefault="00BE42A0" w:rsidP="004B7BB5">
      <w:pPr>
        <w:spacing w:line="312" w:lineRule="auto"/>
        <w:ind w:firstLine="709"/>
        <w:contextualSpacing/>
        <w:jc w:val="both"/>
        <w:rPr>
          <w:sz w:val="28"/>
          <w:szCs w:val="28"/>
          <w:lang w:val="en-US" w:bidi="ru-RU"/>
        </w:rPr>
      </w:pPr>
      <w:r w:rsidRPr="00EC3B3C">
        <w:rPr>
          <w:sz w:val="28"/>
          <w:szCs w:val="28"/>
          <w:lang w:val="en-US" w:bidi="ru-RU"/>
        </w:rPr>
        <w:lastRenderedPageBreak/>
        <w:t xml:space="preserve">The </w:t>
      </w:r>
      <w:r w:rsidR="00ED053B">
        <w:rPr>
          <w:sz w:val="28"/>
          <w:szCs w:val="28"/>
          <w:lang w:val="en-US" w:bidi="ru-RU"/>
        </w:rPr>
        <w:t>f</w:t>
      </w:r>
      <w:r w:rsidRPr="00EC3B3C">
        <w:rPr>
          <w:sz w:val="28"/>
          <w:szCs w:val="28"/>
          <w:lang w:val="en-US" w:bidi="ru-RU"/>
        </w:rPr>
        <w:t>inancial system include</w:t>
      </w:r>
      <w:r w:rsidR="00FA7B64">
        <w:rPr>
          <w:sz w:val="28"/>
          <w:szCs w:val="28"/>
          <w:lang w:val="en-US" w:bidi="ru-RU"/>
        </w:rPr>
        <w:t>s</w:t>
      </w:r>
      <w:r w:rsidR="00ED053B">
        <w:rPr>
          <w:sz w:val="28"/>
          <w:szCs w:val="28"/>
          <w:lang w:val="en-US" w:bidi="ru-RU"/>
        </w:rPr>
        <w:t xml:space="preserve"> the </w:t>
      </w:r>
      <w:r w:rsidRPr="00EC3B3C">
        <w:rPr>
          <w:sz w:val="28"/>
          <w:szCs w:val="28"/>
          <w:lang w:val="en-US" w:bidi="ru-RU"/>
        </w:rPr>
        <w:t>following</w:t>
      </w:r>
      <w:r w:rsidR="00ED053B" w:rsidRPr="00ED053B">
        <w:rPr>
          <w:sz w:val="28"/>
          <w:szCs w:val="28"/>
          <w:lang w:val="en-US" w:bidi="ru-RU"/>
        </w:rPr>
        <w:t xml:space="preserve"> </w:t>
      </w:r>
      <w:r w:rsidR="00ED053B" w:rsidRPr="00EC3B3C">
        <w:rPr>
          <w:sz w:val="28"/>
          <w:szCs w:val="28"/>
          <w:lang w:val="en-US" w:bidi="ru-RU"/>
        </w:rPr>
        <w:t>components</w:t>
      </w:r>
      <w:r w:rsidRPr="00EC3B3C">
        <w:rPr>
          <w:sz w:val="28"/>
          <w:szCs w:val="28"/>
          <w:lang w:val="en-US" w:bidi="ru-RU"/>
        </w:rPr>
        <w:t xml:space="preserve">: </w:t>
      </w:r>
      <w:hyperlink r:id="rId23" w:history="1">
        <w:r w:rsidRPr="00EC3B3C">
          <w:rPr>
            <w:sz w:val="28"/>
            <w:szCs w:val="28"/>
            <w:lang w:val="en-US" w:bidi="ru-RU"/>
          </w:rPr>
          <w:t>banks</w:t>
        </w:r>
      </w:hyperlink>
      <w:r w:rsidRPr="00EC3B3C">
        <w:rPr>
          <w:sz w:val="28"/>
          <w:szCs w:val="28"/>
          <w:lang w:val="en-US" w:bidi="ru-RU"/>
        </w:rPr>
        <w:t xml:space="preserve"> (both government banks and those in the private sector); </w:t>
      </w:r>
      <w:hyperlink r:id="rId24" w:history="1">
        <w:r w:rsidRPr="00EC3B3C">
          <w:rPr>
            <w:sz w:val="28"/>
            <w:szCs w:val="28"/>
            <w:lang w:bidi="ru-RU"/>
          </w:rPr>
          <w:t>financial markets</w:t>
        </w:r>
      </w:hyperlink>
      <w:r w:rsidRPr="00EC3B3C">
        <w:rPr>
          <w:sz w:val="28"/>
          <w:szCs w:val="28"/>
          <w:lang w:val="en-US" w:bidi="ru-RU"/>
        </w:rPr>
        <w:t xml:space="preserve">; </w:t>
      </w:r>
      <w:hyperlink r:id="rId25" w:history="1">
        <w:r w:rsidRPr="00EC3B3C">
          <w:rPr>
            <w:sz w:val="28"/>
            <w:szCs w:val="28"/>
            <w:lang w:bidi="ru-RU"/>
          </w:rPr>
          <w:t>financial instruments</w:t>
        </w:r>
      </w:hyperlink>
      <w:r w:rsidRPr="00EC3B3C">
        <w:rPr>
          <w:sz w:val="28"/>
          <w:szCs w:val="28"/>
          <w:lang w:val="en-US" w:bidi="ru-RU"/>
        </w:rPr>
        <w:t xml:space="preserve">; and </w:t>
      </w:r>
      <w:hyperlink r:id="rId26" w:history="1">
        <w:r w:rsidRPr="00EC3B3C">
          <w:rPr>
            <w:sz w:val="28"/>
            <w:szCs w:val="28"/>
            <w:lang w:val="en-US" w:bidi="ru-RU"/>
          </w:rPr>
          <w:t>financial services</w:t>
        </w:r>
      </w:hyperlink>
      <w:r w:rsidRPr="00EC3B3C">
        <w:rPr>
          <w:sz w:val="28"/>
          <w:szCs w:val="28"/>
          <w:lang w:val="en-US" w:bidi="ru-RU"/>
        </w:rPr>
        <w:t>.</w:t>
      </w:r>
    </w:p>
    <w:p w14:paraId="2B470C45" w14:textId="77777777" w:rsidR="00BE42A0" w:rsidRPr="00EC3B3C" w:rsidRDefault="00BE42A0" w:rsidP="004B7BB5">
      <w:pPr>
        <w:spacing w:line="312" w:lineRule="auto"/>
        <w:ind w:firstLine="709"/>
        <w:contextualSpacing/>
        <w:jc w:val="both"/>
        <w:rPr>
          <w:sz w:val="28"/>
          <w:szCs w:val="28"/>
          <w:lang w:val="en-US" w:bidi="ru-RU"/>
        </w:rPr>
      </w:pPr>
      <w:r w:rsidRPr="00EC3B3C">
        <w:rPr>
          <w:sz w:val="28"/>
          <w:szCs w:val="28"/>
          <w:lang w:val="en-US" w:bidi="ru-RU"/>
        </w:rPr>
        <w:t xml:space="preserve">According to the </w:t>
      </w:r>
      <w:r w:rsidRPr="00EC3B3C">
        <w:rPr>
          <w:b/>
          <w:sz w:val="28"/>
          <w:szCs w:val="28"/>
          <w:lang w:val="en-US" w:bidi="ru-RU"/>
        </w:rPr>
        <w:t>organizing structure</w:t>
      </w:r>
      <w:r w:rsidR="008A6DBC">
        <w:rPr>
          <w:b/>
          <w:sz w:val="28"/>
          <w:szCs w:val="28"/>
          <w:lang w:val="en-US" w:bidi="ru-RU"/>
        </w:rPr>
        <w:t>,</w:t>
      </w:r>
      <w:r w:rsidRPr="00EC3B3C">
        <w:rPr>
          <w:b/>
          <w:sz w:val="28"/>
          <w:szCs w:val="28"/>
          <w:lang w:val="en-US" w:bidi="ru-RU"/>
        </w:rPr>
        <w:t xml:space="preserve"> the financial system</w:t>
      </w:r>
      <w:r w:rsidRPr="00EC3B3C">
        <w:rPr>
          <w:sz w:val="28"/>
          <w:szCs w:val="28"/>
          <w:lang w:val="en-US" w:bidi="ru-RU"/>
        </w:rPr>
        <w:t xml:space="preserve"> </w:t>
      </w:r>
      <w:r w:rsidR="008A6DBC">
        <w:rPr>
          <w:sz w:val="28"/>
          <w:szCs w:val="28"/>
          <w:lang w:val="en-US" w:bidi="ru-RU"/>
        </w:rPr>
        <w:t>looks as follows</w:t>
      </w:r>
      <w:r w:rsidRPr="00EC3B3C">
        <w:rPr>
          <w:sz w:val="28"/>
          <w:szCs w:val="28"/>
          <w:lang w:val="en-US" w:bidi="ru-RU"/>
        </w:rPr>
        <w:t>:</w:t>
      </w:r>
    </w:p>
    <w:p w14:paraId="5FAE7740" w14:textId="77777777" w:rsidR="00BE42A0" w:rsidRPr="00EC3B3C" w:rsidRDefault="00BE42A0" w:rsidP="004B7BB5">
      <w:pPr>
        <w:spacing w:line="312" w:lineRule="auto"/>
        <w:ind w:firstLine="709"/>
        <w:contextualSpacing/>
        <w:jc w:val="both"/>
        <w:rPr>
          <w:sz w:val="28"/>
          <w:szCs w:val="28"/>
          <w:lang w:val="en-US" w:bidi="ru-RU"/>
        </w:rPr>
      </w:pPr>
      <w:r w:rsidRPr="00EC3B3C">
        <w:rPr>
          <w:sz w:val="28"/>
          <w:szCs w:val="28"/>
          <w:lang w:val="en-US" w:bidi="ru-RU"/>
        </w:rPr>
        <w:t>1. Executive bodies:</w:t>
      </w:r>
    </w:p>
    <w:p w14:paraId="4321B754" w14:textId="77777777" w:rsidR="00BE42A0" w:rsidRPr="00EC3B3C" w:rsidRDefault="00BE42A0" w:rsidP="006F749C">
      <w:pPr>
        <w:numPr>
          <w:ilvl w:val="0"/>
          <w:numId w:val="47"/>
        </w:numPr>
        <w:spacing w:line="312" w:lineRule="auto"/>
        <w:ind w:hanging="84"/>
        <w:contextualSpacing/>
        <w:jc w:val="both"/>
        <w:rPr>
          <w:sz w:val="28"/>
          <w:szCs w:val="28"/>
          <w:lang w:val="en-US" w:bidi="ru-RU"/>
        </w:rPr>
      </w:pPr>
      <w:r w:rsidRPr="00EC3B3C">
        <w:rPr>
          <w:sz w:val="28"/>
          <w:szCs w:val="28"/>
          <w:lang w:val="en-US" w:bidi="ru-RU"/>
        </w:rPr>
        <w:t>Ministry of Finance</w:t>
      </w:r>
    </w:p>
    <w:p w14:paraId="7F82ECA0" w14:textId="77777777" w:rsidR="00BE42A0" w:rsidRPr="00EC3B3C" w:rsidRDefault="00BE42A0" w:rsidP="006F749C">
      <w:pPr>
        <w:numPr>
          <w:ilvl w:val="0"/>
          <w:numId w:val="47"/>
        </w:numPr>
        <w:spacing w:line="312" w:lineRule="auto"/>
        <w:ind w:hanging="84"/>
        <w:contextualSpacing/>
        <w:jc w:val="both"/>
        <w:rPr>
          <w:sz w:val="28"/>
          <w:szCs w:val="28"/>
          <w:lang w:val="en-US" w:bidi="ru-RU"/>
        </w:rPr>
      </w:pPr>
      <w:r w:rsidRPr="00EC3B3C">
        <w:rPr>
          <w:sz w:val="28"/>
          <w:szCs w:val="28"/>
          <w:lang w:val="en-US" w:bidi="ru-RU"/>
        </w:rPr>
        <w:t>State Taxation Authority</w:t>
      </w:r>
    </w:p>
    <w:p w14:paraId="5CBCB188" w14:textId="77777777" w:rsidR="00BE42A0" w:rsidRPr="00EC3B3C" w:rsidRDefault="00BE42A0" w:rsidP="006F749C">
      <w:pPr>
        <w:numPr>
          <w:ilvl w:val="0"/>
          <w:numId w:val="47"/>
        </w:numPr>
        <w:spacing w:line="312" w:lineRule="auto"/>
        <w:ind w:hanging="84"/>
        <w:contextualSpacing/>
        <w:jc w:val="both"/>
        <w:rPr>
          <w:sz w:val="28"/>
          <w:szCs w:val="28"/>
          <w:lang w:val="en-US" w:bidi="ru-RU"/>
        </w:rPr>
      </w:pPr>
      <w:r w:rsidRPr="00EC3B3C">
        <w:rPr>
          <w:sz w:val="28"/>
          <w:szCs w:val="28"/>
          <w:lang w:val="en-US" w:bidi="ru-RU"/>
        </w:rPr>
        <w:t>State Inspection Committee</w:t>
      </w:r>
    </w:p>
    <w:p w14:paraId="4DF38E8A" w14:textId="77777777" w:rsidR="00BE42A0" w:rsidRPr="00EC3B3C" w:rsidRDefault="00BE42A0" w:rsidP="006F749C">
      <w:pPr>
        <w:numPr>
          <w:ilvl w:val="0"/>
          <w:numId w:val="47"/>
        </w:numPr>
        <w:spacing w:line="312" w:lineRule="auto"/>
        <w:ind w:hanging="84"/>
        <w:contextualSpacing/>
        <w:jc w:val="both"/>
        <w:rPr>
          <w:sz w:val="28"/>
          <w:szCs w:val="28"/>
          <w:lang w:val="en-US" w:bidi="ru-RU"/>
        </w:rPr>
      </w:pPr>
      <w:r w:rsidRPr="00EC3B3C">
        <w:rPr>
          <w:sz w:val="28"/>
          <w:szCs w:val="28"/>
          <w:lang w:val="en-US" w:bidi="ru-RU"/>
        </w:rPr>
        <w:t>State Treasury</w:t>
      </w:r>
    </w:p>
    <w:p w14:paraId="13B01FB3" w14:textId="77777777" w:rsidR="00BE42A0" w:rsidRPr="00EC3B3C" w:rsidRDefault="00BE42A0" w:rsidP="006F749C">
      <w:pPr>
        <w:numPr>
          <w:ilvl w:val="0"/>
          <w:numId w:val="47"/>
        </w:numPr>
        <w:spacing w:line="312" w:lineRule="auto"/>
        <w:ind w:hanging="84"/>
        <w:contextualSpacing/>
        <w:jc w:val="both"/>
        <w:rPr>
          <w:sz w:val="28"/>
          <w:szCs w:val="28"/>
          <w:lang w:val="en-US" w:bidi="ru-RU"/>
        </w:rPr>
      </w:pPr>
      <w:r w:rsidRPr="00EC3B3C">
        <w:rPr>
          <w:sz w:val="28"/>
          <w:szCs w:val="28"/>
          <w:lang w:val="en-US" w:bidi="ru-RU"/>
        </w:rPr>
        <w:t>State Securities and Stock Exchange Commission</w:t>
      </w:r>
    </w:p>
    <w:p w14:paraId="66BCC827" w14:textId="77777777" w:rsidR="00BE42A0" w:rsidRPr="00EC3B3C" w:rsidRDefault="00BE42A0" w:rsidP="006F749C">
      <w:pPr>
        <w:numPr>
          <w:ilvl w:val="0"/>
          <w:numId w:val="47"/>
        </w:numPr>
        <w:spacing w:line="312" w:lineRule="auto"/>
        <w:ind w:hanging="84"/>
        <w:contextualSpacing/>
        <w:jc w:val="both"/>
        <w:rPr>
          <w:sz w:val="28"/>
          <w:szCs w:val="28"/>
          <w:lang w:val="en-US" w:bidi="ru-RU"/>
        </w:rPr>
      </w:pPr>
      <w:r w:rsidRPr="00EC3B3C">
        <w:rPr>
          <w:sz w:val="28"/>
          <w:szCs w:val="28"/>
          <w:lang w:val="en-US" w:bidi="ru-RU"/>
        </w:rPr>
        <w:t>Accounting Chamber</w:t>
      </w:r>
    </w:p>
    <w:p w14:paraId="73576DDC" w14:textId="77777777" w:rsidR="00BE42A0" w:rsidRPr="00EC3B3C" w:rsidRDefault="00BE42A0" w:rsidP="006F749C">
      <w:pPr>
        <w:numPr>
          <w:ilvl w:val="0"/>
          <w:numId w:val="47"/>
        </w:numPr>
        <w:spacing w:line="312" w:lineRule="auto"/>
        <w:ind w:hanging="84"/>
        <w:contextualSpacing/>
        <w:jc w:val="both"/>
        <w:rPr>
          <w:sz w:val="28"/>
          <w:szCs w:val="28"/>
          <w:lang w:val="en-US" w:bidi="ru-RU"/>
        </w:rPr>
      </w:pPr>
      <w:r w:rsidRPr="00EC3B3C">
        <w:rPr>
          <w:sz w:val="28"/>
          <w:szCs w:val="28"/>
          <w:lang w:val="en-US" w:bidi="ru-RU"/>
        </w:rPr>
        <w:t>Pension Fund</w:t>
      </w:r>
    </w:p>
    <w:p w14:paraId="7C1E8E20" w14:textId="77777777" w:rsidR="00BE42A0" w:rsidRPr="00EC3B3C" w:rsidRDefault="00BE42A0" w:rsidP="006F749C">
      <w:pPr>
        <w:numPr>
          <w:ilvl w:val="0"/>
          <w:numId w:val="47"/>
        </w:numPr>
        <w:spacing w:line="312" w:lineRule="auto"/>
        <w:ind w:hanging="84"/>
        <w:contextualSpacing/>
        <w:jc w:val="both"/>
        <w:rPr>
          <w:sz w:val="28"/>
          <w:szCs w:val="28"/>
          <w:lang w:val="en-US" w:bidi="ru-RU"/>
        </w:rPr>
      </w:pPr>
      <w:r w:rsidRPr="00EC3B3C">
        <w:rPr>
          <w:sz w:val="28"/>
          <w:szCs w:val="28"/>
          <w:lang w:val="en-US" w:bidi="ru-RU"/>
        </w:rPr>
        <w:t>Audit Chamber</w:t>
      </w:r>
    </w:p>
    <w:p w14:paraId="3B3F4F8C" w14:textId="77777777" w:rsidR="00BE42A0" w:rsidRPr="00EC3B3C" w:rsidRDefault="00BE42A0" w:rsidP="006F749C">
      <w:pPr>
        <w:numPr>
          <w:ilvl w:val="0"/>
          <w:numId w:val="47"/>
        </w:numPr>
        <w:spacing w:line="312" w:lineRule="auto"/>
        <w:ind w:hanging="84"/>
        <w:contextualSpacing/>
        <w:jc w:val="both"/>
        <w:rPr>
          <w:sz w:val="28"/>
          <w:szCs w:val="28"/>
          <w:lang w:val="en-US" w:bidi="ru-RU"/>
        </w:rPr>
      </w:pPr>
      <w:r w:rsidRPr="00EC3B3C">
        <w:rPr>
          <w:sz w:val="28"/>
          <w:szCs w:val="28"/>
          <w:lang w:val="en-US" w:bidi="ru-RU"/>
        </w:rPr>
        <w:t>Social Insurance Fund</w:t>
      </w:r>
    </w:p>
    <w:p w14:paraId="06DB7352" w14:textId="77777777" w:rsidR="00BE42A0" w:rsidRPr="00EC3B3C" w:rsidRDefault="00BE42A0" w:rsidP="004B7BB5">
      <w:pPr>
        <w:spacing w:line="312" w:lineRule="auto"/>
        <w:ind w:firstLine="709"/>
        <w:contextualSpacing/>
        <w:jc w:val="both"/>
        <w:rPr>
          <w:sz w:val="28"/>
          <w:szCs w:val="28"/>
          <w:lang w:val="en-US" w:bidi="ru-RU"/>
        </w:rPr>
      </w:pPr>
      <w:r w:rsidRPr="00EC3B3C">
        <w:rPr>
          <w:sz w:val="28"/>
          <w:szCs w:val="28"/>
          <w:lang w:val="en-US" w:bidi="ru-RU"/>
        </w:rPr>
        <w:t>2. Financial institutions:</w:t>
      </w:r>
    </w:p>
    <w:p w14:paraId="2BE3D2E1" w14:textId="77777777" w:rsidR="00BE42A0" w:rsidRPr="00EC3B3C" w:rsidRDefault="00BE42A0" w:rsidP="006F749C">
      <w:pPr>
        <w:numPr>
          <w:ilvl w:val="0"/>
          <w:numId w:val="48"/>
        </w:numPr>
        <w:spacing w:line="312" w:lineRule="auto"/>
        <w:ind w:hanging="84"/>
        <w:contextualSpacing/>
        <w:jc w:val="both"/>
        <w:rPr>
          <w:sz w:val="28"/>
          <w:szCs w:val="28"/>
          <w:lang w:val="en-US" w:bidi="ru-RU"/>
        </w:rPr>
      </w:pPr>
      <w:r w:rsidRPr="00EC3B3C">
        <w:rPr>
          <w:sz w:val="28"/>
          <w:szCs w:val="28"/>
          <w:lang w:val="en-US" w:bidi="ru-RU"/>
        </w:rPr>
        <w:t xml:space="preserve">Central Bank </w:t>
      </w:r>
    </w:p>
    <w:p w14:paraId="5E1DBD28" w14:textId="77777777" w:rsidR="00BE42A0" w:rsidRPr="00EC3B3C" w:rsidRDefault="00BE42A0" w:rsidP="006F749C">
      <w:pPr>
        <w:numPr>
          <w:ilvl w:val="0"/>
          <w:numId w:val="48"/>
        </w:numPr>
        <w:spacing w:line="312" w:lineRule="auto"/>
        <w:ind w:hanging="84"/>
        <w:contextualSpacing/>
        <w:jc w:val="both"/>
        <w:rPr>
          <w:sz w:val="28"/>
          <w:szCs w:val="28"/>
          <w:lang w:val="en-US" w:bidi="ru-RU"/>
        </w:rPr>
      </w:pPr>
      <w:r w:rsidRPr="00EC3B3C">
        <w:rPr>
          <w:sz w:val="28"/>
          <w:szCs w:val="28"/>
          <w:lang w:val="en-US" w:bidi="ru-RU"/>
        </w:rPr>
        <w:t>commercial banks</w:t>
      </w:r>
    </w:p>
    <w:p w14:paraId="35EE82F2" w14:textId="77777777" w:rsidR="00BE42A0" w:rsidRPr="00EC3B3C" w:rsidRDefault="00BE42A0" w:rsidP="006F749C">
      <w:pPr>
        <w:numPr>
          <w:ilvl w:val="0"/>
          <w:numId w:val="48"/>
        </w:numPr>
        <w:spacing w:line="312" w:lineRule="auto"/>
        <w:ind w:hanging="84"/>
        <w:contextualSpacing/>
        <w:jc w:val="both"/>
        <w:rPr>
          <w:sz w:val="28"/>
          <w:szCs w:val="28"/>
          <w:lang w:val="en-US" w:bidi="ru-RU"/>
        </w:rPr>
      </w:pPr>
      <w:r w:rsidRPr="00EC3B3C">
        <w:rPr>
          <w:sz w:val="28"/>
          <w:szCs w:val="28"/>
          <w:lang w:val="en-US" w:bidi="ru-RU"/>
        </w:rPr>
        <w:t>non-bank crediting institutions (credit unions, pawnshops as well)</w:t>
      </w:r>
    </w:p>
    <w:p w14:paraId="1A224878" w14:textId="77777777" w:rsidR="00BE42A0" w:rsidRPr="00EC3B3C" w:rsidRDefault="00BE42A0" w:rsidP="006F749C">
      <w:pPr>
        <w:numPr>
          <w:ilvl w:val="0"/>
          <w:numId w:val="48"/>
        </w:numPr>
        <w:spacing w:line="312" w:lineRule="auto"/>
        <w:ind w:hanging="84"/>
        <w:contextualSpacing/>
        <w:jc w:val="both"/>
        <w:rPr>
          <w:sz w:val="28"/>
          <w:szCs w:val="28"/>
          <w:lang w:val="en-US" w:bidi="ru-RU"/>
        </w:rPr>
      </w:pPr>
      <w:r w:rsidRPr="00EC3B3C">
        <w:rPr>
          <w:sz w:val="28"/>
          <w:szCs w:val="28"/>
          <w:lang w:val="en-US" w:bidi="ru-RU"/>
        </w:rPr>
        <w:t>Interbank Foreign Currency Exchange</w:t>
      </w:r>
    </w:p>
    <w:p w14:paraId="3042F32B" w14:textId="77777777" w:rsidR="00BE42A0" w:rsidRPr="00EC3B3C" w:rsidRDefault="00BE42A0" w:rsidP="006F749C">
      <w:pPr>
        <w:numPr>
          <w:ilvl w:val="0"/>
          <w:numId w:val="48"/>
        </w:numPr>
        <w:spacing w:line="312" w:lineRule="auto"/>
        <w:ind w:hanging="84"/>
        <w:contextualSpacing/>
        <w:jc w:val="both"/>
        <w:rPr>
          <w:sz w:val="28"/>
          <w:szCs w:val="28"/>
          <w:lang w:val="en-US" w:bidi="ru-RU"/>
        </w:rPr>
      </w:pPr>
      <w:r w:rsidRPr="00EC3B3C">
        <w:rPr>
          <w:sz w:val="28"/>
          <w:szCs w:val="28"/>
          <w:lang w:val="en-US" w:bidi="ru-RU"/>
        </w:rPr>
        <w:t>stock exchanges</w:t>
      </w:r>
    </w:p>
    <w:p w14:paraId="13778EB7" w14:textId="77777777" w:rsidR="00BE42A0" w:rsidRPr="00EC3B3C" w:rsidRDefault="00BE42A0" w:rsidP="006F749C">
      <w:pPr>
        <w:numPr>
          <w:ilvl w:val="0"/>
          <w:numId w:val="48"/>
        </w:numPr>
        <w:spacing w:line="312" w:lineRule="auto"/>
        <w:ind w:hanging="84"/>
        <w:contextualSpacing/>
        <w:jc w:val="both"/>
        <w:rPr>
          <w:sz w:val="28"/>
          <w:szCs w:val="28"/>
          <w:lang w:val="en-US" w:bidi="ru-RU"/>
        </w:rPr>
      </w:pPr>
      <w:r w:rsidRPr="00EC3B3C">
        <w:rPr>
          <w:sz w:val="28"/>
          <w:szCs w:val="28"/>
          <w:lang w:val="en-US" w:bidi="ru-RU"/>
        </w:rPr>
        <w:t>institutional investors</w:t>
      </w:r>
    </w:p>
    <w:p w14:paraId="6CAAD101" w14:textId="77777777" w:rsidR="00BE42A0" w:rsidRPr="00EC3B3C" w:rsidRDefault="008A6DBC" w:rsidP="006F749C">
      <w:pPr>
        <w:numPr>
          <w:ilvl w:val="0"/>
          <w:numId w:val="48"/>
        </w:numPr>
        <w:spacing w:line="312" w:lineRule="auto"/>
        <w:ind w:hanging="84"/>
        <w:contextualSpacing/>
        <w:jc w:val="both"/>
        <w:rPr>
          <w:sz w:val="28"/>
          <w:szCs w:val="28"/>
          <w:lang w:val="en-US" w:bidi="ru-RU"/>
        </w:rPr>
      </w:pPr>
      <w:r>
        <w:rPr>
          <w:sz w:val="28"/>
          <w:szCs w:val="28"/>
          <w:lang w:val="en-US" w:bidi="ru-RU"/>
        </w:rPr>
        <w:t>insurance organizations</w:t>
      </w:r>
    </w:p>
    <w:p w14:paraId="7020FAFD" w14:textId="77777777" w:rsidR="00BE42A0" w:rsidRPr="002D2236" w:rsidRDefault="007557BC" w:rsidP="004B7BB5">
      <w:pPr>
        <w:pStyle w:val="end2"/>
        <w:ind w:firstLine="709"/>
      </w:pPr>
      <w:r w:rsidRPr="002D2236">
        <w:t>RECOMMENDED</w:t>
      </w:r>
      <w:r w:rsidR="00BE42A0" w:rsidRPr="002D2236">
        <w:t xml:space="preserve"> reading </w:t>
      </w:r>
    </w:p>
    <w:p w14:paraId="3C499DD8" w14:textId="77777777" w:rsidR="00715FD4" w:rsidRPr="004B7BB5" w:rsidRDefault="00715FD4" w:rsidP="004B7BB5">
      <w:pPr>
        <w:pStyle w:val="ListParagraph"/>
        <w:numPr>
          <w:ilvl w:val="3"/>
          <w:numId w:val="35"/>
        </w:numPr>
        <w:tabs>
          <w:tab w:val="clear" w:pos="2877"/>
        </w:tabs>
        <w:spacing w:line="240" w:lineRule="atLeast"/>
        <w:ind w:left="284" w:hanging="283"/>
        <w:jc w:val="both"/>
        <w:rPr>
          <w:rFonts w:ascii="Garamond" w:hAnsi="Garamond"/>
          <w:lang w:val="en-US"/>
        </w:rPr>
      </w:pPr>
      <w:r w:rsidRPr="004B7BB5">
        <w:rPr>
          <w:rFonts w:ascii="Garamond" w:hAnsi="Garamond"/>
          <w:lang w:val="en-US"/>
        </w:rPr>
        <w:t xml:space="preserve">Adao, B., Correia, I., </w:t>
      </w:r>
      <w:r w:rsidR="004B7BB5">
        <w:rPr>
          <w:rFonts w:ascii="Garamond" w:hAnsi="Garamond"/>
          <w:lang w:val="en-US"/>
        </w:rPr>
        <w:t>and</w:t>
      </w:r>
      <w:r w:rsidR="00C13409">
        <w:rPr>
          <w:rFonts w:ascii="Garamond" w:hAnsi="Garamond"/>
          <w:lang w:val="en-US"/>
        </w:rPr>
        <w:t xml:space="preserve"> Teles, P., </w:t>
      </w:r>
      <w:r w:rsidRPr="004B7BB5">
        <w:rPr>
          <w:rFonts w:ascii="Garamond" w:hAnsi="Garamond"/>
          <w:lang w:val="en-US"/>
        </w:rPr>
        <w:t>2009</w:t>
      </w:r>
      <w:r w:rsidR="00C13409">
        <w:rPr>
          <w:rFonts w:ascii="Garamond" w:hAnsi="Garamond"/>
          <w:lang w:val="en-US"/>
        </w:rPr>
        <w:t xml:space="preserve">, </w:t>
      </w:r>
      <w:r w:rsidRPr="004B7BB5">
        <w:rPr>
          <w:rFonts w:ascii="Garamond" w:hAnsi="Garamond"/>
          <w:lang w:val="en-US"/>
        </w:rPr>
        <w:t>On the relevance of exchange rate r</w:t>
      </w:r>
      <w:r w:rsidR="00C13409">
        <w:rPr>
          <w:rFonts w:ascii="Garamond" w:hAnsi="Garamond"/>
          <w:lang w:val="en-US"/>
        </w:rPr>
        <w:t>egimes for stabilization policy,</w:t>
      </w:r>
      <w:r w:rsidRPr="004B7BB5">
        <w:rPr>
          <w:rFonts w:ascii="Garamond" w:hAnsi="Garamond"/>
          <w:lang w:val="en-US"/>
        </w:rPr>
        <w:t xml:space="preserve"> </w:t>
      </w:r>
      <w:r w:rsidRPr="00C13409">
        <w:rPr>
          <w:rFonts w:ascii="Garamond" w:hAnsi="Garamond"/>
          <w:i/>
          <w:lang w:val="en-US"/>
        </w:rPr>
        <w:t>Journal of Economic Theory</w:t>
      </w:r>
      <w:r w:rsidRPr="004B7BB5">
        <w:rPr>
          <w:rFonts w:ascii="Garamond" w:hAnsi="Garamond"/>
          <w:lang w:val="en-US"/>
        </w:rPr>
        <w:t>, 144</w:t>
      </w:r>
      <w:r w:rsidR="00C13409">
        <w:rPr>
          <w:rFonts w:ascii="Garamond" w:hAnsi="Garamond"/>
          <w:lang w:val="en-US"/>
        </w:rPr>
        <w:t xml:space="preserve"> </w:t>
      </w:r>
      <w:r w:rsidRPr="004B7BB5">
        <w:rPr>
          <w:rFonts w:ascii="Garamond" w:hAnsi="Garamond"/>
          <w:lang w:val="en-US"/>
        </w:rPr>
        <w:t>(4</w:t>
      </w:r>
      <w:r w:rsidR="00C13409">
        <w:rPr>
          <w:rFonts w:ascii="Garamond" w:hAnsi="Garamond"/>
          <w:lang w:val="en-US"/>
        </w:rPr>
        <w:t>)</w:t>
      </w:r>
      <w:r w:rsidRPr="004B7BB5">
        <w:rPr>
          <w:rFonts w:ascii="Garamond" w:hAnsi="Garamond"/>
          <w:lang w:val="en-US"/>
        </w:rPr>
        <w:t xml:space="preserve">, </w:t>
      </w:r>
      <w:r w:rsidR="00C13409">
        <w:rPr>
          <w:rFonts w:ascii="Garamond" w:hAnsi="Garamond"/>
          <w:lang w:val="en-US"/>
        </w:rPr>
        <w:t xml:space="preserve">pp. </w:t>
      </w:r>
      <w:r w:rsidRPr="004B7BB5">
        <w:rPr>
          <w:rFonts w:ascii="Garamond" w:hAnsi="Garamond"/>
          <w:lang w:val="en-US"/>
        </w:rPr>
        <w:t>1468</w:t>
      </w:r>
      <w:r w:rsidR="00C13409">
        <w:rPr>
          <w:rFonts w:ascii="Garamond" w:hAnsi="Garamond"/>
          <w:lang w:val="en-US"/>
        </w:rPr>
        <w:t>–</w:t>
      </w:r>
      <w:r w:rsidRPr="004B7BB5">
        <w:rPr>
          <w:rFonts w:ascii="Garamond" w:hAnsi="Garamond"/>
          <w:lang w:val="en-US"/>
        </w:rPr>
        <w:t xml:space="preserve">1488. </w:t>
      </w:r>
    </w:p>
    <w:p w14:paraId="6F392A87" w14:textId="77777777" w:rsidR="00715FD4" w:rsidRPr="004B7BB5" w:rsidRDefault="00715FD4" w:rsidP="004B7BB5">
      <w:pPr>
        <w:pStyle w:val="ListParagraph"/>
        <w:numPr>
          <w:ilvl w:val="3"/>
          <w:numId w:val="35"/>
        </w:numPr>
        <w:tabs>
          <w:tab w:val="clear" w:pos="2877"/>
        </w:tabs>
        <w:spacing w:line="240" w:lineRule="atLeast"/>
        <w:ind w:left="284" w:hanging="283"/>
        <w:jc w:val="both"/>
        <w:rPr>
          <w:rFonts w:ascii="Garamond" w:hAnsi="Garamond"/>
          <w:lang w:val="en-US"/>
        </w:rPr>
      </w:pPr>
      <w:r w:rsidRPr="004B7BB5">
        <w:rPr>
          <w:rFonts w:ascii="Garamond" w:hAnsi="Garamond"/>
          <w:lang w:val="en-US"/>
        </w:rPr>
        <w:t xml:space="preserve">Afonso, A., </w:t>
      </w:r>
      <w:r w:rsidR="00C13409">
        <w:rPr>
          <w:rFonts w:ascii="Garamond" w:hAnsi="Garamond"/>
          <w:lang w:val="en-US"/>
        </w:rPr>
        <w:t>and</w:t>
      </w:r>
      <w:r w:rsidRPr="004B7BB5">
        <w:rPr>
          <w:rFonts w:ascii="Garamond" w:hAnsi="Garamond"/>
          <w:lang w:val="en-US"/>
        </w:rPr>
        <w:t xml:space="preserve"> Sousa, R. M.</w:t>
      </w:r>
      <w:r w:rsidR="00C13409">
        <w:rPr>
          <w:rFonts w:ascii="Garamond" w:hAnsi="Garamond"/>
          <w:lang w:val="en-US"/>
        </w:rPr>
        <w:t xml:space="preserve">, </w:t>
      </w:r>
      <w:r w:rsidRPr="004B7BB5">
        <w:rPr>
          <w:rFonts w:ascii="Garamond" w:hAnsi="Garamond"/>
          <w:lang w:val="en-US"/>
        </w:rPr>
        <w:t>2012</w:t>
      </w:r>
      <w:r w:rsidR="00C13409">
        <w:rPr>
          <w:rFonts w:ascii="Garamond" w:hAnsi="Garamond"/>
          <w:lang w:val="en-US"/>
        </w:rPr>
        <w:t xml:space="preserve">, </w:t>
      </w:r>
      <w:r w:rsidRPr="004B7BB5">
        <w:rPr>
          <w:rFonts w:ascii="Garamond" w:hAnsi="Garamond"/>
          <w:lang w:val="en-US"/>
        </w:rPr>
        <w:t>The macroeconomic effects of fiscal policy</w:t>
      </w:r>
      <w:r w:rsidR="00C13409">
        <w:rPr>
          <w:rFonts w:ascii="Garamond" w:hAnsi="Garamond"/>
          <w:lang w:val="en-US"/>
        </w:rPr>
        <w:t>,</w:t>
      </w:r>
      <w:r w:rsidRPr="004B7BB5">
        <w:rPr>
          <w:rFonts w:ascii="Garamond" w:hAnsi="Garamond"/>
          <w:lang w:val="en-US"/>
        </w:rPr>
        <w:t xml:space="preserve"> </w:t>
      </w:r>
      <w:r w:rsidRPr="00C13409">
        <w:rPr>
          <w:rFonts w:ascii="Garamond" w:hAnsi="Garamond"/>
          <w:i/>
          <w:lang w:val="en-US"/>
        </w:rPr>
        <w:t>Applied Economics</w:t>
      </w:r>
      <w:r w:rsidRPr="004B7BB5">
        <w:rPr>
          <w:rFonts w:ascii="Garamond" w:hAnsi="Garamond"/>
          <w:lang w:val="en-US"/>
        </w:rPr>
        <w:t>, 44</w:t>
      </w:r>
      <w:r w:rsidR="00C13409">
        <w:rPr>
          <w:rFonts w:ascii="Garamond" w:hAnsi="Garamond"/>
          <w:lang w:val="en-US"/>
        </w:rPr>
        <w:t xml:space="preserve"> </w:t>
      </w:r>
      <w:r w:rsidRPr="004B7BB5">
        <w:rPr>
          <w:rFonts w:ascii="Garamond" w:hAnsi="Garamond"/>
          <w:lang w:val="en-US"/>
        </w:rPr>
        <w:t xml:space="preserve">(34), </w:t>
      </w:r>
      <w:r w:rsidR="00C13409">
        <w:rPr>
          <w:rFonts w:ascii="Garamond" w:hAnsi="Garamond"/>
          <w:lang w:val="en-US"/>
        </w:rPr>
        <w:t xml:space="preserve">pp. </w:t>
      </w:r>
      <w:r w:rsidRPr="004B7BB5">
        <w:rPr>
          <w:rFonts w:ascii="Garamond" w:hAnsi="Garamond"/>
          <w:lang w:val="en-US"/>
        </w:rPr>
        <w:t>4439</w:t>
      </w:r>
      <w:r w:rsidR="00C13409">
        <w:rPr>
          <w:rFonts w:ascii="Garamond" w:hAnsi="Garamond"/>
          <w:lang w:val="en-US"/>
        </w:rPr>
        <w:t>–</w:t>
      </w:r>
      <w:r w:rsidRPr="004B7BB5">
        <w:rPr>
          <w:rFonts w:ascii="Garamond" w:hAnsi="Garamond"/>
          <w:lang w:val="en-US"/>
        </w:rPr>
        <w:t xml:space="preserve">4454. </w:t>
      </w:r>
    </w:p>
    <w:p w14:paraId="7F216CAF" w14:textId="77777777" w:rsidR="00715FD4" w:rsidRPr="004B7BB5" w:rsidRDefault="00C13409" w:rsidP="004B7BB5">
      <w:pPr>
        <w:pStyle w:val="ListParagraph"/>
        <w:numPr>
          <w:ilvl w:val="3"/>
          <w:numId w:val="35"/>
        </w:numPr>
        <w:tabs>
          <w:tab w:val="clear" w:pos="2877"/>
        </w:tabs>
        <w:spacing w:line="240" w:lineRule="atLeast"/>
        <w:ind w:left="284" w:hanging="283"/>
        <w:jc w:val="both"/>
        <w:rPr>
          <w:rFonts w:ascii="Garamond" w:hAnsi="Garamond"/>
          <w:lang w:val="en-US"/>
        </w:rPr>
      </w:pPr>
      <w:r>
        <w:rPr>
          <w:rFonts w:ascii="Garamond" w:hAnsi="Garamond"/>
          <w:lang w:val="en-US"/>
        </w:rPr>
        <w:t xml:space="preserve">Blinder, A. S., and Solow, R. M., </w:t>
      </w:r>
      <w:r w:rsidR="00715FD4" w:rsidRPr="004B7BB5">
        <w:rPr>
          <w:rFonts w:ascii="Garamond" w:hAnsi="Garamond"/>
          <w:lang w:val="en-US"/>
        </w:rPr>
        <w:t>1973</w:t>
      </w:r>
      <w:r>
        <w:rPr>
          <w:rFonts w:ascii="Garamond" w:hAnsi="Garamond"/>
          <w:lang w:val="en-US"/>
        </w:rPr>
        <w:t xml:space="preserve">, </w:t>
      </w:r>
      <w:r w:rsidR="00715FD4" w:rsidRPr="004B7BB5">
        <w:rPr>
          <w:rFonts w:ascii="Garamond" w:hAnsi="Garamond"/>
          <w:lang w:val="en-US"/>
        </w:rPr>
        <w:t>Does fiscal policy matter?</w:t>
      </w:r>
      <w:r>
        <w:rPr>
          <w:rFonts w:ascii="Garamond" w:hAnsi="Garamond"/>
          <w:lang w:val="en-US"/>
        </w:rPr>
        <w:t>,</w:t>
      </w:r>
      <w:r w:rsidR="00715FD4" w:rsidRPr="004B7BB5">
        <w:rPr>
          <w:rFonts w:ascii="Garamond" w:hAnsi="Garamond"/>
          <w:lang w:val="en-US"/>
        </w:rPr>
        <w:t xml:space="preserve"> </w:t>
      </w:r>
      <w:r w:rsidR="00715FD4" w:rsidRPr="00C13409">
        <w:rPr>
          <w:rFonts w:ascii="Garamond" w:hAnsi="Garamond"/>
          <w:i/>
          <w:lang w:val="en-US"/>
        </w:rPr>
        <w:t>Journal of Public Economics</w:t>
      </w:r>
      <w:r w:rsidR="00715FD4" w:rsidRPr="004B7BB5">
        <w:rPr>
          <w:rFonts w:ascii="Garamond" w:hAnsi="Garamond"/>
          <w:lang w:val="en-US"/>
        </w:rPr>
        <w:t>, 2</w:t>
      </w:r>
      <w:r>
        <w:rPr>
          <w:rFonts w:ascii="Garamond" w:hAnsi="Garamond"/>
          <w:lang w:val="en-US"/>
        </w:rPr>
        <w:t xml:space="preserve"> </w:t>
      </w:r>
      <w:r w:rsidR="00715FD4" w:rsidRPr="004B7BB5">
        <w:rPr>
          <w:rFonts w:ascii="Garamond" w:hAnsi="Garamond"/>
          <w:lang w:val="en-US"/>
        </w:rPr>
        <w:t>(4), 319</w:t>
      </w:r>
      <w:r>
        <w:rPr>
          <w:rFonts w:ascii="Garamond" w:hAnsi="Garamond"/>
          <w:lang w:val="en-US"/>
        </w:rPr>
        <w:t>–</w:t>
      </w:r>
      <w:r w:rsidR="00715FD4" w:rsidRPr="004B7BB5">
        <w:rPr>
          <w:rFonts w:ascii="Garamond" w:hAnsi="Garamond"/>
          <w:lang w:val="en-US"/>
        </w:rPr>
        <w:t xml:space="preserve">337. </w:t>
      </w:r>
    </w:p>
    <w:p w14:paraId="40536824" w14:textId="77777777" w:rsidR="00715FD4" w:rsidRPr="004B7BB5" w:rsidRDefault="00715FD4" w:rsidP="004B7BB5">
      <w:pPr>
        <w:pStyle w:val="ListParagraph"/>
        <w:numPr>
          <w:ilvl w:val="3"/>
          <w:numId w:val="35"/>
        </w:numPr>
        <w:tabs>
          <w:tab w:val="clear" w:pos="2877"/>
        </w:tabs>
        <w:spacing w:line="240" w:lineRule="atLeast"/>
        <w:ind w:left="284" w:hanging="283"/>
        <w:jc w:val="both"/>
        <w:rPr>
          <w:rFonts w:ascii="Garamond" w:hAnsi="Garamond"/>
          <w:lang w:val="en-US"/>
        </w:rPr>
      </w:pPr>
      <w:r w:rsidRPr="004B7BB5">
        <w:rPr>
          <w:rFonts w:ascii="Garamond" w:hAnsi="Garamond"/>
          <w:lang w:val="en-US"/>
        </w:rPr>
        <w:t xml:space="preserve">Davig, T., </w:t>
      </w:r>
      <w:r w:rsidR="00C13409">
        <w:rPr>
          <w:rFonts w:ascii="Garamond" w:hAnsi="Garamond"/>
          <w:lang w:val="en-US"/>
        </w:rPr>
        <w:t xml:space="preserve">and Leeper, E. M., </w:t>
      </w:r>
      <w:r w:rsidRPr="004B7BB5">
        <w:rPr>
          <w:rFonts w:ascii="Garamond" w:hAnsi="Garamond"/>
          <w:lang w:val="en-US"/>
        </w:rPr>
        <w:t>2011</w:t>
      </w:r>
      <w:r w:rsidR="00C13409">
        <w:rPr>
          <w:rFonts w:ascii="Garamond" w:hAnsi="Garamond"/>
          <w:lang w:val="en-US"/>
        </w:rPr>
        <w:t xml:space="preserve">, </w:t>
      </w:r>
      <w:r w:rsidRPr="004B7BB5">
        <w:rPr>
          <w:rFonts w:ascii="Garamond" w:hAnsi="Garamond"/>
          <w:lang w:val="en-US"/>
        </w:rPr>
        <w:t>Monetary</w:t>
      </w:r>
      <w:r w:rsidR="00FA7B64">
        <w:rPr>
          <w:rFonts w:ascii="Garamond" w:hAnsi="Garamond"/>
          <w:lang w:val="en-US"/>
        </w:rPr>
        <w:t>-</w:t>
      </w:r>
      <w:r w:rsidRPr="004B7BB5">
        <w:rPr>
          <w:rFonts w:ascii="Garamond" w:hAnsi="Garamond"/>
          <w:lang w:val="en-US"/>
        </w:rPr>
        <w:t>fiscal policy i</w:t>
      </w:r>
      <w:r w:rsidR="00C13409">
        <w:rPr>
          <w:rFonts w:ascii="Garamond" w:hAnsi="Garamond"/>
          <w:lang w:val="en-US"/>
        </w:rPr>
        <w:t>nteractions and fiscal stimulus,</w:t>
      </w:r>
      <w:r w:rsidRPr="004B7BB5">
        <w:rPr>
          <w:rFonts w:ascii="Garamond" w:hAnsi="Garamond"/>
          <w:lang w:val="en-US"/>
        </w:rPr>
        <w:t xml:space="preserve"> </w:t>
      </w:r>
      <w:r w:rsidRPr="00C13409">
        <w:rPr>
          <w:rFonts w:ascii="Garamond" w:hAnsi="Garamond"/>
          <w:i/>
          <w:lang w:val="en-US"/>
        </w:rPr>
        <w:t>European Economic Review</w:t>
      </w:r>
      <w:r w:rsidRPr="004B7BB5">
        <w:rPr>
          <w:rFonts w:ascii="Garamond" w:hAnsi="Garamond"/>
          <w:lang w:val="en-US"/>
        </w:rPr>
        <w:t>, 55</w:t>
      </w:r>
      <w:r w:rsidR="00C13409">
        <w:rPr>
          <w:rFonts w:ascii="Garamond" w:hAnsi="Garamond"/>
          <w:lang w:val="en-US"/>
        </w:rPr>
        <w:t xml:space="preserve"> </w:t>
      </w:r>
      <w:r w:rsidRPr="004B7BB5">
        <w:rPr>
          <w:rFonts w:ascii="Garamond" w:hAnsi="Garamond"/>
          <w:lang w:val="en-US"/>
        </w:rPr>
        <w:t xml:space="preserve">(2), </w:t>
      </w:r>
      <w:r w:rsidR="00C13409">
        <w:rPr>
          <w:rFonts w:ascii="Garamond" w:hAnsi="Garamond"/>
          <w:lang w:val="en-US"/>
        </w:rPr>
        <w:t xml:space="preserve">pp. </w:t>
      </w:r>
      <w:r w:rsidRPr="004B7BB5">
        <w:rPr>
          <w:rFonts w:ascii="Garamond" w:hAnsi="Garamond"/>
          <w:lang w:val="en-US"/>
        </w:rPr>
        <w:t>211</w:t>
      </w:r>
      <w:r w:rsidR="00C13409">
        <w:rPr>
          <w:rFonts w:ascii="Garamond" w:hAnsi="Garamond"/>
          <w:lang w:val="en-US"/>
        </w:rPr>
        <w:t>–</w:t>
      </w:r>
      <w:r w:rsidRPr="004B7BB5">
        <w:rPr>
          <w:rFonts w:ascii="Garamond" w:hAnsi="Garamond"/>
          <w:lang w:val="en-US"/>
        </w:rPr>
        <w:t>227.</w:t>
      </w:r>
    </w:p>
    <w:p w14:paraId="5ACEFC93" w14:textId="77777777" w:rsidR="00715FD4" w:rsidRPr="004B7BB5" w:rsidRDefault="00C13409" w:rsidP="004B7BB5">
      <w:pPr>
        <w:pStyle w:val="ListParagraph"/>
        <w:numPr>
          <w:ilvl w:val="3"/>
          <w:numId w:val="35"/>
        </w:numPr>
        <w:tabs>
          <w:tab w:val="clear" w:pos="2877"/>
        </w:tabs>
        <w:spacing w:line="240" w:lineRule="atLeast"/>
        <w:ind w:left="284" w:hanging="283"/>
        <w:jc w:val="both"/>
        <w:rPr>
          <w:rFonts w:ascii="Garamond" w:hAnsi="Garamond"/>
          <w:lang w:val="en-US"/>
        </w:rPr>
      </w:pPr>
      <w:r>
        <w:rPr>
          <w:rFonts w:ascii="Garamond" w:hAnsi="Garamond"/>
          <w:lang w:val="en-US"/>
        </w:rPr>
        <w:t xml:space="preserve">Easterly, W., and Rebelo, S., </w:t>
      </w:r>
      <w:r w:rsidR="00715FD4" w:rsidRPr="004B7BB5">
        <w:rPr>
          <w:rFonts w:ascii="Garamond" w:hAnsi="Garamond"/>
          <w:lang w:val="en-US"/>
        </w:rPr>
        <w:t>1993</w:t>
      </w:r>
      <w:r>
        <w:rPr>
          <w:rFonts w:ascii="Garamond" w:hAnsi="Garamond"/>
          <w:lang w:val="en-US"/>
        </w:rPr>
        <w:t xml:space="preserve">, </w:t>
      </w:r>
      <w:r w:rsidR="00715FD4" w:rsidRPr="004B7BB5">
        <w:rPr>
          <w:rFonts w:ascii="Garamond" w:hAnsi="Garamond"/>
          <w:lang w:val="en-US"/>
        </w:rPr>
        <w:t>Fiscal poli</w:t>
      </w:r>
      <w:r>
        <w:rPr>
          <w:rFonts w:ascii="Garamond" w:hAnsi="Garamond"/>
          <w:lang w:val="en-US"/>
        </w:rPr>
        <w:t>cy and economic growth,</w:t>
      </w:r>
      <w:r w:rsidR="00715FD4" w:rsidRPr="004B7BB5">
        <w:rPr>
          <w:rFonts w:ascii="Garamond" w:hAnsi="Garamond"/>
          <w:lang w:val="en-US"/>
        </w:rPr>
        <w:t xml:space="preserve"> </w:t>
      </w:r>
      <w:r w:rsidR="00715FD4" w:rsidRPr="00C13409">
        <w:rPr>
          <w:rFonts w:ascii="Garamond" w:hAnsi="Garamond"/>
          <w:i/>
          <w:lang w:val="en-US"/>
        </w:rPr>
        <w:t xml:space="preserve">Journal of </w:t>
      </w:r>
      <w:r w:rsidR="00FA7B64" w:rsidRPr="00C13409">
        <w:rPr>
          <w:rFonts w:ascii="Garamond" w:hAnsi="Garamond"/>
          <w:i/>
          <w:lang w:val="en-US"/>
        </w:rPr>
        <w:t>Monetary Economics</w:t>
      </w:r>
      <w:r w:rsidR="00715FD4" w:rsidRPr="004B7BB5">
        <w:rPr>
          <w:rFonts w:ascii="Garamond" w:hAnsi="Garamond"/>
          <w:lang w:val="en-US"/>
        </w:rPr>
        <w:t>, 32</w:t>
      </w:r>
      <w:r>
        <w:rPr>
          <w:rFonts w:ascii="Garamond" w:hAnsi="Garamond"/>
          <w:lang w:val="en-US"/>
        </w:rPr>
        <w:t xml:space="preserve"> </w:t>
      </w:r>
      <w:r w:rsidR="00715FD4" w:rsidRPr="004B7BB5">
        <w:rPr>
          <w:rFonts w:ascii="Garamond" w:hAnsi="Garamond"/>
          <w:lang w:val="en-US"/>
        </w:rPr>
        <w:t xml:space="preserve">(3), </w:t>
      </w:r>
      <w:r>
        <w:rPr>
          <w:rFonts w:ascii="Garamond" w:hAnsi="Garamond"/>
          <w:lang w:val="en-US"/>
        </w:rPr>
        <w:t xml:space="preserve">pp. </w:t>
      </w:r>
      <w:r w:rsidR="00715FD4" w:rsidRPr="004B7BB5">
        <w:rPr>
          <w:rFonts w:ascii="Garamond" w:hAnsi="Garamond"/>
          <w:lang w:val="en-US"/>
        </w:rPr>
        <w:t>417</w:t>
      </w:r>
      <w:r>
        <w:rPr>
          <w:rFonts w:ascii="Garamond" w:hAnsi="Garamond"/>
          <w:lang w:val="en-US"/>
        </w:rPr>
        <w:t>–</w:t>
      </w:r>
      <w:r w:rsidR="00715FD4" w:rsidRPr="004B7BB5">
        <w:rPr>
          <w:rFonts w:ascii="Garamond" w:hAnsi="Garamond"/>
          <w:lang w:val="en-US"/>
        </w:rPr>
        <w:t xml:space="preserve">458. </w:t>
      </w:r>
    </w:p>
    <w:p w14:paraId="51BC88E4" w14:textId="77777777" w:rsidR="00715FD4" w:rsidRPr="004B7BB5" w:rsidRDefault="00715FD4" w:rsidP="004B7BB5">
      <w:pPr>
        <w:pStyle w:val="ListParagraph"/>
        <w:numPr>
          <w:ilvl w:val="3"/>
          <w:numId w:val="35"/>
        </w:numPr>
        <w:tabs>
          <w:tab w:val="clear" w:pos="2877"/>
        </w:tabs>
        <w:spacing w:line="240" w:lineRule="atLeast"/>
        <w:ind w:left="284" w:hanging="283"/>
        <w:jc w:val="both"/>
        <w:rPr>
          <w:rFonts w:ascii="Garamond" w:hAnsi="Garamond"/>
          <w:lang w:val="en-US"/>
        </w:rPr>
      </w:pPr>
      <w:r w:rsidRPr="004B7BB5">
        <w:rPr>
          <w:rFonts w:ascii="Garamond" w:hAnsi="Garamond"/>
          <w:lang w:val="en-US"/>
        </w:rPr>
        <w:t xml:space="preserve">Eijffinger, S., </w:t>
      </w:r>
      <w:r w:rsidR="00C13409">
        <w:rPr>
          <w:rFonts w:ascii="Garamond" w:hAnsi="Garamond"/>
          <w:lang w:val="en-US"/>
        </w:rPr>
        <w:t>and</w:t>
      </w:r>
      <w:r w:rsidRPr="004B7BB5">
        <w:rPr>
          <w:rFonts w:ascii="Garamond" w:hAnsi="Garamond"/>
          <w:lang w:val="en-US"/>
        </w:rPr>
        <w:t xml:space="preserve"> Haan, J. D.</w:t>
      </w:r>
      <w:r w:rsidR="00C13409">
        <w:rPr>
          <w:rFonts w:ascii="Garamond" w:hAnsi="Garamond"/>
          <w:lang w:val="en-US"/>
        </w:rPr>
        <w:t xml:space="preserve">, </w:t>
      </w:r>
      <w:r w:rsidRPr="004B7BB5">
        <w:rPr>
          <w:rFonts w:ascii="Garamond" w:hAnsi="Garamond"/>
          <w:lang w:val="en-US"/>
        </w:rPr>
        <w:t>2000</w:t>
      </w:r>
      <w:r w:rsidR="00C13409">
        <w:rPr>
          <w:rFonts w:ascii="Garamond" w:hAnsi="Garamond"/>
          <w:lang w:val="en-US"/>
        </w:rPr>
        <w:t xml:space="preserve">, </w:t>
      </w:r>
      <w:r w:rsidRPr="00C13409">
        <w:rPr>
          <w:rFonts w:ascii="Garamond" w:hAnsi="Garamond"/>
          <w:i/>
          <w:lang w:val="en-US"/>
        </w:rPr>
        <w:t>European monetary and fiscal policy</w:t>
      </w:r>
      <w:r w:rsidR="00C13409">
        <w:rPr>
          <w:rFonts w:ascii="Garamond" w:hAnsi="Garamond"/>
          <w:lang w:val="en-US"/>
        </w:rPr>
        <w:t>,</w:t>
      </w:r>
      <w:r w:rsidRPr="004B7BB5">
        <w:rPr>
          <w:rFonts w:ascii="Garamond" w:hAnsi="Garamond"/>
          <w:lang w:val="en-US"/>
        </w:rPr>
        <w:t xml:space="preserve"> OUP Catalogue. </w:t>
      </w:r>
    </w:p>
    <w:p w14:paraId="48DC6579" w14:textId="77777777" w:rsidR="00715FD4" w:rsidRPr="004B7BB5" w:rsidRDefault="00715FD4" w:rsidP="004B7BB5">
      <w:pPr>
        <w:pStyle w:val="ListParagraph"/>
        <w:numPr>
          <w:ilvl w:val="3"/>
          <w:numId w:val="35"/>
        </w:numPr>
        <w:tabs>
          <w:tab w:val="clear" w:pos="2877"/>
        </w:tabs>
        <w:spacing w:line="240" w:lineRule="atLeast"/>
        <w:ind w:left="284" w:hanging="283"/>
        <w:jc w:val="both"/>
        <w:rPr>
          <w:rFonts w:ascii="Garamond" w:hAnsi="Garamond"/>
          <w:lang w:val="en-US"/>
        </w:rPr>
      </w:pPr>
      <w:r w:rsidRPr="004B7BB5">
        <w:rPr>
          <w:rFonts w:ascii="Garamond" w:hAnsi="Garamond"/>
          <w:lang w:val="en-US"/>
        </w:rPr>
        <w:lastRenderedPageBreak/>
        <w:t xml:space="preserve">Markiewicz, M., Gorski, U., </w:t>
      </w:r>
      <w:r w:rsidR="00C13409">
        <w:rPr>
          <w:rFonts w:ascii="Garamond" w:hAnsi="Garamond"/>
          <w:lang w:val="en-US"/>
        </w:rPr>
        <w:t>and</w:t>
      </w:r>
      <w:r w:rsidRPr="004B7BB5">
        <w:rPr>
          <w:rFonts w:ascii="Garamond" w:hAnsi="Garamond"/>
          <w:lang w:val="en-US"/>
        </w:rPr>
        <w:t xml:space="preserve"> Dekhtiarchuk, M.</w:t>
      </w:r>
      <w:r w:rsidR="00C13409">
        <w:rPr>
          <w:rFonts w:ascii="Garamond" w:hAnsi="Garamond"/>
          <w:lang w:val="en-US"/>
        </w:rPr>
        <w:t xml:space="preserve">, </w:t>
      </w:r>
      <w:r w:rsidRPr="004B7BB5">
        <w:rPr>
          <w:rFonts w:ascii="Garamond" w:hAnsi="Garamond"/>
          <w:lang w:val="en-US"/>
        </w:rPr>
        <w:t>2009</w:t>
      </w:r>
      <w:r w:rsidR="00C13409">
        <w:rPr>
          <w:rFonts w:ascii="Garamond" w:hAnsi="Garamond"/>
          <w:lang w:val="en-US"/>
        </w:rPr>
        <w:t>,</w:t>
      </w:r>
      <w:r w:rsidRPr="004B7BB5">
        <w:rPr>
          <w:rFonts w:ascii="Garamond" w:hAnsi="Garamond"/>
          <w:lang w:val="en-US"/>
        </w:rPr>
        <w:t xml:space="preserve"> Monetary policy in Ukraine in 1996</w:t>
      </w:r>
      <w:r w:rsidR="00C13409">
        <w:rPr>
          <w:rFonts w:ascii="Garamond" w:hAnsi="Garamond"/>
          <w:lang w:val="en-US"/>
        </w:rPr>
        <w:t>–</w:t>
      </w:r>
      <w:r w:rsidRPr="004B7BB5">
        <w:rPr>
          <w:rFonts w:ascii="Garamond" w:hAnsi="Garamond"/>
          <w:lang w:val="en-US"/>
        </w:rPr>
        <w:t>199</w:t>
      </w:r>
      <w:r w:rsidR="00C13409">
        <w:rPr>
          <w:rFonts w:ascii="Garamond" w:hAnsi="Garamond"/>
          <w:lang w:val="en-US"/>
        </w:rPr>
        <w:t>9,</w:t>
      </w:r>
      <w:r w:rsidRPr="004B7BB5">
        <w:rPr>
          <w:rFonts w:ascii="Garamond" w:hAnsi="Garamond"/>
          <w:lang w:val="en-US"/>
        </w:rPr>
        <w:t xml:space="preserve"> </w:t>
      </w:r>
      <w:r w:rsidRPr="00C13409">
        <w:rPr>
          <w:rFonts w:ascii="Garamond" w:hAnsi="Garamond"/>
          <w:i/>
          <w:lang w:val="en-US"/>
        </w:rPr>
        <w:t>CASE Network Studies and Analyses</w:t>
      </w:r>
      <w:r w:rsidR="00C13409">
        <w:rPr>
          <w:rFonts w:ascii="Garamond" w:hAnsi="Garamond"/>
          <w:lang w:val="en-US"/>
        </w:rPr>
        <w:t>, (171).</w:t>
      </w:r>
    </w:p>
    <w:p w14:paraId="4A2DBA35" w14:textId="77777777" w:rsidR="00715FD4" w:rsidRPr="004B7BB5" w:rsidRDefault="00715FD4" w:rsidP="004B7BB5">
      <w:pPr>
        <w:pStyle w:val="ListParagraph"/>
        <w:numPr>
          <w:ilvl w:val="3"/>
          <w:numId w:val="35"/>
        </w:numPr>
        <w:tabs>
          <w:tab w:val="clear" w:pos="2877"/>
        </w:tabs>
        <w:spacing w:line="240" w:lineRule="atLeast"/>
        <w:ind w:left="284" w:hanging="283"/>
        <w:jc w:val="both"/>
        <w:rPr>
          <w:rFonts w:ascii="Garamond" w:hAnsi="Garamond"/>
          <w:lang w:val="en-US"/>
        </w:rPr>
      </w:pPr>
      <w:r w:rsidRPr="004B7BB5">
        <w:rPr>
          <w:rFonts w:ascii="Garamond" w:hAnsi="Garamond"/>
          <w:lang w:val="en-US"/>
        </w:rPr>
        <w:t xml:space="preserve">Spilimbergo, M. A., Symansky, M. S. A., Cottarelli, M. C., </w:t>
      </w:r>
      <w:r w:rsidR="00C13409">
        <w:rPr>
          <w:rFonts w:ascii="Garamond" w:hAnsi="Garamond"/>
          <w:lang w:val="en-US"/>
        </w:rPr>
        <w:t xml:space="preserve">and Blanchard, O. J., </w:t>
      </w:r>
      <w:r w:rsidRPr="004B7BB5">
        <w:rPr>
          <w:rFonts w:ascii="Garamond" w:hAnsi="Garamond"/>
          <w:lang w:val="en-US"/>
        </w:rPr>
        <w:t>2009</w:t>
      </w:r>
      <w:r w:rsidR="00C13409">
        <w:rPr>
          <w:rFonts w:ascii="Garamond" w:hAnsi="Garamond"/>
          <w:lang w:val="en-US"/>
        </w:rPr>
        <w:t xml:space="preserve">, </w:t>
      </w:r>
      <w:r w:rsidR="00C13409" w:rsidRPr="00FA7B64">
        <w:rPr>
          <w:rFonts w:ascii="Garamond" w:hAnsi="Garamond"/>
          <w:i/>
          <w:lang w:val="en-US"/>
        </w:rPr>
        <w:t>Fiscal policy for the crisis</w:t>
      </w:r>
      <w:r w:rsidR="00C13409">
        <w:rPr>
          <w:rFonts w:ascii="Garamond" w:hAnsi="Garamond"/>
          <w:lang w:val="en-US"/>
        </w:rPr>
        <w:t>,</w:t>
      </w:r>
      <w:r w:rsidRPr="004B7BB5">
        <w:rPr>
          <w:rFonts w:ascii="Garamond" w:hAnsi="Garamond"/>
          <w:lang w:val="en-US"/>
        </w:rPr>
        <w:t xml:space="preserve"> </w:t>
      </w:r>
      <w:r w:rsidRPr="00FA7B64">
        <w:rPr>
          <w:rFonts w:ascii="Garamond" w:hAnsi="Garamond"/>
          <w:lang w:val="en-US"/>
        </w:rPr>
        <w:t>International Monetary Fund.</w:t>
      </w:r>
    </w:p>
    <w:p w14:paraId="574D68A1" w14:textId="77777777" w:rsidR="00BE42A0" w:rsidRPr="002D2236" w:rsidRDefault="00BE42A0" w:rsidP="002D2236">
      <w:pPr>
        <w:pStyle w:val="end2"/>
      </w:pPr>
      <w:r w:rsidRPr="002D2236">
        <w:t>Key terms</w:t>
      </w:r>
    </w:p>
    <w:tbl>
      <w:tblPr>
        <w:tblStyle w:val="2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7947"/>
      </w:tblGrid>
      <w:tr w:rsidR="00BE42A0" w:rsidRPr="00BE42A0" w14:paraId="521B0C4B" w14:textId="77777777" w:rsidTr="00BE42A0">
        <w:tc>
          <w:tcPr>
            <w:tcW w:w="1668" w:type="dxa"/>
          </w:tcPr>
          <w:p w14:paraId="4FB3DF79" w14:textId="77777777" w:rsidR="00BE42A0" w:rsidRPr="00BE42A0" w:rsidRDefault="00BE42A0" w:rsidP="00BE42A0">
            <w:pPr>
              <w:spacing w:after="120" w:line="240" w:lineRule="atLeast"/>
              <w:rPr>
                <w:b/>
                <w:lang w:val="en-US"/>
              </w:rPr>
            </w:pPr>
            <w:r w:rsidRPr="00BE42A0">
              <w:rPr>
                <w:b/>
                <w:lang w:val="en-US"/>
              </w:rPr>
              <w:t xml:space="preserve">fiscal policy </w:t>
            </w:r>
            <w:r w:rsidR="00FA7B64">
              <w:rPr>
                <w:b/>
                <w:lang w:val="en-US"/>
              </w:rPr>
              <w:t xml:space="preserve"> </w:t>
            </w:r>
          </w:p>
        </w:tc>
        <w:tc>
          <w:tcPr>
            <w:tcW w:w="7947" w:type="dxa"/>
          </w:tcPr>
          <w:p w14:paraId="42910FE1" w14:textId="77777777" w:rsidR="00BE42A0" w:rsidRPr="00BE42A0" w:rsidRDefault="00BE42A0" w:rsidP="00BE42A0">
            <w:pPr>
              <w:spacing w:after="120" w:line="240" w:lineRule="atLeast"/>
              <w:ind w:firstLine="33"/>
              <w:jc w:val="both"/>
              <w:rPr>
                <w:lang w:val="en-US"/>
              </w:rPr>
            </w:pPr>
            <w:r w:rsidRPr="00BE42A0">
              <w:rPr>
                <w:lang w:val="en-US"/>
              </w:rPr>
              <w:t>is the means by which a government adjusts its spending levels and tax rates to monitor and inf</w:t>
            </w:r>
            <w:r w:rsidR="00486060">
              <w:rPr>
                <w:lang w:val="en-US"/>
              </w:rPr>
              <w:t>luence a national</w:t>
            </w:r>
            <w:r w:rsidRPr="00BE42A0">
              <w:rPr>
                <w:lang w:val="en-US"/>
              </w:rPr>
              <w:t xml:space="preserve"> economy. </w:t>
            </w:r>
          </w:p>
        </w:tc>
      </w:tr>
      <w:tr w:rsidR="00BE42A0" w:rsidRPr="00BE42A0" w14:paraId="15F83761" w14:textId="77777777" w:rsidTr="00BE42A0">
        <w:tc>
          <w:tcPr>
            <w:tcW w:w="1668" w:type="dxa"/>
          </w:tcPr>
          <w:p w14:paraId="72B3861D" w14:textId="77777777" w:rsidR="00BE42A0" w:rsidRPr="00BE42A0" w:rsidRDefault="00BE42A0" w:rsidP="00BE42A0">
            <w:pPr>
              <w:spacing w:after="120"/>
              <w:rPr>
                <w:b/>
                <w:lang w:val="en-US"/>
              </w:rPr>
            </w:pPr>
            <w:r w:rsidRPr="00BE42A0">
              <w:rPr>
                <w:b/>
                <w:lang w:val="en-US"/>
              </w:rPr>
              <w:t xml:space="preserve">transfer payments (or government transfer) </w:t>
            </w:r>
            <w:r w:rsidR="00FA7B64">
              <w:rPr>
                <w:b/>
                <w:lang w:val="en-US"/>
              </w:rPr>
              <w:t xml:space="preserve"> </w:t>
            </w:r>
          </w:p>
        </w:tc>
        <w:tc>
          <w:tcPr>
            <w:tcW w:w="7947" w:type="dxa"/>
          </w:tcPr>
          <w:p w14:paraId="6C2D03D0" w14:textId="77777777" w:rsidR="00BE42A0" w:rsidRPr="00BE42A0" w:rsidRDefault="00BE42A0" w:rsidP="00486060">
            <w:pPr>
              <w:spacing w:after="120" w:line="240" w:lineRule="atLeast"/>
              <w:jc w:val="both"/>
              <w:rPr>
                <w:lang w:val="en-US"/>
              </w:rPr>
            </w:pPr>
            <w:r w:rsidRPr="00BE42A0">
              <w:rPr>
                <w:lang w:val="en-US"/>
              </w:rPr>
              <w:t>is a one-way payment of money for which no money, good, or service is received in exchange. Governments use such payments as means of income redistribution by giving out money for so</w:t>
            </w:r>
            <w:r w:rsidR="00486060">
              <w:rPr>
                <w:lang w:val="en-US"/>
              </w:rPr>
              <w:t xml:space="preserve">cial welfare programs: </w:t>
            </w:r>
            <w:r w:rsidRPr="00BE42A0">
              <w:rPr>
                <w:lang w:val="en-US"/>
              </w:rPr>
              <w:t xml:space="preserve">social security, old age or disability pensions, student grants, unemployment compensation, etc.  </w:t>
            </w:r>
          </w:p>
        </w:tc>
      </w:tr>
      <w:tr w:rsidR="00BE42A0" w:rsidRPr="00BE42A0" w14:paraId="212C1CD5" w14:textId="77777777" w:rsidTr="00BE42A0">
        <w:tc>
          <w:tcPr>
            <w:tcW w:w="1668" w:type="dxa"/>
          </w:tcPr>
          <w:p w14:paraId="6E713E9B" w14:textId="77777777" w:rsidR="00BE42A0" w:rsidRPr="00BE42A0" w:rsidRDefault="00BE42A0" w:rsidP="00BE42A0">
            <w:pPr>
              <w:rPr>
                <w:b/>
                <w:lang w:val="en-US"/>
              </w:rPr>
            </w:pPr>
            <w:r w:rsidRPr="00BE42A0">
              <w:rPr>
                <w:b/>
                <w:lang w:val="en-US"/>
              </w:rPr>
              <w:t xml:space="preserve">national </w:t>
            </w:r>
          </w:p>
          <w:p w14:paraId="097BAD42" w14:textId="77777777" w:rsidR="00BE42A0" w:rsidRPr="00BE42A0" w:rsidRDefault="00BE42A0" w:rsidP="00BE42A0">
            <w:pPr>
              <w:rPr>
                <w:b/>
                <w:lang w:val="en-US"/>
              </w:rPr>
            </w:pPr>
            <w:r w:rsidRPr="00BE42A0">
              <w:rPr>
                <w:b/>
                <w:lang w:val="en-US"/>
              </w:rPr>
              <w:t xml:space="preserve">debt </w:t>
            </w:r>
            <w:r w:rsidR="00FA7B64">
              <w:rPr>
                <w:b/>
                <w:lang w:val="en-US"/>
              </w:rPr>
              <w:t xml:space="preserve"> </w:t>
            </w:r>
          </w:p>
        </w:tc>
        <w:tc>
          <w:tcPr>
            <w:tcW w:w="7947" w:type="dxa"/>
          </w:tcPr>
          <w:p w14:paraId="68B2747F" w14:textId="77777777" w:rsidR="00BE42A0" w:rsidRPr="00BE42A0" w:rsidRDefault="00BE42A0" w:rsidP="00FA7B64">
            <w:pPr>
              <w:spacing w:after="120" w:line="240" w:lineRule="atLeast"/>
              <w:jc w:val="both"/>
              <w:rPr>
                <w:lang w:val="en-US"/>
              </w:rPr>
            </w:pPr>
            <w:r w:rsidRPr="00BE42A0">
              <w:rPr>
                <w:lang w:val="en-US"/>
              </w:rPr>
              <w:t xml:space="preserve">is </w:t>
            </w:r>
            <w:r w:rsidR="00154D36">
              <w:rPr>
                <w:lang w:val="en-US"/>
              </w:rPr>
              <w:t>the</w:t>
            </w:r>
            <w:r w:rsidRPr="00BE42A0">
              <w:rPr>
                <w:lang w:val="en-US"/>
              </w:rPr>
              <w:t xml:space="preserve"> total outstanding borrowings of a central government comprising internal (owing to national creditors) and external (owing to foreign creditors) debt incurred in financing its expenditure.</w:t>
            </w:r>
          </w:p>
        </w:tc>
      </w:tr>
      <w:tr w:rsidR="00BE42A0" w:rsidRPr="00BE42A0" w14:paraId="73AE3753" w14:textId="77777777" w:rsidTr="00BE42A0">
        <w:tc>
          <w:tcPr>
            <w:tcW w:w="1668" w:type="dxa"/>
          </w:tcPr>
          <w:p w14:paraId="345AD20C" w14:textId="77777777" w:rsidR="00BE42A0" w:rsidRPr="00BE42A0" w:rsidRDefault="00BE42A0" w:rsidP="00BE42A0">
            <w:pPr>
              <w:spacing w:after="120"/>
              <w:rPr>
                <w:b/>
                <w:lang w:val="en-US"/>
              </w:rPr>
            </w:pPr>
            <w:r w:rsidRPr="00BE42A0">
              <w:rPr>
                <w:b/>
                <w:lang w:val="en-US"/>
              </w:rPr>
              <w:t xml:space="preserve">subsidy </w:t>
            </w:r>
            <w:r w:rsidR="00FA7B64">
              <w:rPr>
                <w:b/>
                <w:lang w:val="en-US"/>
              </w:rPr>
              <w:t xml:space="preserve"> </w:t>
            </w:r>
            <w:r w:rsidRPr="00BE42A0">
              <w:rPr>
                <w:b/>
                <w:lang w:val="en-US"/>
              </w:rPr>
              <w:t xml:space="preserve"> </w:t>
            </w:r>
          </w:p>
        </w:tc>
        <w:tc>
          <w:tcPr>
            <w:tcW w:w="7947" w:type="dxa"/>
          </w:tcPr>
          <w:p w14:paraId="1B38F8D1" w14:textId="77777777" w:rsidR="00BE42A0" w:rsidRPr="00BE42A0" w:rsidRDefault="00BE42A0" w:rsidP="00BE42A0">
            <w:pPr>
              <w:spacing w:after="120" w:line="240" w:lineRule="atLeast"/>
              <w:jc w:val="both"/>
              <w:rPr>
                <w:lang w:val="en-US"/>
              </w:rPr>
            </w:pPr>
            <w:r w:rsidRPr="00BE42A0">
              <w:rPr>
                <w:lang w:val="en-US"/>
              </w:rPr>
              <w:t>is an economic benefit (such as a tax allowance or duty rebate) or financial aid (such as a cash grant or soft loan) provided by a government to support a desirable activity (such as exports), keep prices of staples low, maintain the income of the producers of critical or strategic products, maintain employment levels, or induce investment to reduce unemployment.</w:t>
            </w:r>
          </w:p>
        </w:tc>
      </w:tr>
      <w:tr w:rsidR="00BE42A0" w:rsidRPr="00BE42A0" w14:paraId="2495ACD9" w14:textId="77777777" w:rsidTr="00BE42A0">
        <w:tc>
          <w:tcPr>
            <w:tcW w:w="1668" w:type="dxa"/>
          </w:tcPr>
          <w:p w14:paraId="7D8D5D57" w14:textId="77777777" w:rsidR="00BE42A0" w:rsidRPr="00BE42A0" w:rsidRDefault="00BE42A0" w:rsidP="00BE42A0">
            <w:pPr>
              <w:spacing w:after="120"/>
              <w:rPr>
                <w:b/>
                <w:lang w:val="en-US"/>
              </w:rPr>
            </w:pPr>
            <w:r w:rsidRPr="00BE42A0">
              <w:rPr>
                <w:b/>
                <w:lang w:val="en-US"/>
              </w:rPr>
              <w:t xml:space="preserve">taxation </w:t>
            </w:r>
            <w:r w:rsidR="00FA7B64">
              <w:rPr>
                <w:b/>
                <w:lang w:val="en-US"/>
              </w:rPr>
              <w:t xml:space="preserve"> </w:t>
            </w:r>
          </w:p>
        </w:tc>
        <w:tc>
          <w:tcPr>
            <w:tcW w:w="7947" w:type="dxa"/>
          </w:tcPr>
          <w:p w14:paraId="3342CBEA" w14:textId="77777777" w:rsidR="00BE42A0" w:rsidRPr="00BE42A0" w:rsidRDefault="00154D36" w:rsidP="00154D36">
            <w:pPr>
              <w:spacing w:after="120" w:line="240" w:lineRule="atLeast"/>
              <w:ind w:firstLine="33"/>
              <w:jc w:val="both"/>
              <w:rPr>
                <w:lang w:val="en-US"/>
              </w:rPr>
            </w:pPr>
            <w:r>
              <w:rPr>
                <w:lang w:val="en-US"/>
              </w:rPr>
              <w:t xml:space="preserve">is </w:t>
            </w:r>
            <w:r w:rsidR="00BE42A0" w:rsidRPr="00BE42A0">
              <w:rPr>
                <w:lang w:val="en-US"/>
              </w:rPr>
              <w:t xml:space="preserve">a means by which governments finance their expenditure by imposing financial charges (taxes) or other levy imposed upon a taxpayer (an individual or legal entity) by a state or the functional equivalent of </w:t>
            </w:r>
            <w:r>
              <w:rPr>
                <w:lang w:val="en-US"/>
              </w:rPr>
              <w:t>the</w:t>
            </w:r>
            <w:r w:rsidR="00BE42A0" w:rsidRPr="00BE42A0">
              <w:rPr>
                <w:lang w:val="en-US"/>
              </w:rPr>
              <w:t xml:space="preserve"> state to fund various public expenditures.</w:t>
            </w:r>
            <w:r w:rsidR="00486060">
              <w:rPr>
                <w:lang w:val="en-US"/>
              </w:rPr>
              <w:t xml:space="preserve"> </w:t>
            </w:r>
          </w:p>
        </w:tc>
      </w:tr>
      <w:tr w:rsidR="00BE42A0" w:rsidRPr="00BE42A0" w14:paraId="27929CF3" w14:textId="77777777" w:rsidTr="00BE42A0">
        <w:tc>
          <w:tcPr>
            <w:tcW w:w="1668" w:type="dxa"/>
          </w:tcPr>
          <w:p w14:paraId="1D14B655" w14:textId="77777777" w:rsidR="00BE42A0" w:rsidRPr="00BE42A0" w:rsidRDefault="00BE42A0" w:rsidP="00BE42A0">
            <w:pPr>
              <w:spacing w:after="120"/>
              <w:rPr>
                <w:b/>
                <w:lang w:val="en-US"/>
              </w:rPr>
            </w:pPr>
            <w:r w:rsidRPr="00BE42A0">
              <w:rPr>
                <w:b/>
                <w:lang w:val="en-US"/>
              </w:rPr>
              <w:t xml:space="preserve">monetary policy </w:t>
            </w:r>
            <w:r w:rsidR="00FA7B64">
              <w:rPr>
                <w:b/>
                <w:lang w:val="en-US"/>
              </w:rPr>
              <w:t xml:space="preserve"> </w:t>
            </w:r>
          </w:p>
        </w:tc>
        <w:tc>
          <w:tcPr>
            <w:tcW w:w="7947" w:type="dxa"/>
          </w:tcPr>
          <w:p w14:paraId="3EA3A8E1" w14:textId="77777777" w:rsidR="00BE42A0" w:rsidRPr="00BE42A0" w:rsidRDefault="00BE42A0" w:rsidP="00BE42A0">
            <w:pPr>
              <w:spacing w:after="120" w:line="240" w:lineRule="atLeast"/>
              <w:ind w:firstLine="33"/>
              <w:jc w:val="both"/>
              <w:rPr>
                <w:lang w:val="en-US"/>
              </w:rPr>
            </w:pPr>
            <w:r w:rsidRPr="00BE42A0">
              <w:rPr>
                <w:lang w:val="en-US"/>
              </w:rPr>
              <w:t>is an economic strategy chosen by a government in deciding expansion or contraction in the country's money-supply.</w:t>
            </w:r>
          </w:p>
        </w:tc>
      </w:tr>
      <w:tr w:rsidR="00BE42A0" w:rsidRPr="00BE42A0" w14:paraId="3D6BF49E" w14:textId="77777777" w:rsidTr="00BE42A0">
        <w:tc>
          <w:tcPr>
            <w:tcW w:w="1668" w:type="dxa"/>
          </w:tcPr>
          <w:p w14:paraId="3E9BEE9E" w14:textId="77777777" w:rsidR="00BE42A0" w:rsidRPr="00BE42A0" w:rsidRDefault="00BE42A0" w:rsidP="00BE42A0">
            <w:pPr>
              <w:spacing w:after="120"/>
              <w:rPr>
                <w:b/>
                <w:lang w:val="en-US"/>
              </w:rPr>
            </w:pPr>
            <w:r w:rsidRPr="00BE42A0">
              <w:rPr>
                <w:b/>
                <w:lang w:val="en-US"/>
              </w:rPr>
              <w:t xml:space="preserve">discount window </w:t>
            </w:r>
            <w:r w:rsidR="00FA7B64">
              <w:rPr>
                <w:b/>
                <w:lang w:val="en-US"/>
              </w:rPr>
              <w:t xml:space="preserve"> </w:t>
            </w:r>
          </w:p>
        </w:tc>
        <w:tc>
          <w:tcPr>
            <w:tcW w:w="7947" w:type="dxa"/>
          </w:tcPr>
          <w:p w14:paraId="7F1E0327" w14:textId="77777777" w:rsidR="00BE42A0" w:rsidRPr="00BE42A0" w:rsidRDefault="00BE42A0" w:rsidP="00084E83">
            <w:pPr>
              <w:spacing w:after="120" w:line="240" w:lineRule="atLeast"/>
              <w:jc w:val="both"/>
              <w:rPr>
                <w:lang w:val="en-US"/>
              </w:rPr>
            </w:pPr>
            <w:r w:rsidRPr="00BE42A0">
              <w:rPr>
                <w:lang w:val="en-US"/>
              </w:rPr>
              <w:t>is an instrument of monetary policy that allows eligible institutions to borrow money from the central bank, usually on a short-term basis</w:t>
            </w:r>
            <w:r w:rsidR="00084E83">
              <w:rPr>
                <w:lang w:val="en-US"/>
              </w:rPr>
              <w:t xml:space="preserve"> and</w:t>
            </w:r>
            <w:r w:rsidRPr="00BE42A0">
              <w:rPr>
                <w:lang w:val="en-US"/>
              </w:rPr>
              <w:t xml:space="preserve"> to meet temporary shortages of liquidity caused by internal or external disruptions.</w:t>
            </w:r>
          </w:p>
        </w:tc>
      </w:tr>
      <w:tr w:rsidR="00BE42A0" w:rsidRPr="00BE42A0" w14:paraId="70BC788A" w14:textId="77777777" w:rsidTr="00BE42A0">
        <w:tc>
          <w:tcPr>
            <w:tcW w:w="1668" w:type="dxa"/>
          </w:tcPr>
          <w:p w14:paraId="71941834" w14:textId="77777777" w:rsidR="00BE42A0" w:rsidRPr="00BE42A0" w:rsidRDefault="00BE42A0" w:rsidP="00BE42A0">
            <w:pPr>
              <w:spacing w:after="120"/>
              <w:rPr>
                <w:b/>
                <w:lang w:val="en-US"/>
              </w:rPr>
            </w:pPr>
            <w:r w:rsidRPr="00BE42A0">
              <w:rPr>
                <w:b/>
                <w:lang w:val="en-US"/>
              </w:rPr>
              <w:t xml:space="preserve">open market operations </w:t>
            </w:r>
            <w:r w:rsidR="00FA7B64">
              <w:rPr>
                <w:b/>
                <w:lang w:val="en-US"/>
              </w:rPr>
              <w:t xml:space="preserve"> </w:t>
            </w:r>
            <w:r w:rsidRPr="00BE42A0">
              <w:rPr>
                <w:b/>
                <w:lang w:val="en-US"/>
              </w:rPr>
              <w:t xml:space="preserve"> </w:t>
            </w:r>
          </w:p>
        </w:tc>
        <w:tc>
          <w:tcPr>
            <w:tcW w:w="7947" w:type="dxa"/>
          </w:tcPr>
          <w:p w14:paraId="597175AE" w14:textId="77777777" w:rsidR="00BE42A0" w:rsidRPr="00BE42A0" w:rsidRDefault="00BE42A0" w:rsidP="009C5FE7">
            <w:pPr>
              <w:spacing w:after="120" w:line="240" w:lineRule="atLeast"/>
              <w:jc w:val="both"/>
              <w:rPr>
                <w:lang w:val="en-US"/>
              </w:rPr>
            </w:pPr>
            <w:r w:rsidRPr="00BE42A0">
              <w:rPr>
                <w:lang w:val="en-US"/>
              </w:rPr>
              <w:t>is buying and selling of government securities in the open market in order to expand or contract the amount of money in the banking system.</w:t>
            </w:r>
          </w:p>
        </w:tc>
      </w:tr>
      <w:tr w:rsidR="00BE42A0" w:rsidRPr="00BE42A0" w14:paraId="5E48663D" w14:textId="77777777" w:rsidTr="00BE42A0">
        <w:tc>
          <w:tcPr>
            <w:tcW w:w="1668" w:type="dxa"/>
          </w:tcPr>
          <w:p w14:paraId="0969284B" w14:textId="77777777" w:rsidR="00BE42A0" w:rsidRPr="00BE42A0" w:rsidRDefault="00BE42A0" w:rsidP="00BE42A0">
            <w:pPr>
              <w:spacing w:after="120"/>
              <w:rPr>
                <w:b/>
                <w:lang w:val="en-US"/>
              </w:rPr>
            </w:pPr>
            <w:r w:rsidRPr="00BE42A0">
              <w:rPr>
                <w:b/>
                <w:lang w:val="en-US"/>
              </w:rPr>
              <w:t xml:space="preserve">reserve requirements </w:t>
            </w:r>
            <w:r w:rsidR="00FA7B64">
              <w:rPr>
                <w:b/>
                <w:lang w:val="en-US"/>
              </w:rPr>
              <w:t xml:space="preserve"> </w:t>
            </w:r>
          </w:p>
        </w:tc>
        <w:tc>
          <w:tcPr>
            <w:tcW w:w="7947" w:type="dxa"/>
          </w:tcPr>
          <w:p w14:paraId="223B76C7" w14:textId="77777777" w:rsidR="00BE42A0" w:rsidRPr="00BE42A0" w:rsidRDefault="00BE42A0" w:rsidP="00084E83">
            <w:pPr>
              <w:spacing w:after="120" w:line="240" w:lineRule="atLeast"/>
              <w:jc w:val="both"/>
              <w:rPr>
                <w:lang w:val="en-US"/>
              </w:rPr>
            </w:pPr>
            <w:r w:rsidRPr="00BE42A0">
              <w:rPr>
                <w:lang w:val="en-US"/>
              </w:rPr>
              <w:t>is a minimum amount of cash or cash-equivalents (computed as a percentage of deposits) that banks and other depository institutions (credit unions</w:t>
            </w:r>
            <w:r w:rsidR="00084E83">
              <w:rPr>
                <w:lang w:val="en-US"/>
              </w:rPr>
              <w:t xml:space="preserve"> and</w:t>
            </w:r>
            <w:r w:rsidRPr="00BE42A0">
              <w:rPr>
                <w:lang w:val="en-US"/>
              </w:rPr>
              <w:t xml:space="preserve"> insurance companies) are required by law to keep on hand, and which may not be used for lending or investing. </w:t>
            </w:r>
          </w:p>
        </w:tc>
      </w:tr>
      <w:tr w:rsidR="00BE42A0" w:rsidRPr="00BE42A0" w14:paraId="1FBE6D24" w14:textId="77777777" w:rsidTr="00BE42A0">
        <w:tc>
          <w:tcPr>
            <w:tcW w:w="1668" w:type="dxa"/>
          </w:tcPr>
          <w:p w14:paraId="1A8729F9" w14:textId="77777777" w:rsidR="00BE42A0" w:rsidRPr="00BE42A0" w:rsidRDefault="00BE42A0" w:rsidP="00BE42A0">
            <w:pPr>
              <w:spacing w:after="120"/>
              <w:rPr>
                <w:b/>
                <w:lang w:val="en-US"/>
              </w:rPr>
            </w:pPr>
            <w:r w:rsidRPr="00BE42A0">
              <w:rPr>
                <w:b/>
                <w:lang w:val="en-US"/>
              </w:rPr>
              <w:t xml:space="preserve">exchange rate regime </w:t>
            </w:r>
            <w:r w:rsidR="00FA7B64">
              <w:rPr>
                <w:b/>
                <w:lang w:val="en-US"/>
              </w:rPr>
              <w:t xml:space="preserve"> </w:t>
            </w:r>
          </w:p>
        </w:tc>
        <w:tc>
          <w:tcPr>
            <w:tcW w:w="7947" w:type="dxa"/>
          </w:tcPr>
          <w:p w14:paraId="4E61F9F1" w14:textId="77777777" w:rsidR="00BE42A0" w:rsidRPr="00BE42A0" w:rsidRDefault="00BE42A0" w:rsidP="00BE42A0">
            <w:pPr>
              <w:spacing w:after="120"/>
              <w:jc w:val="both"/>
              <w:rPr>
                <w:lang w:val="en-US"/>
              </w:rPr>
            </w:pPr>
            <w:r w:rsidRPr="00BE42A0">
              <w:rPr>
                <w:lang w:val="en-US"/>
              </w:rPr>
              <w:t>is the way an authority manages its currency in relation to other currencies and the foreign exchange market.</w:t>
            </w:r>
          </w:p>
        </w:tc>
      </w:tr>
      <w:tr w:rsidR="00BE42A0" w:rsidRPr="00BE42A0" w14:paraId="60FA9B94" w14:textId="77777777" w:rsidTr="00BE42A0">
        <w:tc>
          <w:tcPr>
            <w:tcW w:w="1668" w:type="dxa"/>
          </w:tcPr>
          <w:p w14:paraId="676DC8B4" w14:textId="77777777" w:rsidR="00BE42A0" w:rsidRPr="00BE42A0" w:rsidRDefault="00BE42A0" w:rsidP="00BE42A0">
            <w:pPr>
              <w:spacing w:after="120"/>
              <w:rPr>
                <w:b/>
                <w:lang w:val="en-US"/>
              </w:rPr>
            </w:pPr>
            <w:r w:rsidRPr="00BE42A0">
              <w:rPr>
                <w:b/>
                <w:lang w:val="en-US"/>
              </w:rPr>
              <w:t xml:space="preserve">import quota </w:t>
            </w:r>
            <w:r w:rsidR="00FA7B64">
              <w:rPr>
                <w:b/>
                <w:lang w:val="en-US"/>
              </w:rPr>
              <w:t xml:space="preserve"> </w:t>
            </w:r>
          </w:p>
        </w:tc>
        <w:tc>
          <w:tcPr>
            <w:tcW w:w="7947" w:type="dxa"/>
          </w:tcPr>
          <w:p w14:paraId="79B99E4B" w14:textId="77777777" w:rsidR="00BE42A0" w:rsidRPr="00BE42A0" w:rsidRDefault="00BE42A0" w:rsidP="00084E83">
            <w:pPr>
              <w:spacing w:after="120" w:line="240" w:lineRule="atLeast"/>
              <w:jc w:val="both"/>
              <w:rPr>
                <w:lang w:val="en-US"/>
              </w:rPr>
            </w:pPr>
            <w:r w:rsidRPr="00BE42A0">
              <w:rPr>
                <w:lang w:val="en-US"/>
              </w:rPr>
              <w:t>is a means of restricting the quantity of imports through import licenses either of a certain item or from a certain country. See also import restrictions.</w:t>
            </w:r>
          </w:p>
        </w:tc>
      </w:tr>
      <w:tr w:rsidR="00BE42A0" w:rsidRPr="00BE42A0" w14:paraId="4C405F8E" w14:textId="77777777" w:rsidTr="00BE42A0">
        <w:tc>
          <w:tcPr>
            <w:tcW w:w="1668" w:type="dxa"/>
          </w:tcPr>
          <w:p w14:paraId="092F7208" w14:textId="77777777" w:rsidR="00BE42A0" w:rsidRPr="00BE42A0" w:rsidRDefault="00BE42A0" w:rsidP="00BE42A0">
            <w:pPr>
              <w:spacing w:after="120"/>
              <w:rPr>
                <w:b/>
                <w:lang w:val="en-US"/>
              </w:rPr>
            </w:pPr>
            <w:r w:rsidRPr="00BE42A0">
              <w:rPr>
                <w:b/>
                <w:lang w:val="en-US"/>
              </w:rPr>
              <w:t xml:space="preserve">import duty </w:t>
            </w:r>
            <w:r w:rsidR="00FA7B64">
              <w:rPr>
                <w:b/>
                <w:lang w:val="en-US"/>
              </w:rPr>
              <w:t xml:space="preserve"> </w:t>
            </w:r>
          </w:p>
        </w:tc>
        <w:tc>
          <w:tcPr>
            <w:tcW w:w="7947" w:type="dxa"/>
          </w:tcPr>
          <w:p w14:paraId="7C365AA5" w14:textId="77777777" w:rsidR="00BE42A0" w:rsidRPr="00BE42A0" w:rsidRDefault="00084E83" w:rsidP="00BE42A0">
            <w:pPr>
              <w:spacing w:after="120" w:line="240" w:lineRule="atLeast"/>
              <w:jc w:val="both"/>
              <w:rPr>
                <w:lang w:val="en-US"/>
              </w:rPr>
            </w:pPr>
            <w:r>
              <w:rPr>
                <w:lang w:val="en-US"/>
              </w:rPr>
              <w:t xml:space="preserve">is </w:t>
            </w:r>
            <w:r w:rsidR="00BE42A0" w:rsidRPr="00BE42A0">
              <w:rPr>
                <w:lang w:val="en-US"/>
              </w:rPr>
              <w:t>a tax on goods imported into a country</w:t>
            </w:r>
          </w:p>
        </w:tc>
      </w:tr>
      <w:tr w:rsidR="00BE42A0" w:rsidRPr="00BE42A0" w14:paraId="4A9D0826" w14:textId="77777777" w:rsidTr="00BE42A0">
        <w:tc>
          <w:tcPr>
            <w:tcW w:w="1668" w:type="dxa"/>
          </w:tcPr>
          <w:p w14:paraId="5C9EAEEA" w14:textId="77777777" w:rsidR="00BE42A0" w:rsidRPr="00BE42A0" w:rsidRDefault="00BE42A0" w:rsidP="00BE42A0">
            <w:pPr>
              <w:spacing w:after="120"/>
              <w:rPr>
                <w:b/>
                <w:lang w:val="en-US"/>
              </w:rPr>
            </w:pPr>
            <w:r w:rsidRPr="00BE42A0">
              <w:rPr>
                <w:b/>
                <w:lang w:val="en-US"/>
              </w:rPr>
              <w:t xml:space="preserve">currency restriction </w:t>
            </w:r>
            <w:r w:rsidR="00FA7B64">
              <w:rPr>
                <w:b/>
                <w:lang w:val="en-US"/>
              </w:rPr>
              <w:t xml:space="preserve"> </w:t>
            </w:r>
          </w:p>
        </w:tc>
        <w:tc>
          <w:tcPr>
            <w:tcW w:w="7947" w:type="dxa"/>
          </w:tcPr>
          <w:p w14:paraId="4EA9292A" w14:textId="77777777" w:rsidR="00BE42A0" w:rsidRPr="00BE42A0" w:rsidRDefault="00BE42A0" w:rsidP="00BE42A0">
            <w:pPr>
              <w:spacing w:after="120" w:line="240" w:lineRule="atLeast"/>
              <w:jc w:val="both"/>
              <w:rPr>
                <w:lang w:val="en-US"/>
              </w:rPr>
            </w:pPr>
            <w:r w:rsidRPr="00BE42A0">
              <w:rPr>
                <w:lang w:val="en-US"/>
              </w:rPr>
              <w:t xml:space="preserve">is a rule or requirement imposed by a country's monetary authorities to regulate its inflow or outflow. </w:t>
            </w:r>
          </w:p>
        </w:tc>
      </w:tr>
      <w:tr w:rsidR="00BE42A0" w:rsidRPr="00BE42A0" w14:paraId="23FCD0D2" w14:textId="77777777" w:rsidTr="00BE42A0">
        <w:tc>
          <w:tcPr>
            <w:tcW w:w="1668" w:type="dxa"/>
          </w:tcPr>
          <w:p w14:paraId="054E761F" w14:textId="77777777" w:rsidR="00BE42A0" w:rsidRPr="00BE42A0" w:rsidRDefault="00BE42A0" w:rsidP="00BE42A0">
            <w:pPr>
              <w:spacing w:after="120"/>
              <w:rPr>
                <w:b/>
                <w:lang w:val="en-US"/>
              </w:rPr>
            </w:pPr>
            <w:r w:rsidRPr="00BE42A0">
              <w:rPr>
                <w:b/>
                <w:lang w:val="en-US"/>
              </w:rPr>
              <w:lastRenderedPageBreak/>
              <w:t xml:space="preserve">embargo </w:t>
            </w:r>
            <w:r w:rsidR="00FA7B64">
              <w:rPr>
                <w:b/>
                <w:lang w:val="en-US"/>
              </w:rPr>
              <w:t xml:space="preserve"> </w:t>
            </w:r>
          </w:p>
        </w:tc>
        <w:tc>
          <w:tcPr>
            <w:tcW w:w="7947" w:type="dxa"/>
          </w:tcPr>
          <w:p w14:paraId="2E162E59" w14:textId="77777777" w:rsidR="00BE42A0" w:rsidRPr="00BE42A0" w:rsidRDefault="00BE42A0" w:rsidP="00BE42A0">
            <w:pPr>
              <w:spacing w:after="120" w:line="240" w:lineRule="atLeast"/>
              <w:jc w:val="both"/>
              <w:rPr>
                <w:lang w:val="en-US"/>
              </w:rPr>
            </w:pPr>
            <w:r w:rsidRPr="00BE42A0">
              <w:rPr>
                <w:lang w:val="en-US"/>
              </w:rPr>
              <w:t>is an official suspension of import and/or export of some specific or all goods, to or from a specific port, country, or region, for political, health, or labor related reasons, for a specified or indefinite period.</w:t>
            </w:r>
          </w:p>
        </w:tc>
      </w:tr>
      <w:tr w:rsidR="00BE42A0" w:rsidRPr="00BE42A0" w14:paraId="383ED0AC" w14:textId="77777777" w:rsidTr="00BE42A0">
        <w:tc>
          <w:tcPr>
            <w:tcW w:w="1668" w:type="dxa"/>
          </w:tcPr>
          <w:p w14:paraId="34E3BC84" w14:textId="77777777" w:rsidR="00BE42A0" w:rsidRPr="00BE42A0" w:rsidRDefault="00BE42A0" w:rsidP="00BE42A0">
            <w:pPr>
              <w:spacing w:after="120"/>
              <w:rPr>
                <w:b/>
                <w:lang w:val="en-US"/>
              </w:rPr>
            </w:pPr>
            <w:r w:rsidRPr="00BE42A0">
              <w:rPr>
                <w:b/>
                <w:lang w:val="en-US"/>
              </w:rPr>
              <w:t xml:space="preserve">depreciation </w:t>
            </w:r>
            <w:r w:rsidR="00FA7B64">
              <w:rPr>
                <w:b/>
                <w:lang w:val="en-US"/>
              </w:rPr>
              <w:t xml:space="preserve"> </w:t>
            </w:r>
          </w:p>
        </w:tc>
        <w:tc>
          <w:tcPr>
            <w:tcW w:w="7947" w:type="dxa"/>
          </w:tcPr>
          <w:p w14:paraId="1FC3DE96" w14:textId="77777777" w:rsidR="00BE42A0" w:rsidRPr="00BE42A0" w:rsidRDefault="00BE42A0" w:rsidP="00BE42A0">
            <w:pPr>
              <w:spacing w:after="120" w:line="240" w:lineRule="atLeast"/>
              <w:jc w:val="both"/>
              <w:rPr>
                <w:lang w:val="en-US"/>
              </w:rPr>
            </w:pPr>
            <w:r w:rsidRPr="00BE42A0">
              <w:rPr>
                <w:lang w:val="en-US"/>
              </w:rPr>
              <w:t>is the gradual conversion of the cost of a tangible capital asset or fixed asset into an operational expense (called depreciation expense) over the asset's estimated useful life.</w:t>
            </w:r>
          </w:p>
        </w:tc>
      </w:tr>
      <w:tr w:rsidR="00BE42A0" w:rsidRPr="00BE42A0" w14:paraId="6A431FEE" w14:textId="77777777" w:rsidTr="00BE42A0">
        <w:tc>
          <w:tcPr>
            <w:tcW w:w="1668" w:type="dxa"/>
          </w:tcPr>
          <w:p w14:paraId="5CD82874" w14:textId="77777777" w:rsidR="00BE42A0" w:rsidRPr="00BE42A0" w:rsidRDefault="00BE42A0" w:rsidP="00BE42A0">
            <w:pPr>
              <w:rPr>
                <w:b/>
                <w:lang w:val="en-US"/>
              </w:rPr>
            </w:pPr>
            <w:r w:rsidRPr="00BE42A0">
              <w:rPr>
                <w:b/>
                <w:lang w:val="en-US"/>
              </w:rPr>
              <w:t xml:space="preserve">public </w:t>
            </w:r>
          </w:p>
          <w:p w14:paraId="6B94DF67" w14:textId="77777777" w:rsidR="00BE42A0" w:rsidRPr="00BE42A0" w:rsidRDefault="00BE42A0" w:rsidP="00BE42A0">
            <w:pPr>
              <w:rPr>
                <w:b/>
                <w:lang w:val="en-US"/>
              </w:rPr>
            </w:pPr>
            <w:r w:rsidRPr="00BE42A0">
              <w:rPr>
                <w:b/>
                <w:lang w:val="en-US"/>
              </w:rPr>
              <w:t xml:space="preserve">finance </w:t>
            </w:r>
            <w:r w:rsidR="00FA7B64">
              <w:rPr>
                <w:b/>
                <w:lang w:val="en-US"/>
              </w:rPr>
              <w:t xml:space="preserve"> </w:t>
            </w:r>
          </w:p>
        </w:tc>
        <w:tc>
          <w:tcPr>
            <w:tcW w:w="7947" w:type="dxa"/>
          </w:tcPr>
          <w:p w14:paraId="494B5686" w14:textId="77777777" w:rsidR="00BE42A0" w:rsidRPr="00BE42A0" w:rsidRDefault="00BE42A0" w:rsidP="00BE42A0">
            <w:pPr>
              <w:spacing w:after="120" w:line="240" w:lineRule="atLeast"/>
              <w:jc w:val="both"/>
              <w:rPr>
                <w:lang w:val="en-US"/>
              </w:rPr>
            </w:pPr>
            <w:r w:rsidRPr="00BE42A0">
              <w:rPr>
                <w:lang w:val="en-US"/>
              </w:rPr>
              <w:t>is a field of economics concerned with paying for collective or gov</w:t>
            </w:r>
            <w:r w:rsidR="00084E83">
              <w:rPr>
                <w:lang w:val="en-US"/>
              </w:rPr>
              <w:t>ernmental activities</w:t>
            </w:r>
            <w:r w:rsidRPr="00BE42A0">
              <w:rPr>
                <w:lang w:val="en-US"/>
              </w:rPr>
              <w:t xml:space="preserve"> and with the administration and design of those activities.</w:t>
            </w:r>
          </w:p>
        </w:tc>
      </w:tr>
      <w:tr w:rsidR="00BE42A0" w:rsidRPr="00BE42A0" w14:paraId="27CF6023" w14:textId="77777777" w:rsidTr="00BE42A0">
        <w:tc>
          <w:tcPr>
            <w:tcW w:w="1668" w:type="dxa"/>
          </w:tcPr>
          <w:p w14:paraId="2C2CD1B7" w14:textId="77777777" w:rsidR="00BE42A0" w:rsidRPr="00BE42A0" w:rsidRDefault="00BE42A0" w:rsidP="00BE42A0">
            <w:pPr>
              <w:spacing w:after="120"/>
              <w:rPr>
                <w:b/>
                <w:lang w:val="en-US"/>
              </w:rPr>
            </w:pPr>
            <w:r w:rsidRPr="00BE42A0">
              <w:rPr>
                <w:b/>
                <w:lang w:val="en-US"/>
              </w:rPr>
              <w:t xml:space="preserve">corporative finance </w:t>
            </w:r>
            <w:r w:rsidR="00FA7B64">
              <w:rPr>
                <w:b/>
                <w:lang w:val="en-US"/>
              </w:rPr>
              <w:t xml:space="preserve"> </w:t>
            </w:r>
          </w:p>
        </w:tc>
        <w:tc>
          <w:tcPr>
            <w:tcW w:w="7947" w:type="dxa"/>
          </w:tcPr>
          <w:p w14:paraId="4E7634AB" w14:textId="77777777" w:rsidR="00BE42A0" w:rsidRPr="00BE42A0" w:rsidRDefault="00BE42A0" w:rsidP="00FA7B64">
            <w:pPr>
              <w:spacing w:after="120" w:line="240" w:lineRule="atLeast"/>
              <w:jc w:val="both"/>
              <w:rPr>
                <w:lang w:val="en-US"/>
              </w:rPr>
            </w:pPr>
            <w:r w:rsidRPr="00BE42A0">
              <w:rPr>
                <w:lang w:val="en-US"/>
              </w:rPr>
              <w:t xml:space="preserve">is </w:t>
            </w:r>
            <w:r w:rsidR="00FA7B64">
              <w:rPr>
                <w:lang w:val="en-US"/>
              </w:rPr>
              <w:t>an</w:t>
            </w:r>
            <w:r w:rsidRPr="00BE42A0">
              <w:rPr>
                <w:lang w:val="en-US"/>
              </w:rPr>
              <w:t xml:space="preserve"> area of finance dealing with the sources of funding and the capital structure of corporations and the actions that managers take to increase the value of the firm to the shareholders, as well as the tools and analysis used to allocate financial resources.</w:t>
            </w:r>
          </w:p>
        </w:tc>
      </w:tr>
      <w:tr w:rsidR="00BE42A0" w:rsidRPr="00BE42A0" w14:paraId="78095748" w14:textId="77777777" w:rsidTr="00BE42A0">
        <w:tc>
          <w:tcPr>
            <w:tcW w:w="1668" w:type="dxa"/>
          </w:tcPr>
          <w:p w14:paraId="59A7D44A" w14:textId="77777777" w:rsidR="00BE42A0" w:rsidRPr="00BE42A0" w:rsidRDefault="00BE42A0" w:rsidP="00BE42A0">
            <w:pPr>
              <w:spacing w:after="120"/>
              <w:rPr>
                <w:b/>
                <w:lang w:val="en-US"/>
              </w:rPr>
            </w:pPr>
            <w:r w:rsidRPr="00BE42A0">
              <w:rPr>
                <w:b/>
                <w:lang w:val="en-US"/>
              </w:rPr>
              <w:t xml:space="preserve">international finance </w:t>
            </w:r>
            <w:r w:rsidR="00FA7B64">
              <w:rPr>
                <w:b/>
                <w:lang w:val="en-US"/>
              </w:rPr>
              <w:t xml:space="preserve"> </w:t>
            </w:r>
          </w:p>
        </w:tc>
        <w:tc>
          <w:tcPr>
            <w:tcW w:w="7947" w:type="dxa"/>
          </w:tcPr>
          <w:p w14:paraId="1687EFDB" w14:textId="77777777" w:rsidR="00BE42A0" w:rsidRPr="00BE42A0" w:rsidRDefault="00BE42A0" w:rsidP="00BE42A0">
            <w:pPr>
              <w:spacing w:after="120" w:line="240" w:lineRule="atLeast"/>
              <w:jc w:val="both"/>
              <w:rPr>
                <w:lang w:val="en-US"/>
              </w:rPr>
            </w:pPr>
            <w:r w:rsidRPr="00BE42A0">
              <w:rPr>
                <w:lang w:val="en-US"/>
              </w:rPr>
              <w:t>is an area of financial economics that deals with monetary interactions between two or more countries, concerning itself with topics</w:t>
            </w:r>
            <w:r w:rsidR="00084E83">
              <w:rPr>
                <w:lang w:val="en-US"/>
              </w:rPr>
              <w:t>,</w:t>
            </w:r>
            <w:r w:rsidRPr="00BE42A0">
              <w:rPr>
                <w:lang w:val="en-US"/>
              </w:rPr>
              <w:t xml:space="preserve"> such as currency exchange rates, international monetary systems, foreign direct investment, and issues of international financial management including political risk and foreign exchange risk inherent in managing multinational corporations.</w:t>
            </w:r>
          </w:p>
        </w:tc>
      </w:tr>
      <w:tr w:rsidR="00BE42A0" w:rsidRPr="00BE42A0" w14:paraId="5592D9BF" w14:textId="77777777" w:rsidTr="00BE42A0">
        <w:tc>
          <w:tcPr>
            <w:tcW w:w="1668" w:type="dxa"/>
          </w:tcPr>
          <w:p w14:paraId="1966643D" w14:textId="77777777" w:rsidR="00BE42A0" w:rsidRPr="00BE42A0" w:rsidRDefault="00BE42A0" w:rsidP="00BE42A0">
            <w:pPr>
              <w:spacing w:after="120"/>
              <w:rPr>
                <w:b/>
                <w:lang w:val="en-US"/>
              </w:rPr>
            </w:pPr>
            <w:r w:rsidRPr="00BE42A0">
              <w:rPr>
                <w:b/>
                <w:lang w:val="en-US"/>
              </w:rPr>
              <w:t xml:space="preserve">financial market </w:t>
            </w:r>
            <w:r w:rsidR="00FA7B64">
              <w:rPr>
                <w:b/>
                <w:lang w:val="en-US"/>
              </w:rPr>
              <w:t xml:space="preserve"> </w:t>
            </w:r>
          </w:p>
        </w:tc>
        <w:tc>
          <w:tcPr>
            <w:tcW w:w="7947" w:type="dxa"/>
          </w:tcPr>
          <w:p w14:paraId="08202E0A" w14:textId="77777777" w:rsidR="00BE42A0" w:rsidRPr="00BE42A0" w:rsidRDefault="00BE42A0" w:rsidP="00BE42A0">
            <w:pPr>
              <w:spacing w:after="120" w:line="240" w:lineRule="atLeast"/>
              <w:jc w:val="both"/>
              <w:rPr>
                <w:lang w:val="en-US"/>
              </w:rPr>
            </w:pPr>
            <w:r w:rsidRPr="00BE42A0">
              <w:rPr>
                <w:lang w:val="en-US"/>
              </w:rPr>
              <w:t>is a mechanism that allows people to buy and sell (trade) financial securities (such as stocks and bonds), commodities (such as precious metals or agricultural goods), and other fungible items of value at low transaction costs and at prices that reflect the efficient-market hypothesis.</w:t>
            </w:r>
          </w:p>
        </w:tc>
      </w:tr>
      <w:tr w:rsidR="00BE42A0" w:rsidRPr="00BE42A0" w14:paraId="16216F95" w14:textId="77777777" w:rsidTr="00BE42A0">
        <w:tc>
          <w:tcPr>
            <w:tcW w:w="1668" w:type="dxa"/>
          </w:tcPr>
          <w:p w14:paraId="7DB8635A" w14:textId="77777777" w:rsidR="00BE42A0" w:rsidRPr="00BE42A0" w:rsidRDefault="00BE42A0" w:rsidP="00BE42A0">
            <w:pPr>
              <w:spacing w:after="120"/>
              <w:rPr>
                <w:b/>
                <w:lang w:val="en-US"/>
              </w:rPr>
            </w:pPr>
            <w:r w:rsidRPr="00BE42A0">
              <w:rPr>
                <w:b/>
                <w:lang w:val="en-US"/>
              </w:rPr>
              <w:t xml:space="preserve">personal finance </w:t>
            </w:r>
            <w:r w:rsidR="00FA7B64">
              <w:rPr>
                <w:b/>
                <w:lang w:val="en-US"/>
              </w:rPr>
              <w:t xml:space="preserve"> </w:t>
            </w:r>
          </w:p>
        </w:tc>
        <w:tc>
          <w:tcPr>
            <w:tcW w:w="7947" w:type="dxa"/>
          </w:tcPr>
          <w:p w14:paraId="25C87446" w14:textId="77777777" w:rsidR="00BE42A0" w:rsidRPr="00BE42A0" w:rsidRDefault="00BE42A0" w:rsidP="00BE42A0">
            <w:pPr>
              <w:spacing w:after="120" w:line="240" w:lineRule="atLeast"/>
              <w:jc w:val="both"/>
              <w:rPr>
                <w:lang w:val="en-US"/>
              </w:rPr>
            </w:pPr>
            <w:r w:rsidRPr="00BE42A0">
              <w:rPr>
                <w:lang w:val="en-US"/>
              </w:rPr>
              <w:t>is the financial management which an individual or a family unit performs to budget, save, and spend monetary resources over time, taking into account various financial risks and future life events.</w:t>
            </w:r>
          </w:p>
        </w:tc>
      </w:tr>
    </w:tbl>
    <w:p w14:paraId="1BC26BEA" w14:textId="77777777" w:rsidR="00BE42A0" w:rsidRPr="00BE42A0" w:rsidRDefault="00BE42A0" w:rsidP="002D2236">
      <w:pPr>
        <w:pStyle w:val="end2"/>
      </w:pPr>
      <w:r w:rsidRPr="00BE42A0">
        <w:t>Review questions</w:t>
      </w:r>
    </w:p>
    <w:p w14:paraId="0CB2C01C"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What is the primary issue of the financial policy?</w:t>
      </w:r>
    </w:p>
    <w:p w14:paraId="4080AC51"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What are the three expansionary fiscal policy tools the government can use to expand an economy that is in a recession?</w:t>
      </w:r>
    </w:p>
    <w:p w14:paraId="235F7778"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Are tax cuts always directed at stimulating aggregate demand? Explain why some supply-siders think tax cuts may actually increase tax revenues.</w:t>
      </w:r>
    </w:p>
    <w:p w14:paraId="2076FA7B"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What are the goals of monetary policy?</w:t>
      </w:r>
    </w:p>
    <w:p w14:paraId="0F7409E4"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Is monetary policy effective during financial crises?</w:t>
      </w:r>
    </w:p>
    <w:p w14:paraId="71AC350F"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What is the relation between monetary policy and financial stability?</w:t>
      </w:r>
    </w:p>
    <w:p w14:paraId="767C7A5B"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 xml:space="preserve">Describe the tools the Central </w:t>
      </w:r>
      <w:r w:rsidR="00084E83">
        <w:rPr>
          <w:sz w:val="28"/>
          <w:szCs w:val="28"/>
          <w:lang w:val="en-US" w:bidi="ru-RU"/>
        </w:rPr>
        <w:t>B</w:t>
      </w:r>
      <w:r w:rsidRPr="002D2236">
        <w:rPr>
          <w:sz w:val="28"/>
          <w:szCs w:val="28"/>
          <w:lang w:val="en-US" w:bidi="ru-RU"/>
        </w:rPr>
        <w:t>ank can use to carry out monetary policy.</w:t>
      </w:r>
    </w:p>
    <w:p w14:paraId="206EE348"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Identi</w:t>
      </w:r>
      <w:r w:rsidR="00084E83">
        <w:rPr>
          <w:sz w:val="28"/>
          <w:szCs w:val="28"/>
          <w:lang w:val="en-US" w:bidi="ru-RU"/>
        </w:rPr>
        <w:t>f</w:t>
      </w:r>
      <w:r w:rsidRPr="002D2236">
        <w:rPr>
          <w:sz w:val="28"/>
          <w:szCs w:val="28"/>
          <w:lang w:val="en-US" w:bidi="ru-RU"/>
        </w:rPr>
        <w:t xml:space="preserve">y the three tools of monetary policy, and what the Central </w:t>
      </w:r>
      <w:r w:rsidR="00084E83">
        <w:rPr>
          <w:sz w:val="28"/>
          <w:szCs w:val="28"/>
          <w:lang w:val="en-US" w:bidi="ru-RU"/>
        </w:rPr>
        <w:t>B</w:t>
      </w:r>
      <w:r w:rsidRPr="002D2236">
        <w:rPr>
          <w:sz w:val="28"/>
          <w:szCs w:val="28"/>
          <w:lang w:val="en-US" w:bidi="ru-RU"/>
        </w:rPr>
        <w:t>ank would do to increase (or decrease) the (growth of the) money supply.</w:t>
      </w:r>
    </w:p>
    <w:p w14:paraId="5911FC20"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 xml:space="preserve">Explain how the Central </w:t>
      </w:r>
      <w:r w:rsidR="00084E83">
        <w:rPr>
          <w:sz w:val="28"/>
          <w:szCs w:val="28"/>
          <w:lang w:val="en-US" w:bidi="ru-RU"/>
        </w:rPr>
        <w:t>B</w:t>
      </w:r>
      <w:r w:rsidRPr="002D2236">
        <w:rPr>
          <w:sz w:val="28"/>
          <w:szCs w:val="28"/>
          <w:lang w:val="en-US" w:bidi="ru-RU"/>
        </w:rPr>
        <w:t>ank uses open market operations.</w:t>
      </w:r>
    </w:p>
    <w:p w14:paraId="22022F98"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lastRenderedPageBreak/>
        <w:t>Explain the sequence of links connecting an expansionary monetary policy with interest rates, intended investment, aggregate demand, and output.</w:t>
      </w:r>
    </w:p>
    <w:p w14:paraId="48E89723"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Describe the sequences of events in the conduct of contractionary monetary policy using open mar</w:t>
      </w:r>
      <w:r w:rsidR="00084E83">
        <w:rPr>
          <w:sz w:val="28"/>
          <w:szCs w:val="28"/>
          <w:lang w:val="en-US" w:bidi="ru-RU"/>
        </w:rPr>
        <w:t>ket operations.</w:t>
      </w:r>
    </w:p>
    <w:p w14:paraId="1DFAE70B"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 xml:space="preserve">Explain what happens to the value of the currency when there’s an increase (or decrease) in the supply (or demand) of the currency in </w:t>
      </w:r>
      <w:r w:rsidR="00084E83">
        <w:rPr>
          <w:sz w:val="28"/>
          <w:szCs w:val="28"/>
          <w:lang w:val="en-US" w:bidi="ru-RU"/>
        </w:rPr>
        <w:t>the</w:t>
      </w:r>
      <w:r w:rsidRPr="002D2236">
        <w:rPr>
          <w:sz w:val="28"/>
          <w:szCs w:val="28"/>
          <w:lang w:val="en-US" w:bidi="ru-RU"/>
        </w:rPr>
        <w:t xml:space="preserve"> foreign exchange market.</w:t>
      </w:r>
    </w:p>
    <w:p w14:paraId="3D7E55DB"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 xml:space="preserve">What instruments are used in </w:t>
      </w:r>
      <w:r w:rsidR="00084E83">
        <w:rPr>
          <w:sz w:val="28"/>
          <w:szCs w:val="28"/>
          <w:lang w:val="en-US" w:bidi="ru-RU"/>
        </w:rPr>
        <w:t xml:space="preserve">the </w:t>
      </w:r>
      <w:r w:rsidRPr="002D2236">
        <w:rPr>
          <w:sz w:val="28"/>
          <w:szCs w:val="28"/>
          <w:lang w:val="en-US" w:bidi="ru-RU"/>
        </w:rPr>
        <w:t xml:space="preserve">exchange rate policy? Explain the role of the Government and </w:t>
      </w:r>
      <w:r w:rsidR="00084E83">
        <w:rPr>
          <w:sz w:val="28"/>
          <w:szCs w:val="28"/>
          <w:lang w:val="en-US" w:bidi="ru-RU"/>
        </w:rPr>
        <w:t>the Central B</w:t>
      </w:r>
      <w:r w:rsidRPr="002D2236">
        <w:rPr>
          <w:sz w:val="28"/>
          <w:szCs w:val="28"/>
          <w:lang w:val="en-US" w:bidi="ru-RU"/>
        </w:rPr>
        <w:t xml:space="preserve">ank. </w:t>
      </w:r>
    </w:p>
    <w:p w14:paraId="32B089A0"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 xml:space="preserve">Explain the major policy tools </w:t>
      </w:r>
      <w:r w:rsidR="00084E83">
        <w:rPr>
          <w:sz w:val="28"/>
          <w:szCs w:val="28"/>
          <w:lang w:val="en-US" w:bidi="ru-RU"/>
        </w:rPr>
        <w:t xml:space="preserve">that </w:t>
      </w:r>
      <w:r w:rsidRPr="002D2236">
        <w:rPr>
          <w:sz w:val="28"/>
          <w:szCs w:val="28"/>
          <w:lang w:val="en-US" w:bidi="ru-RU"/>
        </w:rPr>
        <w:t>countries use to manage the degree of “openness” of their economies in case of customs policy.</w:t>
      </w:r>
    </w:p>
    <w:p w14:paraId="399C9B83" w14:textId="77777777" w:rsidR="00BE42A0" w:rsidRPr="002D2236" w:rsidRDefault="00BE42A0" w:rsidP="00580B15">
      <w:pPr>
        <w:numPr>
          <w:ilvl w:val="0"/>
          <w:numId w:val="4"/>
        </w:numPr>
        <w:tabs>
          <w:tab w:val="clear" w:pos="720"/>
          <w:tab w:val="num" w:pos="1070"/>
        </w:tabs>
        <w:spacing w:after="240" w:line="312" w:lineRule="auto"/>
        <w:ind w:left="426"/>
        <w:contextualSpacing/>
        <w:rPr>
          <w:sz w:val="28"/>
          <w:szCs w:val="28"/>
          <w:lang w:val="en-US" w:bidi="ru-RU"/>
        </w:rPr>
      </w:pPr>
      <w:r w:rsidRPr="002D2236">
        <w:rPr>
          <w:sz w:val="28"/>
          <w:szCs w:val="28"/>
          <w:lang w:val="en-US" w:bidi="ru-RU"/>
        </w:rPr>
        <w:t>What are the tools of depreciation policy?</w:t>
      </w:r>
    </w:p>
    <w:p w14:paraId="4806C901" w14:textId="77777777" w:rsidR="00BE42A0" w:rsidRPr="002D2236" w:rsidRDefault="00BE42A0" w:rsidP="002D2236">
      <w:pPr>
        <w:pStyle w:val="end2"/>
      </w:pPr>
      <w:r w:rsidRPr="002D2236">
        <w:t>Multiple</w:t>
      </w:r>
      <w:r w:rsidR="00C13409">
        <w:t xml:space="preserve"> </w:t>
      </w:r>
      <w:r w:rsidRPr="002D2236">
        <w:t xml:space="preserve">choice questions </w:t>
      </w:r>
    </w:p>
    <w:p w14:paraId="475A1217" w14:textId="77777777" w:rsidR="00BE42A0" w:rsidRPr="002D2236" w:rsidRDefault="00BE42A0" w:rsidP="00FA25B7">
      <w:pPr>
        <w:spacing w:line="240" w:lineRule="atLeast"/>
        <w:ind w:firstLine="357"/>
        <w:jc w:val="both"/>
        <w:rPr>
          <w:sz w:val="28"/>
          <w:szCs w:val="28"/>
          <w:lang w:val="en-US"/>
        </w:rPr>
      </w:pPr>
      <w:r w:rsidRPr="002D2236">
        <w:rPr>
          <w:sz w:val="28"/>
          <w:szCs w:val="28"/>
          <w:lang w:val="en-US"/>
        </w:rPr>
        <w:t>Choose the one alternative that best completes the statement or answers the question.</w:t>
      </w:r>
    </w:p>
    <w:tbl>
      <w:tblPr>
        <w:tblStyle w:val="2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64"/>
      </w:tblGrid>
      <w:tr w:rsidR="00BE42A0" w:rsidRPr="002D2236" w14:paraId="1DCCF347" w14:textId="77777777" w:rsidTr="002D2236">
        <w:tc>
          <w:tcPr>
            <w:tcW w:w="9564" w:type="dxa"/>
          </w:tcPr>
          <w:p w14:paraId="6574D751" w14:textId="77777777" w:rsidR="00BE42A0" w:rsidRPr="002D2236" w:rsidRDefault="00BE42A0" w:rsidP="00580B15">
            <w:pPr>
              <w:numPr>
                <w:ilvl w:val="0"/>
                <w:numId w:val="5"/>
              </w:numPr>
              <w:ind w:left="362"/>
              <w:contextualSpacing/>
              <w:rPr>
                <w:sz w:val="28"/>
                <w:szCs w:val="28"/>
                <w:lang w:val="en-US"/>
              </w:rPr>
            </w:pPr>
            <w:r w:rsidRPr="002D2236">
              <w:rPr>
                <w:sz w:val="28"/>
                <w:szCs w:val="28"/>
                <w:lang w:val="en-US"/>
              </w:rPr>
              <w:t>Which of the following is not an example of expansionary fiscal policy?</w:t>
            </w:r>
          </w:p>
          <w:p w14:paraId="4E752BE5" w14:textId="77777777" w:rsidR="00BE42A0" w:rsidRPr="002D2236" w:rsidRDefault="00084E83" w:rsidP="00580B15">
            <w:pPr>
              <w:numPr>
                <w:ilvl w:val="0"/>
                <w:numId w:val="6"/>
              </w:numPr>
              <w:rPr>
                <w:sz w:val="28"/>
                <w:szCs w:val="28"/>
              </w:rPr>
            </w:pPr>
            <w:r>
              <w:rPr>
                <w:sz w:val="28"/>
                <w:szCs w:val="28"/>
              </w:rPr>
              <w:t>tax reduction</w:t>
            </w:r>
            <w:r w:rsidR="00BE42A0" w:rsidRPr="002D2236">
              <w:rPr>
                <w:sz w:val="28"/>
                <w:szCs w:val="28"/>
                <w:lang w:val="en-US"/>
              </w:rPr>
              <w:t>;</w:t>
            </w:r>
          </w:p>
          <w:p w14:paraId="0021D87F" w14:textId="77777777" w:rsidR="00BE42A0" w:rsidRPr="002D2236" w:rsidRDefault="00BE42A0" w:rsidP="00580B15">
            <w:pPr>
              <w:numPr>
                <w:ilvl w:val="0"/>
                <w:numId w:val="6"/>
              </w:numPr>
              <w:rPr>
                <w:sz w:val="28"/>
                <w:szCs w:val="28"/>
                <w:lang w:val="en-US"/>
              </w:rPr>
            </w:pPr>
            <w:r w:rsidRPr="002D2236">
              <w:rPr>
                <w:sz w:val="28"/>
                <w:szCs w:val="28"/>
                <w:lang w:val="en-US"/>
              </w:rPr>
              <w:t>increase in government purchases;</w:t>
            </w:r>
          </w:p>
          <w:p w14:paraId="2D7B2D9F" w14:textId="77777777" w:rsidR="00BE42A0" w:rsidRPr="002D2236" w:rsidRDefault="00BE42A0" w:rsidP="00580B15">
            <w:pPr>
              <w:numPr>
                <w:ilvl w:val="0"/>
                <w:numId w:val="6"/>
              </w:numPr>
              <w:rPr>
                <w:sz w:val="28"/>
                <w:szCs w:val="28"/>
                <w:lang w:val="en-US"/>
              </w:rPr>
            </w:pPr>
            <w:r w:rsidRPr="002D2236">
              <w:rPr>
                <w:sz w:val="28"/>
                <w:szCs w:val="28"/>
                <w:lang w:val="en-US"/>
              </w:rPr>
              <w:t>increase in money supply;</w:t>
            </w:r>
          </w:p>
          <w:p w14:paraId="6991EA0D" w14:textId="77777777" w:rsidR="00BE42A0" w:rsidRPr="002D2236" w:rsidRDefault="00BE42A0" w:rsidP="00580B15">
            <w:pPr>
              <w:numPr>
                <w:ilvl w:val="0"/>
                <w:numId w:val="6"/>
              </w:numPr>
              <w:spacing w:after="120"/>
              <w:ind w:left="714" w:hanging="357"/>
              <w:rPr>
                <w:sz w:val="28"/>
                <w:szCs w:val="28"/>
                <w:lang w:val="en-US"/>
              </w:rPr>
            </w:pPr>
            <w:r w:rsidRPr="002D2236">
              <w:rPr>
                <w:sz w:val="28"/>
                <w:szCs w:val="28"/>
                <w:lang w:val="en-US"/>
              </w:rPr>
              <w:t>increase in government income transfers.</w:t>
            </w:r>
          </w:p>
        </w:tc>
      </w:tr>
      <w:tr w:rsidR="00BE42A0" w:rsidRPr="002D2236" w14:paraId="232FFFFE" w14:textId="77777777" w:rsidTr="002D2236">
        <w:tc>
          <w:tcPr>
            <w:tcW w:w="9564" w:type="dxa"/>
          </w:tcPr>
          <w:p w14:paraId="5A9DBC9D" w14:textId="77777777" w:rsidR="00BE42A0" w:rsidRPr="002D2236" w:rsidRDefault="00BE42A0" w:rsidP="00BE42A0">
            <w:pPr>
              <w:shd w:val="clear" w:color="auto" w:fill="FFFFFF"/>
              <w:textAlignment w:val="baseline"/>
              <w:rPr>
                <w:sz w:val="28"/>
                <w:szCs w:val="28"/>
                <w:lang w:val="en-US"/>
              </w:rPr>
            </w:pPr>
            <w:r w:rsidRPr="002D2236">
              <w:rPr>
                <w:sz w:val="28"/>
                <w:szCs w:val="28"/>
                <w:lang w:val="en-US"/>
              </w:rPr>
              <w:t xml:space="preserve">2. Who uses fiscal policy? </w:t>
            </w:r>
          </w:p>
          <w:p w14:paraId="7059BA5C" w14:textId="77777777" w:rsidR="00BE42A0" w:rsidRPr="002D2236" w:rsidRDefault="00BE42A0" w:rsidP="00580B15">
            <w:pPr>
              <w:numPr>
                <w:ilvl w:val="0"/>
                <w:numId w:val="7"/>
              </w:numPr>
              <w:shd w:val="clear" w:color="auto" w:fill="FFFFFF"/>
              <w:ind w:left="788"/>
              <w:textAlignment w:val="baseline"/>
              <w:rPr>
                <w:sz w:val="28"/>
                <w:szCs w:val="28"/>
                <w:lang w:val="en-US"/>
              </w:rPr>
            </w:pPr>
            <w:r w:rsidRPr="002D2236">
              <w:rPr>
                <w:sz w:val="28"/>
                <w:szCs w:val="28"/>
                <w:lang w:val="en-US"/>
              </w:rPr>
              <w:t>National Bank of Ukraine (NBU);</w:t>
            </w:r>
          </w:p>
          <w:p w14:paraId="3D4F47C5" w14:textId="77777777" w:rsidR="00BE42A0" w:rsidRPr="002D2236" w:rsidRDefault="00BE42A0" w:rsidP="00580B15">
            <w:pPr>
              <w:numPr>
                <w:ilvl w:val="0"/>
                <w:numId w:val="7"/>
              </w:numPr>
              <w:shd w:val="clear" w:color="auto" w:fill="FFFFFF"/>
              <w:ind w:left="788"/>
              <w:textAlignment w:val="baseline"/>
              <w:rPr>
                <w:sz w:val="28"/>
                <w:szCs w:val="28"/>
                <w:lang w:val="en-US"/>
              </w:rPr>
            </w:pPr>
            <w:r w:rsidRPr="002D2236">
              <w:rPr>
                <w:sz w:val="28"/>
                <w:szCs w:val="28"/>
                <w:lang w:val="en-US"/>
              </w:rPr>
              <w:t>Government;</w:t>
            </w:r>
          </w:p>
          <w:p w14:paraId="25811D12" w14:textId="77777777" w:rsidR="00BE42A0" w:rsidRPr="002D2236" w:rsidRDefault="00BE42A0" w:rsidP="00580B15">
            <w:pPr>
              <w:numPr>
                <w:ilvl w:val="0"/>
                <w:numId w:val="7"/>
              </w:numPr>
              <w:shd w:val="clear" w:color="auto" w:fill="FFFFFF"/>
              <w:ind w:left="788"/>
              <w:textAlignment w:val="baseline"/>
              <w:rPr>
                <w:sz w:val="28"/>
                <w:szCs w:val="28"/>
                <w:lang w:val="en-US"/>
              </w:rPr>
            </w:pPr>
            <w:r w:rsidRPr="002D2236">
              <w:rPr>
                <w:sz w:val="28"/>
                <w:szCs w:val="28"/>
                <w:lang w:val="en-US"/>
              </w:rPr>
              <w:t>public;</w:t>
            </w:r>
          </w:p>
          <w:p w14:paraId="65450079" w14:textId="77777777" w:rsidR="00BE42A0" w:rsidRPr="002D2236" w:rsidRDefault="00BE42A0" w:rsidP="00580B15">
            <w:pPr>
              <w:numPr>
                <w:ilvl w:val="0"/>
                <w:numId w:val="7"/>
              </w:numPr>
              <w:shd w:val="clear" w:color="auto" w:fill="FFFFFF"/>
              <w:spacing w:after="120"/>
              <w:ind w:left="782" w:hanging="357"/>
              <w:textAlignment w:val="baseline"/>
              <w:rPr>
                <w:sz w:val="28"/>
                <w:szCs w:val="28"/>
                <w:lang w:val="en-US"/>
              </w:rPr>
            </w:pPr>
            <w:r w:rsidRPr="002D2236">
              <w:rPr>
                <w:sz w:val="28"/>
                <w:szCs w:val="28"/>
                <w:lang w:val="en-US"/>
              </w:rPr>
              <w:t>firms.</w:t>
            </w:r>
          </w:p>
        </w:tc>
      </w:tr>
      <w:tr w:rsidR="00BE42A0" w:rsidRPr="002D2236" w14:paraId="659E67D1" w14:textId="77777777" w:rsidTr="002D2236">
        <w:tc>
          <w:tcPr>
            <w:tcW w:w="9564" w:type="dxa"/>
          </w:tcPr>
          <w:p w14:paraId="037C8B8B" w14:textId="77777777" w:rsidR="00BE42A0" w:rsidRPr="002D2236" w:rsidRDefault="00BE42A0" w:rsidP="00BE42A0">
            <w:pPr>
              <w:shd w:val="clear" w:color="auto" w:fill="FFFFFF"/>
              <w:ind w:left="360" w:hanging="360"/>
              <w:textAlignment w:val="baseline"/>
              <w:rPr>
                <w:sz w:val="28"/>
                <w:szCs w:val="28"/>
                <w:lang w:val="en-US"/>
              </w:rPr>
            </w:pPr>
            <w:r w:rsidRPr="002D2236">
              <w:rPr>
                <w:sz w:val="28"/>
                <w:szCs w:val="28"/>
                <w:lang w:val="en-US"/>
              </w:rPr>
              <w:t xml:space="preserve">3. What is the effect of expansionary fiscal policy on the money supply? </w:t>
            </w:r>
          </w:p>
          <w:p w14:paraId="5C0205EC" w14:textId="77777777" w:rsidR="00BE42A0" w:rsidRPr="002D2236" w:rsidRDefault="00BE42A0" w:rsidP="00580B15">
            <w:pPr>
              <w:numPr>
                <w:ilvl w:val="0"/>
                <w:numId w:val="9"/>
              </w:numPr>
              <w:shd w:val="clear" w:color="auto" w:fill="FFFFFF"/>
              <w:ind w:left="788"/>
              <w:textAlignment w:val="baseline"/>
              <w:rPr>
                <w:sz w:val="28"/>
                <w:szCs w:val="28"/>
                <w:lang w:val="en-US"/>
              </w:rPr>
            </w:pPr>
            <w:r w:rsidRPr="002D2236">
              <w:rPr>
                <w:sz w:val="28"/>
                <w:szCs w:val="28"/>
                <w:lang w:val="en-US"/>
              </w:rPr>
              <w:t>it depends on;</w:t>
            </w:r>
          </w:p>
          <w:p w14:paraId="54AA11F0" w14:textId="77777777" w:rsidR="00BE42A0" w:rsidRPr="002D2236" w:rsidRDefault="00BE42A0" w:rsidP="00580B15">
            <w:pPr>
              <w:numPr>
                <w:ilvl w:val="0"/>
                <w:numId w:val="9"/>
              </w:numPr>
              <w:shd w:val="clear" w:color="auto" w:fill="FFFFFF"/>
              <w:ind w:left="788"/>
              <w:textAlignment w:val="baseline"/>
              <w:rPr>
                <w:sz w:val="28"/>
                <w:szCs w:val="28"/>
                <w:lang w:val="en-US"/>
              </w:rPr>
            </w:pPr>
            <w:r w:rsidRPr="002D2236">
              <w:rPr>
                <w:sz w:val="28"/>
                <w:szCs w:val="28"/>
                <w:lang w:val="en-US"/>
              </w:rPr>
              <w:t>does not affect it;</w:t>
            </w:r>
          </w:p>
          <w:p w14:paraId="1B7F10E9" w14:textId="77777777" w:rsidR="00BE42A0" w:rsidRPr="002D2236" w:rsidRDefault="00BE42A0" w:rsidP="00580B15">
            <w:pPr>
              <w:numPr>
                <w:ilvl w:val="0"/>
                <w:numId w:val="9"/>
              </w:numPr>
              <w:shd w:val="clear" w:color="auto" w:fill="FFFFFF"/>
              <w:ind w:left="788"/>
              <w:textAlignment w:val="baseline"/>
              <w:rPr>
                <w:sz w:val="28"/>
                <w:szCs w:val="28"/>
                <w:lang w:val="en-US"/>
              </w:rPr>
            </w:pPr>
            <w:r w:rsidRPr="002D2236">
              <w:rPr>
                <w:sz w:val="28"/>
                <w:szCs w:val="28"/>
                <w:lang w:val="en-US"/>
              </w:rPr>
              <w:t>decreases it;</w:t>
            </w:r>
          </w:p>
          <w:p w14:paraId="74B8839F" w14:textId="77777777" w:rsidR="00BE42A0" w:rsidRPr="002D2236" w:rsidRDefault="00BE42A0" w:rsidP="00580B15">
            <w:pPr>
              <w:numPr>
                <w:ilvl w:val="0"/>
                <w:numId w:val="9"/>
              </w:numPr>
              <w:shd w:val="clear" w:color="auto" w:fill="FFFFFF"/>
              <w:spacing w:after="120"/>
              <w:ind w:left="782" w:hanging="357"/>
              <w:textAlignment w:val="baseline"/>
              <w:rPr>
                <w:sz w:val="28"/>
                <w:szCs w:val="28"/>
                <w:lang w:val="en-US"/>
              </w:rPr>
            </w:pPr>
            <w:r w:rsidRPr="002D2236">
              <w:rPr>
                <w:sz w:val="28"/>
                <w:szCs w:val="28"/>
                <w:lang w:val="en-US"/>
              </w:rPr>
              <w:t>increases it.</w:t>
            </w:r>
          </w:p>
        </w:tc>
      </w:tr>
      <w:tr w:rsidR="00BE42A0" w:rsidRPr="002D2236" w14:paraId="4C85E6C9" w14:textId="77777777" w:rsidTr="002D2236">
        <w:tc>
          <w:tcPr>
            <w:tcW w:w="9564" w:type="dxa"/>
          </w:tcPr>
          <w:p w14:paraId="09019CEA" w14:textId="77777777" w:rsidR="00BE42A0" w:rsidRPr="002D2236" w:rsidRDefault="00BE42A0" w:rsidP="00580B15">
            <w:pPr>
              <w:numPr>
                <w:ilvl w:val="0"/>
                <w:numId w:val="8"/>
              </w:numPr>
              <w:shd w:val="clear" w:color="auto" w:fill="FFFFFF"/>
              <w:ind w:left="362"/>
              <w:textAlignment w:val="baseline"/>
              <w:rPr>
                <w:sz w:val="28"/>
                <w:szCs w:val="28"/>
                <w:lang w:val="en-US"/>
              </w:rPr>
            </w:pPr>
            <w:r w:rsidRPr="002D2236">
              <w:rPr>
                <w:sz w:val="28"/>
                <w:szCs w:val="28"/>
                <w:lang w:val="en-US"/>
              </w:rPr>
              <w:t xml:space="preserve">Which of the following does fiscal policy directly affect? </w:t>
            </w:r>
          </w:p>
          <w:p w14:paraId="1DED6446" w14:textId="77777777" w:rsidR="00BE42A0" w:rsidRPr="002D2236" w:rsidRDefault="00BE42A0" w:rsidP="00580B15">
            <w:pPr>
              <w:numPr>
                <w:ilvl w:val="0"/>
                <w:numId w:val="10"/>
              </w:numPr>
              <w:shd w:val="clear" w:color="auto" w:fill="FFFFFF"/>
              <w:ind w:left="788"/>
              <w:textAlignment w:val="baseline"/>
              <w:rPr>
                <w:sz w:val="28"/>
                <w:szCs w:val="28"/>
                <w:lang w:val="en-US"/>
              </w:rPr>
            </w:pPr>
            <w:r w:rsidRPr="002D2236">
              <w:rPr>
                <w:sz w:val="28"/>
                <w:szCs w:val="28"/>
                <w:lang w:val="en-US"/>
              </w:rPr>
              <w:t xml:space="preserve">unemployment rate; </w:t>
            </w:r>
          </w:p>
          <w:p w14:paraId="372C8BCD" w14:textId="77777777" w:rsidR="00BE42A0" w:rsidRPr="002D2236" w:rsidRDefault="00BE42A0" w:rsidP="00580B15">
            <w:pPr>
              <w:numPr>
                <w:ilvl w:val="0"/>
                <w:numId w:val="10"/>
              </w:numPr>
              <w:shd w:val="clear" w:color="auto" w:fill="FFFFFF"/>
              <w:ind w:left="788"/>
              <w:textAlignment w:val="baseline"/>
              <w:rPr>
                <w:sz w:val="28"/>
                <w:szCs w:val="28"/>
                <w:lang w:val="en-US"/>
              </w:rPr>
            </w:pPr>
            <w:r w:rsidRPr="002D2236">
              <w:rPr>
                <w:sz w:val="28"/>
                <w:szCs w:val="28"/>
                <w:lang w:val="en-US"/>
              </w:rPr>
              <w:t>interest rate;</w:t>
            </w:r>
          </w:p>
          <w:p w14:paraId="42FBFE0E" w14:textId="77777777" w:rsidR="00BE42A0" w:rsidRPr="002D2236" w:rsidRDefault="00BE42A0" w:rsidP="00580B15">
            <w:pPr>
              <w:numPr>
                <w:ilvl w:val="0"/>
                <w:numId w:val="10"/>
              </w:numPr>
              <w:shd w:val="clear" w:color="auto" w:fill="FFFFFF"/>
              <w:ind w:left="788"/>
              <w:textAlignment w:val="baseline"/>
              <w:rPr>
                <w:sz w:val="28"/>
                <w:szCs w:val="28"/>
                <w:lang w:val="en-US"/>
              </w:rPr>
            </w:pPr>
            <w:r w:rsidRPr="002D2236">
              <w:rPr>
                <w:sz w:val="28"/>
                <w:szCs w:val="28"/>
                <w:lang w:val="en-US"/>
              </w:rPr>
              <w:t>birth rate;</w:t>
            </w:r>
          </w:p>
          <w:p w14:paraId="584E3CF8" w14:textId="77777777" w:rsidR="00BE42A0" w:rsidRPr="002D2236" w:rsidRDefault="00BE42A0" w:rsidP="00580B15">
            <w:pPr>
              <w:numPr>
                <w:ilvl w:val="0"/>
                <w:numId w:val="10"/>
              </w:numPr>
              <w:shd w:val="clear" w:color="auto" w:fill="FFFFFF"/>
              <w:spacing w:after="120"/>
              <w:ind w:left="782" w:hanging="357"/>
              <w:textAlignment w:val="baseline"/>
              <w:rPr>
                <w:sz w:val="28"/>
                <w:szCs w:val="28"/>
                <w:lang w:val="en-US"/>
              </w:rPr>
            </w:pPr>
            <w:r w:rsidRPr="002D2236">
              <w:rPr>
                <w:sz w:val="28"/>
                <w:szCs w:val="28"/>
                <w:lang w:val="en-US"/>
              </w:rPr>
              <w:t>reserve requirement rate.</w:t>
            </w:r>
          </w:p>
        </w:tc>
      </w:tr>
      <w:tr w:rsidR="00BE42A0" w:rsidRPr="002D2236" w14:paraId="7CBA75B1" w14:textId="77777777" w:rsidTr="002D2236">
        <w:tc>
          <w:tcPr>
            <w:tcW w:w="9564" w:type="dxa"/>
          </w:tcPr>
          <w:p w14:paraId="47F38E0D" w14:textId="77777777" w:rsidR="00BE42A0" w:rsidRPr="002D2236" w:rsidRDefault="00BE42A0" w:rsidP="00580B15">
            <w:pPr>
              <w:numPr>
                <w:ilvl w:val="0"/>
                <w:numId w:val="8"/>
              </w:numPr>
              <w:shd w:val="clear" w:color="auto" w:fill="FFFFFF"/>
              <w:ind w:left="362"/>
              <w:textAlignment w:val="baseline"/>
              <w:rPr>
                <w:sz w:val="28"/>
                <w:szCs w:val="28"/>
                <w:lang w:val="en-US"/>
              </w:rPr>
            </w:pPr>
            <w:r w:rsidRPr="002D2236">
              <w:rPr>
                <w:sz w:val="28"/>
                <w:szCs w:val="28"/>
                <w:lang w:val="en-US"/>
              </w:rPr>
              <w:t xml:space="preserve">What is the effect of contractionary monetary policy on output? </w:t>
            </w:r>
          </w:p>
          <w:p w14:paraId="659D6B2D" w14:textId="77777777" w:rsidR="00BE42A0" w:rsidRPr="002D2236" w:rsidRDefault="00BE42A0" w:rsidP="00084E83">
            <w:pPr>
              <w:numPr>
                <w:ilvl w:val="0"/>
                <w:numId w:val="11"/>
              </w:numPr>
              <w:shd w:val="clear" w:color="auto" w:fill="FFFFFF"/>
              <w:ind w:left="1134"/>
              <w:textAlignment w:val="baseline"/>
              <w:rPr>
                <w:sz w:val="28"/>
                <w:szCs w:val="28"/>
                <w:lang w:val="en-US"/>
              </w:rPr>
            </w:pPr>
            <w:r w:rsidRPr="002D2236">
              <w:rPr>
                <w:sz w:val="28"/>
                <w:szCs w:val="28"/>
                <w:lang w:val="en-US"/>
              </w:rPr>
              <w:lastRenderedPageBreak/>
              <w:t>no effect;</w:t>
            </w:r>
          </w:p>
          <w:p w14:paraId="6325911C" w14:textId="77777777" w:rsidR="00BE42A0" w:rsidRPr="002D2236" w:rsidRDefault="00BE42A0" w:rsidP="00084E83">
            <w:pPr>
              <w:numPr>
                <w:ilvl w:val="0"/>
                <w:numId w:val="11"/>
              </w:numPr>
              <w:shd w:val="clear" w:color="auto" w:fill="FFFFFF"/>
              <w:ind w:left="1134"/>
              <w:textAlignment w:val="baseline"/>
              <w:rPr>
                <w:sz w:val="28"/>
                <w:szCs w:val="28"/>
                <w:lang w:val="en-US"/>
              </w:rPr>
            </w:pPr>
            <w:r w:rsidRPr="002D2236">
              <w:rPr>
                <w:sz w:val="28"/>
                <w:szCs w:val="28"/>
                <w:lang w:val="en-US"/>
              </w:rPr>
              <w:t>it depends on;</w:t>
            </w:r>
          </w:p>
          <w:p w14:paraId="333CD15D" w14:textId="77777777" w:rsidR="00BE42A0" w:rsidRPr="002D2236" w:rsidRDefault="00BE42A0" w:rsidP="00084E83">
            <w:pPr>
              <w:numPr>
                <w:ilvl w:val="0"/>
                <w:numId w:val="11"/>
              </w:numPr>
              <w:shd w:val="clear" w:color="auto" w:fill="FFFFFF"/>
              <w:ind w:left="1134"/>
              <w:textAlignment w:val="baseline"/>
              <w:rPr>
                <w:sz w:val="28"/>
                <w:szCs w:val="28"/>
                <w:lang w:val="en-US"/>
              </w:rPr>
            </w:pPr>
            <w:r w:rsidRPr="002D2236">
              <w:rPr>
                <w:sz w:val="28"/>
                <w:szCs w:val="28"/>
                <w:lang w:val="en-US"/>
              </w:rPr>
              <w:t>it decreases;</w:t>
            </w:r>
          </w:p>
          <w:p w14:paraId="3F38AFBB" w14:textId="77777777" w:rsidR="00BE42A0" w:rsidRPr="002D2236" w:rsidRDefault="00BE42A0" w:rsidP="00084E83">
            <w:pPr>
              <w:numPr>
                <w:ilvl w:val="0"/>
                <w:numId w:val="11"/>
              </w:numPr>
              <w:shd w:val="clear" w:color="auto" w:fill="FFFFFF"/>
              <w:spacing w:after="120"/>
              <w:ind w:left="1134" w:hanging="357"/>
              <w:textAlignment w:val="baseline"/>
              <w:rPr>
                <w:sz w:val="28"/>
                <w:szCs w:val="28"/>
                <w:lang w:val="en-US"/>
              </w:rPr>
            </w:pPr>
            <w:r w:rsidRPr="002D2236">
              <w:rPr>
                <w:sz w:val="28"/>
                <w:szCs w:val="28"/>
                <w:lang w:val="en-US"/>
              </w:rPr>
              <w:t>it increases.</w:t>
            </w:r>
          </w:p>
        </w:tc>
      </w:tr>
      <w:tr w:rsidR="00BE42A0" w:rsidRPr="002D2236" w14:paraId="06F13AFA" w14:textId="77777777" w:rsidTr="002D2236">
        <w:tc>
          <w:tcPr>
            <w:tcW w:w="9564" w:type="dxa"/>
          </w:tcPr>
          <w:p w14:paraId="18420290" w14:textId="77777777" w:rsidR="00BE42A0" w:rsidRPr="002D2236" w:rsidRDefault="00BE42A0" w:rsidP="00580B15">
            <w:pPr>
              <w:numPr>
                <w:ilvl w:val="0"/>
                <w:numId w:val="8"/>
              </w:numPr>
              <w:ind w:left="362"/>
              <w:contextualSpacing/>
              <w:rPr>
                <w:sz w:val="28"/>
                <w:szCs w:val="28"/>
                <w:lang w:val="en-US"/>
              </w:rPr>
            </w:pPr>
            <w:r w:rsidRPr="002D2236">
              <w:rPr>
                <w:sz w:val="28"/>
                <w:szCs w:val="28"/>
                <w:lang w:val="en-GB"/>
              </w:rPr>
              <w:lastRenderedPageBreak/>
              <w:t xml:space="preserve">Which of the following is an example of expansionary fiscal policy? </w:t>
            </w:r>
          </w:p>
          <w:p w14:paraId="3768FA25" w14:textId="77777777" w:rsidR="00BE42A0" w:rsidRPr="002D2236" w:rsidRDefault="00BE42A0" w:rsidP="00084E83">
            <w:pPr>
              <w:numPr>
                <w:ilvl w:val="0"/>
                <w:numId w:val="12"/>
              </w:numPr>
              <w:shd w:val="clear" w:color="auto" w:fill="FFFFFF"/>
              <w:ind w:left="1134"/>
              <w:textAlignment w:val="baseline"/>
              <w:rPr>
                <w:sz w:val="28"/>
                <w:szCs w:val="28"/>
                <w:lang w:val="en-US"/>
              </w:rPr>
            </w:pPr>
            <w:r w:rsidRPr="002D2236">
              <w:rPr>
                <w:sz w:val="28"/>
                <w:szCs w:val="28"/>
                <w:lang w:val="en-US"/>
              </w:rPr>
              <w:t>decreasing taxes;</w:t>
            </w:r>
          </w:p>
          <w:p w14:paraId="5151413F" w14:textId="77777777" w:rsidR="00BE42A0" w:rsidRPr="002D2236" w:rsidRDefault="00BE42A0" w:rsidP="00084E83">
            <w:pPr>
              <w:numPr>
                <w:ilvl w:val="0"/>
                <w:numId w:val="12"/>
              </w:numPr>
              <w:shd w:val="clear" w:color="auto" w:fill="FFFFFF"/>
              <w:ind w:left="1134"/>
              <w:textAlignment w:val="baseline"/>
              <w:rPr>
                <w:sz w:val="28"/>
                <w:szCs w:val="28"/>
                <w:lang w:val="en-US"/>
              </w:rPr>
            </w:pPr>
            <w:r w:rsidRPr="002D2236">
              <w:rPr>
                <w:sz w:val="28"/>
                <w:szCs w:val="28"/>
                <w:lang w:val="en-US"/>
              </w:rPr>
              <w:t>increasing taxes;</w:t>
            </w:r>
          </w:p>
          <w:p w14:paraId="3540E5A1" w14:textId="77777777" w:rsidR="00BE42A0" w:rsidRPr="002D2236" w:rsidRDefault="00BE42A0" w:rsidP="00084E83">
            <w:pPr>
              <w:numPr>
                <w:ilvl w:val="0"/>
                <w:numId w:val="12"/>
              </w:numPr>
              <w:shd w:val="clear" w:color="auto" w:fill="FFFFFF"/>
              <w:ind w:left="1134"/>
              <w:textAlignment w:val="baseline"/>
              <w:rPr>
                <w:sz w:val="28"/>
                <w:szCs w:val="28"/>
                <w:lang w:val="en-US"/>
              </w:rPr>
            </w:pPr>
            <w:r w:rsidRPr="002D2236">
              <w:rPr>
                <w:sz w:val="28"/>
                <w:szCs w:val="28"/>
                <w:lang w:val="en-US"/>
              </w:rPr>
              <w:t>decreasing government spending;</w:t>
            </w:r>
          </w:p>
          <w:p w14:paraId="15B61FDE" w14:textId="77777777" w:rsidR="00BE42A0" w:rsidRPr="002D2236" w:rsidRDefault="00BE42A0" w:rsidP="00084E83">
            <w:pPr>
              <w:numPr>
                <w:ilvl w:val="0"/>
                <w:numId w:val="12"/>
              </w:numPr>
              <w:shd w:val="clear" w:color="auto" w:fill="FFFFFF"/>
              <w:spacing w:after="120"/>
              <w:ind w:left="1134" w:hanging="357"/>
              <w:textAlignment w:val="baseline"/>
              <w:rPr>
                <w:sz w:val="28"/>
                <w:szCs w:val="28"/>
                <w:lang w:val="en-US"/>
              </w:rPr>
            </w:pPr>
            <w:r w:rsidRPr="002D2236">
              <w:rPr>
                <w:sz w:val="28"/>
                <w:szCs w:val="28"/>
                <w:lang w:val="en-US"/>
              </w:rPr>
              <w:t>decreasing the reserve requirement.</w:t>
            </w:r>
          </w:p>
        </w:tc>
      </w:tr>
      <w:tr w:rsidR="00BE42A0" w:rsidRPr="002D2236" w14:paraId="1E2E9E44" w14:textId="77777777" w:rsidTr="002D2236">
        <w:tc>
          <w:tcPr>
            <w:tcW w:w="9564" w:type="dxa"/>
          </w:tcPr>
          <w:p w14:paraId="6F704C8E" w14:textId="77777777" w:rsidR="00BE42A0" w:rsidRPr="002D2236" w:rsidRDefault="00BE42A0" w:rsidP="00580B15">
            <w:pPr>
              <w:numPr>
                <w:ilvl w:val="0"/>
                <w:numId w:val="8"/>
              </w:numPr>
              <w:ind w:left="362"/>
              <w:contextualSpacing/>
              <w:rPr>
                <w:sz w:val="28"/>
                <w:szCs w:val="28"/>
                <w:lang w:val="en-GB"/>
              </w:rPr>
            </w:pPr>
            <w:r w:rsidRPr="002D2236">
              <w:rPr>
                <w:sz w:val="28"/>
                <w:szCs w:val="28"/>
                <w:lang w:val="en-GB"/>
              </w:rPr>
              <w:t xml:space="preserve">Which of the following is an example of contractionary fiscal policy? </w:t>
            </w:r>
          </w:p>
          <w:p w14:paraId="4235C538" w14:textId="77777777" w:rsidR="00BE42A0" w:rsidRPr="002D2236" w:rsidRDefault="00084E83" w:rsidP="006F749C">
            <w:pPr>
              <w:numPr>
                <w:ilvl w:val="0"/>
                <w:numId w:val="267"/>
              </w:numPr>
              <w:shd w:val="clear" w:color="auto" w:fill="FFFFFF"/>
              <w:ind w:left="1134"/>
              <w:textAlignment w:val="baseline"/>
              <w:rPr>
                <w:sz w:val="28"/>
                <w:szCs w:val="28"/>
                <w:lang w:val="en-US"/>
              </w:rPr>
            </w:pPr>
            <w:r>
              <w:rPr>
                <w:sz w:val="28"/>
                <w:szCs w:val="28"/>
                <w:lang w:val="en-US"/>
              </w:rPr>
              <w:t>selling government bonds i</w:t>
            </w:r>
            <w:r w:rsidR="00BE42A0" w:rsidRPr="002D2236">
              <w:rPr>
                <w:sz w:val="28"/>
                <w:szCs w:val="28"/>
                <w:lang w:val="en-US"/>
              </w:rPr>
              <w:t>n the open market;</w:t>
            </w:r>
          </w:p>
          <w:p w14:paraId="23DBC2E6" w14:textId="77777777" w:rsidR="00BE42A0" w:rsidRPr="002D2236" w:rsidRDefault="00BE42A0" w:rsidP="006F749C">
            <w:pPr>
              <w:numPr>
                <w:ilvl w:val="0"/>
                <w:numId w:val="267"/>
              </w:numPr>
              <w:shd w:val="clear" w:color="auto" w:fill="FFFFFF"/>
              <w:ind w:left="1134"/>
              <w:textAlignment w:val="baseline"/>
              <w:rPr>
                <w:sz w:val="28"/>
                <w:szCs w:val="28"/>
                <w:lang w:val="en-US"/>
              </w:rPr>
            </w:pPr>
            <w:r w:rsidRPr="002D2236">
              <w:rPr>
                <w:sz w:val="28"/>
                <w:szCs w:val="28"/>
                <w:lang w:val="en-US"/>
              </w:rPr>
              <w:t>decreasing government spending;</w:t>
            </w:r>
          </w:p>
          <w:p w14:paraId="40D0A4F5" w14:textId="77777777" w:rsidR="00BE42A0" w:rsidRPr="002D2236" w:rsidRDefault="00BE42A0" w:rsidP="006F749C">
            <w:pPr>
              <w:numPr>
                <w:ilvl w:val="0"/>
                <w:numId w:val="267"/>
              </w:numPr>
              <w:shd w:val="clear" w:color="auto" w:fill="FFFFFF"/>
              <w:ind w:left="1134"/>
              <w:textAlignment w:val="baseline"/>
              <w:rPr>
                <w:sz w:val="28"/>
                <w:szCs w:val="28"/>
                <w:lang w:val="en-US"/>
              </w:rPr>
            </w:pPr>
            <w:r w:rsidRPr="002D2236">
              <w:rPr>
                <w:sz w:val="28"/>
                <w:szCs w:val="28"/>
                <w:lang w:val="en-US"/>
              </w:rPr>
              <w:t>decreasing taxes;</w:t>
            </w:r>
          </w:p>
          <w:p w14:paraId="1F5515B6" w14:textId="77777777" w:rsidR="00BE42A0" w:rsidRPr="002D2236" w:rsidRDefault="00BE42A0" w:rsidP="006F749C">
            <w:pPr>
              <w:numPr>
                <w:ilvl w:val="0"/>
                <w:numId w:val="267"/>
              </w:numPr>
              <w:shd w:val="clear" w:color="auto" w:fill="FFFFFF"/>
              <w:spacing w:after="120"/>
              <w:ind w:left="1134" w:hanging="357"/>
              <w:textAlignment w:val="baseline"/>
              <w:rPr>
                <w:sz w:val="28"/>
                <w:szCs w:val="28"/>
                <w:lang w:val="en-US"/>
              </w:rPr>
            </w:pPr>
            <w:r w:rsidRPr="002D2236">
              <w:rPr>
                <w:sz w:val="28"/>
                <w:szCs w:val="28"/>
                <w:lang w:val="en-US"/>
              </w:rPr>
              <w:t>increasing the reserve requirement.</w:t>
            </w:r>
          </w:p>
        </w:tc>
      </w:tr>
      <w:tr w:rsidR="00BE42A0" w:rsidRPr="002D2236" w14:paraId="3AEA5567" w14:textId="77777777" w:rsidTr="002D2236">
        <w:tc>
          <w:tcPr>
            <w:tcW w:w="9564" w:type="dxa"/>
          </w:tcPr>
          <w:p w14:paraId="7D7A648D" w14:textId="77777777" w:rsidR="00BE42A0" w:rsidRPr="002D2236" w:rsidRDefault="00BE42A0" w:rsidP="00580B15">
            <w:pPr>
              <w:numPr>
                <w:ilvl w:val="0"/>
                <w:numId w:val="8"/>
              </w:numPr>
              <w:ind w:left="362"/>
              <w:contextualSpacing/>
              <w:rPr>
                <w:sz w:val="28"/>
                <w:szCs w:val="28"/>
                <w:lang w:val="en-GB"/>
              </w:rPr>
            </w:pPr>
            <w:r w:rsidRPr="002D2236">
              <w:rPr>
                <w:sz w:val="28"/>
                <w:szCs w:val="28"/>
                <w:lang w:val="en-GB"/>
              </w:rPr>
              <w:t xml:space="preserve">Suppose the National Bank of Ukraine (NBU) wanted to engage in an expansionary monetary policy.  Which of the following should it do? </w:t>
            </w:r>
          </w:p>
          <w:p w14:paraId="5B706ADC" w14:textId="77777777" w:rsidR="00BE42A0" w:rsidRPr="002D2236" w:rsidRDefault="00BE42A0" w:rsidP="00084E83">
            <w:pPr>
              <w:numPr>
                <w:ilvl w:val="0"/>
                <w:numId w:val="14"/>
              </w:numPr>
              <w:shd w:val="clear" w:color="auto" w:fill="FFFFFF"/>
              <w:ind w:left="1134"/>
              <w:textAlignment w:val="baseline"/>
              <w:rPr>
                <w:sz w:val="28"/>
                <w:szCs w:val="28"/>
                <w:lang w:val="en-US"/>
              </w:rPr>
            </w:pPr>
            <w:r w:rsidRPr="002D2236">
              <w:rPr>
                <w:sz w:val="28"/>
                <w:szCs w:val="28"/>
                <w:lang w:val="en-US"/>
              </w:rPr>
              <w:t xml:space="preserve">sell bonds </w:t>
            </w:r>
            <w:r w:rsidR="00084E83">
              <w:rPr>
                <w:sz w:val="28"/>
                <w:szCs w:val="28"/>
                <w:lang w:val="en-US"/>
              </w:rPr>
              <w:t>i</w:t>
            </w:r>
            <w:r w:rsidRPr="002D2236">
              <w:rPr>
                <w:sz w:val="28"/>
                <w:szCs w:val="28"/>
                <w:lang w:val="en-US"/>
              </w:rPr>
              <w:t>n the open market;</w:t>
            </w:r>
          </w:p>
          <w:p w14:paraId="02C05A82" w14:textId="77777777" w:rsidR="00BE42A0" w:rsidRPr="002D2236" w:rsidRDefault="00BE42A0" w:rsidP="00084E83">
            <w:pPr>
              <w:numPr>
                <w:ilvl w:val="0"/>
                <w:numId w:val="14"/>
              </w:numPr>
              <w:shd w:val="clear" w:color="auto" w:fill="FFFFFF"/>
              <w:ind w:left="1134"/>
              <w:textAlignment w:val="baseline"/>
              <w:rPr>
                <w:sz w:val="28"/>
                <w:szCs w:val="28"/>
                <w:lang w:val="en-US"/>
              </w:rPr>
            </w:pPr>
            <w:r w:rsidRPr="002D2236">
              <w:rPr>
                <w:sz w:val="28"/>
                <w:szCs w:val="28"/>
                <w:lang w:val="en-US"/>
              </w:rPr>
              <w:t>increase the reserve requirement ratio;</w:t>
            </w:r>
          </w:p>
          <w:p w14:paraId="285CE5E0" w14:textId="77777777" w:rsidR="00BE42A0" w:rsidRPr="002D2236" w:rsidRDefault="00BE42A0" w:rsidP="00084E83">
            <w:pPr>
              <w:numPr>
                <w:ilvl w:val="0"/>
                <w:numId w:val="14"/>
              </w:numPr>
              <w:shd w:val="clear" w:color="auto" w:fill="FFFFFF"/>
              <w:ind w:left="1134"/>
              <w:textAlignment w:val="baseline"/>
              <w:rPr>
                <w:sz w:val="28"/>
                <w:szCs w:val="28"/>
                <w:lang w:val="en-US"/>
              </w:rPr>
            </w:pPr>
            <w:r w:rsidRPr="002D2236">
              <w:rPr>
                <w:sz w:val="28"/>
                <w:szCs w:val="28"/>
                <w:lang w:val="en-US"/>
              </w:rPr>
              <w:t>increase the discount rate;</w:t>
            </w:r>
          </w:p>
          <w:p w14:paraId="0EEB8225" w14:textId="77777777" w:rsidR="00BE42A0" w:rsidRPr="002D2236" w:rsidRDefault="00BE42A0" w:rsidP="00084E83">
            <w:pPr>
              <w:numPr>
                <w:ilvl w:val="0"/>
                <w:numId w:val="14"/>
              </w:numPr>
              <w:shd w:val="clear" w:color="auto" w:fill="FFFFFF"/>
              <w:ind w:left="1134"/>
              <w:textAlignment w:val="baseline"/>
              <w:rPr>
                <w:sz w:val="28"/>
                <w:szCs w:val="28"/>
                <w:lang w:val="en-US"/>
              </w:rPr>
            </w:pPr>
            <w:r w:rsidRPr="002D2236">
              <w:rPr>
                <w:sz w:val="28"/>
                <w:szCs w:val="28"/>
                <w:lang w:val="en-US"/>
              </w:rPr>
              <w:t xml:space="preserve">buy bonds </w:t>
            </w:r>
            <w:r w:rsidR="00084E83">
              <w:rPr>
                <w:sz w:val="28"/>
                <w:szCs w:val="28"/>
                <w:lang w:val="en-US"/>
              </w:rPr>
              <w:t>i</w:t>
            </w:r>
            <w:r w:rsidRPr="002D2236">
              <w:rPr>
                <w:sz w:val="28"/>
                <w:szCs w:val="28"/>
                <w:lang w:val="en-US"/>
              </w:rPr>
              <w:t>n the open market;</w:t>
            </w:r>
          </w:p>
          <w:p w14:paraId="7BEC7FA8" w14:textId="77777777" w:rsidR="00BE42A0" w:rsidRPr="002D2236" w:rsidRDefault="00BE42A0" w:rsidP="00084E83">
            <w:pPr>
              <w:numPr>
                <w:ilvl w:val="0"/>
                <w:numId w:val="14"/>
              </w:numPr>
              <w:shd w:val="clear" w:color="auto" w:fill="FFFFFF"/>
              <w:spacing w:after="120"/>
              <w:ind w:left="1134" w:hanging="357"/>
              <w:textAlignment w:val="baseline"/>
              <w:rPr>
                <w:sz w:val="28"/>
                <w:szCs w:val="28"/>
                <w:lang w:val="en-US"/>
              </w:rPr>
            </w:pPr>
            <w:r w:rsidRPr="002D2236">
              <w:rPr>
                <w:sz w:val="28"/>
                <w:szCs w:val="28"/>
                <w:lang w:val="en-US"/>
              </w:rPr>
              <w:t>lower taxes.</w:t>
            </w:r>
          </w:p>
        </w:tc>
      </w:tr>
      <w:tr w:rsidR="00BE42A0" w:rsidRPr="002D2236" w14:paraId="79A968C2" w14:textId="77777777" w:rsidTr="002D2236">
        <w:tc>
          <w:tcPr>
            <w:tcW w:w="9564" w:type="dxa"/>
          </w:tcPr>
          <w:p w14:paraId="4ADB368B" w14:textId="77777777" w:rsidR="00BE42A0" w:rsidRPr="002D2236" w:rsidRDefault="00BE42A0" w:rsidP="00580B15">
            <w:pPr>
              <w:numPr>
                <w:ilvl w:val="0"/>
                <w:numId w:val="8"/>
              </w:numPr>
              <w:ind w:left="362"/>
              <w:contextualSpacing/>
              <w:rPr>
                <w:sz w:val="28"/>
                <w:szCs w:val="28"/>
                <w:lang w:val="en-US"/>
              </w:rPr>
            </w:pPr>
            <w:r w:rsidRPr="002D2236">
              <w:rPr>
                <w:sz w:val="28"/>
                <w:szCs w:val="28"/>
                <w:lang w:val="en-US"/>
              </w:rPr>
              <w:t xml:space="preserve">What is the effect of the NBU selling government bonds on the open market? </w:t>
            </w:r>
          </w:p>
          <w:p w14:paraId="56C86270" w14:textId="77777777" w:rsidR="00BE42A0" w:rsidRPr="002D2236" w:rsidRDefault="00BE42A0" w:rsidP="00580B15">
            <w:pPr>
              <w:numPr>
                <w:ilvl w:val="0"/>
                <w:numId w:val="15"/>
              </w:numPr>
              <w:shd w:val="clear" w:color="auto" w:fill="FFFFFF"/>
              <w:ind w:left="1071"/>
              <w:textAlignment w:val="baseline"/>
              <w:rPr>
                <w:sz w:val="28"/>
                <w:szCs w:val="28"/>
                <w:lang w:val="en-US"/>
              </w:rPr>
            </w:pPr>
            <w:r w:rsidRPr="002D2236">
              <w:rPr>
                <w:sz w:val="28"/>
                <w:szCs w:val="28"/>
                <w:lang w:val="en-US"/>
              </w:rPr>
              <w:t>decreases government spending;</w:t>
            </w:r>
          </w:p>
          <w:p w14:paraId="60754AC3" w14:textId="77777777" w:rsidR="00BE42A0" w:rsidRPr="002D2236" w:rsidRDefault="00BE42A0" w:rsidP="00580B15">
            <w:pPr>
              <w:numPr>
                <w:ilvl w:val="0"/>
                <w:numId w:val="15"/>
              </w:numPr>
              <w:shd w:val="clear" w:color="auto" w:fill="FFFFFF"/>
              <w:ind w:left="1071"/>
              <w:textAlignment w:val="baseline"/>
              <w:rPr>
                <w:sz w:val="28"/>
                <w:szCs w:val="28"/>
                <w:lang w:val="en-US"/>
              </w:rPr>
            </w:pPr>
            <w:r w:rsidRPr="002D2236">
              <w:rPr>
                <w:sz w:val="28"/>
                <w:szCs w:val="28"/>
                <w:lang w:val="en-US"/>
              </w:rPr>
              <w:t>increases government spending;</w:t>
            </w:r>
          </w:p>
          <w:p w14:paraId="0EC20025" w14:textId="77777777" w:rsidR="00BE42A0" w:rsidRPr="002D2236" w:rsidRDefault="00BE42A0" w:rsidP="00580B15">
            <w:pPr>
              <w:numPr>
                <w:ilvl w:val="0"/>
                <w:numId w:val="15"/>
              </w:numPr>
              <w:shd w:val="clear" w:color="auto" w:fill="FFFFFF"/>
              <w:ind w:left="1071"/>
              <w:textAlignment w:val="baseline"/>
              <w:rPr>
                <w:sz w:val="28"/>
                <w:szCs w:val="28"/>
                <w:lang w:val="en-US"/>
              </w:rPr>
            </w:pPr>
            <w:r w:rsidRPr="002D2236">
              <w:rPr>
                <w:sz w:val="28"/>
                <w:szCs w:val="28"/>
                <w:lang w:val="en-US"/>
              </w:rPr>
              <w:t>decreases the money supply;</w:t>
            </w:r>
          </w:p>
          <w:p w14:paraId="438C5519" w14:textId="77777777" w:rsidR="00BE42A0" w:rsidRPr="002D2236" w:rsidRDefault="00BE42A0" w:rsidP="00580B15">
            <w:pPr>
              <w:numPr>
                <w:ilvl w:val="0"/>
                <w:numId w:val="15"/>
              </w:numPr>
              <w:shd w:val="clear" w:color="auto" w:fill="FFFFFF"/>
              <w:spacing w:after="120"/>
              <w:ind w:left="1066" w:hanging="357"/>
              <w:textAlignment w:val="baseline"/>
              <w:rPr>
                <w:sz w:val="28"/>
                <w:szCs w:val="28"/>
                <w:lang w:val="en-US"/>
              </w:rPr>
            </w:pPr>
            <w:r w:rsidRPr="002D2236">
              <w:rPr>
                <w:sz w:val="28"/>
                <w:szCs w:val="28"/>
                <w:lang w:val="en-US"/>
              </w:rPr>
              <w:t>increase</w:t>
            </w:r>
            <w:r w:rsidR="002B00B7">
              <w:rPr>
                <w:sz w:val="28"/>
                <w:szCs w:val="28"/>
                <w:lang w:val="en-US"/>
              </w:rPr>
              <w:t>s</w:t>
            </w:r>
            <w:r w:rsidRPr="002D2236">
              <w:rPr>
                <w:sz w:val="28"/>
                <w:szCs w:val="28"/>
                <w:lang w:val="en-US"/>
              </w:rPr>
              <w:t xml:space="preserve"> the money supply.</w:t>
            </w:r>
          </w:p>
        </w:tc>
      </w:tr>
      <w:tr w:rsidR="00BE42A0" w:rsidRPr="002D2236" w14:paraId="0D7B4C99" w14:textId="77777777" w:rsidTr="002D2236">
        <w:tc>
          <w:tcPr>
            <w:tcW w:w="9564" w:type="dxa"/>
          </w:tcPr>
          <w:p w14:paraId="7324E205" w14:textId="77777777" w:rsidR="00BE42A0" w:rsidRPr="002D2236" w:rsidRDefault="00BE42A0" w:rsidP="00580B15">
            <w:pPr>
              <w:numPr>
                <w:ilvl w:val="0"/>
                <w:numId w:val="8"/>
              </w:numPr>
              <w:ind w:left="362"/>
              <w:contextualSpacing/>
              <w:rPr>
                <w:sz w:val="28"/>
                <w:szCs w:val="28"/>
                <w:lang w:val="en-US"/>
              </w:rPr>
            </w:pPr>
            <w:r w:rsidRPr="002D2236">
              <w:rPr>
                <w:sz w:val="28"/>
                <w:szCs w:val="28"/>
                <w:lang w:val="en-US"/>
              </w:rPr>
              <w:t xml:space="preserve">Which of the following pairs best fit with fiscal policy? </w:t>
            </w:r>
          </w:p>
          <w:p w14:paraId="68FFCA48" w14:textId="77777777" w:rsidR="00BE42A0" w:rsidRPr="002D2236" w:rsidRDefault="00BE42A0" w:rsidP="00580B15">
            <w:pPr>
              <w:numPr>
                <w:ilvl w:val="0"/>
                <w:numId w:val="16"/>
              </w:numPr>
              <w:shd w:val="clear" w:color="auto" w:fill="FFFFFF"/>
              <w:tabs>
                <w:tab w:val="left" w:pos="1276"/>
              </w:tabs>
              <w:ind w:left="993"/>
              <w:textAlignment w:val="baseline"/>
              <w:rPr>
                <w:sz w:val="28"/>
                <w:szCs w:val="28"/>
                <w:lang w:val="en-US"/>
              </w:rPr>
            </w:pPr>
            <w:r w:rsidRPr="002D2236">
              <w:rPr>
                <w:sz w:val="28"/>
                <w:szCs w:val="28"/>
                <w:lang w:val="en-US"/>
              </w:rPr>
              <w:t xml:space="preserve">taxes and government spending; </w:t>
            </w:r>
          </w:p>
          <w:p w14:paraId="38001EB9" w14:textId="77777777" w:rsidR="00BE42A0" w:rsidRPr="002D2236" w:rsidRDefault="00BE42A0" w:rsidP="00580B15">
            <w:pPr>
              <w:numPr>
                <w:ilvl w:val="0"/>
                <w:numId w:val="16"/>
              </w:numPr>
              <w:shd w:val="clear" w:color="auto" w:fill="FFFFFF"/>
              <w:tabs>
                <w:tab w:val="left" w:pos="1276"/>
              </w:tabs>
              <w:ind w:left="993"/>
              <w:textAlignment w:val="baseline"/>
              <w:rPr>
                <w:sz w:val="28"/>
                <w:szCs w:val="28"/>
                <w:lang w:val="en-US"/>
              </w:rPr>
            </w:pPr>
            <w:r w:rsidRPr="002D2236">
              <w:rPr>
                <w:sz w:val="28"/>
                <w:szCs w:val="28"/>
                <w:lang w:val="en-US"/>
              </w:rPr>
              <w:t xml:space="preserve">open market operations and reserve requirement; </w:t>
            </w:r>
          </w:p>
          <w:p w14:paraId="77A76EA1" w14:textId="77777777" w:rsidR="00BE42A0" w:rsidRPr="002D2236" w:rsidRDefault="00BE42A0" w:rsidP="00580B15">
            <w:pPr>
              <w:numPr>
                <w:ilvl w:val="0"/>
                <w:numId w:val="16"/>
              </w:numPr>
              <w:shd w:val="clear" w:color="auto" w:fill="FFFFFF"/>
              <w:tabs>
                <w:tab w:val="left" w:pos="1276"/>
              </w:tabs>
              <w:ind w:left="993"/>
              <w:textAlignment w:val="baseline"/>
              <w:rPr>
                <w:sz w:val="28"/>
                <w:szCs w:val="28"/>
                <w:lang w:val="en-US"/>
              </w:rPr>
            </w:pPr>
            <w:r w:rsidRPr="002D2236">
              <w:rPr>
                <w:sz w:val="28"/>
                <w:szCs w:val="28"/>
                <w:lang w:val="en-US"/>
              </w:rPr>
              <w:t xml:space="preserve">taxes and open market operations; </w:t>
            </w:r>
          </w:p>
          <w:p w14:paraId="6D4C0501" w14:textId="77777777" w:rsidR="00BE42A0" w:rsidRPr="002D2236" w:rsidRDefault="00BE42A0" w:rsidP="00580B15">
            <w:pPr>
              <w:numPr>
                <w:ilvl w:val="0"/>
                <w:numId w:val="16"/>
              </w:numPr>
              <w:shd w:val="clear" w:color="auto" w:fill="FFFFFF"/>
              <w:tabs>
                <w:tab w:val="left" w:pos="1276"/>
              </w:tabs>
              <w:ind w:left="993"/>
              <w:textAlignment w:val="baseline"/>
              <w:rPr>
                <w:sz w:val="28"/>
                <w:szCs w:val="28"/>
                <w:lang w:val="en-US"/>
              </w:rPr>
            </w:pPr>
            <w:r w:rsidRPr="002D2236">
              <w:rPr>
                <w:sz w:val="28"/>
                <w:szCs w:val="28"/>
                <w:lang w:val="en-US"/>
              </w:rPr>
              <w:t>open market operations and government spending.</w:t>
            </w:r>
          </w:p>
          <w:p w14:paraId="1868F492" w14:textId="77777777" w:rsidR="00BE42A0" w:rsidRPr="002D2236" w:rsidRDefault="00BE42A0" w:rsidP="00BE42A0">
            <w:pPr>
              <w:shd w:val="clear" w:color="auto" w:fill="FFFFFF"/>
              <w:tabs>
                <w:tab w:val="left" w:pos="1276"/>
              </w:tabs>
              <w:ind w:left="993"/>
              <w:textAlignment w:val="baseline"/>
              <w:rPr>
                <w:sz w:val="28"/>
                <w:szCs w:val="28"/>
                <w:lang w:val="en-US"/>
              </w:rPr>
            </w:pPr>
          </w:p>
        </w:tc>
      </w:tr>
    </w:tbl>
    <w:p w14:paraId="4E364EF7" w14:textId="77777777" w:rsidR="00BE42A0" w:rsidRPr="002D2236" w:rsidRDefault="00BE42A0" w:rsidP="002D2236">
      <w:pPr>
        <w:pStyle w:val="end2"/>
        <w:spacing w:line="240" w:lineRule="atLeast"/>
      </w:pPr>
      <w:r w:rsidRPr="002D2236">
        <w:t>Short answer questions</w:t>
      </w:r>
    </w:p>
    <w:p w14:paraId="14803B37" w14:textId="77777777" w:rsidR="00BE42A0" w:rsidRPr="002D2236" w:rsidRDefault="00BE42A0" w:rsidP="002D2236">
      <w:pPr>
        <w:keepNext/>
        <w:keepLines/>
        <w:spacing w:after="180" w:line="240" w:lineRule="atLeast"/>
        <w:outlineLvl w:val="1"/>
        <w:rPr>
          <w:b/>
          <w:caps/>
          <w:spacing w:val="10"/>
          <w:kern w:val="20"/>
          <w:sz w:val="28"/>
          <w:szCs w:val="28"/>
          <w:lang w:val="en-US"/>
        </w:rPr>
      </w:pPr>
      <w:r w:rsidRPr="002D2236">
        <w:rPr>
          <w:b/>
          <w:caps/>
          <w:spacing w:val="10"/>
          <w:kern w:val="20"/>
          <w:sz w:val="28"/>
          <w:szCs w:val="28"/>
          <w:lang w:val="en-US"/>
        </w:rPr>
        <w:t>Missing</w:t>
      </w:r>
      <w:r w:rsidR="00C13409">
        <w:rPr>
          <w:b/>
          <w:caps/>
          <w:spacing w:val="10"/>
          <w:kern w:val="20"/>
          <w:sz w:val="28"/>
          <w:szCs w:val="28"/>
          <w:lang w:val="en-US"/>
        </w:rPr>
        <w:t xml:space="preserve"> </w:t>
      </w:r>
      <w:r w:rsidRPr="002D2236">
        <w:rPr>
          <w:b/>
          <w:caps/>
          <w:spacing w:val="10"/>
          <w:kern w:val="20"/>
          <w:sz w:val="28"/>
          <w:szCs w:val="28"/>
          <w:lang w:val="en-US"/>
        </w:rPr>
        <w:t>word questions</w:t>
      </w:r>
    </w:p>
    <w:p w14:paraId="166C6C86" w14:textId="77777777" w:rsidR="00BE42A0" w:rsidRPr="002D2236" w:rsidRDefault="00BE42A0" w:rsidP="002D2236">
      <w:pPr>
        <w:spacing w:after="240" w:line="240" w:lineRule="atLeast"/>
        <w:ind w:firstLine="360"/>
        <w:jc w:val="both"/>
        <w:rPr>
          <w:sz w:val="28"/>
          <w:szCs w:val="28"/>
          <w:lang w:val="en-US"/>
        </w:rPr>
      </w:pPr>
      <w:r w:rsidRPr="002D2236">
        <w:rPr>
          <w:sz w:val="28"/>
          <w:szCs w:val="28"/>
          <w:lang w:val="en-US"/>
        </w:rPr>
        <w:t>Choose the correct word to complete each sentence.</w:t>
      </w:r>
    </w:p>
    <w:p w14:paraId="588C055A" w14:textId="77777777" w:rsidR="00BE42A0" w:rsidRPr="002D2236" w:rsidRDefault="00BE42A0" w:rsidP="006F749C">
      <w:pPr>
        <w:numPr>
          <w:ilvl w:val="0"/>
          <w:numId w:val="114"/>
        </w:numPr>
        <w:spacing w:line="240" w:lineRule="atLeast"/>
        <w:ind w:left="284" w:hanging="426"/>
        <w:contextualSpacing/>
        <w:jc w:val="both"/>
        <w:rPr>
          <w:sz w:val="28"/>
          <w:szCs w:val="28"/>
          <w:lang w:val="en-US" w:eastAsia="ru-RU"/>
        </w:rPr>
      </w:pPr>
      <w:r w:rsidRPr="002D2236">
        <w:rPr>
          <w:sz w:val="28"/>
          <w:szCs w:val="28"/>
          <w:lang w:val="en-US" w:eastAsia="ru-RU"/>
        </w:rPr>
        <w:t xml:space="preserve">Define contractionary monetary policy. </w:t>
      </w:r>
    </w:p>
    <w:p w14:paraId="0EB64223" w14:textId="77777777" w:rsidR="00BE42A0" w:rsidRPr="002D2236" w:rsidRDefault="00BE42A0" w:rsidP="002D2236">
      <w:pPr>
        <w:spacing w:line="240" w:lineRule="atLeast"/>
        <w:ind w:left="284"/>
        <w:contextualSpacing/>
        <w:jc w:val="both"/>
        <w:rPr>
          <w:sz w:val="28"/>
          <w:szCs w:val="28"/>
          <w:lang w:val="en-US" w:eastAsia="ru-RU"/>
        </w:rPr>
      </w:pPr>
      <w:r w:rsidRPr="002D2236">
        <w:rPr>
          <w:sz w:val="28"/>
          <w:szCs w:val="28"/>
          <w:lang w:val="en-US" w:eastAsia="ru-RU"/>
        </w:rPr>
        <w:lastRenderedPageBreak/>
        <w:t xml:space="preserve">Contractionary monetary policy is policy enacted by the _________________ that _____________ the money supply, ___________________ the interest rate, and _______________ output. </w:t>
      </w:r>
    </w:p>
    <w:p w14:paraId="0113F689" w14:textId="77777777" w:rsidR="00BE42A0" w:rsidRPr="002D2236" w:rsidRDefault="00BE42A0" w:rsidP="002D2236">
      <w:pPr>
        <w:spacing w:line="240" w:lineRule="atLeast"/>
        <w:ind w:left="284"/>
        <w:contextualSpacing/>
        <w:jc w:val="both"/>
        <w:rPr>
          <w:sz w:val="28"/>
          <w:szCs w:val="28"/>
          <w:lang w:val="en-US" w:eastAsia="ru-RU"/>
        </w:rPr>
      </w:pPr>
    </w:p>
    <w:p w14:paraId="75E5939F" w14:textId="77777777" w:rsidR="00BE42A0" w:rsidRPr="002D2236" w:rsidRDefault="00BE42A0" w:rsidP="006F749C">
      <w:pPr>
        <w:numPr>
          <w:ilvl w:val="0"/>
          <w:numId w:val="114"/>
        </w:numPr>
        <w:spacing w:line="240" w:lineRule="atLeast"/>
        <w:ind w:left="284"/>
        <w:contextualSpacing/>
        <w:jc w:val="both"/>
        <w:rPr>
          <w:sz w:val="28"/>
          <w:szCs w:val="28"/>
          <w:lang w:val="en-US" w:eastAsia="ru-RU"/>
        </w:rPr>
      </w:pPr>
      <w:r w:rsidRPr="002D2236">
        <w:rPr>
          <w:sz w:val="28"/>
          <w:szCs w:val="28"/>
          <w:lang w:val="en-US" w:eastAsia="ru-RU"/>
        </w:rPr>
        <w:t xml:space="preserve">Define expansionary fiscal policy. </w:t>
      </w:r>
    </w:p>
    <w:p w14:paraId="035D4143" w14:textId="77777777" w:rsidR="00BE42A0" w:rsidRPr="002D2236" w:rsidRDefault="00BE42A0" w:rsidP="002D2236">
      <w:pPr>
        <w:spacing w:line="240" w:lineRule="atLeast"/>
        <w:ind w:left="284"/>
        <w:contextualSpacing/>
        <w:jc w:val="both"/>
        <w:rPr>
          <w:sz w:val="28"/>
          <w:szCs w:val="28"/>
          <w:lang w:val="en-US" w:eastAsia="ru-RU"/>
        </w:rPr>
      </w:pPr>
      <w:r w:rsidRPr="002D2236">
        <w:rPr>
          <w:sz w:val="28"/>
          <w:szCs w:val="28"/>
          <w:lang w:val="en-US" w:eastAsia="ru-RU"/>
        </w:rPr>
        <w:t xml:space="preserve">Expansionary fiscal policy is </w:t>
      </w:r>
      <w:r w:rsidR="002B00B7">
        <w:rPr>
          <w:sz w:val="28"/>
          <w:szCs w:val="28"/>
          <w:lang w:val="en-US" w:eastAsia="ru-RU"/>
        </w:rPr>
        <w:t xml:space="preserve">a form of economic </w:t>
      </w:r>
      <w:r w:rsidRPr="002D2236">
        <w:rPr>
          <w:sz w:val="28"/>
          <w:szCs w:val="28"/>
          <w:lang w:val="en-US" w:eastAsia="ru-RU"/>
        </w:rPr>
        <w:t xml:space="preserve">policy enacted by the __________________ to increase output. The two major vehicles for expansionary fiscal policy are ______________ taxes and ____________ government spending. </w:t>
      </w:r>
    </w:p>
    <w:p w14:paraId="2B9D6801" w14:textId="77777777" w:rsidR="00BE42A0" w:rsidRPr="002D2236" w:rsidRDefault="00BE42A0" w:rsidP="002D2236">
      <w:pPr>
        <w:spacing w:line="240" w:lineRule="atLeast"/>
        <w:ind w:left="284"/>
        <w:contextualSpacing/>
        <w:jc w:val="both"/>
        <w:rPr>
          <w:sz w:val="28"/>
          <w:szCs w:val="28"/>
          <w:lang w:val="en-US" w:eastAsia="ru-RU"/>
        </w:rPr>
      </w:pPr>
    </w:p>
    <w:p w14:paraId="50ABBED6" w14:textId="77777777" w:rsidR="00BE42A0" w:rsidRPr="002D2236" w:rsidRDefault="00BE42A0" w:rsidP="006F749C">
      <w:pPr>
        <w:numPr>
          <w:ilvl w:val="0"/>
          <w:numId w:val="114"/>
        </w:numPr>
        <w:spacing w:line="240" w:lineRule="atLeast"/>
        <w:ind w:left="284"/>
        <w:contextualSpacing/>
        <w:jc w:val="both"/>
        <w:rPr>
          <w:sz w:val="28"/>
          <w:szCs w:val="28"/>
          <w:lang w:val="en-US" w:eastAsia="ru-RU"/>
        </w:rPr>
      </w:pPr>
      <w:r w:rsidRPr="002D2236">
        <w:rPr>
          <w:sz w:val="28"/>
          <w:szCs w:val="28"/>
          <w:lang w:val="en-US" w:eastAsia="ru-RU"/>
        </w:rPr>
        <w:t>When the NBU buy</w:t>
      </w:r>
      <w:r w:rsidR="002B00B7">
        <w:rPr>
          <w:sz w:val="28"/>
          <w:szCs w:val="28"/>
          <w:lang w:val="en-US" w:eastAsia="ru-RU"/>
        </w:rPr>
        <w:t>s</w:t>
      </w:r>
      <w:r w:rsidRPr="002D2236">
        <w:rPr>
          <w:sz w:val="28"/>
          <w:szCs w:val="28"/>
          <w:lang w:val="en-US" w:eastAsia="ru-RU"/>
        </w:rPr>
        <w:t xml:space="preserve"> or sell</w:t>
      </w:r>
      <w:r w:rsidR="002B00B7">
        <w:rPr>
          <w:sz w:val="28"/>
          <w:szCs w:val="28"/>
          <w:lang w:val="en-US" w:eastAsia="ru-RU"/>
        </w:rPr>
        <w:t>s</w:t>
      </w:r>
      <w:r w:rsidRPr="002D2236">
        <w:rPr>
          <w:sz w:val="28"/>
          <w:szCs w:val="28"/>
          <w:lang w:val="en-US" w:eastAsia="ru-RU"/>
        </w:rPr>
        <w:t xml:space="preserve"> government bonds </w:t>
      </w:r>
      <w:r w:rsidR="002B00B7">
        <w:rPr>
          <w:sz w:val="28"/>
          <w:szCs w:val="28"/>
          <w:lang w:val="en-US" w:eastAsia="ru-RU"/>
        </w:rPr>
        <w:t>i</w:t>
      </w:r>
      <w:r w:rsidRPr="002D2236">
        <w:rPr>
          <w:sz w:val="28"/>
          <w:szCs w:val="28"/>
          <w:lang w:val="en-US" w:eastAsia="ru-RU"/>
        </w:rPr>
        <w:t>n the open</w:t>
      </w:r>
      <w:r w:rsidR="002B00B7">
        <w:rPr>
          <w:sz w:val="28"/>
          <w:szCs w:val="28"/>
          <w:lang w:val="en-US" w:eastAsia="ru-RU"/>
        </w:rPr>
        <w:t xml:space="preserve"> market, it is conducting ______________________</w:t>
      </w:r>
      <w:r w:rsidR="002D2236">
        <w:rPr>
          <w:sz w:val="28"/>
          <w:szCs w:val="28"/>
          <w:lang w:val="en-US" w:eastAsia="ru-RU"/>
        </w:rPr>
        <w:t>_</w:t>
      </w:r>
      <w:r w:rsidRPr="002D2236">
        <w:rPr>
          <w:sz w:val="28"/>
          <w:szCs w:val="28"/>
          <w:lang w:val="en-US" w:eastAsia="ru-RU"/>
        </w:rPr>
        <w:t xml:space="preserve">. </w:t>
      </w:r>
    </w:p>
    <w:p w14:paraId="67C4F4BA" w14:textId="77777777" w:rsidR="00BE42A0" w:rsidRPr="002D2236" w:rsidRDefault="00BE42A0" w:rsidP="002D2236">
      <w:pPr>
        <w:spacing w:line="240" w:lineRule="atLeast"/>
        <w:ind w:left="284"/>
        <w:contextualSpacing/>
        <w:jc w:val="both"/>
        <w:rPr>
          <w:sz w:val="28"/>
          <w:szCs w:val="28"/>
          <w:lang w:val="en-US" w:eastAsia="ru-RU"/>
        </w:rPr>
      </w:pPr>
    </w:p>
    <w:p w14:paraId="09ED6D5F" w14:textId="77777777" w:rsidR="00BE42A0" w:rsidRPr="002D2236" w:rsidRDefault="00BE42A0" w:rsidP="006F749C">
      <w:pPr>
        <w:numPr>
          <w:ilvl w:val="0"/>
          <w:numId w:val="114"/>
        </w:numPr>
        <w:spacing w:line="240" w:lineRule="atLeast"/>
        <w:ind w:left="284"/>
        <w:contextualSpacing/>
        <w:jc w:val="both"/>
        <w:rPr>
          <w:sz w:val="28"/>
          <w:szCs w:val="28"/>
          <w:lang w:val="en-US" w:eastAsia="ru-RU"/>
        </w:rPr>
      </w:pPr>
      <w:r w:rsidRPr="002D2236">
        <w:rPr>
          <w:sz w:val="28"/>
          <w:szCs w:val="28"/>
          <w:lang w:val="en-US" w:eastAsia="ru-RU"/>
        </w:rPr>
        <w:t xml:space="preserve">Define contractionary fiscal policy. </w:t>
      </w:r>
    </w:p>
    <w:p w14:paraId="74899B44" w14:textId="77777777" w:rsidR="00BE42A0" w:rsidRPr="002D2236" w:rsidRDefault="00BE42A0" w:rsidP="002D2236">
      <w:pPr>
        <w:spacing w:line="240" w:lineRule="atLeast"/>
        <w:ind w:left="284"/>
        <w:contextualSpacing/>
        <w:jc w:val="both"/>
        <w:rPr>
          <w:sz w:val="28"/>
          <w:szCs w:val="28"/>
          <w:lang w:val="en-US" w:eastAsia="ru-RU"/>
        </w:rPr>
      </w:pPr>
      <w:r w:rsidRPr="002D2236">
        <w:rPr>
          <w:sz w:val="28"/>
          <w:szCs w:val="28"/>
          <w:lang w:val="en-US" w:eastAsia="ru-RU"/>
        </w:rPr>
        <w:t xml:space="preserve">Contractionary fiscal policy is </w:t>
      </w:r>
      <w:r w:rsidR="002B00B7">
        <w:rPr>
          <w:sz w:val="28"/>
          <w:szCs w:val="28"/>
          <w:lang w:val="en-US" w:eastAsia="ru-RU"/>
        </w:rPr>
        <w:t xml:space="preserve">a form of fiscal </w:t>
      </w:r>
      <w:r w:rsidRPr="002D2236">
        <w:rPr>
          <w:sz w:val="28"/>
          <w:szCs w:val="28"/>
          <w:lang w:val="en-US" w:eastAsia="ru-RU"/>
        </w:rPr>
        <w:t>policy enacted by the _________________ to decrease output. The two major vehicles for contractionary fis</w:t>
      </w:r>
      <w:r w:rsidR="002B00B7">
        <w:rPr>
          <w:sz w:val="28"/>
          <w:szCs w:val="28"/>
          <w:lang w:val="en-US" w:eastAsia="ru-RU"/>
        </w:rPr>
        <w:t>cal policy are ____________ taxes and __________________</w:t>
      </w:r>
      <w:r w:rsidRPr="002D2236">
        <w:rPr>
          <w:sz w:val="28"/>
          <w:szCs w:val="28"/>
          <w:lang w:val="en-US" w:eastAsia="ru-RU"/>
        </w:rPr>
        <w:t xml:space="preserve">_ government spending. </w:t>
      </w:r>
    </w:p>
    <w:p w14:paraId="5E168406" w14:textId="77777777" w:rsidR="00BE42A0" w:rsidRPr="002D2236" w:rsidRDefault="00BE42A0" w:rsidP="002D2236">
      <w:pPr>
        <w:spacing w:line="240" w:lineRule="atLeast"/>
        <w:ind w:left="284"/>
        <w:contextualSpacing/>
        <w:jc w:val="both"/>
        <w:rPr>
          <w:sz w:val="28"/>
          <w:szCs w:val="28"/>
          <w:lang w:val="en-US" w:eastAsia="ru-RU"/>
        </w:rPr>
      </w:pPr>
    </w:p>
    <w:p w14:paraId="20D3D1D8" w14:textId="77777777" w:rsidR="00BE42A0" w:rsidRPr="002D2236" w:rsidRDefault="00BE42A0" w:rsidP="006F749C">
      <w:pPr>
        <w:numPr>
          <w:ilvl w:val="0"/>
          <w:numId w:val="114"/>
        </w:numPr>
        <w:spacing w:line="240" w:lineRule="atLeast"/>
        <w:ind w:left="284"/>
        <w:contextualSpacing/>
        <w:jc w:val="both"/>
        <w:rPr>
          <w:sz w:val="28"/>
          <w:szCs w:val="28"/>
          <w:lang w:val="en-US" w:eastAsia="ru-RU"/>
        </w:rPr>
      </w:pPr>
      <w:r w:rsidRPr="002D2236">
        <w:rPr>
          <w:sz w:val="28"/>
          <w:szCs w:val="28"/>
          <w:lang w:val="en-US" w:eastAsia="ru-RU"/>
        </w:rPr>
        <w:t xml:space="preserve">How does fiscal policy affect output? </w:t>
      </w:r>
    </w:p>
    <w:p w14:paraId="79260203" w14:textId="77777777" w:rsidR="00BE42A0" w:rsidRPr="002D2236" w:rsidRDefault="00BE42A0" w:rsidP="002D2236">
      <w:pPr>
        <w:spacing w:line="240" w:lineRule="atLeast"/>
        <w:ind w:left="284"/>
        <w:contextualSpacing/>
        <w:jc w:val="both"/>
        <w:rPr>
          <w:sz w:val="28"/>
          <w:szCs w:val="28"/>
          <w:lang w:val="en-US" w:eastAsia="ru-RU"/>
        </w:rPr>
      </w:pPr>
      <w:r w:rsidRPr="002D2236">
        <w:rPr>
          <w:sz w:val="28"/>
          <w:szCs w:val="28"/>
          <w:lang w:val="en-US" w:eastAsia="ru-RU"/>
        </w:rPr>
        <w:t>Fiscal policy affects output _____________ though __________________ consumption and government spending and _____________________ through the tax and government spending multipliers.</w:t>
      </w:r>
    </w:p>
    <w:p w14:paraId="42283649" w14:textId="77777777" w:rsidR="00B17A60" w:rsidRDefault="00B17A60" w:rsidP="002D2236">
      <w:pPr>
        <w:pStyle w:val="eng3"/>
      </w:pPr>
    </w:p>
    <w:p w14:paraId="1BB7587A" w14:textId="77777777" w:rsidR="00BE42A0" w:rsidRPr="002D2236" w:rsidRDefault="00BE42A0" w:rsidP="002D2236">
      <w:pPr>
        <w:pStyle w:val="eng3"/>
      </w:pPr>
      <w:r w:rsidRPr="002D2236">
        <w:t>True/False/Uncertain questions</w:t>
      </w:r>
    </w:p>
    <w:p w14:paraId="63C9FE82" w14:textId="77777777" w:rsidR="00BE42A0" w:rsidRDefault="00BE42A0" w:rsidP="002D2236">
      <w:pPr>
        <w:spacing w:line="240" w:lineRule="atLeast"/>
        <w:ind w:left="284" w:firstLine="360"/>
        <w:jc w:val="both"/>
        <w:rPr>
          <w:sz w:val="28"/>
          <w:szCs w:val="28"/>
          <w:lang w:val="en-US"/>
        </w:rPr>
      </w:pPr>
      <w:r w:rsidRPr="002D2236">
        <w:rPr>
          <w:sz w:val="28"/>
          <w:szCs w:val="28"/>
          <w:lang w:val="en-US"/>
        </w:rPr>
        <w:t>Decide whether the following statements are True, False, or Uncertain. Explain your reasoning. Your score will be based not just on whether you get the True, False,</w:t>
      </w:r>
      <w:r w:rsidR="002B00B7">
        <w:rPr>
          <w:sz w:val="28"/>
          <w:szCs w:val="28"/>
          <w:lang w:val="en-US"/>
        </w:rPr>
        <w:t xml:space="preserve"> or</w:t>
      </w:r>
      <w:r w:rsidRPr="002D2236">
        <w:rPr>
          <w:sz w:val="28"/>
          <w:szCs w:val="28"/>
          <w:lang w:val="en-US"/>
        </w:rPr>
        <w:t xml:space="preserve"> Uncertain part right but also</w:t>
      </w:r>
      <w:r w:rsidR="002B00B7">
        <w:rPr>
          <w:sz w:val="28"/>
          <w:szCs w:val="28"/>
          <w:lang w:val="en-US"/>
        </w:rPr>
        <w:t>, to a larger extent,</w:t>
      </w:r>
      <w:r w:rsidRPr="002D2236">
        <w:rPr>
          <w:sz w:val="28"/>
          <w:szCs w:val="28"/>
          <w:lang w:val="en-US"/>
        </w:rPr>
        <w:t xml:space="preserve"> heavily on the quality of your explanation.</w:t>
      </w:r>
    </w:p>
    <w:p w14:paraId="5735B849" w14:textId="77777777" w:rsidR="002D2236" w:rsidRPr="002D2236" w:rsidRDefault="002D2236" w:rsidP="002D2236">
      <w:pPr>
        <w:spacing w:line="240" w:lineRule="atLeast"/>
        <w:ind w:left="284" w:firstLine="360"/>
        <w:jc w:val="both"/>
        <w:rPr>
          <w:sz w:val="28"/>
          <w:szCs w:val="28"/>
          <w:lang w:val="en-US"/>
        </w:rPr>
      </w:pPr>
    </w:p>
    <w:p w14:paraId="42EBBA69" w14:textId="77777777" w:rsidR="00BE42A0" w:rsidRPr="002D2236" w:rsidRDefault="00BE42A0" w:rsidP="006F749C">
      <w:pPr>
        <w:numPr>
          <w:ilvl w:val="0"/>
          <w:numId w:val="115"/>
        </w:numPr>
        <w:spacing w:line="240" w:lineRule="atLeast"/>
        <w:ind w:left="284"/>
        <w:contextualSpacing/>
        <w:jc w:val="both"/>
        <w:rPr>
          <w:sz w:val="28"/>
          <w:szCs w:val="28"/>
          <w:lang w:val="en-US" w:eastAsia="ru-RU"/>
        </w:rPr>
      </w:pPr>
      <w:r w:rsidRPr="002D2236">
        <w:rPr>
          <w:sz w:val="28"/>
          <w:szCs w:val="28"/>
          <w:lang w:val="en-US" w:eastAsia="ru-RU"/>
        </w:rPr>
        <w:t>There is no way to expand an economy using fiscal policy without incurring (or increasing) a budget deficit.</w:t>
      </w:r>
    </w:p>
    <w:p w14:paraId="685B2B94" w14:textId="77777777" w:rsidR="00BE42A0" w:rsidRPr="002D2236" w:rsidRDefault="00BE42A0" w:rsidP="002D2236">
      <w:pPr>
        <w:spacing w:line="240" w:lineRule="atLeast"/>
        <w:ind w:left="284"/>
        <w:contextualSpacing/>
        <w:jc w:val="both"/>
        <w:rPr>
          <w:sz w:val="28"/>
          <w:szCs w:val="28"/>
          <w:lang w:val="en-US" w:eastAsia="ru-RU"/>
        </w:rPr>
      </w:pPr>
    </w:p>
    <w:p w14:paraId="0CA3BA04" w14:textId="77777777" w:rsidR="00BE42A0" w:rsidRDefault="00BE42A0" w:rsidP="006F749C">
      <w:pPr>
        <w:numPr>
          <w:ilvl w:val="0"/>
          <w:numId w:val="115"/>
        </w:numPr>
        <w:spacing w:line="240" w:lineRule="atLeast"/>
        <w:ind w:left="284"/>
        <w:contextualSpacing/>
        <w:jc w:val="both"/>
        <w:rPr>
          <w:sz w:val="28"/>
          <w:szCs w:val="28"/>
          <w:lang w:val="en-US" w:eastAsia="ru-RU"/>
        </w:rPr>
      </w:pPr>
      <w:r w:rsidRPr="002D2236">
        <w:rPr>
          <w:sz w:val="28"/>
          <w:szCs w:val="28"/>
          <w:lang w:val="en-US" w:eastAsia="ru-RU"/>
        </w:rPr>
        <w:t xml:space="preserve">A policy tool that can be used to fight inflation (brought about by excessive aggregate demand) is </w:t>
      </w:r>
      <w:r w:rsidR="002B00B7">
        <w:rPr>
          <w:sz w:val="28"/>
          <w:szCs w:val="28"/>
          <w:lang w:val="en-US" w:eastAsia="ru-RU"/>
        </w:rPr>
        <w:t xml:space="preserve">a </w:t>
      </w:r>
      <w:r w:rsidRPr="002D2236">
        <w:rPr>
          <w:sz w:val="28"/>
          <w:szCs w:val="28"/>
          <w:lang w:val="en-US" w:eastAsia="ru-RU"/>
        </w:rPr>
        <w:t>contractionary fiscal policy</w:t>
      </w:r>
      <w:r w:rsidR="002B00B7">
        <w:rPr>
          <w:sz w:val="28"/>
          <w:szCs w:val="28"/>
          <w:lang w:val="en-US" w:eastAsia="ru-RU"/>
        </w:rPr>
        <w:t>.</w:t>
      </w:r>
    </w:p>
    <w:p w14:paraId="0023D87D" w14:textId="77777777" w:rsidR="002D2236" w:rsidRPr="002D2236" w:rsidRDefault="002D2236" w:rsidP="002D2236">
      <w:pPr>
        <w:spacing w:line="240" w:lineRule="atLeast"/>
        <w:ind w:left="284"/>
        <w:contextualSpacing/>
        <w:jc w:val="both"/>
        <w:rPr>
          <w:sz w:val="28"/>
          <w:szCs w:val="28"/>
          <w:lang w:val="en-US" w:eastAsia="ru-RU"/>
        </w:rPr>
      </w:pPr>
    </w:p>
    <w:p w14:paraId="7A34ED40" w14:textId="77777777" w:rsidR="00BE42A0" w:rsidRDefault="00BE42A0" w:rsidP="006F749C">
      <w:pPr>
        <w:numPr>
          <w:ilvl w:val="0"/>
          <w:numId w:val="115"/>
        </w:numPr>
        <w:spacing w:line="240" w:lineRule="atLeast"/>
        <w:ind w:left="284"/>
        <w:contextualSpacing/>
        <w:jc w:val="both"/>
        <w:rPr>
          <w:sz w:val="28"/>
          <w:szCs w:val="28"/>
          <w:lang w:val="en-US" w:eastAsia="ru-RU"/>
        </w:rPr>
      </w:pPr>
      <w:r w:rsidRPr="002D2236">
        <w:rPr>
          <w:sz w:val="28"/>
          <w:szCs w:val="28"/>
          <w:lang w:val="en-US" w:eastAsia="ru-RU"/>
        </w:rPr>
        <w:t>The existence of budget deficits must mean that the government is conducting an expansionary fiscal policy.</w:t>
      </w:r>
    </w:p>
    <w:p w14:paraId="5B7EB925" w14:textId="77777777" w:rsidR="002D2236" w:rsidRPr="002D2236" w:rsidRDefault="002D2236" w:rsidP="002D2236">
      <w:pPr>
        <w:spacing w:line="240" w:lineRule="atLeast"/>
        <w:ind w:left="284"/>
        <w:contextualSpacing/>
        <w:jc w:val="both"/>
        <w:rPr>
          <w:sz w:val="28"/>
          <w:szCs w:val="28"/>
          <w:lang w:val="en-US" w:eastAsia="ru-RU"/>
        </w:rPr>
      </w:pPr>
    </w:p>
    <w:p w14:paraId="2791A320" w14:textId="77777777" w:rsidR="00BE42A0" w:rsidRDefault="002B00B7" w:rsidP="006F749C">
      <w:pPr>
        <w:numPr>
          <w:ilvl w:val="0"/>
          <w:numId w:val="115"/>
        </w:numPr>
        <w:spacing w:line="240" w:lineRule="atLeast"/>
        <w:ind w:left="284"/>
        <w:contextualSpacing/>
        <w:jc w:val="both"/>
        <w:rPr>
          <w:sz w:val="28"/>
          <w:szCs w:val="28"/>
          <w:lang w:val="en-US" w:eastAsia="ru-RU"/>
        </w:rPr>
      </w:pPr>
      <w:r>
        <w:rPr>
          <w:sz w:val="28"/>
          <w:szCs w:val="28"/>
          <w:lang w:val="en-US" w:eastAsia="ru-RU"/>
        </w:rPr>
        <w:t>At any g</w:t>
      </w:r>
      <w:r w:rsidR="00BE42A0" w:rsidRPr="002D2236">
        <w:rPr>
          <w:sz w:val="28"/>
          <w:szCs w:val="28"/>
          <w:lang w:val="en-US" w:eastAsia="ru-RU"/>
        </w:rPr>
        <w:t xml:space="preserve">iven </w:t>
      </w:r>
      <w:r>
        <w:rPr>
          <w:sz w:val="28"/>
          <w:szCs w:val="28"/>
          <w:lang w:val="en-US" w:eastAsia="ru-RU"/>
        </w:rPr>
        <w:t>constant money demand</w:t>
      </w:r>
      <w:r w:rsidR="00BE42A0" w:rsidRPr="002D2236">
        <w:rPr>
          <w:sz w:val="28"/>
          <w:szCs w:val="28"/>
          <w:lang w:val="en-US" w:eastAsia="ru-RU"/>
        </w:rPr>
        <w:t xml:space="preserve"> under an expansionary monetary policy</w:t>
      </w:r>
      <w:r>
        <w:rPr>
          <w:sz w:val="28"/>
          <w:szCs w:val="28"/>
          <w:lang w:val="en-US" w:eastAsia="ru-RU"/>
        </w:rPr>
        <w:t>,</w:t>
      </w:r>
      <w:r w:rsidR="00BE42A0" w:rsidRPr="002D2236">
        <w:rPr>
          <w:sz w:val="28"/>
          <w:szCs w:val="28"/>
          <w:lang w:val="en-US" w:eastAsia="ru-RU"/>
        </w:rPr>
        <w:t xml:space="preserve"> the money supply decreases and interest rates increase.</w:t>
      </w:r>
    </w:p>
    <w:p w14:paraId="192BBE92" w14:textId="77777777" w:rsidR="002D2236" w:rsidRPr="002D2236" w:rsidRDefault="002D2236" w:rsidP="002D2236">
      <w:pPr>
        <w:spacing w:line="240" w:lineRule="atLeast"/>
        <w:ind w:left="284"/>
        <w:contextualSpacing/>
        <w:jc w:val="both"/>
        <w:rPr>
          <w:sz w:val="28"/>
          <w:szCs w:val="28"/>
          <w:lang w:val="en-US" w:eastAsia="ru-RU"/>
        </w:rPr>
      </w:pPr>
    </w:p>
    <w:p w14:paraId="3E3AA681" w14:textId="77777777" w:rsidR="00BE42A0" w:rsidRPr="002D2236" w:rsidRDefault="00BE42A0" w:rsidP="006F749C">
      <w:pPr>
        <w:numPr>
          <w:ilvl w:val="0"/>
          <w:numId w:val="115"/>
        </w:numPr>
        <w:spacing w:line="240" w:lineRule="atLeast"/>
        <w:ind w:left="284"/>
        <w:contextualSpacing/>
        <w:jc w:val="both"/>
        <w:rPr>
          <w:sz w:val="28"/>
          <w:szCs w:val="28"/>
          <w:lang w:val="en-US" w:eastAsia="ru-RU"/>
        </w:rPr>
      </w:pPr>
      <w:r w:rsidRPr="002D2236">
        <w:rPr>
          <w:sz w:val="28"/>
          <w:szCs w:val="28"/>
          <w:lang w:val="en-US" w:eastAsia="ru-RU"/>
        </w:rPr>
        <w:lastRenderedPageBreak/>
        <w:t>Expansionary fiscal policy is</w:t>
      </w:r>
      <w:r w:rsidR="002B00B7">
        <w:rPr>
          <w:sz w:val="28"/>
          <w:szCs w:val="28"/>
          <w:lang w:val="en-US" w:eastAsia="ru-RU"/>
        </w:rPr>
        <w:t xml:space="preserve"> a form of fiscal</w:t>
      </w:r>
      <w:r w:rsidRPr="002D2236">
        <w:rPr>
          <w:sz w:val="28"/>
          <w:szCs w:val="28"/>
          <w:lang w:val="en-US" w:eastAsia="ru-RU"/>
        </w:rPr>
        <w:t xml:space="preserve"> policy enacted by the NBU to increase output.</w:t>
      </w:r>
    </w:p>
    <w:p w14:paraId="6B1276EE" w14:textId="77777777" w:rsidR="00BE42A0" w:rsidRPr="002D2236" w:rsidRDefault="00BE42A0" w:rsidP="002D2236">
      <w:pPr>
        <w:pStyle w:val="end2"/>
      </w:pPr>
      <w:r w:rsidRPr="002D2236">
        <w:t>Computation problems</w:t>
      </w:r>
    </w:p>
    <w:p w14:paraId="3E698105" w14:textId="77777777" w:rsidR="00F17567" w:rsidRPr="00B17A60" w:rsidRDefault="00BE42A0" w:rsidP="006F749C">
      <w:pPr>
        <w:numPr>
          <w:ilvl w:val="0"/>
          <w:numId w:val="116"/>
        </w:numPr>
        <w:spacing w:line="240" w:lineRule="atLeast"/>
        <w:ind w:left="284"/>
        <w:contextualSpacing/>
        <w:jc w:val="both"/>
        <w:rPr>
          <w:sz w:val="28"/>
          <w:szCs w:val="28"/>
          <w:lang w:val="en-GB"/>
        </w:rPr>
      </w:pPr>
      <w:r w:rsidRPr="00F17567">
        <w:rPr>
          <w:sz w:val="28"/>
          <w:szCs w:val="28"/>
          <w:lang w:val="en-US" w:eastAsia="ru-RU"/>
        </w:rPr>
        <w:t xml:space="preserve">Test your understanding of fiscal policy by completing the </w:t>
      </w:r>
      <w:r w:rsidR="00B17A60">
        <w:rPr>
          <w:sz w:val="28"/>
          <w:szCs w:val="28"/>
          <w:lang w:val="en-US" w:eastAsia="ru-RU"/>
        </w:rPr>
        <w:t>box</w:t>
      </w:r>
      <w:r w:rsidR="002B00B7">
        <w:rPr>
          <w:sz w:val="28"/>
          <w:szCs w:val="28"/>
          <w:lang w:val="en-US" w:eastAsia="ru-RU"/>
        </w:rPr>
        <w:t>es</w:t>
      </w:r>
      <w:r w:rsidR="00B17A60">
        <w:rPr>
          <w:sz w:val="28"/>
          <w:szCs w:val="28"/>
          <w:lang w:val="en-US" w:eastAsia="ru-RU"/>
        </w:rPr>
        <w:t xml:space="preserve"> below</w:t>
      </w:r>
      <w:r w:rsidR="002B00B7">
        <w:rPr>
          <w:sz w:val="28"/>
          <w:szCs w:val="28"/>
          <w:lang w:val="en-US" w:eastAsia="ru-RU"/>
        </w:rPr>
        <w:t>. Your choice</w:t>
      </w:r>
      <w:r w:rsidRPr="00F17567">
        <w:rPr>
          <w:sz w:val="28"/>
          <w:szCs w:val="28"/>
          <w:lang w:val="en-US" w:eastAsia="ru-RU"/>
        </w:rPr>
        <w:t xml:space="preserve"> for each situation must be consistent — that is, you should choose either an expansionary or contractionary fiscal policy. (Fiscal policy cannot provide a solution to one of the situations.) </w:t>
      </w:r>
    </w:p>
    <w:p w14:paraId="708780B1" w14:textId="77777777" w:rsidR="00B17A60" w:rsidRPr="002D2236" w:rsidRDefault="00B17A60" w:rsidP="00B17A60">
      <w:pPr>
        <w:spacing w:line="240" w:lineRule="atLeast"/>
        <w:ind w:left="284"/>
        <w:contextualSpacing/>
        <w:jc w:val="both"/>
        <w:rPr>
          <w:sz w:val="28"/>
          <w:szCs w:val="28"/>
          <w:lang w:val="en-GB"/>
        </w:rPr>
      </w:pPr>
    </w:p>
    <w:p w14:paraId="19610B60" w14:textId="77777777" w:rsidR="00BE42A0" w:rsidRPr="00F17567" w:rsidRDefault="00BE42A0" w:rsidP="00BE42A0">
      <w:pPr>
        <w:jc w:val="center"/>
        <w:rPr>
          <w:b/>
          <w:sz w:val="28"/>
          <w:szCs w:val="28"/>
          <w:lang w:val="en-GB"/>
        </w:rPr>
      </w:pPr>
      <w:r w:rsidRPr="00F17567">
        <w:rPr>
          <w:b/>
          <w:sz w:val="28"/>
          <w:szCs w:val="28"/>
          <w:lang w:val="en-GB"/>
        </w:rPr>
        <w:t>Effects of Fiscal Policy</w:t>
      </w:r>
    </w:p>
    <w:tbl>
      <w:tblPr>
        <w:tblStyle w:val="110"/>
        <w:tblW w:w="9464" w:type="dxa"/>
        <w:tblLayout w:type="fixed"/>
        <w:tblLook w:val="04A0" w:firstRow="1" w:lastRow="0" w:firstColumn="1" w:lastColumn="0" w:noHBand="0" w:noVBand="1"/>
      </w:tblPr>
      <w:tblGrid>
        <w:gridCol w:w="1951"/>
        <w:gridCol w:w="1701"/>
        <w:gridCol w:w="1134"/>
        <w:gridCol w:w="1701"/>
        <w:gridCol w:w="1276"/>
        <w:gridCol w:w="1701"/>
      </w:tblGrid>
      <w:tr w:rsidR="005F1639" w:rsidRPr="005F1639" w14:paraId="7C2487CE" w14:textId="77777777" w:rsidTr="005F1639">
        <w:trPr>
          <w:trHeight w:val="960"/>
        </w:trPr>
        <w:tc>
          <w:tcPr>
            <w:tcW w:w="1951" w:type="dxa"/>
            <w:shd w:val="clear" w:color="auto" w:fill="D9D9D9" w:themeFill="background1" w:themeFillShade="D9"/>
          </w:tcPr>
          <w:p w14:paraId="3AFE2C21" w14:textId="77777777" w:rsidR="00BE42A0" w:rsidRPr="005F1639" w:rsidRDefault="00BE42A0" w:rsidP="00BE42A0">
            <w:pPr>
              <w:jc w:val="center"/>
              <w:rPr>
                <w:lang w:val="en-GB"/>
              </w:rPr>
            </w:pPr>
          </w:p>
        </w:tc>
        <w:tc>
          <w:tcPr>
            <w:tcW w:w="1701" w:type="dxa"/>
            <w:shd w:val="clear" w:color="auto" w:fill="D9D9D9" w:themeFill="background1" w:themeFillShade="D9"/>
          </w:tcPr>
          <w:p w14:paraId="43EFC80D" w14:textId="77777777" w:rsidR="00BE42A0" w:rsidRPr="005F1639" w:rsidRDefault="00BE42A0" w:rsidP="00BE42A0">
            <w:pPr>
              <w:jc w:val="center"/>
              <w:rPr>
                <w:caps/>
                <w:lang w:val="en-GB"/>
              </w:rPr>
            </w:pPr>
            <w:r w:rsidRPr="005F1639">
              <w:rPr>
                <w:caps/>
                <w:lang w:val="en-GB"/>
              </w:rPr>
              <w:t>(A)</w:t>
            </w:r>
          </w:p>
          <w:p w14:paraId="60DA814C" w14:textId="77777777" w:rsidR="00BE42A0" w:rsidRPr="005F1639" w:rsidRDefault="00BE42A0" w:rsidP="00BE42A0">
            <w:pPr>
              <w:jc w:val="center"/>
              <w:rPr>
                <w:caps/>
                <w:lang w:val="en-GB"/>
              </w:rPr>
            </w:pPr>
            <w:r w:rsidRPr="005F1639">
              <w:rPr>
                <w:lang w:val="en-GB"/>
              </w:rPr>
              <w:t>Objective for Aggregate Demand</w:t>
            </w:r>
          </w:p>
        </w:tc>
        <w:tc>
          <w:tcPr>
            <w:tcW w:w="1134" w:type="dxa"/>
            <w:shd w:val="clear" w:color="auto" w:fill="D9D9D9" w:themeFill="background1" w:themeFillShade="D9"/>
          </w:tcPr>
          <w:p w14:paraId="399F3400" w14:textId="77777777" w:rsidR="00BE42A0" w:rsidRPr="005F1639" w:rsidRDefault="00BE42A0" w:rsidP="00BE42A0">
            <w:pPr>
              <w:jc w:val="center"/>
              <w:rPr>
                <w:lang w:val="en-GB"/>
              </w:rPr>
            </w:pPr>
            <w:r w:rsidRPr="005F1639">
              <w:rPr>
                <w:lang w:val="en-GB"/>
              </w:rPr>
              <w:t>(B)</w:t>
            </w:r>
          </w:p>
          <w:p w14:paraId="2B9AB35A" w14:textId="77777777" w:rsidR="00BE42A0" w:rsidRPr="005F1639" w:rsidRDefault="00BE42A0" w:rsidP="00BE42A0">
            <w:pPr>
              <w:jc w:val="center"/>
              <w:rPr>
                <w:lang w:val="en-GB"/>
              </w:rPr>
            </w:pPr>
            <w:r w:rsidRPr="005F1639">
              <w:rPr>
                <w:lang w:val="en-GB"/>
              </w:rPr>
              <w:t>Action on Taxes</w:t>
            </w:r>
          </w:p>
        </w:tc>
        <w:tc>
          <w:tcPr>
            <w:tcW w:w="1701" w:type="dxa"/>
            <w:shd w:val="clear" w:color="auto" w:fill="D9D9D9" w:themeFill="background1" w:themeFillShade="D9"/>
          </w:tcPr>
          <w:p w14:paraId="68DF44E1" w14:textId="77777777" w:rsidR="00BE42A0" w:rsidRPr="005F1639" w:rsidRDefault="00BE42A0" w:rsidP="00BE42A0">
            <w:pPr>
              <w:jc w:val="center"/>
              <w:rPr>
                <w:lang w:val="en-GB"/>
              </w:rPr>
            </w:pPr>
            <w:r w:rsidRPr="005F1639">
              <w:rPr>
                <w:lang w:val="en-GB"/>
              </w:rPr>
              <w:t>(C)</w:t>
            </w:r>
          </w:p>
          <w:p w14:paraId="58626CFD" w14:textId="77777777" w:rsidR="00BE42A0" w:rsidRPr="005F1639" w:rsidRDefault="00BE42A0" w:rsidP="00BE42A0">
            <w:pPr>
              <w:jc w:val="center"/>
              <w:rPr>
                <w:lang w:val="en-GB"/>
              </w:rPr>
            </w:pPr>
            <w:r w:rsidRPr="005F1639">
              <w:rPr>
                <w:lang w:val="en-GB"/>
              </w:rPr>
              <w:t>Action on Government Spending</w:t>
            </w:r>
          </w:p>
        </w:tc>
        <w:tc>
          <w:tcPr>
            <w:tcW w:w="1276" w:type="dxa"/>
            <w:shd w:val="clear" w:color="auto" w:fill="D9D9D9" w:themeFill="background1" w:themeFillShade="D9"/>
          </w:tcPr>
          <w:p w14:paraId="52FC0C69" w14:textId="77777777" w:rsidR="00BE42A0" w:rsidRPr="005F1639" w:rsidRDefault="00BE42A0" w:rsidP="00BE42A0">
            <w:pPr>
              <w:jc w:val="center"/>
              <w:rPr>
                <w:lang w:val="en-GB"/>
              </w:rPr>
            </w:pPr>
            <w:r w:rsidRPr="005F1639">
              <w:rPr>
                <w:lang w:val="en-GB"/>
              </w:rPr>
              <w:t>(D)</w:t>
            </w:r>
          </w:p>
          <w:p w14:paraId="2A750491" w14:textId="77777777" w:rsidR="00BE42A0" w:rsidRPr="005F1639" w:rsidRDefault="00BE42A0" w:rsidP="00BE42A0">
            <w:pPr>
              <w:jc w:val="center"/>
              <w:rPr>
                <w:lang w:val="en-GB"/>
              </w:rPr>
            </w:pPr>
            <w:r w:rsidRPr="005F1639">
              <w:rPr>
                <w:lang w:val="en-GB"/>
              </w:rPr>
              <w:t>Effect on Federal Budget</w:t>
            </w:r>
          </w:p>
        </w:tc>
        <w:tc>
          <w:tcPr>
            <w:tcW w:w="1701" w:type="dxa"/>
            <w:shd w:val="clear" w:color="auto" w:fill="D9D9D9" w:themeFill="background1" w:themeFillShade="D9"/>
          </w:tcPr>
          <w:p w14:paraId="663D0225" w14:textId="77777777" w:rsidR="00BE42A0" w:rsidRPr="005F1639" w:rsidRDefault="00BE42A0" w:rsidP="00BE42A0">
            <w:pPr>
              <w:jc w:val="center"/>
              <w:rPr>
                <w:lang w:val="en-GB"/>
              </w:rPr>
            </w:pPr>
            <w:r w:rsidRPr="005F1639">
              <w:rPr>
                <w:lang w:val="en-GB"/>
              </w:rPr>
              <w:t>(E)</w:t>
            </w:r>
          </w:p>
          <w:p w14:paraId="4D882C9E" w14:textId="77777777" w:rsidR="00BE42A0" w:rsidRPr="005F1639" w:rsidRDefault="00BE42A0" w:rsidP="00BE42A0">
            <w:pPr>
              <w:jc w:val="center"/>
              <w:rPr>
                <w:lang w:val="en-GB"/>
              </w:rPr>
            </w:pPr>
            <w:r w:rsidRPr="005F1639">
              <w:rPr>
                <w:lang w:val="en-GB"/>
              </w:rPr>
              <w:t>Effect on the National Debt</w:t>
            </w:r>
          </w:p>
        </w:tc>
      </w:tr>
      <w:tr w:rsidR="005F1639" w:rsidRPr="005F1639" w14:paraId="5C113BA0" w14:textId="77777777" w:rsidTr="005F1639">
        <w:tc>
          <w:tcPr>
            <w:tcW w:w="1951" w:type="dxa"/>
          </w:tcPr>
          <w:p w14:paraId="207AE4F2" w14:textId="77777777" w:rsidR="00BE42A0" w:rsidRPr="005F1639" w:rsidRDefault="00BE42A0" w:rsidP="00BE42A0">
            <w:pPr>
              <w:rPr>
                <w:lang w:val="en-GB"/>
              </w:rPr>
            </w:pPr>
            <w:r w:rsidRPr="005F1639">
              <w:rPr>
                <w:lang w:val="en-GB"/>
              </w:rPr>
              <w:t>1. National unemplo</w:t>
            </w:r>
            <w:r w:rsidR="005F1639">
              <w:rPr>
                <w:lang w:val="en-GB"/>
              </w:rPr>
              <w:t>yment rate rises to 12 percent</w:t>
            </w:r>
          </w:p>
        </w:tc>
        <w:tc>
          <w:tcPr>
            <w:tcW w:w="1701" w:type="dxa"/>
          </w:tcPr>
          <w:p w14:paraId="25ADDC2D" w14:textId="77777777" w:rsidR="00BE42A0" w:rsidRPr="005F1639" w:rsidRDefault="00BE42A0" w:rsidP="00BE42A0">
            <w:pPr>
              <w:jc w:val="center"/>
              <w:rPr>
                <w:lang w:val="en-GB"/>
              </w:rPr>
            </w:pPr>
          </w:p>
        </w:tc>
        <w:tc>
          <w:tcPr>
            <w:tcW w:w="1134" w:type="dxa"/>
          </w:tcPr>
          <w:p w14:paraId="19E47009" w14:textId="77777777" w:rsidR="00BE42A0" w:rsidRPr="005F1639" w:rsidRDefault="00BE42A0" w:rsidP="00BE42A0">
            <w:pPr>
              <w:jc w:val="center"/>
              <w:rPr>
                <w:lang w:val="en-GB"/>
              </w:rPr>
            </w:pPr>
          </w:p>
        </w:tc>
        <w:tc>
          <w:tcPr>
            <w:tcW w:w="1701" w:type="dxa"/>
          </w:tcPr>
          <w:p w14:paraId="6BAAB9E5" w14:textId="77777777" w:rsidR="00BE42A0" w:rsidRPr="005F1639" w:rsidRDefault="00BE42A0" w:rsidP="00BE42A0">
            <w:pPr>
              <w:jc w:val="center"/>
              <w:rPr>
                <w:lang w:val="en-GB"/>
              </w:rPr>
            </w:pPr>
          </w:p>
        </w:tc>
        <w:tc>
          <w:tcPr>
            <w:tcW w:w="1276" w:type="dxa"/>
          </w:tcPr>
          <w:p w14:paraId="0FAA81FA" w14:textId="77777777" w:rsidR="00BE42A0" w:rsidRPr="005F1639" w:rsidRDefault="00BE42A0" w:rsidP="00BE42A0">
            <w:pPr>
              <w:jc w:val="center"/>
              <w:rPr>
                <w:lang w:val="en-GB"/>
              </w:rPr>
            </w:pPr>
          </w:p>
        </w:tc>
        <w:tc>
          <w:tcPr>
            <w:tcW w:w="1701" w:type="dxa"/>
          </w:tcPr>
          <w:p w14:paraId="1B4909FF" w14:textId="77777777" w:rsidR="00BE42A0" w:rsidRPr="005F1639" w:rsidRDefault="00BE42A0" w:rsidP="00BE42A0">
            <w:pPr>
              <w:jc w:val="center"/>
              <w:rPr>
                <w:lang w:val="en-GB"/>
              </w:rPr>
            </w:pPr>
          </w:p>
        </w:tc>
      </w:tr>
      <w:tr w:rsidR="005F1639" w:rsidRPr="005F1639" w14:paraId="62E91C25" w14:textId="77777777" w:rsidTr="005F1639">
        <w:tc>
          <w:tcPr>
            <w:tcW w:w="1951" w:type="dxa"/>
          </w:tcPr>
          <w:p w14:paraId="1C29479D" w14:textId="77777777" w:rsidR="00BE42A0" w:rsidRPr="005F1639" w:rsidRDefault="00BE42A0" w:rsidP="00BE42A0">
            <w:pPr>
              <w:rPr>
                <w:lang w:val="en-GB"/>
              </w:rPr>
            </w:pPr>
            <w:r w:rsidRPr="005F1639">
              <w:rPr>
                <w:lang w:val="en-GB"/>
              </w:rPr>
              <w:t>2. Inflation is strong at</w:t>
            </w:r>
            <w:r w:rsidR="005F1639">
              <w:rPr>
                <w:lang w:val="en-GB"/>
              </w:rPr>
              <w:t xml:space="preserve"> a rate of 14 percent per year</w:t>
            </w:r>
          </w:p>
        </w:tc>
        <w:tc>
          <w:tcPr>
            <w:tcW w:w="1701" w:type="dxa"/>
          </w:tcPr>
          <w:p w14:paraId="76AD0762" w14:textId="77777777" w:rsidR="00BE42A0" w:rsidRPr="005F1639" w:rsidRDefault="00BE42A0" w:rsidP="00BE42A0">
            <w:pPr>
              <w:jc w:val="center"/>
              <w:rPr>
                <w:lang w:val="en-GB"/>
              </w:rPr>
            </w:pPr>
          </w:p>
        </w:tc>
        <w:tc>
          <w:tcPr>
            <w:tcW w:w="1134" w:type="dxa"/>
          </w:tcPr>
          <w:p w14:paraId="67012107" w14:textId="77777777" w:rsidR="00BE42A0" w:rsidRPr="005F1639" w:rsidRDefault="00BE42A0" w:rsidP="00BE42A0">
            <w:pPr>
              <w:jc w:val="center"/>
              <w:rPr>
                <w:lang w:val="en-GB"/>
              </w:rPr>
            </w:pPr>
          </w:p>
        </w:tc>
        <w:tc>
          <w:tcPr>
            <w:tcW w:w="1701" w:type="dxa"/>
          </w:tcPr>
          <w:p w14:paraId="315CEF12" w14:textId="77777777" w:rsidR="00BE42A0" w:rsidRPr="005F1639" w:rsidRDefault="00BE42A0" w:rsidP="00BE42A0">
            <w:pPr>
              <w:jc w:val="center"/>
              <w:rPr>
                <w:lang w:val="en-GB"/>
              </w:rPr>
            </w:pPr>
          </w:p>
        </w:tc>
        <w:tc>
          <w:tcPr>
            <w:tcW w:w="1276" w:type="dxa"/>
          </w:tcPr>
          <w:p w14:paraId="554C6419" w14:textId="77777777" w:rsidR="00BE42A0" w:rsidRPr="005F1639" w:rsidRDefault="00BE42A0" w:rsidP="00BE42A0">
            <w:pPr>
              <w:jc w:val="center"/>
              <w:rPr>
                <w:lang w:val="en-GB"/>
              </w:rPr>
            </w:pPr>
          </w:p>
        </w:tc>
        <w:tc>
          <w:tcPr>
            <w:tcW w:w="1701" w:type="dxa"/>
          </w:tcPr>
          <w:p w14:paraId="6EA8F5C3" w14:textId="77777777" w:rsidR="00BE42A0" w:rsidRPr="005F1639" w:rsidRDefault="00BE42A0" w:rsidP="00BE42A0">
            <w:pPr>
              <w:jc w:val="center"/>
              <w:rPr>
                <w:lang w:val="en-GB"/>
              </w:rPr>
            </w:pPr>
          </w:p>
        </w:tc>
      </w:tr>
      <w:tr w:rsidR="005F1639" w:rsidRPr="005F1639" w14:paraId="3B0CD0FE" w14:textId="77777777" w:rsidTr="005F1639">
        <w:tc>
          <w:tcPr>
            <w:tcW w:w="1951" w:type="dxa"/>
          </w:tcPr>
          <w:p w14:paraId="23E99D45" w14:textId="77777777" w:rsidR="00BE42A0" w:rsidRPr="005F1639" w:rsidRDefault="00BE42A0" w:rsidP="005F1639">
            <w:pPr>
              <w:rPr>
                <w:lang w:val="en-GB"/>
              </w:rPr>
            </w:pPr>
            <w:r w:rsidRPr="005F1639">
              <w:rPr>
                <w:lang w:val="en-GB"/>
              </w:rPr>
              <w:t>3. Surveys show consumers are losing confidence in the economy, retail sales are weak</w:t>
            </w:r>
            <w:r w:rsidR="005F1639">
              <w:rPr>
                <w:lang w:val="en-GB"/>
              </w:rPr>
              <w:t>,</w:t>
            </w:r>
            <w:r w:rsidRPr="005F1639">
              <w:rPr>
                <w:lang w:val="en-GB"/>
              </w:rPr>
              <w:t xml:space="preserve"> and business inventories are increasing rapidly </w:t>
            </w:r>
          </w:p>
        </w:tc>
        <w:tc>
          <w:tcPr>
            <w:tcW w:w="1701" w:type="dxa"/>
          </w:tcPr>
          <w:p w14:paraId="54433423" w14:textId="77777777" w:rsidR="00BE42A0" w:rsidRPr="005F1639" w:rsidRDefault="00BE42A0" w:rsidP="00BE42A0">
            <w:pPr>
              <w:jc w:val="center"/>
              <w:rPr>
                <w:lang w:val="en-GB"/>
              </w:rPr>
            </w:pPr>
          </w:p>
        </w:tc>
        <w:tc>
          <w:tcPr>
            <w:tcW w:w="1134" w:type="dxa"/>
          </w:tcPr>
          <w:p w14:paraId="3133F4EA" w14:textId="77777777" w:rsidR="00BE42A0" w:rsidRPr="005F1639" w:rsidRDefault="00BE42A0" w:rsidP="00BE42A0">
            <w:pPr>
              <w:jc w:val="center"/>
              <w:rPr>
                <w:lang w:val="en-GB"/>
              </w:rPr>
            </w:pPr>
          </w:p>
        </w:tc>
        <w:tc>
          <w:tcPr>
            <w:tcW w:w="1701" w:type="dxa"/>
          </w:tcPr>
          <w:p w14:paraId="31477273" w14:textId="77777777" w:rsidR="00BE42A0" w:rsidRPr="005F1639" w:rsidRDefault="00BE42A0" w:rsidP="00BE42A0">
            <w:pPr>
              <w:jc w:val="center"/>
              <w:rPr>
                <w:lang w:val="en-GB"/>
              </w:rPr>
            </w:pPr>
          </w:p>
        </w:tc>
        <w:tc>
          <w:tcPr>
            <w:tcW w:w="1276" w:type="dxa"/>
          </w:tcPr>
          <w:p w14:paraId="1CFE7D85" w14:textId="77777777" w:rsidR="00BE42A0" w:rsidRPr="005F1639" w:rsidRDefault="00BE42A0" w:rsidP="00BE42A0">
            <w:pPr>
              <w:jc w:val="center"/>
              <w:rPr>
                <w:lang w:val="en-GB"/>
              </w:rPr>
            </w:pPr>
          </w:p>
        </w:tc>
        <w:tc>
          <w:tcPr>
            <w:tcW w:w="1701" w:type="dxa"/>
          </w:tcPr>
          <w:p w14:paraId="6A2225B0" w14:textId="77777777" w:rsidR="00BE42A0" w:rsidRPr="005F1639" w:rsidRDefault="00BE42A0" w:rsidP="00BE42A0">
            <w:pPr>
              <w:jc w:val="center"/>
              <w:rPr>
                <w:lang w:val="en-GB"/>
              </w:rPr>
            </w:pPr>
          </w:p>
        </w:tc>
      </w:tr>
      <w:tr w:rsidR="005F1639" w:rsidRPr="005F1639" w14:paraId="6D08EEE1" w14:textId="77777777" w:rsidTr="005F1639">
        <w:tc>
          <w:tcPr>
            <w:tcW w:w="1951" w:type="dxa"/>
          </w:tcPr>
          <w:p w14:paraId="75BA6401" w14:textId="77777777" w:rsidR="00BE42A0" w:rsidRPr="005F1639" w:rsidRDefault="00BE42A0" w:rsidP="00BE42A0">
            <w:pPr>
              <w:rPr>
                <w:lang w:val="en-GB"/>
              </w:rPr>
            </w:pPr>
            <w:r w:rsidRPr="005F1639">
              <w:rPr>
                <w:lang w:val="en-GB"/>
              </w:rPr>
              <w:t>4. Business sales and investment are expanding rapidly, and economists thi</w:t>
            </w:r>
            <w:r w:rsidR="005F1639">
              <w:rPr>
                <w:lang w:val="en-GB"/>
              </w:rPr>
              <w:t>nk strong inflation lies ahead</w:t>
            </w:r>
          </w:p>
        </w:tc>
        <w:tc>
          <w:tcPr>
            <w:tcW w:w="1701" w:type="dxa"/>
          </w:tcPr>
          <w:p w14:paraId="0A9B825D" w14:textId="77777777" w:rsidR="00BE42A0" w:rsidRPr="005F1639" w:rsidRDefault="00BE42A0" w:rsidP="00BE42A0">
            <w:pPr>
              <w:jc w:val="center"/>
              <w:rPr>
                <w:lang w:val="en-GB"/>
              </w:rPr>
            </w:pPr>
          </w:p>
        </w:tc>
        <w:tc>
          <w:tcPr>
            <w:tcW w:w="1134" w:type="dxa"/>
          </w:tcPr>
          <w:p w14:paraId="0AE4D0FA" w14:textId="77777777" w:rsidR="00BE42A0" w:rsidRPr="005F1639" w:rsidRDefault="00BE42A0" w:rsidP="00BE42A0">
            <w:pPr>
              <w:jc w:val="center"/>
              <w:rPr>
                <w:lang w:val="en-GB"/>
              </w:rPr>
            </w:pPr>
          </w:p>
        </w:tc>
        <w:tc>
          <w:tcPr>
            <w:tcW w:w="1701" w:type="dxa"/>
          </w:tcPr>
          <w:p w14:paraId="0731BA3A" w14:textId="77777777" w:rsidR="00BE42A0" w:rsidRPr="005F1639" w:rsidRDefault="00BE42A0" w:rsidP="00BE42A0">
            <w:pPr>
              <w:jc w:val="center"/>
              <w:rPr>
                <w:lang w:val="en-GB"/>
              </w:rPr>
            </w:pPr>
          </w:p>
        </w:tc>
        <w:tc>
          <w:tcPr>
            <w:tcW w:w="1276" w:type="dxa"/>
          </w:tcPr>
          <w:p w14:paraId="19C1E76A" w14:textId="77777777" w:rsidR="00BE42A0" w:rsidRPr="005F1639" w:rsidRDefault="00BE42A0" w:rsidP="00BE42A0">
            <w:pPr>
              <w:jc w:val="center"/>
              <w:rPr>
                <w:lang w:val="en-GB"/>
              </w:rPr>
            </w:pPr>
          </w:p>
        </w:tc>
        <w:tc>
          <w:tcPr>
            <w:tcW w:w="1701" w:type="dxa"/>
          </w:tcPr>
          <w:p w14:paraId="3ED784A8" w14:textId="77777777" w:rsidR="00BE42A0" w:rsidRPr="005F1639" w:rsidRDefault="00BE42A0" w:rsidP="00BE42A0">
            <w:pPr>
              <w:jc w:val="center"/>
              <w:rPr>
                <w:lang w:val="en-GB"/>
              </w:rPr>
            </w:pPr>
          </w:p>
        </w:tc>
      </w:tr>
      <w:tr w:rsidR="00BE42A0" w:rsidRPr="005F1639" w14:paraId="25733984" w14:textId="77777777" w:rsidTr="005F1639">
        <w:tc>
          <w:tcPr>
            <w:tcW w:w="1951" w:type="dxa"/>
          </w:tcPr>
          <w:p w14:paraId="0AC12361" w14:textId="77777777" w:rsidR="00BE42A0" w:rsidRPr="005F1639" w:rsidRDefault="00BE42A0" w:rsidP="00BE42A0">
            <w:pPr>
              <w:rPr>
                <w:lang w:val="en-GB"/>
              </w:rPr>
            </w:pPr>
            <w:r w:rsidRPr="005F1639">
              <w:rPr>
                <w:lang w:val="en-GB"/>
              </w:rPr>
              <w:t>5. Inflation persists</w:t>
            </w:r>
            <w:r w:rsidR="005F1639">
              <w:rPr>
                <w:lang w:val="en-GB"/>
              </w:rPr>
              <w:t xml:space="preserve"> while unemployment stays high</w:t>
            </w:r>
          </w:p>
        </w:tc>
        <w:tc>
          <w:tcPr>
            <w:tcW w:w="7513" w:type="dxa"/>
            <w:gridSpan w:val="5"/>
          </w:tcPr>
          <w:p w14:paraId="2E76FA75" w14:textId="77777777" w:rsidR="00BE42A0" w:rsidRPr="005F1639" w:rsidRDefault="00BE42A0" w:rsidP="00BE42A0">
            <w:pPr>
              <w:rPr>
                <w:lang w:val="en-GB"/>
              </w:rPr>
            </w:pPr>
          </w:p>
        </w:tc>
      </w:tr>
    </w:tbl>
    <w:p w14:paraId="50723CB7" w14:textId="77777777" w:rsidR="005F1639" w:rsidRDefault="005F1639" w:rsidP="00B17A60">
      <w:pPr>
        <w:spacing w:line="240" w:lineRule="atLeast"/>
        <w:contextualSpacing/>
        <w:jc w:val="both"/>
        <w:rPr>
          <w:sz w:val="28"/>
          <w:szCs w:val="28"/>
          <w:lang w:val="en-US" w:eastAsia="ru-RU"/>
        </w:rPr>
      </w:pPr>
    </w:p>
    <w:p w14:paraId="4990286C" w14:textId="77777777" w:rsidR="00B17A60" w:rsidRPr="00F17567" w:rsidRDefault="00B17A60" w:rsidP="00B17A60">
      <w:pPr>
        <w:spacing w:line="240" w:lineRule="atLeast"/>
        <w:contextualSpacing/>
        <w:jc w:val="both"/>
        <w:rPr>
          <w:sz w:val="28"/>
          <w:szCs w:val="28"/>
          <w:lang w:val="en-US" w:eastAsia="ru-RU"/>
        </w:rPr>
      </w:pPr>
      <w:r w:rsidRPr="00F17567">
        <w:rPr>
          <w:sz w:val="28"/>
          <w:szCs w:val="28"/>
          <w:lang w:val="en-US" w:eastAsia="ru-RU"/>
        </w:rPr>
        <w:t>Fill in the spaces as follows:</w:t>
      </w:r>
    </w:p>
    <w:p w14:paraId="3A6B9F4F" w14:textId="77777777" w:rsidR="00B17A60" w:rsidRPr="002D2236" w:rsidRDefault="00B17A60" w:rsidP="00B17A60">
      <w:pPr>
        <w:rPr>
          <w:b/>
          <w:i/>
          <w:sz w:val="28"/>
          <w:szCs w:val="28"/>
          <w:lang w:val="en-GB"/>
        </w:rPr>
      </w:pPr>
      <w:r w:rsidRPr="002D2236">
        <w:rPr>
          <w:b/>
          <w:i/>
          <w:sz w:val="28"/>
          <w:szCs w:val="28"/>
          <w:lang w:val="en-GB"/>
        </w:rPr>
        <w:t>Column A: Objective for Aggregate Demand</w:t>
      </w:r>
    </w:p>
    <w:p w14:paraId="4DCB7F00" w14:textId="77777777" w:rsidR="00B17A60" w:rsidRPr="002D2236" w:rsidRDefault="00B17A60" w:rsidP="00B17A60">
      <w:pPr>
        <w:rPr>
          <w:sz w:val="28"/>
          <w:szCs w:val="28"/>
          <w:lang w:val="en-GB"/>
        </w:rPr>
      </w:pPr>
      <w:r w:rsidRPr="002D2236">
        <w:rPr>
          <w:sz w:val="28"/>
          <w:szCs w:val="28"/>
          <w:lang w:val="en-GB"/>
        </w:rPr>
        <w:t>Draw an up (↑) arrow if you wish to increase aggregate demand.</w:t>
      </w:r>
    </w:p>
    <w:p w14:paraId="12D41305" w14:textId="77777777" w:rsidR="00B17A60" w:rsidRPr="002D2236" w:rsidRDefault="00B17A60" w:rsidP="00B17A60">
      <w:pPr>
        <w:rPr>
          <w:sz w:val="28"/>
          <w:szCs w:val="28"/>
          <w:lang w:val="en-GB"/>
        </w:rPr>
      </w:pPr>
      <w:r w:rsidRPr="002D2236">
        <w:rPr>
          <w:sz w:val="28"/>
          <w:szCs w:val="28"/>
          <w:lang w:val="en-GB"/>
        </w:rPr>
        <w:t>Draw a down (↓) arrow if you wish to decrease aggregate demand.</w:t>
      </w:r>
    </w:p>
    <w:p w14:paraId="6CEA6F7F" w14:textId="77777777" w:rsidR="00B17A60" w:rsidRPr="002D2236" w:rsidRDefault="00B17A60" w:rsidP="00B17A60">
      <w:pPr>
        <w:rPr>
          <w:b/>
          <w:i/>
          <w:sz w:val="28"/>
          <w:szCs w:val="28"/>
          <w:lang w:val="en-GB"/>
        </w:rPr>
      </w:pPr>
      <w:r w:rsidRPr="002D2236">
        <w:rPr>
          <w:b/>
          <w:i/>
          <w:sz w:val="28"/>
          <w:szCs w:val="28"/>
          <w:lang w:val="en-GB"/>
        </w:rPr>
        <w:lastRenderedPageBreak/>
        <w:t>Column B: Action on Taxes</w:t>
      </w:r>
    </w:p>
    <w:p w14:paraId="78C43C51" w14:textId="77777777" w:rsidR="00B17A60" w:rsidRPr="002D2236" w:rsidRDefault="00B17A60" w:rsidP="00B17A60">
      <w:pPr>
        <w:rPr>
          <w:sz w:val="28"/>
          <w:szCs w:val="28"/>
          <w:lang w:val="en-GB"/>
        </w:rPr>
      </w:pPr>
      <w:r w:rsidRPr="002D2236">
        <w:rPr>
          <w:sz w:val="28"/>
          <w:szCs w:val="28"/>
          <w:lang w:val="en-GB"/>
        </w:rPr>
        <w:t>Draw an up (↑) arrow if you wish to increase taxes.</w:t>
      </w:r>
    </w:p>
    <w:p w14:paraId="1B4ADFE5" w14:textId="77777777" w:rsidR="00B17A60" w:rsidRPr="002D2236" w:rsidRDefault="00B17A60" w:rsidP="00B17A60">
      <w:pPr>
        <w:rPr>
          <w:sz w:val="28"/>
          <w:szCs w:val="28"/>
          <w:lang w:val="en-GB"/>
        </w:rPr>
      </w:pPr>
      <w:r w:rsidRPr="002D2236">
        <w:rPr>
          <w:sz w:val="28"/>
          <w:szCs w:val="28"/>
          <w:lang w:val="en-GB"/>
        </w:rPr>
        <w:t>Draw a down (↓) arrow if you wish to decrease taxes.</w:t>
      </w:r>
    </w:p>
    <w:p w14:paraId="227C2065" w14:textId="77777777" w:rsidR="00B17A60" w:rsidRPr="002D2236" w:rsidRDefault="00B17A60" w:rsidP="00B17A60">
      <w:pPr>
        <w:rPr>
          <w:b/>
          <w:i/>
          <w:sz w:val="28"/>
          <w:szCs w:val="28"/>
          <w:lang w:val="en-GB"/>
        </w:rPr>
      </w:pPr>
      <w:r w:rsidRPr="002D2236">
        <w:rPr>
          <w:b/>
          <w:i/>
          <w:sz w:val="28"/>
          <w:szCs w:val="28"/>
          <w:lang w:val="en-GB"/>
        </w:rPr>
        <w:t>Column C: Action on Government Spending</w:t>
      </w:r>
    </w:p>
    <w:p w14:paraId="0EF3921E" w14:textId="77777777" w:rsidR="00B17A60" w:rsidRPr="002D2236" w:rsidRDefault="00B17A60" w:rsidP="00B17A60">
      <w:pPr>
        <w:rPr>
          <w:sz w:val="28"/>
          <w:szCs w:val="28"/>
          <w:lang w:val="en-GB"/>
        </w:rPr>
      </w:pPr>
      <w:r w:rsidRPr="002D2236">
        <w:rPr>
          <w:sz w:val="28"/>
          <w:szCs w:val="28"/>
          <w:lang w:val="en-GB"/>
        </w:rPr>
        <w:t>Draw an up (↑) arrow if you wish to increase government spending.</w:t>
      </w:r>
    </w:p>
    <w:p w14:paraId="3139510E" w14:textId="77777777" w:rsidR="00B17A60" w:rsidRPr="002D2236" w:rsidRDefault="00B17A60" w:rsidP="00B17A60">
      <w:pPr>
        <w:rPr>
          <w:sz w:val="28"/>
          <w:szCs w:val="28"/>
          <w:lang w:val="en-GB"/>
        </w:rPr>
      </w:pPr>
      <w:r w:rsidRPr="002D2236">
        <w:rPr>
          <w:sz w:val="28"/>
          <w:szCs w:val="28"/>
          <w:lang w:val="en-GB"/>
        </w:rPr>
        <w:t>Draw a down (↓) arrow if you wish to decrease government spending.</w:t>
      </w:r>
    </w:p>
    <w:p w14:paraId="7EE75CD9" w14:textId="77777777" w:rsidR="00B17A60" w:rsidRPr="002D2236" w:rsidRDefault="00B17A60" w:rsidP="00B17A60">
      <w:pPr>
        <w:rPr>
          <w:b/>
          <w:i/>
          <w:sz w:val="28"/>
          <w:szCs w:val="28"/>
          <w:lang w:val="en-GB"/>
        </w:rPr>
      </w:pPr>
      <w:r w:rsidRPr="002D2236">
        <w:rPr>
          <w:b/>
          <w:i/>
          <w:sz w:val="28"/>
          <w:szCs w:val="28"/>
          <w:lang w:val="en-GB"/>
        </w:rPr>
        <w:t>Column D: Effect on Federal Budget</w:t>
      </w:r>
    </w:p>
    <w:p w14:paraId="0CE1FE13" w14:textId="77777777" w:rsidR="00B17A60" w:rsidRPr="002D2236" w:rsidRDefault="00B17A60" w:rsidP="00B17A60">
      <w:pPr>
        <w:rPr>
          <w:sz w:val="28"/>
          <w:szCs w:val="28"/>
          <w:lang w:val="en-GB"/>
        </w:rPr>
      </w:pPr>
      <w:r w:rsidRPr="002D2236">
        <w:rPr>
          <w:sz w:val="28"/>
          <w:szCs w:val="28"/>
          <w:lang w:val="en-GB"/>
        </w:rPr>
        <w:t xml:space="preserve">Write </w:t>
      </w:r>
      <w:r w:rsidR="005F1639">
        <w:rPr>
          <w:sz w:val="28"/>
          <w:szCs w:val="28"/>
          <w:lang w:val="en-GB"/>
        </w:rPr>
        <w:t>the word</w:t>
      </w:r>
      <w:r w:rsidRPr="002D2236">
        <w:rPr>
          <w:sz w:val="28"/>
          <w:szCs w:val="28"/>
          <w:lang w:val="en-GB"/>
        </w:rPr>
        <w:t xml:space="preserve"> </w:t>
      </w:r>
      <w:r w:rsidR="005F1639">
        <w:rPr>
          <w:sz w:val="28"/>
          <w:szCs w:val="28"/>
          <w:lang w:val="en-GB"/>
        </w:rPr>
        <w:t>“</w:t>
      </w:r>
      <w:r w:rsidRPr="002D2236">
        <w:rPr>
          <w:sz w:val="28"/>
          <w:szCs w:val="28"/>
          <w:lang w:val="en-GB"/>
        </w:rPr>
        <w:t>deficit</w:t>
      </w:r>
      <w:r w:rsidR="005F1639">
        <w:rPr>
          <w:sz w:val="28"/>
          <w:szCs w:val="28"/>
          <w:lang w:val="en-GB"/>
        </w:rPr>
        <w:t>”</w:t>
      </w:r>
      <w:r w:rsidRPr="002D2236">
        <w:rPr>
          <w:sz w:val="28"/>
          <w:szCs w:val="28"/>
          <w:lang w:val="en-GB"/>
        </w:rPr>
        <w:t xml:space="preserve"> if your action will increase the deficit (or reduce the surplus).</w:t>
      </w:r>
    </w:p>
    <w:p w14:paraId="54DCE183" w14:textId="77777777" w:rsidR="00B17A60" w:rsidRPr="002D2236" w:rsidRDefault="00B17A60" w:rsidP="00B17A60">
      <w:pPr>
        <w:rPr>
          <w:sz w:val="28"/>
          <w:szCs w:val="28"/>
          <w:lang w:val="en-GB"/>
        </w:rPr>
      </w:pPr>
      <w:r w:rsidRPr="002D2236">
        <w:rPr>
          <w:sz w:val="28"/>
          <w:szCs w:val="28"/>
          <w:lang w:val="en-GB"/>
        </w:rPr>
        <w:t xml:space="preserve">Write </w:t>
      </w:r>
      <w:r w:rsidR="005F1639">
        <w:rPr>
          <w:sz w:val="28"/>
          <w:szCs w:val="28"/>
          <w:lang w:val="en-GB"/>
        </w:rPr>
        <w:t>the word</w:t>
      </w:r>
      <w:r w:rsidRPr="002D2236">
        <w:rPr>
          <w:sz w:val="28"/>
          <w:szCs w:val="28"/>
          <w:lang w:val="en-GB"/>
        </w:rPr>
        <w:t xml:space="preserve"> </w:t>
      </w:r>
      <w:r w:rsidR="005F1639">
        <w:rPr>
          <w:sz w:val="28"/>
          <w:szCs w:val="28"/>
          <w:lang w:val="en-GB"/>
        </w:rPr>
        <w:t>“</w:t>
      </w:r>
      <w:r w:rsidRPr="002D2236">
        <w:rPr>
          <w:sz w:val="28"/>
          <w:szCs w:val="28"/>
          <w:lang w:val="en-GB"/>
        </w:rPr>
        <w:t>surplus</w:t>
      </w:r>
      <w:r w:rsidR="005F1639">
        <w:rPr>
          <w:sz w:val="28"/>
          <w:szCs w:val="28"/>
          <w:lang w:val="en-GB"/>
        </w:rPr>
        <w:t>”</w:t>
      </w:r>
      <w:r w:rsidRPr="002D2236">
        <w:rPr>
          <w:sz w:val="28"/>
          <w:szCs w:val="28"/>
          <w:lang w:val="en-GB"/>
        </w:rPr>
        <w:t xml:space="preserve"> if your action will reduce the deficit (or increase the surplus).</w:t>
      </w:r>
    </w:p>
    <w:p w14:paraId="38C44AC9" w14:textId="77777777" w:rsidR="00B17A60" w:rsidRPr="002D2236" w:rsidRDefault="00B17A60" w:rsidP="00B17A60">
      <w:pPr>
        <w:rPr>
          <w:b/>
          <w:i/>
          <w:sz w:val="28"/>
          <w:szCs w:val="28"/>
          <w:lang w:val="en-GB"/>
        </w:rPr>
      </w:pPr>
      <w:r w:rsidRPr="002D2236">
        <w:rPr>
          <w:b/>
          <w:i/>
          <w:sz w:val="28"/>
          <w:szCs w:val="28"/>
          <w:lang w:val="en-GB"/>
        </w:rPr>
        <w:t>Column E: Effect on the National Debt</w:t>
      </w:r>
    </w:p>
    <w:p w14:paraId="5D75E5F2" w14:textId="77777777" w:rsidR="00B17A60" w:rsidRPr="002D2236" w:rsidRDefault="00B17A60" w:rsidP="00B17A60">
      <w:pPr>
        <w:rPr>
          <w:sz w:val="28"/>
          <w:szCs w:val="28"/>
          <w:lang w:val="en-GB"/>
        </w:rPr>
      </w:pPr>
      <w:r w:rsidRPr="002D2236">
        <w:rPr>
          <w:sz w:val="28"/>
          <w:szCs w:val="28"/>
          <w:lang w:val="en-GB"/>
        </w:rPr>
        <w:t>Draw an up (↑) arrow if you think the national debt will increase.</w:t>
      </w:r>
    </w:p>
    <w:p w14:paraId="0F036875" w14:textId="77777777" w:rsidR="00B17A60" w:rsidRDefault="00B17A60" w:rsidP="00B17A60">
      <w:pPr>
        <w:rPr>
          <w:sz w:val="28"/>
          <w:szCs w:val="28"/>
          <w:lang w:val="en-GB"/>
        </w:rPr>
      </w:pPr>
      <w:r w:rsidRPr="002D2236">
        <w:rPr>
          <w:sz w:val="28"/>
          <w:szCs w:val="28"/>
          <w:lang w:val="en-GB"/>
        </w:rPr>
        <w:t>Draw a down (↓) arrow if you think the national debt will decrease.</w:t>
      </w:r>
    </w:p>
    <w:p w14:paraId="10CB076E" w14:textId="77777777" w:rsidR="00B17A60" w:rsidRPr="00B17A60" w:rsidRDefault="00B17A60" w:rsidP="00BE42A0">
      <w:pPr>
        <w:rPr>
          <w:sz w:val="28"/>
          <w:szCs w:val="28"/>
          <w:lang w:val="en-GB"/>
        </w:rPr>
      </w:pPr>
    </w:p>
    <w:p w14:paraId="57E8BFE8" w14:textId="77777777" w:rsidR="00BE42A0" w:rsidRPr="00F17567" w:rsidRDefault="00BE42A0" w:rsidP="006F749C">
      <w:pPr>
        <w:numPr>
          <w:ilvl w:val="0"/>
          <w:numId w:val="116"/>
        </w:numPr>
        <w:spacing w:line="240" w:lineRule="atLeast"/>
        <w:ind w:left="284"/>
        <w:contextualSpacing/>
        <w:jc w:val="both"/>
        <w:rPr>
          <w:sz w:val="28"/>
          <w:szCs w:val="28"/>
          <w:lang w:val="en-US" w:eastAsia="ru-RU"/>
        </w:rPr>
      </w:pPr>
      <w:r w:rsidRPr="002D2236">
        <w:rPr>
          <w:sz w:val="28"/>
          <w:szCs w:val="28"/>
          <w:lang w:val="en-US" w:eastAsia="ru-RU"/>
        </w:rPr>
        <w:t xml:space="preserve">Figure </w:t>
      </w:r>
      <w:r w:rsidR="00F17567">
        <w:rPr>
          <w:sz w:val="28"/>
          <w:szCs w:val="28"/>
          <w:lang w:val="en-US" w:eastAsia="ru-RU"/>
        </w:rPr>
        <w:t>3.2</w:t>
      </w:r>
      <w:r w:rsidRPr="002D2236">
        <w:rPr>
          <w:sz w:val="28"/>
          <w:szCs w:val="28"/>
          <w:lang w:val="en-US" w:eastAsia="ru-RU"/>
        </w:rPr>
        <w:t xml:space="preserve"> shows budget deficits as a percentage of GDP in</w:t>
      </w:r>
      <w:r w:rsidR="005F1639">
        <w:rPr>
          <w:sz w:val="28"/>
          <w:szCs w:val="28"/>
          <w:lang w:val="en-US" w:eastAsia="ru-RU"/>
        </w:rPr>
        <w:t xml:space="preserve"> the</w:t>
      </w:r>
      <w:r w:rsidRPr="002D2236">
        <w:rPr>
          <w:sz w:val="28"/>
          <w:szCs w:val="28"/>
          <w:lang w:val="en-US" w:eastAsia="ru-RU"/>
        </w:rPr>
        <w:t xml:space="preserve"> US economy during 1961</w:t>
      </w:r>
      <w:r w:rsidR="005F1639">
        <w:rPr>
          <w:lang w:val="en-US"/>
        </w:rPr>
        <w:t>–</w:t>
      </w:r>
      <w:r w:rsidRPr="002D2236">
        <w:rPr>
          <w:sz w:val="28"/>
          <w:szCs w:val="28"/>
          <w:lang w:val="en-US" w:eastAsia="ru-RU"/>
        </w:rPr>
        <w:t>2014.</w:t>
      </w:r>
      <w:r w:rsidR="00F17567">
        <w:rPr>
          <w:sz w:val="28"/>
          <w:szCs w:val="28"/>
          <w:lang w:val="en-US" w:eastAsia="ru-RU"/>
        </w:rPr>
        <w:t xml:space="preserve"> </w:t>
      </w:r>
      <w:r w:rsidRPr="00F17567">
        <w:rPr>
          <w:sz w:val="28"/>
          <w:szCs w:val="28"/>
          <w:lang w:val="en-US" w:eastAsia="ru-RU"/>
        </w:rPr>
        <w:t xml:space="preserve">The President is responsible for submitting an annual budget to Congress and has the authority to veto legislation, including irresponsible spending. </w:t>
      </w:r>
    </w:p>
    <w:p w14:paraId="171702EC" w14:textId="77777777" w:rsidR="00BE42A0" w:rsidRPr="002D2236" w:rsidRDefault="00BE42A0" w:rsidP="00BE42A0">
      <w:pPr>
        <w:rPr>
          <w:sz w:val="28"/>
          <w:szCs w:val="28"/>
          <w:lang w:val="en-US"/>
        </w:rPr>
      </w:pPr>
    </w:p>
    <w:p w14:paraId="68D7D0D4" w14:textId="77777777" w:rsidR="00BE42A0" w:rsidRPr="002D2236" w:rsidRDefault="00BE42A0" w:rsidP="00BE42A0">
      <w:pPr>
        <w:rPr>
          <w:sz w:val="28"/>
          <w:szCs w:val="28"/>
          <w:lang w:val="en-US"/>
        </w:rPr>
      </w:pPr>
      <w:r w:rsidRPr="002D2236">
        <w:rPr>
          <w:noProof/>
          <w:sz w:val="28"/>
          <w:szCs w:val="28"/>
          <w:lang w:val="ru-RU" w:eastAsia="ru-RU"/>
        </w:rPr>
        <w:drawing>
          <wp:inline distT="0" distB="0" distL="0" distR="0" wp14:anchorId="7E061FBD" wp14:editId="4BFC7F4F">
            <wp:extent cx="5865541" cy="3144539"/>
            <wp:effectExtent l="0" t="0" r="190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5865784" cy="3144669"/>
                    </a:xfrm>
                    <a:prstGeom prst="rect">
                      <a:avLst/>
                    </a:prstGeom>
                    <a:noFill/>
                    <a:ln>
                      <a:noFill/>
                    </a:ln>
                  </pic:spPr>
                </pic:pic>
              </a:graphicData>
            </a:graphic>
          </wp:inline>
        </w:drawing>
      </w:r>
    </w:p>
    <w:p w14:paraId="3A733E97" w14:textId="77777777" w:rsidR="00BE42A0" w:rsidRPr="002D2236" w:rsidRDefault="00BE42A0" w:rsidP="00BE42A0">
      <w:pPr>
        <w:rPr>
          <w:sz w:val="28"/>
          <w:szCs w:val="28"/>
          <w:lang w:val="en-US"/>
        </w:rPr>
      </w:pPr>
    </w:p>
    <w:p w14:paraId="7234FE12" w14:textId="77777777" w:rsidR="00BE42A0" w:rsidRPr="002D2236" w:rsidRDefault="00F17567" w:rsidP="00BE42A0">
      <w:pPr>
        <w:jc w:val="center"/>
        <w:rPr>
          <w:b/>
          <w:sz w:val="28"/>
          <w:szCs w:val="28"/>
          <w:lang w:val="en-US"/>
        </w:rPr>
      </w:pPr>
      <w:r>
        <w:rPr>
          <w:b/>
          <w:sz w:val="28"/>
          <w:szCs w:val="28"/>
          <w:lang w:val="en-US"/>
        </w:rPr>
        <w:t>Figure 3.2</w:t>
      </w:r>
      <w:r w:rsidR="00C13409">
        <w:rPr>
          <w:b/>
          <w:sz w:val="28"/>
          <w:szCs w:val="28"/>
          <w:lang w:val="en-US"/>
        </w:rPr>
        <w:t xml:space="preserve"> –</w:t>
      </w:r>
      <w:r w:rsidR="00BE42A0" w:rsidRPr="002D2236">
        <w:rPr>
          <w:b/>
          <w:sz w:val="28"/>
          <w:szCs w:val="28"/>
          <w:lang w:val="en-US"/>
        </w:rPr>
        <w:t xml:space="preserve"> Budget deficits as a percentage of GDP (by administration)</w:t>
      </w:r>
    </w:p>
    <w:p w14:paraId="7603E2DC" w14:textId="77777777" w:rsidR="00BE42A0" w:rsidRPr="002D2236" w:rsidRDefault="00BE42A0" w:rsidP="00BE42A0">
      <w:pPr>
        <w:rPr>
          <w:sz w:val="28"/>
          <w:szCs w:val="28"/>
          <w:lang w:val="en-US"/>
        </w:rPr>
      </w:pPr>
    </w:p>
    <w:p w14:paraId="0E230889" w14:textId="77777777" w:rsidR="00BE42A0" w:rsidRPr="002D2236" w:rsidRDefault="00BE42A0" w:rsidP="00BE42A0">
      <w:pPr>
        <w:rPr>
          <w:sz w:val="28"/>
          <w:szCs w:val="28"/>
          <w:lang w:val="en-US"/>
        </w:rPr>
      </w:pPr>
      <w:r w:rsidRPr="002D2236">
        <w:rPr>
          <w:sz w:val="28"/>
          <w:szCs w:val="28"/>
          <w:lang w:val="en-US"/>
        </w:rPr>
        <w:t xml:space="preserve">Use the Figure </w:t>
      </w:r>
      <w:r w:rsidR="00F17567">
        <w:rPr>
          <w:sz w:val="28"/>
          <w:szCs w:val="28"/>
          <w:lang w:val="en-US"/>
        </w:rPr>
        <w:t>3.2</w:t>
      </w:r>
      <w:r w:rsidRPr="002D2236">
        <w:rPr>
          <w:sz w:val="28"/>
          <w:szCs w:val="28"/>
          <w:lang w:val="en-US"/>
        </w:rPr>
        <w:t xml:space="preserve"> </w:t>
      </w:r>
      <w:r w:rsidR="005F1639">
        <w:rPr>
          <w:sz w:val="28"/>
          <w:szCs w:val="28"/>
          <w:lang w:val="en-US"/>
        </w:rPr>
        <w:t>above</w:t>
      </w:r>
      <w:r w:rsidRPr="002D2236">
        <w:rPr>
          <w:sz w:val="28"/>
          <w:szCs w:val="28"/>
          <w:lang w:val="en-US"/>
        </w:rPr>
        <w:t xml:space="preserve"> to answer the following questions:</w:t>
      </w:r>
    </w:p>
    <w:p w14:paraId="710B37EC" w14:textId="77777777" w:rsidR="00BE42A0" w:rsidRPr="002D2236" w:rsidRDefault="00BE42A0" w:rsidP="00BE42A0">
      <w:pPr>
        <w:rPr>
          <w:sz w:val="28"/>
          <w:szCs w:val="28"/>
          <w:lang w:val="en-US"/>
        </w:rPr>
      </w:pPr>
    </w:p>
    <w:p w14:paraId="566D55DD" w14:textId="77777777" w:rsidR="00BE42A0" w:rsidRPr="002D2236" w:rsidRDefault="00BE42A0" w:rsidP="00F17567">
      <w:pPr>
        <w:spacing w:line="240" w:lineRule="atLeast"/>
        <w:ind w:left="360"/>
        <w:contextualSpacing/>
        <w:jc w:val="both"/>
        <w:rPr>
          <w:sz w:val="28"/>
          <w:szCs w:val="28"/>
          <w:lang w:val="en-US" w:eastAsia="ru-RU"/>
        </w:rPr>
      </w:pPr>
      <w:r w:rsidRPr="002D2236">
        <w:rPr>
          <w:sz w:val="28"/>
          <w:szCs w:val="28"/>
          <w:lang w:val="en-US" w:eastAsia="ru-RU"/>
        </w:rPr>
        <w:t xml:space="preserve">2.1. </w:t>
      </w:r>
      <w:r w:rsidR="005F1639">
        <w:rPr>
          <w:sz w:val="28"/>
          <w:szCs w:val="28"/>
          <w:lang w:val="en-US" w:eastAsia="ru-RU"/>
        </w:rPr>
        <w:t>S</w:t>
      </w:r>
      <w:r w:rsidRPr="002D2236">
        <w:rPr>
          <w:sz w:val="28"/>
          <w:szCs w:val="28"/>
          <w:lang w:val="en-US" w:eastAsia="ru-RU"/>
        </w:rPr>
        <w:t xml:space="preserve">ometimes </w:t>
      </w:r>
      <w:r w:rsidR="005F1639">
        <w:rPr>
          <w:sz w:val="28"/>
          <w:szCs w:val="28"/>
          <w:lang w:val="en-US" w:eastAsia="ru-RU"/>
        </w:rPr>
        <w:t xml:space="preserve">they </w:t>
      </w:r>
      <w:r w:rsidRPr="002D2236">
        <w:rPr>
          <w:sz w:val="28"/>
          <w:szCs w:val="28"/>
          <w:lang w:val="en-US" w:eastAsia="ru-RU"/>
        </w:rPr>
        <w:t>sa</w:t>
      </w:r>
      <w:r w:rsidR="005F1639">
        <w:rPr>
          <w:sz w:val="28"/>
          <w:szCs w:val="28"/>
          <w:lang w:val="en-US" w:eastAsia="ru-RU"/>
        </w:rPr>
        <w:t>y</w:t>
      </w:r>
      <w:r w:rsidRPr="002D2236">
        <w:rPr>
          <w:sz w:val="28"/>
          <w:szCs w:val="28"/>
          <w:lang w:val="en-US" w:eastAsia="ru-RU"/>
        </w:rPr>
        <w:t xml:space="preserve"> </w:t>
      </w:r>
      <w:r w:rsidR="005F1639">
        <w:rPr>
          <w:sz w:val="28"/>
          <w:szCs w:val="28"/>
          <w:lang w:val="en-US" w:eastAsia="ru-RU"/>
        </w:rPr>
        <w:t>the</w:t>
      </w:r>
      <w:r w:rsidRPr="002D2236">
        <w:rPr>
          <w:sz w:val="28"/>
          <w:szCs w:val="28"/>
          <w:lang w:val="en-US" w:eastAsia="ru-RU"/>
        </w:rPr>
        <w:t xml:space="preserve"> Republicans are the party of “small government”, whereas Democrats are the “big spenders” and the party of “big government.” Is this confirmed by the historical evidence? Please note that John F. Kennedy, Lyndon B. Johnson, Jimmy Carter, Bill Clinton, </w:t>
      </w:r>
      <w:r w:rsidR="005F1639">
        <w:rPr>
          <w:sz w:val="28"/>
          <w:szCs w:val="28"/>
          <w:lang w:val="en-US" w:eastAsia="ru-RU"/>
        </w:rPr>
        <w:t xml:space="preserve">and Barack Obama are democrats, while </w:t>
      </w:r>
      <w:r w:rsidRPr="002D2236">
        <w:rPr>
          <w:sz w:val="28"/>
          <w:szCs w:val="28"/>
          <w:lang w:val="en-US" w:eastAsia="ru-RU"/>
        </w:rPr>
        <w:t xml:space="preserve">Richard Nixon, Gerald Ford, Ronald Reagan, George H. W. Bush, </w:t>
      </w:r>
      <w:r w:rsidR="005F1639">
        <w:rPr>
          <w:sz w:val="28"/>
          <w:szCs w:val="28"/>
          <w:lang w:val="en-US" w:eastAsia="ru-RU"/>
        </w:rPr>
        <w:t xml:space="preserve">and </w:t>
      </w:r>
      <w:r w:rsidRPr="002D2236">
        <w:rPr>
          <w:sz w:val="28"/>
          <w:szCs w:val="28"/>
          <w:lang w:val="en-US" w:eastAsia="ru-RU"/>
        </w:rPr>
        <w:t>George W. Bush are republicans.</w:t>
      </w:r>
    </w:p>
    <w:p w14:paraId="3B83E62A" w14:textId="77777777" w:rsidR="00BE42A0" w:rsidRPr="002D2236" w:rsidRDefault="00BE42A0" w:rsidP="00F17567">
      <w:pPr>
        <w:spacing w:line="240" w:lineRule="atLeast"/>
        <w:ind w:left="284"/>
        <w:contextualSpacing/>
        <w:jc w:val="both"/>
        <w:rPr>
          <w:sz w:val="28"/>
          <w:szCs w:val="28"/>
          <w:lang w:val="en-US" w:eastAsia="ru-RU"/>
        </w:rPr>
      </w:pPr>
      <w:r w:rsidRPr="002D2236">
        <w:rPr>
          <w:sz w:val="28"/>
          <w:szCs w:val="28"/>
          <w:lang w:val="en-US" w:eastAsia="ru-RU"/>
        </w:rPr>
        <w:lastRenderedPageBreak/>
        <w:t xml:space="preserve">2.2. The financial policies of Bill Clinton, referred to by some </w:t>
      </w:r>
      <w:r w:rsidR="005F1639">
        <w:rPr>
          <w:sz w:val="28"/>
          <w:szCs w:val="28"/>
          <w:lang w:val="en-US" w:eastAsia="ru-RU"/>
        </w:rPr>
        <w:t xml:space="preserve">people </w:t>
      </w:r>
      <w:r w:rsidRPr="002D2236">
        <w:rPr>
          <w:sz w:val="28"/>
          <w:szCs w:val="28"/>
          <w:lang w:val="en-US" w:eastAsia="ru-RU"/>
        </w:rPr>
        <w:t xml:space="preserve">as Clintonomics (a portmanteau </w:t>
      </w:r>
      <w:r w:rsidR="005F1639">
        <w:rPr>
          <w:sz w:val="28"/>
          <w:szCs w:val="28"/>
          <w:lang w:val="en-US" w:eastAsia="ru-RU"/>
        </w:rPr>
        <w:t>from Bill</w:t>
      </w:r>
      <w:r w:rsidRPr="002D2236">
        <w:rPr>
          <w:sz w:val="28"/>
          <w:szCs w:val="28"/>
          <w:lang w:val="en-US" w:eastAsia="ru-RU"/>
        </w:rPr>
        <w:t xml:space="preserve"> Clinton and economics), encapsulates the financial policies of </w:t>
      </w:r>
      <w:r w:rsidR="005F1639">
        <w:rPr>
          <w:sz w:val="28"/>
          <w:szCs w:val="28"/>
          <w:lang w:val="en-US" w:eastAsia="ru-RU"/>
        </w:rPr>
        <w:t xml:space="preserve">the </w:t>
      </w:r>
      <w:r w:rsidRPr="002D2236">
        <w:rPr>
          <w:sz w:val="28"/>
          <w:szCs w:val="28"/>
          <w:lang w:val="en-US" w:eastAsia="ru-RU"/>
        </w:rPr>
        <w:t>United States President Bill Clinton that were implemented during his presidency. Describe fiscal policy employed by President Bill Clinton during the period of his presidency.</w:t>
      </w:r>
    </w:p>
    <w:p w14:paraId="4E219BCB" w14:textId="77777777" w:rsidR="00BE42A0" w:rsidRPr="002D2236" w:rsidRDefault="00BE42A0" w:rsidP="00BE42A0">
      <w:pPr>
        <w:rPr>
          <w:sz w:val="28"/>
          <w:szCs w:val="28"/>
          <w:lang w:val="en-US"/>
        </w:rPr>
      </w:pPr>
    </w:p>
    <w:p w14:paraId="7A629FF9" w14:textId="77777777" w:rsidR="00F17567" w:rsidRDefault="00BE42A0" w:rsidP="006F749C">
      <w:pPr>
        <w:numPr>
          <w:ilvl w:val="0"/>
          <w:numId w:val="116"/>
        </w:numPr>
        <w:spacing w:line="240" w:lineRule="atLeast"/>
        <w:ind w:left="284"/>
        <w:contextualSpacing/>
        <w:jc w:val="both"/>
        <w:rPr>
          <w:sz w:val="28"/>
          <w:szCs w:val="28"/>
          <w:lang w:val="en-US" w:eastAsia="ru-RU"/>
        </w:rPr>
      </w:pPr>
      <w:r w:rsidRPr="00F17567">
        <w:rPr>
          <w:sz w:val="28"/>
          <w:szCs w:val="28"/>
          <w:lang w:val="en-US" w:eastAsia="ru-RU"/>
        </w:rPr>
        <w:t xml:space="preserve">Listed below </w:t>
      </w:r>
      <w:r w:rsidR="00F17567">
        <w:rPr>
          <w:sz w:val="28"/>
          <w:szCs w:val="28"/>
          <w:lang w:val="en-US" w:eastAsia="ru-RU"/>
        </w:rPr>
        <w:t xml:space="preserve">in </w:t>
      </w:r>
      <w:r w:rsidR="00B17A60">
        <w:rPr>
          <w:sz w:val="28"/>
          <w:szCs w:val="28"/>
          <w:lang w:val="en-US" w:eastAsia="ru-RU"/>
        </w:rPr>
        <w:t>box</w:t>
      </w:r>
      <w:r w:rsidR="005F1639">
        <w:rPr>
          <w:sz w:val="28"/>
          <w:szCs w:val="28"/>
          <w:lang w:val="en-US" w:eastAsia="ru-RU"/>
        </w:rPr>
        <w:t>es</w:t>
      </w:r>
      <w:r w:rsidR="00F17567">
        <w:rPr>
          <w:sz w:val="28"/>
          <w:szCs w:val="28"/>
          <w:lang w:val="en-US" w:eastAsia="ru-RU"/>
        </w:rPr>
        <w:t xml:space="preserve"> </w:t>
      </w:r>
      <w:r w:rsidRPr="00F17567">
        <w:rPr>
          <w:sz w:val="28"/>
          <w:szCs w:val="28"/>
          <w:lang w:val="en-US" w:eastAsia="ru-RU"/>
        </w:rPr>
        <w:t xml:space="preserve">are several economic scenarios. </w:t>
      </w:r>
    </w:p>
    <w:p w14:paraId="349FFC82" w14:textId="77777777" w:rsidR="00BE42A0" w:rsidRPr="00F17567" w:rsidRDefault="00BE42A0" w:rsidP="00F17567">
      <w:pPr>
        <w:spacing w:line="240" w:lineRule="atLeast"/>
        <w:ind w:left="284"/>
        <w:contextualSpacing/>
        <w:jc w:val="both"/>
        <w:rPr>
          <w:sz w:val="28"/>
          <w:szCs w:val="28"/>
          <w:lang w:val="en-US" w:eastAsia="ru-RU"/>
        </w:rPr>
      </w:pPr>
      <w:r w:rsidRPr="00F17567">
        <w:rPr>
          <w:sz w:val="28"/>
          <w:szCs w:val="28"/>
          <w:lang w:val="en-US" w:eastAsia="ru-RU"/>
        </w:rPr>
        <w:t>For each scenario, indicate whether it is an example of expansionary (E) or contractionary (C) fiscal policy. A sample has been completed for you.</w:t>
      </w:r>
    </w:p>
    <w:p w14:paraId="78A6D406" w14:textId="77777777" w:rsidR="00B17A60" w:rsidRDefault="00B17A60" w:rsidP="00F17567">
      <w:pPr>
        <w:jc w:val="center"/>
        <w:rPr>
          <w:b/>
          <w:sz w:val="28"/>
          <w:szCs w:val="28"/>
          <w:lang w:val="en-GB"/>
        </w:rPr>
      </w:pPr>
    </w:p>
    <w:p w14:paraId="3320F15A" w14:textId="77777777" w:rsidR="00F17567" w:rsidRPr="00F17567" w:rsidRDefault="00F17567" w:rsidP="00F17567">
      <w:pPr>
        <w:jc w:val="center"/>
        <w:rPr>
          <w:b/>
          <w:sz w:val="28"/>
          <w:szCs w:val="28"/>
          <w:lang w:val="en-GB"/>
        </w:rPr>
      </w:pPr>
      <w:r w:rsidRPr="00F17567">
        <w:rPr>
          <w:b/>
          <w:sz w:val="28"/>
          <w:szCs w:val="28"/>
          <w:lang w:val="en-GB"/>
        </w:rPr>
        <w:t>Economic scenarios and type</w:t>
      </w:r>
      <w:r w:rsidR="005F1639">
        <w:rPr>
          <w:b/>
          <w:sz w:val="28"/>
          <w:szCs w:val="28"/>
          <w:lang w:val="en-GB"/>
        </w:rPr>
        <w:t>s</w:t>
      </w:r>
      <w:r w:rsidRPr="00F17567">
        <w:rPr>
          <w:b/>
          <w:sz w:val="28"/>
          <w:szCs w:val="28"/>
          <w:lang w:val="en-GB"/>
        </w:rPr>
        <w:t xml:space="preserve"> of fiscal policy</w:t>
      </w:r>
    </w:p>
    <w:tbl>
      <w:tblPr>
        <w:tblStyle w:val="23"/>
        <w:tblW w:w="0" w:type="auto"/>
        <w:tblLook w:val="04A0" w:firstRow="1" w:lastRow="0" w:firstColumn="1" w:lastColumn="0" w:noHBand="0" w:noVBand="1"/>
      </w:tblPr>
      <w:tblGrid>
        <w:gridCol w:w="7196"/>
        <w:gridCol w:w="2375"/>
      </w:tblGrid>
      <w:tr w:rsidR="00BE42A0" w:rsidRPr="002D2236" w14:paraId="066D8260" w14:textId="77777777" w:rsidTr="00F17567">
        <w:tc>
          <w:tcPr>
            <w:tcW w:w="7196" w:type="dxa"/>
            <w:tcBorders>
              <w:top w:val="single" w:sz="4" w:space="0" w:color="auto"/>
              <w:left w:val="single" w:sz="4" w:space="0" w:color="auto"/>
              <w:right w:val="single" w:sz="4" w:space="0" w:color="auto"/>
            </w:tcBorders>
            <w:shd w:val="clear" w:color="auto" w:fill="D9D9D9" w:themeFill="background1" w:themeFillShade="D9"/>
            <w:vAlign w:val="center"/>
          </w:tcPr>
          <w:p w14:paraId="11D7D740" w14:textId="77777777" w:rsidR="00BE42A0" w:rsidRPr="002D2236" w:rsidRDefault="00BE42A0" w:rsidP="00BE42A0">
            <w:pPr>
              <w:jc w:val="center"/>
              <w:rPr>
                <w:b/>
                <w:sz w:val="28"/>
                <w:szCs w:val="28"/>
                <w:lang w:val="en-GB"/>
              </w:rPr>
            </w:pPr>
            <w:r w:rsidRPr="002D2236">
              <w:rPr>
                <w:b/>
                <w:sz w:val="28"/>
                <w:szCs w:val="28"/>
                <w:lang w:val="en-GB"/>
              </w:rPr>
              <w:t>Economic Scenarios</w:t>
            </w:r>
          </w:p>
        </w:tc>
        <w:tc>
          <w:tcPr>
            <w:tcW w:w="2375" w:type="dxa"/>
            <w:tcBorders>
              <w:top w:val="single" w:sz="4" w:space="0" w:color="auto"/>
              <w:left w:val="single" w:sz="4" w:space="0" w:color="auto"/>
              <w:right w:val="single" w:sz="4" w:space="0" w:color="auto"/>
            </w:tcBorders>
            <w:shd w:val="clear" w:color="auto" w:fill="D9D9D9" w:themeFill="background1" w:themeFillShade="D9"/>
            <w:vAlign w:val="center"/>
          </w:tcPr>
          <w:p w14:paraId="206965A7" w14:textId="77777777" w:rsidR="00BE42A0" w:rsidRPr="002D2236" w:rsidRDefault="00BE42A0" w:rsidP="00BE42A0">
            <w:pPr>
              <w:jc w:val="center"/>
              <w:rPr>
                <w:b/>
                <w:sz w:val="28"/>
                <w:szCs w:val="28"/>
                <w:lang w:val="en-GB"/>
              </w:rPr>
            </w:pPr>
            <w:r w:rsidRPr="002D2236">
              <w:rPr>
                <w:b/>
                <w:sz w:val="28"/>
                <w:szCs w:val="28"/>
                <w:lang w:val="en-GB"/>
              </w:rPr>
              <w:t>Expansionary (E) or Contractionary (C)</w:t>
            </w:r>
          </w:p>
        </w:tc>
      </w:tr>
      <w:tr w:rsidR="00BE42A0" w:rsidRPr="002D2236" w14:paraId="7BED5A2D" w14:textId="77777777" w:rsidTr="00BE42A0">
        <w:tc>
          <w:tcPr>
            <w:tcW w:w="7196" w:type="dxa"/>
          </w:tcPr>
          <w:p w14:paraId="322F5406" w14:textId="77777777" w:rsidR="00BE42A0" w:rsidRPr="002D2236" w:rsidRDefault="00BE42A0" w:rsidP="005F1639">
            <w:pPr>
              <w:rPr>
                <w:i/>
                <w:sz w:val="28"/>
                <w:szCs w:val="28"/>
                <w:lang w:val="en-GB"/>
              </w:rPr>
            </w:pPr>
            <w:r w:rsidRPr="002D2236">
              <w:rPr>
                <w:i/>
                <w:sz w:val="28"/>
                <w:szCs w:val="28"/>
                <w:lang w:val="en-GB"/>
              </w:rPr>
              <w:t>Sample: Recession raises an amount of unemployment compensation</w:t>
            </w:r>
          </w:p>
        </w:tc>
        <w:tc>
          <w:tcPr>
            <w:tcW w:w="2375" w:type="dxa"/>
            <w:vAlign w:val="center"/>
          </w:tcPr>
          <w:p w14:paraId="5CB73807" w14:textId="77777777" w:rsidR="00BE42A0" w:rsidRPr="002D2236" w:rsidRDefault="00BE42A0" w:rsidP="00BE42A0">
            <w:pPr>
              <w:jc w:val="center"/>
              <w:rPr>
                <w:i/>
                <w:sz w:val="28"/>
                <w:szCs w:val="28"/>
                <w:lang w:val="en-GB"/>
              </w:rPr>
            </w:pPr>
            <w:r w:rsidRPr="002D2236">
              <w:rPr>
                <w:i/>
                <w:sz w:val="28"/>
                <w:szCs w:val="28"/>
                <w:lang w:val="en-GB"/>
              </w:rPr>
              <w:t>E</w:t>
            </w:r>
          </w:p>
        </w:tc>
      </w:tr>
      <w:tr w:rsidR="00BE42A0" w:rsidRPr="002D2236" w14:paraId="64ED1E9C" w14:textId="77777777" w:rsidTr="00BE42A0">
        <w:tc>
          <w:tcPr>
            <w:tcW w:w="7196" w:type="dxa"/>
          </w:tcPr>
          <w:p w14:paraId="5BA9774B" w14:textId="77777777" w:rsidR="00BE42A0" w:rsidRPr="002D2236" w:rsidRDefault="00BE42A0" w:rsidP="00BE42A0">
            <w:pPr>
              <w:rPr>
                <w:sz w:val="28"/>
                <w:szCs w:val="28"/>
                <w:lang w:val="en-GB"/>
              </w:rPr>
            </w:pPr>
            <w:r w:rsidRPr="002D2236">
              <w:rPr>
                <w:sz w:val="28"/>
                <w:szCs w:val="28"/>
                <w:lang w:val="en-GB"/>
              </w:rPr>
              <w:t>1. The government cuts personal income-tax rates</w:t>
            </w:r>
          </w:p>
        </w:tc>
        <w:tc>
          <w:tcPr>
            <w:tcW w:w="2375" w:type="dxa"/>
            <w:vAlign w:val="center"/>
          </w:tcPr>
          <w:p w14:paraId="0F525755" w14:textId="77777777" w:rsidR="00BE42A0" w:rsidRPr="002D2236" w:rsidRDefault="00BE42A0" w:rsidP="00BE42A0">
            <w:pPr>
              <w:jc w:val="center"/>
              <w:rPr>
                <w:sz w:val="28"/>
                <w:szCs w:val="28"/>
                <w:lang w:val="en-GB"/>
              </w:rPr>
            </w:pPr>
          </w:p>
        </w:tc>
      </w:tr>
      <w:tr w:rsidR="00BE42A0" w:rsidRPr="002D2236" w14:paraId="6F4B107C" w14:textId="77777777" w:rsidTr="00BE42A0">
        <w:tc>
          <w:tcPr>
            <w:tcW w:w="7196" w:type="dxa"/>
          </w:tcPr>
          <w:p w14:paraId="77BC327E" w14:textId="77777777" w:rsidR="00BE42A0" w:rsidRPr="002D2236" w:rsidRDefault="00BE42A0" w:rsidP="00BE42A0">
            <w:pPr>
              <w:rPr>
                <w:sz w:val="28"/>
                <w:szCs w:val="28"/>
                <w:lang w:val="en-GB"/>
              </w:rPr>
            </w:pPr>
            <w:r w:rsidRPr="002D2236">
              <w:rPr>
                <w:sz w:val="28"/>
                <w:szCs w:val="28"/>
                <w:lang w:val="en-GB"/>
              </w:rPr>
              <w:t>2. The government eliminates favorable tax treatment on long-term capital gains</w:t>
            </w:r>
          </w:p>
        </w:tc>
        <w:tc>
          <w:tcPr>
            <w:tcW w:w="2375" w:type="dxa"/>
            <w:vAlign w:val="center"/>
          </w:tcPr>
          <w:p w14:paraId="09E9F43A" w14:textId="77777777" w:rsidR="00BE42A0" w:rsidRPr="002D2236" w:rsidRDefault="00BE42A0" w:rsidP="00BE42A0">
            <w:pPr>
              <w:jc w:val="center"/>
              <w:rPr>
                <w:sz w:val="28"/>
                <w:szCs w:val="28"/>
                <w:lang w:val="en-GB"/>
              </w:rPr>
            </w:pPr>
          </w:p>
        </w:tc>
      </w:tr>
      <w:tr w:rsidR="00BE42A0" w:rsidRPr="002D2236" w14:paraId="1A4EFBD5" w14:textId="77777777" w:rsidTr="00BE42A0">
        <w:tc>
          <w:tcPr>
            <w:tcW w:w="7196" w:type="dxa"/>
          </w:tcPr>
          <w:p w14:paraId="2DC466D3" w14:textId="77777777" w:rsidR="00BE42A0" w:rsidRPr="002D2236" w:rsidRDefault="00BE42A0" w:rsidP="00BE42A0">
            <w:pPr>
              <w:rPr>
                <w:sz w:val="28"/>
                <w:szCs w:val="28"/>
                <w:lang w:val="en-GB"/>
              </w:rPr>
            </w:pPr>
            <w:r w:rsidRPr="002D2236">
              <w:rPr>
                <w:sz w:val="28"/>
                <w:szCs w:val="28"/>
                <w:lang w:val="en-GB"/>
              </w:rPr>
              <w:t>3. Incomes rise; as a result, people pay a larger fraction of their income in taxes</w:t>
            </w:r>
          </w:p>
        </w:tc>
        <w:tc>
          <w:tcPr>
            <w:tcW w:w="2375" w:type="dxa"/>
            <w:vAlign w:val="center"/>
          </w:tcPr>
          <w:p w14:paraId="62A97734" w14:textId="77777777" w:rsidR="00BE42A0" w:rsidRPr="002D2236" w:rsidRDefault="00BE42A0" w:rsidP="00BE42A0">
            <w:pPr>
              <w:jc w:val="center"/>
              <w:rPr>
                <w:sz w:val="28"/>
                <w:szCs w:val="28"/>
                <w:lang w:val="en-GB"/>
              </w:rPr>
            </w:pPr>
          </w:p>
        </w:tc>
      </w:tr>
      <w:tr w:rsidR="00BE42A0" w:rsidRPr="002D2236" w14:paraId="786C2E49" w14:textId="77777777" w:rsidTr="00BE42A0">
        <w:tc>
          <w:tcPr>
            <w:tcW w:w="7196" w:type="dxa"/>
          </w:tcPr>
          <w:p w14:paraId="631FCA1B" w14:textId="77777777" w:rsidR="00BE42A0" w:rsidRPr="002D2236" w:rsidRDefault="00BE42A0" w:rsidP="00BE42A0">
            <w:pPr>
              <w:rPr>
                <w:sz w:val="28"/>
                <w:szCs w:val="28"/>
                <w:lang w:val="en-GB"/>
              </w:rPr>
            </w:pPr>
            <w:r w:rsidRPr="002D2236">
              <w:rPr>
                <w:sz w:val="28"/>
                <w:szCs w:val="28"/>
                <w:lang w:val="en-GB"/>
              </w:rPr>
              <w:t>4. As a result of a recession, more families qualify for food stamps and welfare benefits</w:t>
            </w:r>
          </w:p>
        </w:tc>
        <w:tc>
          <w:tcPr>
            <w:tcW w:w="2375" w:type="dxa"/>
            <w:vAlign w:val="center"/>
          </w:tcPr>
          <w:p w14:paraId="559962B2" w14:textId="77777777" w:rsidR="00BE42A0" w:rsidRPr="002D2236" w:rsidRDefault="00BE42A0" w:rsidP="00BE42A0">
            <w:pPr>
              <w:jc w:val="center"/>
              <w:rPr>
                <w:sz w:val="28"/>
                <w:szCs w:val="28"/>
                <w:lang w:val="en-GB"/>
              </w:rPr>
            </w:pPr>
          </w:p>
        </w:tc>
      </w:tr>
      <w:tr w:rsidR="00BE42A0" w:rsidRPr="002D2236" w14:paraId="5EDB4B6D" w14:textId="77777777" w:rsidTr="00BE42A0">
        <w:tc>
          <w:tcPr>
            <w:tcW w:w="7196" w:type="dxa"/>
          </w:tcPr>
          <w:p w14:paraId="6938AEBD" w14:textId="77777777" w:rsidR="00BE42A0" w:rsidRPr="002D2236" w:rsidRDefault="00BE42A0" w:rsidP="00BE42A0">
            <w:pPr>
              <w:rPr>
                <w:sz w:val="28"/>
                <w:szCs w:val="28"/>
                <w:lang w:val="en-GB"/>
              </w:rPr>
            </w:pPr>
            <w:r w:rsidRPr="002D2236">
              <w:rPr>
                <w:sz w:val="28"/>
                <w:szCs w:val="28"/>
                <w:lang w:val="en-GB"/>
              </w:rPr>
              <w:t>5. The government eliminates the deductibility of interest expense for tax purposes</w:t>
            </w:r>
          </w:p>
        </w:tc>
        <w:tc>
          <w:tcPr>
            <w:tcW w:w="2375" w:type="dxa"/>
            <w:vAlign w:val="center"/>
          </w:tcPr>
          <w:p w14:paraId="3E946B0B" w14:textId="77777777" w:rsidR="00BE42A0" w:rsidRPr="002D2236" w:rsidRDefault="00BE42A0" w:rsidP="00BE42A0">
            <w:pPr>
              <w:jc w:val="center"/>
              <w:rPr>
                <w:sz w:val="28"/>
                <w:szCs w:val="28"/>
                <w:lang w:val="en-GB"/>
              </w:rPr>
            </w:pPr>
          </w:p>
        </w:tc>
      </w:tr>
      <w:tr w:rsidR="00BE42A0" w:rsidRPr="002D2236" w14:paraId="6EBA2143" w14:textId="77777777" w:rsidTr="00BE42A0">
        <w:tc>
          <w:tcPr>
            <w:tcW w:w="7196" w:type="dxa"/>
          </w:tcPr>
          <w:p w14:paraId="1DE98AE9" w14:textId="77777777" w:rsidR="00BE42A0" w:rsidRPr="002D2236" w:rsidRDefault="00BE42A0" w:rsidP="00BE42A0">
            <w:pPr>
              <w:rPr>
                <w:sz w:val="28"/>
                <w:szCs w:val="28"/>
                <w:lang w:val="en-GB"/>
              </w:rPr>
            </w:pPr>
            <w:r w:rsidRPr="002D2236">
              <w:rPr>
                <w:sz w:val="28"/>
                <w:szCs w:val="28"/>
                <w:lang w:val="en-GB"/>
              </w:rPr>
              <w:t>6. The government launches a major new space program to explore Mars</w:t>
            </w:r>
          </w:p>
        </w:tc>
        <w:tc>
          <w:tcPr>
            <w:tcW w:w="2375" w:type="dxa"/>
            <w:vAlign w:val="center"/>
          </w:tcPr>
          <w:p w14:paraId="2382DF38" w14:textId="77777777" w:rsidR="00BE42A0" w:rsidRPr="002D2236" w:rsidRDefault="00BE42A0" w:rsidP="00BE42A0">
            <w:pPr>
              <w:jc w:val="center"/>
              <w:rPr>
                <w:sz w:val="28"/>
                <w:szCs w:val="28"/>
                <w:lang w:val="en-GB"/>
              </w:rPr>
            </w:pPr>
          </w:p>
        </w:tc>
      </w:tr>
      <w:tr w:rsidR="00BE42A0" w:rsidRPr="002D2236" w14:paraId="737CC336" w14:textId="77777777" w:rsidTr="00BE42A0">
        <w:tc>
          <w:tcPr>
            <w:tcW w:w="7196" w:type="dxa"/>
          </w:tcPr>
          <w:p w14:paraId="759AF0D6" w14:textId="77777777" w:rsidR="00BE42A0" w:rsidRPr="002D2236" w:rsidRDefault="00BE42A0" w:rsidP="00BE42A0">
            <w:pPr>
              <w:rPr>
                <w:sz w:val="28"/>
                <w:szCs w:val="28"/>
                <w:lang w:val="en-GB"/>
              </w:rPr>
            </w:pPr>
            <w:r w:rsidRPr="002D2236">
              <w:rPr>
                <w:sz w:val="28"/>
                <w:szCs w:val="28"/>
                <w:lang w:val="en-GB"/>
              </w:rPr>
              <w:t>7. The government raises Social Security taxes</w:t>
            </w:r>
          </w:p>
        </w:tc>
        <w:tc>
          <w:tcPr>
            <w:tcW w:w="2375" w:type="dxa"/>
            <w:vAlign w:val="center"/>
          </w:tcPr>
          <w:p w14:paraId="5416385A" w14:textId="77777777" w:rsidR="00BE42A0" w:rsidRPr="002D2236" w:rsidRDefault="00BE42A0" w:rsidP="00BE42A0">
            <w:pPr>
              <w:jc w:val="center"/>
              <w:rPr>
                <w:sz w:val="28"/>
                <w:szCs w:val="28"/>
                <w:lang w:val="en-GB"/>
              </w:rPr>
            </w:pPr>
          </w:p>
        </w:tc>
      </w:tr>
      <w:tr w:rsidR="00BE42A0" w:rsidRPr="002D2236" w14:paraId="5529243D" w14:textId="77777777" w:rsidTr="00BE42A0">
        <w:tc>
          <w:tcPr>
            <w:tcW w:w="7196" w:type="dxa"/>
          </w:tcPr>
          <w:p w14:paraId="1459EBC0" w14:textId="77777777" w:rsidR="00BE42A0" w:rsidRPr="002D2236" w:rsidRDefault="00BE42A0" w:rsidP="005F1639">
            <w:pPr>
              <w:rPr>
                <w:sz w:val="28"/>
                <w:szCs w:val="28"/>
                <w:lang w:val="en-GB"/>
              </w:rPr>
            </w:pPr>
            <w:r w:rsidRPr="002D2236">
              <w:rPr>
                <w:sz w:val="28"/>
                <w:szCs w:val="28"/>
                <w:lang w:val="en-GB"/>
              </w:rPr>
              <w:t>8. Corporate profits increase; as a result, the government collects more corporate income taxes</w:t>
            </w:r>
          </w:p>
        </w:tc>
        <w:tc>
          <w:tcPr>
            <w:tcW w:w="2375" w:type="dxa"/>
            <w:vAlign w:val="center"/>
          </w:tcPr>
          <w:p w14:paraId="58B5E543" w14:textId="77777777" w:rsidR="00BE42A0" w:rsidRPr="002D2236" w:rsidRDefault="00BE42A0" w:rsidP="00BE42A0">
            <w:pPr>
              <w:jc w:val="center"/>
              <w:rPr>
                <w:sz w:val="28"/>
                <w:szCs w:val="28"/>
                <w:lang w:val="en-GB"/>
              </w:rPr>
            </w:pPr>
          </w:p>
        </w:tc>
      </w:tr>
      <w:tr w:rsidR="00BE42A0" w:rsidRPr="002D2236" w14:paraId="4C5B8E41" w14:textId="77777777" w:rsidTr="00BE42A0">
        <w:tc>
          <w:tcPr>
            <w:tcW w:w="7196" w:type="dxa"/>
          </w:tcPr>
          <w:p w14:paraId="26601D64" w14:textId="77777777" w:rsidR="00BE42A0" w:rsidRPr="002D2236" w:rsidRDefault="00BE42A0" w:rsidP="005F1639">
            <w:pPr>
              <w:rPr>
                <w:sz w:val="28"/>
                <w:szCs w:val="28"/>
                <w:lang w:val="en-GB"/>
              </w:rPr>
            </w:pPr>
            <w:r w:rsidRPr="002D2236">
              <w:rPr>
                <w:sz w:val="28"/>
                <w:szCs w:val="28"/>
                <w:lang w:val="en-GB"/>
              </w:rPr>
              <w:t>9. The government raises corporate income tax rates</w:t>
            </w:r>
          </w:p>
        </w:tc>
        <w:tc>
          <w:tcPr>
            <w:tcW w:w="2375" w:type="dxa"/>
            <w:vAlign w:val="center"/>
          </w:tcPr>
          <w:p w14:paraId="50544803" w14:textId="77777777" w:rsidR="00BE42A0" w:rsidRPr="002D2236" w:rsidRDefault="00BE42A0" w:rsidP="00BE42A0">
            <w:pPr>
              <w:jc w:val="center"/>
              <w:rPr>
                <w:sz w:val="28"/>
                <w:szCs w:val="28"/>
                <w:lang w:val="en-GB"/>
              </w:rPr>
            </w:pPr>
          </w:p>
        </w:tc>
      </w:tr>
      <w:tr w:rsidR="00BE42A0" w:rsidRPr="002D2236" w14:paraId="2A3C58DC" w14:textId="77777777" w:rsidTr="00BE42A0">
        <w:tc>
          <w:tcPr>
            <w:tcW w:w="7196" w:type="dxa"/>
          </w:tcPr>
          <w:p w14:paraId="6F6D346B" w14:textId="77777777" w:rsidR="00BE42A0" w:rsidRPr="002D2236" w:rsidRDefault="00BE42A0" w:rsidP="005F1639">
            <w:pPr>
              <w:rPr>
                <w:sz w:val="28"/>
                <w:szCs w:val="28"/>
                <w:lang w:val="en-GB"/>
              </w:rPr>
            </w:pPr>
            <w:r w:rsidRPr="002D2236">
              <w:rPr>
                <w:sz w:val="28"/>
                <w:szCs w:val="28"/>
                <w:lang w:val="en-GB"/>
              </w:rPr>
              <w:t xml:space="preserve">10. The government gives all </w:t>
            </w:r>
            <w:r w:rsidR="005F1639">
              <w:rPr>
                <w:sz w:val="28"/>
                <w:szCs w:val="28"/>
                <w:lang w:val="en-GB"/>
              </w:rPr>
              <w:t xml:space="preserve">of </w:t>
            </w:r>
            <w:r w:rsidRPr="002D2236">
              <w:rPr>
                <w:sz w:val="28"/>
                <w:szCs w:val="28"/>
                <w:lang w:val="en-GB"/>
              </w:rPr>
              <w:t>its employees a large pay raise</w:t>
            </w:r>
          </w:p>
        </w:tc>
        <w:tc>
          <w:tcPr>
            <w:tcW w:w="2375" w:type="dxa"/>
            <w:vAlign w:val="center"/>
          </w:tcPr>
          <w:p w14:paraId="4B80E0C9" w14:textId="77777777" w:rsidR="00BE42A0" w:rsidRPr="002D2236" w:rsidRDefault="00BE42A0" w:rsidP="00BE42A0">
            <w:pPr>
              <w:jc w:val="center"/>
              <w:rPr>
                <w:sz w:val="28"/>
                <w:szCs w:val="28"/>
                <w:lang w:val="en-GB"/>
              </w:rPr>
            </w:pPr>
          </w:p>
        </w:tc>
      </w:tr>
    </w:tbl>
    <w:p w14:paraId="6829C197" w14:textId="77777777" w:rsidR="00BE42A0" w:rsidRPr="002D2236" w:rsidRDefault="00BE42A0" w:rsidP="00BE42A0">
      <w:pPr>
        <w:rPr>
          <w:sz w:val="28"/>
          <w:szCs w:val="28"/>
          <w:lang w:val="en-GB"/>
        </w:rPr>
      </w:pPr>
    </w:p>
    <w:p w14:paraId="24F4BD9C" w14:textId="77777777" w:rsidR="00BE42A0" w:rsidRDefault="00BE42A0">
      <w:pPr>
        <w:rPr>
          <w:lang w:val="en-GB"/>
        </w:rPr>
      </w:pPr>
      <w:r w:rsidRPr="002D2236">
        <w:rPr>
          <w:sz w:val="28"/>
          <w:szCs w:val="28"/>
          <w:lang w:val="en-GB"/>
        </w:rPr>
        <w:br w:type="page"/>
      </w:r>
    </w:p>
    <w:p w14:paraId="5C1AD7E5" w14:textId="77777777" w:rsidR="00BE42A0" w:rsidRPr="00BE42A0" w:rsidRDefault="00BE42A0" w:rsidP="00BE42A0">
      <w:pPr>
        <w:keepNext/>
        <w:keepLines/>
        <w:spacing w:before="140"/>
        <w:jc w:val="center"/>
        <w:rPr>
          <w:b/>
          <w:caps/>
          <w:kern w:val="20"/>
          <w:sz w:val="44"/>
          <w:szCs w:val="44"/>
          <w:lang w:val="en-US"/>
        </w:rPr>
      </w:pPr>
      <w:r w:rsidRPr="00BE42A0">
        <w:rPr>
          <w:b/>
          <w:caps/>
          <w:kern w:val="20"/>
          <w:sz w:val="44"/>
          <w:szCs w:val="44"/>
          <w:lang w:val="en-US"/>
        </w:rPr>
        <w:lastRenderedPageBreak/>
        <w:t>Chapter 4</w:t>
      </w:r>
      <w:r w:rsidR="00FA7B64">
        <w:rPr>
          <w:b/>
          <w:caps/>
          <w:kern w:val="20"/>
          <w:sz w:val="44"/>
          <w:szCs w:val="44"/>
          <w:lang w:val="en-US"/>
        </w:rPr>
        <w:t>:</w:t>
      </w:r>
      <w:r w:rsidRPr="00BE42A0">
        <w:rPr>
          <w:b/>
          <w:caps/>
          <w:kern w:val="20"/>
          <w:sz w:val="44"/>
          <w:szCs w:val="44"/>
          <w:lang w:val="en-US"/>
        </w:rPr>
        <w:t xml:space="preserve"> </w:t>
      </w:r>
    </w:p>
    <w:p w14:paraId="0CD95E50" w14:textId="77777777" w:rsidR="00BE42A0" w:rsidRPr="00BE42A0" w:rsidRDefault="00BE42A0" w:rsidP="00BE42A0">
      <w:pPr>
        <w:keepNext/>
        <w:keepLines/>
        <w:spacing w:before="140"/>
        <w:jc w:val="center"/>
        <w:rPr>
          <w:b/>
          <w:caps/>
          <w:kern w:val="20"/>
          <w:sz w:val="44"/>
          <w:szCs w:val="44"/>
          <w:lang w:val="en-US"/>
        </w:rPr>
      </w:pPr>
      <w:r w:rsidRPr="00BE42A0">
        <w:rPr>
          <w:b/>
          <w:caps/>
          <w:kern w:val="20"/>
          <w:sz w:val="44"/>
          <w:szCs w:val="44"/>
          <w:lang w:val="en-US"/>
        </w:rPr>
        <w:t>Introduction to taxation</w:t>
      </w:r>
      <w:r w:rsidR="00FA7B64">
        <w:rPr>
          <w:b/>
          <w:caps/>
          <w:kern w:val="20"/>
          <w:sz w:val="44"/>
          <w:szCs w:val="44"/>
          <w:lang w:val="en-US"/>
        </w:rPr>
        <w:t>.</w:t>
      </w:r>
      <w:r w:rsidRPr="00BE42A0">
        <w:rPr>
          <w:b/>
          <w:caps/>
          <w:kern w:val="20"/>
          <w:sz w:val="44"/>
          <w:szCs w:val="44"/>
          <w:lang w:val="en-US"/>
        </w:rPr>
        <w:t xml:space="preserve"> </w:t>
      </w:r>
    </w:p>
    <w:p w14:paraId="0A03C8AE" w14:textId="77777777" w:rsidR="00BE42A0" w:rsidRPr="00F17567" w:rsidRDefault="00BE42A0" w:rsidP="00F17567">
      <w:pPr>
        <w:keepNext/>
        <w:keepLines/>
        <w:spacing w:before="140"/>
        <w:jc w:val="center"/>
        <w:rPr>
          <w:b/>
          <w:caps/>
          <w:kern w:val="20"/>
          <w:sz w:val="44"/>
          <w:szCs w:val="44"/>
          <w:lang w:val="en-US"/>
        </w:rPr>
      </w:pPr>
      <w:r w:rsidRPr="00BE42A0">
        <w:rPr>
          <w:b/>
          <w:caps/>
          <w:kern w:val="20"/>
          <w:sz w:val="44"/>
          <w:szCs w:val="44"/>
          <w:lang w:val="en-US"/>
        </w:rPr>
        <w:t>tax SYSTEM of ukraine</w:t>
      </w:r>
    </w:p>
    <w:p w14:paraId="4E3675BB" w14:textId="77777777" w:rsidR="00BE42A0" w:rsidRPr="00BE42A0" w:rsidRDefault="00BE42A0" w:rsidP="00F17567">
      <w:pPr>
        <w:pStyle w:val="end2"/>
      </w:pPr>
      <w:r w:rsidRPr="00BE42A0">
        <w:t>summary</w:t>
      </w:r>
    </w:p>
    <w:p w14:paraId="1A4F5B75" w14:textId="77777777" w:rsidR="00BE42A0" w:rsidRPr="00F17567" w:rsidRDefault="00BE42A0" w:rsidP="00C13409">
      <w:pPr>
        <w:spacing w:line="312" w:lineRule="auto"/>
        <w:ind w:firstLine="709"/>
        <w:contextualSpacing/>
        <w:jc w:val="both"/>
        <w:rPr>
          <w:sz w:val="28"/>
          <w:szCs w:val="28"/>
          <w:lang w:val="en-US" w:bidi="ru-RU"/>
        </w:rPr>
      </w:pPr>
      <w:r w:rsidRPr="00F17567">
        <w:rPr>
          <w:b/>
          <w:sz w:val="28"/>
          <w:szCs w:val="28"/>
          <w:lang w:val="en-US" w:bidi="ru-RU"/>
        </w:rPr>
        <w:t>Taxation</w:t>
      </w:r>
      <w:r w:rsidRPr="00F17567">
        <w:rPr>
          <w:sz w:val="28"/>
          <w:szCs w:val="28"/>
          <w:lang w:val="en-US" w:bidi="ru-RU"/>
        </w:rPr>
        <w:t xml:space="preserve"> is a compulsory levy imposed on a subject or upon his property by the government to provide security, social amenities and other amenities for the well-being of the society. The main purpose of taxation is to raise funds to defray the expenses incurred for the common interest of the country without reference to special benefit conferred. A good tax system should, however, create jobs and a tax rise </w:t>
      </w:r>
      <w:r w:rsidR="005F1639">
        <w:rPr>
          <w:sz w:val="28"/>
          <w:szCs w:val="28"/>
          <w:lang w:val="en-US" w:bidi="ru-RU"/>
        </w:rPr>
        <w:t xml:space="preserve">and </w:t>
      </w:r>
      <w:r w:rsidRPr="00F17567">
        <w:rPr>
          <w:sz w:val="28"/>
          <w:szCs w:val="28"/>
          <w:lang w:val="en-US" w:bidi="ru-RU"/>
        </w:rPr>
        <w:t>should lead to the arrest of wasteful expenditure. It helps in shaping and directing economic activities, stimulating economic activities, redistributing financial resources</w:t>
      </w:r>
      <w:r w:rsidR="005F1639">
        <w:rPr>
          <w:sz w:val="28"/>
          <w:szCs w:val="28"/>
          <w:lang w:val="en-US" w:bidi="ru-RU"/>
        </w:rPr>
        <w:t>,</w:t>
      </w:r>
      <w:r w:rsidRPr="00F17567">
        <w:rPr>
          <w:sz w:val="28"/>
          <w:szCs w:val="28"/>
          <w:lang w:val="en-US" w:bidi="ru-RU"/>
        </w:rPr>
        <w:t xml:space="preserve"> and using the income generated to finance social welfare.  </w:t>
      </w:r>
    </w:p>
    <w:p w14:paraId="717446C8"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Tax is defined as a monetary charge imposed by the government on persons, entities,</w:t>
      </w:r>
      <w:r w:rsidR="005F1639">
        <w:rPr>
          <w:sz w:val="28"/>
          <w:szCs w:val="28"/>
          <w:lang w:val="en-US" w:bidi="ru-RU"/>
        </w:rPr>
        <w:t xml:space="preserve"> and </w:t>
      </w:r>
      <w:r w:rsidRPr="00F17567">
        <w:rPr>
          <w:sz w:val="28"/>
          <w:szCs w:val="28"/>
          <w:lang w:val="en-US" w:bidi="ru-RU"/>
        </w:rPr>
        <w:t xml:space="preserve">transactions or property to yield public revenue. One of the </w:t>
      </w:r>
      <w:r w:rsidRPr="00F17567">
        <w:rPr>
          <w:b/>
          <w:sz w:val="28"/>
          <w:szCs w:val="28"/>
          <w:lang w:val="en-US" w:bidi="ru-RU"/>
        </w:rPr>
        <w:t>main characteristics of a tax</w:t>
      </w:r>
      <w:r w:rsidRPr="00F17567">
        <w:rPr>
          <w:sz w:val="28"/>
          <w:szCs w:val="28"/>
          <w:lang w:val="en-US" w:bidi="ru-RU"/>
        </w:rPr>
        <w:t xml:space="preserve"> is that the payer does not demand something equivalent in return from the government for the payment. It is expected that when taxes are collected, they are used by the government for public good and not just for those who make the payment. </w:t>
      </w:r>
    </w:p>
    <w:p w14:paraId="14CC581A" w14:textId="77777777" w:rsidR="00BE42A0" w:rsidRPr="00F17567" w:rsidRDefault="00BE42A0" w:rsidP="00C13409">
      <w:pPr>
        <w:spacing w:line="312" w:lineRule="auto"/>
        <w:ind w:firstLine="709"/>
        <w:contextualSpacing/>
        <w:jc w:val="both"/>
        <w:rPr>
          <w:b/>
          <w:sz w:val="28"/>
          <w:szCs w:val="28"/>
          <w:lang w:val="en-US" w:bidi="ru-RU"/>
        </w:rPr>
      </w:pPr>
      <w:r w:rsidRPr="00F17567">
        <w:rPr>
          <w:b/>
          <w:sz w:val="28"/>
          <w:szCs w:val="28"/>
          <w:lang w:val="en-US" w:bidi="ru-RU"/>
        </w:rPr>
        <w:t>Role of taxation:</w:t>
      </w:r>
    </w:p>
    <w:p w14:paraId="7E5C9111" w14:textId="77777777" w:rsidR="00BE42A0" w:rsidRPr="00F17567" w:rsidRDefault="00BE42A0" w:rsidP="006F749C">
      <w:pPr>
        <w:numPr>
          <w:ilvl w:val="0"/>
          <w:numId w:val="53"/>
        </w:numPr>
        <w:spacing w:line="312" w:lineRule="auto"/>
        <w:ind w:left="993" w:hanging="284"/>
        <w:contextualSpacing/>
        <w:jc w:val="both"/>
        <w:rPr>
          <w:sz w:val="28"/>
          <w:szCs w:val="28"/>
          <w:lang w:val="en-US" w:bidi="ru-RU"/>
        </w:rPr>
      </w:pPr>
      <w:r w:rsidRPr="00F17567">
        <w:rPr>
          <w:sz w:val="28"/>
          <w:szCs w:val="28"/>
          <w:lang w:val="en-US" w:bidi="ru-RU"/>
        </w:rPr>
        <w:t>To finance Government recurrent and development expenditure, i.e.</w:t>
      </w:r>
      <w:r w:rsidR="005F1639">
        <w:rPr>
          <w:sz w:val="28"/>
          <w:szCs w:val="28"/>
          <w:lang w:val="en-US" w:bidi="ru-RU"/>
        </w:rPr>
        <w:t>,</w:t>
      </w:r>
      <w:r w:rsidRPr="00F17567">
        <w:rPr>
          <w:sz w:val="28"/>
          <w:szCs w:val="28"/>
          <w:lang w:val="en-US" w:bidi="ru-RU"/>
        </w:rPr>
        <w:t xml:space="preserve"> paying salaries for civil servants and funding long-term projects</w:t>
      </w:r>
      <w:r w:rsidR="005F1639">
        <w:rPr>
          <w:sz w:val="28"/>
          <w:szCs w:val="28"/>
          <w:lang w:val="en-US" w:bidi="ru-RU"/>
        </w:rPr>
        <w:t>,</w:t>
      </w:r>
      <w:r w:rsidRPr="00F17567">
        <w:rPr>
          <w:sz w:val="28"/>
          <w:szCs w:val="28"/>
          <w:lang w:val="en-US" w:bidi="ru-RU"/>
        </w:rPr>
        <w:t xml:space="preserve"> such as the construction of schools, hospitals</w:t>
      </w:r>
      <w:r w:rsidR="005F1639">
        <w:rPr>
          <w:sz w:val="28"/>
          <w:szCs w:val="28"/>
          <w:lang w:val="en-US" w:bidi="ru-RU"/>
        </w:rPr>
        <w:t>,</w:t>
      </w:r>
      <w:r w:rsidRPr="00F17567">
        <w:rPr>
          <w:sz w:val="28"/>
          <w:szCs w:val="28"/>
          <w:lang w:val="en-US" w:bidi="ru-RU"/>
        </w:rPr>
        <w:t xml:space="preserve"> and roads.</w:t>
      </w:r>
    </w:p>
    <w:p w14:paraId="40363F26" w14:textId="77777777" w:rsidR="00BE42A0" w:rsidRPr="00F17567" w:rsidRDefault="00BE42A0" w:rsidP="006F749C">
      <w:pPr>
        <w:numPr>
          <w:ilvl w:val="0"/>
          <w:numId w:val="53"/>
        </w:numPr>
        <w:spacing w:line="312" w:lineRule="auto"/>
        <w:ind w:left="993" w:hanging="284"/>
        <w:contextualSpacing/>
        <w:jc w:val="both"/>
        <w:rPr>
          <w:sz w:val="28"/>
          <w:szCs w:val="28"/>
          <w:lang w:val="en-US" w:bidi="ru-RU"/>
        </w:rPr>
      </w:pPr>
      <w:r w:rsidRPr="00F17567">
        <w:rPr>
          <w:sz w:val="28"/>
          <w:szCs w:val="28"/>
          <w:lang w:val="en-US" w:bidi="ru-RU"/>
        </w:rPr>
        <w:t>It can be used to regulate demand and supply in the economy in times of inflation.</w:t>
      </w:r>
    </w:p>
    <w:p w14:paraId="7C2165F3" w14:textId="77777777" w:rsidR="00BE42A0" w:rsidRPr="00F17567" w:rsidRDefault="00BE42A0" w:rsidP="006F749C">
      <w:pPr>
        <w:numPr>
          <w:ilvl w:val="0"/>
          <w:numId w:val="53"/>
        </w:numPr>
        <w:spacing w:line="312" w:lineRule="auto"/>
        <w:ind w:left="993" w:hanging="284"/>
        <w:contextualSpacing/>
        <w:jc w:val="both"/>
        <w:rPr>
          <w:sz w:val="28"/>
          <w:szCs w:val="28"/>
          <w:lang w:val="en-US" w:bidi="ru-RU"/>
        </w:rPr>
      </w:pPr>
      <w:r w:rsidRPr="00F17567">
        <w:rPr>
          <w:sz w:val="28"/>
          <w:szCs w:val="28"/>
          <w:lang w:val="en-US" w:bidi="ru-RU"/>
        </w:rPr>
        <w:t xml:space="preserve">It encourages the development of local industries and protects them from foreign competition with </w:t>
      </w:r>
      <w:r w:rsidR="005F1639">
        <w:rPr>
          <w:sz w:val="28"/>
          <w:szCs w:val="28"/>
          <w:lang w:val="en-US" w:bidi="ru-RU"/>
        </w:rPr>
        <w:t>the</w:t>
      </w:r>
      <w:r w:rsidRPr="00F17567">
        <w:rPr>
          <w:sz w:val="28"/>
          <w:szCs w:val="28"/>
          <w:lang w:val="en-US" w:bidi="ru-RU"/>
        </w:rPr>
        <w:t xml:space="preserve"> view </w:t>
      </w:r>
      <w:r w:rsidR="005F1639">
        <w:rPr>
          <w:sz w:val="28"/>
          <w:szCs w:val="28"/>
          <w:lang w:val="en-US" w:bidi="ru-RU"/>
        </w:rPr>
        <w:t>of</w:t>
      </w:r>
      <w:r w:rsidRPr="00F17567">
        <w:rPr>
          <w:sz w:val="28"/>
          <w:szCs w:val="28"/>
          <w:lang w:val="en-US" w:bidi="ru-RU"/>
        </w:rPr>
        <w:t xml:space="preserve"> providing employm</w:t>
      </w:r>
      <w:r w:rsidR="005F1639">
        <w:rPr>
          <w:sz w:val="28"/>
          <w:szCs w:val="28"/>
          <w:lang w:val="en-US" w:bidi="ru-RU"/>
        </w:rPr>
        <w:t>ent and saving foreign exchange</w:t>
      </w:r>
      <w:r w:rsidRPr="00F17567">
        <w:rPr>
          <w:sz w:val="28"/>
          <w:szCs w:val="28"/>
          <w:lang w:val="en-US" w:bidi="ru-RU"/>
        </w:rPr>
        <w:t xml:space="preserve"> by imposing high duties on competing imports. It encourages export of goods and services by reducing or removing </w:t>
      </w:r>
      <w:r w:rsidR="005F1639" w:rsidRPr="00F17567">
        <w:rPr>
          <w:sz w:val="28"/>
          <w:szCs w:val="28"/>
          <w:lang w:val="en-US" w:bidi="ru-RU"/>
        </w:rPr>
        <w:t xml:space="preserve">export </w:t>
      </w:r>
      <w:r w:rsidRPr="00F17567">
        <w:rPr>
          <w:sz w:val="28"/>
          <w:szCs w:val="28"/>
          <w:lang w:val="en-US" w:bidi="ru-RU"/>
        </w:rPr>
        <w:t>tax</w:t>
      </w:r>
      <w:r w:rsidR="005F1639">
        <w:rPr>
          <w:sz w:val="28"/>
          <w:szCs w:val="28"/>
          <w:lang w:val="en-US" w:bidi="ru-RU"/>
        </w:rPr>
        <w:t>es</w:t>
      </w:r>
      <w:r w:rsidRPr="00F17567">
        <w:rPr>
          <w:sz w:val="28"/>
          <w:szCs w:val="28"/>
          <w:lang w:val="en-US" w:bidi="ru-RU"/>
        </w:rPr>
        <w:t xml:space="preserve"> in order to make them more competitive in the world market.</w:t>
      </w:r>
    </w:p>
    <w:p w14:paraId="2851109E" w14:textId="77777777" w:rsidR="00BE42A0" w:rsidRPr="00F17567" w:rsidRDefault="00BE42A0" w:rsidP="006F749C">
      <w:pPr>
        <w:numPr>
          <w:ilvl w:val="0"/>
          <w:numId w:val="53"/>
        </w:numPr>
        <w:spacing w:line="312" w:lineRule="auto"/>
        <w:ind w:left="993" w:hanging="284"/>
        <w:contextualSpacing/>
        <w:jc w:val="both"/>
        <w:rPr>
          <w:sz w:val="28"/>
          <w:szCs w:val="28"/>
          <w:lang w:val="en-US" w:bidi="ru-RU"/>
        </w:rPr>
      </w:pPr>
      <w:r w:rsidRPr="00F17567">
        <w:rPr>
          <w:sz w:val="28"/>
          <w:szCs w:val="28"/>
          <w:lang w:val="en-US" w:bidi="ru-RU"/>
        </w:rPr>
        <w:lastRenderedPageBreak/>
        <w:t>It protects society from undesirable or harmful products and industries by imposing high taxes on them, for instance, excise duty on cigarettes and beer as well as an environmental levy on used vehicles.</w:t>
      </w:r>
    </w:p>
    <w:p w14:paraId="48F7421C" w14:textId="77777777" w:rsidR="00BE42A0" w:rsidRPr="00F17567" w:rsidRDefault="00BE42A0" w:rsidP="006F749C">
      <w:pPr>
        <w:numPr>
          <w:ilvl w:val="0"/>
          <w:numId w:val="53"/>
        </w:numPr>
        <w:spacing w:line="312" w:lineRule="auto"/>
        <w:ind w:left="993" w:hanging="284"/>
        <w:contextualSpacing/>
        <w:jc w:val="both"/>
        <w:rPr>
          <w:sz w:val="28"/>
          <w:szCs w:val="28"/>
          <w:lang w:val="en-US" w:bidi="ru-RU"/>
        </w:rPr>
      </w:pPr>
      <w:r w:rsidRPr="00F17567">
        <w:rPr>
          <w:sz w:val="28"/>
          <w:szCs w:val="28"/>
          <w:lang w:val="en-US" w:bidi="ru-RU"/>
        </w:rPr>
        <w:t xml:space="preserve">To achieve greater equality in the distribution of wealth and income, the government may impose a progressive tax on the incomes and wealth of the rich. The </w:t>
      </w:r>
      <w:r w:rsidR="00BA75C1" w:rsidRPr="00F17567">
        <w:rPr>
          <w:sz w:val="28"/>
          <w:szCs w:val="28"/>
          <w:lang w:val="en-US" w:bidi="ru-RU"/>
        </w:rPr>
        <w:t xml:space="preserve">raised </w:t>
      </w:r>
      <w:r w:rsidRPr="00F17567">
        <w:rPr>
          <w:sz w:val="28"/>
          <w:szCs w:val="28"/>
          <w:lang w:val="en-US" w:bidi="ru-RU"/>
        </w:rPr>
        <w:t xml:space="preserve">revenue is used </w:t>
      </w:r>
      <w:r w:rsidR="00BA75C1" w:rsidRPr="00F17567">
        <w:rPr>
          <w:sz w:val="28"/>
          <w:szCs w:val="28"/>
          <w:lang w:val="en-US" w:bidi="ru-RU"/>
        </w:rPr>
        <w:t xml:space="preserve">then </w:t>
      </w:r>
      <w:r w:rsidRPr="00F17567">
        <w:rPr>
          <w:sz w:val="28"/>
          <w:szCs w:val="28"/>
          <w:lang w:val="en-US" w:bidi="ru-RU"/>
        </w:rPr>
        <w:t>to provide social services for the benefit of the society.</w:t>
      </w:r>
    </w:p>
    <w:p w14:paraId="50AFF54D"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 xml:space="preserve">The </w:t>
      </w:r>
      <w:r w:rsidRPr="00F17567">
        <w:rPr>
          <w:b/>
          <w:sz w:val="28"/>
          <w:szCs w:val="28"/>
          <w:lang w:val="en-US" w:bidi="ru-RU"/>
        </w:rPr>
        <w:t>functions of taxes</w:t>
      </w:r>
      <w:r w:rsidRPr="00F17567">
        <w:rPr>
          <w:sz w:val="28"/>
          <w:szCs w:val="28"/>
          <w:lang w:val="en-US" w:bidi="ru-RU"/>
        </w:rPr>
        <w:t xml:space="preserve"> are a manifestation of their essence; they are means to represent the characteristics of taxes. The functions of taxation illustrate its social purpose of the value-based distribution and redistribution of income. Each of the functions fulfilled by the taxation instrument is a manifestation of an internal feature, an indicator</w:t>
      </w:r>
      <w:r w:rsidR="00BA75C1">
        <w:rPr>
          <w:sz w:val="28"/>
          <w:szCs w:val="28"/>
          <w:lang w:val="en-US" w:bidi="ru-RU"/>
        </w:rPr>
        <w:t>,</w:t>
      </w:r>
      <w:r w:rsidRPr="00F17567">
        <w:rPr>
          <w:sz w:val="28"/>
          <w:szCs w:val="28"/>
          <w:lang w:val="en-US" w:bidi="ru-RU"/>
        </w:rPr>
        <w:t xml:space="preserve"> or trait of this economic category. </w:t>
      </w:r>
    </w:p>
    <w:p w14:paraId="09626F9B"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 xml:space="preserve">There are </w:t>
      </w:r>
      <w:r w:rsidRPr="00F17567">
        <w:rPr>
          <w:b/>
          <w:sz w:val="28"/>
          <w:szCs w:val="28"/>
          <w:lang w:val="en-US" w:bidi="ru-RU"/>
        </w:rPr>
        <w:t>five main functions of taxation</w:t>
      </w:r>
      <w:r w:rsidRPr="00F17567">
        <w:rPr>
          <w:sz w:val="28"/>
          <w:szCs w:val="28"/>
          <w:lang w:val="en-US" w:bidi="ru-RU"/>
        </w:rPr>
        <w:t xml:space="preserve">: fiscal, allocation, regulatory, controlling, and incentive.  Taxation regulation entails three </w:t>
      </w:r>
      <w:r w:rsidRPr="00F17567">
        <w:rPr>
          <w:b/>
          <w:sz w:val="28"/>
          <w:szCs w:val="28"/>
          <w:lang w:val="en-US" w:bidi="ru-RU"/>
        </w:rPr>
        <w:t>sub-functions</w:t>
      </w:r>
      <w:r w:rsidRPr="00F17567">
        <w:rPr>
          <w:sz w:val="28"/>
          <w:szCs w:val="28"/>
          <w:lang w:val="en-US" w:bidi="ru-RU"/>
        </w:rPr>
        <w:t xml:space="preserve">: stimulating, destimulating, </w:t>
      </w:r>
      <w:r w:rsidR="00BA75C1">
        <w:rPr>
          <w:sz w:val="28"/>
          <w:szCs w:val="28"/>
          <w:lang w:val="en-US" w:bidi="ru-RU"/>
        </w:rPr>
        <w:t xml:space="preserve">and </w:t>
      </w:r>
      <w:r w:rsidRPr="00F17567">
        <w:rPr>
          <w:sz w:val="28"/>
          <w:szCs w:val="28"/>
          <w:lang w:val="en-US" w:bidi="ru-RU"/>
        </w:rPr>
        <w:t>replication (regeneration).</w:t>
      </w:r>
    </w:p>
    <w:p w14:paraId="20603E9D"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 xml:space="preserve">The main function of taxation is the </w:t>
      </w:r>
      <w:r w:rsidRPr="00F17567">
        <w:rPr>
          <w:b/>
          <w:sz w:val="28"/>
          <w:szCs w:val="28"/>
          <w:lang w:val="en-US" w:bidi="ru-RU"/>
        </w:rPr>
        <w:t xml:space="preserve">fiscal </w:t>
      </w:r>
      <w:r w:rsidRPr="00F17567">
        <w:rPr>
          <w:sz w:val="28"/>
          <w:szCs w:val="28"/>
          <w:lang w:val="en-US" w:bidi="ru-RU"/>
        </w:rPr>
        <w:t xml:space="preserve">one. It is through fiscality that taxes play their role in the formation of the state budget necessary for the realization of national and holistic state programs. The fiscal function provides for the achievement of the main social goal of taxation </w:t>
      </w:r>
      <w:r w:rsidR="00BA75C1">
        <w:rPr>
          <w:lang w:val="en-US"/>
        </w:rPr>
        <w:t>–</w:t>
      </w:r>
      <w:r w:rsidRPr="00F17567">
        <w:rPr>
          <w:sz w:val="28"/>
          <w:szCs w:val="28"/>
          <w:lang w:val="en-US" w:bidi="ru-RU"/>
        </w:rPr>
        <w:t xml:space="preserve"> the formation of the state’s financial resources necessary for executing the role of the latter (defense, social, environmental protection, etc.)</w:t>
      </w:r>
    </w:p>
    <w:p w14:paraId="274ED472"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 xml:space="preserve">The </w:t>
      </w:r>
      <w:r w:rsidRPr="00F17567">
        <w:rPr>
          <w:b/>
          <w:sz w:val="28"/>
          <w:szCs w:val="28"/>
          <w:lang w:val="en-US" w:bidi="ru-RU"/>
        </w:rPr>
        <w:t>allocation function</w:t>
      </w:r>
      <w:r w:rsidRPr="00F17567">
        <w:rPr>
          <w:sz w:val="28"/>
          <w:szCs w:val="28"/>
          <w:lang w:val="en-US" w:bidi="ru-RU"/>
        </w:rPr>
        <w:t xml:space="preserve"> of taxation expresses </w:t>
      </w:r>
      <w:r w:rsidR="00BA75C1">
        <w:rPr>
          <w:sz w:val="28"/>
          <w:szCs w:val="28"/>
          <w:lang w:val="en-US" w:bidi="ru-RU"/>
        </w:rPr>
        <w:t>its</w:t>
      </w:r>
      <w:r w:rsidRPr="00F17567">
        <w:rPr>
          <w:sz w:val="28"/>
          <w:szCs w:val="28"/>
          <w:lang w:val="en-US" w:bidi="ru-RU"/>
        </w:rPr>
        <w:t xml:space="preserve"> essence as a special centralized instrument of allocation relations and consists of the social income redistribution among various groups of citizens: from wealthy to deprived ones, which ultimately </w:t>
      </w:r>
      <w:r w:rsidR="00BA75C1">
        <w:rPr>
          <w:sz w:val="28"/>
          <w:szCs w:val="28"/>
          <w:lang w:val="en-US" w:bidi="ru-RU"/>
        </w:rPr>
        <w:t>maintains</w:t>
      </w:r>
      <w:r w:rsidRPr="00F17567">
        <w:rPr>
          <w:sz w:val="28"/>
          <w:szCs w:val="28"/>
          <w:lang w:val="en-US" w:bidi="ru-RU"/>
        </w:rPr>
        <w:t xml:space="preserve"> social stability </w:t>
      </w:r>
      <w:r w:rsidR="00BA75C1">
        <w:rPr>
          <w:sz w:val="28"/>
          <w:szCs w:val="28"/>
          <w:lang w:val="en-US" w:bidi="ru-RU"/>
        </w:rPr>
        <w:t>in</w:t>
      </w:r>
      <w:r w:rsidRPr="00F17567">
        <w:rPr>
          <w:sz w:val="28"/>
          <w:szCs w:val="28"/>
          <w:lang w:val="en-US" w:bidi="ru-RU"/>
        </w:rPr>
        <w:t xml:space="preserve"> the </w:t>
      </w:r>
      <w:r w:rsidR="00BA75C1">
        <w:rPr>
          <w:sz w:val="28"/>
          <w:szCs w:val="28"/>
          <w:lang w:val="en-US" w:bidi="ru-RU"/>
        </w:rPr>
        <w:t>society</w:t>
      </w:r>
      <w:r w:rsidRPr="00F17567">
        <w:rPr>
          <w:sz w:val="28"/>
          <w:szCs w:val="28"/>
          <w:lang w:val="en-US" w:bidi="ru-RU"/>
        </w:rPr>
        <w:t>.</w:t>
      </w:r>
    </w:p>
    <w:p w14:paraId="1638D0DD" w14:textId="77777777" w:rsidR="00BE42A0" w:rsidRPr="00630F27" w:rsidRDefault="00BE42A0" w:rsidP="00C13409">
      <w:pPr>
        <w:spacing w:line="312" w:lineRule="auto"/>
        <w:ind w:firstLine="709"/>
        <w:contextualSpacing/>
        <w:jc w:val="both"/>
        <w:rPr>
          <w:sz w:val="28"/>
          <w:szCs w:val="28"/>
          <w:lang w:bidi="ru-RU"/>
        </w:rPr>
      </w:pPr>
      <w:r w:rsidRPr="00F17567">
        <w:rPr>
          <w:sz w:val="28"/>
          <w:szCs w:val="28"/>
          <w:lang w:val="en-US" w:bidi="ru-RU"/>
        </w:rPr>
        <w:t xml:space="preserve">The </w:t>
      </w:r>
      <w:r w:rsidRPr="00F17567">
        <w:rPr>
          <w:b/>
          <w:sz w:val="28"/>
          <w:szCs w:val="28"/>
          <w:lang w:val="en-US" w:bidi="ru-RU"/>
        </w:rPr>
        <w:t>regulatory function</w:t>
      </w:r>
      <w:r w:rsidRPr="00F17567">
        <w:rPr>
          <w:sz w:val="28"/>
          <w:szCs w:val="28"/>
          <w:lang w:val="en-US" w:bidi="ru-RU"/>
        </w:rPr>
        <w:t xml:space="preserve"> of taxation was initiated as soon as the state </w:t>
      </w:r>
      <w:r w:rsidR="00BA75C1">
        <w:rPr>
          <w:sz w:val="28"/>
          <w:szCs w:val="28"/>
          <w:lang w:val="en-US" w:bidi="ru-RU"/>
        </w:rPr>
        <w:t>began</w:t>
      </w:r>
      <w:r w:rsidRPr="00F17567">
        <w:rPr>
          <w:sz w:val="28"/>
          <w:szCs w:val="28"/>
          <w:lang w:val="en-US" w:bidi="ru-RU"/>
        </w:rPr>
        <w:t xml:space="preserve"> to take an </w:t>
      </w:r>
      <w:r w:rsidR="00630F27">
        <w:rPr>
          <w:sz w:val="28"/>
          <w:szCs w:val="28"/>
          <w:lang w:val="en-US" w:bidi="ru-RU"/>
        </w:rPr>
        <w:t>active part in the economic set</w:t>
      </w:r>
      <w:r w:rsidRPr="00F17567">
        <w:rPr>
          <w:sz w:val="28"/>
          <w:szCs w:val="28"/>
          <w:lang w:val="en-US" w:bidi="ru-RU"/>
        </w:rPr>
        <w:t>up of the society. This function is aimed at achieving specific goals of the taxation policy through the taxation mechanism. Taxati</w:t>
      </w:r>
      <w:r w:rsidR="00630F27">
        <w:rPr>
          <w:sz w:val="28"/>
          <w:szCs w:val="28"/>
          <w:lang w:val="en-US" w:bidi="ru-RU"/>
        </w:rPr>
        <w:t>on regulation entails three sub-</w:t>
      </w:r>
      <w:r w:rsidR="00630F27" w:rsidRPr="00F17567">
        <w:rPr>
          <w:sz w:val="28"/>
          <w:szCs w:val="28"/>
          <w:lang w:val="en-US" w:bidi="ru-RU"/>
        </w:rPr>
        <w:t>functions</w:t>
      </w:r>
      <w:r w:rsidRPr="00F17567">
        <w:rPr>
          <w:sz w:val="28"/>
          <w:szCs w:val="28"/>
          <w:lang w:val="en-US" w:bidi="ru-RU"/>
        </w:rPr>
        <w:t xml:space="preserve">: </w:t>
      </w:r>
    </w:p>
    <w:p w14:paraId="1CB171A6"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 xml:space="preserve">1) The </w:t>
      </w:r>
      <w:r w:rsidR="00BA75C1">
        <w:rPr>
          <w:b/>
          <w:sz w:val="28"/>
          <w:szCs w:val="28"/>
          <w:lang w:val="en-US" w:bidi="ru-RU"/>
        </w:rPr>
        <w:t>stimulating sub</w:t>
      </w:r>
      <w:r w:rsidR="00630F27">
        <w:rPr>
          <w:b/>
          <w:sz w:val="28"/>
          <w:szCs w:val="28"/>
          <w:lang w:val="en-US" w:bidi="ru-RU"/>
        </w:rPr>
        <w:t>-</w:t>
      </w:r>
      <w:r w:rsidRPr="00F17567">
        <w:rPr>
          <w:b/>
          <w:sz w:val="28"/>
          <w:szCs w:val="28"/>
          <w:lang w:val="en-US" w:bidi="ru-RU"/>
        </w:rPr>
        <w:t>function</w:t>
      </w:r>
      <w:r w:rsidRPr="00F17567">
        <w:rPr>
          <w:sz w:val="28"/>
          <w:szCs w:val="28"/>
          <w:lang w:val="en-US" w:bidi="ru-RU"/>
        </w:rPr>
        <w:t xml:space="preserve"> is aimed at the development of special socio-economic processes and is implemented through a system of allowances, exemptions</w:t>
      </w:r>
      <w:r w:rsidR="00BA75C1">
        <w:rPr>
          <w:sz w:val="28"/>
          <w:szCs w:val="28"/>
          <w:lang w:val="en-US" w:bidi="ru-RU"/>
        </w:rPr>
        <w:t>,</w:t>
      </w:r>
      <w:r w:rsidRPr="00F17567">
        <w:rPr>
          <w:sz w:val="28"/>
          <w:szCs w:val="28"/>
          <w:lang w:val="en-US" w:bidi="ru-RU"/>
        </w:rPr>
        <w:t xml:space="preserve"> and preference arrangements. The legislation in force stipulates the stimulation of a number of taxpayer categories</w:t>
      </w:r>
      <w:r w:rsidR="00BA75C1">
        <w:rPr>
          <w:sz w:val="28"/>
          <w:szCs w:val="28"/>
          <w:lang w:val="en-US" w:bidi="ru-RU"/>
        </w:rPr>
        <w:t>,</w:t>
      </w:r>
      <w:r w:rsidRPr="00F17567">
        <w:rPr>
          <w:sz w:val="28"/>
          <w:szCs w:val="28"/>
          <w:lang w:val="en-US" w:bidi="ru-RU"/>
        </w:rPr>
        <w:t xml:space="preserve"> such as the owners of small enterprises, the agricultural producers, capital investors, or charities. </w:t>
      </w:r>
    </w:p>
    <w:p w14:paraId="5E61AC18"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lastRenderedPageBreak/>
        <w:t xml:space="preserve">2) The </w:t>
      </w:r>
      <w:r w:rsidR="00BA75C1">
        <w:rPr>
          <w:b/>
          <w:sz w:val="28"/>
          <w:szCs w:val="28"/>
          <w:lang w:val="en-US" w:bidi="ru-RU"/>
        </w:rPr>
        <w:t>un</w:t>
      </w:r>
      <w:r w:rsidR="00FA7B64">
        <w:rPr>
          <w:b/>
          <w:sz w:val="28"/>
          <w:szCs w:val="28"/>
          <w:lang w:val="en-US" w:bidi="ru-RU"/>
        </w:rPr>
        <w:t>s</w:t>
      </w:r>
      <w:r w:rsidRPr="00F17567">
        <w:rPr>
          <w:b/>
          <w:sz w:val="28"/>
          <w:szCs w:val="28"/>
          <w:lang w:val="en-US" w:bidi="ru-RU"/>
        </w:rPr>
        <w:t>timulating sub-function</w:t>
      </w:r>
      <w:r w:rsidRPr="00F17567">
        <w:rPr>
          <w:sz w:val="28"/>
          <w:szCs w:val="28"/>
          <w:lang w:val="en-US" w:bidi="ru-RU"/>
        </w:rPr>
        <w:t xml:space="preserve"> inhibits some socio-economic processes through the conscious exaggeration of the taxation burden. As a rule, the effect of this sub-function is related to the introduction of excessive tax rates. These are, for example, the protectionist measures of the state, aimed at supporting local producers through prohibitive import customs duties. It is important to keep in mind, nevertheless, that taxation relations, as any other relations, must replicate continuously. Taxes must be collected today, tomorrow</w:t>
      </w:r>
      <w:r w:rsidR="00BA75C1">
        <w:rPr>
          <w:sz w:val="28"/>
          <w:szCs w:val="28"/>
          <w:lang w:val="en-US" w:bidi="ru-RU"/>
        </w:rPr>
        <w:t>,</w:t>
      </w:r>
      <w:r w:rsidRPr="00F17567">
        <w:rPr>
          <w:sz w:val="28"/>
          <w:szCs w:val="28"/>
          <w:lang w:val="en-US" w:bidi="ru-RU"/>
        </w:rPr>
        <w:t xml:space="preserve"> and always. Th</w:t>
      </w:r>
      <w:r w:rsidR="00F17567">
        <w:rPr>
          <w:sz w:val="28"/>
          <w:szCs w:val="28"/>
          <w:lang w:val="en-US" w:bidi="ru-RU"/>
        </w:rPr>
        <w:t xml:space="preserve">is is why the utilization of this </w:t>
      </w:r>
      <w:r w:rsidRPr="00F17567">
        <w:rPr>
          <w:sz w:val="28"/>
          <w:szCs w:val="28"/>
          <w:lang w:val="en-US" w:bidi="ru-RU"/>
        </w:rPr>
        <w:t xml:space="preserve">sub-function should not lead to the weakening of the taxation basis, to suppression, or even to the liquidation of the tax source. Such an exaggeration may result in a situation where there will be no income/processes to be taxed. </w:t>
      </w:r>
    </w:p>
    <w:p w14:paraId="6413F6CC"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 xml:space="preserve">3) The </w:t>
      </w:r>
      <w:r w:rsidRPr="00F17567">
        <w:rPr>
          <w:b/>
          <w:sz w:val="28"/>
          <w:szCs w:val="28"/>
          <w:lang w:val="en-US" w:bidi="ru-RU"/>
        </w:rPr>
        <w:t>replication (regeneration) sub-function</w:t>
      </w:r>
      <w:r w:rsidRPr="00F17567">
        <w:rPr>
          <w:sz w:val="28"/>
          <w:szCs w:val="28"/>
          <w:lang w:val="en-US" w:bidi="ru-RU"/>
        </w:rPr>
        <w:t xml:space="preserve"> is explained as follows: by taxing the utilization of natural resources, roads, mineral and primary resources, the state uses these proceeds in order to regenerate the exploited resources.</w:t>
      </w:r>
    </w:p>
    <w:p w14:paraId="6CEFE765"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 xml:space="preserve">The </w:t>
      </w:r>
      <w:r w:rsidRPr="00F17567">
        <w:rPr>
          <w:b/>
          <w:sz w:val="28"/>
          <w:szCs w:val="28"/>
          <w:lang w:val="en-US" w:bidi="ru-RU"/>
        </w:rPr>
        <w:t>controlling function</w:t>
      </w:r>
      <w:r w:rsidRPr="00F17567">
        <w:rPr>
          <w:sz w:val="28"/>
          <w:szCs w:val="28"/>
          <w:lang w:val="en-US" w:bidi="ru-RU"/>
        </w:rPr>
        <w:t xml:space="preserve"> of taxation </w:t>
      </w:r>
      <w:r w:rsidR="00BA75C1">
        <w:rPr>
          <w:lang w:val="en-US"/>
        </w:rPr>
        <w:t>–</w:t>
      </w:r>
      <w:r w:rsidRPr="00F17567">
        <w:rPr>
          <w:sz w:val="28"/>
          <w:szCs w:val="28"/>
          <w:lang w:val="en-US" w:bidi="ru-RU"/>
        </w:rPr>
        <w:t xml:space="preserve"> through taxation, the state controls the financial-economic activity of juridical and natural persons. This also contributes to controlling the sources of income and the directions of spending.</w:t>
      </w:r>
    </w:p>
    <w:p w14:paraId="4A8CEE20"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 xml:space="preserve">The </w:t>
      </w:r>
      <w:r w:rsidRPr="00F17567">
        <w:rPr>
          <w:b/>
          <w:sz w:val="28"/>
          <w:szCs w:val="28"/>
          <w:lang w:val="en-US" w:bidi="ru-RU"/>
        </w:rPr>
        <w:t>incentive function</w:t>
      </w:r>
      <w:r w:rsidRPr="00F17567">
        <w:rPr>
          <w:sz w:val="28"/>
          <w:szCs w:val="28"/>
          <w:lang w:val="en-US" w:bidi="ru-RU"/>
        </w:rPr>
        <w:t xml:space="preserve"> stipulates special taxation arrangements for a certain group of citizens, who are social achievers (participants in wars, etc.). This function of taxation has a social facet.</w:t>
      </w:r>
    </w:p>
    <w:p w14:paraId="1B9812C6"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The tax system usually involves a tripartite aspect, namely the policy, the tax laws, and the tax administration. These are the guidelines underlying a good tax system. A good tax system</w:t>
      </w:r>
      <w:r w:rsidR="00BA75C1">
        <w:rPr>
          <w:sz w:val="28"/>
          <w:szCs w:val="28"/>
          <w:lang w:val="en-US" w:bidi="ru-RU"/>
        </w:rPr>
        <w:t xml:space="preserve"> is</w:t>
      </w:r>
      <w:r w:rsidRPr="00F17567">
        <w:rPr>
          <w:sz w:val="28"/>
          <w:szCs w:val="28"/>
          <w:lang w:val="en-US" w:bidi="ru-RU"/>
        </w:rPr>
        <w:t xml:space="preserve"> based on </w:t>
      </w:r>
      <w:r w:rsidR="00BA75C1">
        <w:rPr>
          <w:sz w:val="28"/>
          <w:szCs w:val="28"/>
          <w:lang w:val="en-US" w:bidi="ru-RU"/>
        </w:rPr>
        <w:t xml:space="preserve">the </w:t>
      </w:r>
      <w:r w:rsidRPr="00F17567">
        <w:rPr>
          <w:sz w:val="28"/>
          <w:szCs w:val="28"/>
          <w:lang w:val="en-US" w:bidi="ru-RU"/>
        </w:rPr>
        <w:t xml:space="preserve">following </w:t>
      </w:r>
      <w:r w:rsidRPr="00F17567">
        <w:rPr>
          <w:b/>
          <w:sz w:val="28"/>
          <w:szCs w:val="28"/>
          <w:lang w:val="en-US" w:bidi="ru-RU"/>
        </w:rPr>
        <w:t>principles of taxation</w:t>
      </w:r>
      <w:r w:rsidRPr="00F17567">
        <w:rPr>
          <w:sz w:val="28"/>
          <w:szCs w:val="28"/>
          <w:lang w:val="en-US" w:bidi="ru-RU"/>
        </w:rPr>
        <w:t>: certainty, the economy in collection cost, convenience, efficiency, equity, flexibility,</w:t>
      </w:r>
      <w:r w:rsidR="00BA75C1">
        <w:rPr>
          <w:sz w:val="28"/>
          <w:szCs w:val="28"/>
          <w:lang w:val="en-US" w:bidi="ru-RU"/>
        </w:rPr>
        <w:t xml:space="preserve"> and</w:t>
      </w:r>
      <w:r w:rsidRPr="00F17567">
        <w:rPr>
          <w:sz w:val="28"/>
          <w:szCs w:val="28"/>
          <w:lang w:val="en-US" w:bidi="ru-RU"/>
        </w:rPr>
        <w:t xml:space="preserve"> neutrality.</w:t>
      </w:r>
    </w:p>
    <w:p w14:paraId="341504E8" w14:textId="77777777" w:rsidR="00BE42A0" w:rsidRPr="00F17567" w:rsidRDefault="00BA75C1" w:rsidP="00C13409">
      <w:pPr>
        <w:spacing w:line="312" w:lineRule="auto"/>
        <w:ind w:firstLine="709"/>
        <w:contextualSpacing/>
        <w:jc w:val="both"/>
        <w:rPr>
          <w:sz w:val="28"/>
          <w:szCs w:val="28"/>
          <w:lang w:val="en-US" w:bidi="ru-RU"/>
        </w:rPr>
      </w:pPr>
      <w:r w:rsidRPr="00BA75C1">
        <w:rPr>
          <w:sz w:val="28"/>
          <w:szCs w:val="28"/>
          <w:lang w:val="en-US" w:bidi="ru-RU"/>
        </w:rPr>
        <w:t xml:space="preserve">There </w:t>
      </w:r>
      <w:r w:rsidRPr="00F17567">
        <w:rPr>
          <w:sz w:val="28"/>
          <w:szCs w:val="28"/>
          <w:lang w:val="en-US" w:bidi="ru-RU"/>
        </w:rPr>
        <w:t>are the following</w:t>
      </w:r>
      <w:r w:rsidRPr="00F17567">
        <w:rPr>
          <w:b/>
          <w:sz w:val="28"/>
          <w:szCs w:val="28"/>
          <w:lang w:val="en-US" w:bidi="ru-RU"/>
        </w:rPr>
        <w:t xml:space="preserve"> </w:t>
      </w:r>
      <w:r>
        <w:rPr>
          <w:b/>
          <w:sz w:val="28"/>
          <w:szCs w:val="28"/>
          <w:lang w:val="en-US" w:bidi="ru-RU"/>
        </w:rPr>
        <w:t>m</w:t>
      </w:r>
      <w:r w:rsidR="00BE42A0" w:rsidRPr="00F17567">
        <w:rPr>
          <w:b/>
          <w:sz w:val="28"/>
          <w:szCs w:val="28"/>
          <w:lang w:val="en-US" w:bidi="ru-RU"/>
        </w:rPr>
        <w:t>ain elements of the tax system</w:t>
      </w:r>
      <w:r>
        <w:rPr>
          <w:sz w:val="28"/>
          <w:szCs w:val="28"/>
          <w:lang w:val="en-US" w:bidi="ru-RU"/>
        </w:rPr>
        <w:t>: taxpayers; taxable item;</w:t>
      </w:r>
      <w:r w:rsidR="00BE42A0" w:rsidRPr="00F17567">
        <w:rPr>
          <w:sz w:val="28"/>
          <w:szCs w:val="28"/>
          <w:lang w:val="en-US" w:bidi="ru-RU"/>
        </w:rPr>
        <w:t xml:space="preserve"> tax base; tax rate; tax calculation procedure; tax period; tax payment period and procedure; period and procedure for filing tax calculation and payment reporting. In establishing the tax, tax privileges and application thereof may be provided.</w:t>
      </w:r>
    </w:p>
    <w:p w14:paraId="2569FCFE" w14:textId="77777777" w:rsidR="00BE42A0" w:rsidRPr="00F17567" w:rsidRDefault="00BE42A0" w:rsidP="00C13409">
      <w:pPr>
        <w:spacing w:line="312" w:lineRule="auto"/>
        <w:ind w:firstLine="709"/>
        <w:contextualSpacing/>
        <w:jc w:val="both"/>
        <w:rPr>
          <w:sz w:val="28"/>
          <w:szCs w:val="28"/>
          <w:lang w:val="en-US" w:bidi="ru-RU"/>
        </w:rPr>
      </w:pPr>
      <w:r w:rsidRPr="00F17567">
        <w:rPr>
          <w:sz w:val="28"/>
          <w:szCs w:val="28"/>
          <w:lang w:val="en-US" w:bidi="ru-RU"/>
        </w:rPr>
        <w:t xml:space="preserve">There are various ways in which taxes can be classified depending on the perspective at which one is looking at taxes. One can classify taxes from the perspective of the object or subject matter, the determination of amount, the purpose, the scope, the graduation of rate or the distribution of the tax burden, the tax subject or the bearers of burden, etc. </w:t>
      </w:r>
    </w:p>
    <w:p w14:paraId="6E1B6567" w14:textId="77777777" w:rsidR="00BE42A0" w:rsidRDefault="00BA75C1" w:rsidP="00C13409">
      <w:pPr>
        <w:spacing w:line="312" w:lineRule="auto"/>
        <w:ind w:firstLine="709"/>
        <w:contextualSpacing/>
        <w:jc w:val="both"/>
        <w:rPr>
          <w:sz w:val="28"/>
          <w:szCs w:val="28"/>
          <w:lang w:val="en-US" w:bidi="ru-RU"/>
        </w:rPr>
      </w:pPr>
      <w:r>
        <w:rPr>
          <w:sz w:val="28"/>
          <w:szCs w:val="28"/>
          <w:lang w:val="en-US" w:bidi="ru-RU"/>
        </w:rPr>
        <w:lastRenderedPageBreak/>
        <w:t>T</w:t>
      </w:r>
      <w:r w:rsidR="00BE42A0" w:rsidRPr="00F17567">
        <w:rPr>
          <w:sz w:val="28"/>
          <w:szCs w:val="28"/>
          <w:lang w:val="en-US" w:bidi="ru-RU"/>
        </w:rPr>
        <w:t>able 4.1 present</w:t>
      </w:r>
      <w:r>
        <w:rPr>
          <w:sz w:val="28"/>
          <w:szCs w:val="28"/>
          <w:lang w:val="en-US" w:bidi="ru-RU"/>
        </w:rPr>
        <w:t>s</w:t>
      </w:r>
      <w:r w:rsidR="00BE42A0" w:rsidRPr="00F17567">
        <w:rPr>
          <w:sz w:val="28"/>
          <w:szCs w:val="28"/>
          <w:lang w:val="en-US" w:bidi="ru-RU"/>
        </w:rPr>
        <w:t xml:space="preserve"> several types and classes of taxation, for which the rates can vary depending on the legal form of the company.</w:t>
      </w:r>
    </w:p>
    <w:p w14:paraId="2C0E050C" w14:textId="77777777" w:rsidR="00FA7B64" w:rsidRDefault="00FA7B64" w:rsidP="00FA7B64">
      <w:pPr>
        <w:spacing w:line="312" w:lineRule="auto"/>
        <w:contextualSpacing/>
        <w:jc w:val="both"/>
        <w:rPr>
          <w:sz w:val="28"/>
          <w:szCs w:val="28"/>
          <w:lang w:val="en-US" w:bidi="ru-RU"/>
        </w:rPr>
      </w:pPr>
    </w:p>
    <w:p w14:paraId="30E4751A" w14:textId="77777777" w:rsidR="00BE42A0" w:rsidRPr="00F17567" w:rsidRDefault="00BE42A0" w:rsidP="00FA7B64">
      <w:pPr>
        <w:spacing w:line="312" w:lineRule="auto"/>
        <w:ind w:left="-142"/>
        <w:contextualSpacing/>
        <w:jc w:val="both"/>
        <w:rPr>
          <w:b/>
          <w:sz w:val="28"/>
          <w:szCs w:val="28"/>
          <w:lang w:val="en-US" w:bidi="ru-RU"/>
        </w:rPr>
      </w:pPr>
      <w:r w:rsidRPr="00F17567">
        <w:rPr>
          <w:b/>
          <w:sz w:val="28"/>
          <w:szCs w:val="28"/>
          <w:lang w:val="en-US" w:bidi="ru-RU"/>
        </w:rPr>
        <w:t>Table 4.1</w:t>
      </w:r>
      <w:r w:rsidR="00630F27">
        <w:rPr>
          <w:b/>
          <w:sz w:val="28"/>
          <w:szCs w:val="28"/>
          <w:lang w:val="en-US" w:bidi="ru-RU"/>
        </w:rPr>
        <w:t xml:space="preserve"> – </w:t>
      </w:r>
      <w:r w:rsidRPr="00F17567">
        <w:rPr>
          <w:b/>
          <w:sz w:val="28"/>
          <w:szCs w:val="28"/>
          <w:lang w:val="en-US" w:bidi="ru-RU"/>
        </w:rPr>
        <w:t>Classification of taxes</w:t>
      </w:r>
    </w:p>
    <w:tbl>
      <w:tblPr>
        <w:tblStyle w:val="32"/>
        <w:tblW w:w="0" w:type="auto"/>
        <w:tblLook w:val="04A0" w:firstRow="1" w:lastRow="0" w:firstColumn="1" w:lastColumn="0" w:noHBand="0" w:noVBand="1"/>
      </w:tblPr>
      <w:tblGrid>
        <w:gridCol w:w="1668"/>
        <w:gridCol w:w="1559"/>
        <w:gridCol w:w="6237"/>
      </w:tblGrid>
      <w:tr w:rsidR="00BE42A0" w:rsidRPr="00F17567" w14:paraId="05179602" w14:textId="77777777" w:rsidTr="00F17567">
        <w:tc>
          <w:tcPr>
            <w:tcW w:w="1668" w:type="dxa"/>
            <w:shd w:val="clear" w:color="auto" w:fill="D9D9D9" w:themeFill="background1" w:themeFillShade="D9"/>
            <w:vAlign w:val="center"/>
          </w:tcPr>
          <w:p w14:paraId="476D34D2" w14:textId="77777777" w:rsidR="00BE42A0" w:rsidRPr="00F17567" w:rsidRDefault="00BE42A0" w:rsidP="00BE42A0">
            <w:pPr>
              <w:contextualSpacing/>
              <w:jc w:val="center"/>
              <w:rPr>
                <w:szCs w:val="28"/>
                <w:lang w:val="en-US" w:bidi="ru-RU"/>
              </w:rPr>
            </w:pPr>
            <w:r w:rsidRPr="00F17567">
              <w:rPr>
                <w:szCs w:val="28"/>
                <w:lang w:val="en-US" w:bidi="ru-RU"/>
              </w:rPr>
              <w:t>Criterion of classification</w:t>
            </w:r>
          </w:p>
        </w:tc>
        <w:tc>
          <w:tcPr>
            <w:tcW w:w="1559" w:type="dxa"/>
            <w:shd w:val="clear" w:color="auto" w:fill="D9D9D9" w:themeFill="background1" w:themeFillShade="D9"/>
            <w:vAlign w:val="center"/>
          </w:tcPr>
          <w:p w14:paraId="439035FA" w14:textId="77777777" w:rsidR="00BE42A0" w:rsidRPr="00F17567" w:rsidRDefault="00BE42A0" w:rsidP="00BE42A0">
            <w:pPr>
              <w:contextualSpacing/>
              <w:jc w:val="center"/>
              <w:rPr>
                <w:szCs w:val="28"/>
                <w:lang w:val="en-US" w:bidi="ru-RU"/>
              </w:rPr>
            </w:pPr>
            <w:r w:rsidRPr="00F17567">
              <w:rPr>
                <w:szCs w:val="28"/>
                <w:lang w:val="en-US" w:bidi="ru-RU"/>
              </w:rPr>
              <w:t>Type of taxes</w:t>
            </w:r>
          </w:p>
        </w:tc>
        <w:tc>
          <w:tcPr>
            <w:tcW w:w="6237" w:type="dxa"/>
            <w:shd w:val="clear" w:color="auto" w:fill="D9D9D9" w:themeFill="background1" w:themeFillShade="D9"/>
            <w:vAlign w:val="center"/>
          </w:tcPr>
          <w:p w14:paraId="0E73A1EC" w14:textId="77777777" w:rsidR="00BE42A0" w:rsidRPr="00F17567" w:rsidRDefault="00BE42A0" w:rsidP="00BE42A0">
            <w:pPr>
              <w:contextualSpacing/>
              <w:jc w:val="center"/>
              <w:rPr>
                <w:szCs w:val="28"/>
                <w:lang w:val="en-US" w:bidi="ru-RU"/>
              </w:rPr>
            </w:pPr>
            <w:r w:rsidRPr="00F17567">
              <w:rPr>
                <w:szCs w:val="28"/>
                <w:lang w:val="en-US" w:bidi="ru-RU"/>
              </w:rPr>
              <w:t>Description/ Meaning</w:t>
            </w:r>
          </w:p>
        </w:tc>
      </w:tr>
      <w:tr w:rsidR="00630F27" w:rsidRPr="00F17567" w14:paraId="65E18107" w14:textId="77777777" w:rsidTr="00F17567">
        <w:tc>
          <w:tcPr>
            <w:tcW w:w="1668" w:type="dxa"/>
            <w:shd w:val="clear" w:color="auto" w:fill="D9D9D9" w:themeFill="background1" w:themeFillShade="D9"/>
            <w:vAlign w:val="center"/>
          </w:tcPr>
          <w:p w14:paraId="74E271D6" w14:textId="77777777" w:rsidR="00630F27" w:rsidRPr="00F17567" w:rsidRDefault="00630F27" w:rsidP="00BE42A0">
            <w:pPr>
              <w:contextualSpacing/>
              <w:jc w:val="center"/>
              <w:rPr>
                <w:szCs w:val="28"/>
                <w:lang w:val="en-US" w:bidi="ru-RU"/>
              </w:rPr>
            </w:pPr>
            <w:r>
              <w:rPr>
                <w:szCs w:val="28"/>
                <w:lang w:val="en-US" w:bidi="ru-RU"/>
              </w:rPr>
              <w:t>1</w:t>
            </w:r>
          </w:p>
        </w:tc>
        <w:tc>
          <w:tcPr>
            <w:tcW w:w="1559" w:type="dxa"/>
            <w:shd w:val="clear" w:color="auto" w:fill="D9D9D9" w:themeFill="background1" w:themeFillShade="D9"/>
            <w:vAlign w:val="center"/>
          </w:tcPr>
          <w:p w14:paraId="2E3617E7" w14:textId="77777777" w:rsidR="00630F27" w:rsidRPr="00F17567" w:rsidRDefault="00630F27" w:rsidP="00BE42A0">
            <w:pPr>
              <w:contextualSpacing/>
              <w:jc w:val="center"/>
              <w:rPr>
                <w:szCs w:val="28"/>
                <w:lang w:val="en-US" w:bidi="ru-RU"/>
              </w:rPr>
            </w:pPr>
            <w:r>
              <w:rPr>
                <w:szCs w:val="28"/>
                <w:lang w:val="en-US" w:bidi="ru-RU"/>
              </w:rPr>
              <w:t>2</w:t>
            </w:r>
          </w:p>
        </w:tc>
        <w:tc>
          <w:tcPr>
            <w:tcW w:w="6237" w:type="dxa"/>
            <w:shd w:val="clear" w:color="auto" w:fill="D9D9D9" w:themeFill="background1" w:themeFillShade="D9"/>
            <w:vAlign w:val="center"/>
          </w:tcPr>
          <w:p w14:paraId="6C3FC7D1" w14:textId="77777777" w:rsidR="00630F27" w:rsidRPr="00F17567" w:rsidRDefault="00630F27" w:rsidP="00BE42A0">
            <w:pPr>
              <w:contextualSpacing/>
              <w:jc w:val="center"/>
              <w:rPr>
                <w:szCs w:val="28"/>
                <w:lang w:val="en-US" w:bidi="ru-RU"/>
              </w:rPr>
            </w:pPr>
            <w:r>
              <w:rPr>
                <w:szCs w:val="28"/>
                <w:lang w:val="en-US" w:bidi="ru-RU"/>
              </w:rPr>
              <w:t>3</w:t>
            </w:r>
          </w:p>
        </w:tc>
      </w:tr>
      <w:tr w:rsidR="00BE42A0" w:rsidRPr="00F17567" w14:paraId="2AC26244" w14:textId="77777777" w:rsidTr="00BE42A0">
        <w:tc>
          <w:tcPr>
            <w:tcW w:w="1668" w:type="dxa"/>
            <w:vMerge w:val="restart"/>
          </w:tcPr>
          <w:p w14:paraId="171FDD29" w14:textId="77777777" w:rsidR="00BE42A0" w:rsidRPr="00F17567" w:rsidRDefault="00BE42A0" w:rsidP="00BE42A0">
            <w:pPr>
              <w:contextualSpacing/>
              <w:rPr>
                <w:szCs w:val="28"/>
                <w:lang w:val="en-US" w:bidi="ru-RU"/>
              </w:rPr>
            </w:pPr>
            <w:r w:rsidRPr="00F17567">
              <w:rPr>
                <w:szCs w:val="28"/>
                <w:lang w:val="en-US" w:bidi="ru-RU"/>
              </w:rPr>
              <w:t>Perspective of tax subject (according to who bears the burden)</w:t>
            </w:r>
          </w:p>
        </w:tc>
        <w:tc>
          <w:tcPr>
            <w:tcW w:w="1559" w:type="dxa"/>
          </w:tcPr>
          <w:p w14:paraId="3C742BC9" w14:textId="77777777" w:rsidR="00BE42A0" w:rsidRPr="00F17567" w:rsidRDefault="00BE42A0" w:rsidP="00BE42A0">
            <w:pPr>
              <w:contextualSpacing/>
              <w:jc w:val="center"/>
              <w:rPr>
                <w:szCs w:val="28"/>
                <w:lang w:val="en-US" w:bidi="ru-RU"/>
              </w:rPr>
            </w:pPr>
            <w:r w:rsidRPr="00F17567">
              <w:rPr>
                <w:szCs w:val="28"/>
                <w:lang w:val="en-US" w:bidi="ru-RU"/>
              </w:rPr>
              <w:t>Direct tax</w:t>
            </w:r>
          </w:p>
        </w:tc>
        <w:tc>
          <w:tcPr>
            <w:tcW w:w="6237" w:type="dxa"/>
          </w:tcPr>
          <w:p w14:paraId="4FC09935" w14:textId="77777777" w:rsidR="00BE42A0" w:rsidRPr="00F17567" w:rsidRDefault="00BE42A0" w:rsidP="00BA75C1">
            <w:pPr>
              <w:contextualSpacing/>
              <w:jc w:val="both"/>
              <w:rPr>
                <w:szCs w:val="28"/>
                <w:lang w:val="en-US" w:bidi="ru-RU"/>
              </w:rPr>
            </w:pPr>
            <w:r w:rsidRPr="00F17567">
              <w:rPr>
                <w:szCs w:val="28"/>
                <w:lang w:val="en-US" w:bidi="ru-RU"/>
              </w:rPr>
              <w:t xml:space="preserve">is directly demanded from and paid by the taxpayers (levied directly). A direct tax is borne entirely by the entity that pays it and cannot be passed on to another entity. Metrix of direct tax: (i) it has a lower cost of collection; (ii) it is more equitable as </w:t>
            </w:r>
            <w:r w:rsidR="00BA75C1">
              <w:rPr>
                <w:szCs w:val="28"/>
                <w:lang w:val="en-US" w:bidi="ru-RU"/>
              </w:rPr>
              <w:t>a</w:t>
            </w:r>
            <w:r w:rsidRPr="00F17567">
              <w:rPr>
                <w:szCs w:val="28"/>
                <w:lang w:val="en-US" w:bidi="ru-RU"/>
              </w:rPr>
              <w:t xml:space="preserve"> taxpayer with higher income bears a greater burden; (iii) it is easier to ascertain tax incidence. Demerits of direct taxes: (i) it may discourage hard work; (ii) it can give room for tax evasion especially if tax rates are high, (iii) it may cause social unrest especially if tax rates are very high since the t</w:t>
            </w:r>
            <w:r w:rsidR="00BA75C1">
              <w:rPr>
                <w:szCs w:val="28"/>
                <w:lang w:val="en-US" w:bidi="ru-RU"/>
              </w:rPr>
              <w:t xml:space="preserve">axpayers bear the whole burden: </w:t>
            </w:r>
            <w:r w:rsidRPr="00F17567">
              <w:rPr>
                <w:szCs w:val="28"/>
                <w:lang w:val="en-US" w:bidi="ru-RU"/>
              </w:rPr>
              <w:t>corporate profit tax, income tax, social security contributions, etc.</w:t>
            </w:r>
          </w:p>
        </w:tc>
      </w:tr>
      <w:tr w:rsidR="00BE42A0" w:rsidRPr="00F17567" w14:paraId="4CE6CFFE" w14:textId="77777777" w:rsidTr="00BE42A0">
        <w:tc>
          <w:tcPr>
            <w:tcW w:w="1668" w:type="dxa"/>
            <w:vMerge/>
          </w:tcPr>
          <w:p w14:paraId="7E40A6A3" w14:textId="77777777" w:rsidR="00BE42A0" w:rsidRPr="00F17567" w:rsidRDefault="00BE42A0" w:rsidP="00BE42A0">
            <w:pPr>
              <w:contextualSpacing/>
              <w:jc w:val="both"/>
              <w:rPr>
                <w:szCs w:val="28"/>
                <w:lang w:val="en-US" w:bidi="ru-RU"/>
              </w:rPr>
            </w:pPr>
          </w:p>
        </w:tc>
        <w:tc>
          <w:tcPr>
            <w:tcW w:w="1559" w:type="dxa"/>
          </w:tcPr>
          <w:p w14:paraId="1145B68D" w14:textId="77777777" w:rsidR="00BE42A0" w:rsidRPr="00F17567" w:rsidRDefault="00BE42A0" w:rsidP="00BE42A0">
            <w:pPr>
              <w:contextualSpacing/>
              <w:jc w:val="center"/>
              <w:rPr>
                <w:szCs w:val="28"/>
                <w:lang w:val="en-US" w:bidi="ru-RU"/>
              </w:rPr>
            </w:pPr>
            <w:r w:rsidRPr="00F17567">
              <w:rPr>
                <w:szCs w:val="28"/>
                <w:lang w:val="en-US" w:bidi="ru-RU"/>
              </w:rPr>
              <w:t>Indirect tax</w:t>
            </w:r>
          </w:p>
        </w:tc>
        <w:tc>
          <w:tcPr>
            <w:tcW w:w="6237" w:type="dxa"/>
          </w:tcPr>
          <w:p w14:paraId="3A78F1F3" w14:textId="77777777" w:rsidR="00BE42A0" w:rsidRPr="00F17567" w:rsidRDefault="00BE42A0" w:rsidP="00BA75C1">
            <w:pPr>
              <w:contextualSpacing/>
              <w:jc w:val="both"/>
              <w:rPr>
                <w:szCs w:val="28"/>
                <w:lang w:val="en-US" w:bidi="ru-RU"/>
              </w:rPr>
            </w:pPr>
            <w:r w:rsidRPr="00F17567">
              <w:rPr>
                <w:szCs w:val="28"/>
                <w:lang w:val="en-US" w:bidi="ru-RU"/>
              </w:rPr>
              <w:t xml:space="preserve">is a charge levied by the </w:t>
            </w:r>
            <w:r w:rsidR="00BA75C1">
              <w:rPr>
                <w:szCs w:val="28"/>
                <w:lang w:val="en-US" w:bidi="ru-RU"/>
              </w:rPr>
              <w:t>s</w:t>
            </w:r>
            <w:r w:rsidRPr="00F17567">
              <w:rPr>
                <w:szCs w:val="28"/>
                <w:lang w:val="en-US" w:bidi="ru-RU"/>
              </w:rPr>
              <w:t xml:space="preserve">tate on consumption, expenditure, privilege, or right but not on income or property. Indirect tax is demanded from a certain person in the intention as well as an expectation that the particular person </w:t>
            </w:r>
            <w:r w:rsidR="00BA75C1">
              <w:rPr>
                <w:szCs w:val="28"/>
                <w:lang w:val="en-US" w:bidi="ru-RU"/>
              </w:rPr>
              <w:t>will</w:t>
            </w:r>
            <w:r w:rsidRPr="00F17567">
              <w:rPr>
                <w:szCs w:val="28"/>
                <w:lang w:val="en-US" w:bidi="ru-RU"/>
              </w:rPr>
              <w:t xml:space="preserve"> indemnify himself at the expense of another. Merits of indirect tax: (i) it is a good source of revenue to government; (ii) it can be adjusted easily; (iii) it is a veritable fiscal tool to check pattern of consumption of undesirable goods; (iv) it can be used to protect infant industries; (v) it is more difficult to evade. Demerits of indirect tax: (i) the cost of collection may be higher; (ii) where collusion</w:t>
            </w:r>
            <w:r w:rsidR="00BA75C1">
              <w:rPr>
                <w:szCs w:val="28"/>
                <w:lang w:val="en-US" w:bidi="ru-RU"/>
              </w:rPr>
              <w:t xml:space="preserve"> is</w:t>
            </w:r>
            <w:r w:rsidRPr="00F17567">
              <w:rPr>
                <w:szCs w:val="28"/>
                <w:lang w:val="en-US" w:bidi="ru-RU"/>
              </w:rPr>
              <w:t xml:space="preserve"> between tax officials and taxpayers to evade tax, there could be the loss of revenue; (iii) may discourage investment in local industries especially in case of high</w:t>
            </w:r>
            <w:r w:rsidR="00BA75C1">
              <w:rPr>
                <w:szCs w:val="28"/>
                <w:lang w:val="en-US" w:bidi="ru-RU"/>
              </w:rPr>
              <w:t xml:space="preserve"> export duties or excise duties: </w:t>
            </w:r>
            <w:r w:rsidRPr="00F17567">
              <w:rPr>
                <w:szCs w:val="28"/>
                <w:lang w:val="en-US" w:bidi="ru-RU"/>
              </w:rPr>
              <w:t xml:space="preserve">sales tax (in Ukraine </w:t>
            </w:r>
            <w:r w:rsidR="00BA75C1" w:rsidRPr="00BA75C1">
              <w:rPr>
                <w:szCs w:val="28"/>
                <w:lang w:val="en-US" w:bidi="ru-RU"/>
              </w:rPr>
              <w:t>–</w:t>
            </w:r>
            <w:r w:rsidRPr="00F17567">
              <w:rPr>
                <w:szCs w:val="28"/>
                <w:lang w:val="en-US" w:bidi="ru-RU"/>
              </w:rPr>
              <w:t xml:space="preserve"> value added tax), excise duty, customs duty, etc.</w:t>
            </w:r>
          </w:p>
        </w:tc>
      </w:tr>
      <w:tr w:rsidR="00BE42A0" w:rsidRPr="00F17567" w14:paraId="663B7BA7" w14:textId="77777777" w:rsidTr="00BE42A0">
        <w:tc>
          <w:tcPr>
            <w:tcW w:w="1668" w:type="dxa"/>
            <w:vMerge w:val="restart"/>
          </w:tcPr>
          <w:p w14:paraId="4DC61F82" w14:textId="77777777" w:rsidR="00BE42A0" w:rsidRPr="00F17567" w:rsidRDefault="00BE42A0" w:rsidP="00BE42A0">
            <w:pPr>
              <w:contextualSpacing/>
              <w:jc w:val="both"/>
              <w:rPr>
                <w:szCs w:val="28"/>
                <w:lang w:val="en-US" w:bidi="ru-RU"/>
              </w:rPr>
            </w:pPr>
            <w:r w:rsidRPr="00F17567">
              <w:rPr>
                <w:szCs w:val="28"/>
                <w:lang w:val="en-US" w:bidi="ru-RU"/>
              </w:rPr>
              <w:t>Determination of the amount</w:t>
            </w:r>
          </w:p>
        </w:tc>
        <w:tc>
          <w:tcPr>
            <w:tcW w:w="1559" w:type="dxa"/>
          </w:tcPr>
          <w:p w14:paraId="44B3AF12" w14:textId="77777777" w:rsidR="00BE42A0" w:rsidRPr="00F17567" w:rsidRDefault="00BE42A0" w:rsidP="00BE42A0">
            <w:pPr>
              <w:contextualSpacing/>
              <w:rPr>
                <w:szCs w:val="28"/>
                <w:lang w:val="en-US" w:bidi="ru-RU"/>
              </w:rPr>
            </w:pPr>
            <w:r w:rsidRPr="00F17567">
              <w:rPr>
                <w:szCs w:val="28"/>
                <w:lang w:val="en-US" w:bidi="ru-RU"/>
              </w:rPr>
              <w:t>Specific tax (also per unit tax)</w:t>
            </w:r>
          </w:p>
        </w:tc>
        <w:tc>
          <w:tcPr>
            <w:tcW w:w="6237" w:type="dxa"/>
          </w:tcPr>
          <w:p w14:paraId="3C500E25" w14:textId="77777777" w:rsidR="00BE42A0" w:rsidRPr="00F17567" w:rsidRDefault="00BE42A0" w:rsidP="00BE42A0">
            <w:pPr>
              <w:contextualSpacing/>
              <w:jc w:val="both"/>
              <w:rPr>
                <w:szCs w:val="28"/>
                <w:lang w:val="en-US" w:bidi="ru-RU"/>
              </w:rPr>
            </w:pPr>
            <w:r w:rsidRPr="00F17567">
              <w:rPr>
                <w:szCs w:val="28"/>
                <w:lang w:val="en-US" w:bidi="ru-RU"/>
              </w:rPr>
              <w:t>is a levy assessed by an authority that is based on a certain product amount, but not on its price. A specific tax is typically incurred by a business in a fixed amount that is determined by the number or weight of products or taxable items (such as cents per kilogram)</w:t>
            </w:r>
          </w:p>
        </w:tc>
      </w:tr>
      <w:tr w:rsidR="00BE42A0" w:rsidRPr="00F17567" w14:paraId="73A22152" w14:textId="77777777" w:rsidTr="00BE42A0">
        <w:tc>
          <w:tcPr>
            <w:tcW w:w="1668" w:type="dxa"/>
            <w:vMerge/>
          </w:tcPr>
          <w:p w14:paraId="1303AA2F" w14:textId="77777777" w:rsidR="00BE42A0" w:rsidRPr="00F17567" w:rsidRDefault="00BE42A0" w:rsidP="00BE42A0">
            <w:pPr>
              <w:contextualSpacing/>
              <w:jc w:val="both"/>
              <w:rPr>
                <w:szCs w:val="28"/>
                <w:lang w:val="en-US" w:bidi="ru-RU"/>
              </w:rPr>
            </w:pPr>
          </w:p>
        </w:tc>
        <w:tc>
          <w:tcPr>
            <w:tcW w:w="1559" w:type="dxa"/>
          </w:tcPr>
          <w:p w14:paraId="0EA491DD" w14:textId="77777777" w:rsidR="00BE42A0" w:rsidRPr="00F17567" w:rsidRDefault="00BE42A0" w:rsidP="00BE42A0">
            <w:pPr>
              <w:contextualSpacing/>
              <w:rPr>
                <w:szCs w:val="28"/>
                <w:lang w:val="en-US" w:bidi="ru-RU"/>
              </w:rPr>
            </w:pPr>
            <w:r w:rsidRPr="00F17567">
              <w:rPr>
                <w:szCs w:val="28"/>
                <w:lang w:val="en-US" w:bidi="ru-RU"/>
              </w:rPr>
              <w:t>Ad valorem tax</w:t>
            </w:r>
          </w:p>
        </w:tc>
        <w:tc>
          <w:tcPr>
            <w:tcW w:w="6237" w:type="dxa"/>
          </w:tcPr>
          <w:p w14:paraId="5A7C7505" w14:textId="77777777" w:rsidR="00BE42A0" w:rsidRPr="00F17567" w:rsidRDefault="00BE42A0" w:rsidP="00895432">
            <w:pPr>
              <w:contextualSpacing/>
              <w:jc w:val="both"/>
              <w:rPr>
                <w:szCs w:val="28"/>
                <w:lang w:val="en-US" w:bidi="ru-RU"/>
              </w:rPr>
            </w:pPr>
            <w:r w:rsidRPr="00F17567">
              <w:rPr>
                <w:szCs w:val="28"/>
                <w:lang w:val="en-US" w:bidi="ru-RU"/>
              </w:rPr>
              <w:t xml:space="preserve">is a charge levied as a percentage of the value of the item it is imposed on, and not on the item's quantity, size, weight, or another such factor (fixed proportion in relation to the value of the property in respect to which the tax is based). </w:t>
            </w:r>
            <w:r w:rsidR="00895432">
              <w:rPr>
                <w:szCs w:val="28"/>
                <w:lang w:val="en-US" w:bidi="ru-RU"/>
              </w:rPr>
              <w:t>V</w:t>
            </w:r>
            <w:r w:rsidRPr="00F17567">
              <w:rPr>
                <w:szCs w:val="28"/>
                <w:lang w:val="en-US" w:bidi="ru-RU"/>
              </w:rPr>
              <w:t xml:space="preserve">alue added tax, </w:t>
            </w:r>
            <w:r w:rsidR="00895432">
              <w:rPr>
                <w:szCs w:val="28"/>
                <w:lang w:val="en-US" w:bidi="ru-RU"/>
              </w:rPr>
              <w:t xml:space="preserve">and </w:t>
            </w:r>
            <w:r w:rsidRPr="00F17567">
              <w:rPr>
                <w:szCs w:val="28"/>
                <w:lang w:val="en-US" w:bidi="ru-RU"/>
              </w:rPr>
              <w:t>generally, import duties are ad valorem taxes</w:t>
            </w:r>
          </w:p>
        </w:tc>
      </w:tr>
      <w:tr w:rsidR="00BE42A0" w:rsidRPr="00F17567" w14:paraId="6596F395" w14:textId="77777777" w:rsidTr="00BE42A0">
        <w:tc>
          <w:tcPr>
            <w:tcW w:w="1668" w:type="dxa"/>
            <w:vMerge w:val="restart"/>
          </w:tcPr>
          <w:p w14:paraId="2DE54532" w14:textId="77777777" w:rsidR="00BE42A0" w:rsidRPr="00F17567" w:rsidRDefault="00BE42A0" w:rsidP="00BE42A0">
            <w:pPr>
              <w:contextualSpacing/>
              <w:jc w:val="both"/>
              <w:rPr>
                <w:szCs w:val="28"/>
                <w:lang w:val="en-US" w:bidi="ru-RU"/>
              </w:rPr>
            </w:pPr>
            <w:r w:rsidRPr="00F17567">
              <w:rPr>
                <w:szCs w:val="28"/>
                <w:lang w:val="en-US" w:bidi="ru-RU"/>
              </w:rPr>
              <w:t>Purpose</w:t>
            </w:r>
          </w:p>
        </w:tc>
        <w:tc>
          <w:tcPr>
            <w:tcW w:w="1559" w:type="dxa"/>
          </w:tcPr>
          <w:p w14:paraId="4F9C5320" w14:textId="77777777" w:rsidR="00BE42A0" w:rsidRPr="00F17567" w:rsidRDefault="00BE42A0" w:rsidP="00BE42A0">
            <w:pPr>
              <w:contextualSpacing/>
              <w:rPr>
                <w:szCs w:val="28"/>
                <w:lang w:val="en-US" w:bidi="ru-RU"/>
              </w:rPr>
            </w:pPr>
            <w:r w:rsidRPr="00F17567">
              <w:rPr>
                <w:szCs w:val="28"/>
                <w:lang w:val="en-US" w:bidi="ru-RU"/>
              </w:rPr>
              <w:t>General, fiscal or revenue tax</w:t>
            </w:r>
          </w:p>
        </w:tc>
        <w:tc>
          <w:tcPr>
            <w:tcW w:w="6237" w:type="dxa"/>
          </w:tcPr>
          <w:p w14:paraId="3B2DC2CD" w14:textId="77777777" w:rsidR="00BE42A0" w:rsidRPr="00F17567" w:rsidRDefault="00BE42A0" w:rsidP="00895432">
            <w:pPr>
              <w:contextualSpacing/>
              <w:jc w:val="both"/>
              <w:rPr>
                <w:szCs w:val="28"/>
                <w:lang w:val="en-US" w:bidi="ru-RU"/>
              </w:rPr>
            </w:pPr>
            <w:r w:rsidRPr="00F17567">
              <w:rPr>
                <w:szCs w:val="28"/>
                <w:lang w:val="en-US" w:bidi="ru-RU"/>
              </w:rPr>
              <w:t>is the tax that is intended for the general purposes or expenses of the government.</w:t>
            </w:r>
            <w:r w:rsidRPr="00F17567">
              <w:rPr>
                <w:szCs w:val="28"/>
                <w:lang w:val="en-US"/>
              </w:rPr>
              <w:t xml:space="preserve"> </w:t>
            </w:r>
            <w:r w:rsidRPr="00F17567">
              <w:rPr>
                <w:szCs w:val="28"/>
                <w:lang w:val="en-US" w:bidi="ru-RU"/>
              </w:rPr>
              <w:t xml:space="preserve">For example, corporate profit tax, </w:t>
            </w:r>
            <w:r w:rsidR="00895432">
              <w:rPr>
                <w:szCs w:val="28"/>
                <w:lang w:val="en-US" w:bidi="ru-RU"/>
              </w:rPr>
              <w:t xml:space="preserve">and </w:t>
            </w:r>
            <w:r w:rsidRPr="00F17567">
              <w:rPr>
                <w:szCs w:val="28"/>
                <w:lang w:val="en-US" w:bidi="ru-RU"/>
              </w:rPr>
              <w:t>income tax</w:t>
            </w:r>
          </w:p>
        </w:tc>
      </w:tr>
      <w:tr w:rsidR="00BE42A0" w:rsidRPr="00F17567" w14:paraId="7D46CC1C" w14:textId="77777777" w:rsidTr="00BE42A0">
        <w:tc>
          <w:tcPr>
            <w:tcW w:w="1668" w:type="dxa"/>
            <w:vMerge/>
          </w:tcPr>
          <w:p w14:paraId="6B0B9569" w14:textId="77777777" w:rsidR="00BE42A0" w:rsidRPr="00F17567" w:rsidRDefault="00BE42A0" w:rsidP="00BE42A0">
            <w:pPr>
              <w:contextualSpacing/>
              <w:jc w:val="both"/>
              <w:rPr>
                <w:szCs w:val="28"/>
                <w:lang w:val="en-US" w:bidi="ru-RU"/>
              </w:rPr>
            </w:pPr>
          </w:p>
        </w:tc>
        <w:tc>
          <w:tcPr>
            <w:tcW w:w="1559" w:type="dxa"/>
          </w:tcPr>
          <w:p w14:paraId="366FC7C5" w14:textId="77777777" w:rsidR="00BE42A0" w:rsidRPr="00F17567" w:rsidRDefault="00BE42A0" w:rsidP="00BE42A0">
            <w:pPr>
              <w:contextualSpacing/>
              <w:rPr>
                <w:szCs w:val="28"/>
                <w:lang w:val="en-US" w:bidi="ru-RU"/>
              </w:rPr>
            </w:pPr>
            <w:r w:rsidRPr="00F17567">
              <w:rPr>
                <w:szCs w:val="28"/>
                <w:lang w:val="en-US" w:bidi="ru-RU"/>
              </w:rPr>
              <w:t>Special or regulatory tax</w:t>
            </w:r>
          </w:p>
        </w:tc>
        <w:tc>
          <w:tcPr>
            <w:tcW w:w="6237" w:type="dxa"/>
          </w:tcPr>
          <w:p w14:paraId="794F9652" w14:textId="77777777" w:rsidR="00BE42A0" w:rsidRPr="00F17567" w:rsidRDefault="00BE42A0" w:rsidP="00BE42A0">
            <w:pPr>
              <w:contextualSpacing/>
              <w:jc w:val="both"/>
              <w:rPr>
                <w:szCs w:val="28"/>
                <w:lang w:val="en-US" w:bidi="ru-RU"/>
              </w:rPr>
            </w:pPr>
            <w:r w:rsidRPr="00F17567">
              <w:rPr>
                <w:szCs w:val="28"/>
                <w:lang w:val="en-US" w:bidi="ru-RU"/>
              </w:rPr>
              <w:t>is the tax that is intended for a specific purpose. For example, motor vehicle registration fee, sugar levy, coconut levy</w:t>
            </w:r>
            <w:r w:rsidR="00FA7B64">
              <w:rPr>
                <w:szCs w:val="28"/>
                <w:lang w:val="en-US" w:bidi="ru-RU"/>
              </w:rPr>
              <w:t xml:space="preserve"> (they are not used in Ukraine)</w:t>
            </w:r>
          </w:p>
        </w:tc>
      </w:tr>
      <w:tr w:rsidR="00630F27" w:rsidRPr="00F17567" w14:paraId="51B0D95D" w14:textId="77777777" w:rsidTr="00630F27">
        <w:tc>
          <w:tcPr>
            <w:tcW w:w="9464" w:type="dxa"/>
            <w:gridSpan w:val="3"/>
            <w:tcBorders>
              <w:top w:val="nil"/>
              <w:left w:val="nil"/>
              <w:bottom w:val="single" w:sz="4" w:space="0" w:color="auto"/>
              <w:right w:val="nil"/>
            </w:tcBorders>
          </w:tcPr>
          <w:p w14:paraId="201145D6" w14:textId="77777777" w:rsidR="00630F27" w:rsidRDefault="00630F27" w:rsidP="00630F27">
            <w:pPr>
              <w:contextualSpacing/>
              <w:jc w:val="both"/>
              <w:rPr>
                <w:szCs w:val="28"/>
                <w:lang w:val="en-US" w:bidi="ru-RU"/>
              </w:rPr>
            </w:pPr>
            <w:r w:rsidRPr="006E1266">
              <w:rPr>
                <w:sz w:val="28"/>
                <w:lang w:val="en-US" w:eastAsia="uk-UA" w:bidi="ru-RU"/>
              </w:rPr>
              <w:lastRenderedPageBreak/>
              <w:t xml:space="preserve">Continuation of Table </w:t>
            </w:r>
            <w:r>
              <w:rPr>
                <w:sz w:val="28"/>
                <w:lang w:val="en-US" w:eastAsia="uk-UA" w:bidi="ru-RU"/>
              </w:rPr>
              <w:t>4</w:t>
            </w:r>
            <w:r w:rsidRPr="006E1266">
              <w:rPr>
                <w:sz w:val="28"/>
                <w:lang w:val="en-US" w:eastAsia="uk-UA" w:bidi="ru-RU"/>
              </w:rPr>
              <w:t>.1</w:t>
            </w:r>
          </w:p>
        </w:tc>
      </w:tr>
      <w:tr w:rsidR="00630F27" w:rsidRPr="00F17567" w14:paraId="31470FEA" w14:textId="77777777" w:rsidTr="00630F27">
        <w:tc>
          <w:tcPr>
            <w:tcW w:w="1668" w:type="dxa"/>
            <w:tcBorders>
              <w:top w:val="single" w:sz="4" w:space="0" w:color="auto"/>
            </w:tcBorders>
            <w:shd w:val="clear" w:color="auto" w:fill="D9D9D9" w:themeFill="background1" w:themeFillShade="D9"/>
            <w:vAlign w:val="center"/>
          </w:tcPr>
          <w:p w14:paraId="088FAE96" w14:textId="77777777" w:rsidR="00630F27" w:rsidRPr="00F17567" w:rsidRDefault="00630F27" w:rsidP="007031BC">
            <w:pPr>
              <w:contextualSpacing/>
              <w:jc w:val="center"/>
              <w:rPr>
                <w:szCs w:val="28"/>
                <w:lang w:val="en-US" w:bidi="ru-RU"/>
              </w:rPr>
            </w:pPr>
            <w:r>
              <w:rPr>
                <w:szCs w:val="28"/>
                <w:lang w:val="en-US" w:bidi="ru-RU"/>
              </w:rPr>
              <w:t>1</w:t>
            </w:r>
          </w:p>
        </w:tc>
        <w:tc>
          <w:tcPr>
            <w:tcW w:w="1559" w:type="dxa"/>
            <w:tcBorders>
              <w:top w:val="single" w:sz="4" w:space="0" w:color="auto"/>
            </w:tcBorders>
            <w:shd w:val="clear" w:color="auto" w:fill="D9D9D9" w:themeFill="background1" w:themeFillShade="D9"/>
            <w:vAlign w:val="center"/>
          </w:tcPr>
          <w:p w14:paraId="0B297641" w14:textId="77777777" w:rsidR="00630F27" w:rsidRPr="00F17567" w:rsidRDefault="00630F27" w:rsidP="007031BC">
            <w:pPr>
              <w:contextualSpacing/>
              <w:jc w:val="center"/>
              <w:rPr>
                <w:szCs w:val="28"/>
                <w:lang w:val="en-US" w:bidi="ru-RU"/>
              </w:rPr>
            </w:pPr>
            <w:r>
              <w:rPr>
                <w:szCs w:val="28"/>
                <w:lang w:val="en-US" w:bidi="ru-RU"/>
              </w:rPr>
              <w:t>2</w:t>
            </w:r>
          </w:p>
        </w:tc>
        <w:tc>
          <w:tcPr>
            <w:tcW w:w="6237" w:type="dxa"/>
            <w:tcBorders>
              <w:top w:val="single" w:sz="4" w:space="0" w:color="auto"/>
            </w:tcBorders>
            <w:shd w:val="clear" w:color="auto" w:fill="D9D9D9" w:themeFill="background1" w:themeFillShade="D9"/>
            <w:vAlign w:val="center"/>
          </w:tcPr>
          <w:p w14:paraId="50AA5336" w14:textId="77777777" w:rsidR="00630F27" w:rsidRPr="00F17567" w:rsidRDefault="00630F27" w:rsidP="007031BC">
            <w:pPr>
              <w:contextualSpacing/>
              <w:jc w:val="center"/>
              <w:rPr>
                <w:szCs w:val="28"/>
                <w:lang w:val="en-US" w:bidi="ru-RU"/>
              </w:rPr>
            </w:pPr>
            <w:r>
              <w:rPr>
                <w:szCs w:val="28"/>
                <w:lang w:val="en-US" w:bidi="ru-RU"/>
              </w:rPr>
              <w:t>3</w:t>
            </w:r>
          </w:p>
        </w:tc>
      </w:tr>
      <w:tr w:rsidR="00BE42A0" w:rsidRPr="00F17567" w14:paraId="43B67127" w14:textId="77777777" w:rsidTr="00630F27">
        <w:tc>
          <w:tcPr>
            <w:tcW w:w="1668" w:type="dxa"/>
            <w:vMerge w:val="restart"/>
            <w:tcBorders>
              <w:top w:val="single" w:sz="4" w:space="0" w:color="auto"/>
            </w:tcBorders>
          </w:tcPr>
          <w:p w14:paraId="0E3A60EC" w14:textId="77777777" w:rsidR="00BE42A0" w:rsidRPr="00F17567" w:rsidRDefault="00BE42A0" w:rsidP="00BE42A0">
            <w:pPr>
              <w:contextualSpacing/>
              <w:jc w:val="both"/>
              <w:rPr>
                <w:szCs w:val="28"/>
                <w:lang w:val="en-US" w:bidi="ru-RU"/>
              </w:rPr>
            </w:pPr>
            <w:r w:rsidRPr="00F17567">
              <w:rPr>
                <w:szCs w:val="28"/>
                <w:lang w:val="en-US" w:bidi="ru-RU"/>
              </w:rPr>
              <w:t>Scope</w:t>
            </w:r>
          </w:p>
        </w:tc>
        <w:tc>
          <w:tcPr>
            <w:tcW w:w="1559" w:type="dxa"/>
            <w:tcBorders>
              <w:top w:val="single" w:sz="4" w:space="0" w:color="auto"/>
            </w:tcBorders>
          </w:tcPr>
          <w:p w14:paraId="70A4FA33" w14:textId="77777777" w:rsidR="00BE42A0" w:rsidRPr="00F17567" w:rsidRDefault="00BE42A0" w:rsidP="00BE42A0">
            <w:pPr>
              <w:contextualSpacing/>
              <w:rPr>
                <w:szCs w:val="28"/>
                <w:lang w:val="en-US" w:bidi="ru-RU"/>
              </w:rPr>
            </w:pPr>
            <w:r w:rsidRPr="00F17567">
              <w:rPr>
                <w:szCs w:val="28"/>
                <w:lang w:val="en-US" w:bidi="ru-RU"/>
              </w:rPr>
              <w:t>National tax</w:t>
            </w:r>
          </w:p>
        </w:tc>
        <w:tc>
          <w:tcPr>
            <w:tcW w:w="6237" w:type="dxa"/>
            <w:tcBorders>
              <w:top w:val="single" w:sz="4" w:space="0" w:color="auto"/>
            </w:tcBorders>
          </w:tcPr>
          <w:p w14:paraId="041F66C6" w14:textId="77777777" w:rsidR="00BE42A0" w:rsidRPr="00F17567" w:rsidRDefault="00895432" w:rsidP="00895432">
            <w:pPr>
              <w:contextualSpacing/>
              <w:jc w:val="both"/>
              <w:rPr>
                <w:szCs w:val="28"/>
                <w:lang w:val="en-US" w:bidi="ru-RU"/>
              </w:rPr>
            </w:pPr>
            <w:r>
              <w:rPr>
                <w:szCs w:val="28"/>
                <w:lang w:val="en-US" w:bidi="ru-RU"/>
              </w:rPr>
              <w:t xml:space="preserve">is </w:t>
            </w:r>
            <w:r w:rsidR="00BE42A0" w:rsidRPr="00F17567">
              <w:rPr>
                <w:szCs w:val="28"/>
                <w:lang w:val="en-US" w:bidi="ru-RU"/>
              </w:rPr>
              <w:t xml:space="preserve">imposed by the National Government itself. National taxation is money taken by the Government for running the country and is spent, for example, on schools, the National Health Service, maintaining roads and national defense. </w:t>
            </w:r>
            <w:r>
              <w:rPr>
                <w:szCs w:val="28"/>
                <w:lang w:val="en-US" w:bidi="ru-RU"/>
              </w:rPr>
              <w:t>National taxes include</w:t>
            </w:r>
            <w:r w:rsidR="00FA7B64">
              <w:rPr>
                <w:szCs w:val="28"/>
                <w:lang w:val="en-US" w:bidi="ru-RU"/>
              </w:rPr>
              <w:t xml:space="preserve"> corporate income tax,</w:t>
            </w:r>
            <w:r w:rsidR="00BE42A0" w:rsidRPr="00F17567">
              <w:rPr>
                <w:szCs w:val="28"/>
                <w:lang w:val="en-US" w:bidi="ru-RU"/>
              </w:rPr>
              <w:t xml:space="preserve"> individ</w:t>
            </w:r>
            <w:r w:rsidR="00FA7B64">
              <w:rPr>
                <w:szCs w:val="28"/>
                <w:lang w:val="en-US" w:bidi="ru-RU"/>
              </w:rPr>
              <w:t>ual income tax, value added tax, excise tax,</w:t>
            </w:r>
            <w:r w:rsidR="00BE42A0" w:rsidRPr="00F17567">
              <w:rPr>
                <w:szCs w:val="28"/>
                <w:lang w:val="en-US" w:bidi="ru-RU"/>
              </w:rPr>
              <w:t xml:space="preserve"> first vehicle registration fee, etc.</w:t>
            </w:r>
          </w:p>
        </w:tc>
      </w:tr>
      <w:tr w:rsidR="00BE42A0" w:rsidRPr="00F17567" w14:paraId="3AB2890E" w14:textId="77777777" w:rsidTr="00BE42A0">
        <w:tc>
          <w:tcPr>
            <w:tcW w:w="1668" w:type="dxa"/>
            <w:vMerge/>
          </w:tcPr>
          <w:p w14:paraId="491FB9FD" w14:textId="77777777" w:rsidR="00BE42A0" w:rsidRPr="00F17567" w:rsidRDefault="00BE42A0" w:rsidP="00BE42A0">
            <w:pPr>
              <w:contextualSpacing/>
              <w:jc w:val="both"/>
              <w:rPr>
                <w:szCs w:val="28"/>
                <w:lang w:val="en-US" w:bidi="ru-RU"/>
              </w:rPr>
            </w:pPr>
          </w:p>
        </w:tc>
        <w:tc>
          <w:tcPr>
            <w:tcW w:w="1559" w:type="dxa"/>
          </w:tcPr>
          <w:p w14:paraId="612EEA10" w14:textId="77777777" w:rsidR="00BE42A0" w:rsidRPr="00F17567" w:rsidRDefault="00BE42A0" w:rsidP="00BE42A0">
            <w:pPr>
              <w:contextualSpacing/>
              <w:rPr>
                <w:szCs w:val="28"/>
                <w:lang w:val="en-US" w:bidi="ru-RU"/>
              </w:rPr>
            </w:pPr>
            <w:r w:rsidRPr="00F17567">
              <w:rPr>
                <w:szCs w:val="28"/>
                <w:lang w:val="en-US" w:bidi="ru-RU"/>
              </w:rPr>
              <w:t>Municipal or local tax</w:t>
            </w:r>
          </w:p>
        </w:tc>
        <w:tc>
          <w:tcPr>
            <w:tcW w:w="6237" w:type="dxa"/>
          </w:tcPr>
          <w:p w14:paraId="5FD648C5" w14:textId="77777777" w:rsidR="00BE42A0" w:rsidRPr="00F17567" w:rsidRDefault="00895432" w:rsidP="00BE42A0">
            <w:pPr>
              <w:contextualSpacing/>
              <w:jc w:val="both"/>
              <w:rPr>
                <w:szCs w:val="28"/>
                <w:lang w:val="en-US" w:bidi="ru-RU"/>
              </w:rPr>
            </w:pPr>
            <w:r>
              <w:rPr>
                <w:szCs w:val="28"/>
                <w:lang w:val="en-US" w:bidi="ru-RU"/>
              </w:rPr>
              <w:t xml:space="preserve">is </w:t>
            </w:r>
            <w:r w:rsidR="00BE42A0" w:rsidRPr="00F17567">
              <w:rPr>
                <w:szCs w:val="28"/>
                <w:lang w:val="en-US" w:bidi="ru-RU"/>
              </w:rPr>
              <w:t>imposed by the local government.</w:t>
            </w:r>
            <w:r w:rsidR="00BE42A0" w:rsidRPr="00F17567">
              <w:rPr>
                <w:szCs w:val="28"/>
                <w:lang w:val="en-US"/>
              </w:rPr>
              <w:t xml:space="preserve"> </w:t>
            </w:r>
            <w:r w:rsidR="00BE42A0" w:rsidRPr="00F17567">
              <w:rPr>
                <w:szCs w:val="28"/>
                <w:lang w:val="en-US" w:bidi="ru-RU"/>
              </w:rPr>
              <w:t>For example, tax on real estate other than land,</w:t>
            </w:r>
            <w:r>
              <w:rPr>
                <w:szCs w:val="28"/>
                <w:lang w:val="en-US" w:bidi="ru-RU"/>
              </w:rPr>
              <w:t xml:space="preserve"> and single tax</w:t>
            </w:r>
          </w:p>
        </w:tc>
      </w:tr>
      <w:tr w:rsidR="00BE42A0" w:rsidRPr="00F17567" w14:paraId="53651497" w14:textId="77777777" w:rsidTr="00BE42A0">
        <w:tc>
          <w:tcPr>
            <w:tcW w:w="1668" w:type="dxa"/>
            <w:vMerge w:val="restart"/>
          </w:tcPr>
          <w:p w14:paraId="6E40AF9B" w14:textId="77777777" w:rsidR="00BE42A0" w:rsidRPr="00F17567" w:rsidRDefault="00BE42A0" w:rsidP="00BE42A0">
            <w:pPr>
              <w:contextualSpacing/>
              <w:rPr>
                <w:szCs w:val="28"/>
                <w:lang w:val="en-US" w:bidi="ru-RU"/>
              </w:rPr>
            </w:pPr>
            <w:r w:rsidRPr="00F17567">
              <w:rPr>
                <w:szCs w:val="28"/>
                <w:lang w:val="en-US" w:bidi="ru-RU"/>
              </w:rPr>
              <w:t>Graduation of rate (perspective of distribution of tax burden)</w:t>
            </w:r>
          </w:p>
        </w:tc>
        <w:tc>
          <w:tcPr>
            <w:tcW w:w="1559" w:type="dxa"/>
          </w:tcPr>
          <w:p w14:paraId="429DBF20" w14:textId="77777777" w:rsidR="00BE42A0" w:rsidRPr="00F17567" w:rsidRDefault="00BE42A0" w:rsidP="00BE42A0">
            <w:pPr>
              <w:contextualSpacing/>
              <w:rPr>
                <w:szCs w:val="28"/>
                <w:lang w:val="en-US" w:bidi="ru-RU"/>
              </w:rPr>
            </w:pPr>
            <w:r w:rsidRPr="00F17567">
              <w:rPr>
                <w:szCs w:val="28"/>
                <w:lang w:val="en-US" w:bidi="ru-RU"/>
              </w:rPr>
              <w:t>Proportional tax (also flat tax)</w:t>
            </w:r>
          </w:p>
        </w:tc>
        <w:tc>
          <w:tcPr>
            <w:tcW w:w="6237" w:type="dxa"/>
          </w:tcPr>
          <w:p w14:paraId="38BA052B" w14:textId="77777777" w:rsidR="00BE42A0" w:rsidRPr="00F17567" w:rsidRDefault="00BE42A0" w:rsidP="00BE42A0">
            <w:pPr>
              <w:contextualSpacing/>
              <w:jc w:val="both"/>
              <w:rPr>
                <w:szCs w:val="28"/>
                <w:lang w:val="en-US" w:bidi="ru-RU"/>
              </w:rPr>
            </w:pPr>
            <w:r w:rsidRPr="00F17567">
              <w:rPr>
                <w:szCs w:val="28"/>
                <w:lang w:val="en-US" w:bidi="ru-RU"/>
              </w:rPr>
              <w:t>is the tax that is based upon the fixed percentage vis-à-vis the amount of the property or other bases on which to be taxed. In this case, the tax amount is independent of the sum or value it is charged on (everybody pays the same percentage of their income no matter how much they make)</w:t>
            </w:r>
          </w:p>
        </w:tc>
      </w:tr>
      <w:tr w:rsidR="00BE42A0" w:rsidRPr="00F17567" w14:paraId="061BAF4B" w14:textId="77777777" w:rsidTr="00BE42A0">
        <w:tc>
          <w:tcPr>
            <w:tcW w:w="1668" w:type="dxa"/>
            <w:vMerge/>
          </w:tcPr>
          <w:p w14:paraId="67D3DA1E" w14:textId="77777777" w:rsidR="00BE42A0" w:rsidRPr="00F17567" w:rsidRDefault="00BE42A0" w:rsidP="00BE42A0">
            <w:pPr>
              <w:contextualSpacing/>
              <w:jc w:val="both"/>
              <w:rPr>
                <w:szCs w:val="28"/>
                <w:lang w:val="en-US" w:bidi="ru-RU"/>
              </w:rPr>
            </w:pPr>
          </w:p>
        </w:tc>
        <w:tc>
          <w:tcPr>
            <w:tcW w:w="1559" w:type="dxa"/>
          </w:tcPr>
          <w:p w14:paraId="45639501" w14:textId="77777777" w:rsidR="00BE42A0" w:rsidRPr="00F17567" w:rsidRDefault="00BE42A0" w:rsidP="00BE42A0">
            <w:pPr>
              <w:contextualSpacing/>
              <w:rPr>
                <w:szCs w:val="28"/>
                <w:lang w:val="en-US" w:bidi="ru-RU"/>
              </w:rPr>
            </w:pPr>
            <w:r w:rsidRPr="00F17567">
              <w:rPr>
                <w:szCs w:val="28"/>
                <w:lang w:val="en-US" w:bidi="ru-RU"/>
              </w:rPr>
              <w:t>Progressive tax (also graduated tax)</w:t>
            </w:r>
          </w:p>
        </w:tc>
        <w:tc>
          <w:tcPr>
            <w:tcW w:w="6237" w:type="dxa"/>
          </w:tcPr>
          <w:p w14:paraId="1858149E" w14:textId="77777777" w:rsidR="00BE42A0" w:rsidRPr="00F17567" w:rsidRDefault="00BE42A0" w:rsidP="00895432">
            <w:pPr>
              <w:contextualSpacing/>
              <w:jc w:val="both"/>
              <w:rPr>
                <w:szCs w:val="28"/>
                <w:lang w:val="en-US" w:bidi="ru-RU"/>
              </w:rPr>
            </w:pPr>
            <w:r w:rsidRPr="00F17567">
              <w:rPr>
                <w:szCs w:val="28"/>
                <w:lang w:val="en-US" w:bidi="ru-RU"/>
              </w:rPr>
              <w:t>is the tax rate increase upon the increase of the base rate. In this case,</w:t>
            </w:r>
            <w:r w:rsidR="00895432">
              <w:rPr>
                <w:szCs w:val="28"/>
                <w:lang w:val="en-US" w:bidi="ru-RU"/>
              </w:rPr>
              <w:t xml:space="preserve"> it </w:t>
            </w:r>
            <w:r w:rsidRPr="00F17567">
              <w:rPr>
                <w:szCs w:val="28"/>
                <w:lang w:val="en-US" w:bidi="ru-RU"/>
              </w:rPr>
              <w:t>takes a larger percentage of a larger income and a smaller percentage of a smaller income (the more the taxpayer earns, the more he/she pays). Under the progressive income tax, the richer person pays not only absolutely more tax but also a higher rate of the tax. Thus, the burden of the progressive tax falls more heavily on the richer persons as compared to proportional income tax. For example, a tax on luxury cars (not used in Ukraine)</w:t>
            </w:r>
          </w:p>
        </w:tc>
      </w:tr>
      <w:tr w:rsidR="00BE42A0" w:rsidRPr="00F17567" w14:paraId="6190F9DD" w14:textId="77777777" w:rsidTr="00BE42A0">
        <w:tc>
          <w:tcPr>
            <w:tcW w:w="1668" w:type="dxa"/>
            <w:vMerge/>
          </w:tcPr>
          <w:p w14:paraId="6F208511" w14:textId="77777777" w:rsidR="00BE42A0" w:rsidRPr="00F17567" w:rsidRDefault="00BE42A0" w:rsidP="00BE42A0">
            <w:pPr>
              <w:contextualSpacing/>
              <w:jc w:val="both"/>
              <w:rPr>
                <w:szCs w:val="28"/>
                <w:lang w:val="en-US" w:bidi="ru-RU"/>
              </w:rPr>
            </w:pPr>
          </w:p>
        </w:tc>
        <w:tc>
          <w:tcPr>
            <w:tcW w:w="1559" w:type="dxa"/>
          </w:tcPr>
          <w:p w14:paraId="4D9DDF8D" w14:textId="77777777" w:rsidR="00BE42A0" w:rsidRPr="00F17567" w:rsidRDefault="00BE42A0" w:rsidP="00BE42A0">
            <w:pPr>
              <w:contextualSpacing/>
              <w:rPr>
                <w:szCs w:val="28"/>
                <w:lang w:val="en-US" w:bidi="ru-RU"/>
              </w:rPr>
            </w:pPr>
            <w:r w:rsidRPr="00F17567">
              <w:rPr>
                <w:szCs w:val="28"/>
                <w:lang w:val="en-US" w:bidi="ru-RU"/>
              </w:rPr>
              <w:t>Regressive tax</w:t>
            </w:r>
          </w:p>
        </w:tc>
        <w:tc>
          <w:tcPr>
            <w:tcW w:w="6237" w:type="dxa"/>
          </w:tcPr>
          <w:p w14:paraId="3C960029" w14:textId="77777777" w:rsidR="00BE42A0" w:rsidRPr="00F17567" w:rsidRDefault="00BE42A0" w:rsidP="00895432">
            <w:pPr>
              <w:contextualSpacing/>
              <w:jc w:val="both"/>
              <w:rPr>
                <w:szCs w:val="28"/>
                <w:lang w:val="en-US" w:bidi="ru-RU"/>
              </w:rPr>
            </w:pPr>
            <w:r w:rsidRPr="00F17567">
              <w:rPr>
                <w:szCs w:val="28"/>
                <w:lang w:val="en-US" w:bidi="ru-RU"/>
              </w:rPr>
              <w:t>is the tax rate decrease upon the increase of the base rate. Taxation that takes a larger percentage of a lower</w:t>
            </w:r>
            <w:r w:rsidR="00895432">
              <w:rPr>
                <w:szCs w:val="28"/>
                <w:lang w:val="en-US" w:bidi="ru-RU"/>
              </w:rPr>
              <w:t xml:space="preserve"> </w:t>
            </w:r>
            <w:r w:rsidRPr="00F17567">
              <w:rPr>
                <w:szCs w:val="28"/>
                <w:lang w:val="en-US" w:bidi="ru-RU"/>
              </w:rPr>
              <w:t>income and a smaller percentage of a higher income. For example, a tax on the basic necessities (which form a larger percentage of the expenditure of the lower income population) is a regressive tax. Thus, under regressive tax system, the burden of the tax is</w:t>
            </w:r>
            <w:r w:rsidR="00895432">
              <w:rPr>
                <w:szCs w:val="28"/>
                <w:lang w:val="en-US" w:bidi="ru-RU"/>
              </w:rPr>
              <w:t xml:space="preserve"> distributed </w:t>
            </w:r>
            <w:r w:rsidRPr="00F17567">
              <w:rPr>
                <w:szCs w:val="28"/>
                <w:lang w:val="en-US" w:bidi="ru-RU"/>
              </w:rPr>
              <w:t xml:space="preserve">relatively more on the poor than on the rich. A regressive tax is, therefore, inequitable and </w:t>
            </w:r>
            <w:r w:rsidR="00895432">
              <w:rPr>
                <w:szCs w:val="28"/>
                <w:lang w:val="en-US" w:bidi="ru-RU"/>
              </w:rPr>
              <w:t>none of the</w:t>
            </w:r>
            <w:r w:rsidRPr="00F17567">
              <w:rPr>
                <w:szCs w:val="28"/>
                <w:lang w:val="en-US" w:bidi="ru-RU"/>
              </w:rPr>
              <w:t xml:space="preserve"> civilized Government</w:t>
            </w:r>
            <w:r w:rsidR="00895432">
              <w:rPr>
                <w:szCs w:val="28"/>
                <w:lang w:val="en-US" w:bidi="ru-RU"/>
              </w:rPr>
              <w:t>s</w:t>
            </w:r>
            <w:r w:rsidRPr="00F17567">
              <w:rPr>
                <w:szCs w:val="28"/>
                <w:lang w:val="en-US" w:bidi="ru-RU"/>
              </w:rPr>
              <w:t xml:space="preserve"> in the world today will levy such a tax</w:t>
            </w:r>
          </w:p>
        </w:tc>
      </w:tr>
      <w:tr w:rsidR="00BE42A0" w:rsidRPr="00F17567" w14:paraId="44DB3B33" w14:textId="77777777" w:rsidTr="00BE42A0">
        <w:tc>
          <w:tcPr>
            <w:tcW w:w="1668" w:type="dxa"/>
            <w:vMerge w:val="restart"/>
          </w:tcPr>
          <w:p w14:paraId="11CE6C61" w14:textId="77777777" w:rsidR="00BE42A0" w:rsidRPr="00F17567" w:rsidRDefault="00BE42A0" w:rsidP="00BE42A0">
            <w:pPr>
              <w:contextualSpacing/>
              <w:jc w:val="both"/>
              <w:rPr>
                <w:szCs w:val="28"/>
                <w:lang w:val="en-US" w:bidi="ru-RU"/>
              </w:rPr>
            </w:pPr>
            <w:r w:rsidRPr="00F17567">
              <w:rPr>
                <w:szCs w:val="28"/>
                <w:lang w:val="en-US" w:bidi="ru-RU"/>
              </w:rPr>
              <w:t>Subject matter or object</w:t>
            </w:r>
          </w:p>
        </w:tc>
        <w:tc>
          <w:tcPr>
            <w:tcW w:w="1559" w:type="dxa"/>
          </w:tcPr>
          <w:p w14:paraId="37207797" w14:textId="77777777" w:rsidR="00BE42A0" w:rsidRPr="00F17567" w:rsidRDefault="00BE42A0" w:rsidP="00BE42A0">
            <w:pPr>
              <w:contextualSpacing/>
              <w:rPr>
                <w:szCs w:val="28"/>
                <w:lang w:val="en-US" w:bidi="ru-RU"/>
              </w:rPr>
            </w:pPr>
            <w:r w:rsidRPr="00F17567">
              <w:rPr>
                <w:szCs w:val="28"/>
                <w:lang w:val="en-US" w:bidi="ru-RU"/>
              </w:rPr>
              <w:t xml:space="preserve">Personal, poll or capitation tax </w:t>
            </w:r>
          </w:p>
        </w:tc>
        <w:tc>
          <w:tcPr>
            <w:tcW w:w="6237" w:type="dxa"/>
          </w:tcPr>
          <w:p w14:paraId="7398B817" w14:textId="77777777" w:rsidR="00BE42A0" w:rsidRPr="00F17567" w:rsidRDefault="00BE42A0" w:rsidP="00895432">
            <w:pPr>
              <w:contextualSpacing/>
              <w:jc w:val="both"/>
              <w:rPr>
                <w:szCs w:val="28"/>
                <w:lang w:val="en-US" w:bidi="ru-RU"/>
              </w:rPr>
            </w:pPr>
            <w:r w:rsidRPr="00F17567">
              <w:rPr>
                <w:szCs w:val="28"/>
                <w:lang w:val="en-US" w:bidi="ru-RU"/>
              </w:rPr>
              <w:t>is the fixed amount that is imposed on a person residing within a specifi</w:t>
            </w:r>
            <w:r w:rsidR="00895432">
              <w:rPr>
                <w:szCs w:val="28"/>
                <w:lang w:val="en-US" w:bidi="ru-RU"/>
              </w:rPr>
              <w:t>ed</w:t>
            </w:r>
            <w:r w:rsidRPr="00F17567">
              <w:rPr>
                <w:szCs w:val="28"/>
                <w:lang w:val="en-US" w:bidi="ru-RU"/>
              </w:rPr>
              <w:t xml:space="preserve"> territory. This is regardless </w:t>
            </w:r>
            <w:r w:rsidR="00895432">
              <w:rPr>
                <w:szCs w:val="28"/>
                <w:lang w:val="en-US" w:bidi="ru-RU"/>
              </w:rPr>
              <w:t>of</w:t>
            </w:r>
            <w:r w:rsidRPr="00F17567">
              <w:rPr>
                <w:szCs w:val="28"/>
                <w:lang w:val="en-US" w:bidi="ru-RU"/>
              </w:rPr>
              <w:t xml:space="preserve"> their property, occupation or business </w:t>
            </w:r>
          </w:p>
        </w:tc>
      </w:tr>
      <w:tr w:rsidR="00BE42A0" w:rsidRPr="00F17567" w14:paraId="44EF3FCD" w14:textId="77777777" w:rsidTr="00BE42A0">
        <w:trPr>
          <w:trHeight w:val="642"/>
        </w:trPr>
        <w:tc>
          <w:tcPr>
            <w:tcW w:w="1668" w:type="dxa"/>
            <w:vMerge/>
          </w:tcPr>
          <w:p w14:paraId="297ADC22" w14:textId="77777777" w:rsidR="00BE42A0" w:rsidRPr="00F17567" w:rsidRDefault="00BE42A0" w:rsidP="00BE42A0">
            <w:pPr>
              <w:contextualSpacing/>
              <w:jc w:val="both"/>
              <w:rPr>
                <w:szCs w:val="28"/>
                <w:lang w:val="en-US" w:bidi="ru-RU"/>
              </w:rPr>
            </w:pPr>
          </w:p>
        </w:tc>
        <w:tc>
          <w:tcPr>
            <w:tcW w:w="1559" w:type="dxa"/>
          </w:tcPr>
          <w:p w14:paraId="695BDE90" w14:textId="77777777" w:rsidR="00BE42A0" w:rsidRPr="00F17567" w:rsidRDefault="00BE42A0" w:rsidP="00BE42A0">
            <w:pPr>
              <w:contextualSpacing/>
              <w:rPr>
                <w:szCs w:val="28"/>
                <w:lang w:val="en-US" w:bidi="ru-RU"/>
              </w:rPr>
            </w:pPr>
            <w:r w:rsidRPr="00F17567">
              <w:rPr>
                <w:szCs w:val="28"/>
                <w:lang w:val="en-US" w:bidi="ru-RU"/>
              </w:rPr>
              <w:t xml:space="preserve">Property tax </w:t>
            </w:r>
          </w:p>
        </w:tc>
        <w:tc>
          <w:tcPr>
            <w:tcW w:w="6237" w:type="dxa"/>
          </w:tcPr>
          <w:p w14:paraId="04762ED4" w14:textId="77777777" w:rsidR="00BE42A0" w:rsidRPr="00F17567" w:rsidRDefault="00BE42A0" w:rsidP="00944985">
            <w:pPr>
              <w:contextualSpacing/>
              <w:jc w:val="both"/>
              <w:rPr>
                <w:szCs w:val="28"/>
                <w:lang w:val="en-US" w:bidi="ru-RU"/>
              </w:rPr>
            </w:pPr>
            <w:r w:rsidRPr="00F17567">
              <w:rPr>
                <w:szCs w:val="28"/>
                <w:lang w:val="en-US" w:bidi="ru-RU"/>
              </w:rPr>
              <w:t>is the tax that is imposed on one's property</w:t>
            </w:r>
            <w:r w:rsidR="00944985">
              <w:rPr>
                <w:szCs w:val="28"/>
                <w:lang w:val="en-US" w:bidi="ru-RU"/>
              </w:rPr>
              <w:t>:</w:t>
            </w:r>
            <w:r w:rsidRPr="00F17567">
              <w:rPr>
                <w:szCs w:val="28"/>
                <w:lang w:val="en-US" w:bidi="ru-RU"/>
              </w:rPr>
              <w:t xml:space="preserve"> </w:t>
            </w:r>
            <w:r w:rsidR="00944985">
              <w:rPr>
                <w:szCs w:val="28"/>
                <w:lang w:val="en-US" w:bidi="ru-RU"/>
              </w:rPr>
              <w:t>either on</w:t>
            </w:r>
            <w:r w:rsidRPr="00F17567">
              <w:rPr>
                <w:szCs w:val="28"/>
                <w:lang w:val="en-US" w:bidi="ru-RU"/>
              </w:rPr>
              <w:t xml:space="preserve"> a real property or personal property in propor</w:t>
            </w:r>
            <w:r w:rsidR="00944985">
              <w:rPr>
                <w:szCs w:val="28"/>
                <w:lang w:val="en-US" w:bidi="ru-RU"/>
              </w:rPr>
              <w:t>tion to the property's value</w:t>
            </w:r>
            <w:r w:rsidRPr="00F17567">
              <w:rPr>
                <w:szCs w:val="28"/>
                <w:lang w:val="en-US" w:bidi="ru-RU"/>
              </w:rPr>
              <w:t xml:space="preserve"> </w:t>
            </w:r>
          </w:p>
        </w:tc>
      </w:tr>
      <w:tr w:rsidR="00BE42A0" w:rsidRPr="00F17567" w14:paraId="7D304BCD" w14:textId="77777777" w:rsidTr="00BE42A0">
        <w:tc>
          <w:tcPr>
            <w:tcW w:w="1668" w:type="dxa"/>
            <w:vMerge/>
          </w:tcPr>
          <w:p w14:paraId="296F6B93" w14:textId="77777777" w:rsidR="00BE42A0" w:rsidRPr="00F17567" w:rsidRDefault="00BE42A0" w:rsidP="00BE42A0">
            <w:pPr>
              <w:contextualSpacing/>
              <w:jc w:val="both"/>
              <w:rPr>
                <w:szCs w:val="28"/>
                <w:lang w:val="en-US" w:bidi="ru-RU"/>
              </w:rPr>
            </w:pPr>
          </w:p>
        </w:tc>
        <w:tc>
          <w:tcPr>
            <w:tcW w:w="1559" w:type="dxa"/>
          </w:tcPr>
          <w:p w14:paraId="327EA08C" w14:textId="77777777" w:rsidR="00BE42A0" w:rsidRPr="00F17567" w:rsidRDefault="00BE42A0" w:rsidP="00BE42A0">
            <w:pPr>
              <w:contextualSpacing/>
              <w:rPr>
                <w:szCs w:val="28"/>
                <w:lang w:val="en-US" w:bidi="ru-RU"/>
              </w:rPr>
            </w:pPr>
            <w:r w:rsidRPr="00F17567">
              <w:rPr>
                <w:szCs w:val="28"/>
                <w:lang w:val="en-US" w:bidi="ru-RU"/>
              </w:rPr>
              <w:t>Excise tax</w:t>
            </w:r>
          </w:p>
        </w:tc>
        <w:tc>
          <w:tcPr>
            <w:tcW w:w="6237" w:type="dxa"/>
          </w:tcPr>
          <w:p w14:paraId="3EE1F2E7" w14:textId="77777777" w:rsidR="00BE42A0" w:rsidRPr="00F17567" w:rsidRDefault="00BE42A0" w:rsidP="00944985">
            <w:pPr>
              <w:contextualSpacing/>
              <w:jc w:val="both"/>
              <w:rPr>
                <w:szCs w:val="28"/>
                <w:lang w:val="en-US" w:bidi="ru-RU"/>
              </w:rPr>
            </w:pPr>
            <w:r w:rsidRPr="00F17567">
              <w:rPr>
                <w:szCs w:val="28"/>
                <w:lang w:val="en-US" w:bidi="ru-RU"/>
              </w:rPr>
              <w:t xml:space="preserve">is a tax that is imposed on </w:t>
            </w:r>
            <w:r w:rsidR="00944985">
              <w:rPr>
                <w:szCs w:val="28"/>
                <w:lang w:val="en-US" w:bidi="ru-RU"/>
              </w:rPr>
              <w:t>certain commodities that are made, sold, or used within a country</w:t>
            </w:r>
            <w:r w:rsidRPr="00F17567">
              <w:rPr>
                <w:szCs w:val="28"/>
                <w:lang w:val="en-US" w:bidi="ru-RU"/>
              </w:rPr>
              <w:t xml:space="preserve"> </w:t>
            </w:r>
          </w:p>
        </w:tc>
      </w:tr>
    </w:tbl>
    <w:p w14:paraId="40D8E70B" w14:textId="77777777" w:rsidR="00BE42A0" w:rsidRPr="00F17567" w:rsidRDefault="00BE42A0" w:rsidP="00BE42A0">
      <w:pPr>
        <w:spacing w:line="312" w:lineRule="auto"/>
        <w:ind w:firstLine="357"/>
        <w:contextualSpacing/>
        <w:jc w:val="both"/>
        <w:rPr>
          <w:sz w:val="28"/>
          <w:szCs w:val="28"/>
          <w:lang w:val="en-US" w:bidi="ru-RU"/>
        </w:rPr>
      </w:pPr>
    </w:p>
    <w:p w14:paraId="5C24564E" w14:textId="77777777" w:rsidR="00BE42A0" w:rsidRPr="00F17567" w:rsidRDefault="00BE42A0" w:rsidP="00630F27">
      <w:pPr>
        <w:spacing w:line="312" w:lineRule="auto"/>
        <w:ind w:firstLine="709"/>
        <w:contextualSpacing/>
        <w:jc w:val="both"/>
        <w:rPr>
          <w:sz w:val="28"/>
          <w:szCs w:val="28"/>
          <w:lang w:val="en-US" w:bidi="ru-RU"/>
        </w:rPr>
      </w:pPr>
      <w:r w:rsidRPr="00F17567">
        <w:rPr>
          <w:sz w:val="28"/>
          <w:szCs w:val="28"/>
          <w:lang w:val="en-US" w:bidi="ru-RU"/>
        </w:rPr>
        <w:t>Mandatory levies include not only taxes but fees for services rendered, customs duties</w:t>
      </w:r>
      <w:r w:rsidR="00944985">
        <w:rPr>
          <w:sz w:val="28"/>
          <w:szCs w:val="28"/>
          <w:lang w:val="en-US" w:bidi="ru-RU"/>
        </w:rPr>
        <w:t>,</w:t>
      </w:r>
      <w:r w:rsidRPr="00F17567">
        <w:rPr>
          <w:sz w:val="28"/>
          <w:szCs w:val="28"/>
          <w:lang w:val="en-US" w:bidi="ru-RU"/>
        </w:rPr>
        <w:t xml:space="preserve"> and social security contributions. These terms to a certain extent are similar but have a significant different economic purpose. </w:t>
      </w:r>
      <w:r w:rsidRPr="00F17567">
        <w:rPr>
          <w:b/>
          <w:sz w:val="28"/>
          <w:szCs w:val="28"/>
          <w:lang w:val="en-US" w:bidi="ru-RU"/>
        </w:rPr>
        <w:t>Taxes</w:t>
      </w:r>
      <w:r w:rsidRPr="00F17567">
        <w:rPr>
          <w:sz w:val="28"/>
          <w:szCs w:val="28"/>
          <w:lang w:val="en-US" w:bidi="ru-RU"/>
        </w:rPr>
        <w:t xml:space="preserve"> are payments imposed on individuals and legal entities according to their ability to pay without any specific consideration in return in order to cover public spending and achieve the economic </w:t>
      </w:r>
      <w:r w:rsidRPr="00F17567">
        <w:rPr>
          <w:sz w:val="28"/>
          <w:szCs w:val="28"/>
          <w:lang w:val="en-US" w:bidi="ru-RU"/>
        </w:rPr>
        <w:lastRenderedPageBreak/>
        <w:t xml:space="preserve">and social objectives set by the government. </w:t>
      </w:r>
      <w:r w:rsidRPr="00F17567">
        <w:rPr>
          <w:b/>
          <w:sz w:val="28"/>
          <w:szCs w:val="28"/>
          <w:lang w:val="en-US" w:bidi="ru-RU"/>
        </w:rPr>
        <w:t>Fees for services rendered</w:t>
      </w:r>
      <w:r w:rsidRPr="00F17567">
        <w:rPr>
          <w:sz w:val="28"/>
          <w:szCs w:val="28"/>
          <w:lang w:val="en-US" w:bidi="ru-RU"/>
        </w:rPr>
        <w:t xml:space="preserve">, payable for the use of certain public services or for the right to use them, are also mandatory levies but are not, strictly speaking, taxes since they entitle the payer to a consideration in return. </w:t>
      </w:r>
      <w:r w:rsidRPr="00F17567">
        <w:rPr>
          <w:b/>
          <w:sz w:val="28"/>
          <w:szCs w:val="28"/>
          <w:lang w:val="en-US" w:bidi="ru-RU"/>
        </w:rPr>
        <w:t>Customs duties</w:t>
      </w:r>
      <w:r w:rsidRPr="00F17567">
        <w:rPr>
          <w:sz w:val="28"/>
          <w:szCs w:val="28"/>
          <w:lang w:val="en-US" w:bidi="ru-RU"/>
        </w:rPr>
        <w:t xml:space="preserve"> are distinguished from taxes by their economic purpose, namely to protect the domestic market. </w:t>
      </w:r>
      <w:r w:rsidRPr="00F17567">
        <w:rPr>
          <w:b/>
          <w:sz w:val="28"/>
          <w:szCs w:val="28"/>
          <w:lang w:val="en-US" w:bidi="ru-RU"/>
        </w:rPr>
        <w:t>Social security contributions</w:t>
      </w:r>
      <w:r w:rsidRPr="00F17567">
        <w:rPr>
          <w:sz w:val="28"/>
          <w:szCs w:val="28"/>
          <w:lang w:val="en-US" w:bidi="ru-RU"/>
        </w:rPr>
        <w:t>, though mandatory, are not taxes since they are levied for a specific purpose, namely social protection, and benefits are paid in return.</w:t>
      </w:r>
    </w:p>
    <w:p w14:paraId="790FC8D9" w14:textId="77777777" w:rsidR="00BE42A0" w:rsidRPr="00F17567" w:rsidRDefault="00BE42A0" w:rsidP="00630F27">
      <w:pPr>
        <w:spacing w:line="312" w:lineRule="auto"/>
        <w:ind w:firstLine="709"/>
        <w:contextualSpacing/>
        <w:jc w:val="both"/>
        <w:rPr>
          <w:sz w:val="28"/>
          <w:szCs w:val="28"/>
          <w:lang w:val="en-US" w:bidi="ru-RU"/>
        </w:rPr>
      </w:pPr>
      <w:r w:rsidRPr="00F17567">
        <w:rPr>
          <w:sz w:val="28"/>
          <w:szCs w:val="28"/>
          <w:lang w:val="en-US" w:bidi="ru-RU"/>
        </w:rPr>
        <w:t>Differences between Duty and Tax:</w:t>
      </w:r>
    </w:p>
    <w:p w14:paraId="6D9916DA" w14:textId="77777777" w:rsidR="00BE42A0" w:rsidRPr="00F17567" w:rsidRDefault="00BE42A0" w:rsidP="006F749C">
      <w:pPr>
        <w:numPr>
          <w:ilvl w:val="0"/>
          <w:numId w:val="117"/>
        </w:numPr>
        <w:spacing w:line="312" w:lineRule="auto"/>
        <w:ind w:left="993" w:hanging="284"/>
        <w:contextualSpacing/>
        <w:jc w:val="both"/>
        <w:rPr>
          <w:sz w:val="28"/>
          <w:szCs w:val="28"/>
          <w:lang w:val="en-US" w:bidi="ru-RU"/>
        </w:rPr>
      </w:pPr>
      <w:r w:rsidRPr="00F17567">
        <w:rPr>
          <w:sz w:val="28"/>
          <w:szCs w:val="28"/>
          <w:lang w:val="en-US" w:bidi="ru-RU"/>
        </w:rPr>
        <w:t>Both duty and tax are the revenues generated by a government for its effective functioning. Duty in broader terms is a kind of tax only. But there are differences between the two entities.</w:t>
      </w:r>
    </w:p>
    <w:p w14:paraId="250EAA4C" w14:textId="77777777" w:rsidR="00BE42A0" w:rsidRPr="00F17567" w:rsidRDefault="00BE42A0" w:rsidP="006F749C">
      <w:pPr>
        <w:numPr>
          <w:ilvl w:val="0"/>
          <w:numId w:val="117"/>
        </w:numPr>
        <w:spacing w:line="312" w:lineRule="auto"/>
        <w:ind w:left="993" w:hanging="284"/>
        <w:contextualSpacing/>
        <w:jc w:val="both"/>
        <w:rPr>
          <w:sz w:val="28"/>
          <w:szCs w:val="28"/>
          <w:lang w:val="en-US" w:bidi="ru-RU"/>
        </w:rPr>
      </w:pPr>
      <w:r w:rsidRPr="00F17567">
        <w:rPr>
          <w:sz w:val="28"/>
          <w:szCs w:val="28"/>
          <w:lang w:val="en-US" w:bidi="ru-RU"/>
        </w:rPr>
        <w:t>Duty is levied upon goods only, whereas tax is levied on both goods and individuals.</w:t>
      </w:r>
    </w:p>
    <w:p w14:paraId="3EA7FE40" w14:textId="77777777" w:rsidR="00BE42A0" w:rsidRPr="00F17567" w:rsidRDefault="00BE42A0" w:rsidP="006F749C">
      <w:pPr>
        <w:numPr>
          <w:ilvl w:val="0"/>
          <w:numId w:val="117"/>
        </w:numPr>
        <w:spacing w:line="312" w:lineRule="auto"/>
        <w:ind w:left="993" w:hanging="284"/>
        <w:contextualSpacing/>
        <w:jc w:val="both"/>
        <w:rPr>
          <w:sz w:val="28"/>
          <w:szCs w:val="28"/>
          <w:lang w:val="en-US" w:bidi="ru-RU"/>
        </w:rPr>
      </w:pPr>
      <w:r w:rsidRPr="00F17567">
        <w:rPr>
          <w:sz w:val="28"/>
          <w:szCs w:val="28"/>
          <w:lang w:val="en-US" w:bidi="ru-RU"/>
        </w:rPr>
        <w:t>Tax is a term used in respect of income</w:t>
      </w:r>
      <w:r w:rsidR="00CA770B">
        <w:rPr>
          <w:sz w:val="28"/>
          <w:szCs w:val="28"/>
          <w:lang w:val="en-US" w:bidi="ru-RU"/>
        </w:rPr>
        <w:t>,</w:t>
      </w:r>
      <w:r w:rsidRPr="00F17567">
        <w:rPr>
          <w:sz w:val="28"/>
          <w:szCs w:val="28"/>
          <w:lang w:val="en-US" w:bidi="ru-RU"/>
        </w:rPr>
        <w:t xml:space="preserve"> such as property tax, wealth tax,</w:t>
      </w:r>
      <w:r w:rsidR="00944985">
        <w:rPr>
          <w:sz w:val="28"/>
          <w:szCs w:val="28"/>
          <w:lang w:val="en-US" w:bidi="ru-RU"/>
        </w:rPr>
        <w:t xml:space="preserve"> or</w:t>
      </w:r>
      <w:r w:rsidRPr="00F17567">
        <w:rPr>
          <w:sz w:val="28"/>
          <w:szCs w:val="28"/>
          <w:lang w:val="en-US" w:bidi="ru-RU"/>
        </w:rPr>
        <w:t xml:space="preserve"> income tax, whereas duty is used in terms of goods only</w:t>
      </w:r>
      <w:r w:rsidR="00944985">
        <w:rPr>
          <w:sz w:val="28"/>
          <w:szCs w:val="28"/>
          <w:lang w:val="en-US" w:bidi="ru-RU"/>
        </w:rPr>
        <w:t>,</w:t>
      </w:r>
      <w:r w:rsidRPr="00F17567">
        <w:rPr>
          <w:sz w:val="28"/>
          <w:szCs w:val="28"/>
          <w:lang w:val="en-US" w:bidi="ru-RU"/>
        </w:rPr>
        <w:t xml:space="preserve"> such as customs duty</w:t>
      </w:r>
      <w:r w:rsidR="00944985">
        <w:rPr>
          <w:sz w:val="28"/>
          <w:szCs w:val="28"/>
          <w:lang w:val="en-US" w:bidi="ru-RU"/>
        </w:rPr>
        <w:t xml:space="preserve"> and</w:t>
      </w:r>
      <w:r w:rsidRPr="00F17567">
        <w:rPr>
          <w:sz w:val="28"/>
          <w:szCs w:val="28"/>
          <w:lang w:val="en-US" w:bidi="ru-RU"/>
        </w:rPr>
        <w:t xml:space="preserve"> excise duty.</w:t>
      </w:r>
    </w:p>
    <w:p w14:paraId="4DD1B285" w14:textId="77777777" w:rsidR="00BE42A0" w:rsidRPr="00F17567" w:rsidRDefault="00BE42A0" w:rsidP="006F749C">
      <w:pPr>
        <w:numPr>
          <w:ilvl w:val="0"/>
          <w:numId w:val="117"/>
        </w:numPr>
        <w:spacing w:line="312" w:lineRule="auto"/>
        <w:ind w:left="993" w:hanging="284"/>
        <w:contextualSpacing/>
        <w:jc w:val="both"/>
        <w:rPr>
          <w:sz w:val="28"/>
          <w:szCs w:val="28"/>
          <w:lang w:val="en-US" w:bidi="ru-RU"/>
        </w:rPr>
      </w:pPr>
      <w:r w:rsidRPr="00F17567">
        <w:rPr>
          <w:sz w:val="28"/>
          <w:szCs w:val="28"/>
          <w:lang w:val="en-US" w:bidi="ru-RU"/>
        </w:rPr>
        <w:t>Duty is generally a tax levied on good going out or coming into a country. Duties are sometimes referred to as border taxes.</w:t>
      </w:r>
    </w:p>
    <w:p w14:paraId="00BA66EC" w14:textId="77777777" w:rsidR="00BE42A0" w:rsidRPr="00F17567" w:rsidRDefault="00BE42A0" w:rsidP="006F749C">
      <w:pPr>
        <w:numPr>
          <w:ilvl w:val="0"/>
          <w:numId w:val="117"/>
        </w:numPr>
        <w:spacing w:line="312" w:lineRule="auto"/>
        <w:ind w:left="993" w:hanging="284"/>
        <w:contextualSpacing/>
        <w:jc w:val="both"/>
        <w:rPr>
          <w:sz w:val="28"/>
          <w:szCs w:val="28"/>
          <w:lang w:val="en-US" w:bidi="ru-RU"/>
        </w:rPr>
      </w:pPr>
      <w:r w:rsidRPr="00F17567">
        <w:rPr>
          <w:sz w:val="28"/>
          <w:szCs w:val="28"/>
          <w:lang w:val="en-US" w:bidi="ru-RU"/>
        </w:rPr>
        <w:t>Higher duties are levied on some categories of products to discourage people from using them. Taxes are mostly progressive in nature.</w:t>
      </w:r>
    </w:p>
    <w:p w14:paraId="0A0B0D9B" w14:textId="77777777" w:rsidR="00BE42A0" w:rsidRPr="00F17567" w:rsidRDefault="00BE42A0" w:rsidP="00630F27">
      <w:pPr>
        <w:spacing w:line="312" w:lineRule="auto"/>
        <w:ind w:firstLine="709"/>
        <w:contextualSpacing/>
        <w:jc w:val="both"/>
        <w:rPr>
          <w:sz w:val="28"/>
          <w:szCs w:val="28"/>
          <w:lang w:val="en-US" w:bidi="ru-RU"/>
        </w:rPr>
      </w:pPr>
      <w:r w:rsidRPr="00F17567">
        <w:rPr>
          <w:sz w:val="28"/>
          <w:szCs w:val="28"/>
          <w:lang w:val="en-US" w:bidi="ru-RU"/>
        </w:rPr>
        <w:t xml:space="preserve">The </w:t>
      </w:r>
      <w:r w:rsidRPr="00F17567">
        <w:rPr>
          <w:b/>
          <w:sz w:val="28"/>
          <w:szCs w:val="28"/>
          <w:lang w:val="en-US" w:bidi="ru-RU"/>
        </w:rPr>
        <w:t>tax legislation of Ukraine</w:t>
      </w:r>
      <w:r w:rsidRPr="00F17567">
        <w:rPr>
          <w:sz w:val="28"/>
          <w:szCs w:val="28"/>
          <w:lang w:val="en-US" w:bidi="ru-RU"/>
        </w:rPr>
        <w:t xml:space="preserve"> includes the Constitution of Ukraine, Tax Code, the Customs Code and other laws on customs matters regarding regulation of legal relations arising in connection with the taxation of transactions on the movement of goods across the customs border of Ukraine (hereinafter </w:t>
      </w:r>
      <w:r w:rsidR="00944985">
        <w:rPr>
          <w:lang w:val="en-US"/>
        </w:rPr>
        <w:t>–</w:t>
      </w:r>
      <w:r w:rsidRPr="00F17567">
        <w:rPr>
          <w:sz w:val="28"/>
          <w:szCs w:val="28"/>
          <w:lang w:val="en-US" w:bidi="ru-RU"/>
        </w:rPr>
        <w:t xml:space="preserve"> the “laws on customs matters”); applicable international treaties agreed to be bound by the Verkhovna Rada of Ukraine and which regulate the taxation, regulatory and legal instruments adopted on the basis of and in compliance with General Provisions the Tax Code and the law on customs matters; decisions of the Verkhovna Rada of the Autonomous Republic of Crimea, local self-government on local taxes and fees received in accordance with the rules established by Tax Code. The set of state and local taxes and fees levied in accordance with a procedure established by Tax Code represents the </w:t>
      </w:r>
      <w:r w:rsidRPr="00F17567">
        <w:rPr>
          <w:b/>
          <w:sz w:val="28"/>
          <w:szCs w:val="28"/>
          <w:lang w:val="en-US" w:bidi="ru-RU"/>
        </w:rPr>
        <w:t>tax system of Ukraine</w:t>
      </w:r>
      <w:r w:rsidRPr="00F17567">
        <w:rPr>
          <w:sz w:val="28"/>
          <w:szCs w:val="28"/>
          <w:lang w:val="en-US" w:bidi="ru-RU"/>
        </w:rPr>
        <w:t>.</w:t>
      </w:r>
      <w:r w:rsidR="00F17567">
        <w:rPr>
          <w:sz w:val="28"/>
          <w:szCs w:val="28"/>
          <w:lang w:val="en-US" w:bidi="ru-RU"/>
        </w:rPr>
        <w:t xml:space="preserve"> </w:t>
      </w:r>
      <w:r w:rsidRPr="00F17567">
        <w:rPr>
          <w:sz w:val="28"/>
          <w:szCs w:val="28"/>
          <w:lang w:val="en-US" w:bidi="ru-RU"/>
        </w:rPr>
        <w:t xml:space="preserve">On 28, December 2014 </w:t>
      </w:r>
      <w:r w:rsidR="00944985">
        <w:rPr>
          <w:sz w:val="28"/>
          <w:szCs w:val="28"/>
          <w:lang w:val="en-US" w:bidi="ru-RU"/>
        </w:rPr>
        <w:t xml:space="preserve">the </w:t>
      </w:r>
      <w:r w:rsidRPr="00F17567">
        <w:rPr>
          <w:sz w:val="28"/>
          <w:szCs w:val="28"/>
          <w:lang w:val="en-US" w:bidi="ru-RU"/>
        </w:rPr>
        <w:t xml:space="preserve">Verkhovna Rada of Ukraine (“Parliament”) approved a package of laws, which significantly amend the system of taxation in Ukraine. Recently adopted Law on Tax Reform introduced important changes to Tax </w:t>
      </w:r>
      <w:r w:rsidRPr="00F17567">
        <w:rPr>
          <w:sz w:val="28"/>
          <w:szCs w:val="28"/>
          <w:lang w:val="en-US" w:bidi="ru-RU"/>
        </w:rPr>
        <w:lastRenderedPageBreak/>
        <w:t xml:space="preserve">Code </w:t>
      </w:r>
      <w:r w:rsidR="00944985">
        <w:rPr>
          <w:sz w:val="28"/>
          <w:szCs w:val="28"/>
          <w:lang w:val="en-US" w:bidi="ru-RU"/>
        </w:rPr>
        <w:t>that came</w:t>
      </w:r>
      <w:r w:rsidRPr="00F17567">
        <w:rPr>
          <w:sz w:val="28"/>
          <w:szCs w:val="28"/>
          <w:lang w:val="en-US" w:bidi="ru-RU"/>
        </w:rPr>
        <w:t xml:space="preserve"> into effect in 2015. Some minor taxes </w:t>
      </w:r>
      <w:r w:rsidR="00944985">
        <w:rPr>
          <w:sz w:val="28"/>
          <w:szCs w:val="28"/>
          <w:lang w:val="en-US" w:bidi="ru-RU"/>
        </w:rPr>
        <w:t>were</w:t>
      </w:r>
      <w:r w:rsidRPr="00F17567">
        <w:rPr>
          <w:sz w:val="28"/>
          <w:szCs w:val="28"/>
          <w:lang w:val="en-US" w:bidi="ru-RU"/>
        </w:rPr>
        <w:t xml:space="preserve"> cancelled, new taxes on businesses introduced, tax rates increased and tax administration procedures changed significantly for some key taxes. Some main changes are summarized below.</w:t>
      </w:r>
    </w:p>
    <w:p w14:paraId="6515AAAE" w14:textId="77777777" w:rsidR="00BE42A0" w:rsidRPr="00F17567" w:rsidRDefault="00BE42A0" w:rsidP="00630F27">
      <w:pPr>
        <w:spacing w:line="312" w:lineRule="auto"/>
        <w:ind w:firstLine="709"/>
        <w:contextualSpacing/>
        <w:jc w:val="both"/>
        <w:rPr>
          <w:sz w:val="28"/>
          <w:szCs w:val="28"/>
          <w:lang w:val="en-US" w:bidi="ru-RU"/>
        </w:rPr>
      </w:pPr>
      <w:r w:rsidRPr="00F17567">
        <w:rPr>
          <w:sz w:val="28"/>
          <w:szCs w:val="28"/>
          <w:lang w:val="en-US" w:bidi="ru-RU"/>
        </w:rPr>
        <w:t xml:space="preserve">According to the new Tax Code, the </w:t>
      </w:r>
      <w:r w:rsidRPr="00F17567">
        <w:rPr>
          <w:b/>
          <w:sz w:val="28"/>
          <w:szCs w:val="28"/>
          <w:lang w:val="en-US" w:bidi="ru-RU"/>
        </w:rPr>
        <w:t>number of taxes was reduced</w:t>
      </w:r>
      <w:r w:rsidRPr="00F17567">
        <w:rPr>
          <w:sz w:val="28"/>
          <w:szCs w:val="28"/>
          <w:lang w:val="en-US" w:bidi="ru-RU"/>
        </w:rPr>
        <w:t xml:space="preserve"> from 22 to 11 (including 2 local duties). In fact, few taxes were actually eliminated, while other taxes were renamed and regrouped under new headings. For example, (i) excise tax, (ii) vehicle first registration fee, (iii) environmental tax (on oil, gas, fuel), (iv) fee in the form of an additional levy to the current tariff for electricity and thermal energy except for electricity generated by qualified co-generation plants were grouped and renamed as excise tax. </w:t>
      </w:r>
      <w:r w:rsidR="00944985">
        <w:rPr>
          <w:sz w:val="28"/>
          <w:szCs w:val="28"/>
          <w:lang w:val="en-US" w:bidi="ru-RU"/>
        </w:rPr>
        <w:t>An important point is that</w:t>
      </w:r>
      <w:r w:rsidRPr="00F17567">
        <w:rPr>
          <w:sz w:val="28"/>
          <w:szCs w:val="28"/>
          <w:lang w:val="en-US" w:bidi="ru-RU"/>
        </w:rPr>
        <w:t xml:space="preserve"> trade patent tax</w:t>
      </w:r>
      <w:r w:rsidR="00944985">
        <w:rPr>
          <w:sz w:val="28"/>
          <w:szCs w:val="28"/>
          <w:lang w:val="en-US" w:bidi="ru-RU"/>
        </w:rPr>
        <w:t xml:space="preserve"> and securities transaction</w:t>
      </w:r>
      <w:r w:rsidRPr="00F17567">
        <w:rPr>
          <w:sz w:val="28"/>
          <w:szCs w:val="28"/>
          <w:lang w:val="en-US" w:bidi="ru-RU"/>
        </w:rPr>
        <w:t xml:space="preserve"> tax were abolished, which should be good news for retail businesses and those dealing in securities.</w:t>
      </w:r>
      <w:r w:rsidR="00F17567">
        <w:rPr>
          <w:sz w:val="28"/>
          <w:szCs w:val="28"/>
          <w:lang w:val="en-US" w:bidi="ru-RU"/>
        </w:rPr>
        <w:t xml:space="preserve"> </w:t>
      </w:r>
      <w:r w:rsidRPr="00F17567">
        <w:rPr>
          <w:sz w:val="28"/>
          <w:szCs w:val="28"/>
          <w:lang w:val="en-US" w:bidi="ru-RU"/>
        </w:rPr>
        <w:t xml:space="preserve">In </w:t>
      </w:r>
      <w:r w:rsidR="00944985">
        <w:rPr>
          <w:sz w:val="28"/>
          <w:szCs w:val="28"/>
          <w:lang w:val="en-US" w:bidi="ru-RU"/>
        </w:rPr>
        <w:t>the upshot</w:t>
      </w:r>
      <w:r w:rsidRPr="00F17567">
        <w:rPr>
          <w:sz w:val="28"/>
          <w:szCs w:val="28"/>
          <w:lang w:val="en-US" w:bidi="ru-RU"/>
        </w:rPr>
        <w:t xml:space="preserve">, National taxes include: (i) corporate income tax; (ii) individual income tax; (iii) value added tax; (iv) excise tax; (v) environmental tax; (vi) rental payment for </w:t>
      </w:r>
      <w:r w:rsidR="003E2A9F">
        <w:rPr>
          <w:sz w:val="28"/>
          <w:szCs w:val="28"/>
          <w:lang w:val="en-US" w:bidi="ru-RU"/>
        </w:rPr>
        <w:t>crude</w:t>
      </w:r>
      <w:r w:rsidRPr="00F17567">
        <w:rPr>
          <w:sz w:val="28"/>
          <w:szCs w:val="28"/>
          <w:lang w:val="en-US" w:bidi="ru-RU"/>
        </w:rPr>
        <w:t xml:space="preserve"> oil and oil products </w:t>
      </w:r>
      <w:r w:rsidR="003E2A9F" w:rsidRPr="00F17567">
        <w:rPr>
          <w:sz w:val="28"/>
          <w:szCs w:val="28"/>
          <w:lang w:val="en-US" w:bidi="ru-RU"/>
        </w:rPr>
        <w:t xml:space="preserve">transportation </w:t>
      </w:r>
      <w:r w:rsidRPr="00F17567">
        <w:rPr>
          <w:sz w:val="28"/>
          <w:szCs w:val="28"/>
          <w:lang w:val="en-US" w:bidi="ru-RU"/>
        </w:rPr>
        <w:t xml:space="preserve">through main </w:t>
      </w:r>
      <w:r w:rsidR="003E2A9F">
        <w:rPr>
          <w:sz w:val="28"/>
          <w:szCs w:val="28"/>
          <w:lang w:val="en-US" w:bidi="ru-RU"/>
        </w:rPr>
        <w:t>pipelines, the transi</w:t>
      </w:r>
      <w:r w:rsidRPr="00F17567">
        <w:rPr>
          <w:sz w:val="28"/>
          <w:szCs w:val="28"/>
          <w:lang w:val="en-US" w:bidi="ru-RU"/>
        </w:rPr>
        <w:t xml:space="preserve">tion of natural gas through natural gas and ammonia pipelines on the territory of Ukraine; </w:t>
      </w:r>
      <w:r w:rsidR="003E2A9F">
        <w:rPr>
          <w:sz w:val="28"/>
          <w:szCs w:val="28"/>
          <w:lang w:val="en-US" w:bidi="ru-RU"/>
        </w:rPr>
        <w:t xml:space="preserve">and </w:t>
      </w:r>
      <w:r w:rsidRPr="00F17567">
        <w:rPr>
          <w:sz w:val="28"/>
          <w:szCs w:val="28"/>
          <w:lang w:val="en-US" w:bidi="ru-RU"/>
        </w:rPr>
        <w:t>(vii) customs duty. Local taxes include: (i) tax on real estate, other than land; (ii) single tax. The local duties include: (i) fee for parking of vehicles</w:t>
      </w:r>
      <w:r w:rsidR="003E2A9F">
        <w:rPr>
          <w:sz w:val="28"/>
          <w:szCs w:val="28"/>
          <w:lang w:val="en-US" w:bidi="ru-RU"/>
        </w:rPr>
        <w:t>, and</w:t>
      </w:r>
      <w:r w:rsidRPr="00F17567">
        <w:rPr>
          <w:sz w:val="28"/>
          <w:szCs w:val="28"/>
          <w:lang w:val="en-US" w:bidi="ru-RU"/>
        </w:rPr>
        <w:t xml:space="preserve"> (ii) tourist tax.</w:t>
      </w:r>
    </w:p>
    <w:p w14:paraId="0B41C379" w14:textId="77777777" w:rsidR="00BE42A0" w:rsidRPr="00F17567" w:rsidRDefault="00BE42A0" w:rsidP="00630F27">
      <w:pPr>
        <w:spacing w:line="312" w:lineRule="auto"/>
        <w:ind w:firstLine="709"/>
        <w:contextualSpacing/>
        <w:jc w:val="both"/>
        <w:rPr>
          <w:sz w:val="28"/>
          <w:szCs w:val="28"/>
          <w:lang w:val="en-US" w:bidi="ru-RU"/>
        </w:rPr>
      </w:pPr>
      <w:r w:rsidRPr="00F17567">
        <w:rPr>
          <w:sz w:val="28"/>
          <w:szCs w:val="28"/>
          <w:lang w:val="en-US" w:bidi="ru-RU"/>
        </w:rPr>
        <w:t xml:space="preserve">Changes in </w:t>
      </w:r>
      <w:r w:rsidRPr="00F17567">
        <w:rPr>
          <w:b/>
          <w:sz w:val="28"/>
          <w:szCs w:val="28"/>
          <w:lang w:val="en-US" w:bidi="ru-RU"/>
        </w:rPr>
        <w:t>Corporate profit tax</w:t>
      </w:r>
      <w:r w:rsidRPr="00F17567">
        <w:rPr>
          <w:sz w:val="28"/>
          <w:szCs w:val="28"/>
          <w:lang w:val="en-US" w:bidi="ru-RU"/>
        </w:rPr>
        <w:t>. As a move towards simplification for taxpayers, under the new rules, the taxable base for corporate profit tax will be financial accounting profits adjusted for certain differences (depreciation, royalty and interest payments, reserves, payments to low-tax jurisdictions and some other</w:t>
      </w:r>
      <w:r w:rsidR="003E2A9F">
        <w:rPr>
          <w:sz w:val="28"/>
          <w:szCs w:val="28"/>
          <w:lang w:val="en-US" w:bidi="ru-RU"/>
        </w:rPr>
        <w:t xml:space="preserve"> payments</w:t>
      </w:r>
      <w:r w:rsidRPr="00F17567">
        <w:rPr>
          <w:sz w:val="28"/>
          <w:szCs w:val="28"/>
          <w:lang w:val="en-US" w:bidi="ru-RU"/>
        </w:rPr>
        <w:t>). In general, the list of differences is quite shorter, compared to the list of restricted deductions under the previous rules. Small enterprises (with income below UAH</w:t>
      </w:r>
      <w:r w:rsidR="003E2A9F">
        <w:rPr>
          <w:sz w:val="28"/>
          <w:szCs w:val="28"/>
          <w:lang w:val="en-US" w:bidi="ru-RU"/>
        </w:rPr>
        <w:t xml:space="preserve"> </w:t>
      </w:r>
      <w:r w:rsidRPr="00F17567">
        <w:rPr>
          <w:sz w:val="28"/>
          <w:szCs w:val="28"/>
          <w:lang w:val="en-US" w:bidi="ru-RU"/>
        </w:rPr>
        <w:t>20 million per year) may choose not to apply tax corrections and pay corporate profit tax based on their financial accounting results. Participation exemption for dividends applies only to dividends received from companies subject to corporate profit tax (dividends distributed by non-residents are taxable).</w:t>
      </w:r>
    </w:p>
    <w:p w14:paraId="74F4A430" w14:textId="77777777" w:rsidR="00BE42A0" w:rsidRPr="00F17567" w:rsidRDefault="00BE42A0" w:rsidP="00630F27">
      <w:pPr>
        <w:spacing w:line="312" w:lineRule="auto"/>
        <w:ind w:firstLine="709"/>
        <w:contextualSpacing/>
        <w:jc w:val="both"/>
        <w:rPr>
          <w:sz w:val="28"/>
          <w:szCs w:val="28"/>
          <w:lang w:val="en-US" w:bidi="ru-RU"/>
        </w:rPr>
      </w:pPr>
      <w:r w:rsidRPr="00F17567">
        <w:rPr>
          <w:sz w:val="28"/>
          <w:szCs w:val="28"/>
          <w:lang w:val="en-US" w:bidi="ru-RU"/>
        </w:rPr>
        <w:t xml:space="preserve">New </w:t>
      </w:r>
      <w:r w:rsidRPr="00F17567">
        <w:rPr>
          <w:b/>
          <w:sz w:val="28"/>
          <w:szCs w:val="28"/>
          <w:lang w:val="en-US" w:bidi="ru-RU"/>
        </w:rPr>
        <w:t>electronic VAT administration system (VAT accounts)</w:t>
      </w:r>
      <w:r w:rsidRPr="00F17567">
        <w:rPr>
          <w:sz w:val="28"/>
          <w:szCs w:val="28"/>
          <w:lang w:val="en-US" w:bidi="ru-RU"/>
        </w:rPr>
        <w:t xml:space="preserve"> start</w:t>
      </w:r>
      <w:r w:rsidR="003E2A9F">
        <w:rPr>
          <w:sz w:val="28"/>
          <w:szCs w:val="28"/>
          <w:lang w:val="en-US" w:bidi="ru-RU"/>
        </w:rPr>
        <w:t>ed</w:t>
      </w:r>
      <w:r w:rsidRPr="00F17567">
        <w:rPr>
          <w:sz w:val="28"/>
          <w:szCs w:val="28"/>
          <w:lang w:val="en-US" w:bidi="ru-RU"/>
        </w:rPr>
        <w:t xml:space="preserve"> operating in Ukraine from 1 February 2015 till 1 July 2015 (in test </w:t>
      </w:r>
      <w:r w:rsidR="003E2A9F">
        <w:rPr>
          <w:sz w:val="28"/>
          <w:szCs w:val="28"/>
          <w:lang w:val="en-US" w:bidi="ru-RU"/>
        </w:rPr>
        <w:t>mode</w:t>
      </w:r>
      <w:r w:rsidRPr="00F17567">
        <w:rPr>
          <w:sz w:val="28"/>
          <w:szCs w:val="28"/>
          <w:lang w:val="en-US" w:bidi="ru-RU"/>
        </w:rPr>
        <w:t xml:space="preserve">) and after that in the normal </w:t>
      </w:r>
      <w:r w:rsidR="003E2A9F">
        <w:rPr>
          <w:sz w:val="28"/>
          <w:szCs w:val="28"/>
          <w:lang w:val="en-US" w:bidi="ru-RU"/>
        </w:rPr>
        <w:t>mode</w:t>
      </w:r>
      <w:r w:rsidRPr="00F17567">
        <w:rPr>
          <w:sz w:val="28"/>
          <w:szCs w:val="28"/>
          <w:lang w:val="en-US" w:bidi="ru-RU"/>
        </w:rPr>
        <w:t>. The law also introduces electronic VAT invoices only, and paper invoices are abolished. All invoices are subject to registration with a central database of tax authority starting</w:t>
      </w:r>
      <w:r w:rsidR="003E2A9F">
        <w:rPr>
          <w:sz w:val="28"/>
          <w:szCs w:val="28"/>
          <w:lang w:val="en-US" w:bidi="ru-RU"/>
        </w:rPr>
        <w:t xml:space="preserve"> from</w:t>
      </w:r>
      <w:r w:rsidRPr="00F17567">
        <w:rPr>
          <w:sz w:val="28"/>
          <w:szCs w:val="28"/>
          <w:lang w:val="en-US" w:bidi="ru-RU"/>
        </w:rPr>
        <w:t xml:space="preserve"> 1 February 2015. Penalties are introduced on the supplier for failure to register VAT invoice (up to 50</w:t>
      </w:r>
      <w:r w:rsidR="003E2A9F">
        <w:rPr>
          <w:sz w:val="28"/>
          <w:szCs w:val="28"/>
          <w:lang w:val="en-US" w:bidi="ru-RU"/>
        </w:rPr>
        <w:t xml:space="preserve"> </w:t>
      </w:r>
      <w:r w:rsidRPr="00F17567">
        <w:rPr>
          <w:sz w:val="28"/>
          <w:szCs w:val="28"/>
          <w:lang w:val="en-US" w:bidi="ru-RU"/>
        </w:rPr>
        <w:t xml:space="preserve">% of the amount of VAT </w:t>
      </w:r>
      <w:r w:rsidRPr="00F17567">
        <w:rPr>
          <w:sz w:val="28"/>
          <w:szCs w:val="28"/>
          <w:lang w:val="en-US" w:bidi="ru-RU"/>
        </w:rPr>
        <w:lastRenderedPageBreak/>
        <w:t>indicated in the invoice). While VAT reform is aimed at prevention of VAT abuse, the new rules may also affect prudent taxpayers.</w:t>
      </w:r>
    </w:p>
    <w:p w14:paraId="684BBE38" w14:textId="77777777" w:rsidR="00BE42A0" w:rsidRPr="00F17567" w:rsidRDefault="00BE42A0" w:rsidP="00630F27">
      <w:pPr>
        <w:spacing w:line="312" w:lineRule="auto"/>
        <w:ind w:firstLine="709"/>
        <w:contextualSpacing/>
        <w:jc w:val="both"/>
        <w:rPr>
          <w:sz w:val="28"/>
          <w:szCs w:val="28"/>
          <w:lang w:val="en-US" w:bidi="ru-RU"/>
        </w:rPr>
      </w:pPr>
      <w:r w:rsidRPr="00F17567">
        <w:rPr>
          <w:sz w:val="28"/>
          <w:szCs w:val="28"/>
          <w:lang w:val="en-US" w:bidi="ru-RU"/>
        </w:rPr>
        <w:t xml:space="preserve">For </w:t>
      </w:r>
      <w:r w:rsidRPr="00F17567">
        <w:rPr>
          <w:b/>
          <w:sz w:val="28"/>
          <w:szCs w:val="28"/>
          <w:lang w:val="en-US" w:bidi="ru-RU"/>
        </w:rPr>
        <w:t>payroll taxes</w:t>
      </w:r>
      <w:r w:rsidRPr="00F17567">
        <w:rPr>
          <w:sz w:val="28"/>
          <w:szCs w:val="28"/>
          <w:lang w:val="en-US" w:bidi="ru-RU"/>
        </w:rPr>
        <w:t>, the cost for employees will increase since the maximum rate of personal income tax has been increased from 17</w:t>
      </w:r>
      <w:r w:rsidR="003E2A9F">
        <w:rPr>
          <w:sz w:val="28"/>
          <w:szCs w:val="28"/>
          <w:lang w:val="en-US" w:bidi="ru-RU"/>
        </w:rPr>
        <w:t xml:space="preserve"> </w:t>
      </w:r>
      <w:r w:rsidRPr="00F17567">
        <w:rPr>
          <w:sz w:val="28"/>
          <w:szCs w:val="28"/>
          <w:lang w:val="en-US" w:bidi="ru-RU"/>
        </w:rPr>
        <w:t>% to 20</w:t>
      </w:r>
      <w:r w:rsidR="003E2A9F">
        <w:rPr>
          <w:sz w:val="28"/>
          <w:szCs w:val="28"/>
          <w:lang w:val="en-US" w:bidi="ru-RU"/>
        </w:rPr>
        <w:t xml:space="preserve"> </w:t>
      </w:r>
      <w:r w:rsidRPr="00F17567">
        <w:rPr>
          <w:sz w:val="28"/>
          <w:szCs w:val="28"/>
          <w:lang w:val="en-US" w:bidi="ru-RU"/>
        </w:rPr>
        <w:t xml:space="preserve">% (for the amounts exceeding UAH 12,180 in 2015). </w:t>
      </w:r>
      <w:r w:rsidRPr="00F17567">
        <w:rPr>
          <w:b/>
          <w:sz w:val="28"/>
          <w:szCs w:val="28"/>
          <w:lang w:val="en-US" w:bidi="ru-RU"/>
        </w:rPr>
        <w:t>A military tax</w:t>
      </w:r>
      <w:r w:rsidRPr="00F17567">
        <w:rPr>
          <w:sz w:val="28"/>
          <w:szCs w:val="28"/>
          <w:lang w:val="en-US" w:bidi="ru-RU"/>
        </w:rPr>
        <w:t xml:space="preserve"> of 1.5</w:t>
      </w:r>
      <w:r w:rsidR="003E2A9F">
        <w:rPr>
          <w:sz w:val="28"/>
          <w:szCs w:val="28"/>
          <w:lang w:val="en-US" w:bidi="ru-RU"/>
        </w:rPr>
        <w:t xml:space="preserve"> </w:t>
      </w:r>
      <w:r w:rsidRPr="00F17567">
        <w:rPr>
          <w:sz w:val="28"/>
          <w:szCs w:val="28"/>
          <w:lang w:val="en-US" w:bidi="ru-RU"/>
        </w:rPr>
        <w:t>% on salaries has also been prolonged for 2015 until the separate decision of the Parliament.</w:t>
      </w:r>
    </w:p>
    <w:p w14:paraId="3CCD630E" w14:textId="77777777" w:rsidR="00BE42A0" w:rsidRPr="00F17567" w:rsidRDefault="00BE42A0" w:rsidP="00630F27">
      <w:pPr>
        <w:spacing w:line="312" w:lineRule="auto"/>
        <w:ind w:firstLine="709"/>
        <w:contextualSpacing/>
        <w:jc w:val="both"/>
        <w:rPr>
          <w:sz w:val="28"/>
          <w:szCs w:val="28"/>
          <w:lang w:val="en-US" w:bidi="ru-RU"/>
        </w:rPr>
      </w:pPr>
      <w:r w:rsidRPr="00F17567">
        <w:rPr>
          <w:sz w:val="28"/>
          <w:szCs w:val="28"/>
          <w:lang w:val="en-US" w:bidi="ru-RU"/>
        </w:rPr>
        <w:t xml:space="preserve">Starting </w:t>
      </w:r>
      <w:r w:rsidR="003E2A9F">
        <w:rPr>
          <w:sz w:val="28"/>
          <w:szCs w:val="28"/>
          <w:lang w:val="en-US" w:bidi="ru-RU"/>
        </w:rPr>
        <w:t xml:space="preserve">in </w:t>
      </w:r>
      <w:r w:rsidRPr="00F17567">
        <w:rPr>
          <w:sz w:val="28"/>
          <w:szCs w:val="28"/>
          <w:lang w:val="en-US" w:bidi="ru-RU"/>
        </w:rPr>
        <w:t xml:space="preserve">2015, </w:t>
      </w:r>
      <w:r w:rsidRPr="00F17567">
        <w:rPr>
          <w:b/>
          <w:sz w:val="28"/>
          <w:szCs w:val="28"/>
          <w:lang w:val="en-US" w:bidi="ru-RU"/>
        </w:rPr>
        <w:t>the property tax</w:t>
      </w:r>
      <w:r w:rsidRPr="00F17567">
        <w:rPr>
          <w:sz w:val="28"/>
          <w:szCs w:val="28"/>
          <w:lang w:val="en-US" w:bidi="ru-RU"/>
        </w:rPr>
        <w:t xml:space="preserve"> was extended to cover commercial real estate owned by companies and individuals (previously, the only residential real estate was subject to tax). Tax rates </w:t>
      </w:r>
      <w:r w:rsidR="003E2A9F">
        <w:rPr>
          <w:sz w:val="28"/>
          <w:szCs w:val="28"/>
          <w:lang w:val="en-US" w:bidi="ru-RU"/>
        </w:rPr>
        <w:t>are</w:t>
      </w:r>
      <w:r w:rsidRPr="00F17567">
        <w:rPr>
          <w:sz w:val="28"/>
          <w:szCs w:val="28"/>
          <w:lang w:val="en-US" w:bidi="ru-RU"/>
        </w:rPr>
        <w:t xml:space="preserve"> determined by local councils and </w:t>
      </w:r>
      <w:r w:rsidR="00CA770B">
        <w:rPr>
          <w:sz w:val="28"/>
          <w:szCs w:val="28"/>
          <w:lang w:val="en-US" w:bidi="ru-RU"/>
        </w:rPr>
        <w:t xml:space="preserve">do </w:t>
      </w:r>
      <w:r w:rsidRPr="00F17567">
        <w:rPr>
          <w:sz w:val="28"/>
          <w:szCs w:val="28"/>
          <w:lang w:val="en-US" w:bidi="ru-RU"/>
        </w:rPr>
        <w:t>not exceed 2</w:t>
      </w:r>
      <w:r w:rsidR="003E2A9F">
        <w:rPr>
          <w:sz w:val="28"/>
          <w:szCs w:val="28"/>
          <w:lang w:val="en-US" w:bidi="ru-RU"/>
        </w:rPr>
        <w:t xml:space="preserve"> </w:t>
      </w:r>
      <w:r w:rsidRPr="00F17567">
        <w:rPr>
          <w:sz w:val="28"/>
          <w:szCs w:val="28"/>
          <w:lang w:val="en-US" w:bidi="ru-RU"/>
        </w:rPr>
        <w:t>% of the min</w:t>
      </w:r>
      <w:r w:rsidR="003E2A9F">
        <w:rPr>
          <w:sz w:val="28"/>
          <w:szCs w:val="28"/>
          <w:lang w:val="en-US" w:bidi="ru-RU"/>
        </w:rPr>
        <w:t>imum statutory salary per 1 sqm</w:t>
      </w:r>
      <w:r w:rsidRPr="00F17567">
        <w:rPr>
          <w:sz w:val="28"/>
          <w:szCs w:val="28"/>
          <w:lang w:val="en-US" w:bidi="ru-RU"/>
        </w:rPr>
        <w:t xml:space="preserve"> per year (in 2015, the nonresidential real estate is subject to a preferential tax rate of no more than 1</w:t>
      </w:r>
      <w:r w:rsidR="003E2A9F">
        <w:rPr>
          <w:sz w:val="28"/>
          <w:szCs w:val="28"/>
          <w:lang w:val="en-US" w:bidi="ru-RU"/>
        </w:rPr>
        <w:t xml:space="preserve"> </w:t>
      </w:r>
      <w:r w:rsidRPr="00F17567">
        <w:rPr>
          <w:sz w:val="28"/>
          <w:szCs w:val="28"/>
          <w:lang w:val="en-US" w:bidi="ru-RU"/>
        </w:rPr>
        <w:t>%). The statutory exemptions from tax are rather few (e.g., production facilities and warehouses of industrial enterprises, buildings and constructions used in agricultural production). The amounts of property tax on commercial real estate paid by the company can be credited/set-off against the corporate profit tax payable by such company.</w:t>
      </w:r>
      <w:r w:rsidR="003E2A9F">
        <w:rPr>
          <w:sz w:val="28"/>
          <w:szCs w:val="28"/>
          <w:lang w:val="en-US" w:bidi="ru-RU"/>
        </w:rPr>
        <w:t xml:space="preserve"> </w:t>
      </w:r>
    </w:p>
    <w:p w14:paraId="2E5DDB77" w14:textId="77777777" w:rsidR="00BE42A0" w:rsidRPr="00F17567" w:rsidRDefault="00BE42A0" w:rsidP="00630F27">
      <w:pPr>
        <w:spacing w:line="312" w:lineRule="auto"/>
        <w:ind w:firstLine="709"/>
        <w:contextualSpacing/>
        <w:jc w:val="both"/>
        <w:rPr>
          <w:sz w:val="28"/>
          <w:szCs w:val="28"/>
          <w:lang w:val="en-US" w:bidi="ru-RU"/>
        </w:rPr>
      </w:pPr>
      <w:r w:rsidRPr="00F17567">
        <w:rPr>
          <w:b/>
          <w:sz w:val="28"/>
          <w:szCs w:val="28"/>
          <w:lang w:val="en-US" w:bidi="ru-RU"/>
        </w:rPr>
        <w:t>Tax (pension fund duty) on the purchase of foreign currency</w:t>
      </w:r>
      <w:r w:rsidRPr="00F17567">
        <w:rPr>
          <w:sz w:val="28"/>
          <w:szCs w:val="28"/>
          <w:lang w:val="en-US" w:bidi="ru-RU"/>
        </w:rPr>
        <w:t xml:space="preserve"> has been increased from 0.5</w:t>
      </w:r>
      <w:r w:rsidR="003E2A9F">
        <w:rPr>
          <w:sz w:val="28"/>
          <w:szCs w:val="28"/>
          <w:lang w:val="en-US" w:bidi="ru-RU"/>
        </w:rPr>
        <w:t xml:space="preserve"> </w:t>
      </w:r>
      <w:r w:rsidRPr="00F17567">
        <w:rPr>
          <w:sz w:val="28"/>
          <w:szCs w:val="28"/>
          <w:lang w:val="en-US" w:bidi="ru-RU"/>
        </w:rPr>
        <w:t>% to 2</w:t>
      </w:r>
      <w:r w:rsidR="003E2A9F">
        <w:rPr>
          <w:sz w:val="28"/>
          <w:szCs w:val="28"/>
          <w:lang w:val="en-US" w:bidi="ru-RU"/>
        </w:rPr>
        <w:t xml:space="preserve"> </w:t>
      </w:r>
      <w:r w:rsidRPr="00F17567">
        <w:rPr>
          <w:sz w:val="28"/>
          <w:szCs w:val="28"/>
          <w:lang w:val="en-US" w:bidi="ru-RU"/>
        </w:rPr>
        <w:t>%, but now applies to purchases in cash only. Purchases of noncash foreign currency are now exempted. The effect is that burden of this tax is shifted from businesses to individuals.</w:t>
      </w:r>
      <w:r w:rsidR="00C62FA2">
        <w:rPr>
          <w:sz w:val="28"/>
          <w:szCs w:val="28"/>
          <w:lang w:val="en-US" w:bidi="ru-RU"/>
        </w:rPr>
        <w:t xml:space="preserve"> </w:t>
      </w:r>
    </w:p>
    <w:p w14:paraId="61B933BA" w14:textId="77777777" w:rsidR="00BE42A0" w:rsidRPr="00F17567" w:rsidRDefault="007557BC" w:rsidP="00F17567">
      <w:pPr>
        <w:pStyle w:val="end2"/>
      </w:pPr>
      <w:r w:rsidRPr="00F17567">
        <w:t>RECOMMENDED</w:t>
      </w:r>
      <w:r w:rsidR="00BE42A0" w:rsidRPr="00F17567">
        <w:t xml:space="preserve"> reading </w:t>
      </w:r>
    </w:p>
    <w:p w14:paraId="19025C10" w14:textId="77777777" w:rsidR="00C62FA2" w:rsidRPr="00C62FA2" w:rsidRDefault="00630F27" w:rsidP="00C62FA2">
      <w:pPr>
        <w:pStyle w:val="ListParagraph"/>
        <w:numPr>
          <w:ilvl w:val="6"/>
          <w:numId w:val="35"/>
        </w:numPr>
        <w:tabs>
          <w:tab w:val="clear" w:pos="5037"/>
        </w:tabs>
        <w:spacing w:after="0" w:line="240" w:lineRule="atLeast"/>
        <w:ind w:left="426"/>
        <w:jc w:val="both"/>
        <w:rPr>
          <w:rFonts w:ascii="Garamond" w:hAnsi="Garamond"/>
          <w:szCs w:val="28"/>
          <w:lang w:val="en-US"/>
        </w:rPr>
      </w:pPr>
      <w:r w:rsidRPr="00CA770B">
        <w:rPr>
          <w:rFonts w:ascii="Garamond" w:hAnsi="Garamond"/>
          <w:i/>
          <w:szCs w:val="28"/>
          <w:lang w:val="en-US"/>
        </w:rPr>
        <w:t>Customs Code of Ukraine</w:t>
      </w:r>
      <w:r w:rsidRPr="00C62FA2">
        <w:rPr>
          <w:rFonts w:ascii="Garamond" w:hAnsi="Garamond"/>
          <w:szCs w:val="28"/>
          <w:lang w:val="en-US"/>
        </w:rPr>
        <w:t xml:space="preserve">, </w:t>
      </w:r>
      <w:r w:rsidR="00715FD4" w:rsidRPr="00C62FA2">
        <w:rPr>
          <w:rFonts w:ascii="Garamond" w:hAnsi="Garamond"/>
          <w:szCs w:val="28"/>
          <w:lang w:val="en-US"/>
        </w:rPr>
        <w:t>Кyiv</w:t>
      </w:r>
      <w:r w:rsidRPr="00C62FA2">
        <w:rPr>
          <w:rFonts w:ascii="Garamond" w:hAnsi="Garamond"/>
          <w:szCs w:val="28"/>
          <w:lang w:val="en-US"/>
        </w:rPr>
        <w:t xml:space="preserve"> </w:t>
      </w:r>
      <w:r w:rsidR="00715FD4" w:rsidRPr="00C62FA2">
        <w:rPr>
          <w:rFonts w:ascii="Garamond" w:hAnsi="Garamond"/>
          <w:szCs w:val="28"/>
          <w:lang w:val="en-US"/>
        </w:rPr>
        <w:t>: SOE SPC MinRD of Ukraine</w:t>
      </w:r>
      <w:r w:rsidRPr="00C62FA2">
        <w:rPr>
          <w:rFonts w:ascii="Garamond" w:hAnsi="Garamond"/>
          <w:szCs w:val="28"/>
          <w:lang w:val="en-US"/>
        </w:rPr>
        <w:t>, 2014, 400 p.</w:t>
      </w:r>
      <w:r w:rsidR="00715FD4" w:rsidRPr="00C62FA2">
        <w:rPr>
          <w:rFonts w:ascii="Garamond" w:hAnsi="Garamond"/>
          <w:szCs w:val="28"/>
          <w:lang w:val="en-US"/>
        </w:rPr>
        <w:t xml:space="preserve"> </w:t>
      </w:r>
    </w:p>
    <w:p w14:paraId="0A927E19" w14:textId="77777777" w:rsidR="00C62FA2" w:rsidRPr="00C62FA2" w:rsidRDefault="00715FD4" w:rsidP="00C62FA2">
      <w:pPr>
        <w:pStyle w:val="ListParagraph"/>
        <w:numPr>
          <w:ilvl w:val="6"/>
          <w:numId w:val="35"/>
        </w:numPr>
        <w:tabs>
          <w:tab w:val="clear" w:pos="5037"/>
        </w:tabs>
        <w:spacing w:after="0" w:line="240" w:lineRule="atLeast"/>
        <w:ind w:left="426"/>
        <w:jc w:val="both"/>
        <w:rPr>
          <w:rFonts w:ascii="Garamond" w:hAnsi="Garamond"/>
          <w:szCs w:val="28"/>
          <w:lang w:val="en-US"/>
        </w:rPr>
      </w:pPr>
      <w:r w:rsidRPr="00C62FA2">
        <w:rPr>
          <w:rFonts w:ascii="Garamond" w:hAnsi="Garamond"/>
          <w:szCs w:val="28"/>
          <w:lang w:val="en-US"/>
        </w:rPr>
        <w:t xml:space="preserve">Doerrenberg, P., </w:t>
      </w:r>
      <w:r w:rsidR="00C62FA2" w:rsidRPr="00C62FA2">
        <w:rPr>
          <w:rFonts w:ascii="Garamond" w:hAnsi="Garamond"/>
          <w:szCs w:val="28"/>
          <w:lang w:val="en-US"/>
        </w:rPr>
        <w:t>and</w:t>
      </w:r>
      <w:r w:rsidRPr="00C62FA2">
        <w:rPr>
          <w:rFonts w:ascii="Garamond" w:hAnsi="Garamond"/>
          <w:szCs w:val="28"/>
          <w:lang w:val="en-US"/>
        </w:rPr>
        <w:t xml:space="preserve"> Peichl, A.</w:t>
      </w:r>
      <w:r w:rsidR="00C62FA2" w:rsidRPr="00C62FA2">
        <w:rPr>
          <w:rFonts w:ascii="Garamond" w:hAnsi="Garamond"/>
          <w:szCs w:val="28"/>
          <w:lang w:val="en-US"/>
        </w:rPr>
        <w:t xml:space="preserve">, </w:t>
      </w:r>
      <w:r w:rsidRPr="00C62FA2">
        <w:rPr>
          <w:rFonts w:ascii="Garamond" w:hAnsi="Garamond"/>
          <w:szCs w:val="28"/>
          <w:lang w:val="en-US"/>
        </w:rPr>
        <w:t>2013</w:t>
      </w:r>
      <w:r w:rsidR="00C62FA2" w:rsidRPr="00C62FA2">
        <w:rPr>
          <w:rFonts w:ascii="Garamond" w:hAnsi="Garamond"/>
          <w:szCs w:val="28"/>
          <w:lang w:val="en-US"/>
        </w:rPr>
        <w:t xml:space="preserve">, </w:t>
      </w:r>
      <w:r w:rsidRPr="00C62FA2">
        <w:rPr>
          <w:rFonts w:ascii="Garamond" w:hAnsi="Garamond"/>
          <w:szCs w:val="28"/>
          <w:lang w:val="en-US"/>
        </w:rPr>
        <w:t>Pro</w:t>
      </w:r>
      <w:r w:rsidR="00C62FA2" w:rsidRPr="00C62FA2">
        <w:rPr>
          <w:rFonts w:ascii="Garamond" w:hAnsi="Garamond"/>
          <w:szCs w:val="28"/>
          <w:lang w:val="en-US"/>
        </w:rPr>
        <w:t>gressive taxation and tax moral,</w:t>
      </w:r>
      <w:r w:rsidRPr="00C62FA2">
        <w:rPr>
          <w:rFonts w:ascii="Garamond" w:hAnsi="Garamond"/>
          <w:szCs w:val="28"/>
          <w:lang w:val="en-US"/>
        </w:rPr>
        <w:t xml:space="preserve"> </w:t>
      </w:r>
      <w:r w:rsidRPr="00C62FA2">
        <w:rPr>
          <w:rFonts w:ascii="Garamond" w:hAnsi="Garamond"/>
          <w:i/>
          <w:szCs w:val="28"/>
          <w:lang w:val="en-US"/>
        </w:rPr>
        <w:t>Public Choice</w:t>
      </w:r>
      <w:r w:rsidRPr="00C62FA2">
        <w:rPr>
          <w:rFonts w:ascii="Garamond" w:hAnsi="Garamond"/>
          <w:szCs w:val="28"/>
          <w:lang w:val="en-US"/>
        </w:rPr>
        <w:t>, 155</w:t>
      </w:r>
      <w:r w:rsidR="00C62FA2" w:rsidRPr="00C62FA2">
        <w:rPr>
          <w:rFonts w:ascii="Garamond" w:hAnsi="Garamond"/>
          <w:szCs w:val="28"/>
          <w:lang w:val="en-US"/>
        </w:rPr>
        <w:t xml:space="preserve"> </w:t>
      </w:r>
      <w:r w:rsidRPr="00C62FA2">
        <w:rPr>
          <w:rFonts w:ascii="Garamond" w:hAnsi="Garamond"/>
          <w:szCs w:val="28"/>
          <w:lang w:val="en-US"/>
        </w:rPr>
        <w:t>(3</w:t>
      </w:r>
      <w:r w:rsidR="00C62FA2" w:rsidRPr="00C62FA2">
        <w:rPr>
          <w:rFonts w:ascii="Garamond" w:hAnsi="Garamond"/>
          <w:szCs w:val="28"/>
          <w:lang w:val="en-US"/>
        </w:rPr>
        <w:t>–</w:t>
      </w:r>
      <w:r w:rsidRPr="00C62FA2">
        <w:rPr>
          <w:rFonts w:ascii="Garamond" w:hAnsi="Garamond"/>
          <w:szCs w:val="28"/>
          <w:lang w:val="en-US"/>
        </w:rPr>
        <w:t>4</w:t>
      </w:r>
      <w:r w:rsidR="00C62FA2" w:rsidRPr="00C62FA2">
        <w:rPr>
          <w:rFonts w:ascii="Garamond" w:hAnsi="Garamond"/>
          <w:szCs w:val="28"/>
          <w:lang w:val="en-US"/>
        </w:rPr>
        <w:t>)</w:t>
      </w:r>
      <w:r w:rsidRPr="00C62FA2">
        <w:rPr>
          <w:rFonts w:ascii="Garamond" w:hAnsi="Garamond"/>
          <w:szCs w:val="28"/>
          <w:lang w:val="en-US"/>
        </w:rPr>
        <w:t>,</w:t>
      </w:r>
      <w:r w:rsidR="00C62FA2" w:rsidRPr="00C62FA2">
        <w:rPr>
          <w:rFonts w:ascii="Garamond" w:hAnsi="Garamond"/>
          <w:szCs w:val="28"/>
          <w:lang w:val="en-US"/>
        </w:rPr>
        <w:t xml:space="preserve"> pp.</w:t>
      </w:r>
      <w:r w:rsidRPr="00C62FA2">
        <w:rPr>
          <w:rFonts w:ascii="Garamond" w:hAnsi="Garamond"/>
          <w:szCs w:val="28"/>
          <w:lang w:val="en-US"/>
        </w:rPr>
        <w:t xml:space="preserve"> 293</w:t>
      </w:r>
      <w:r w:rsidR="00C62FA2" w:rsidRPr="00C62FA2">
        <w:rPr>
          <w:rFonts w:ascii="Garamond" w:hAnsi="Garamond"/>
          <w:szCs w:val="28"/>
          <w:lang w:val="en-US"/>
        </w:rPr>
        <w:t>–</w:t>
      </w:r>
      <w:r w:rsidRPr="00C62FA2">
        <w:rPr>
          <w:rFonts w:ascii="Garamond" w:hAnsi="Garamond"/>
          <w:szCs w:val="28"/>
          <w:lang w:val="en-US"/>
        </w:rPr>
        <w:t>316.</w:t>
      </w:r>
    </w:p>
    <w:p w14:paraId="30FC45F9" w14:textId="77777777" w:rsidR="00C62FA2" w:rsidRPr="00C62FA2" w:rsidRDefault="00C62FA2" w:rsidP="00C62FA2">
      <w:pPr>
        <w:pStyle w:val="ListParagraph"/>
        <w:numPr>
          <w:ilvl w:val="6"/>
          <w:numId w:val="35"/>
        </w:numPr>
        <w:tabs>
          <w:tab w:val="clear" w:pos="5037"/>
        </w:tabs>
        <w:spacing w:after="0" w:line="240" w:lineRule="atLeast"/>
        <w:ind w:left="426"/>
        <w:jc w:val="both"/>
        <w:rPr>
          <w:rFonts w:ascii="Garamond" w:hAnsi="Garamond"/>
          <w:szCs w:val="28"/>
          <w:lang w:val="en-US"/>
        </w:rPr>
      </w:pPr>
      <w:r w:rsidRPr="00C62FA2">
        <w:rPr>
          <w:rFonts w:ascii="Garamond" w:hAnsi="Garamond"/>
          <w:szCs w:val="28"/>
          <w:lang w:val="en-US"/>
        </w:rPr>
        <w:t xml:space="preserve">Fuest, C., and Zodrow, G. R., </w:t>
      </w:r>
      <w:r w:rsidR="00715FD4" w:rsidRPr="00C62FA2">
        <w:rPr>
          <w:rFonts w:ascii="Garamond" w:hAnsi="Garamond"/>
          <w:szCs w:val="28"/>
          <w:lang w:val="en-US"/>
        </w:rPr>
        <w:t>2013</w:t>
      </w:r>
      <w:r w:rsidRPr="00C62FA2">
        <w:rPr>
          <w:rFonts w:ascii="Garamond" w:hAnsi="Garamond"/>
          <w:szCs w:val="28"/>
          <w:lang w:val="en-US"/>
        </w:rPr>
        <w:t xml:space="preserve">, </w:t>
      </w:r>
      <w:r w:rsidR="00715FD4" w:rsidRPr="00C62FA2">
        <w:rPr>
          <w:rFonts w:ascii="Garamond" w:hAnsi="Garamond"/>
          <w:i/>
          <w:szCs w:val="28"/>
          <w:lang w:val="en-US"/>
        </w:rPr>
        <w:t>Critical issues in taxation and development</w:t>
      </w:r>
      <w:r w:rsidRPr="00C62FA2">
        <w:rPr>
          <w:rFonts w:ascii="Garamond" w:hAnsi="Garamond"/>
          <w:szCs w:val="28"/>
          <w:lang w:val="en-US"/>
        </w:rPr>
        <w:t>,</w:t>
      </w:r>
      <w:r w:rsidR="00715FD4" w:rsidRPr="00C62FA2">
        <w:rPr>
          <w:rFonts w:ascii="Garamond" w:hAnsi="Garamond"/>
          <w:szCs w:val="28"/>
          <w:lang w:val="en-US"/>
        </w:rPr>
        <w:t xml:space="preserve"> MIT Press.</w:t>
      </w:r>
    </w:p>
    <w:p w14:paraId="59152078" w14:textId="77777777" w:rsidR="00C62FA2" w:rsidRPr="00C62FA2" w:rsidRDefault="00715FD4" w:rsidP="00C62FA2">
      <w:pPr>
        <w:pStyle w:val="ListParagraph"/>
        <w:numPr>
          <w:ilvl w:val="6"/>
          <w:numId w:val="35"/>
        </w:numPr>
        <w:tabs>
          <w:tab w:val="clear" w:pos="5037"/>
        </w:tabs>
        <w:spacing w:after="0" w:line="240" w:lineRule="atLeast"/>
        <w:ind w:left="426"/>
        <w:jc w:val="both"/>
        <w:rPr>
          <w:rFonts w:ascii="Garamond" w:hAnsi="Garamond"/>
          <w:szCs w:val="28"/>
          <w:lang w:val="en-US"/>
        </w:rPr>
      </w:pPr>
      <w:r w:rsidRPr="00C62FA2">
        <w:rPr>
          <w:rFonts w:ascii="Garamond" w:hAnsi="Garamond"/>
          <w:szCs w:val="28"/>
          <w:lang w:val="en-US"/>
        </w:rPr>
        <w:t xml:space="preserve">Lang, M., Pistone, P., Schuch, J., </w:t>
      </w:r>
      <w:r w:rsidR="00C62FA2" w:rsidRPr="00C62FA2">
        <w:rPr>
          <w:rFonts w:ascii="Garamond" w:hAnsi="Garamond"/>
          <w:szCs w:val="28"/>
          <w:lang w:val="en-US"/>
        </w:rPr>
        <w:t xml:space="preserve">and Staringer, C., </w:t>
      </w:r>
      <w:r w:rsidRPr="00C62FA2">
        <w:rPr>
          <w:rFonts w:ascii="Garamond" w:hAnsi="Garamond"/>
          <w:szCs w:val="28"/>
          <w:lang w:val="en-US"/>
        </w:rPr>
        <w:t>2013</w:t>
      </w:r>
      <w:r w:rsidR="00C62FA2" w:rsidRPr="00C62FA2">
        <w:rPr>
          <w:rFonts w:ascii="Garamond" w:hAnsi="Garamond"/>
          <w:szCs w:val="28"/>
          <w:lang w:val="en-US"/>
        </w:rPr>
        <w:t xml:space="preserve">, </w:t>
      </w:r>
      <w:r w:rsidRPr="00C62FA2">
        <w:rPr>
          <w:rFonts w:ascii="Garamond" w:hAnsi="Garamond"/>
          <w:i/>
          <w:szCs w:val="28"/>
          <w:lang w:val="en-US"/>
        </w:rPr>
        <w:t>Introduction to Eu</w:t>
      </w:r>
      <w:r w:rsidR="00C62FA2" w:rsidRPr="00C62FA2">
        <w:rPr>
          <w:rFonts w:ascii="Garamond" w:hAnsi="Garamond"/>
          <w:i/>
          <w:szCs w:val="28"/>
          <w:lang w:val="en-US"/>
        </w:rPr>
        <w:t>ropean tax law: direct taxation</w:t>
      </w:r>
      <w:r w:rsidR="00C62FA2" w:rsidRPr="00C62FA2">
        <w:rPr>
          <w:rFonts w:ascii="Garamond" w:hAnsi="Garamond"/>
          <w:szCs w:val="28"/>
          <w:lang w:val="en-US"/>
        </w:rPr>
        <w:t>,</w:t>
      </w:r>
      <w:r w:rsidRPr="00C62FA2">
        <w:rPr>
          <w:rFonts w:ascii="Garamond" w:hAnsi="Garamond"/>
          <w:szCs w:val="28"/>
          <w:lang w:val="en-US"/>
        </w:rPr>
        <w:t xml:space="preserve"> Spiramus Press Ltd.</w:t>
      </w:r>
    </w:p>
    <w:p w14:paraId="1A8B9295" w14:textId="77777777" w:rsidR="00C62FA2" w:rsidRPr="00C62FA2" w:rsidRDefault="00715FD4" w:rsidP="00C62FA2">
      <w:pPr>
        <w:pStyle w:val="ListParagraph"/>
        <w:numPr>
          <w:ilvl w:val="6"/>
          <w:numId w:val="35"/>
        </w:numPr>
        <w:tabs>
          <w:tab w:val="clear" w:pos="5037"/>
        </w:tabs>
        <w:spacing w:after="0" w:line="240" w:lineRule="atLeast"/>
        <w:ind w:left="426"/>
        <w:jc w:val="both"/>
        <w:rPr>
          <w:rFonts w:ascii="Garamond" w:hAnsi="Garamond"/>
          <w:szCs w:val="28"/>
          <w:lang w:val="en-US"/>
        </w:rPr>
      </w:pPr>
      <w:r w:rsidRPr="00C62FA2">
        <w:rPr>
          <w:rFonts w:ascii="Garamond" w:hAnsi="Garamond"/>
          <w:szCs w:val="28"/>
          <w:lang w:val="en-US"/>
        </w:rPr>
        <w:t xml:space="preserve">Lymer, A., </w:t>
      </w:r>
      <w:r w:rsidR="00C62FA2" w:rsidRPr="00C62FA2">
        <w:rPr>
          <w:rFonts w:ascii="Garamond" w:hAnsi="Garamond"/>
          <w:szCs w:val="28"/>
          <w:lang w:val="en-US"/>
        </w:rPr>
        <w:t xml:space="preserve">and Hasseldine, J., </w:t>
      </w:r>
      <w:r w:rsidRPr="00C62FA2">
        <w:rPr>
          <w:rFonts w:ascii="Garamond" w:hAnsi="Garamond"/>
          <w:szCs w:val="28"/>
          <w:lang w:val="en-US"/>
        </w:rPr>
        <w:t>2002</w:t>
      </w:r>
      <w:r w:rsidR="00C62FA2" w:rsidRPr="00C62FA2">
        <w:rPr>
          <w:rFonts w:ascii="Garamond" w:hAnsi="Garamond"/>
          <w:szCs w:val="28"/>
          <w:lang w:val="en-US"/>
        </w:rPr>
        <w:t xml:space="preserve">, </w:t>
      </w:r>
      <w:r w:rsidRPr="00C62FA2">
        <w:rPr>
          <w:rFonts w:ascii="Garamond" w:hAnsi="Garamond"/>
          <w:szCs w:val="28"/>
          <w:lang w:val="en-US"/>
        </w:rPr>
        <w:t>Introduction to taxation in an international context</w:t>
      </w:r>
      <w:r w:rsidR="00C62FA2" w:rsidRPr="00C62FA2">
        <w:rPr>
          <w:rFonts w:ascii="Garamond" w:hAnsi="Garamond"/>
          <w:szCs w:val="28"/>
          <w:lang w:val="en-US"/>
        </w:rPr>
        <w:t>,</w:t>
      </w:r>
      <w:r w:rsidRPr="00C62FA2">
        <w:rPr>
          <w:rFonts w:ascii="Garamond" w:hAnsi="Garamond"/>
          <w:szCs w:val="28"/>
          <w:lang w:val="en-US"/>
        </w:rPr>
        <w:t xml:space="preserve"> </w:t>
      </w:r>
      <w:r w:rsidR="00CA770B">
        <w:rPr>
          <w:rFonts w:ascii="Garamond" w:hAnsi="Garamond"/>
          <w:i/>
          <w:szCs w:val="28"/>
          <w:lang w:val="en-US"/>
        </w:rPr>
        <w:t>i</w:t>
      </w:r>
      <w:r w:rsidRPr="00C62FA2">
        <w:rPr>
          <w:rFonts w:ascii="Garamond" w:hAnsi="Garamond"/>
          <w:i/>
          <w:szCs w:val="28"/>
          <w:lang w:val="en-US"/>
        </w:rPr>
        <w:t>n The International Taxation System</w:t>
      </w:r>
      <w:r w:rsidRPr="00C62FA2">
        <w:rPr>
          <w:rFonts w:ascii="Garamond" w:hAnsi="Garamond"/>
          <w:szCs w:val="28"/>
          <w:lang w:val="en-US"/>
        </w:rPr>
        <w:t xml:space="preserve">, </w:t>
      </w:r>
      <w:r w:rsidR="00CA770B">
        <w:rPr>
          <w:rFonts w:ascii="Garamond" w:hAnsi="Garamond"/>
          <w:szCs w:val="28"/>
          <w:lang w:val="en-US"/>
        </w:rPr>
        <w:t xml:space="preserve">L. Boston: Kluwer Academic Publishers, </w:t>
      </w:r>
      <w:r w:rsidR="00C62FA2" w:rsidRPr="00C62FA2">
        <w:rPr>
          <w:rFonts w:ascii="Garamond" w:hAnsi="Garamond"/>
          <w:szCs w:val="28"/>
          <w:lang w:val="en-US"/>
        </w:rPr>
        <w:t xml:space="preserve">pp. </w:t>
      </w:r>
      <w:r w:rsidRPr="00C62FA2">
        <w:rPr>
          <w:rFonts w:ascii="Garamond" w:hAnsi="Garamond"/>
          <w:szCs w:val="28"/>
          <w:lang w:val="en-US"/>
        </w:rPr>
        <w:t>1</w:t>
      </w:r>
      <w:r w:rsidR="00C62FA2" w:rsidRPr="00C62FA2">
        <w:rPr>
          <w:rFonts w:ascii="Garamond" w:hAnsi="Garamond"/>
          <w:szCs w:val="28"/>
          <w:lang w:val="en-US"/>
        </w:rPr>
        <w:t>–</w:t>
      </w:r>
      <w:r w:rsidRPr="00C62FA2">
        <w:rPr>
          <w:rFonts w:ascii="Garamond" w:hAnsi="Garamond"/>
          <w:szCs w:val="28"/>
          <w:lang w:val="en-US"/>
        </w:rPr>
        <w:t xml:space="preserve">17. </w:t>
      </w:r>
    </w:p>
    <w:p w14:paraId="778322AF" w14:textId="77777777" w:rsidR="00C62FA2" w:rsidRPr="00C62FA2" w:rsidRDefault="00C62FA2" w:rsidP="00C62FA2">
      <w:pPr>
        <w:pStyle w:val="ListParagraph"/>
        <w:numPr>
          <w:ilvl w:val="6"/>
          <w:numId w:val="35"/>
        </w:numPr>
        <w:tabs>
          <w:tab w:val="clear" w:pos="5037"/>
        </w:tabs>
        <w:spacing w:after="0" w:line="240" w:lineRule="atLeast"/>
        <w:ind w:left="426"/>
        <w:jc w:val="both"/>
        <w:rPr>
          <w:rFonts w:ascii="Garamond" w:hAnsi="Garamond"/>
          <w:szCs w:val="28"/>
          <w:lang w:val="en-US"/>
        </w:rPr>
      </w:pPr>
      <w:r w:rsidRPr="00C62FA2">
        <w:rPr>
          <w:rFonts w:ascii="Garamond" w:hAnsi="Garamond"/>
          <w:szCs w:val="28"/>
          <w:lang w:val="en-US"/>
        </w:rPr>
        <w:t xml:space="preserve">McGee, R. W., </w:t>
      </w:r>
      <w:r w:rsidR="00715FD4" w:rsidRPr="00C62FA2">
        <w:rPr>
          <w:rFonts w:ascii="Garamond" w:hAnsi="Garamond"/>
          <w:szCs w:val="28"/>
          <w:lang w:val="en-US"/>
        </w:rPr>
        <w:t>2008</w:t>
      </w:r>
      <w:r w:rsidRPr="00C62FA2">
        <w:rPr>
          <w:rFonts w:ascii="Garamond" w:hAnsi="Garamond"/>
          <w:szCs w:val="28"/>
          <w:lang w:val="en-US"/>
        </w:rPr>
        <w:t xml:space="preserve">, </w:t>
      </w:r>
      <w:r w:rsidR="00715FD4" w:rsidRPr="00C62FA2">
        <w:rPr>
          <w:rFonts w:ascii="Garamond" w:hAnsi="Garamond"/>
          <w:i/>
          <w:szCs w:val="28"/>
          <w:lang w:val="en-US"/>
        </w:rPr>
        <w:t>Taxation and public finance in tran</w:t>
      </w:r>
      <w:r w:rsidRPr="00C62FA2">
        <w:rPr>
          <w:rFonts w:ascii="Garamond" w:hAnsi="Garamond"/>
          <w:i/>
          <w:szCs w:val="28"/>
          <w:lang w:val="en-US"/>
        </w:rPr>
        <w:t>sition and developing economies</w:t>
      </w:r>
      <w:r w:rsidRPr="00C62FA2">
        <w:rPr>
          <w:rFonts w:ascii="Garamond" w:hAnsi="Garamond"/>
          <w:szCs w:val="28"/>
          <w:lang w:val="en-US"/>
        </w:rPr>
        <w:t>,</w:t>
      </w:r>
      <w:r w:rsidR="00715FD4" w:rsidRPr="00C62FA2">
        <w:rPr>
          <w:rFonts w:ascii="Garamond" w:hAnsi="Garamond"/>
          <w:szCs w:val="28"/>
          <w:lang w:val="en-US"/>
        </w:rPr>
        <w:t xml:space="preserve"> Springer Science &amp; Business Media</w:t>
      </w:r>
      <w:r>
        <w:rPr>
          <w:rFonts w:ascii="Garamond" w:hAnsi="Garamond"/>
          <w:szCs w:val="28"/>
          <w:lang w:val="en-US"/>
        </w:rPr>
        <w:t>, 675 p.</w:t>
      </w:r>
    </w:p>
    <w:p w14:paraId="7CD69B7E" w14:textId="77777777" w:rsidR="00715FD4" w:rsidRPr="00C62FA2" w:rsidRDefault="00C62FA2" w:rsidP="00C62FA2">
      <w:pPr>
        <w:pStyle w:val="ListParagraph"/>
        <w:numPr>
          <w:ilvl w:val="6"/>
          <w:numId w:val="35"/>
        </w:numPr>
        <w:tabs>
          <w:tab w:val="clear" w:pos="5037"/>
        </w:tabs>
        <w:spacing w:after="0" w:line="240" w:lineRule="atLeast"/>
        <w:ind w:left="426"/>
        <w:jc w:val="both"/>
        <w:rPr>
          <w:rFonts w:ascii="Garamond" w:hAnsi="Garamond"/>
          <w:szCs w:val="28"/>
          <w:lang w:val="en-US"/>
        </w:rPr>
      </w:pPr>
      <w:r w:rsidRPr="00C62FA2">
        <w:rPr>
          <w:rFonts w:ascii="Garamond" w:hAnsi="Garamond"/>
          <w:szCs w:val="28"/>
          <w:lang w:val="en-US"/>
        </w:rPr>
        <w:t xml:space="preserve">Popkin, W. D., </w:t>
      </w:r>
      <w:r w:rsidR="00715FD4" w:rsidRPr="00C62FA2">
        <w:rPr>
          <w:rFonts w:ascii="Garamond" w:hAnsi="Garamond"/>
          <w:szCs w:val="28"/>
          <w:lang w:val="en-US"/>
        </w:rPr>
        <w:t>2008</w:t>
      </w:r>
      <w:r w:rsidRPr="00C62FA2">
        <w:rPr>
          <w:rFonts w:ascii="Garamond" w:hAnsi="Garamond"/>
          <w:szCs w:val="28"/>
          <w:lang w:val="en-US"/>
        </w:rPr>
        <w:t xml:space="preserve">, </w:t>
      </w:r>
      <w:r w:rsidR="00715FD4" w:rsidRPr="00C62FA2">
        <w:rPr>
          <w:rFonts w:ascii="Garamond" w:hAnsi="Garamond"/>
          <w:i/>
          <w:szCs w:val="28"/>
          <w:lang w:val="en-US"/>
        </w:rPr>
        <w:t>Introduction to Taxation</w:t>
      </w:r>
      <w:r>
        <w:rPr>
          <w:rFonts w:ascii="Garamond" w:hAnsi="Garamond"/>
          <w:szCs w:val="28"/>
          <w:lang w:val="en-US"/>
        </w:rPr>
        <w:t>,</w:t>
      </w:r>
      <w:r w:rsidR="00715FD4" w:rsidRPr="00C62FA2">
        <w:rPr>
          <w:rFonts w:ascii="Garamond" w:hAnsi="Garamond"/>
          <w:szCs w:val="28"/>
          <w:lang w:val="en-US"/>
        </w:rPr>
        <w:t xml:space="preserve"> LexisNexis</w:t>
      </w:r>
      <w:r>
        <w:rPr>
          <w:rFonts w:ascii="Garamond" w:hAnsi="Garamond"/>
          <w:szCs w:val="28"/>
          <w:lang w:val="en-US"/>
        </w:rPr>
        <w:t>.</w:t>
      </w:r>
    </w:p>
    <w:p w14:paraId="50181DA5" w14:textId="77777777" w:rsidR="00715FD4" w:rsidRPr="00C62FA2" w:rsidRDefault="00715FD4" w:rsidP="00630F27">
      <w:pPr>
        <w:pStyle w:val="ListParagraph"/>
        <w:numPr>
          <w:ilvl w:val="6"/>
          <w:numId w:val="35"/>
        </w:numPr>
        <w:tabs>
          <w:tab w:val="clear" w:pos="5037"/>
        </w:tabs>
        <w:spacing w:after="0" w:line="240" w:lineRule="atLeast"/>
        <w:ind w:left="426"/>
        <w:jc w:val="both"/>
        <w:rPr>
          <w:rFonts w:ascii="Garamond" w:hAnsi="Garamond"/>
          <w:szCs w:val="28"/>
          <w:lang w:val="en-US"/>
        </w:rPr>
      </w:pPr>
      <w:r w:rsidRPr="00C62FA2">
        <w:rPr>
          <w:rFonts w:ascii="Garamond" w:hAnsi="Garamond"/>
          <w:szCs w:val="28"/>
          <w:lang w:val="en-US"/>
        </w:rPr>
        <w:t xml:space="preserve">Stenkula, M., Johansson, D., </w:t>
      </w:r>
      <w:r w:rsidR="00C62FA2">
        <w:rPr>
          <w:rFonts w:ascii="Garamond" w:hAnsi="Garamond"/>
          <w:szCs w:val="28"/>
          <w:lang w:val="en-US"/>
        </w:rPr>
        <w:t>and Du Rietz, G.</w:t>
      </w:r>
      <w:r w:rsidR="00CA770B">
        <w:rPr>
          <w:rFonts w:ascii="Garamond" w:hAnsi="Garamond"/>
          <w:szCs w:val="28"/>
          <w:lang w:val="en-US"/>
        </w:rPr>
        <w:t xml:space="preserve"> E.</w:t>
      </w:r>
      <w:r w:rsidR="00C62FA2">
        <w:rPr>
          <w:rFonts w:ascii="Garamond" w:hAnsi="Garamond"/>
          <w:szCs w:val="28"/>
          <w:lang w:val="en-US"/>
        </w:rPr>
        <w:t xml:space="preserve">, </w:t>
      </w:r>
      <w:r w:rsidRPr="00C62FA2">
        <w:rPr>
          <w:rFonts w:ascii="Garamond" w:hAnsi="Garamond"/>
          <w:szCs w:val="28"/>
          <w:lang w:val="en-US"/>
        </w:rPr>
        <w:t>2014</w:t>
      </w:r>
      <w:r w:rsidR="00C62FA2" w:rsidRPr="00C62FA2">
        <w:rPr>
          <w:rFonts w:ascii="Garamond" w:hAnsi="Garamond"/>
          <w:szCs w:val="28"/>
          <w:lang w:val="en-US"/>
        </w:rPr>
        <w:t xml:space="preserve">, </w:t>
      </w:r>
      <w:r w:rsidRPr="00C62FA2">
        <w:rPr>
          <w:rFonts w:ascii="Garamond" w:hAnsi="Garamond"/>
          <w:szCs w:val="28"/>
          <w:lang w:val="en-US"/>
        </w:rPr>
        <w:t xml:space="preserve">Marginal taxation on labour income in Sweden from 1862 to 2010, </w:t>
      </w:r>
      <w:r w:rsidRPr="00C62FA2">
        <w:rPr>
          <w:rFonts w:ascii="Garamond" w:hAnsi="Garamond"/>
          <w:i/>
          <w:szCs w:val="28"/>
          <w:lang w:val="en-US"/>
        </w:rPr>
        <w:t>Scandinavian Economic History Review</w:t>
      </w:r>
      <w:r w:rsidRPr="00C62FA2">
        <w:rPr>
          <w:rFonts w:ascii="Garamond" w:hAnsi="Garamond"/>
          <w:szCs w:val="28"/>
          <w:lang w:val="en-US"/>
        </w:rPr>
        <w:t xml:space="preserve">, 62(2), </w:t>
      </w:r>
      <w:r w:rsidR="00C62FA2">
        <w:rPr>
          <w:rFonts w:ascii="Garamond" w:hAnsi="Garamond"/>
          <w:szCs w:val="28"/>
          <w:lang w:val="en-US"/>
        </w:rPr>
        <w:t xml:space="preserve">pp. </w:t>
      </w:r>
      <w:r w:rsidRPr="00C62FA2">
        <w:rPr>
          <w:rFonts w:ascii="Garamond" w:hAnsi="Garamond"/>
          <w:szCs w:val="28"/>
          <w:lang w:val="en-US"/>
        </w:rPr>
        <w:t>163</w:t>
      </w:r>
      <w:r w:rsidR="00C62FA2" w:rsidRPr="00C62FA2">
        <w:rPr>
          <w:rFonts w:ascii="Garamond" w:hAnsi="Garamond"/>
          <w:szCs w:val="28"/>
          <w:lang w:val="en-US"/>
        </w:rPr>
        <w:t>–</w:t>
      </w:r>
      <w:r w:rsidRPr="00C62FA2">
        <w:rPr>
          <w:rFonts w:ascii="Garamond" w:hAnsi="Garamond"/>
          <w:szCs w:val="28"/>
          <w:lang w:val="en-US"/>
        </w:rPr>
        <w:t>187.</w:t>
      </w:r>
    </w:p>
    <w:p w14:paraId="483619EF" w14:textId="77777777" w:rsidR="00BE42A0" w:rsidRPr="00C62FA2" w:rsidRDefault="00C62FA2" w:rsidP="00630F27">
      <w:pPr>
        <w:pStyle w:val="ListParagraph"/>
        <w:numPr>
          <w:ilvl w:val="6"/>
          <w:numId w:val="35"/>
        </w:numPr>
        <w:tabs>
          <w:tab w:val="clear" w:pos="5037"/>
        </w:tabs>
        <w:spacing w:after="0" w:line="240" w:lineRule="atLeast"/>
        <w:ind w:left="426"/>
        <w:jc w:val="both"/>
        <w:rPr>
          <w:rFonts w:ascii="Garamond" w:hAnsi="Garamond"/>
          <w:szCs w:val="28"/>
          <w:lang w:val="en-US"/>
        </w:rPr>
      </w:pPr>
      <w:r>
        <w:rPr>
          <w:rFonts w:ascii="Garamond" w:hAnsi="Garamond"/>
          <w:szCs w:val="28"/>
          <w:lang w:val="en-US"/>
        </w:rPr>
        <w:lastRenderedPageBreak/>
        <w:t xml:space="preserve">Toye, J. F., </w:t>
      </w:r>
      <w:r w:rsidR="00715FD4" w:rsidRPr="00C62FA2">
        <w:rPr>
          <w:rFonts w:ascii="Garamond" w:hAnsi="Garamond"/>
          <w:szCs w:val="28"/>
          <w:lang w:val="en-US"/>
        </w:rPr>
        <w:t>2013</w:t>
      </w:r>
      <w:r w:rsidRPr="00C62FA2">
        <w:rPr>
          <w:rFonts w:ascii="Garamond" w:hAnsi="Garamond"/>
          <w:szCs w:val="28"/>
          <w:lang w:val="en-US"/>
        </w:rPr>
        <w:t xml:space="preserve">, </w:t>
      </w:r>
      <w:r w:rsidR="00715FD4" w:rsidRPr="00C62FA2">
        <w:rPr>
          <w:rFonts w:ascii="Garamond" w:hAnsi="Garamond"/>
          <w:i/>
          <w:szCs w:val="28"/>
          <w:lang w:val="en-US"/>
        </w:rPr>
        <w:t>Taxation and Economic Development (Routledge Revivals): Twelve Critical Studies</w:t>
      </w:r>
      <w:r w:rsidR="00715FD4" w:rsidRPr="00C62FA2">
        <w:rPr>
          <w:rFonts w:ascii="Garamond" w:hAnsi="Garamond"/>
          <w:szCs w:val="28"/>
          <w:lang w:val="en-US"/>
        </w:rPr>
        <w:t>, Routledge</w:t>
      </w:r>
      <w:r>
        <w:rPr>
          <w:rFonts w:ascii="Garamond" w:hAnsi="Garamond"/>
          <w:szCs w:val="28"/>
          <w:lang w:val="en-US"/>
        </w:rPr>
        <w:t>, 47 p.</w:t>
      </w:r>
    </w:p>
    <w:p w14:paraId="5E8DBB3E" w14:textId="77777777" w:rsidR="00BE42A0" w:rsidRPr="00F17567" w:rsidRDefault="00BE42A0" w:rsidP="00F17567">
      <w:pPr>
        <w:pStyle w:val="end2"/>
      </w:pPr>
      <w:r w:rsidRPr="00F17567">
        <w:t>Key terms</w:t>
      </w:r>
    </w:p>
    <w:tbl>
      <w:tblPr>
        <w:tblStyle w:val="3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8"/>
        <w:gridCol w:w="7947"/>
      </w:tblGrid>
      <w:tr w:rsidR="00BE42A0" w:rsidRPr="00BE42A0" w14:paraId="1B364DF6" w14:textId="77777777" w:rsidTr="00BE42A0">
        <w:tc>
          <w:tcPr>
            <w:tcW w:w="1668" w:type="dxa"/>
          </w:tcPr>
          <w:p w14:paraId="7E55160E" w14:textId="77777777" w:rsidR="00BE42A0" w:rsidRPr="00BE42A0" w:rsidRDefault="00BE42A0" w:rsidP="00BE42A0">
            <w:pPr>
              <w:spacing w:after="120" w:line="240" w:lineRule="atLeast"/>
              <w:rPr>
                <w:b/>
                <w:lang w:val="en-US"/>
              </w:rPr>
            </w:pPr>
            <w:r w:rsidRPr="00BE42A0">
              <w:rPr>
                <w:b/>
                <w:lang w:val="en-US"/>
              </w:rPr>
              <w:t xml:space="preserve">tax </w:t>
            </w:r>
            <w:r w:rsidR="00CA770B">
              <w:rPr>
                <w:b/>
                <w:lang w:val="en-US"/>
              </w:rPr>
              <w:t xml:space="preserve"> </w:t>
            </w:r>
          </w:p>
        </w:tc>
        <w:tc>
          <w:tcPr>
            <w:tcW w:w="7947" w:type="dxa"/>
          </w:tcPr>
          <w:p w14:paraId="213C23CE" w14:textId="77777777" w:rsidR="00BE42A0" w:rsidRPr="00BE42A0" w:rsidRDefault="00BE42A0" w:rsidP="00BE42A0">
            <w:pPr>
              <w:rPr>
                <w:lang w:val="en-US"/>
              </w:rPr>
            </w:pPr>
            <w:r w:rsidRPr="00BE42A0">
              <w:rPr>
                <w:lang w:val="en-US"/>
              </w:rPr>
              <w:t xml:space="preserve">is a mandatory, unconditional payment to the appropriate budget, collected from the taxpayer in accordance with Tax Code. </w:t>
            </w:r>
          </w:p>
        </w:tc>
      </w:tr>
      <w:tr w:rsidR="00BE42A0" w:rsidRPr="00BE42A0" w14:paraId="40EE96BC" w14:textId="77777777" w:rsidTr="00BE42A0">
        <w:tc>
          <w:tcPr>
            <w:tcW w:w="1668" w:type="dxa"/>
          </w:tcPr>
          <w:p w14:paraId="0D598BB8" w14:textId="77777777" w:rsidR="00BE42A0" w:rsidRPr="00BE42A0" w:rsidRDefault="00BE42A0" w:rsidP="00CC3AD9">
            <w:pPr>
              <w:spacing w:after="120"/>
              <w:rPr>
                <w:b/>
                <w:lang w:val="en-US"/>
              </w:rPr>
            </w:pPr>
            <w:r w:rsidRPr="00BE42A0">
              <w:rPr>
                <w:b/>
                <w:lang w:val="en-US"/>
              </w:rPr>
              <w:t>duty (payment, contribution)</w:t>
            </w:r>
            <w:r w:rsidR="00CC3AD9">
              <w:rPr>
                <w:b/>
                <w:lang w:val="en-US"/>
              </w:rPr>
              <w:t> </w:t>
            </w:r>
            <w:r w:rsidR="00CA770B">
              <w:rPr>
                <w:b/>
                <w:lang w:val="en-US"/>
              </w:rPr>
              <w:t xml:space="preserve"> </w:t>
            </w:r>
          </w:p>
        </w:tc>
        <w:tc>
          <w:tcPr>
            <w:tcW w:w="7947" w:type="dxa"/>
          </w:tcPr>
          <w:p w14:paraId="3F51D1E8" w14:textId="77777777" w:rsidR="00BE42A0" w:rsidRPr="00BE42A0" w:rsidRDefault="00BE42A0" w:rsidP="003E2A9F">
            <w:pPr>
              <w:spacing w:after="120" w:line="240" w:lineRule="atLeast"/>
              <w:jc w:val="both"/>
              <w:rPr>
                <w:lang w:val="en-US"/>
              </w:rPr>
            </w:pPr>
            <w:r w:rsidRPr="00BE42A0">
              <w:rPr>
                <w:lang w:val="en-US"/>
              </w:rPr>
              <w:t xml:space="preserve">is a compulsory payment to the appropriate budget, collected from the payers of fees, provided </w:t>
            </w:r>
            <w:r w:rsidR="003E2A9F">
              <w:rPr>
                <w:lang w:val="en-US"/>
              </w:rPr>
              <w:t xml:space="preserve">that </w:t>
            </w:r>
            <w:r w:rsidRPr="00BE42A0">
              <w:rPr>
                <w:lang w:val="en-US"/>
              </w:rPr>
              <w:t>they receive a special privilege, including as a result of legal actions exercised in favour of such persons by state and local self-government authorities as well as by other authorized agencies.</w:t>
            </w:r>
          </w:p>
        </w:tc>
      </w:tr>
      <w:tr w:rsidR="00BE42A0" w:rsidRPr="00BE42A0" w14:paraId="1547BAA3" w14:textId="77777777" w:rsidTr="00BE42A0">
        <w:tc>
          <w:tcPr>
            <w:tcW w:w="1668" w:type="dxa"/>
          </w:tcPr>
          <w:p w14:paraId="1C1981E4" w14:textId="77777777" w:rsidR="00BE42A0" w:rsidRPr="00BE42A0" w:rsidRDefault="00BE42A0" w:rsidP="00BE42A0">
            <w:pPr>
              <w:rPr>
                <w:b/>
                <w:lang w:val="en-US"/>
              </w:rPr>
            </w:pPr>
            <w:r w:rsidRPr="00BE42A0">
              <w:rPr>
                <w:b/>
                <w:lang w:val="en-US"/>
              </w:rPr>
              <w:t xml:space="preserve">taxpayers </w:t>
            </w:r>
            <w:r w:rsidR="00CA770B">
              <w:rPr>
                <w:b/>
                <w:lang w:val="en-US"/>
              </w:rPr>
              <w:t xml:space="preserve"> </w:t>
            </w:r>
          </w:p>
        </w:tc>
        <w:tc>
          <w:tcPr>
            <w:tcW w:w="7947" w:type="dxa"/>
          </w:tcPr>
          <w:p w14:paraId="1998C845" w14:textId="77777777" w:rsidR="00BE42A0" w:rsidRPr="00BE42A0" w:rsidRDefault="00BE42A0" w:rsidP="003E2A9F">
            <w:pPr>
              <w:spacing w:after="120" w:line="240" w:lineRule="atLeast"/>
              <w:jc w:val="both"/>
              <w:rPr>
                <w:lang w:val="en-US"/>
              </w:rPr>
            </w:pPr>
            <w:r w:rsidRPr="00BE42A0">
              <w:rPr>
                <w:lang w:val="en-US"/>
              </w:rPr>
              <w:t>are natural persons (residents and non-residents of Ukraine), legal entities (residents and non-residents of Ukraine) and their separate subdivisions, which own, receive (present) the taxable items or carry out transactions, who are subject to taxation under Tax Code or tax laws, and who are responsible for payment of taxes and duties.</w:t>
            </w:r>
          </w:p>
        </w:tc>
      </w:tr>
      <w:tr w:rsidR="00BE42A0" w:rsidRPr="00BE42A0" w14:paraId="54D3264A" w14:textId="77777777" w:rsidTr="00BE42A0">
        <w:tc>
          <w:tcPr>
            <w:tcW w:w="1668" w:type="dxa"/>
          </w:tcPr>
          <w:p w14:paraId="7BCFC233" w14:textId="77777777" w:rsidR="00BE42A0" w:rsidRPr="00BE42A0" w:rsidRDefault="00BE42A0" w:rsidP="00BE42A0">
            <w:pPr>
              <w:spacing w:after="120"/>
              <w:rPr>
                <w:b/>
                <w:lang w:val="en-US"/>
              </w:rPr>
            </w:pPr>
            <w:r w:rsidRPr="00BE42A0">
              <w:rPr>
                <w:b/>
                <w:lang w:val="en-US"/>
              </w:rPr>
              <w:t xml:space="preserve">tax agent </w:t>
            </w:r>
            <w:r w:rsidR="00CA770B">
              <w:rPr>
                <w:b/>
                <w:lang w:val="en-US"/>
              </w:rPr>
              <w:t xml:space="preserve"> </w:t>
            </w:r>
            <w:r w:rsidRPr="00BE42A0">
              <w:rPr>
                <w:b/>
                <w:lang w:val="en-US"/>
              </w:rPr>
              <w:t xml:space="preserve"> </w:t>
            </w:r>
          </w:p>
        </w:tc>
        <w:tc>
          <w:tcPr>
            <w:tcW w:w="7947" w:type="dxa"/>
          </w:tcPr>
          <w:p w14:paraId="6C5A0733" w14:textId="77777777" w:rsidR="00BE42A0" w:rsidRPr="00BE42A0" w:rsidRDefault="00BE42A0" w:rsidP="00BE42A0">
            <w:pPr>
              <w:spacing w:after="120" w:line="240" w:lineRule="atLeast"/>
              <w:jc w:val="both"/>
              <w:rPr>
                <w:lang w:val="en-US"/>
              </w:rPr>
            </w:pPr>
            <w:r w:rsidRPr="00BE42A0">
              <w:rPr>
                <w:lang w:val="en-US"/>
              </w:rPr>
              <w:t>is a person who is obliged under Tax Code to calculate and withhold from the income accrued (paid, delivered) to the payer, and remit taxes to the appropriate budget on behalf of and at the expense of the taxpayer. Tax agents are treated as the taxpayers and have the rights and fulfil the obligations established by Tax Code for taxpayers.</w:t>
            </w:r>
          </w:p>
        </w:tc>
      </w:tr>
      <w:tr w:rsidR="00BE42A0" w:rsidRPr="00BE42A0" w14:paraId="656F3298" w14:textId="77777777" w:rsidTr="00BE42A0">
        <w:tc>
          <w:tcPr>
            <w:tcW w:w="1668" w:type="dxa"/>
          </w:tcPr>
          <w:p w14:paraId="4370BAFA" w14:textId="77777777" w:rsidR="00BE42A0" w:rsidRPr="00BE42A0" w:rsidRDefault="00BE42A0" w:rsidP="00BE42A0">
            <w:pPr>
              <w:spacing w:after="120"/>
              <w:rPr>
                <w:b/>
                <w:lang w:val="en-US"/>
              </w:rPr>
            </w:pPr>
            <w:r w:rsidRPr="00BE42A0">
              <w:rPr>
                <w:b/>
                <w:lang w:val="en-US"/>
              </w:rPr>
              <w:t xml:space="preserve">taxable item </w:t>
            </w:r>
            <w:r w:rsidR="00CA770B">
              <w:rPr>
                <w:b/>
                <w:lang w:val="en-US"/>
              </w:rPr>
              <w:t xml:space="preserve"> </w:t>
            </w:r>
          </w:p>
        </w:tc>
        <w:tc>
          <w:tcPr>
            <w:tcW w:w="7947" w:type="dxa"/>
          </w:tcPr>
          <w:p w14:paraId="56C1D758" w14:textId="77777777" w:rsidR="00BE42A0" w:rsidRPr="00BE42A0" w:rsidRDefault="00BE42A0" w:rsidP="003E2A9F">
            <w:pPr>
              <w:spacing w:after="120" w:line="240" w:lineRule="atLeast"/>
              <w:ind w:firstLine="33"/>
              <w:jc w:val="both"/>
              <w:rPr>
                <w:lang w:val="en-US"/>
              </w:rPr>
            </w:pPr>
            <w:r w:rsidRPr="00BE42A0">
              <w:rPr>
                <w:lang w:val="en-US"/>
              </w:rPr>
              <w:t xml:space="preserve">may be a property, goods, income (profit) or a part of turnover from the sale of goods (works, services), transactions of the supply of goods (works, services), and other items defined by tax laws, the presence of which is related to the tax legislation </w:t>
            </w:r>
            <w:r w:rsidR="003E2A9F">
              <w:rPr>
                <w:lang w:val="en-US"/>
              </w:rPr>
              <w:t>in</w:t>
            </w:r>
            <w:r w:rsidRPr="00BE42A0">
              <w:rPr>
                <w:lang w:val="en-US"/>
              </w:rPr>
              <w:t xml:space="preserve"> the emergence of tax obligations</w:t>
            </w:r>
            <w:r w:rsidR="003E2A9F">
              <w:rPr>
                <w:lang w:val="en-US"/>
              </w:rPr>
              <w:t xml:space="preserve"> for taxpayers</w:t>
            </w:r>
            <w:r w:rsidRPr="00BE42A0">
              <w:rPr>
                <w:lang w:val="en-US"/>
              </w:rPr>
              <w:t>.</w:t>
            </w:r>
          </w:p>
        </w:tc>
      </w:tr>
      <w:tr w:rsidR="00BE42A0" w:rsidRPr="00BE42A0" w14:paraId="0F915108" w14:textId="77777777" w:rsidTr="00BE42A0">
        <w:tc>
          <w:tcPr>
            <w:tcW w:w="1668" w:type="dxa"/>
          </w:tcPr>
          <w:p w14:paraId="75F4D312" w14:textId="77777777" w:rsidR="00BE42A0" w:rsidRPr="00BE42A0" w:rsidRDefault="00BE42A0" w:rsidP="00BE42A0">
            <w:pPr>
              <w:spacing w:after="120"/>
              <w:rPr>
                <w:b/>
                <w:lang w:val="en-US"/>
              </w:rPr>
            </w:pPr>
            <w:r w:rsidRPr="00BE42A0">
              <w:rPr>
                <w:b/>
                <w:lang w:val="en-US"/>
              </w:rPr>
              <w:t xml:space="preserve">tax base </w:t>
            </w:r>
            <w:r w:rsidR="00CA770B">
              <w:rPr>
                <w:b/>
                <w:lang w:val="en-US"/>
              </w:rPr>
              <w:t xml:space="preserve"> </w:t>
            </w:r>
          </w:p>
        </w:tc>
        <w:tc>
          <w:tcPr>
            <w:tcW w:w="7947" w:type="dxa"/>
          </w:tcPr>
          <w:p w14:paraId="4C526248" w14:textId="77777777" w:rsidR="00BE42A0" w:rsidRPr="00BE42A0" w:rsidRDefault="00BE42A0" w:rsidP="002D6C8B">
            <w:pPr>
              <w:spacing w:after="120" w:line="240" w:lineRule="atLeast"/>
              <w:ind w:firstLine="33"/>
              <w:jc w:val="both"/>
              <w:rPr>
                <w:lang w:val="en-US"/>
              </w:rPr>
            </w:pPr>
            <w:r w:rsidRPr="00BE42A0">
              <w:rPr>
                <w:lang w:val="en-US"/>
              </w:rPr>
              <w:t xml:space="preserve">is defined as specific costs, physical or other characteristics of a particular taxable item. </w:t>
            </w:r>
            <w:r w:rsidR="002D6C8B">
              <w:rPr>
                <w:lang w:val="en-US"/>
              </w:rPr>
              <w:t>It</w:t>
            </w:r>
            <w:r w:rsidRPr="00BE42A0">
              <w:rPr>
                <w:lang w:val="en-US"/>
              </w:rPr>
              <w:t xml:space="preserve"> is the physical, cost, or other characteristic of the taxable item, to which the tax rate is applied</w:t>
            </w:r>
            <w:r w:rsidR="003E2A9F">
              <w:rPr>
                <w:lang w:val="en-US"/>
              </w:rPr>
              <w:t>,</w:t>
            </w:r>
            <w:r w:rsidRPr="00BE42A0">
              <w:rPr>
                <w:lang w:val="en-US"/>
              </w:rPr>
              <w:t xml:space="preserve"> and which is used to determine the amount of tax liability. </w:t>
            </w:r>
          </w:p>
        </w:tc>
      </w:tr>
      <w:tr w:rsidR="00BE42A0" w:rsidRPr="00BE42A0" w14:paraId="6F573D15" w14:textId="77777777" w:rsidTr="00BE42A0">
        <w:tc>
          <w:tcPr>
            <w:tcW w:w="1668" w:type="dxa"/>
          </w:tcPr>
          <w:p w14:paraId="54DE5075" w14:textId="77777777" w:rsidR="00BE42A0" w:rsidRPr="00BE42A0" w:rsidRDefault="00BE42A0" w:rsidP="00BE42A0">
            <w:pPr>
              <w:spacing w:after="120"/>
              <w:rPr>
                <w:b/>
                <w:lang w:val="en-US"/>
              </w:rPr>
            </w:pPr>
            <w:r w:rsidRPr="00BE42A0">
              <w:rPr>
                <w:b/>
                <w:lang w:val="en-US"/>
              </w:rPr>
              <w:t xml:space="preserve">tax rate </w:t>
            </w:r>
            <w:r w:rsidR="00CA770B">
              <w:rPr>
                <w:b/>
                <w:lang w:val="en-US"/>
              </w:rPr>
              <w:t xml:space="preserve"> </w:t>
            </w:r>
          </w:p>
        </w:tc>
        <w:tc>
          <w:tcPr>
            <w:tcW w:w="7947" w:type="dxa"/>
          </w:tcPr>
          <w:p w14:paraId="6FC18D51" w14:textId="77777777" w:rsidR="00BE42A0" w:rsidRPr="00BE42A0" w:rsidRDefault="00BE42A0" w:rsidP="003E2A9F">
            <w:pPr>
              <w:spacing w:after="120" w:line="240" w:lineRule="atLeast"/>
              <w:jc w:val="both"/>
              <w:rPr>
                <w:lang w:val="en-US"/>
              </w:rPr>
            </w:pPr>
            <w:r w:rsidRPr="00BE42A0">
              <w:rPr>
                <w:lang w:val="en-US"/>
              </w:rPr>
              <w:t xml:space="preserve">is the amount of tax accrued on (from) the measurement unit (s) of the tax base. The basic tax rate is defined as the rate determined as such for the individual tax by the relevant section of the Code. The marginal </w:t>
            </w:r>
            <w:r w:rsidR="003E2A9F" w:rsidRPr="00BE42A0">
              <w:rPr>
                <w:lang w:val="en-US"/>
              </w:rPr>
              <w:t xml:space="preserve">tax </w:t>
            </w:r>
            <w:r w:rsidRPr="00BE42A0">
              <w:rPr>
                <w:lang w:val="en-US"/>
              </w:rPr>
              <w:t xml:space="preserve">rate is defined as the maximum or minimum rate for certain taxes established by Tax Code. </w:t>
            </w:r>
          </w:p>
        </w:tc>
      </w:tr>
      <w:tr w:rsidR="00BE42A0" w:rsidRPr="00BE42A0" w14:paraId="3B75CD41" w14:textId="77777777" w:rsidTr="00BE42A0">
        <w:tc>
          <w:tcPr>
            <w:tcW w:w="1668" w:type="dxa"/>
          </w:tcPr>
          <w:p w14:paraId="00CF349C" w14:textId="77777777" w:rsidR="00BE42A0" w:rsidRPr="00BE42A0" w:rsidRDefault="00BE42A0" w:rsidP="00BE42A0">
            <w:pPr>
              <w:spacing w:after="120"/>
              <w:rPr>
                <w:b/>
                <w:lang w:val="en-US"/>
              </w:rPr>
            </w:pPr>
            <w:r w:rsidRPr="00BE42A0">
              <w:rPr>
                <w:b/>
                <w:lang w:val="en-US"/>
              </w:rPr>
              <w:t xml:space="preserve">tax concession </w:t>
            </w:r>
            <w:r w:rsidR="00CA770B">
              <w:rPr>
                <w:b/>
                <w:lang w:val="en-US"/>
              </w:rPr>
              <w:t xml:space="preserve"> </w:t>
            </w:r>
            <w:r w:rsidRPr="00BE42A0">
              <w:rPr>
                <w:b/>
                <w:lang w:val="en-US"/>
              </w:rPr>
              <w:t xml:space="preserve"> </w:t>
            </w:r>
          </w:p>
        </w:tc>
        <w:tc>
          <w:tcPr>
            <w:tcW w:w="7947" w:type="dxa"/>
          </w:tcPr>
          <w:p w14:paraId="28220064" w14:textId="77777777" w:rsidR="00BE42A0" w:rsidRPr="00BE42A0" w:rsidRDefault="00BE42A0" w:rsidP="00BE42A0">
            <w:pPr>
              <w:spacing w:after="120" w:line="240" w:lineRule="atLeast"/>
              <w:jc w:val="both"/>
              <w:rPr>
                <w:lang w:val="en-US"/>
              </w:rPr>
            </w:pPr>
            <w:r w:rsidRPr="00BE42A0">
              <w:rPr>
                <w:lang w:val="en-US"/>
              </w:rPr>
              <w:t xml:space="preserve">is an exemption from the obligation of the taxpayer provided by tax and customs legislation as to the accrual and payment of taxes and fees, as well as payment of a tax in the smaller amount for reasons specified in Tax Code. </w:t>
            </w:r>
          </w:p>
        </w:tc>
      </w:tr>
      <w:tr w:rsidR="00BE42A0" w:rsidRPr="00BE42A0" w14:paraId="2EFDA877" w14:textId="77777777" w:rsidTr="00BE42A0">
        <w:tc>
          <w:tcPr>
            <w:tcW w:w="1668" w:type="dxa"/>
          </w:tcPr>
          <w:p w14:paraId="314FFC2F" w14:textId="77777777" w:rsidR="00BE42A0" w:rsidRPr="00BE42A0" w:rsidRDefault="00CC3AD9" w:rsidP="00BE42A0">
            <w:pPr>
              <w:spacing w:after="120"/>
              <w:rPr>
                <w:b/>
                <w:lang w:val="en-US"/>
              </w:rPr>
            </w:pPr>
            <w:r>
              <w:rPr>
                <w:b/>
                <w:lang w:val="en-US"/>
              </w:rPr>
              <w:t>t</w:t>
            </w:r>
            <w:r w:rsidR="00BE42A0" w:rsidRPr="00BE42A0">
              <w:rPr>
                <w:b/>
                <w:lang w:val="en-US"/>
              </w:rPr>
              <w:t xml:space="preserve">ax and fee payment period </w:t>
            </w:r>
            <w:r w:rsidR="00CA770B">
              <w:rPr>
                <w:b/>
                <w:lang w:val="en-US"/>
              </w:rPr>
              <w:t xml:space="preserve"> </w:t>
            </w:r>
          </w:p>
        </w:tc>
        <w:tc>
          <w:tcPr>
            <w:tcW w:w="7947" w:type="dxa"/>
          </w:tcPr>
          <w:p w14:paraId="648A76D5" w14:textId="77777777" w:rsidR="00BE42A0" w:rsidRPr="00BE42A0" w:rsidRDefault="00BE42A0" w:rsidP="00BE42A0">
            <w:pPr>
              <w:spacing w:after="120" w:line="240" w:lineRule="atLeast"/>
              <w:jc w:val="both"/>
              <w:rPr>
                <w:lang w:val="en-US"/>
              </w:rPr>
            </w:pPr>
            <w:r w:rsidRPr="00BE42A0">
              <w:rPr>
                <w:lang w:val="en-US"/>
              </w:rPr>
              <w:t>is defined as the period commencing from the date of occurrence of the tax debt of the taxpayer to pay a specific type of the tax and ends on the last day of the period within which such tax or fee is to be paid in the manner specified by the tax legislation. A tax or a fee that has not been paid within the prescribed period is to be deemed not paid on time. The time of creation of the taxpayer’s tax debt, including of a tax agent, is determined by the calendar date. Tax and fee payment period and collection of the tax is calculated in years, quarters, months, decade</w:t>
            </w:r>
            <w:r w:rsidR="003E2A9F">
              <w:rPr>
                <w:lang w:val="en-US"/>
              </w:rPr>
              <w:t>s, weeks, days, or by the event</w:t>
            </w:r>
            <w:r w:rsidRPr="00BE42A0">
              <w:rPr>
                <w:lang w:val="en-US"/>
              </w:rPr>
              <w:t xml:space="preserve"> which should arise or occur.</w:t>
            </w:r>
          </w:p>
        </w:tc>
      </w:tr>
      <w:tr w:rsidR="00BE42A0" w:rsidRPr="00BE42A0" w14:paraId="76AB19E2" w14:textId="77777777" w:rsidTr="00BE42A0">
        <w:tc>
          <w:tcPr>
            <w:tcW w:w="1668" w:type="dxa"/>
          </w:tcPr>
          <w:p w14:paraId="5434A3F6" w14:textId="77777777" w:rsidR="00BE42A0" w:rsidRPr="00BE42A0" w:rsidRDefault="00BE42A0" w:rsidP="00BE42A0">
            <w:pPr>
              <w:spacing w:after="120"/>
              <w:rPr>
                <w:b/>
                <w:lang w:val="en-US"/>
              </w:rPr>
            </w:pPr>
            <w:r w:rsidRPr="00BE42A0">
              <w:rPr>
                <w:b/>
                <w:lang w:val="en-US"/>
              </w:rPr>
              <w:t xml:space="preserve">tax liability </w:t>
            </w:r>
            <w:r w:rsidR="00CA770B">
              <w:rPr>
                <w:b/>
                <w:lang w:val="en-US"/>
              </w:rPr>
              <w:t xml:space="preserve"> </w:t>
            </w:r>
          </w:p>
        </w:tc>
        <w:tc>
          <w:tcPr>
            <w:tcW w:w="7947" w:type="dxa"/>
          </w:tcPr>
          <w:p w14:paraId="02830031" w14:textId="77777777" w:rsidR="00BE42A0" w:rsidRPr="00BE42A0" w:rsidRDefault="00BE42A0" w:rsidP="00BE42A0">
            <w:pPr>
              <w:spacing w:after="120"/>
              <w:jc w:val="both"/>
              <w:rPr>
                <w:lang w:val="en-US"/>
              </w:rPr>
            </w:pPr>
            <w:r w:rsidRPr="00BE42A0">
              <w:rPr>
                <w:lang w:val="en-US"/>
              </w:rPr>
              <w:t>is defined as a duty of the taxpayer to calculate, declare</w:t>
            </w:r>
            <w:r w:rsidR="003E2A9F">
              <w:rPr>
                <w:lang w:val="en-US"/>
              </w:rPr>
              <w:t>,</w:t>
            </w:r>
            <w:r w:rsidRPr="00BE42A0">
              <w:rPr>
                <w:lang w:val="en-US"/>
              </w:rPr>
              <w:t xml:space="preserve"> and / or pay the amount of taxes and duties in the manner and time specified in Tax Code and laws on customs procedures.</w:t>
            </w:r>
          </w:p>
        </w:tc>
      </w:tr>
      <w:tr w:rsidR="00BE42A0" w:rsidRPr="00BE42A0" w14:paraId="6E6C7BD2" w14:textId="77777777" w:rsidTr="00BE42A0">
        <w:tc>
          <w:tcPr>
            <w:tcW w:w="1668" w:type="dxa"/>
          </w:tcPr>
          <w:p w14:paraId="1D0CFB40" w14:textId="77777777" w:rsidR="00BE42A0" w:rsidRPr="00BE42A0" w:rsidRDefault="00BE42A0" w:rsidP="00BE42A0">
            <w:pPr>
              <w:spacing w:after="120"/>
              <w:rPr>
                <w:b/>
                <w:lang w:val="en-US"/>
              </w:rPr>
            </w:pPr>
            <w:r w:rsidRPr="00BE42A0">
              <w:rPr>
                <w:b/>
                <w:lang w:val="en-US"/>
              </w:rPr>
              <w:lastRenderedPageBreak/>
              <w:t xml:space="preserve">tax declaration, return </w:t>
            </w:r>
            <w:r w:rsidR="00CA770B">
              <w:rPr>
                <w:b/>
                <w:lang w:val="en-US"/>
              </w:rPr>
              <w:t xml:space="preserve"> </w:t>
            </w:r>
          </w:p>
        </w:tc>
        <w:tc>
          <w:tcPr>
            <w:tcW w:w="7947" w:type="dxa"/>
          </w:tcPr>
          <w:p w14:paraId="160F924E" w14:textId="77777777" w:rsidR="00BE42A0" w:rsidRPr="00BE42A0" w:rsidRDefault="00BE42A0" w:rsidP="00BE42A0">
            <w:pPr>
              <w:spacing w:after="120" w:line="240" w:lineRule="atLeast"/>
              <w:jc w:val="both"/>
              <w:rPr>
                <w:lang w:val="en-US"/>
              </w:rPr>
            </w:pPr>
            <w:r w:rsidRPr="00BE42A0">
              <w:rPr>
                <w:lang w:val="en-US"/>
              </w:rPr>
              <w:t>is a document submitted by the taxpayer (including a separate subdivision in cases specified in Tax Code) to the regulatory authority within the time period prescribed by law, on the basis of which the accrual and/or payment of tax liability is being made, or a document showing the amount of income accrued (paid) for the benefit of individual taxpayers and the amounts of tax withheld and/or paid. Customs declarations are treated similarly to the tax declarations for the purposes of calculation and/or payment of tax liabilities.</w:t>
            </w:r>
          </w:p>
        </w:tc>
      </w:tr>
      <w:tr w:rsidR="00BE42A0" w:rsidRPr="00BE42A0" w14:paraId="5F475673" w14:textId="77777777" w:rsidTr="00BE42A0">
        <w:tc>
          <w:tcPr>
            <w:tcW w:w="1668" w:type="dxa"/>
          </w:tcPr>
          <w:p w14:paraId="52D71E0D" w14:textId="77777777" w:rsidR="00BE42A0" w:rsidRPr="00BE42A0" w:rsidRDefault="00BE42A0" w:rsidP="00BE42A0">
            <w:pPr>
              <w:spacing w:after="120"/>
              <w:rPr>
                <w:b/>
                <w:lang w:val="en-US"/>
              </w:rPr>
            </w:pPr>
            <w:r w:rsidRPr="00BE42A0">
              <w:rPr>
                <w:b/>
                <w:lang w:val="en-US"/>
              </w:rPr>
              <w:t xml:space="preserve">revision of a tax and fee payment period </w:t>
            </w:r>
            <w:r w:rsidR="00CA770B">
              <w:rPr>
                <w:b/>
                <w:lang w:val="en-US"/>
              </w:rPr>
              <w:t xml:space="preserve"> </w:t>
            </w:r>
          </w:p>
        </w:tc>
        <w:tc>
          <w:tcPr>
            <w:tcW w:w="7947" w:type="dxa"/>
          </w:tcPr>
          <w:p w14:paraId="21A8AED1" w14:textId="77777777" w:rsidR="00BE42A0" w:rsidRPr="00BE42A0" w:rsidRDefault="00BE42A0" w:rsidP="00BE42A0">
            <w:pPr>
              <w:spacing w:after="120" w:line="240" w:lineRule="atLeast"/>
              <w:jc w:val="both"/>
              <w:rPr>
                <w:lang w:val="en-US"/>
              </w:rPr>
            </w:pPr>
            <w:r w:rsidRPr="00BE42A0">
              <w:rPr>
                <w:lang w:val="en-US"/>
              </w:rPr>
              <w:t>is to be effected by extension established by the tax legislation of a due date for tax and fee payment and collection or part thereof to a later date.</w:t>
            </w:r>
          </w:p>
        </w:tc>
      </w:tr>
      <w:tr w:rsidR="00BE42A0" w:rsidRPr="00BE42A0" w14:paraId="497BF5CF" w14:textId="77777777" w:rsidTr="00BE42A0">
        <w:tc>
          <w:tcPr>
            <w:tcW w:w="1668" w:type="dxa"/>
          </w:tcPr>
          <w:p w14:paraId="4ECC6167" w14:textId="77777777" w:rsidR="00BE42A0" w:rsidRPr="00BE42A0" w:rsidRDefault="00BE42A0" w:rsidP="00BE42A0">
            <w:pPr>
              <w:spacing w:after="120"/>
              <w:rPr>
                <w:b/>
                <w:lang w:val="en-US"/>
              </w:rPr>
            </w:pPr>
            <w:r w:rsidRPr="00BE42A0">
              <w:rPr>
                <w:b/>
                <w:lang w:val="en-US"/>
              </w:rPr>
              <w:t xml:space="preserve">fulfillment of tax liability </w:t>
            </w:r>
            <w:r w:rsidR="00CA770B">
              <w:rPr>
                <w:b/>
                <w:lang w:val="en-US"/>
              </w:rPr>
              <w:t xml:space="preserve"> </w:t>
            </w:r>
          </w:p>
        </w:tc>
        <w:tc>
          <w:tcPr>
            <w:tcW w:w="7947" w:type="dxa"/>
          </w:tcPr>
          <w:p w14:paraId="11C18E47" w14:textId="77777777" w:rsidR="00BE42A0" w:rsidRPr="00BE42A0" w:rsidRDefault="00BE42A0" w:rsidP="00BE42A0">
            <w:pPr>
              <w:spacing w:after="120" w:line="240" w:lineRule="atLeast"/>
              <w:jc w:val="both"/>
              <w:rPr>
                <w:lang w:val="en-US"/>
              </w:rPr>
            </w:pPr>
            <w:r w:rsidRPr="00BE42A0">
              <w:rPr>
                <w:lang w:val="en-US"/>
              </w:rPr>
              <w:t>is defined as full payment of the relevant amounts of taxpayer liabilities within the time period established by the tax legislation.</w:t>
            </w:r>
          </w:p>
        </w:tc>
      </w:tr>
      <w:tr w:rsidR="00BE42A0" w:rsidRPr="00BE42A0" w14:paraId="5AD17D10" w14:textId="77777777" w:rsidTr="00BE42A0">
        <w:tc>
          <w:tcPr>
            <w:tcW w:w="1668" w:type="dxa"/>
          </w:tcPr>
          <w:p w14:paraId="3391F2FF" w14:textId="77777777" w:rsidR="00BE42A0" w:rsidRPr="00BE42A0" w:rsidRDefault="00BE42A0" w:rsidP="00BE42A0">
            <w:pPr>
              <w:spacing w:after="120"/>
              <w:rPr>
                <w:b/>
                <w:lang w:val="en-US"/>
              </w:rPr>
            </w:pPr>
            <w:r w:rsidRPr="00BE42A0">
              <w:rPr>
                <w:b/>
                <w:lang w:val="en-US"/>
              </w:rPr>
              <w:t xml:space="preserve">tax control </w:t>
            </w:r>
            <w:r w:rsidR="00CA770B">
              <w:rPr>
                <w:b/>
                <w:lang w:val="en-US"/>
              </w:rPr>
              <w:t xml:space="preserve"> </w:t>
            </w:r>
          </w:p>
        </w:tc>
        <w:tc>
          <w:tcPr>
            <w:tcW w:w="7947" w:type="dxa"/>
          </w:tcPr>
          <w:p w14:paraId="0123F097" w14:textId="77777777" w:rsidR="00BE42A0" w:rsidRPr="00BE42A0" w:rsidRDefault="00BE42A0" w:rsidP="00BE42A0">
            <w:pPr>
              <w:spacing w:after="120" w:line="240" w:lineRule="atLeast"/>
              <w:jc w:val="both"/>
              <w:rPr>
                <w:lang w:val="en-US"/>
              </w:rPr>
            </w:pPr>
            <w:r w:rsidRPr="00BE42A0">
              <w:rPr>
                <w:lang w:val="en-US"/>
              </w:rPr>
              <w:t>is a system of measures taken by regulatory authorities for the purposes of verifying the correctness of calculation, completeness and timeliness of payment of taxes and fees, as well as compliance with the law on the regulation of circulation of cash settlements and cash transactions, patenting, licensing, and other legislation, enforcement of which is assigned to the responsibility of the regulatory authorities.</w:t>
            </w:r>
          </w:p>
        </w:tc>
      </w:tr>
      <w:tr w:rsidR="00BE42A0" w:rsidRPr="00BE42A0" w14:paraId="1B83A1CF" w14:textId="77777777" w:rsidTr="00BE42A0">
        <w:tc>
          <w:tcPr>
            <w:tcW w:w="1668" w:type="dxa"/>
          </w:tcPr>
          <w:p w14:paraId="31B7AF19" w14:textId="77777777" w:rsidR="00BE42A0" w:rsidRPr="00BE42A0" w:rsidRDefault="00BE42A0" w:rsidP="00BE42A0">
            <w:pPr>
              <w:spacing w:after="120"/>
              <w:rPr>
                <w:b/>
                <w:lang w:val="en-US"/>
              </w:rPr>
            </w:pPr>
            <w:r w:rsidRPr="00BE42A0">
              <w:rPr>
                <w:b/>
                <w:lang w:val="en-US"/>
              </w:rPr>
              <w:t xml:space="preserve">tax violation </w:t>
            </w:r>
            <w:r w:rsidR="00CA770B">
              <w:rPr>
                <w:b/>
                <w:lang w:val="en-US"/>
              </w:rPr>
              <w:t xml:space="preserve"> </w:t>
            </w:r>
          </w:p>
        </w:tc>
        <w:tc>
          <w:tcPr>
            <w:tcW w:w="7947" w:type="dxa"/>
          </w:tcPr>
          <w:p w14:paraId="6EC520AE" w14:textId="77777777" w:rsidR="00BE42A0" w:rsidRPr="00BE42A0" w:rsidRDefault="00BE42A0" w:rsidP="00BE42A0">
            <w:pPr>
              <w:spacing w:after="120" w:line="240" w:lineRule="atLeast"/>
              <w:jc w:val="both"/>
              <w:rPr>
                <w:lang w:val="en-US"/>
              </w:rPr>
            </w:pPr>
            <w:r w:rsidRPr="00BE42A0">
              <w:rPr>
                <w:lang w:val="en-US"/>
              </w:rPr>
              <w:t>is a wrongful act (action or omission) of taxpayers, tax agents, and/or their officers, as well as officials of the regulatory authorities, which led to the non-fulfilment or improper fulfilment of the requirements established by Tax Code and other laws, control over compliance with which is entrusted to the regulatory authorities</w:t>
            </w:r>
          </w:p>
        </w:tc>
      </w:tr>
      <w:tr w:rsidR="00BE42A0" w:rsidRPr="00BE42A0" w14:paraId="153AED06" w14:textId="77777777" w:rsidTr="00BE42A0">
        <w:tc>
          <w:tcPr>
            <w:tcW w:w="1668" w:type="dxa"/>
          </w:tcPr>
          <w:p w14:paraId="23E33993" w14:textId="77777777" w:rsidR="00BE42A0" w:rsidRPr="00BE42A0" w:rsidRDefault="00BE42A0" w:rsidP="00CC3AD9">
            <w:pPr>
              <w:rPr>
                <w:b/>
                <w:lang w:val="en-US"/>
              </w:rPr>
            </w:pPr>
            <w:r w:rsidRPr="00BE42A0">
              <w:rPr>
                <w:b/>
                <w:lang w:val="en-US"/>
              </w:rPr>
              <w:t>tax avoidance</w:t>
            </w:r>
            <w:r w:rsidR="00CC3AD9">
              <w:rPr>
                <w:b/>
                <w:lang w:val="en-US"/>
              </w:rPr>
              <w:t> </w:t>
            </w:r>
            <w:r w:rsidR="00CA770B">
              <w:rPr>
                <w:b/>
                <w:lang w:val="en-US"/>
              </w:rPr>
              <w:t xml:space="preserve"> </w:t>
            </w:r>
          </w:p>
        </w:tc>
        <w:tc>
          <w:tcPr>
            <w:tcW w:w="7947" w:type="dxa"/>
          </w:tcPr>
          <w:p w14:paraId="5F2478CB" w14:textId="77777777" w:rsidR="00BE42A0" w:rsidRPr="00BE42A0" w:rsidRDefault="003E2A9F" w:rsidP="00FF6464">
            <w:pPr>
              <w:spacing w:after="120" w:line="240" w:lineRule="atLeast"/>
              <w:jc w:val="both"/>
              <w:rPr>
                <w:lang w:val="en-US"/>
              </w:rPr>
            </w:pPr>
            <w:r>
              <w:rPr>
                <w:lang w:val="en-US"/>
              </w:rPr>
              <w:t>is</w:t>
            </w:r>
            <w:r w:rsidR="00BE42A0" w:rsidRPr="00BE42A0">
              <w:rPr>
                <w:lang w:val="en-US"/>
              </w:rPr>
              <w:t xml:space="preserve"> </w:t>
            </w:r>
            <w:r>
              <w:rPr>
                <w:lang w:val="en-US"/>
              </w:rPr>
              <w:t xml:space="preserve">a use of </w:t>
            </w:r>
            <w:r w:rsidR="00BE42A0" w:rsidRPr="00BE42A0">
              <w:rPr>
                <w:lang w:val="en-US"/>
              </w:rPr>
              <w:t>legal instruments to pay the lowest amount of tax possible</w:t>
            </w:r>
            <w:r w:rsidR="00FF6464">
              <w:rPr>
                <w:lang w:val="en-US"/>
              </w:rPr>
              <w:t xml:space="preserve"> within the law</w:t>
            </w:r>
            <w:r w:rsidR="00BE42A0" w:rsidRPr="00BE42A0">
              <w:rPr>
                <w:lang w:val="en-US"/>
              </w:rPr>
              <w:t xml:space="preserve">. It is different from tax evasion, which consists of illegal and deliberate acts to pay less </w:t>
            </w:r>
            <w:r w:rsidR="00FF6464">
              <w:rPr>
                <w:lang w:val="en-US"/>
              </w:rPr>
              <w:t>tax or even no tax</w:t>
            </w:r>
            <w:r w:rsidR="00BE42A0" w:rsidRPr="00BE42A0">
              <w:rPr>
                <w:lang w:val="en-US"/>
              </w:rPr>
              <w:t xml:space="preserve"> at all</w:t>
            </w:r>
            <w:r w:rsidR="00FF6464">
              <w:rPr>
                <w:lang w:val="en-US"/>
              </w:rPr>
              <w:t xml:space="preserve"> than the law mandates</w:t>
            </w:r>
            <w:r w:rsidR="00BE42A0" w:rsidRPr="00BE42A0">
              <w:rPr>
                <w:lang w:val="en-US"/>
              </w:rPr>
              <w:t>.</w:t>
            </w:r>
          </w:p>
        </w:tc>
      </w:tr>
      <w:tr w:rsidR="00BE42A0" w:rsidRPr="00BE42A0" w14:paraId="07B7DE2D" w14:textId="77777777" w:rsidTr="00BE42A0">
        <w:tc>
          <w:tcPr>
            <w:tcW w:w="1668" w:type="dxa"/>
          </w:tcPr>
          <w:p w14:paraId="10A3BA87" w14:textId="77777777" w:rsidR="00BE42A0" w:rsidRPr="00BE42A0" w:rsidRDefault="00BE42A0" w:rsidP="00BE42A0">
            <w:pPr>
              <w:rPr>
                <w:b/>
                <w:lang w:val="en-US"/>
              </w:rPr>
            </w:pPr>
            <w:r w:rsidRPr="00BE42A0">
              <w:rPr>
                <w:b/>
                <w:lang w:val="en-US"/>
              </w:rPr>
              <w:t>taxable</w:t>
            </w:r>
          </w:p>
          <w:p w14:paraId="74377B1F" w14:textId="77777777" w:rsidR="00BE42A0" w:rsidRPr="00BE42A0" w:rsidRDefault="00BE42A0" w:rsidP="00BE42A0">
            <w:pPr>
              <w:rPr>
                <w:b/>
                <w:lang w:val="en-US"/>
              </w:rPr>
            </w:pPr>
            <w:r w:rsidRPr="00BE42A0">
              <w:rPr>
                <w:b/>
                <w:lang w:val="en-US"/>
              </w:rPr>
              <w:t xml:space="preserve">income </w:t>
            </w:r>
            <w:r w:rsidR="00CA770B">
              <w:rPr>
                <w:b/>
                <w:lang w:val="en-US"/>
              </w:rPr>
              <w:t xml:space="preserve"> </w:t>
            </w:r>
          </w:p>
        </w:tc>
        <w:tc>
          <w:tcPr>
            <w:tcW w:w="7947" w:type="dxa"/>
          </w:tcPr>
          <w:p w14:paraId="0F7B494E" w14:textId="77777777" w:rsidR="00BE42A0" w:rsidRPr="00BE42A0" w:rsidRDefault="00FF6464" w:rsidP="00BE42A0">
            <w:pPr>
              <w:spacing w:after="120" w:line="240" w:lineRule="atLeast"/>
              <w:jc w:val="both"/>
              <w:rPr>
                <w:lang w:val="en-US"/>
              </w:rPr>
            </w:pPr>
            <w:r>
              <w:rPr>
                <w:lang w:val="en-US"/>
              </w:rPr>
              <w:t xml:space="preserve">is </w:t>
            </w:r>
            <w:r w:rsidR="00BE42A0" w:rsidRPr="00BE42A0">
              <w:rPr>
                <w:lang w:val="en-US"/>
              </w:rPr>
              <w:t>gross income minus any adjustments to income, any allowable exemptions, and either itemized deductions or the standard deduction.</w:t>
            </w:r>
          </w:p>
        </w:tc>
      </w:tr>
      <w:tr w:rsidR="00BE42A0" w:rsidRPr="00BE42A0" w14:paraId="40ED9A1D" w14:textId="77777777" w:rsidTr="00BE42A0">
        <w:tc>
          <w:tcPr>
            <w:tcW w:w="1668" w:type="dxa"/>
          </w:tcPr>
          <w:p w14:paraId="33D3179A" w14:textId="77777777" w:rsidR="00BE42A0" w:rsidRPr="00BE42A0" w:rsidRDefault="00BE42A0" w:rsidP="00BE42A0">
            <w:pPr>
              <w:rPr>
                <w:b/>
                <w:lang w:val="en-US"/>
              </w:rPr>
            </w:pPr>
            <w:r w:rsidRPr="00BE42A0">
              <w:rPr>
                <w:b/>
                <w:lang w:val="en-US"/>
              </w:rPr>
              <w:t xml:space="preserve">tax </w:t>
            </w:r>
          </w:p>
          <w:p w14:paraId="443D2BB6" w14:textId="77777777" w:rsidR="00BE42A0" w:rsidRPr="00BE42A0" w:rsidRDefault="00BE42A0" w:rsidP="00BE42A0">
            <w:pPr>
              <w:rPr>
                <w:b/>
                <w:lang w:val="en-US"/>
              </w:rPr>
            </w:pPr>
            <w:r w:rsidRPr="00BE42A0">
              <w:rPr>
                <w:b/>
                <w:lang w:val="en-US"/>
              </w:rPr>
              <w:t xml:space="preserve">authorities </w:t>
            </w:r>
            <w:r w:rsidR="00CA770B">
              <w:rPr>
                <w:b/>
                <w:lang w:val="en-US"/>
              </w:rPr>
              <w:t xml:space="preserve"> </w:t>
            </w:r>
          </w:p>
        </w:tc>
        <w:tc>
          <w:tcPr>
            <w:tcW w:w="7947" w:type="dxa"/>
          </w:tcPr>
          <w:p w14:paraId="79C2CADE" w14:textId="77777777" w:rsidR="00BE42A0" w:rsidRPr="00BE42A0" w:rsidRDefault="00FF6464" w:rsidP="00FF6464">
            <w:pPr>
              <w:spacing w:after="120" w:line="240" w:lineRule="atLeast"/>
              <w:jc w:val="both"/>
              <w:rPr>
                <w:lang w:val="en-US"/>
              </w:rPr>
            </w:pPr>
            <w:r>
              <w:rPr>
                <w:lang w:val="en-US"/>
              </w:rPr>
              <w:t xml:space="preserve">are </w:t>
            </w:r>
            <w:r w:rsidR="00BE42A0" w:rsidRPr="00BE42A0">
              <w:rPr>
                <w:lang w:val="en-US"/>
              </w:rPr>
              <w:t>the bod</w:t>
            </w:r>
            <w:r>
              <w:rPr>
                <w:lang w:val="en-US"/>
              </w:rPr>
              <w:t>ies</w:t>
            </w:r>
            <w:r w:rsidR="00BE42A0" w:rsidRPr="00BE42A0">
              <w:rPr>
                <w:lang w:val="en-US"/>
              </w:rPr>
              <w:t xml:space="preserve"> responsible for administering the tax laws of a particular country or regional or local authority.</w:t>
            </w:r>
          </w:p>
        </w:tc>
      </w:tr>
      <w:tr w:rsidR="00BE42A0" w:rsidRPr="00BE42A0" w14:paraId="15388827" w14:textId="77777777" w:rsidTr="00BE42A0">
        <w:tc>
          <w:tcPr>
            <w:tcW w:w="1668" w:type="dxa"/>
          </w:tcPr>
          <w:p w14:paraId="763E20ED" w14:textId="77777777" w:rsidR="00BE42A0" w:rsidRPr="00BE42A0" w:rsidRDefault="00BE42A0" w:rsidP="00BE42A0">
            <w:pPr>
              <w:rPr>
                <w:b/>
                <w:lang w:val="en-US"/>
              </w:rPr>
            </w:pPr>
            <w:r w:rsidRPr="00BE42A0">
              <w:rPr>
                <w:b/>
                <w:lang w:val="en-US"/>
              </w:rPr>
              <w:t xml:space="preserve">calculation of the tax </w:t>
            </w:r>
          </w:p>
          <w:p w14:paraId="48820E7F" w14:textId="77777777" w:rsidR="00BE42A0" w:rsidRPr="00BE42A0" w:rsidRDefault="00BE42A0" w:rsidP="00BE42A0">
            <w:pPr>
              <w:rPr>
                <w:b/>
                <w:lang w:val="en-US"/>
              </w:rPr>
            </w:pPr>
            <w:r w:rsidRPr="00BE42A0">
              <w:rPr>
                <w:b/>
                <w:lang w:val="en-US"/>
              </w:rPr>
              <w:t xml:space="preserve">amount </w:t>
            </w:r>
            <w:r w:rsidR="00CA770B">
              <w:rPr>
                <w:b/>
                <w:lang w:val="en-US"/>
              </w:rPr>
              <w:t xml:space="preserve"> </w:t>
            </w:r>
          </w:p>
        </w:tc>
        <w:tc>
          <w:tcPr>
            <w:tcW w:w="7947" w:type="dxa"/>
          </w:tcPr>
          <w:p w14:paraId="4072F547" w14:textId="77777777" w:rsidR="00BE42A0" w:rsidRPr="00BE42A0" w:rsidRDefault="00BE42A0" w:rsidP="00FF6464">
            <w:pPr>
              <w:spacing w:after="120" w:line="240" w:lineRule="atLeast"/>
              <w:jc w:val="both"/>
              <w:rPr>
                <w:lang w:val="en-US"/>
              </w:rPr>
            </w:pPr>
            <w:r w:rsidRPr="00BE42A0">
              <w:rPr>
                <w:lang w:val="en-US"/>
              </w:rPr>
              <w:t xml:space="preserve">is exercised by multiplying the tax base </w:t>
            </w:r>
            <w:r w:rsidR="00FF6464">
              <w:rPr>
                <w:lang w:val="en-US"/>
              </w:rPr>
              <w:t>by</w:t>
            </w:r>
            <w:r w:rsidRPr="00BE42A0">
              <w:rPr>
                <w:lang w:val="en-US"/>
              </w:rPr>
              <w:t xml:space="preserve"> the tax rate with/without applying the relevant index.</w:t>
            </w:r>
          </w:p>
        </w:tc>
      </w:tr>
      <w:tr w:rsidR="00BE42A0" w:rsidRPr="00BE42A0" w14:paraId="7D980E83" w14:textId="77777777" w:rsidTr="00BE42A0">
        <w:tc>
          <w:tcPr>
            <w:tcW w:w="1668" w:type="dxa"/>
          </w:tcPr>
          <w:p w14:paraId="34CBEE1A" w14:textId="77777777" w:rsidR="00BE42A0" w:rsidRPr="00BE42A0" w:rsidRDefault="00BE42A0" w:rsidP="00BE42A0">
            <w:pPr>
              <w:spacing w:after="120"/>
              <w:rPr>
                <w:b/>
                <w:lang w:val="en-US"/>
              </w:rPr>
            </w:pPr>
            <w:r w:rsidRPr="00BE42A0">
              <w:rPr>
                <w:b/>
                <w:lang w:val="en-US"/>
              </w:rPr>
              <w:t xml:space="preserve">tax havens </w:t>
            </w:r>
            <w:r w:rsidR="00CA770B">
              <w:rPr>
                <w:b/>
                <w:lang w:val="en-US"/>
              </w:rPr>
              <w:t xml:space="preserve"> </w:t>
            </w:r>
          </w:p>
        </w:tc>
        <w:tc>
          <w:tcPr>
            <w:tcW w:w="7947" w:type="dxa"/>
          </w:tcPr>
          <w:p w14:paraId="0E7A1C30" w14:textId="77777777" w:rsidR="00BE42A0" w:rsidRPr="00BE42A0" w:rsidRDefault="00CA770B" w:rsidP="00BE42A0">
            <w:pPr>
              <w:spacing w:after="120" w:line="240" w:lineRule="atLeast"/>
              <w:jc w:val="both"/>
              <w:rPr>
                <w:lang w:val="en-US"/>
              </w:rPr>
            </w:pPr>
            <w:r>
              <w:rPr>
                <w:lang w:val="en-US"/>
              </w:rPr>
              <w:t xml:space="preserve">are </w:t>
            </w:r>
            <w:r w:rsidR="00BE42A0" w:rsidRPr="00BE42A0">
              <w:rPr>
                <w:lang w:val="en-US"/>
              </w:rPr>
              <w:t>countries or jurisdictions allowing foreign companies and individuals who simply register there to pay little or no taxes. Tax havens also guarantee not to divulge the identity of their “customers”.</w:t>
            </w:r>
          </w:p>
        </w:tc>
      </w:tr>
    </w:tbl>
    <w:p w14:paraId="4D71B6D1" w14:textId="77777777" w:rsidR="00BE42A0" w:rsidRPr="00BE42A0" w:rsidRDefault="00BE42A0" w:rsidP="00CC3AD9">
      <w:pPr>
        <w:pStyle w:val="end2"/>
      </w:pPr>
      <w:r w:rsidRPr="00BE42A0">
        <w:t>Review questions</w:t>
      </w:r>
    </w:p>
    <w:p w14:paraId="1E7F5A1A"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What is the difference between terms “levy” and “tax”?</w:t>
      </w:r>
    </w:p>
    <w:p w14:paraId="16B059AF"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Distinguish between terms “tax” and “duty”.</w:t>
      </w:r>
    </w:p>
    <w:p w14:paraId="066D57EF"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lastRenderedPageBreak/>
        <w:t>Identify the role of the taxation in Ukraine's current economic situation? Does the role of taxation differ in developed and developing countries with the emergent market?</w:t>
      </w:r>
    </w:p>
    <w:p w14:paraId="2BD318A2"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What are the functions of the tax system?</w:t>
      </w:r>
    </w:p>
    <w:p w14:paraId="5C64CA27"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What are the main elements of the tax system?</w:t>
      </w:r>
    </w:p>
    <w:p w14:paraId="21AC2910"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Classify taxes from the perspective of the object or subject matter, the determination of the amount and the purpose.</w:t>
      </w:r>
    </w:p>
    <w:p w14:paraId="64B01E0E"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Classify taxes from the perspective of the scope, the graduation of rate or the distribution of the tax burden, the tax subject or the bearers of burden.</w:t>
      </w:r>
    </w:p>
    <w:p w14:paraId="537DF7B8"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Discuss the advantages and disadvantages of progressive taxation. Do the rich have a moral obligation towards the poor?</w:t>
      </w:r>
    </w:p>
    <w:p w14:paraId="2295389E"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Describe tax system of Ukraine.</w:t>
      </w:r>
    </w:p>
    <w:p w14:paraId="51A9D905"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Critically examine changes in tax legislation of Ukraine in 201</w:t>
      </w:r>
      <w:r w:rsidR="00FF6464">
        <w:rPr>
          <w:rFonts w:ascii="Garamond" w:hAnsi="Garamond" w:cs="Garamond"/>
          <w:color w:val="auto"/>
          <w:szCs w:val="28"/>
          <w:lang w:val="en-US" w:eastAsia="ru-RU" w:bidi="ru-RU"/>
        </w:rPr>
        <w:t>4</w:t>
      </w:r>
      <w:r w:rsidRPr="00FA25B7">
        <w:rPr>
          <w:rFonts w:ascii="Garamond" w:hAnsi="Garamond" w:cs="Garamond"/>
          <w:color w:val="auto"/>
          <w:szCs w:val="28"/>
          <w:lang w:val="en-US" w:eastAsia="ru-RU" w:bidi="ru-RU"/>
        </w:rPr>
        <w:t>.</w:t>
      </w:r>
    </w:p>
    <w:p w14:paraId="7BF76390"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What are popular tools for tax reforms?</w:t>
      </w:r>
    </w:p>
    <w:p w14:paraId="5CB387D8"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Describe how can Ukraine best design and develop the tax systems?</w:t>
      </w:r>
    </w:p>
    <w:p w14:paraId="6E6F3EF6"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How do tax systems can differ across countries? For explanation</w:t>
      </w:r>
      <w:r w:rsidR="00FF6464">
        <w:rPr>
          <w:rFonts w:ascii="Garamond" w:hAnsi="Garamond" w:cs="Garamond"/>
          <w:color w:val="auto"/>
          <w:szCs w:val="28"/>
          <w:lang w:val="en-US" w:eastAsia="ru-RU" w:bidi="ru-RU"/>
        </w:rPr>
        <w:t xml:space="preserve"> of</w:t>
      </w:r>
      <w:r w:rsidRPr="00FA25B7">
        <w:rPr>
          <w:rFonts w:ascii="Garamond" w:hAnsi="Garamond" w:cs="Garamond"/>
          <w:color w:val="auto"/>
          <w:szCs w:val="28"/>
          <w:lang w:val="en-US" w:eastAsia="ru-RU" w:bidi="ru-RU"/>
        </w:rPr>
        <w:t xml:space="preserve"> your opinion</w:t>
      </w:r>
      <w:r w:rsidR="00FF6464">
        <w:rPr>
          <w:rFonts w:ascii="Garamond" w:hAnsi="Garamond" w:cs="Garamond"/>
          <w:color w:val="auto"/>
          <w:szCs w:val="28"/>
          <w:lang w:val="en-US" w:eastAsia="ru-RU" w:bidi="ru-RU"/>
        </w:rPr>
        <w:t>,</w:t>
      </w:r>
      <w:r w:rsidRPr="00FA25B7">
        <w:rPr>
          <w:rFonts w:ascii="Garamond" w:hAnsi="Garamond" w:cs="Garamond"/>
          <w:color w:val="auto"/>
          <w:szCs w:val="28"/>
          <w:lang w:val="en-US" w:eastAsia="ru-RU" w:bidi="ru-RU"/>
        </w:rPr>
        <w:t xml:space="preserve"> use main elements of the tax system. </w:t>
      </w:r>
    </w:p>
    <w:p w14:paraId="3CCF46DF"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Is there a relationship between the level of tax rates and rates of economic growth?</w:t>
      </w:r>
    </w:p>
    <w:p w14:paraId="76DEBB3D" w14:textId="77777777" w:rsidR="00BE42A0" w:rsidRPr="00FA25B7" w:rsidRDefault="00BE42A0" w:rsidP="006F749C">
      <w:pPr>
        <w:pStyle w:val="ListParagraph"/>
        <w:numPr>
          <w:ilvl w:val="0"/>
          <w:numId w:val="118"/>
        </w:numPr>
        <w:spacing w:line="312" w:lineRule="auto"/>
        <w:ind w:left="426"/>
        <w:jc w:val="both"/>
        <w:rPr>
          <w:rFonts w:ascii="Garamond" w:hAnsi="Garamond" w:cs="Garamond"/>
          <w:color w:val="auto"/>
          <w:szCs w:val="28"/>
          <w:lang w:val="en-US" w:eastAsia="ru-RU" w:bidi="ru-RU"/>
        </w:rPr>
      </w:pPr>
      <w:r w:rsidRPr="00FA25B7">
        <w:rPr>
          <w:rFonts w:ascii="Garamond" w:hAnsi="Garamond" w:cs="Garamond"/>
          <w:color w:val="auto"/>
          <w:szCs w:val="28"/>
          <w:lang w:val="en-US" w:eastAsia="ru-RU" w:bidi="ru-RU"/>
        </w:rPr>
        <w:t xml:space="preserve">Do you agree that bad tax systems can stifle economic growth; </w:t>
      </w:r>
      <w:r w:rsidR="00FF6464">
        <w:rPr>
          <w:rFonts w:ascii="Garamond" w:hAnsi="Garamond" w:cs="Garamond"/>
          <w:color w:val="auto"/>
          <w:szCs w:val="28"/>
          <w:lang w:val="en-US" w:eastAsia="ru-RU" w:bidi="ru-RU"/>
        </w:rPr>
        <w:t xml:space="preserve">it is </w:t>
      </w:r>
      <w:r w:rsidRPr="00FA25B7">
        <w:rPr>
          <w:rFonts w:ascii="Garamond" w:hAnsi="Garamond" w:cs="Garamond"/>
          <w:color w:val="auto"/>
          <w:szCs w:val="28"/>
          <w:lang w:val="en-US" w:eastAsia="ru-RU" w:bidi="ru-RU"/>
        </w:rPr>
        <w:t>unclear whether good tax systems can substantially increase economic growth?</w:t>
      </w:r>
    </w:p>
    <w:p w14:paraId="59C21862" w14:textId="77777777" w:rsidR="00BE42A0" w:rsidRPr="00BE42A0" w:rsidRDefault="00BE42A0" w:rsidP="00FA25B7">
      <w:pPr>
        <w:pStyle w:val="end2"/>
        <w:spacing w:line="240" w:lineRule="atLeast"/>
      </w:pPr>
      <w:r w:rsidRPr="00BE42A0">
        <w:t>Multiple</w:t>
      </w:r>
      <w:r w:rsidR="00C62FA2">
        <w:t xml:space="preserve"> </w:t>
      </w:r>
      <w:r w:rsidRPr="00BE42A0">
        <w:t xml:space="preserve">choice questions </w:t>
      </w:r>
    </w:p>
    <w:p w14:paraId="062E3FCC" w14:textId="77777777" w:rsidR="00BE42A0" w:rsidRPr="00FA25B7" w:rsidRDefault="00BE42A0" w:rsidP="00FA25B7">
      <w:pPr>
        <w:spacing w:line="240" w:lineRule="atLeast"/>
        <w:ind w:firstLine="357"/>
        <w:jc w:val="both"/>
        <w:rPr>
          <w:sz w:val="28"/>
          <w:szCs w:val="28"/>
          <w:lang w:val="en-US"/>
        </w:rPr>
      </w:pPr>
      <w:r w:rsidRPr="00FA25B7">
        <w:rPr>
          <w:sz w:val="28"/>
          <w:szCs w:val="28"/>
          <w:lang w:val="en-US"/>
        </w:rPr>
        <w:t>Choose the one alternative that best completes the statement or answers the question.</w:t>
      </w:r>
    </w:p>
    <w:tbl>
      <w:tblPr>
        <w:tblStyle w:val="3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64"/>
      </w:tblGrid>
      <w:tr w:rsidR="00BE42A0" w:rsidRPr="00FA25B7" w14:paraId="00148E5F" w14:textId="77777777" w:rsidTr="00B17A60">
        <w:tc>
          <w:tcPr>
            <w:tcW w:w="9564" w:type="dxa"/>
          </w:tcPr>
          <w:p w14:paraId="37522092" w14:textId="77777777" w:rsidR="00BE42A0" w:rsidRPr="00FA25B7" w:rsidRDefault="00BE42A0" w:rsidP="006F749C">
            <w:pPr>
              <w:numPr>
                <w:ilvl w:val="0"/>
                <w:numId w:val="119"/>
              </w:numPr>
              <w:spacing w:line="240" w:lineRule="atLeast"/>
              <w:ind w:left="426"/>
              <w:contextualSpacing/>
              <w:rPr>
                <w:sz w:val="28"/>
                <w:szCs w:val="28"/>
                <w:lang w:val="en-US"/>
              </w:rPr>
            </w:pPr>
            <w:r w:rsidRPr="00FA25B7">
              <w:rPr>
                <w:sz w:val="28"/>
                <w:szCs w:val="28"/>
                <w:lang w:val="en-US"/>
              </w:rPr>
              <w:t>Which two of the following are often claimed to be the advantages of an indirect system of taxation?</w:t>
            </w:r>
          </w:p>
          <w:p w14:paraId="64B84200" w14:textId="77777777" w:rsidR="00BE42A0" w:rsidRPr="00FA25B7" w:rsidRDefault="00BE42A0" w:rsidP="006F749C">
            <w:pPr>
              <w:numPr>
                <w:ilvl w:val="0"/>
                <w:numId w:val="120"/>
              </w:numPr>
              <w:shd w:val="clear" w:color="auto" w:fill="FFFFFF"/>
              <w:spacing w:line="240" w:lineRule="atLeast"/>
              <w:ind w:left="788"/>
              <w:textAlignment w:val="baseline"/>
              <w:rPr>
                <w:sz w:val="28"/>
                <w:szCs w:val="28"/>
                <w:lang w:val="en-US"/>
              </w:rPr>
            </w:pPr>
            <w:r w:rsidRPr="00FA25B7">
              <w:rPr>
                <w:sz w:val="28"/>
                <w:szCs w:val="28"/>
                <w:lang w:val="en-US"/>
              </w:rPr>
              <w:t>it helps households to avoid the ‘unemployment trap’;</w:t>
            </w:r>
          </w:p>
          <w:p w14:paraId="0BC8E65A" w14:textId="77777777" w:rsidR="00BE42A0" w:rsidRPr="00FA25B7" w:rsidRDefault="00BE42A0" w:rsidP="006F749C">
            <w:pPr>
              <w:numPr>
                <w:ilvl w:val="0"/>
                <w:numId w:val="120"/>
              </w:numPr>
              <w:shd w:val="clear" w:color="auto" w:fill="FFFFFF"/>
              <w:spacing w:line="240" w:lineRule="atLeast"/>
              <w:ind w:left="788"/>
              <w:textAlignment w:val="baseline"/>
              <w:rPr>
                <w:sz w:val="28"/>
                <w:szCs w:val="28"/>
                <w:lang w:val="en-US"/>
              </w:rPr>
            </w:pPr>
            <w:r w:rsidRPr="00FA25B7">
              <w:rPr>
                <w:sz w:val="28"/>
                <w:szCs w:val="28"/>
                <w:lang w:val="en-US"/>
              </w:rPr>
              <w:t>it can be varied more quickly and easily;</w:t>
            </w:r>
          </w:p>
          <w:p w14:paraId="3539B0D6" w14:textId="77777777" w:rsidR="00BE42A0" w:rsidRPr="00FA25B7" w:rsidRDefault="00BE42A0" w:rsidP="006F749C">
            <w:pPr>
              <w:numPr>
                <w:ilvl w:val="0"/>
                <w:numId w:val="120"/>
              </w:numPr>
              <w:shd w:val="clear" w:color="auto" w:fill="FFFFFF"/>
              <w:spacing w:line="240" w:lineRule="atLeast"/>
              <w:ind w:left="788"/>
              <w:textAlignment w:val="baseline"/>
              <w:rPr>
                <w:sz w:val="28"/>
                <w:szCs w:val="28"/>
                <w:lang w:val="en-US"/>
              </w:rPr>
            </w:pPr>
            <w:r w:rsidRPr="00FA25B7">
              <w:rPr>
                <w:sz w:val="28"/>
                <w:szCs w:val="28"/>
                <w:lang w:val="en-US"/>
              </w:rPr>
              <w:t>it imposes smaller administrative costs;</w:t>
            </w:r>
          </w:p>
          <w:p w14:paraId="0141C6AE" w14:textId="77777777" w:rsidR="00BE42A0" w:rsidRPr="00FA25B7" w:rsidRDefault="00BE42A0" w:rsidP="006F749C">
            <w:pPr>
              <w:numPr>
                <w:ilvl w:val="0"/>
                <w:numId w:val="120"/>
              </w:numPr>
              <w:shd w:val="clear" w:color="auto" w:fill="FFFFFF"/>
              <w:spacing w:line="240" w:lineRule="atLeast"/>
              <w:ind w:left="788"/>
              <w:textAlignment w:val="baseline"/>
              <w:rPr>
                <w:sz w:val="28"/>
                <w:szCs w:val="28"/>
                <w:lang w:val="en-US"/>
              </w:rPr>
            </w:pPr>
            <w:r w:rsidRPr="00FA25B7">
              <w:rPr>
                <w:sz w:val="28"/>
                <w:szCs w:val="28"/>
                <w:lang w:val="en-US"/>
              </w:rPr>
              <w:t>it decreases the tax burden as a percentage of GDP;</w:t>
            </w:r>
          </w:p>
          <w:p w14:paraId="536FB8E2" w14:textId="77777777" w:rsidR="00BE42A0" w:rsidRPr="00FA25B7" w:rsidRDefault="00BE42A0" w:rsidP="006F749C">
            <w:pPr>
              <w:numPr>
                <w:ilvl w:val="0"/>
                <w:numId w:val="120"/>
              </w:numPr>
              <w:shd w:val="clear" w:color="auto" w:fill="FFFFFF"/>
              <w:spacing w:after="120" w:line="240" w:lineRule="atLeast"/>
              <w:ind w:left="782" w:hanging="357"/>
              <w:textAlignment w:val="baseline"/>
              <w:rPr>
                <w:sz w:val="28"/>
                <w:szCs w:val="28"/>
                <w:lang w:val="en-US"/>
              </w:rPr>
            </w:pPr>
            <w:r w:rsidRPr="00FA25B7">
              <w:rPr>
                <w:sz w:val="28"/>
                <w:szCs w:val="28"/>
                <w:lang w:val="en-US"/>
              </w:rPr>
              <w:t>it stimulates government revenue when demand is elastic.</w:t>
            </w:r>
          </w:p>
        </w:tc>
      </w:tr>
      <w:tr w:rsidR="00BE42A0" w:rsidRPr="00FA25B7" w14:paraId="514B6A6A" w14:textId="77777777" w:rsidTr="00B17A60">
        <w:tc>
          <w:tcPr>
            <w:tcW w:w="9564" w:type="dxa"/>
          </w:tcPr>
          <w:p w14:paraId="2FA69067" w14:textId="77777777" w:rsidR="00BE42A0" w:rsidRPr="00FA25B7" w:rsidRDefault="00BE42A0" w:rsidP="006F749C">
            <w:pPr>
              <w:numPr>
                <w:ilvl w:val="0"/>
                <w:numId w:val="119"/>
              </w:numPr>
              <w:spacing w:line="240" w:lineRule="atLeast"/>
              <w:ind w:left="426"/>
              <w:contextualSpacing/>
              <w:rPr>
                <w:sz w:val="28"/>
                <w:szCs w:val="28"/>
                <w:lang w:val="en-US"/>
              </w:rPr>
            </w:pPr>
            <w:r w:rsidRPr="00FA25B7">
              <w:rPr>
                <w:sz w:val="28"/>
                <w:szCs w:val="28"/>
                <w:lang w:val="en-US"/>
              </w:rPr>
              <w:t xml:space="preserve">Which one of the expressions listed underneath most accurately fits the description: A tax system in which the marginal rate of taxation is higher than </w:t>
            </w:r>
            <w:r w:rsidR="00FF6464">
              <w:rPr>
                <w:sz w:val="28"/>
                <w:szCs w:val="28"/>
                <w:lang w:val="en-US"/>
              </w:rPr>
              <w:t>the average rate?</w:t>
            </w:r>
          </w:p>
          <w:p w14:paraId="23FE9A9C" w14:textId="77777777" w:rsidR="00BE42A0" w:rsidRPr="00FA25B7" w:rsidRDefault="00BE42A0" w:rsidP="006F749C">
            <w:pPr>
              <w:numPr>
                <w:ilvl w:val="0"/>
                <w:numId w:val="121"/>
              </w:numPr>
              <w:shd w:val="clear" w:color="auto" w:fill="FFFFFF"/>
              <w:spacing w:line="240" w:lineRule="atLeast"/>
              <w:ind w:left="788"/>
              <w:textAlignment w:val="baseline"/>
              <w:rPr>
                <w:sz w:val="28"/>
                <w:szCs w:val="28"/>
                <w:lang w:val="en-US"/>
              </w:rPr>
            </w:pPr>
            <w:r w:rsidRPr="00FA25B7">
              <w:rPr>
                <w:sz w:val="28"/>
                <w:szCs w:val="28"/>
                <w:lang w:val="en-US"/>
              </w:rPr>
              <w:t>a welfare maximizing tax system;</w:t>
            </w:r>
          </w:p>
          <w:p w14:paraId="797E15F4" w14:textId="77777777" w:rsidR="00BE42A0" w:rsidRPr="00FA25B7" w:rsidRDefault="00BE42A0" w:rsidP="006F749C">
            <w:pPr>
              <w:numPr>
                <w:ilvl w:val="0"/>
                <w:numId w:val="121"/>
              </w:numPr>
              <w:shd w:val="clear" w:color="auto" w:fill="FFFFFF"/>
              <w:spacing w:line="240" w:lineRule="atLeast"/>
              <w:ind w:left="788"/>
              <w:textAlignment w:val="baseline"/>
              <w:rPr>
                <w:sz w:val="28"/>
                <w:szCs w:val="28"/>
                <w:lang w:val="en-US"/>
              </w:rPr>
            </w:pPr>
            <w:r w:rsidRPr="00FA25B7">
              <w:rPr>
                <w:sz w:val="28"/>
                <w:szCs w:val="28"/>
                <w:lang w:val="en-US"/>
              </w:rPr>
              <w:lastRenderedPageBreak/>
              <w:t>a proportional tax system;</w:t>
            </w:r>
          </w:p>
          <w:p w14:paraId="751D3630" w14:textId="77777777" w:rsidR="00BE42A0" w:rsidRPr="00FA25B7" w:rsidRDefault="00BE42A0" w:rsidP="006F749C">
            <w:pPr>
              <w:numPr>
                <w:ilvl w:val="0"/>
                <w:numId w:val="121"/>
              </w:numPr>
              <w:shd w:val="clear" w:color="auto" w:fill="FFFFFF"/>
              <w:spacing w:line="240" w:lineRule="atLeast"/>
              <w:ind w:left="788"/>
              <w:textAlignment w:val="baseline"/>
              <w:rPr>
                <w:sz w:val="28"/>
                <w:szCs w:val="28"/>
                <w:lang w:val="en-US"/>
              </w:rPr>
            </w:pPr>
            <w:r w:rsidRPr="00FA25B7">
              <w:rPr>
                <w:sz w:val="28"/>
                <w:szCs w:val="28"/>
                <w:lang w:val="en-US"/>
              </w:rPr>
              <w:t>a regressive tax system;</w:t>
            </w:r>
          </w:p>
          <w:p w14:paraId="7CB4B5B6" w14:textId="77777777" w:rsidR="00BE42A0" w:rsidRPr="00FA25B7" w:rsidRDefault="00BE42A0" w:rsidP="006F749C">
            <w:pPr>
              <w:numPr>
                <w:ilvl w:val="0"/>
                <w:numId w:val="121"/>
              </w:numPr>
              <w:shd w:val="clear" w:color="auto" w:fill="FFFFFF"/>
              <w:spacing w:line="240" w:lineRule="atLeast"/>
              <w:ind w:left="788"/>
              <w:textAlignment w:val="baseline"/>
              <w:rPr>
                <w:sz w:val="28"/>
                <w:szCs w:val="28"/>
                <w:lang w:val="en-US"/>
              </w:rPr>
            </w:pPr>
            <w:r w:rsidRPr="00FA25B7">
              <w:rPr>
                <w:sz w:val="28"/>
                <w:szCs w:val="28"/>
                <w:lang w:val="en-US"/>
              </w:rPr>
              <w:t>a tax system which encourages additional effort;</w:t>
            </w:r>
          </w:p>
          <w:p w14:paraId="3BAC0512" w14:textId="77777777" w:rsidR="00BE42A0" w:rsidRPr="00FA25B7" w:rsidRDefault="00BE42A0" w:rsidP="006F749C">
            <w:pPr>
              <w:numPr>
                <w:ilvl w:val="0"/>
                <w:numId w:val="121"/>
              </w:numPr>
              <w:shd w:val="clear" w:color="auto" w:fill="FFFFFF"/>
              <w:spacing w:after="120" w:line="240" w:lineRule="atLeast"/>
              <w:ind w:left="782" w:hanging="357"/>
              <w:textAlignment w:val="baseline"/>
              <w:rPr>
                <w:sz w:val="28"/>
                <w:szCs w:val="28"/>
                <w:lang w:val="en-US"/>
              </w:rPr>
            </w:pPr>
            <w:r w:rsidRPr="00FA25B7">
              <w:rPr>
                <w:sz w:val="28"/>
                <w:szCs w:val="28"/>
                <w:lang w:val="en-US"/>
              </w:rPr>
              <w:t>a progressive tax system.</w:t>
            </w:r>
          </w:p>
        </w:tc>
      </w:tr>
      <w:tr w:rsidR="00BE42A0" w:rsidRPr="00FA25B7" w14:paraId="4F8D9198" w14:textId="77777777" w:rsidTr="00B17A60">
        <w:tc>
          <w:tcPr>
            <w:tcW w:w="9564" w:type="dxa"/>
          </w:tcPr>
          <w:p w14:paraId="553E4D68" w14:textId="77777777" w:rsidR="00BE42A0" w:rsidRPr="00FA25B7" w:rsidRDefault="00BE42A0" w:rsidP="006F749C">
            <w:pPr>
              <w:numPr>
                <w:ilvl w:val="0"/>
                <w:numId w:val="119"/>
              </w:numPr>
              <w:spacing w:line="240" w:lineRule="atLeast"/>
              <w:ind w:left="426"/>
              <w:contextualSpacing/>
              <w:rPr>
                <w:sz w:val="28"/>
                <w:szCs w:val="28"/>
                <w:lang w:val="en-US"/>
              </w:rPr>
            </w:pPr>
            <w:r w:rsidRPr="00FA25B7">
              <w:rPr>
                <w:sz w:val="28"/>
                <w:szCs w:val="28"/>
                <w:lang w:val="en-US"/>
              </w:rPr>
              <w:lastRenderedPageBreak/>
              <w:t>A progressive tax system is</w:t>
            </w:r>
            <w:r w:rsidR="00FF6464">
              <w:rPr>
                <w:sz w:val="28"/>
                <w:szCs w:val="28"/>
                <w:lang w:val="en-US"/>
              </w:rPr>
              <w:t xml:space="preserve"> described as follows</w:t>
            </w:r>
            <w:r w:rsidRPr="00FA25B7">
              <w:rPr>
                <w:sz w:val="28"/>
                <w:szCs w:val="28"/>
                <w:lang w:val="en-US"/>
              </w:rPr>
              <w:t>:</w:t>
            </w:r>
          </w:p>
          <w:p w14:paraId="522C7402" w14:textId="77777777" w:rsidR="00BE42A0" w:rsidRPr="00FA25B7" w:rsidRDefault="00BE42A0" w:rsidP="006F749C">
            <w:pPr>
              <w:numPr>
                <w:ilvl w:val="0"/>
                <w:numId w:val="122"/>
              </w:numPr>
              <w:shd w:val="clear" w:color="auto" w:fill="FFFFFF"/>
              <w:spacing w:line="240" w:lineRule="atLeast"/>
              <w:ind w:left="788"/>
              <w:textAlignment w:val="baseline"/>
              <w:rPr>
                <w:sz w:val="28"/>
                <w:szCs w:val="28"/>
                <w:lang w:val="en-US"/>
              </w:rPr>
            </w:pPr>
            <w:r w:rsidRPr="00FA25B7">
              <w:rPr>
                <w:sz w:val="28"/>
                <w:szCs w:val="28"/>
                <w:lang w:val="en-US"/>
              </w:rPr>
              <w:t>a system of voluntary payments by independent states to the collective central government;</w:t>
            </w:r>
          </w:p>
          <w:p w14:paraId="0E6B59C8" w14:textId="77777777" w:rsidR="00BE42A0" w:rsidRPr="00FA25B7" w:rsidRDefault="00BE42A0" w:rsidP="006F749C">
            <w:pPr>
              <w:numPr>
                <w:ilvl w:val="0"/>
                <w:numId w:val="122"/>
              </w:numPr>
              <w:shd w:val="clear" w:color="auto" w:fill="FFFFFF"/>
              <w:spacing w:line="240" w:lineRule="atLeast"/>
              <w:ind w:left="788"/>
              <w:textAlignment w:val="baseline"/>
              <w:rPr>
                <w:sz w:val="28"/>
                <w:szCs w:val="28"/>
                <w:lang w:val="en-US"/>
              </w:rPr>
            </w:pPr>
            <w:r w:rsidRPr="00FA25B7">
              <w:rPr>
                <w:sz w:val="28"/>
                <w:szCs w:val="28"/>
                <w:lang w:val="en-US"/>
              </w:rPr>
              <w:t>a non-regressive tax imposed upon the poor;</w:t>
            </w:r>
          </w:p>
          <w:p w14:paraId="475FF418" w14:textId="77777777" w:rsidR="00BE42A0" w:rsidRPr="00FA25B7" w:rsidRDefault="00FA25B7" w:rsidP="006F749C">
            <w:pPr>
              <w:numPr>
                <w:ilvl w:val="0"/>
                <w:numId w:val="122"/>
              </w:numPr>
              <w:shd w:val="clear" w:color="auto" w:fill="FFFFFF"/>
              <w:spacing w:line="240" w:lineRule="atLeast"/>
              <w:ind w:left="788"/>
              <w:textAlignment w:val="baseline"/>
              <w:rPr>
                <w:sz w:val="28"/>
                <w:szCs w:val="28"/>
                <w:lang w:val="en-US"/>
              </w:rPr>
            </w:pPr>
            <w:r>
              <w:rPr>
                <w:sz w:val="28"/>
                <w:szCs w:val="28"/>
                <w:lang w:val="en-US"/>
              </w:rPr>
              <w:t>all of the above;</w:t>
            </w:r>
          </w:p>
          <w:p w14:paraId="47241D87" w14:textId="77777777" w:rsidR="00BE42A0" w:rsidRPr="00FA25B7" w:rsidRDefault="00BE42A0" w:rsidP="006F749C">
            <w:pPr>
              <w:numPr>
                <w:ilvl w:val="0"/>
                <w:numId w:val="122"/>
              </w:numPr>
              <w:shd w:val="clear" w:color="auto" w:fill="FFFFFF"/>
              <w:spacing w:after="120" w:line="240" w:lineRule="atLeast"/>
              <w:ind w:left="782" w:hanging="357"/>
              <w:textAlignment w:val="baseline"/>
              <w:rPr>
                <w:sz w:val="28"/>
                <w:szCs w:val="28"/>
                <w:lang w:val="en-US"/>
              </w:rPr>
            </w:pPr>
            <w:r w:rsidRPr="00FA25B7">
              <w:rPr>
                <w:sz w:val="28"/>
                <w:szCs w:val="28"/>
                <w:lang w:val="en-US"/>
              </w:rPr>
              <w:t>none of the above</w:t>
            </w:r>
            <w:r w:rsidR="00FA25B7">
              <w:rPr>
                <w:sz w:val="28"/>
                <w:szCs w:val="28"/>
                <w:lang w:val="en-US"/>
              </w:rPr>
              <w:t>.</w:t>
            </w:r>
          </w:p>
        </w:tc>
      </w:tr>
      <w:tr w:rsidR="00BE42A0" w:rsidRPr="00FA25B7" w14:paraId="53823A93" w14:textId="77777777" w:rsidTr="00B17A60">
        <w:tc>
          <w:tcPr>
            <w:tcW w:w="9564" w:type="dxa"/>
          </w:tcPr>
          <w:p w14:paraId="05174DFD" w14:textId="77777777" w:rsidR="00BE42A0" w:rsidRPr="00FA25B7" w:rsidRDefault="00BE42A0" w:rsidP="006F749C">
            <w:pPr>
              <w:numPr>
                <w:ilvl w:val="0"/>
                <w:numId w:val="119"/>
              </w:numPr>
              <w:spacing w:line="240" w:lineRule="atLeast"/>
              <w:ind w:left="426"/>
              <w:contextualSpacing/>
              <w:rPr>
                <w:sz w:val="28"/>
                <w:szCs w:val="28"/>
                <w:lang w:val="en-US"/>
              </w:rPr>
            </w:pPr>
            <w:r w:rsidRPr="00FA25B7">
              <w:rPr>
                <w:sz w:val="28"/>
                <w:szCs w:val="28"/>
                <w:lang w:val="en-US"/>
              </w:rPr>
              <w:t xml:space="preserve">When the tax base is $10,000, the tax liability is $3,000. When the tax base is $100,000, the tax liability is $40,000. This tax has a </w:t>
            </w:r>
            <w:r w:rsidR="00FF6464">
              <w:rPr>
                <w:sz w:val="28"/>
                <w:szCs w:val="28"/>
                <w:lang w:val="en-US"/>
              </w:rPr>
              <w:t xml:space="preserve">following </w:t>
            </w:r>
            <w:r w:rsidRPr="00FA25B7">
              <w:rPr>
                <w:sz w:val="28"/>
                <w:szCs w:val="28"/>
                <w:lang w:val="en-US"/>
              </w:rPr>
              <w:t>rate structure:</w:t>
            </w:r>
            <w:r w:rsidRPr="00FA25B7">
              <w:rPr>
                <w:sz w:val="28"/>
                <w:szCs w:val="28"/>
                <w:lang w:val="en-US"/>
              </w:rPr>
              <w:tab/>
            </w:r>
          </w:p>
          <w:p w14:paraId="6A178740" w14:textId="77777777" w:rsidR="00BE42A0" w:rsidRPr="00FA25B7" w:rsidRDefault="00BE42A0" w:rsidP="006F749C">
            <w:pPr>
              <w:numPr>
                <w:ilvl w:val="0"/>
                <w:numId w:val="123"/>
              </w:numPr>
              <w:shd w:val="clear" w:color="auto" w:fill="FFFFFF"/>
              <w:spacing w:line="240" w:lineRule="atLeast"/>
              <w:ind w:left="782" w:hanging="357"/>
              <w:textAlignment w:val="baseline"/>
              <w:rPr>
                <w:sz w:val="28"/>
                <w:szCs w:val="28"/>
                <w:lang w:val="en-US"/>
              </w:rPr>
            </w:pPr>
            <w:r w:rsidRPr="00FA25B7">
              <w:rPr>
                <w:sz w:val="28"/>
                <w:szCs w:val="28"/>
                <w:lang w:val="en-US"/>
              </w:rPr>
              <w:t>regressive;</w:t>
            </w:r>
            <w:r w:rsidRPr="00FA25B7">
              <w:rPr>
                <w:sz w:val="28"/>
                <w:szCs w:val="28"/>
                <w:lang w:val="en-US"/>
              </w:rPr>
              <w:tab/>
            </w:r>
            <w:r w:rsidRPr="00FA25B7">
              <w:rPr>
                <w:sz w:val="28"/>
                <w:szCs w:val="28"/>
                <w:lang w:val="en-US"/>
              </w:rPr>
              <w:tab/>
            </w:r>
          </w:p>
          <w:p w14:paraId="23AC7FC3" w14:textId="77777777" w:rsidR="00BE42A0" w:rsidRPr="00FA25B7" w:rsidRDefault="00BE42A0" w:rsidP="006F749C">
            <w:pPr>
              <w:numPr>
                <w:ilvl w:val="0"/>
                <w:numId w:val="123"/>
              </w:numPr>
              <w:shd w:val="clear" w:color="auto" w:fill="FFFFFF"/>
              <w:spacing w:line="240" w:lineRule="atLeast"/>
              <w:ind w:left="782" w:hanging="357"/>
              <w:textAlignment w:val="baseline"/>
              <w:rPr>
                <w:sz w:val="28"/>
                <w:szCs w:val="28"/>
                <w:lang w:val="en-US"/>
              </w:rPr>
            </w:pPr>
            <w:r w:rsidRPr="00FA25B7">
              <w:rPr>
                <w:sz w:val="28"/>
                <w:szCs w:val="28"/>
                <w:lang w:val="en-US"/>
              </w:rPr>
              <w:t>progressive;</w:t>
            </w:r>
            <w:r w:rsidRPr="00FA25B7">
              <w:rPr>
                <w:sz w:val="28"/>
                <w:szCs w:val="28"/>
                <w:lang w:val="en-US"/>
              </w:rPr>
              <w:tab/>
            </w:r>
          </w:p>
          <w:p w14:paraId="2BAE29B1" w14:textId="77777777" w:rsidR="00BE42A0" w:rsidRPr="00FA25B7" w:rsidRDefault="00BE42A0" w:rsidP="006F749C">
            <w:pPr>
              <w:numPr>
                <w:ilvl w:val="0"/>
                <w:numId w:val="123"/>
              </w:numPr>
              <w:shd w:val="clear" w:color="auto" w:fill="FFFFFF"/>
              <w:spacing w:after="120" w:line="240" w:lineRule="atLeast"/>
              <w:ind w:left="782" w:hanging="357"/>
              <w:textAlignment w:val="baseline"/>
              <w:rPr>
                <w:sz w:val="28"/>
                <w:szCs w:val="28"/>
                <w:lang w:val="en-US"/>
              </w:rPr>
            </w:pPr>
            <w:r w:rsidRPr="00FA25B7">
              <w:rPr>
                <w:sz w:val="28"/>
                <w:szCs w:val="28"/>
                <w:lang w:val="en-US"/>
              </w:rPr>
              <w:t>proportional.</w:t>
            </w:r>
          </w:p>
        </w:tc>
      </w:tr>
      <w:tr w:rsidR="00BE42A0" w:rsidRPr="00FA25B7" w14:paraId="7CFF32FB" w14:textId="77777777" w:rsidTr="00B17A60">
        <w:tc>
          <w:tcPr>
            <w:tcW w:w="9564" w:type="dxa"/>
          </w:tcPr>
          <w:p w14:paraId="460DF9FC" w14:textId="77777777" w:rsidR="00BE42A0" w:rsidRPr="00FA25B7" w:rsidRDefault="00BE42A0" w:rsidP="006F749C">
            <w:pPr>
              <w:numPr>
                <w:ilvl w:val="0"/>
                <w:numId w:val="119"/>
              </w:numPr>
              <w:spacing w:line="240" w:lineRule="atLeast"/>
              <w:ind w:left="426"/>
              <w:contextualSpacing/>
              <w:rPr>
                <w:sz w:val="28"/>
                <w:szCs w:val="28"/>
                <w:lang w:val="en-US"/>
              </w:rPr>
            </w:pPr>
            <w:r w:rsidRPr="00FA25B7">
              <w:rPr>
                <w:sz w:val="28"/>
                <w:szCs w:val="28"/>
                <w:lang w:val="en-US"/>
              </w:rPr>
              <w:t xml:space="preserve">In a tax compliant society, which of the following </w:t>
            </w:r>
            <w:r w:rsidR="00FF6464">
              <w:rPr>
                <w:sz w:val="28"/>
                <w:szCs w:val="28"/>
                <w:lang w:val="en-US"/>
              </w:rPr>
              <w:t xml:space="preserve">actions </w:t>
            </w:r>
            <w:r w:rsidRPr="00FA25B7">
              <w:rPr>
                <w:sz w:val="28"/>
                <w:szCs w:val="28"/>
                <w:lang w:val="en-US"/>
              </w:rPr>
              <w:t>is usually illegal?</w:t>
            </w:r>
          </w:p>
          <w:p w14:paraId="213C178F" w14:textId="77777777" w:rsidR="00BE42A0" w:rsidRPr="00FA25B7" w:rsidRDefault="00BE42A0" w:rsidP="006F749C">
            <w:pPr>
              <w:numPr>
                <w:ilvl w:val="0"/>
                <w:numId w:val="124"/>
              </w:numPr>
              <w:shd w:val="clear" w:color="auto" w:fill="FFFFFF"/>
              <w:spacing w:line="240" w:lineRule="atLeast"/>
              <w:ind w:left="782" w:hanging="357"/>
              <w:textAlignment w:val="baseline"/>
              <w:rPr>
                <w:sz w:val="28"/>
                <w:szCs w:val="28"/>
                <w:lang w:val="en-US"/>
              </w:rPr>
            </w:pPr>
            <w:r w:rsidRPr="00FA25B7">
              <w:rPr>
                <w:sz w:val="28"/>
                <w:szCs w:val="28"/>
                <w:lang w:val="en-US"/>
              </w:rPr>
              <w:t>tax avoidance;</w:t>
            </w:r>
          </w:p>
          <w:p w14:paraId="196088B7" w14:textId="77777777" w:rsidR="00BE42A0" w:rsidRPr="00FA25B7" w:rsidRDefault="00BE42A0" w:rsidP="006F749C">
            <w:pPr>
              <w:numPr>
                <w:ilvl w:val="0"/>
                <w:numId w:val="124"/>
              </w:numPr>
              <w:shd w:val="clear" w:color="auto" w:fill="FFFFFF"/>
              <w:spacing w:line="240" w:lineRule="atLeast"/>
              <w:ind w:left="782" w:hanging="357"/>
              <w:textAlignment w:val="baseline"/>
              <w:rPr>
                <w:sz w:val="28"/>
                <w:szCs w:val="28"/>
                <w:lang w:val="en-US"/>
              </w:rPr>
            </w:pPr>
            <w:r w:rsidRPr="00FA25B7">
              <w:rPr>
                <w:sz w:val="28"/>
                <w:szCs w:val="28"/>
                <w:lang w:val="en-US"/>
              </w:rPr>
              <w:t>tax planning;</w:t>
            </w:r>
          </w:p>
          <w:p w14:paraId="27699E10" w14:textId="77777777" w:rsidR="00BE42A0" w:rsidRPr="00FA25B7" w:rsidRDefault="00BE42A0" w:rsidP="006F749C">
            <w:pPr>
              <w:numPr>
                <w:ilvl w:val="0"/>
                <w:numId w:val="124"/>
              </w:numPr>
              <w:shd w:val="clear" w:color="auto" w:fill="FFFFFF"/>
              <w:spacing w:line="240" w:lineRule="atLeast"/>
              <w:ind w:left="782" w:hanging="357"/>
              <w:textAlignment w:val="baseline"/>
              <w:rPr>
                <w:sz w:val="28"/>
                <w:szCs w:val="28"/>
                <w:lang w:val="en-US"/>
              </w:rPr>
            </w:pPr>
            <w:r w:rsidRPr="00FA25B7">
              <w:rPr>
                <w:sz w:val="28"/>
                <w:szCs w:val="28"/>
                <w:lang w:val="en-US"/>
              </w:rPr>
              <w:t>tax evasion;</w:t>
            </w:r>
          </w:p>
          <w:p w14:paraId="19E18D87" w14:textId="77777777" w:rsidR="00BE42A0" w:rsidRPr="00FA25B7" w:rsidRDefault="00BE42A0" w:rsidP="006F749C">
            <w:pPr>
              <w:numPr>
                <w:ilvl w:val="0"/>
                <w:numId w:val="124"/>
              </w:numPr>
              <w:shd w:val="clear" w:color="auto" w:fill="FFFFFF"/>
              <w:spacing w:after="120" w:line="240" w:lineRule="atLeast"/>
              <w:ind w:left="782" w:hanging="357"/>
              <w:textAlignment w:val="baseline"/>
              <w:rPr>
                <w:sz w:val="28"/>
                <w:szCs w:val="28"/>
                <w:lang w:val="en-US"/>
              </w:rPr>
            </w:pPr>
            <w:r w:rsidRPr="00FA25B7">
              <w:rPr>
                <w:sz w:val="28"/>
                <w:szCs w:val="28"/>
                <w:lang w:val="en-US"/>
              </w:rPr>
              <w:t>betting.</w:t>
            </w:r>
          </w:p>
        </w:tc>
      </w:tr>
      <w:tr w:rsidR="00BE42A0" w:rsidRPr="00FA25B7" w14:paraId="4AFAA33C" w14:textId="77777777" w:rsidTr="00B17A60">
        <w:tc>
          <w:tcPr>
            <w:tcW w:w="9564" w:type="dxa"/>
          </w:tcPr>
          <w:p w14:paraId="6553B733" w14:textId="77777777" w:rsidR="00BE42A0" w:rsidRPr="00FA25B7" w:rsidRDefault="00FF6464" w:rsidP="006F749C">
            <w:pPr>
              <w:numPr>
                <w:ilvl w:val="0"/>
                <w:numId w:val="119"/>
              </w:numPr>
              <w:spacing w:line="240" w:lineRule="atLeast"/>
              <w:ind w:left="426"/>
              <w:contextualSpacing/>
              <w:rPr>
                <w:sz w:val="28"/>
                <w:szCs w:val="28"/>
                <w:lang w:val="en-US"/>
              </w:rPr>
            </w:pPr>
            <w:r>
              <w:rPr>
                <w:sz w:val="28"/>
                <w:szCs w:val="28"/>
                <w:lang w:val="en-US"/>
              </w:rPr>
              <w:t>The VAT may be defined as follows</w:t>
            </w:r>
            <w:r w:rsidR="00BE42A0" w:rsidRPr="00FA25B7">
              <w:rPr>
                <w:sz w:val="28"/>
                <w:szCs w:val="28"/>
                <w:lang w:val="en-US"/>
              </w:rPr>
              <w:t>:</w:t>
            </w:r>
          </w:p>
          <w:p w14:paraId="57A80EA5" w14:textId="77777777" w:rsidR="00BE42A0" w:rsidRPr="00FA25B7" w:rsidRDefault="00BE42A0" w:rsidP="006F749C">
            <w:pPr>
              <w:numPr>
                <w:ilvl w:val="0"/>
                <w:numId w:val="125"/>
              </w:numPr>
              <w:shd w:val="clear" w:color="auto" w:fill="FFFFFF"/>
              <w:spacing w:line="240" w:lineRule="atLeast"/>
              <w:ind w:left="782" w:hanging="357"/>
              <w:textAlignment w:val="baseline"/>
              <w:rPr>
                <w:sz w:val="28"/>
                <w:szCs w:val="28"/>
                <w:lang w:val="en-US"/>
              </w:rPr>
            </w:pPr>
            <w:r w:rsidRPr="00FA25B7">
              <w:rPr>
                <w:sz w:val="28"/>
                <w:szCs w:val="28"/>
                <w:lang w:val="en-US"/>
              </w:rPr>
              <w:t>a type of income tax popular in Europe and Canada;</w:t>
            </w:r>
          </w:p>
          <w:p w14:paraId="6546B817" w14:textId="77777777" w:rsidR="00BE42A0" w:rsidRPr="00FA25B7" w:rsidRDefault="00BE42A0" w:rsidP="006F749C">
            <w:pPr>
              <w:numPr>
                <w:ilvl w:val="0"/>
                <w:numId w:val="125"/>
              </w:numPr>
              <w:shd w:val="clear" w:color="auto" w:fill="FFFFFF"/>
              <w:spacing w:line="240" w:lineRule="atLeast"/>
              <w:ind w:left="782" w:hanging="357"/>
              <w:textAlignment w:val="baseline"/>
              <w:rPr>
                <w:sz w:val="28"/>
                <w:szCs w:val="28"/>
                <w:lang w:val="en-US"/>
              </w:rPr>
            </w:pPr>
            <w:r w:rsidRPr="00FA25B7">
              <w:rPr>
                <w:sz w:val="28"/>
                <w:szCs w:val="28"/>
                <w:lang w:val="en-US"/>
              </w:rPr>
              <w:t>levied at each stage of production on the value added by the producer;</w:t>
            </w:r>
          </w:p>
          <w:p w14:paraId="651136A0" w14:textId="77777777" w:rsidR="00BE42A0" w:rsidRPr="00FA25B7" w:rsidRDefault="00BE42A0" w:rsidP="006F749C">
            <w:pPr>
              <w:numPr>
                <w:ilvl w:val="0"/>
                <w:numId w:val="125"/>
              </w:numPr>
              <w:shd w:val="clear" w:color="auto" w:fill="FFFFFF"/>
              <w:spacing w:line="240" w:lineRule="atLeast"/>
              <w:ind w:left="782" w:hanging="357"/>
              <w:textAlignment w:val="baseline"/>
              <w:rPr>
                <w:sz w:val="28"/>
                <w:szCs w:val="28"/>
                <w:lang w:val="en-US"/>
              </w:rPr>
            </w:pPr>
            <w:r w:rsidRPr="00FA25B7">
              <w:rPr>
                <w:sz w:val="28"/>
                <w:szCs w:val="28"/>
                <w:lang w:val="en-US"/>
              </w:rPr>
              <w:t>the Federal sales tax collected in the United States;</w:t>
            </w:r>
          </w:p>
          <w:p w14:paraId="60698405" w14:textId="77777777" w:rsidR="00BE42A0" w:rsidRPr="00FA25B7" w:rsidRDefault="00BE42A0" w:rsidP="006F749C">
            <w:pPr>
              <w:numPr>
                <w:ilvl w:val="0"/>
                <w:numId w:val="125"/>
              </w:numPr>
              <w:shd w:val="clear" w:color="auto" w:fill="FFFFFF"/>
              <w:spacing w:after="120" w:line="240" w:lineRule="atLeast"/>
              <w:ind w:left="782" w:hanging="357"/>
              <w:textAlignment w:val="baseline"/>
              <w:rPr>
                <w:sz w:val="28"/>
                <w:szCs w:val="28"/>
                <w:lang w:val="en-US"/>
              </w:rPr>
            </w:pPr>
            <w:r w:rsidRPr="00FA25B7">
              <w:rPr>
                <w:sz w:val="28"/>
                <w:szCs w:val="28"/>
                <w:lang w:val="en-US"/>
              </w:rPr>
              <w:t>a minor revenue generator for most of the countries employing it.</w:t>
            </w:r>
          </w:p>
        </w:tc>
      </w:tr>
      <w:tr w:rsidR="00BE42A0" w:rsidRPr="00FA25B7" w14:paraId="01038A24" w14:textId="77777777" w:rsidTr="00B17A60">
        <w:tc>
          <w:tcPr>
            <w:tcW w:w="9564" w:type="dxa"/>
          </w:tcPr>
          <w:p w14:paraId="0C551276" w14:textId="77777777" w:rsidR="00BE42A0" w:rsidRPr="00FA25B7" w:rsidRDefault="00BE42A0" w:rsidP="006F749C">
            <w:pPr>
              <w:numPr>
                <w:ilvl w:val="0"/>
                <w:numId w:val="119"/>
              </w:numPr>
              <w:shd w:val="clear" w:color="auto" w:fill="FFFFFF"/>
              <w:spacing w:after="120" w:line="240" w:lineRule="atLeast"/>
              <w:ind w:left="426"/>
              <w:contextualSpacing/>
              <w:textAlignment w:val="baseline"/>
              <w:rPr>
                <w:sz w:val="28"/>
                <w:szCs w:val="28"/>
                <w:lang w:val="en-US"/>
              </w:rPr>
            </w:pPr>
            <w:r w:rsidRPr="00FA25B7">
              <w:rPr>
                <w:sz w:val="28"/>
                <w:szCs w:val="28"/>
                <w:lang w:val="en-US"/>
              </w:rPr>
              <w:t>The following are the objectives of taxation except:</w:t>
            </w:r>
            <w:r w:rsidRPr="00FA25B7">
              <w:rPr>
                <w:sz w:val="28"/>
                <w:szCs w:val="28"/>
                <w:lang w:val="en-US"/>
              </w:rPr>
              <w:tab/>
            </w:r>
            <w:r w:rsidRPr="00FA25B7">
              <w:rPr>
                <w:sz w:val="28"/>
                <w:szCs w:val="28"/>
                <w:lang w:val="en-US"/>
              </w:rPr>
              <w:tab/>
            </w:r>
            <w:r w:rsidRPr="00FA25B7">
              <w:rPr>
                <w:sz w:val="28"/>
                <w:szCs w:val="28"/>
                <w:lang w:val="en-US"/>
              </w:rPr>
              <w:tab/>
            </w:r>
            <w:r w:rsidRPr="00FA25B7">
              <w:rPr>
                <w:sz w:val="28"/>
                <w:szCs w:val="28"/>
                <w:lang w:val="en-US"/>
              </w:rPr>
              <w:tab/>
            </w:r>
          </w:p>
          <w:p w14:paraId="36B1EE4B" w14:textId="77777777" w:rsidR="00BE42A0" w:rsidRPr="00FA25B7" w:rsidRDefault="00BE42A0" w:rsidP="006F749C">
            <w:pPr>
              <w:numPr>
                <w:ilvl w:val="0"/>
                <w:numId w:val="126"/>
              </w:numPr>
              <w:shd w:val="clear" w:color="auto" w:fill="FFFFFF"/>
              <w:spacing w:line="240" w:lineRule="atLeast"/>
              <w:ind w:left="782" w:hanging="357"/>
              <w:textAlignment w:val="baseline"/>
              <w:rPr>
                <w:sz w:val="28"/>
                <w:szCs w:val="28"/>
                <w:lang w:val="en-US"/>
              </w:rPr>
            </w:pPr>
            <w:r w:rsidRPr="00FA25B7">
              <w:rPr>
                <w:sz w:val="28"/>
                <w:szCs w:val="28"/>
                <w:lang w:val="en-US"/>
              </w:rPr>
              <w:t>to promote healthy competition among different tiers of government;</w:t>
            </w:r>
          </w:p>
          <w:p w14:paraId="630F7A47" w14:textId="77777777" w:rsidR="00BE42A0" w:rsidRPr="00FA25B7" w:rsidRDefault="00BE42A0" w:rsidP="006F749C">
            <w:pPr>
              <w:numPr>
                <w:ilvl w:val="0"/>
                <w:numId w:val="126"/>
              </w:numPr>
              <w:shd w:val="clear" w:color="auto" w:fill="FFFFFF"/>
              <w:spacing w:line="240" w:lineRule="atLeast"/>
              <w:ind w:left="782" w:hanging="357"/>
              <w:textAlignment w:val="baseline"/>
              <w:rPr>
                <w:sz w:val="28"/>
                <w:szCs w:val="28"/>
                <w:lang w:val="en-US"/>
              </w:rPr>
            </w:pPr>
            <w:r w:rsidRPr="00FA25B7">
              <w:rPr>
                <w:sz w:val="28"/>
                <w:szCs w:val="28"/>
                <w:lang w:val="en-US"/>
              </w:rPr>
              <w:t xml:space="preserve">for revenue generation to meet the needs of the government; </w:t>
            </w:r>
          </w:p>
          <w:p w14:paraId="63D2D71F" w14:textId="77777777" w:rsidR="00BE42A0" w:rsidRPr="00FA25B7" w:rsidRDefault="00BE42A0" w:rsidP="006F749C">
            <w:pPr>
              <w:numPr>
                <w:ilvl w:val="0"/>
                <w:numId w:val="126"/>
              </w:numPr>
              <w:shd w:val="clear" w:color="auto" w:fill="FFFFFF"/>
              <w:spacing w:line="240" w:lineRule="atLeast"/>
              <w:ind w:left="782" w:hanging="357"/>
              <w:textAlignment w:val="baseline"/>
              <w:rPr>
                <w:sz w:val="28"/>
                <w:szCs w:val="28"/>
                <w:lang w:val="en-US"/>
              </w:rPr>
            </w:pPr>
            <w:r w:rsidRPr="00FA25B7">
              <w:rPr>
                <w:sz w:val="28"/>
                <w:szCs w:val="28"/>
                <w:lang w:val="en-US"/>
              </w:rPr>
              <w:t>to provide the fiscal tool for stimulating economic growth and development;</w:t>
            </w:r>
          </w:p>
          <w:p w14:paraId="2A93BE98" w14:textId="77777777" w:rsidR="00BE42A0" w:rsidRPr="00FA25B7" w:rsidRDefault="00BE42A0" w:rsidP="006F749C">
            <w:pPr>
              <w:numPr>
                <w:ilvl w:val="0"/>
                <w:numId w:val="126"/>
              </w:numPr>
              <w:shd w:val="clear" w:color="auto" w:fill="FFFFFF"/>
              <w:spacing w:after="120" w:line="240" w:lineRule="atLeast"/>
              <w:ind w:left="782" w:hanging="357"/>
              <w:textAlignment w:val="baseline"/>
              <w:rPr>
                <w:sz w:val="28"/>
                <w:szCs w:val="28"/>
                <w:lang w:val="en-US"/>
              </w:rPr>
            </w:pPr>
            <w:r w:rsidRPr="00FA25B7">
              <w:rPr>
                <w:sz w:val="28"/>
                <w:szCs w:val="28"/>
                <w:lang w:val="en-US"/>
              </w:rPr>
              <w:t>to redistribute income wealth in order to reduce inequality.</w:t>
            </w:r>
          </w:p>
        </w:tc>
      </w:tr>
      <w:tr w:rsidR="00BE42A0" w:rsidRPr="00FA25B7" w14:paraId="4D4E2601" w14:textId="77777777" w:rsidTr="00B17A60">
        <w:tc>
          <w:tcPr>
            <w:tcW w:w="9564" w:type="dxa"/>
          </w:tcPr>
          <w:p w14:paraId="7FD72E0A" w14:textId="77777777" w:rsidR="00BE42A0" w:rsidRPr="00FA25B7" w:rsidRDefault="00BE42A0" w:rsidP="006F749C">
            <w:pPr>
              <w:numPr>
                <w:ilvl w:val="0"/>
                <w:numId w:val="119"/>
              </w:numPr>
              <w:shd w:val="clear" w:color="auto" w:fill="FFFFFF"/>
              <w:spacing w:after="120" w:line="240" w:lineRule="atLeast"/>
              <w:ind w:left="426"/>
              <w:contextualSpacing/>
              <w:textAlignment w:val="baseline"/>
              <w:rPr>
                <w:sz w:val="28"/>
                <w:szCs w:val="28"/>
                <w:lang w:val="en-US"/>
              </w:rPr>
            </w:pPr>
            <w:r w:rsidRPr="00FA25B7">
              <w:rPr>
                <w:sz w:val="28"/>
                <w:szCs w:val="28"/>
                <w:lang w:val="en-US"/>
              </w:rPr>
              <w:t>The following are the examples of indirect taxes except:</w:t>
            </w:r>
          </w:p>
          <w:p w14:paraId="7D0E20DA" w14:textId="77777777" w:rsidR="00BE42A0" w:rsidRPr="00FA25B7" w:rsidRDefault="00BE42A0" w:rsidP="006F749C">
            <w:pPr>
              <w:numPr>
                <w:ilvl w:val="0"/>
                <w:numId w:val="127"/>
              </w:numPr>
              <w:shd w:val="clear" w:color="auto" w:fill="FFFFFF"/>
              <w:spacing w:line="240" w:lineRule="atLeast"/>
              <w:ind w:left="782" w:hanging="357"/>
              <w:textAlignment w:val="baseline"/>
              <w:rPr>
                <w:sz w:val="28"/>
                <w:szCs w:val="28"/>
                <w:lang w:val="en-US"/>
              </w:rPr>
            </w:pPr>
            <w:r w:rsidRPr="00FA25B7">
              <w:rPr>
                <w:sz w:val="28"/>
                <w:szCs w:val="28"/>
                <w:lang w:val="en-US"/>
              </w:rPr>
              <w:t>import duties;</w:t>
            </w:r>
          </w:p>
          <w:p w14:paraId="220F5417" w14:textId="77777777" w:rsidR="00BE42A0" w:rsidRPr="00FA25B7" w:rsidRDefault="00BE42A0" w:rsidP="006F749C">
            <w:pPr>
              <w:numPr>
                <w:ilvl w:val="0"/>
                <w:numId w:val="127"/>
              </w:numPr>
              <w:shd w:val="clear" w:color="auto" w:fill="FFFFFF"/>
              <w:spacing w:line="240" w:lineRule="atLeast"/>
              <w:ind w:left="782" w:hanging="357"/>
              <w:textAlignment w:val="baseline"/>
              <w:rPr>
                <w:sz w:val="28"/>
                <w:szCs w:val="28"/>
                <w:lang w:val="en-US"/>
              </w:rPr>
            </w:pPr>
            <w:r w:rsidRPr="00FA25B7">
              <w:rPr>
                <w:sz w:val="28"/>
                <w:szCs w:val="28"/>
                <w:lang w:val="en-US"/>
              </w:rPr>
              <w:t>value added tax;</w:t>
            </w:r>
          </w:p>
          <w:p w14:paraId="4119CACD" w14:textId="77777777" w:rsidR="00BE42A0" w:rsidRPr="00FA25B7" w:rsidRDefault="00BE42A0" w:rsidP="006F749C">
            <w:pPr>
              <w:numPr>
                <w:ilvl w:val="0"/>
                <w:numId w:val="127"/>
              </w:numPr>
              <w:shd w:val="clear" w:color="auto" w:fill="FFFFFF"/>
              <w:spacing w:line="240" w:lineRule="atLeast"/>
              <w:ind w:left="782" w:hanging="357"/>
              <w:textAlignment w:val="baseline"/>
              <w:rPr>
                <w:sz w:val="28"/>
                <w:szCs w:val="28"/>
                <w:lang w:val="en-US"/>
              </w:rPr>
            </w:pPr>
            <w:r w:rsidRPr="00FA25B7">
              <w:rPr>
                <w:sz w:val="28"/>
                <w:szCs w:val="28"/>
                <w:lang w:val="en-US"/>
              </w:rPr>
              <w:t>excise duties;</w:t>
            </w:r>
          </w:p>
          <w:p w14:paraId="1585E926" w14:textId="77777777" w:rsidR="00BE42A0" w:rsidRPr="00FA25B7" w:rsidRDefault="00FF6464" w:rsidP="006F749C">
            <w:pPr>
              <w:numPr>
                <w:ilvl w:val="0"/>
                <w:numId w:val="127"/>
              </w:numPr>
              <w:shd w:val="clear" w:color="auto" w:fill="FFFFFF"/>
              <w:spacing w:after="120" w:line="240" w:lineRule="atLeast"/>
              <w:ind w:left="782" w:hanging="357"/>
              <w:textAlignment w:val="baseline"/>
              <w:rPr>
                <w:sz w:val="28"/>
                <w:szCs w:val="28"/>
                <w:lang w:val="en-US"/>
              </w:rPr>
            </w:pPr>
            <w:r>
              <w:rPr>
                <w:sz w:val="28"/>
                <w:szCs w:val="28"/>
                <w:lang w:val="en-US"/>
              </w:rPr>
              <w:t>c</w:t>
            </w:r>
            <w:r w:rsidR="00BE42A0" w:rsidRPr="00FA25B7">
              <w:rPr>
                <w:sz w:val="28"/>
                <w:szCs w:val="28"/>
                <w:lang w:val="en-US"/>
              </w:rPr>
              <w:t xml:space="preserve">orporate profit tax. </w:t>
            </w:r>
            <w:r w:rsidR="00BE42A0" w:rsidRPr="00FA25B7">
              <w:rPr>
                <w:sz w:val="28"/>
                <w:szCs w:val="28"/>
                <w:lang w:val="en-US"/>
              </w:rPr>
              <w:tab/>
            </w:r>
          </w:p>
        </w:tc>
      </w:tr>
      <w:tr w:rsidR="00BE42A0" w:rsidRPr="00FA25B7" w14:paraId="5D7194C0" w14:textId="77777777" w:rsidTr="008A5AA7">
        <w:tc>
          <w:tcPr>
            <w:tcW w:w="9564" w:type="dxa"/>
          </w:tcPr>
          <w:p w14:paraId="4A14CDFA" w14:textId="77777777" w:rsidR="00BE42A0" w:rsidRPr="00FA25B7" w:rsidRDefault="00BE42A0" w:rsidP="006F749C">
            <w:pPr>
              <w:numPr>
                <w:ilvl w:val="0"/>
                <w:numId w:val="119"/>
              </w:numPr>
              <w:shd w:val="clear" w:color="auto" w:fill="FFFFFF"/>
              <w:spacing w:after="120" w:line="240" w:lineRule="atLeast"/>
              <w:ind w:left="426"/>
              <w:contextualSpacing/>
              <w:textAlignment w:val="baseline"/>
              <w:rPr>
                <w:sz w:val="28"/>
                <w:szCs w:val="28"/>
                <w:lang w:val="en-US"/>
              </w:rPr>
            </w:pPr>
            <w:r w:rsidRPr="00FA25B7">
              <w:rPr>
                <w:sz w:val="28"/>
                <w:szCs w:val="28"/>
                <w:lang w:val="en-US"/>
              </w:rPr>
              <w:t>Tax system includes the following:</w:t>
            </w:r>
          </w:p>
          <w:p w14:paraId="1B2ED2F4" w14:textId="77777777" w:rsidR="00BE42A0" w:rsidRPr="00FA25B7" w:rsidRDefault="00BE42A0" w:rsidP="006F749C">
            <w:pPr>
              <w:numPr>
                <w:ilvl w:val="0"/>
                <w:numId w:val="128"/>
              </w:numPr>
              <w:shd w:val="clear" w:color="auto" w:fill="FFFFFF"/>
              <w:spacing w:line="240" w:lineRule="atLeast"/>
              <w:ind w:left="782" w:hanging="357"/>
              <w:textAlignment w:val="baseline"/>
              <w:rPr>
                <w:sz w:val="28"/>
                <w:szCs w:val="28"/>
                <w:lang w:val="en-US"/>
              </w:rPr>
            </w:pPr>
            <w:r w:rsidRPr="00FA25B7">
              <w:rPr>
                <w:sz w:val="28"/>
                <w:szCs w:val="28"/>
                <w:lang w:val="en-US"/>
              </w:rPr>
              <w:t>tax law only;</w:t>
            </w:r>
          </w:p>
          <w:p w14:paraId="6E5F9A07" w14:textId="77777777" w:rsidR="00BE42A0" w:rsidRPr="00FA25B7" w:rsidRDefault="00BE42A0" w:rsidP="006F749C">
            <w:pPr>
              <w:numPr>
                <w:ilvl w:val="0"/>
                <w:numId w:val="128"/>
              </w:numPr>
              <w:shd w:val="clear" w:color="auto" w:fill="FFFFFF"/>
              <w:spacing w:line="240" w:lineRule="atLeast"/>
              <w:ind w:left="782" w:hanging="357"/>
              <w:textAlignment w:val="baseline"/>
              <w:rPr>
                <w:sz w:val="28"/>
                <w:szCs w:val="28"/>
                <w:lang w:val="en-US"/>
              </w:rPr>
            </w:pPr>
            <w:r w:rsidRPr="00FA25B7">
              <w:rPr>
                <w:sz w:val="28"/>
                <w:szCs w:val="28"/>
                <w:lang w:val="en-US"/>
              </w:rPr>
              <w:t>tax administration only;</w:t>
            </w:r>
          </w:p>
          <w:p w14:paraId="64A4F201" w14:textId="77777777" w:rsidR="00BE42A0" w:rsidRPr="00FA25B7" w:rsidRDefault="00BE42A0" w:rsidP="006F749C">
            <w:pPr>
              <w:numPr>
                <w:ilvl w:val="0"/>
                <w:numId w:val="128"/>
              </w:numPr>
              <w:shd w:val="clear" w:color="auto" w:fill="FFFFFF"/>
              <w:spacing w:line="240" w:lineRule="atLeast"/>
              <w:ind w:left="782" w:hanging="357"/>
              <w:textAlignment w:val="baseline"/>
              <w:rPr>
                <w:sz w:val="28"/>
                <w:szCs w:val="28"/>
                <w:lang w:val="en-US"/>
              </w:rPr>
            </w:pPr>
            <w:r w:rsidRPr="00FA25B7">
              <w:rPr>
                <w:sz w:val="28"/>
                <w:szCs w:val="28"/>
                <w:lang w:val="en-US"/>
              </w:rPr>
              <w:t>tax policy only;</w:t>
            </w:r>
          </w:p>
          <w:p w14:paraId="26E50D1F" w14:textId="77777777" w:rsidR="00BE42A0" w:rsidRPr="00FA25B7" w:rsidRDefault="00BE42A0" w:rsidP="006F749C">
            <w:pPr>
              <w:numPr>
                <w:ilvl w:val="0"/>
                <w:numId w:val="128"/>
              </w:numPr>
              <w:shd w:val="clear" w:color="auto" w:fill="FFFFFF"/>
              <w:spacing w:line="240" w:lineRule="atLeast"/>
              <w:ind w:left="782" w:hanging="357"/>
              <w:textAlignment w:val="baseline"/>
              <w:rPr>
                <w:sz w:val="28"/>
                <w:szCs w:val="28"/>
                <w:lang w:val="en-US"/>
              </w:rPr>
            </w:pPr>
            <w:r w:rsidRPr="00FA25B7">
              <w:rPr>
                <w:sz w:val="28"/>
                <w:szCs w:val="28"/>
                <w:lang w:val="en-US"/>
              </w:rPr>
              <w:t>tax policy and tax law;</w:t>
            </w:r>
          </w:p>
          <w:p w14:paraId="3C35224C" w14:textId="77777777" w:rsidR="00BE42A0" w:rsidRPr="00FA25B7" w:rsidRDefault="00BE42A0" w:rsidP="006F749C">
            <w:pPr>
              <w:numPr>
                <w:ilvl w:val="0"/>
                <w:numId w:val="128"/>
              </w:numPr>
              <w:shd w:val="clear" w:color="auto" w:fill="FFFFFF"/>
              <w:spacing w:after="120" w:line="240" w:lineRule="atLeast"/>
              <w:ind w:left="782" w:hanging="357"/>
              <w:textAlignment w:val="baseline"/>
              <w:rPr>
                <w:sz w:val="28"/>
                <w:szCs w:val="28"/>
                <w:lang w:val="en-US"/>
              </w:rPr>
            </w:pPr>
            <w:r w:rsidRPr="00FA25B7">
              <w:rPr>
                <w:sz w:val="28"/>
                <w:szCs w:val="28"/>
                <w:lang w:val="en-US"/>
              </w:rPr>
              <w:t>tax law, tax policy</w:t>
            </w:r>
            <w:r w:rsidR="00FF6464">
              <w:rPr>
                <w:sz w:val="28"/>
                <w:szCs w:val="28"/>
                <w:lang w:val="en-US"/>
              </w:rPr>
              <w:t>,</w:t>
            </w:r>
            <w:r w:rsidRPr="00FA25B7">
              <w:rPr>
                <w:sz w:val="28"/>
                <w:szCs w:val="28"/>
                <w:lang w:val="en-US"/>
              </w:rPr>
              <w:t xml:space="preserve"> and tax administration.</w:t>
            </w:r>
          </w:p>
        </w:tc>
      </w:tr>
      <w:tr w:rsidR="00BE42A0" w:rsidRPr="00FA25B7" w14:paraId="1ACC3CEB" w14:textId="77777777" w:rsidTr="008A5AA7">
        <w:tc>
          <w:tcPr>
            <w:tcW w:w="9564" w:type="dxa"/>
          </w:tcPr>
          <w:p w14:paraId="69646D1A" w14:textId="77777777" w:rsidR="00BE42A0" w:rsidRPr="00FA25B7" w:rsidRDefault="00BE42A0" w:rsidP="006F749C">
            <w:pPr>
              <w:numPr>
                <w:ilvl w:val="0"/>
                <w:numId w:val="119"/>
              </w:numPr>
              <w:shd w:val="clear" w:color="auto" w:fill="FFFFFF"/>
              <w:spacing w:after="120" w:line="240" w:lineRule="atLeast"/>
              <w:ind w:left="426"/>
              <w:contextualSpacing/>
              <w:textAlignment w:val="baseline"/>
              <w:rPr>
                <w:sz w:val="28"/>
                <w:szCs w:val="28"/>
                <w:lang w:val="en-US"/>
              </w:rPr>
            </w:pPr>
            <w:r w:rsidRPr="00FA25B7">
              <w:rPr>
                <w:sz w:val="28"/>
                <w:szCs w:val="28"/>
                <w:lang w:val="en-US"/>
              </w:rPr>
              <w:lastRenderedPageBreak/>
              <w:t>The following are the merits of direct tax except:</w:t>
            </w:r>
          </w:p>
          <w:p w14:paraId="4CBA791A" w14:textId="77777777" w:rsidR="00BE42A0" w:rsidRPr="00FA25B7" w:rsidRDefault="00BE42A0" w:rsidP="006F749C">
            <w:pPr>
              <w:numPr>
                <w:ilvl w:val="0"/>
                <w:numId w:val="129"/>
              </w:numPr>
              <w:shd w:val="clear" w:color="auto" w:fill="FFFFFF"/>
              <w:spacing w:line="240" w:lineRule="atLeast"/>
              <w:ind w:left="782" w:hanging="357"/>
              <w:textAlignment w:val="baseline"/>
              <w:rPr>
                <w:sz w:val="28"/>
                <w:szCs w:val="28"/>
                <w:lang w:val="en-US"/>
              </w:rPr>
            </w:pPr>
            <w:r w:rsidRPr="00FA25B7">
              <w:rPr>
                <w:sz w:val="28"/>
                <w:szCs w:val="28"/>
                <w:lang w:val="en-US"/>
              </w:rPr>
              <w:t>it has the lower cost of collection;</w:t>
            </w:r>
          </w:p>
          <w:p w14:paraId="28C4C18C" w14:textId="77777777" w:rsidR="00BE42A0" w:rsidRPr="00FA25B7" w:rsidRDefault="00BE42A0" w:rsidP="006F749C">
            <w:pPr>
              <w:numPr>
                <w:ilvl w:val="0"/>
                <w:numId w:val="129"/>
              </w:numPr>
              <w:shd w:val="clear" w:color="auto" w:fill="FFFFFF"/>
              <w:spacing w:line="240" w:lineRule="atLeast"/>
              <w:ind w:left="782" w:hanging="357"/>
              <w:textAlignment w:val="baseline"/>
              <w:rPr>
                <w:sz w:val="28"/>
                <w:szCs w:val="28"/>
                <w:lang w:val="en-US"/>
              </w:rPr>
            </w:pPr>
            <w:r w:rsidRPr="00FA25B7">
              <w:rPr>
                <w:sz w:val="28"/>
                <w:szCs w:val="28"/>
                <w:lang w:val="en-US"/>
              </w:rPr>
              <w:t>it is more equitable as the taxpayer with higher income bears a greater burden;</w:t>
            </w:r>
          </w:p>
          <w:p w14:paraId="1F41EF4E" w14:textId="77777777" w:rsidR="00BE42A0" w:rsidRPr="00FA25B7" w:rsidRDefault="00BE42A0" w:rsidP="006F749C">
            <w:pPr>
              <w:numPr>
                <w:ilvl w:val="0"/>
                <w:numId w:val="129"/>
              </w:numPr>
              <w:shd w:val="clear" w:color="auto" w:fill="FFFFFF"/>
              <w:spacing w:line="240" w:lineRule="atLeast"/>
              <w:ind w:left="782" w:hanging="357"/>
              <w:textAlignment w:val="baseline"/>
              <w:rPr>
                <w:sz w:val="28"/>
                <w:szCs w:val="28"/>
                <w:lang w:val="en-US"/>
              </w:rPr>
            </w:pPr>
            <w:r w:rsidRPr="00FA25B7">
              <w:rPr>
                <w:sz w:val="28"/>
                <w:szCs w:val="28"/>
                <w:lang w:val="en-US"/>
              </w:rPr>
              <w:t>it is a good source of revenue to a government;</w:t>
            </w:r>
          </w:p>
          <w:p w14:paraId="3F8635D7" w14:textId="77777777" w:rsidR="00BE42A0" w:rsidRPr="00FA25B7" w:rsidRDefault="00BE42A0" w:rsidP="006F749C">
            <w:pPr>
              <w:numPr>
                <w:ilvl w:val="0"/>
                <w:numId w:val="129"/>
              </w:numPr>
              <w:shd w:val="clear" w:color="auto" w:fill="FFFFFF"/>
              <w:spacing w:after="120" w:line="240" w:lineRule="atLeast"/>
              <w:ind w:left="782" w:hanging="357"/>
              <w:textAlignment w:val="baseline"/>
              <w:rPr>
                <w:sz w:val="28"/>
                <w:szCs w:val="28"/>
                <w:lang w:val="en-US"/>
              </w:rPr>
            </w:pPr>
            <w:r w:rsidRPr="00FA25B7">
              <w:rPr>
                <w:sz w:val="28"/>
                <w:szCs w:val="28"/>
                <w:lang w:val="en-US"/>
              </w:rPr>
              <w:t>it is easier to ascertain tax incidence.</w:t>
            </w:r>
          </w:p>
        </w:tc>
      </w:tr>
    </w:tbl>
    <w:p w14:paraId="2849C59C" w14:textId="77777777" w:rsidR="00BE42A0" w:rsidRPr="00FA25B7" w:rsidRDefault="00BE42A0" w:rsidP="001023F2">
      <w:pPr>
        <w:pStyle w:val="end2"/>
      </w:pPr>
      <w:r w:rsidRPr="00FA25B7">
        <w:t>Short answer questions</w:t>
      </w:r>
    </w:p>
    <w:p w14:paraId="312EBB07" w14:textId="77777777" w:rsidR="00BE42A0" w:rsidRPr="00FA25B7" w:rsidRDefault="00BE42A0" w:rsidP="001023F2">
      <w:pPr>
        <w:pStyle w:val="eng3"/>
      </w:pPr>
      <w:r w:rsidRPr="00FA25B7">
        <w:t>Missing</w:t>
      </w:r>
      <w:r w:rsidR="00C62FA2">
        <w:t xml:space="preserve"> </w:t>
      </w:r>
      <w:r w:rsidRPr="00FA25B7">
        <w:t>word questions</w:t>
      </w:r>
    </w:p>
    <w:p w14:paraId="68C9CEB6" w14:textId="77777777" w:rsidR="00BE42A0" w:rsidRPr="00FA25B7" w:rsidRDefault="00BE42A0" w:rsidP="001023F2">
      <w:pPr>
        <w:spacing w:line="240" w:lineRule="atLeast"/>
        <w:ind w:left="284" w:firstLine="360"/>
        <w:jc w:val="both"/>
        <w:rPr>
          <w:color w:val="000000" w:themeColor="text1"/>
          <w:sz w:val="28"/>
          <w:szCs w:val="28"/>
          <w:lang w:val="en-US"/>
        </w:rPr>
      </w:pPr>
      <w:r w:rsidRPr="00FA25B7">
        <w:rPr>
          <w:color w:val="000000" w:themeColor="text1"/>
          <w:sz w:val="28"/>
          <w:szCs w:val="28"/>
          <w:lang w:val="en-US"/>
        </w:rPr>
        <w:t>Choose the correct word to complete each sentence.</w:t>
      </w:r>
    </w:p>
    <w:p w14:paraId="210C0DC9" w14:textId="77777777" w:rsidR="00BE42A0" w:rsidRPr="00FA25B7" w:rsidRDefault="00BE42A0" w:rsidP="001023F2">
      <w:pPr>
        <w:spacing w:line="240" w:lineRule="atLeast"/>
        <w:ind w:left="284" w:firstLine="360"/>
        <w:jc w:val="both"/>
        <w:rPr>
          <w:color w:val="000000" w:themeColor="text1"/>
          <w:sz w:val="28"/>
          <w:szCs w:val="28"/>
          <w:lang w:val="en-US"/>
        </w:rPr>
      </w:pPr>
    </w:p>
    <w:p w14:paraId="6679A08C" w14:textId="77777777" w:rsidR="00BE42A0" w:rsidRPr="001023F2" w:rsidRDefault="00BE42A0" w:rsidP="006F749C">
      <w:pPr>
        <w:numPr>
          <w:ilvl w:val="0"/>
          <w:numId w:val="130"/>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Minimizing taxes legally is referred to as ____</w:t>
      </w:r>
      <w:r w:rsidR="001023F2" w:rsidRPr="001023F2">
        <w:rPr>
          <w:rFonts w:eastAsia="Arial Unicode MS" w:cs="Arial Unicode MS"/>
          <w:sz w:val="28"/>
          <w:szCs w:val="28"/>
          <w:u w:color="000000"/>
          <w:bdr w:val="nil"/>
          <w:lang w:val="en-US"/>
        </w:rPr>
        <w:t>_____________________</w:t>
      </w:r>
      <w:r w:rsidRPr="001023F2">
        <w:rPr>
          <w:rFonts w:eastAsia="Arial Unicode MS" w:cs="Arial Unicode MS"/>
          <w:sz w:val="28"/>
          <w:szCs w:val="28"/>
          <w:u w:color="000000"/>
          <w:bdr w:val="nil"/>
          <w:lang w:val="en-US"/>
        </w:rPr>
        <w:t xml:space="preserve">________. </w:t>
      </w:r>
    </w:p>
    <w:p w14:paraId="63111477" w14:textId="77777777" w:rsidR="00BE42A0" w:rsidRPr="001023F2" w:rsidRDefault="00BE42A0" w:rsidP="001023F2">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214B11DE" w14:textId="77777777" w:rsidR="00BE42A0" w:rsidRPr="001023F2" w:rsidRDefault="00BE42A0" w:rsidP="006F749C">
      <w:pPr>
        <w:numPr>
          <w:ilvl w:val="0"/>
          <w:numId w:val="130"/>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 xml:space="preserve">The attempt to minimize tax liability through subterfuge and fraud is referred to as___________. </w:t>
      </w:r>
    </w:p>
    <w:p w14:paraId="57F9360F" w14:textId="77777777" w:rsidR="00BE42A0" w:rsidRPr="001023F2" w:rsidRDefault="00BE42A0" w:rsidP="001023F2">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0E9BB113" w14:textId="77777777" w:rsidR="00BE42A0" w:rsidRPr="001023F2" w:rsidRDefault="00BE42A0" w:rsidP="006F749C">
      <w:pPr>
        <w:numPr>
          <w:ilvl w:val="0"/>
          <w:numId w:val="130"/>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 xml:space="preserve">______________ is a sales tax levied at each stage of production on value added by the producer. </w:t>
      </w:r>
    </w:p>
    <w:p w14:paraId="05E4CE4B" w14:textId="77777777" w:rsidR="00BE42A0" w:rsidRPr="001023F2" w:rsidRDefault="00BE42A0" w:rsidP="001023F2">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35CAC30D" w14:textId="77777777" w:rsidR="00BE42A0" w:rsidRPr="001023F2" w:rsidRDefault="00BE42A0" w:rsidP="006F749C">
      <w:pPr>
        <w:numPr>
          <w:ilvl w:val="0"/>
          <w:numId w:val="130"/>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A tax levied on the extraction of natural resource</w:t>
      </w:r>
      <w:r w:rsidR="001023F2">
        <w:rPr>
          <w:rFonts w:eastAsia="Arial Unicode MS" w:cs="Arial Unicode MS"/>
          <w:sz w:val="28"/>
          <w:szCs w:val="28"/>
          <w:u w:color="000000"/>
          <w:bdr w:val="nil"/>
          <w:lang w:val="en-US"/>
        </w:rPr>
        <w:t>s is a ___________________</w:t>
      </w:r>
      <w:r w:rsidRPr="001023F2">
        <w:rPr>
          <w:rFonts w:eastAsia="Arial Unicode MS" w:cs="Arial Unicode MS"/>
          <w:sz w:val="28"/>
          <w:szCs w:val="28"/>
          <w:u w:color="000000"/>
          <w:bdr w:val="nil"/>
          <w:lang w:val="en-US"/>
        </w:rPr>
        <w:t xml:space="preserve"> tax.</w:t>
      </w:r>
    </w:p>
    <w:p w14:paraId="3EA99F37" w14:textId="77777777" w:rsidR="00BE42A0" w:rsidRPr="001023F2" w:rsidRDefault="00BE42A0" w:rsidP="001023F2">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0C4DE47D" w14:textId="77777777" w:rsidR="00BE42A0" w:rsidRPr="001023F2" w:rsidRDefault="00BE42A0" w:rsidP="006F749C">
      <w:pPr>
        <w:numPr>
          <w:ilvl w:val="0"/>
          <w:numId w:val="130"/>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Tax is a ________________ levy imposed by the _________________ for the purpose of meeting the cost of governance.</w:t>
      </w:r>
    </w:p>
    <w:p w14:paraId="23434B48" w14:textId="77777777" w:rsidR="00B17A60" w:rsidRDefault="00B17A60" w:rsidP="001023F2">
      <w:pPr>
        <w:pStyle w:val="eng3"/>
      </w:pPr>
    </w:p>
    <w:p w14:paraId="67ABC1A6" w14:textId="77777777" w:rsidR="00BE42A0" w:rsidRPr="00FA25B7" w:rsidRDefault="00BE42A0" w:rsidP="001023F2">
      <w:pPr>
        <w:pStyle w:val="eng3"/>
      </w:pPr>
      <w:r w:rsidRPr="00FA25B7">
        <w:t>True/False/Uncertain questions</w:t>
      </w:r>
    </w:p>
    <w:p w14:paraId="4330FBDC" w14:textId="77777777" w:rsidR="00BE42A0" w:rsidRPr="00FA25B7" w:rsidRDefault="00BE42A0" w:rsidP="00FA25B7">
      <w:pPr>
        <w:spacing w:line="240" w:lineRule="atLeast"/>
        <w:ind w:firstLine="360"/>
        <w:jc w:val="both"/>
        <w:rPr>
          <w:color w:val="000000" w:themeColor="text1"/>
          <w:sz w:val="28"/>
          <w:szCs w:val="28"/>
          <w:lang w:val="en-US"/>
        </w:rPr>
      </w:pPr>
      <w:r w:rsidRPr="00FA25B7">
        <w:rPr>
          <w:color w:val="000000" w:themeColor="text1"/>
          <w:sz w:val="28"/>
          <w:szCs w:val="28"/>
          <w:lang w:val="en-US"/>
        </w:rPr>
        <w:t xml:space="preserve">Decide whether the following statements are True, False, or Uncertain. Explain your reasoning. Your score will be based not just on whether you get the True, False, </w:t>
      </w:r>
      <w:r w:rsidR="00FF6464">
        <w:rPr>
          <w:color w:val="000000" w:themeColor="text1"/>
          <w:sz w:val="28"/>
          <w:szCs w:val="28"/>
          <w:lang w:val="en-US"/>
        </w:rPr>
        <w:t xml:space="preserve">or Uncertain part right but also, to a larger extent, </w:t>
      </w:r>
      <w:r w:rsidRPr="00FA25B7">
        <w:rPr>
          <w:color w:val="000000" w:themeColor="text1"/>
          <w:sz w:val="28"/>
          <w:szCs w:val="28"/>
          <w:lang w:val="en-US"/>
        </w:rPr>
        <w:t>on the quality of your explanation.</w:t>
      </w:r>
    </w:p>
    <w:p w14:paraId="493AF8BE" w14:textId="77777777" w:rsidR="00BE42A0" w:rsidRPr="00FA25B7" w:rsidRDefault="00BE42A0" w:rsidP="00FA25B7">
      <w:pPr>
        <w:spacing w:line="240" w:lineRule="atLeast"/>
        <w:jc w:val="both"/>
        <w:rPr>
          <w:color w:val="000000" w:themeColor="text1"/>
          <w:sz w:val="28"/>
          <w:szCs w:val="28"/>
          <w:lang w:val="en-GB"/>
        </w:rPr>
      </w:pPr>
    </w:p>
    <w:p w14:paraId="76657859" w14:textId="77777777" w:rsidR="00BE42A0" w:rsidRDefault="00BE42A0" w:rsidP="006F749C">
      <w:pPr>
        <w:numPr>
          <w:ilvl w:val="0"/>
          <w:numId w:val="131"/>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Taxes on expenditures (value added tax (VAT), customs and excise) provide more tax receipts for government than taxes on incomes (income tax, corporate profit tax, etc).</w:t>
      </w:r>
    </w:p>
    <w:p w14:paraId="2DC6DAAE" w14:textId="77777777" w:rsidR="001023F2" w:rsidRPr="001023F2" w:rsidRDefault="001023F2" w:rsidP="001023F2">
      <w:pPr>
        <w:pBdr>
          <w:top w:val="nil"/>
          <w:left w:val="nil"/>
          <w:bottom w:val="nil"/>
          <w:right w:val="nil"/>
          <w:between w:val="nil"/>
          <w:bar w:val="nil"/>
        </w:pBdr>
        <w:tabs>
          <w:tab w:val="left" w:pos="426"/>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40C011B7" w14:textId="77777777" w:rsidR="00BE42A0" w:rsidRDefault="00BE42A0" w:rsidP="006F749C">
      <w:pPr>
        <w:numPr>
          <w:ilvl w:val="0"/>
          <w:numId w:val="131"/>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Ukrainian direct taxes are progressive while indirect taxes are regressive.</w:t>
      </w:r>
    </w:p>
    <w:p w14:paraId="23745E6B" w14:textId="77777777" w:rsidR="001023F2" w:rsidRPr="001023F2" w:rsidRDefault="001023F2" w:rsidP="001023F2">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4256E68B" w14:textId="77777777" w:rsidR="00BE42A0" w:rsidRDefault="00BE42A0" w:rsidP="006F749C">
      <w:pPr>
        <w:numPr>
          <w:ilvl w:val="0"/>
          <w:numId w:val="131"/>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 xml:space="preserve">A value added tax resembles a national sales tax. </w:t>
      </w:r>
    </w:p>
    <w:p w14:paraId="1AD73AC4" w14:textId="77777777" w:rsidR="001023F2" w:rsidRPr="001023F2" w:rsidRDefault="001023F2" w:rsidP="001023F2">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4DF623A1" w14:textId="77777777" w:rsidR="00BE42A0" w:rsidRDefault="00BE42A0" w:rsidP="006F749C">
      <w:pPr>
        <w:numPr>
          <w:ilvl w:val="0"/>
          <w:numId w:val="131"/>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An excise tax is a tax on the use, consumption, or storage of property.</w:t>
      </w:r>
    </w:p>
    <w:p w14:paraId="76C1BAB1" w14:textId="77777777" w:rsidR="001023F2" w:rsidRPr="001023F2" w:rsidRDefault="001023F2" w:rsidP="001023F2">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01240507" w14:textId="77777777" w:rsidR="00BE42A0" w:rsidRPr="001023F2" w:rsidRDefault="00BE42A0" w:rsidP="006F749C">
      <w:pPr>
        <w:numPr>
          <w:ilvl w:val="0"/>
          <w:numId w:val="131"/>
        </w:num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r w:rsidRPr="001023F2">
        <w:rPr>
          <w:rFonts w:eastAsia="Arial Unicode MS" w:cs="Arial Unicode MS"/>
          <w:sz w:val="28"/>
          <w:szCs w:val="28"/>
          <w:u w:color="000000"/>
          <w:bdr w:val="nil"/>
          <w:lang w:val="en-US"/>
        </w:rPr>
        <w:t>State governments use the sales tax as one of their primary sources of tax revenues.</w:t>
      </w:r>
    </w:p>
    <w:p w14:paraId="5DE1803C" w14:textId="77777777" w:rsidR="00BE42A0" w:rsidRPr="00FA25B7" w:rsidRDefault="00BE42A0" w:rsidP="001023F2">
      <w:pPr>
        <w:pStyle w:val="end2"/>
      </w:pPr>
      <w:r w:rsidRPr="00FA25B7">
        <w:lastRenderedPageBreak/>
        <w:t>Computation problems</w:t>
      </w:r>
    </w:p>
    <w:p w14:paraId="2F015B76" w14:textId="77777777" w:rsidR="00BE42A0" w:rsidRPr="001023F2" w:rsidRDefault="00BE42A0" w:rsidP="001023F2">
      <w:pPr>
        <w:spacing w:after="200" w:line="240" w:lineRule="atLeast"/>
        <w:ind w:left="426" w:hanging="360"/>
        <w:contextualSpacing/>
        <w:jc w:val="both"/>
        <w:rPr>
          <w:rFonts w:eastAsiaTheme="minorHAnsi"/>
          <w:color w:val="000000" w:themeColor="text1"/>
          <w:sz w:val="28"/>
          <w:szCs w:val="28"/>
          <w:lang w:val="en-US"/>
        </w:rPr>
      </w:pPr>
      <w:r w:rsidRPr="001023F2">
        <w:rPr>
          <w:rFonts w:eastAsiaTheme="minorHAnsi"/>
          <w:color w:val="000000" w:themeColor="text1"/>
          <w:sz w:val="28"/>
          <w:szCs w:val="28"/>
          <w:lang w:val="en-US"/>
        </w:rPr>
        <w:t>1. Please, describe taxes using the following main elements of the tax system: taxpayers; taxable item; the tax base; tax rate; tax calculation procedure; the tax period; tax payment period and procedure; period and procedure for filing tax calculation and payment reporting.</w:t>
      </w:r>
    </w:p>
    <w:p w14:paraId="621E7EC1" w14:textId="77777777" w:rsidR="00BE42A0" w:rsidRPr="00FA25B7"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Main taxes and duties (each student should choose one tax or duty):</w:t>
      </w:r>
    </w:p>
    <w:p w14:paraId="46F1977E"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sidRPr="00AA55B8">
        <w:rPr>
          <w:sz w:val="28"/>
          <w:szCs w:val="28"/>
          <w:lang w:val="en-US"/>
        </w:rPr>
        <w:t xml:space="preserve">a) </w:t>
      </w:r>
      <w:r w:rsidR="00BE42A0" w:rsidRPr="00AA55B8">
        <w:rPr>
          <w:sz w:val="28"/>
          <w:szCs w:val="28"/>
          <w:lang w:val="en-US"/>
        </w:rPr>
        <w:t>corporate income tax;</w:t>
      </w:r>
    </w:p>
    <w:p w14:paraId="3D4D8D66"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Pr>
          <w:sz w:val="28"/>
          <w:szCs w:val="28"/>
          <w:lang w:val="en-US"/>
        </w:rPr>
        <w:t>b</w:t>
      </w:r>
      <w:r w:rsidRPr="00AA55B8">
        <w:rPr>
          <w:sz w:val="28"/>
          <w:szCs w:val="28"/>
          <w:lang w:val="en-US"/>
        </w:rPr>
        <w:t xml:space="preserve">) </w:t>
      </w:r>
      <w:r w:rsidR="00BE42A0" w:rsidRPr="00AA55B8">
        <w:rPr>
          <w:sz w:val="28"/>
          <w:szCs w:val="28"/>
          <w:lang w:val="en-US"/>
        </w:rPr>
        <w:t>personal income tax;</w:t>
      </w:r>
    </w:p>
    <w:p w14:paraId="6336469D"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Pr>
          <w:sz w:val="28"/>
          <w:szCs w:val="28"/>
          <w:lang w:val="en-US"/>
        </w:rPr>
        <w:t>c</w:t>
      </w:r>
      <w:r w:rsidRPr="00AA55B8">
        <w:rPr>
          <w:sz w:val="28"/>
          <w:szCs w:val="28"/>
          <w:lang w:val="en-US"/>
        </w:rPr>
        <w:t xml:space="preserve">) </w:t>
      </w:r>
      <w:r w:rsidR="00BE42A0" w:rsidRPr="00AA55B8">
        <w:rPr>
          <w:sz w:val="28"/>
          <w:szCs w:val="28"/>
          <w:lang w:val="en-US"/>
        </w:rPr>
        <w:t>military duty;</w:t>
      </w:r>
    </w:p>
    <w:p w14:paraId="343FD698"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Pr>
          <w:sz w:val="28"/>
          <w:szCs w:val="28"/>
          <w:lang w:val="en-US"/>
        </w:rPr>
        <w:t>d</w:t>
      </w:r>
      <w:r w:rsidRPr="00AA55B8">
        <w:rPr>
          <w:sz w:val="28"/>
          <w:szCs w:val="28"/>
          <w:lang w:val="en-US"/>
        </w:rPr>
        <w:t xml:space="preserve">) </w:t>
      </w:r>
      <w:r w:rsidR="00BE42A0" w:rsidRPr="00AA55B8">
        <w:rPr>
          <w:sz w:val="28"/>
          <w:szCs w:val="28"/>
          <w:lang w:val="en-US"/>
        </w:rPr>
        <w:t>value added tax;</w:t>
      </w:r>
    </w:p>
    <w:p w14:paraId="10184BBB"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Pr>
          <w:sz w:val="28"/>
          <w:szCs w:val="28"/>
          <w:lang w:val="en-US"/>
        </w:rPr>
        <w:t>e</w:t>
      </w:r>
      <w:r w:rsidRPr="00AA55B8">
        <w:rPr>
          <w:sz w:val="28"/>
          <w:szCs w:val="28"/>
          <w:lang w:val="en-US"/>
        </w:rPr>
        <w:t xml:space="preserve">) </w:t>
      </w:r>
      <w:r w:rsidR="00BE42A0" w:rsidRPr="00AA55B8">
        <w:rPr>
          <w:sz w:val="28"/>
          <w:szCs w:val="28"/>
          <w:lang w:val="en-US"/>
        </w:rPr>
        <w:t>excise tax;</w:t>
      </w:r>
    </w:p>
    <w:p w14:paraId="0F1DF57E"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Pr>
          <w:sz w:val="28"/>
          <w:szCs w:val="28"/>
          <w:lang w:val="en-US"/>
        </w:rPr>
        <w:t>f</w:t>
      </w:r>
      <w:r w:rsidRPr="00AA55B8">
        <w:rPr>
          <w:sz w:val="28"/>
          <w:szCs w:val="28"/>
          <w:lang w:val="en-US"/>
        </w:rPr>
        <w:t xml:space="preserve">) </w:t>
      </w:r>
      <w:r w:rsidR="00BE42A0" w:rsidRPr="00AA55B8">
        <w:rPr>
          <w:sz w:val="28"/>
          <w:szCs w:val="28"/>
          <w:lang w:val="en-US"/>
        </w:rPr>
        <w:t>environmental tax;</w:t>
      </w:r>
    </w:p>
    <w:p w14:paraId="0B5F8ADD"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Pr>
          <w:sz w:val="28"/>
          <w:szCs w:val="28"/>
          <w:lang w:val="en-US"/>
        </w:rPr>
        <w:t>g</w:t>
      </w:r>
      <w:r w:rsidRPr="00AA55B8">
        <w:rPr>
          <w:sz w:val="28"/>
          <w:szCs w:val="28"/>
          <w:lang w:val="en-US"/>
        </w:rPr>
        <w:t xml:space="preserve">) </w:t>
      </w:r>
      <w:r w:rsidR="00BE42A0" w:rsidRPr="00AA55B8">
        <w:rPr>
          <w:sz w:val="28"/>
          <w:szCs w:val="28"/>
          <w:lang w:val="en-US"/>
        </w:rPr>
        <w:t>custom duty;</w:t>
      </w:r>
    </w:p>
    <w:p w14:paraId="6B5EFA94"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Pr>
          <w:sz w:val="28"/>
          <w:szCs w:val="28"/>
          <w:lang w:val="en-US"/>
        </w:rPr>
        <w:t>h</w:t>
      </w:r>
      <w:r w:rsidRPr="00AA55B8">
        <w:rPr>
          <w:sz w:val="28"/>
          <w:szCs w:val="28"/>
          <w:lang w:val="en-US"/>
        </w:rPr>
        <w:t xml:space="preserve">) </w:t>
      </w:r>
      <w:r w:rsidR="00BE42A0" w:rsidRPr="00AA55B8">
        <w:rPr>
          <w:sz w:val="28"/>
          <w:szCs w:val="28"/>
          <w:lang w:val="en-US"/>
        </w:rPr>
        <w:t>property tax;</w:t>
      </w:r>
    </w:p>
    <w:p w14:paraId="35BFE5BE"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Pr>
          <w:sz w:val="28"/>
          <w:szCs w:val="28"/>
          <w:lang w:val="en-US"/>
        </w:rPr>
        <w:t>i</w:t>
      </w:r>
      <w:r w:rsidRPr="00AA55B8">
        <w:rPr>
          <w:sz w:val="28"/>
          <w:szCs w:val="28"/>
          <w:lang w:val="en-US"/>
        </w:rPr>
        <w:t xml:space="preserve">) </w:t>
      </w:r>
      <w:r w:rsidR="00BE42A0" w:rsidRPr="00AA55B8">
        <w:rPr>
          <w:sz w:val="28"/>
          <w:szCs w:val="28"/>
          <w:lang w:val="en-US"/>
        </w:rPr>
        <w:t>single tax;</w:t>
      </w:r>
    </w:p>
    <w:p w14:paraId="1DDD8C1B" w14:textId="77777777" w:rsidR="00BE42A0" w:rsidRPr="00AA55B8" w:rsidRDefault="00AA55B8" w:rsidP="00AA55B8">
      <w:pPr>
        <w:shd w:val="clear" w:color="auto" w:fill="FFFFFF"/>
        <w:spacing w:line="240" w:lineRule="atLeast"/>
        <w:ind w:left="782" w:hanging="357"/>
        <w:jc w:val="both"/>
        <w:textAlignment w:val="baseline"/>
        <w:rPr>
          <w:sz w:val="28"/>
          <w:szCs w:val="28"/>
          <w:lang w:val="en-US"/>
        </w:rPr>
      </w:pPr>
      <w:r>
        <w:rPr>
          <w:sz w:val="28"/>
          <w:szCs w:val="28"/>
          <w:lang w:val="en-US"/>
        </w:rPr>
        <w:t>j</w:t>
      </w:r>
      <w:r w:rsidRPr="00AA55B8">
        <w:rPr>
          <w:sz w:val="28"/>
          <w:szCs w:val="28"/>
          <w:lang w:val="en-US"/>
        </w:rPr>
        <w:t xml:space="preserve">) </w:t>
      </w:r>
      <w:r w:rsidR="00BE42A0" w:rsidRPr="00AA55B8">
        <w:rPr>
          <w:sz w:val="28"/>
          <w:szCs w:val="28"/>
          <w:lang w:val="en-US"/>
        </w:rPr>
        <w:t>fee for parking vehicles.</w:t>
      </w:r>
    </w:p>
    <w:p w14:paraId="5754B8BB" w14:textId="77777777" w:rsidR="00BE42A0" w:rsidRPr="00FA25B7" w:rsidRDefault="00BE42A0" w:rsidP="00FA25B7">
      <w:pPr>
        <w:spacing w:line="240" w:lineRule="atLeast"/>
        <w:ind w:firstLine="357"/>
        <w:jc w:val="both"/>
        <w:rPr>
          <w:color w:val="000000" w:themeColor="text1"/>
          <w:sz w:val="28"/>
          <w:szCs w:val="28"/>
          <w:lang w:val="en-US"/>
        </w:rPr>
      </w:pPr>
    </w:p>
    <w:p w14:paraId="683FBE5D" w14:textId="77777777" w:rsidR="001023F2" w:rsidRPr="001023F2" w:rsidRDefault="00BE42A0" w:rsidP="001023F2">
      <w:pPr>
        <w:spacing w:after="200" w:line="240" w:lineRule="atLeast"/>
        <w:ind w:left="426" w:hanging="360"/>
        <w:contextualSpacing/>
        <w:jc w:val="both"/>
        <w:rPr>
          <w:rFonts w:eastAsiaTheme="minorHAnsi"/>
          <w:color w:val="000000" w:themeColor="text1"/>
          <w:sz w:val="28"/>
          <w:szCs w:val="28"/>
          <w:lang w:val="en-US"/>
        </w:rPr>
      </w:pPr>
      <w:r w:rsidRPr="001023F2">
        <w:rPr>
          <w:rFonts w:eastAsiaTheme="minorHAnsi"/>
          <w:color w:val="000000" w:themeColor="text1"/>
          <w:sz w:val="28"/>
          <w:szCs w:val="28"/>
          <w:lang w:val="en-US"/>
        </w:rPr>
        <w:t>2. Identify which tax applies to the following situations and state whether it is a direct or indirect tax:</w:t>
      </w:r>
    </w:p>
    <w:p w14:paraId="7076ED38" w14:textId="77777777" w:rsidR="00BE42A0" w:rsidRPr="00AA55B8" w:rsidRDefault="00BE42A0" w:rsidP="00AA55B8">
      <w:pPr>
        <w:shd w:val="clear" w:color="auto" w:fill="FFFFFF"/>
        <w:spacing w:line="240" w:lineRule="atLeast"/>
        <w:ind w:left="782" w:hanging="357"/>
        <w:jc w:val="both"/>
        <w:textAlignment w:val="baseline"/>
        <w:rPr>
          <w:sz w:val="28"/>
          <w:szCs w:val="28"/>
          <w:lang w:val="en-US"/>
        </w:rPr>
      </w:pPr>
      <w:r w:rsidRPr="00AA55B8">
        <w:rPr>
          <w:sz w:val="28"/>
          <w:szCs w:val="28"/>
          <w:lang w:val="en-US"/>
        </w:rPr>
        <w:t>a) A sole trader earns UAH 100,000 profit in a year.</w:t>
      </w:r>
    </w:p>
    <w:p w14:paraId="1D776BB7" w14:textId="77777777" w:rsidR="00BE42A0" w:rsidRPr="00AA55B8" w:rsidRDefault="00BE42A0" w:rsidP="00AA55B8">
      <w:pPr>
        <w:shd w:val="clear" w:color="auto" w:fill="FFFFFF"/>
        <w:spacing w:line="240" w:lineRule="atLeast"/>
        <w:ind w:left="782" w:hanging="357"/>
        <w:jc w:val="both"/>
        <w:textAlignment w:val="baseline"/>
        <w:rPr>
          <w:sz w:val="28"/>
          <w:szCs w:val="28"/>
          <w:lang w:val="en-US"/>
        </w:rPr>
      </w:pPr>
      <w:r w:rsidRPr="00AA55B8">
        <w:rPr>
          <w:sz w:val="28"/>
          <w:szCs w:val="28"/>
          <w:lang w:val="en-US"/>
        </w:rPr>
        <w:t xml:space="preserve">b) A company has a profit of UAH 250,000 in a year and </w:t>
      </w:r>
      <w:r w:rsidR="001023F2" w:rsidRPr="00AA55B8">
        <w:rPr>
          <w:sz w:val="28"/>
          <w:szCs w:val="28"/>
          <w:lang w:val="en-US"/>
        </w:rPr>
        <w:t>employs</w:t>
      </w:r>
      <w:r w:rsidRPr="00AA55B8">
        <w:rPr>
          <w:sz w:val="28"/>
          <w:szCs w:val="28"/>
          <w:lang w:val="en-US"/>
        </w:rPr>
        <w:t xml:space="preserve"> 30 employees.</w:t>
      </w:r>
    </w:p>
    <w:p w14:paraId="096C1464" w14:textId="77777777" w:rsidR="00BE42A0" w:rsidRPr="00AA55B8" w:rsidRDefault="00BE42A0" w:rsidP="00AA55B8">
      <w:pPr>
        <w:shd w:val="clear" w:color="auto" w:fill="FFFFFF"/>
        <w:spacing w:line="240" w:lineRule="atLeast"/>
        <w:ind w:left="782" w:hanging="357"/>
        <w:jc w:val="both"/>
        <w:textAlignment w:val="baseline"/>
        <w:rPr>
          <w:sz w:val="28"/>
          <w:szCs w:val="28"/>
          <w:lang w:val="en-US"/>
        </w:rPr>
      </w:pPr>
      <w:r w:rsidRPr="00AA55B8">
        <w:rPr>
          <w:sz w:val="28"/>
          <w:szCs w:val="28"/>
          <w:lang w:val="en-US"/>
        </w:rPr>
        <w:t>c) An individual sells an antique table for UAH 100,000 which cost UAH 40,000 eight years ago.</w:t>
      </w:r>
    </w:p>
    <w:p w14:paraId="1256E9B1" w14:textId="77777777" w:rsidR="00BE42A0" w:rsidRPr="00AA55B8" w:rsidRDefault="00BE42A0" w:rsidP="00AA55B8">
      <w:pPr>
        <w:shd w:val="clear" w:color="auto" w:fill="FFFFFF"/>
        <w:spacing w:line="240" w:lineRule="atLeast"/>
        <w:ind w:left="782" w:hanging="357"/>
        <w:jc w:val="both"/>
        <w:textAlignment w:val="baseline"/>
        <w:rPr>
          <w:sz w:val="28"/>
          <w:szCs w:val="28"/>
          <w:lang w:val="en-US"/>
        </w:rPr>
      </w:pPr>
      <w:r w:rsidRPr="00AA55B8">
        <w:rPr>
          <w:sz w:val="28"/>
          <w:szCs w:val="28"/>
          <w:lang w:val="en-US"/>
        </w:rPr>
        <w:t>d) A business buys raw materials from a supplier.</w:t>
      </w:r>
    </w:p>
    <w:p w14:paraId="2B4FE8F8" w14:textId="77777777" w:rsidR="00BE42A0" w:rsidRPr="00AA55B8" w:rsidRDefault="00BE42A0" w:rsidP="00AA55B8">
      <w:pPr>
        <w:shd w:val="clear" w:color="auto" w:fill="FFFFFF"/>
        <w:spacing w:line="240" w:lineRule="atLeast"/>
        <w:ind w:left="782" w:hanging="357"/>
        <w:jc w:val="both"/>
        <w:textAlignment w:val="baseline"/>
        <w:rPr>
          <w:sz w:val="28"/>
          <w:szCs w:val="28"/>
          <w:lang w:val="en-US"/>
        </w:rPr>
      </w:pPr>
      <w:r w:rsidRPr="00AA55B8">
        <w:rPr>
          <w:sz w:val="28"/>
          <w:szCs w:val="28"/>
          <w:lang w:val="en-US"/>
        </w:rPr>
        <w:t>e) A company sells a factory for UAH 750,000 bought for UAH 250,000 three years ago.</w:t>
      </w:r>
    </w:p>
    <w:p w14:paraId="33A93861" w14:textId="77777777" w:rsidR="00BE42A0" w:rsidRPr="00AA55B8" w:rsidRDefault="00BE42A0" w:rsidP="00AA55B8">
      <w:pPr>
        <w:shd w:val="clear" w:color="auto" w:fill="FFFFFF"/>
        <w:spacing w:line="240" w:lineRule="atLeast"/>
        <w:ind w:left="782" w:hanging="357"/>
        <w:jc w:val="both"/>
        <w:textAlignment w:val="baseline"/>
        <w:rPr>
          <w:sz w:val="28"/>
          <w:szCs w:val="28"/>
          <w:lang w:val="en-US"/>
        </w:rPr>
      </w:pPr>
      <w:r w:rsidRPr="00AA55B8">
        <w:rPr>
          <w:sz w:val="28"/>
          <w:szCs w:val="28"/>
          <w:lang w:val="en-US"/>
        </w:rPr>
        <w:t xml:space="preserve">f) An individual dies and bequeaths </w:t>
      </w:r>
      <w:r w:rsidR="00674331">
        <w:rPr>
          <w:sz w:val="28"/>
          <w:szCs w:val="28"/>
          <w:lang w:val="en-US"/>
        </w:rPr>
        <w:t>his</w:t>
      </w:r>
      <w:r w:rsidRPr="00AA55B8">
        <w:rPr>
          <w:sz w:val="28"/>
          <w:szCs w:val="28"/>
          <w:lang w:val="en-US"/>
        </w:rPr>
        <w:t xml:space="preserve"> estate </w:t>
      </w:r>
      <w:r w:rsidR="00674331">
        <w:rPr>
          <w:sz w:val="28"/>
          <w:szCs w:val="28"/>
          <w:lang w:val="en-US"/>
        </w:rPr>
        <w:t xml:space="preserve">after a </w:t>
      </w:r>
      <w:r w:rsidRPr="00AA55B8">
        <w:rPr>
          <w:sz w:val="28"/>
          <w:szCs w:val="28"/>
          <w:lang w:val="en-US"/>
        </w:rPr>
        <w:t xml:space="preserve">death of UAH 1,000,000 to </w:t>
      </w:r>
      <w:r w:rsidR="00674331">
        <w:rPr>
          <w:sz w:val="28"/>
          <w:szCs w:val="28"/>
          <w:lang w:val="en-US"/>
        </w:rPr>
        <w:t>his</w:t>
      </w:r>
      <w:r w:rsidRPr="00AA55B8">
        <w:rPr>
          <w:sz w:val="28"/>
          <w:szCs w:val="28"/>
          <w:lang w:val="en-US"/>
        </w:rPr>
        <w:t xml:space="preserve"> children.</w:t>
      </w:r>
    </w:p>
    <w:p w14:paraId="7DE4A33F" w14:textId="77777777" w:rsidR="00BE42A0" w:rsidRPr="00FA25B7" w:rsidRDefault="00BE42A0" w:rsidP="00FA25B7">
      <w:pPr>
        <w:spacing w:line="240" w:lineRule="atLeast"/>
        <w:ind w:firstLine="357"/>
        <w:jc w:val="both"/>
        <w:rPr>
          <w:color w:val="000000" w:themeColor="text1"/>
          <w:sz w:val="28"/>
          <w:szCs w:val="28"/>
          <w:lang w:val="en-US"/>
        </w:rPr>
      </w:pPr>
    </w:p>
    <w:p w14:paraId="4757A910" w14:textId="77777777" w:rsidR="00BE42A0" w:rsidRPr="001023F2" w:rsidRDefault="00BE42A0" w:rsidP="001023F2">
      <w:pPr>
        <w:spacing w:after="200" w:line="240" w:lineRule="atLeast"/>
        <w:ind w:left="426" w:hanging="360"/>
        <w:contextualSpacing/>
        <w:jc w:val="both"/>
        <w:rPr>
          <w:rFonts w:eastAsiaTheme="minorHAnsi"/>
          <w:color w:val="000000" w:themeColor="text1"/>
          <w:sz w:val="28"/>
          <w:szCs w:val="28"/>
          <w:lang w:val="en-US"/>
        </w:rPr>
      </w:pPr>
      <w:r w:rsidRPr="001023F2">
        <w:rPr>
          <w:rFonts w:eastAsiaTheme="minorHAnsi"/>
          <w:color w:val="000000" w:themeColor="text1"/>
          <w:sz w:val="28"/>
          <w:szCs w:val="28"/>
          <w:lang w:val="en-US"/>
        </w:rPr>
        <w:t>3. A dry cleaning company made the following sales (where taxable value excludes VAT) for the period December 2014 to June 2015:</w:t>
      </w:r>
    </w:p>
    <w:p w14:paraId="08FDAA5A" w14:textId="77777777" w:rsidR="00BE42A0" w:rsidRPr="00FA25B7"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December</w:t>
      </w:r>
      <w:r w:rsidR="001023F2">
        <w:rPr>
          <w:color w:val="000000" w:themeColor="text1"/>
          <w:sz w:val="28"/>
          <w:szCs w:val="28"/>
          <w:lang w:val="en-US"/>
        </w:rPr>
        <w:t xml:space="preserve"> 2014 ………………………………………..………...</w:t>
      </w:r>
      <w:r w:rsidRPr="00FA25B7">
        <w:rPr>
          <w:color w:val="000000" w:themeColor="text1"/>
          <w:sz w:val="28"/>
          <w:szCs w:val="28"/>
          <w:lang w:val="en-US"/>
        </w:rPr>
        <w:t>………3,500,000</w:t>
      </w:r>
    </w:p>
    <w:p w14:paraId="067CE284" w14:textId="77777777" w:rsidR="00BE42A0" w:rsidRPr="00FA25B7"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January 2015</w:t>
      </w:r>
      <w:r w:rsidR="001023F2">
        <w:rPr>
          <w:color w:val="000000" w:themeColor="text1"/>
          <w:sz w:val="28"/>
          <w:szCs w:val="28"/>
          <w:lang w:val="en-US"/>
        </w:rPr>
        <w:t>………………………………………..……………………</w:t>
      </w:r>
      <w:r w:rsidRPr="00FA25B7">
        <w:rPr>
          <w:color w:val="000000" w:themeColor="text1"/>
          <w:sz w:val="28"/>
          <w:szCs w:val="28"/>
          <w:lang w:val="en-US"/>
        </w:rPr>
        <w:t>5,000,000</w:t>
      </w:r>
    </w:p>
    <w:p w14:paraId="000A8EB1" w14:textId="77777777" w:rsidR="00BE42A0" w:rsidRPr="00FA25B7"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February 2015</w:t>
      </w:r>
      <w:r w:rsidR="001023F2">
        <w:rPr>
          <w:color w:val="000000" w:themeColor="text1"/>
          <w:sz w:val="28"/>
          <w:szCs w:val="28"/>
          <w:lang w:val="en-US"/>
        </w:rPr>
        <w:t xml:space="preserve"> ………………………………..………………………….</w:t>
      </w:r>
      <w:r w:rsidRPr="00FA25B7">
        <w:rPr>
          <w:color w:val="000000" w:themeColor="text1"/>
          <w:sz w:val="28"/>
          <w:szCs w:val="28"/>
          <w:lang w:val="en-US"/>
        </w:rPr>
        <w:t>3,000,000</w:t>
      </w:r>
    </w:p>
    <w:p w14:paraId="3010BA46" w14:textId="77777777" w:rsidR="00BE42A0" w:rsidRPr="00FA25B7" w:rsidRDefault="001023F2" w:rsidP="00FA25B7">
      <w:pPr>
        <w:spacing w:line="240" w:lineRule="atLeast"/>
        <w:ind w:firstLine="357"/>
        <w:jc w:val="both"/>
        <w:rPr>
          <w:color w:val="000000" w:themeColor="text1"/>
          <w:sz w:val="28"/>
          <w:szCs w:val="28"/>
          <w:lang w:val="en-US"/>
        </w:rPr>
      </w:pPr>
      <w:r>
        <w:rPr>
          <w:color w:val="000000" w:themeColor="text1"/>
          <w:sz w:val="28"/>
          <w:szCs w:val="28"/>
          <w:lang w:val="en-US"/>
        </w:rPr>
        <w:t>March 2015 ……………………...…</w:t>
      </w:r>
      <w:r w:rsidR="00BE42A0" w:rsidRPr="00FA25B7">
        <w:rPr>
          <w:color w:val="000000" w:themeColor="text1"/>
          <w:sz w:val="28"/>
          <w:szCs w:val="28"/>
          <w:lang w:val="en-US"/>
        </w:rPr>
        <w:t>7,340,000 (includes 1,670,000 exempt supply)</w:t>
      </w:r>
    </w:p>
    <w:p w14:paraId="0CC6DC16" w14:textId="77777777" w:rsidR="00BE42A0" w:rsidRPr="00FA25B7"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April 2015</w:t>
      </w:r>
      <w:r w:rsidR="001023F2">
        <w:rPr>
          <w:color w:val="000000" w:themeColor="text1"/>
          <w:sz w:val="28"/>
          <w:szCs w:val="28"/>
          <w:lang w:val="en-US"/>
        </w:rPr>
        <w:t xml:space="preserve"> ………………………………………………………………</w:t>
      </w:r>
      <w:r w:rsidRPr="00FA25B7">
        <w:rPr>
          <w:color w:val="000000" w:themeColor="text1"/>
          <w:sz w:val="28"/>
          <w:szCs w:val="28"/>
          <w:lang w:val="en-US"/>
        </w:rPr>
        <w:t>6,000,000</w:t>
      </w:r>
    </w:p>
    <w:p w14:paraId="43F5F223" w14:textId="77777777" w:rsidR="00BE42A0" w:rsidRPr="00FA25B7"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 xml:space="preserve">May 2015 </w:t>
      </w:r>
      <w:r w:rsidR="001023F2">
        <w:rPr>
          <w:color w:val="000000" w:themeColor="text1"/>
          <w:sz w:val="28"/>
          <w:szCs w:val="28"/>
          <w:lang w:val="en-US"/>
        </w:rPr>
        <w:t>………………………………………..………………………</w:t>
      </w:r>
      <w:r w:rsidRPr="00FA25B7">
        <w:rPr>
          <w:color w:val="000000" w:themeColor="text1"/>
          <w:sz w:val="28"/>
          <w:szCs w:val="28"/>
          <w:lang w:val="en-US"/>
        </w:rPr>
        <w:t>7,500,000</w:t>
      </w:r>
    </w:p>
    <w:p w14:paraId="4D5700C1" w14:textId="77777777" w:rsidR="00BE42A0"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 xml:space="preserve">June 2015 </w:t>
      </w:r>
      <w:r w:rsidR="001023F2">
        <w:rPr>
          <w:color w:val="000000" w:themeColor="text1"/>
          <w:sz w:val="28"/>
          <w:szCs w:val="28"/>
          <w:lang w:val="en-US"/>
        </w:rPr>
        <w:t>………………………………………………………………..</w:t>
      </w:r>
      <w:r w:rsidRPr="00FA25B7">
        <w:rPr>
          <w:color w:val="000000" w:themeColor="text1"/>
          <w:sz w:val="28"/>
          <w:szCs w:val="28"/>
          <w:lang w:val="en-US"/>
        </w:rPr>
        <w:t>9,300,000</w:t>
      </w:r>
    </w:p>
    <w:p w14:paraId="1DC4D65D" w14:textId="77777777" w:rsidR="001023F2" w:rsidRPr="00FA25B7" w:rsidRDefault="001023F2" w:rsidP="00FA25B7">
      <w:pPr>
        <w:spacing w:line="240" w:lineRule="atLeast"/>
        <w:ind w:firstLine="357"/>
        <w:jc w:val="both"/>
        <w:rPr>
          <w:color w:val="000000" w:themeColor="text1"/>
          <w:sz w:val="28"/>
          <w:szCs w:val="28"/>
          <w:lang w:val="en-US"/>
        </w:rPr>
      </w:pPr>
    </w:p>
    <w:p w14:paraId="236076FE" w14:textId="77777777" w:rsidR="00BE42A0"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 xml:space="preserve">Calculate the total amount of VAT paid by the dry cleaning company, using the following </w:t>
      </w:r>
      <w:r w:rsidR="00B17A60">
        <w:rPr>
          <w:color w:val="000000" w:themeColor="text1"/>
          <w:sz w:val="28"/>
          <w:szCs w:val="28"/>
          <w:lang w:val="en-US"/>
        </w:rPr>
        <w:t>box</w:t>
      </w:r>
      <w:r w:rsidR="00674331">
        <w:rPr>
          <w:color w:val="000000" w:themeColor="text1"/>
          <w:sz w:val="28"/>
          <w:szCs w:val="28"/>
          <w:lang w:val="en-US"/>
        </w:rPr>
        <w:t>:</w:t>
      </w:r>
    </w:p>
    <w:p w14:paraId="46C1B382" w14:textId="77777777" w:rsidR="001023F2" w:rsidRPr="00FA25B7" w:rsidRDefault="001023F2" w:rsidP="00FA25B7">
      <w:pPr>
        <w:spacing w:line="240" w:lineRule="atLeast"/>
        <w:ind w:firstLine="357"/>
        <w:jc w:val="both"/>
        <w:rPr>
          <w:color w:val="000000" w:themeColor="text1"/>
          <w:sz w:val="28"/>
          <w:szCs w:val="28"/>
          <w:lang w:val="en-US"/>
        </w:rPr>
      </w:pPr>
    </w:p>
    <w:p w14:paraId="101055C6" w14:textId="77777777" w:rsidR="00BE42A0" w:rsidRPr="00FA25B7" w:rsidRDefault="00BE42A0" w:rsidP="00FA25B7">
      <w:pPr>
        <w:spacing w:line="240" w:lineRule="atLeast"/>
        <w:ind w:firstLine="357"/>
        <w:jc w:val="center"/>
        <w:rPr>
          <w:b/>
          <w:color w:val="000000" w:themeColor="text1"/>
          <w:sz w:val="28"/>
          <w:szCs w:val="28"/>
          <w:lang w:val="en-US"/>
        </w:rPr>
      </w:pPr>
      <w:r w:rsidRPr="00FA25B7">
        <w:rPr>
          <w:b/>
          <w:color w:val="000000" w:themeColor="text1"/>
          <w:sz w:val="28"/>
          <w:szCs w:val="28"/>
          <w:lang w:val="en-US"/>
        </w:rPr>
        <w:lastRenderedPageBreak/>
        <w:t>VAT calculation</w:t>
      </w:r>
    </w:p>
    <w:tbl>
      <w:tblPr>
        <w:tblStyle w:val="32"/>
        <w:tblW w:w="4665" w:type="pct"/>
        <w:tblInd w:w="491" w:type="dxa"/>
        <w:tblLook w:val="04A0" w:firstRow="1" w:lastRow="0" w:firstColumn="1" w:lastColumn="0" w:noHBand="0" w:noVBand="1"/>
      </w:tblPr>
      <w:tblGrid>
        <w:gridCol w:w="1179"/>
        <w:gridCol w:w="1843"/>
        <w:gridCol w:w="1843"/>
        <w:gridCol w:w="2125"/>
        <w:gridCol w:w="1983"/>
      </w:tblGrid>
      <w:tr w:rsidR="00BE42A0" w:rsidRPr="00FA25B7" w14:paraId="540AA628" w14:textId="77777777" w:rsidTr="00AA55B8">
        <w:tc>
          <w:tcPr>
            <w:tcW w:w="657" w:type="pct"/>
            <w:shd w:val="clear" w:color="auto" w:fill="D9D9D9" w:themeFill="background1" w:themeFillShade="D9"/>
          </w:tcPr>
          <w:p w14:paraId="5DB754B6" w14:textId="77777777" w:rsidR="00BE42A0" w:rsidRPr="001023F2" w:rsidRDefault="00BE42A0" w:rsidP="00FA25B7">
            <w:pPr>
              <w:spacing w:line="240" w:lineRule="atLeast"/>
              <w:jc w:val="center"/>
              <w:rPr>
                <w:sz w:val="28"/>
                <w:szCs w:val="28"/>
                <w:lang w:val="en-GB"/>
              </w:rPr>
            </w:pPr>
            <w:r w:rsidRPr="001023F2">
              <w:rPr>
                <w:sz w:val="28"/>
                <w:szCs w:val="28"/>
                <w:lang w:val="en-GB"/>
              </w:rPr>
              <w:t>Period</w:t>
            </w:r>
          </w:p>
          <w:p w14:paraId="5D39A468" w14:textId="77777777" w:rsidR="00BE42A0" w:rsidRPr="001023F2" w:rsidRDefault="00BE42A0" w:rsidP="00FA25B7">
            <w:pPr>
              <w:spacing w:line="240" w:lineRule="atLeast"/>
              <w:jc w:val="center"/>
              <w:rPr>
                <w:b/>
                <w:color w:val="000000" w:themeColor="text1"/>
                <w:sz w:val="28"/>
                <w:szCs w:val="28"/>
                <w:lang w:val="en-US"/>
              </w:rPr>
            </w:pPr>
            <w:r w:rsidRPr="001023F2">
              <w:rPr>
                <w:b/>
                <w:sz w:val="28"/>
                <w:szCs w:val="28"/>
                <w:lang w:val="en-GB"/>
              </w:rPr>
              <w:t>A</w:t>
            </w:r>
          </w:p>
        </w:tc>
        <w:tc>
          <w:tcPr>
            <w:tcW w:w="1027" w:type="pct"/>
            <w:shd w:val="clear" w:color="auto" w:fill="D9D9D9" w:themeFill="background1" w:themeFillShade="D9"/>
          </w:tcPr>
          <w:p w14:paraId="0764FEE7" w14:textId="77777777" w:rsidR="00BE42A0" w:rsidRPr="001023F2" w:rsidRDefault="00BE42A0" w:rsidP="00FA25B7">
            <w:pPr>
              <w:spacing w:line="240" w:lineRule="atLeast"/>
              <w:jc w:val="center"/>
              <w:rPr>
                <w:sz w:val="28"/>
                <w:szCs w:val="28"/>
                <w:lang w:val="en-GB"/>
              </w:rPr>
            </w:pPr>
            <w:r w:rsidRPr="001023F2">
              <w:rPr>
                <w:sz w:val="28"/>
                <w:szCs w:val="28"/>
                <w:lang w:val="en-GB"/>
              </w:rPr>
              <w:t>Total Sales</w:t>
            </w:r>
          </w:p>
          <w:p w14:paraId="4893A495" w14:textId="77777777" w:rsidR="00BE42A0" w:rsidRPr="001023F2" w:rsidRDefault="00BE42A0" w:rsidP="00FA25B7">
            <w:pPr>
              <w:spacing w:line="240" w:lineRule="atLeast"/>
              <w:jc w:val="center"/>
              <w:rPr>
                <w:b/>
                <w:color w:val="000000" w:themeColor="text1"/>
                <w:sz w:val="28"/>
                <w:szCs w:val="28"/>
                <w:lang w:val="en-US"/>
              </w:rPr>
            </w:pPr>
            <w:r w:rsidRPr="001023F2">
              <w:rPr>
                <w:b/>
                <w:sz w:val="28"/>
                <w:szCs w:val="28"/>
                <w:lang w:val="en-GB"/>
              </w:rPr>
              <w:t>B</w:t>
            </w:r>
          </w:p>
        </w:tc>
        <w:tc>
          <w:tcPr>
            <w:tcW w:w="1027" w:type="pct"/>
            <w:shd w:val="clear" w:color="auto" w:fill="D9D9D9" w:themeFill="background1" w:themeFillShade="D9"/>
          </w:tcPr>
          <w:p w14:paraId="631DB89A" w14:textId="77777777" w:rsidR="00BE42A0" w:rsidRPr="001023F2" w:rsidRDefault="00BE42A0" w:rsidP="00FA25B7">
            <w:pPr>
              <w:spacing w:line="240" w:lineRule="atLeast"/>
              <w:jc w:val="center"/>
              <w:rPr>
                <w:sz w:val="28"/>
                <w:szCs w:val="28"/>
                <w:lang w:val="en-GB"/>
              </w:rPr>
            </w:pPr>
            <w:r w:rsidRPr="001023F2">
              <w:rPr>
                <w:sz w:val="28"/>
                <w:szCs w:val="28"/>
                <w:lang w:val="en-GB"/>
              </w:rPr>
              <w:t>Exempt Sales</w:t>
            </w:r>
          </w:p>
          <w:p w14:paraId="063FC8EF" w14:textId="77777777" w:rsidR="00BE42A0" w:rsidRPr="001023F2" w:rsidRDefault="00BE42A0" w:rsidP="00FA25B7">
            <w:pPr>
              <w:spacing w:line="240" w:lineRule="atLeast"/>
              <w:jc w:val="center"/>
              <w:rPr>
                <w:b/>
                <w:color w:val="000000" w:themeColor="text1"/>
                <w:sz w:val="28"/>
                <w:szCs w:val="28"/>
                <w:lang w:val="en-US"/>
              </w:rPr>
            </w:pPr>
            <w:r w:rsidRPr="001023F2">
              <w:rPr>
                <w:b/>
                <w:sz w:val="28"/>
                <w:szCs w:val="28"/>
                <w:lang w:val="en-GB"/>
              </w:rPr>
              <w:t>C</w:t>
            </w:r>
          </w:p>
        </w:tc>
        <w:tc>
          <w:tcPr>
            <w:tcW w:w="1184" w:type="pct"/>
            <w:shd w:val="clear" w:color="auto" w:fill="D9D9D9" w:themeFill="background1" w:themeFillShade="D9"/>
          </w:tcPr>
          <w:p w14:paraId="580C3C42" w14:textId="77777777" w:rsidR="00BE42A0" w:rsidRPr="001023F2" w:rsidRDefault="00BE42A0" w:rsidP="00FA25B7">
            <w:pPr>
              <w:spacing w:line="240" w:lineRule="atLeast"/>
              <w:jc w:val="center"/>
              <w:rPr>
                <w:sz w:val="28"/>
                <w:szCs w:val="28"/>
                <w:lang w:val="en-GB"/>
              </w:rPr>
            </w:pPr>
            <w:r w:rsidRPr="001023F2">
              <w:rPr>
                <w:sz w:val="28"/>
                <w:szCs w:val="28"/>
                <w:lang w:val="en-GB"/>
              </w:rPr>
              <w:t>Taxable Sales</w:t>
            </w:r>
          </w:p>
          <w:p w14:paraId="68709C19" w14:textId="77777777" w:rsidR="00BE42A0" w:rsidRPr="001023F2" w:rsidRDefault="00BE42A0" w:rsidP="00FA25B7">
            <w:pPr>
              <w:spacing w:line="240" w:lineRule="atLeast"/>
              <w:jc w:val="center"/>
              <w:rPr>
                <w:b/>
                <w:color w:val="000000" w:themeColor="text1"/>
                <w:sz w:val="28"/>
                <w:szCs w:val="28"/>
                <w:lang w:val="en-US"/>
              </w:rPr>
            </w:pPr>
            <w:r w:rsidRPr="001023F2">
              <w:rPr>
                <w:b/>
                <w:sz w:val="28"/>
                <w:szCs w:val="28"/>
                <w:lang w:val="en-GB"/>
              </w:rPr>
              <w:t>D = B-C</w:t>
            </w:r>
          </w:p>
        </w:tc>
        <w:tc>
          <w:tcPr>
            <w:tcW w:w="1105" w:type="pct"/>
            <w:shd w:val="clear" w:color="auto" w:fill="D9D9D9" w:themeFill="background1" w:themeFillShade="D9"/>
          </w:tcPr>
          <w:p w14:paraId="4321490B" w14:textId="77777777" w:rsidR="00BE42A0" w:rsidRPr="001023F2" w:rsidRDefault="00BE42A0" w:rsidP="00FA25B7">
            <w:pPr>
              <w:spacing w:line="240" w:lineRule="atLeast"/>
              <w:jc w:val="center"/>
              <w:rPr>
                <w:sz w:val="28"/>
                <w:szCs w:val="28"/>
                <w:lang w:val="en-GB"/>
              </w:rPr>
            </w:pPr>
            <w:r w:rsidRPr="001023F2">
              <w:rPr>
                <w:sz w:val="28"/>
                <w:szCs w:val="28"/>
                <w:lang w:val="en-GB"/>
              </w:rPr>
              <w:t>VAT</w:t>
            </w:r>
          </w:p>
          <w:p w14:paraId="6EFBFC4A" w14:textId="77777777" w:rsidR="00BE42A0" w:rsidRPr="001023F2" w:rsidRDefault="00BE42A0" w:rsidP="00FA25B7">
            <w:pPr>
              <w:spacing w:line="240" w:lineRule="atLeast"/>
              <w:jc w:val="center"/>
              <w:rPr>
                <w:b/>
                <w:sz w:val="28"/>
                <w:szCs w:val="28"/>
                <w:lang w:val="en-GB"/>
              </w:rPr>
            </w:pPr>
            <w:r w:rsidRPr="001023F2">
              <w:rPr>
                <w:b/>
                <w:sz w:val="28"/>
                <w:szCs w:val="28"/>
                <w:lang w:val="en-GB"/>
              </w:rPr>
              <w:t>E = D*20/100</w:t>
            </w:r>
          </w:p>
        </w:tc>
      </w:tr>
      <w:tr w:rsidR="00BE42A0" w:rsidRPr="00FA25B7" w14:paraId="6C66059D" w14:textId="77777777" w:rsidTr="00AA55B8">
        <w:tc>
          <w:tcPr>
            <w:tcW w:w="657" w:type="pct"/>
          </w:tcPr>
          <w:p w14:paraId="37952F5D" w14:textId="77777777" w:rsidR="00BE42A0" w:rsidRPr="001023F2" w:rsidRDefault="00BE42A0" w:rsidP="00FA25B7">
            <w:pPr>
              <w:spacing w:line="240" w:lineRule="atLeast"/>
              <w:jc w:val="center"/>
              <w:rPr>
                <w:color w:val="000000" w:themeColor="text1"/>
                <w:sz w:val="28"/>
                <w:szCs w:val="28"/>
                <w:lang w:val="en-US"/>
              </w:rPr>
            </w:pPr>
          </w:p>
        </w:tc>
        <w:tc>
          <w:tcPr>
            <w:tcW w:w="1027" w:type="pct"/>
          </w:tcPr>
          <w:p w14:paraId="7146CCA9" w14:textId="77777777" w:rsidR="00BE42A0" w:rsidRPr="001023F2" w:rsidRDefault="00BE42A0" w:rsidP="00FA25B7">
            <w:pPr>
              <w:spacing w:line="240" w:lineRule="atLeast"/>
              <w:jc w:val="center"/>
              <w:rPr>
                <w:color w:val="000000" w:themeColor="text1"/>
                <w:sz w:val="28"/>
                <w:szCs w:val="28"/>
                <w:lang w:val="en-US"/>
              </w:rPr>
            </w:pPr>
          </w:p>
        </w:tc>
        <w:tc>
          <w:tcPr>
            <w:tcW w:w="1027" w:type="pct"/>
          </w:tcPr>
          <w:p w14:paraId="44267358" w14:textId="77777777" w:rsidR="00BE42A0" w:rsidRPr="001023F2" w:rsidRDefault="00BE42A0" w:rsidP="00FA25B7">
            <w:pPr>
              <w:spacing w:line="240" w:lineRule="atLeast"/>
              <w:jc w:val="center"/>
              <w:rPr>
                <w:color w:val="000000" w:themeColor="text1"/>
                <w:sz w:val="28"/>
                <w:szCs w:val="28"/>
                <w:lang w:val="en-US"/>
              </w:rPr>
            </w:pPr>
          </w:p>
        </w:tc>
        <w:tc>
          <w:tcPr>
            <w:tcW w:w="1184" w:type="pct"/>
          </w:tcPr>
          <w:p w14:paraId="1223CBDE" w14:textId="77777777" w:rsidR="00BE42A0" w:rsidRPr="001023F2" w:rsidRDefault="00BE42A0" w:rsidP="00FA25B7">
            <w:pPr>
              <w:spacing w:line="240" w:lineRule="atLeast"/>
              <w:jc w:val="center"/>
              <w:rPr>
                <w:color w:val="000000" w:themeColor="text1"/>
                <w:sz w:val="28"/>
                <w:szCs w:val="28"/>
                <w:lang w:val="en-US"/>
              </w:rPr>
            </w:pPr>
          </w:p>
        </w:tc>
        <w:tc>
          <w:tcPr>
            <w:tcW w:w="1105" w:type="pct"/>
          </w:tcPr>
          <w:p w14:paraId="0250AF69" w14:textId="77777777" w:rsidR="00BE42A0" w:rsidRPr="001023F2" w:rsidRDefault="00BE42A0" w:rsidP="00FA25B7">
            <w:pPr>
              <w:spacing w:line="240" w:lineRule="atLeast"/>
              <w:jc w:val="center"/>
              <w:rPr>
                <w:color w:val="000000" w:themeColor="text1"/>
                <w:sz w:val="28"/>
                <w:szCs w:val="28"/>
                <w:lang w:val="en-US"/>
              </w:rPr>
            </w:pPr>
          </w:p>
        </w:tc>
      </w:tr>
      <w:tr w:rsidR="00BE42A0" w:rsidRPr="00FA25B7" w14:paraId="5C04EEDD" w14:textId="77777777" w:rsidTr="00AA55B8">
        <w:tc>
          <w:tcPr>
            <w:tcW w:w="657" w:type="pct"/>
          </w:tcPr>
          <w:p w14:paraId="20F25A44" w14:textId="77777777" w:rsidR="00BE42A0" w:rsidRPr="001023F2" w:rsidRDefault="00BE42A0" w:rsidP="00FA25B7">
            <w:pPr>
              <w:spacing w:line="240" w:lineRule="atLeast"/>
              <w:jc w:val="center"/>
              <w:rPr>
                <w:color w:val="000000" w:themeColor="text1"/>
                <w:sz w:val="28"/>
                <w:szCs w:val="28"/>
                <w:lang w:val="en-US"/>
              </w:rPr>
            </w:pPr>
          </w:p>
        </w:tc>
        <w:tc>
          <w:tcPr>
            <w:tcW w:w="1027" w:type="pct"/>
          </w:tcPr>
          <w:p w14:paraId="0C7DA146" w14:textId="77777777" w:rsidR="00BE42A0" w:rsidRPr="001023F2" w:rsidRDefault="00BE42A0" w:rsidP="00FA25B7">
            <w:pPr>
              <w:spacing w:line="240" w:lineRule="atLeast"/>
              <w:jc w:val="center"/>
              <w:rPr>
                <w:color w:val="000000" w:themeColor="text1"/>
                <w:sz w:val="28"/>
                <w:szCs w:val="28"/>
                <w:lang w:val="en-US"/>
              </w:rPr>
            </w:pPr>
          </w:p>
        </w:tc>
        <w:tc>
          <w:tcPr>
            <w:tcW w:w="1027" w:type="pct"/>
          </w:tcPr>
          <w:p w14:paraId="4AA0A13E" w14:textId="77777777" w:rsidR="00BE42A0" w:rsidRPr="001023F2" w:rsidRDefault="00BE42A0" w:rsidP="00FA25B7">
            <w:pPr>
              <w:spacing w:line="240" w:lineRule="atLeast"/>
              <w:jc w:val="center"/>
              <w:rPr>
                <w:color w:val="000000" w:themeColor="text1"/>
                <w:sz w:val="28"/>
                <w:szCs w:val="28"/>
                <w:lang w:val="en-US"/>
              </w:rPr>
            </w:pPr>
          </w:p>
        </w:tc>
        <w:tc>
          <w:tcPr>
            <w:tcW w:w="1184" w:type="pct"/>
          </w:tcPr>
          <w:p w14:paraId="0F56A4D0" w14:textId="77777777" w:rsidR="00BE42A0" w:rsidRPr="001023F2" w:rsidRDefault="00BE42A0" w:rsidP="00FA25B7">
            <w:pPr>
              <w:spacing w:line="240" w:lineRule="atLeast"/>
              <w:jc w:val="center"/>
              <w:rPr>
                <w:color w:val="000000" w:themeColor="text1"/>
                <w:sz w:val="28"/>
                <w:szCs w:val="28"/>
                <w:lang w:val="en-US"/>
              </w:rPr>
            </w:pPr>
          </w:p>
        </w:tc>
        <w:tc>
          <w:tcPr>
            <w:tcW w:w="1105" w:type="pct"/>
          </w:tcPr>
          <w:p w14:paraId="09FD7883" w14:textId="77777777" w:rsidR="00BE42A0" w:rsidRPr="001023F2" w:rsidRDefault="00BE42A0" w:rsidP="00FA25B7">
            <w:pPr>
              <w:spacing w:line="240" w:lineRule="atLeast"/>
              <w:jc w:val="center"/>
              <w:rPr>
                <w:color w:val="000000" w:themeColor="text1"/>
                <w:sz w:val="28"/>
                <w:szCs w:val="28"/>
                <w:lang w:val="en-US"/>
              </w:rPr>
            </w:pPr>
          </w:p>
        </w:tc>
      </w:tr>
      <w:tr w:rsidR="00BE42A0" w:rsidRPr="00FA25B7" w14:paraId="68B5E27B" w14:textId="77777777" w:rsidTr="00AA55B8">
        <w:tc>
          <w:tcPr>
            <w:tcW w:w="657" w:type="pct"/>
          </w:tcPr>
          <w:p w14:paraId="444C73BE" w14:textId="77777777" w:rsidR="00BE42A0" w:rsidRPr="00FA25B7" w:rsidRDefault="00BE42A0" w:rsidP="00FA25B7">
            <w:pPr>
              <w:spacing w:line="240" w:lineRule="atLeast"/>
              <w:rPr>
                <w:b/>
                <w:color w:val="000000" w:themeColor="text1"/>
                <w:sz w:val="28"/>
                <w:szCs w:val="28"/>
                <w:lang w:val="en-US"/>
              </w:rPr>
            </w:pPr>
            <w:r w:rsidRPr="00FA25B7">
              <w:rPr>
                <w:b/>
                <w:sz w:val="28"/>
                <w:szCs w:val="28"/>
                <w:lang w:val="en-GB"/>
              </w:rPr>
              <w:t>Total</w:t>
            </w:r>
          </w:p>
        </w:tc>
        <w:tc>
          <w:tcPr>
            <w:tcW w:w="1027" w:type="pct"/>
          </w:tcPr>
          <w:p w14:paraId="44012999" w14:textId="77777777" w:rsidR="00BE42A0" w:rsidRPr="00FA25B7" w:rsidRDefault="00BE42A0" w:rsidP="00FA25B7">
            <w:pPr>
              <w:spacing w:line="240" w:lineRule="atLeast"/>
              <w:jc w:val="center"/>
              <w:rPr>
                <w:b/>
                <w:color w:val="000000" w:themeColor="text1"/>
                <w:sz w:val="28"/>
                <w:szCs w:val="28"/>
                <w:lang w:val="en-US"/>
              </w:rPr>
            </w:pPr>
          </w:p>
        </w:tc>
        <w:tc>
          <w:tcPr>
            <w:tcW w:w="1027" w:type="pct"/>
          </w:tcPr>
          <w:p w14:paraId="7BA5A9CC" w14:textId="77777777" w:rsidR="00BE42A0" w:rsidRPr="00FA25B7" w:rsidRDefault="00BE42A0" w:rsidP="00FA25B7">
            <w:pPr>
              <w:spacing w:line="240" w:lineRule="atLeast"/>
              <w:jc w:val="center"/>
              <w:rPr>
                <w:b/>
                <w:color w:val="000000" w:themeColor="text1"/>
                <w:sz w:val="28"/>
                <w:szCs w:val="28"/>
                <w:lang w:val="en-US"/>
              </w:rPr>
            </w:pPr>
          </w:p>
        </w:tc>
        <w:tc>
          <w:tcPr>
            <w:tcW w:w="1184" w:type="pct"/>
          </w:tcPr>
          <w:p w14:paraId="1D6FE16F" w14:textId="77777777" w:rsidR="00BE42A0" w:rsidRPr="00FA25B7" w:rsidRDefault="00BE42A0" w:rsidP="00FA25B7">
            <w:pPr>
              <w:spacing w:line="240" w:lineRule="atLeast"/>
              <w:jc w:val="center"/>
              <w:rPr>
                <w:b/>
                <w:color w:val="000000" w:themeColor="text1"/>
                <w:sz w:val="28"/>
                <w:szCs w:val="28"/>
                <w:lang w:val="en-US"/>
              </w:rPr>
            </w:pPr>
          </w:p>
        </w:tc>
        <w:tc>
          <w:tcPr>
            <w:tcW w:w="1105" w:type="pct"/>
          </w:tcPr>
          <w:p w14:paraId="68282F92" w14:textId="77777777" w:rsidR="00BE42A0" w:rsidRPr="00FA25B7" w:rsidRDefault="00BE42A0" w:rsidP="00FA25B7">
            <w:pPr>
              <w:spacing w:line="240" w:lineRule="atLeast"/>
              <w:jc w:val="center"/>
              <w:rPr>
                <w:b/>
                <w:color w:val="000000" w:themeColor="text1"/>
                <w:sz w:val="28"/>
                <w:szCs w:val="28"/>
                <w:lang w:val="en-US"/>
              </w:rPr>
            </w:pPr>
          </w:p>
        </w:tc>
      </w:tr>
    </w:tbl>
    <w:p w14:paraId="24BE7ED9" w14:textId="77777777" w:rsidR="00BE42A0" w:rsidRPr="00FA25B7" w:rsidRDefault="00BE42A0" w:rsidP="00FA25B7">
      <w:pPr>
        <w:spacing w:line="240" w:lineRule="atLeast"/>
        <w:ind w:firstLine="357"/>
        <w:jc w:val="both"/>
        <w:rPr>
          <w:color w:val="000000" w:themeColor="text1"/>
          <w:sz w:val="28"/>
          <w:szCs w:val="28"/>
          <w:lang w:val="en-US"/>
        </w:rPr>
      </w:pPr>
    </w:p>
    <w:p w14:paraId="3B150F78" w14:textId="77777777" w:rsidR="00BE42A0" w:rsidRPr="001023F2" w:rsidRDefault="00BE42A0" w:rsidP="001023F2">
      <w:pPr>
        <w:spacing w:after="200" w:line="240" w:lineRule="atLeast"/>
        <w:ind w:left="426" w:hanging="360"/>
        <w:contextualSpacing/>
        <w:jc w:val="both"/>
        <w:rPr>
          <w:rFonts w:eastAsiaTheme="minorHAnsi"/>
          <w:color w:val="000000" w:themeColor="text1"/>
          <w:sz w:val="28"/>
          <w:szCs w:val="28"/>
          <w:lang w:val="en-US"/>
        </w:rPr>
      </w:pPr>
      <w:r w:rsidRPr="001023F2">
        <w:rPr>
          <w:rFonts w:eastAsiaTheme="minorHAnsi"/>
          <w:color w:val="000000" w:themeColor="text1"/>
          <w:sz w:val="28"/>
          <w:szCs w:val="28"/>
          <w:lang w:val="en-US"/>
        </w:rPr>
        <w:t>4. Colombio Ltd imports 100 cartons of jute bags from China. Each carton contains 200 pieces. The customs duty rate for the jute bags is US</w:t>
      </w:r>
      <w:r w:rsidR="00674331">
        <w:rPr>
          <w:rFonts w:eastAsiaTheme="minorHAnsi"/>
          <w:color w:val="000000" w:themeColor="text1"/>
          <w:sz w:val="28"/>
          <w:szCs w:val="28"/>
          <w:lang w:val="en-US"/>
        </w:rPr>
        <w:t>D</w:t>
      </w:r>
      <w:r w:rsidRPr="001023F2">
        <w:rPr>
          <w:rFonts w:eastAsiaTheme="minorHAnsi"/>
          <w:color w:val="000000" w:themeColor="text1"/>
          <w:sz w:val="28"/>
          <w:szCs w:val="28"/>
          <w:lang w:val="en-US"/>
        </w:rPr>
        <w:t xml:space="preserve"> 0.45 per piece. Assuming </w:t>
      </w:r>
      <w:r w:rsidR="009D094B">
        <w:rPr>
          <w:rFonts w:eastAsiaTheme="minorHAnsi"/>
          <w:color w:val="000000" w:themeColor="text1"/>
          <w:sz w:val="28"/>
          <w:szCs w:val="28"/>
          <w:lang w:val="en-US"/>
        </w:rPr>
        <w:t xml:space="preserve">that </w:t>
      </w:r>
      <w:r w:rsidRPr="001023F2">
        <w:rPr>
          <w:rFonts w:eastAsiaTheme="minorHAnsi"/>
          <w:color w:val="000000" w:themeColor="text1"/>
          <w:sz w:val="28"/>
          <w:szCs w:val="28"/>
          <w:lang w:val="en-US"/>
        </w:rPr>
        <w:t>the exchange rate is UAH 25</w:t>
      </w:r>
      <w:r w:rsidR="009D094B">
        <w:rPr>
          <w:rFonts w:eastAsiaTheme="minorHAnsi"/>
          <w:color w:val="000000" w:themeColor="text1"/>
          <w:sz w:val="28"/>
          <w:szCs w:val="28"/>
          <w:lang w:val="en-US"/>
        </w:rPr>
        <w:t>.</w:t>
      </w:r>
      <w:r w:rsidRPr="001023F2">
        <w:rPr>
          <w:rFonts w:eastAsiaTheme="minorHAnsi"/>
          <w:color w:val="000000" w:themeColor="text1"/>
          <w:sz w:val="28"/>
          <w:szCs w:val="28"/>
          <w:lang w:val="en-US"/>
        </w:rPr>
        <w:t xml:space="preserve">0 </w:t>
      </w:r>
      <w:r w:rsidR="00674331">
        <w:rPr>
          <w:rFonts w:eastAsiaTheme="minorHAnsi"/>
          <w:color w:val="000000" w:themeColor="text1"/>
          <w:sz w:val="28"/>
          <w:szCs w:val="28"/>
          <w:lang w:val="en-US"/>
        </w:rPr>
        <w:t>per</w:t>
      </w:r>
      <w:r w:rsidRPr="001023F2">
        <w:rPr>
          <w:rFonts w:eastAsiaTheme="minorHAnsi"/>
          <w:color w:val="000000" w:themeColor="text1"/>
          <w:sz w:val="28"/>
          <w:szCs w:val="28"/>
          <w:lang w:val="en-US"/>
        </w:rPr>
        <w:t xml:space="preserve"> </w:t>
      </w:r>
      <w:r w:rsidR="00674331">
        <w:rPr>
          <w:rFonts w:eastAsiaTheme="minorHAnsi"/>
          <w:color w:val="000000" w:themeColor="text1"/>
          <w:sz w:val="28"/>
          <w:szCs w:val="28"/>
          <w:lang w:val="en-US"/>
        </w:rPr>
        <w:t xml:space="preserve">a </w:t>
      </w:r>
      <w:r w:rsidRPr="001023F2">
        <w:rPr>
          <w:rFonts w:eastAsiaTheme="minorHAnsi"/>
          <w:color w:val="000000" w:themeColor="text1"/>
          <w:sz w:val="28"/>
          <w:szCs w:val="28"/>
          <w:lang w:val="en-US"/>
        </w:rPr>
        <w:t>dollar, determine the customs duty payable.</w:t>
      </w:r>
    </w:p>
    <w:p w14:paraId="31FF30C2" w14:textId="77777777" w:rsidR="00BE42A0" w:rsidRPr="00FA25B7" w:rsidRDefault="00BE42A0" w:rsidP="00FA25B7">
      <w:pPr>
        <w:spacing w:line="240" w:lineRule="atLeast"/>
        <w:ind w:firstLine="357"/>
        <w:jc w:val="both"/>
        <w:rPr>
          <w:color w:val="000000" w:themeColor="text1"/>
          <w:sz w:val="28"/>
          <w:szCs w:val="28"/>
          <w:lang w:val="en-US"/>
        </w:rPr>
      </w:pPr>
    </w:p>
    <w:p w14:paraId="25FE44DD" w14:textId="77777777" w:rsidR="00BE42A0" w:rsidRPr="001023F2" w:rsidRDefault="00BE42A0" w:rsidP="001023F2">
      <w:pPr>
        <w:spacing w:after="200" w:line="240" w:lineRule="atLeast"/>
        <w:ind w:left="426" w:hanging="360"/>
        <w:contextualSpacing/>
        <w:jc w:val="both"/>
        <w:rPr>
          <w:rFonts w:eastAsiaTheme="minorHAnsi"/>
          <w:color w:val="000000" w:themeColor="text1"/>
          <w:sz w:val="28"/>
          <w:szCs w:val="28"/>
          <w:lang w:val="en-US"/>
        </w:rPr>
      </w:pPr>
      <w:r w:rsidRPr="001023F2">
        <w:rPr>
          <w:rFonts w:eastAsiaTheme="minorHAnsi"/>
          <w:color w:val="000000" w:themeColor="text1"/>
          <w:sz w:val="28"/>
          <w:szCs w:val="28"/>
          <w:lang w:val="en-US"/>
        </w:rPr>
        <w:t>5. Colombio Ltd is an exporter of hides and skins. They have 10 plates of wet salted hides and skin</w:t>
      </w:r>
      <w:r w:rsidR="00674331">
        <w:rPr>
          <w:rFonts w:eastAsiaTheme="minorHAnsi"/>
          <w:color w:val="000000" w:themeColor="text1"/>
          <w:sz w:val="28"/>
          <w:szCs w:val="28"/>
          <w:lang w:val="en-US"/>
        </w:rPr>
        <w:t>s</w:t>
      </w:r>
      <w:r w:rsidRPr="001023F2">
        <w:rPr>
          <w:rFonts w:eastAsiaTheme="minorHAnsi"/>
          <w:color w:val="000000" w:themeColor="text1"/>
          <w:sz w:val="28"/>
          <w:szCs w:val="28"/>
          <w:lang w:val="en-US"/>
        </w:rPr>
        <w:t xml:space="preserve"> of various grades and weights and values in a 1 x 20 container with details as here below:</w:t>
      </w:r>
    </w:p>
    <w:p w14:paraId="26A4A994" w14:textId="77777777" w:rsidR="00BE42A0" w:rsidRPr="00FA25B7" w:rsidRDefault="00BE42A0" w:rsidP="00FA25B7">
      <w:pPr>
        <w:spacing w:line="240" w:lineRule="atLeast"/>
        <w:ind w:firstLine="357"/>
        <w:jc w:val="center"/>
        <w:rPr>
          <w:b/>
          <w:color w:val="000000" w:themeColor="text1"/>
          <w:sz w:val="28"/>
          <w:szCs w:val="28"/>
          <w:lang w:val="en-US"/>
        </w:rPr>
      </w:pPr>
      <w:r w:rsidRPr="00FA25B7">
        <w:rPr>
          <w:b/>
          <w:color w:val="000000" w:themeColor="text1"/>
          <w:sz w:val="28"/>
          <w:szCs w:val="28"/>
          <w:lang w:val="en-US"/>
        </w:rPr>
        <w:t>Additional information</w:t>
      </w:r>
    </w:p>
    <w:tbl>
      <w:tblPr>
        <w:tblStyle w:val="32"/>
        <w:tblW w:w="0" w:type="auto"/>
        <w:tblInd w:w="491" w:type="dxa"/>
        <w:tblLayout w:type="fixed"/>
        <w:tblLook w:val="04A0" w:firstRow="1" w:lastRow="0" w:firstColumn="1" w:lastColumn="0" w:noHBand="0" w:noVBand="1"/>
      </w:tblPr>
      <w:tblGrid>
        <w:gridCol w:w="683"/>
        <w:gridCol w:w="1911"/>
        <w:gridCol w:w="1418"/>
        <w:gridCol w:w="2765"/>
        <w:gridCol w:w="2154"/>
      </w:tblGrid>
      <w:tr w:rsidR="00BE42A0" w:rsidRPr="00FA25B7" w14:paraId="279F7F6D" w14:textId="77777777" w:rsidTr="00AA55B8">
        <w:tc>
          <w:tcPr>
            <w:tcW w:w="683" w:type="dxa"/>
            <w:shd w:val="clear" w:color="auto" w:fill="D9D9D9" w:themeFill="background1" w:themeFillShade="D9"/>
            <w:vAlign w:val="center"/>
          </w:tcPr>
          <w:p w14:paraId="160A5DB2" w14:textId="77777777" w:rsidR="00BE42A0" w:rsidRPr="00FA25B7" w:rsidRDefault="00BE42A0" w:rsidP="00FA25B7">
            <w:pPr>
              <w:spacing w:line="240" w:lineRule="atLeast"/>
              <w:jc w:val="center"/>
              <w:rPr>
                <w:b/>
                <w:color w:val="000000" w:themeColor="text1"/>
                <w:sz w:val="28"/>
                <w:szCs w:val="28"/>
                <w:lang w:val="en-US"/>
              </w:rPr>
            </w:pPr>
            <w:r w:rsidRPr="00FA25B7">
              <w:rPr>
                <w:b/>
                <w:color w:val="000000" w:themeColor="text1"/>
                <w:sz w:val="28"/>
                <w:szCs w:val="28"/>
                <w:lang w:val="en-US"/>
              </w:rPr>
              <w:t>No</w:t>
            </w:r>
          </w:p>
        </w:tc>
        <w:tc>
          <w:tcPr>
            <w:tcW w:w="1911" w:type="dxa"/>
            <w:shd w:val="clear" w:color="auto" w:fill="D9D9D9" w:themeFill="background1" w:themeFillShade="D9"/>
            <w:vAlign w:val="center"/>
          </w:tcPr>
          <w:p w14:paraId="26B941B8" w14:textId="77777777" w:rsidR="00BE42A0" w:rsidRPr="00FA25B7" w:rsidRDefault="00BE42A0" w:rsidP="00FA25B7">
            <w:pPr>
              <w:spacing w:line="240" w:lineRule="atLeast"/>
              <w:jc w:val="center"/>
              <w:rPr>
                <w:b/>
                <w:color w:val="000000" w:themeColor="text1"/>
                <w:sz w:val="28"/>
                <w:szCs w:val="28"/>
                <w:lang w:val="en-US"/>
              </w:rPr>
            </w:pPr>
            <w:r w:rsidRPr="00FA25B7">
              <w:rPr>
                <w:b/>
                <w:color w:val="000000" w:themeColor="text1"/>
                <w:sz w:val="28"/>
                <w:szCs w:val="28"/>
                <w:lang w:val="en-US"/>
              </w:rPr>
              <w:t>Skin grades</w:t>
            </w:r>
          </w:p>
        </w:tc>
        <w:tc>
          <w:tcPr>
            <w:tcW w:w="1418" w:type="dxa"/>
            <w:shd w:val="clear" w:color="auto" w:fill="D9D9D9" w:themeFill="background1" w:themeFillShade="D9"/>
            <w:vAlign w:val="center"/>
          </w:tcPr>
          <w:p w14:paraId="2C1AF155" w14:textId="77777777" w:rsidR="00BE42A0" w:rsidRPr="00FA25B7" w:rsidRDefault="00BE42A0" w:rsidP="00FA25B7">
            <w:pPr>
              <w:spacing w:line="240" w:lineRule="atLeast"/>
              <w:jc w:val="center"/>
              <w:rPr>
                <w:b/>
                <w:color w:val="000000" w:themeColor="text1"/>
                <w:sz w:val="28"/>
                <w:szCs w:val="28"/>
                <w:lang w:val="en-US"/>
              </w:rPr>
            </w:pPr>
            <w:r w:rsidRPr="00FA25B7">
              <w:rPr>
                <w:b/>
                <w:color w:val="000000" w:themeColor="text1"/>
                <w:sz w:val="28"/>
                <w:szCs w:val="28"/>
                <w:lang w:val="en-US"/>
              </w:rPr>
              <w:t>Weight</w:t>
            </w:r>
          </w:p>
        </w:tc>
        <w:tc>
          <w:tcPr>
            <w:tcW w:w="2765" w:type="dxa"/>
            <w:shd w:val="clear" w:color="auto" w:fill="D9D9D9" w:themeFill="background1" w:themeFillShade="D9"/>
            <w:vAlign w:val="center"/>
          </w:tcPr>
          <w:p w14:paraId="20A91A47" w14:textId="77777777" w:rsidR="00BE42A0" w:rsidRPr="00FA25B7" w:rsidRDefault="00BE42A0" w:rsidP="00FA25B7">
            <w:pPr>
              <w:spacing w:line="240" w:lineRule="atLeast"/>
              <w:jc w:val="center"/>
              <w:rPr>
                <w:b/>
                <w:color w:val="000000" w:themeColor="text1"/>
                <w:sz w:val="28"/>
                <w:szCs w:val="28"/>
                <w:lang w:val="en-US"/>
              </w:rPr>
            </w:pPr>
            <w:r w:rsidRPr="00FA25B7">
              <w:rPr>
                <w:b/>
                <w:color w:val="000000" w:themeColor="text1"/>
                <w:sz w:val="28"/>
                <w:szCs w:val="28"/>
                <w:lang w:val="en-US"/>
              </w:rPr>
              <w:t>Value/grade/Kg</w:t>
            </w:r>
          </w:p>
          <w:p w14:paraId="1261EBD0" w14:textId="77777777" w:rsidR="00BE42A0" w:rsidRPr="00FA25B7" w:rsidRDefault="00BE42A0" w:rsidP="00674331">
            <w:pPr>
              <w:spacing w:line="240" w:lineRule="atLeast"/>
              <w:jc w:val="center"/>
              <w:rPr>
                <w:b/>
                <w:color w:val="000000" w:themeColor="text1"/>
                <w:sz w:val="28"/>
                <w:szCs w:val="28"/>
                <w:lang w:val="en-US"/>
              </w:rPr>
            </w:pPr>
            <w:r w:rsidRPr="00FA25B7">
              <w:rPr>
                <w:b/>
                <w:color w:val="000000" w:themeColor="text1"/>
                <w:sz w:val="28"/>
                <w:szCs w:val="28"/>
                <w:lang w:val="en-US"/>
              </w:rPr>
              <w:t>in US</w:t>
            </w:r>
            <w:r w:rsidR="00674331">
              <w:rPr>
                <w:b/>
                <w:color w:val="000000" w:themeColor="text1"/>
                <w:sz w:val="28"/>
                <w:szCs w:val="28"/>
                <w:lang w:val="en-US"/>
              </w:rPr>
              <w:t>D</w:t>
            </w:r>
          </w:p>
        </w:tc>
        <w:tc>
          <w:tcPr>
            <w:tcW w:w="2154" w:type="dxa"/>
            <w:shd w:val="clear" w:color="auto" w:fill="D9D9D9" w:themeFill="background1" w:themeFillShade="D9"/>
            <w:vAlign w:val="center"/>
          </w:tcPr>
          <w:p w14:paraId="51A0521E" w14:textId="77777777" w:rsidR="00BE42A0" w:rsidRPr="00FA25B7" w:rsidRDefault="00BE42A0" w:rsidP="00FA25B7">
            <w:pPr>
              <w:spacing w:line="240" w:lineRule="atLeast"/>
              <w:jc w:val="center"/>
              <w:rPr>
                <w:b/>
                <w:color w:val="000000" w:themeColor="text1"/>
                <w:sz w:val="28"/>
                <w:szCs w:val="28"/>
                <w:lang w:val="en-US"/>
              </w:rPr>
            </w:pPr>
            <w:r w:rsidRPr="00FA25B7">
              <w:rPr>
                <w:b/>
                <w:color w:val="000000" w:themeColor="text1"/>
                <w:sz w:val="28"/>
                <w:szCs w:val="28"/>
                <w:lang w:val="en-US"/>
              </w:rPr>
              <w:t>Export duty</w:t>
            </w:r>
          </w:p>
          <w:p w14:paraId="0E7B34A6" w14:textId="77777777" w:rsidR="00BE42A0" w:rsidRPr="00FA25B7" w:rsidRDefault="00BE42A0" w:rsidP="00674331">
            <w:pPr>
              <w:spacing w:line="240" w:lineRule="atLeast"/>
              <w:jc w:val="center"/>
              <w:rPr>
                <w:b/>
                <w:color w:val="000000" w:themeColor="text1"/>
                <w:sz w:val="28"/>
                <w:szCs w:val="28"/>
                <w:lang w:val="en-US"/>
              </w:rPr>
            </w:pPr>
            <w:r w:rsidRPr="00FA25B7">
              <w:rPr>
                <w:b/>
                <w:color w:val="000000" w:themeColor="text1"/>
                <w:sz w:val="28"/>
                <w:szCs w:val="28"/>
                <w:lang w:val="en-US"/>
              </w:rPr>
              <w:t>in US</w:t>
            </w:r>
            <w:r w:rsidR="00674331">
              <w:rPr>
                <w:b/>
                <w:color w:val="000000" w:themeColor="text1"/>
                <w:sz w:val="28"/>
                <w:szCs w:val="28"/>
                <w:lang w:val="en-US"/>
              </w:rPr>
              <w:t>D</w:t>
            </w:r>
          </w:p>
        </w:tc>
      </w:tr>
      <w:tr w:rsidR="00BE42A0" w:rsidRPr="00FA25B7" w14:paraId="40E4CA88" w14:textId="77777777" w:rsidTr="00AA55B8">
        <w:tc>
          <w:tcPr>
            <w:tcW w:w="683" w:type="dxa"/>
            <w:vAlign w:val="center"/>
          </w:tcPr>
          <w:p w14:paraId="2CE83823"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1</w:t>
            </w:r>
          </w:p>
        </w:tc>
        <w:tc>
          <w:tcPr>
            <w:tcW w:w="1911" w:type="dxa"/>
            <w:vAlign w:val="center"/>
          </w:tcPr>
          <w:p w14:paraId="63BE71C0"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 xml:space="preserve">Grade I and II </w:t>
            </w:r>
          </w:p>
        </w:tc>
        <w:tc>
          <w:tcPr>
            <w:tcW w:w="1418" w:type="dxa"/>
            <w:vAlign w:val="center"/>
          </w:tcPr>
          <w:p w14:paraId="1C1EC731"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7,500 kg</w:t>
            </w:r>
          </w:p>
        </w:tc>
        <w:tc>
          <w:tcPr>
            <w:tcW w:w="2765" w:type="dxa"/>
            <w:vAlign w:val="center"/>
          </w:tcPr>
          <w:p w14:paraId="63CC609D"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US$ 0.25 per kg</w:t>
            </w:r>
          </w:p>
        </w:tc>
        <w:tc>
          <w:tcPr>
            <w:tcW w:w="2154" w:type="dxa"/>
            <w:vAlign w:val="center"/>
          </w:tcPr>
          <w:p w14:paraId="32A3619E"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1,875</w:t>
            </w:r>
          </w:p>
        </w:tc>
      </w:tr>
      <w:tr w:rsidR="00BE42A0" w:rsidRPr="00FA25B7" w14:paraId="541BE62E" w14:textId="77777777" w:rsidTr="00AA55B8">
        <w:tc>
          <w:tcPr>
            <w:tcW w:w="683" w:type="dxa"/>
            <w:vAlign w:val="center"/>
          </w:tcPr>
          <w:p w14:paraId="243A9EF8"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2</w:t>
            </w:r>
          </w:p>
        </w:tc>
        <w:tc>
          <w:tcPr>
            <w:tcW w:w="1911" w:type="dxa"/>
            <w:vAlign w:val="center"/>
          </w:tcPr>
          <w:p w14:paraId="77F16895"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 xml:space="preserve">Grade III and IV </w:t>
            </w:r>
          </w:p>
        </w:tc>
        <w:tc>
          <w:tcPr>
            <w:tcW w:w="1418" w:type="dxa"/>
            <w:vAlign w:val="center"/>
          </w:tcPr>
          <w:p w14:paraId="034609D4"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1,000 kg</w:t>
            </w:r>
          </w:p>
        </w:tc>
        <w:tc>
          <w:tcPr>
            <w:tcW w:w="2765" w:type="dxa"/>
            <w:vAlign w:val="center"/>
          </w:tcPr>
          <w:p w14:paraId="30F3BA7F"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US$ 0.25 per kg</w:t>
            </w:r>
          </w:p>
        </w:tc>
        <w:tc>
          <w:tcPr>
            <w:tcW w:w="2154" w:type="dxa"/>
            <w:vAlign w:val="center"/>
          </w:tcPr>
          <w:p w14:paraId="114661A0"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250</w:t>
            </w:r>
          </w:p>
        </w:tc>
      </w:tr>
      <w:tr w:rsidR="00BE42A0" w:rsidRPr="00FA25B7" w14:paraId="4D63C82C" w14:textId="77777777" w:rsidTr="00AA55B8">
        <w:tc>
          <w:tcPr>
            <w:tcW w:w="683" w:type="dxa"/>
            <w:vAlign w:val="center"/>
          </w:tcPr>
          <w:p w14:paraId="4D5A4F3F"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3</w:t>
            </w:r>
          </w:p>
        </w:tc>
        <w:tc>
          <w:tcPr>
            <w:tcW w:w="1911" w:type="dxa"/>
            <w:vAlign w:val="center"/>
          </w:tcPr>
          <w:p w14:paraId="1C9F0A3E"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 xml:space="preserve">Grand total </w:t>
            </w:r>
            <w:r w:rsidRPr="00FA25B7">
              <w:rPr>
                <w:color w:val="000000" w:themeColor="text1"/>
                <w:sz w:val="28"/>
                <w:szCs w:val="28"/>
                <w:lang w:val="en-US"/>
              </w:rPr>
              <w:tab/>
            </w:r>
          </w:p>
        </w:tc>
        <w:tc>
          <w:tcPr>
            <w:tcW w:w="1418" w:type="dxa"/>
            <w:vAlign w:val="center"/>
          </w:tcPr>
          <w:p w14:paraId="1C58A4A6"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8,500</w:t>
            </w:r>
          </w:p>
        </w:tc>
        <w:tc>
          <w:tcPr>
            <w:tcW w:w="2765" w:type="dxa"/>
            <w:vAlign w:val="center"/>
          </w:tcPr>
          <w:p w14:paraId="0FB129A8"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(f)</w:t>
            </w:r>
          </w:p>
        </w:tc>
        <w:tc>
          <w:tcPr>
            <w:tcW w:w="2154" w:type="dxa"/>
            <w:vAlign w:val="center"/>
          </w:tcPr>
          <w:p w14:paraId="1A97D219"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2,125</w:t>
            </w:r>
          </w:p>
        </w:tc>
      </w:tr>
    </w:tbl>
    <w:p w14:paraId="08031794" w14:textId="77777777" w:rsidR="00BE42A0" w:rsidRPr="00FA25B7" w:rsidRDefault="00BE42A0" w:rsidP="00FA25B7">
      <w:pPr>
        <w:spacing w:line="240" w:lineRule="atLeast"/>
        <w:ind w:firstLine="357"/>
        <w:rPr>
          <w:color w:val="000000" w:themeColor="text1"/>
          <w:sz w:val="28"/>
          <w:szCs w:val="28"/>
          <w:lang w:val="en-US"/>
        </w:rPr>
      </w:pPr>
    </w:p>
    <w:p w14:paraId="79AC4933" w14:textId="77777777" w:rsidR="00BE42A0"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The current exchange rate is UAH 25,0 per a dollar. Determine the customs value and export duty payable.</w:t>
      </w:r>
    </w:p>
    <w:p w14:paraId="618131D2" w14:textId="77777777" w:rsidR="001023F2" w:rsidRPr="00FA25B7" w:rsidRDefault="001023F2" w:rsidP="00FA25B7">
      <w:pPr>
        <w:spacing w:line="240" w:lineRule="atLeast"/>
        <w:ind w:firstLine="357"/>
        <w:jc w:val="both"/>
        <w:rPr>
          <w:color w:val="000000" w:themeColor="text1"/>
          <w:sz w:val="28"/>
          <w:szCs w:val="28"/>
        </w:rPr>
      </w:pPr>
    </w:p>
    <w:p w14:paraId="34612EB7" w14:textId="77777777" w:rsidR="00BE42A0" w:rsidRDefault="00BE42A0" w:rsidP="001023F2">
      <w:pPr>
        <w:spacing w:after="200" w:line="240" w:lineRule="atLeast"/>
        <w:ind w:left="426" w:hanging="360"/>
        <w:contextualSpacing/>
        <w:jc w:val="both"/>
        <w:rPr>
          <w:rFonts w:eastAsiaTheme="minorHAnsi"/>
          <w:color w:val="000000" w:themeColor="text1"/>
          <w:sz w:val="28"/>
          <w:szCs w:val="28"/>
          <w:lang w:val="en-US"/>
        </w:rPr>
      </w:pPr>
      <w:r w:rsidRPr="001023F2">
        <w:rPr>
          <w:rFonts w:eastAsiaTheme="minorHAnsi"/>
          <w:color w:val="000000" w:themeColor="text1"/>
          <w:sz w:val="28"/>
          <w:szCs w:val="28"/>
          <w:lang w:val="en-US"/>
        </w:rPr>
        <w:t>6. Kate has the following income and outgoings for 2013/14:</w:t>
      </w:r>
    </w:p>
    <w:tbl>
      <w:tblPr>
        <w:tblStyle w:val="32"/>
        <w:tblW w:w="0" w:type="auto"/>
        <w:tblInd w:w="491" w:type="dxa"/>
        <w:tblLayout w:type="fixed"/>
        <w:tblLook w:val="04A0" w:firstRow="1" w:lastRow="0" w:firstColumn="1" w:lastColumn="0" w:noHBand="0" w:noVBand="1"/>
      </w:tblPr>
      <w:tblGrid>
        <w:gridCol w:w="4579"/>
        <w:gridCol w:w="1134"/>
      </w:tblGrid>
      <w:tr w:rsidR="00BE42A0" w:rsidRPr="00FA25B7" w14:paraId="1E98C96C" w14:textId="77777777" w:rsidTr="00AA55B8">
        <w:tc>
          <w:tcPr>
            <w:tcW w:w="4579" w:type="dxa"/>
            <w:shd w:val="clear" w:color="auto" w:fill="D9D9D9" w:themeFill="background1" w:themeFillShade="D9"/>
            <w:vAlign w:val="center"/>
          </w:tcPr>
          <w:p w14:paraId="0F49EBC3" w14:textId="77777777" w:rsidR="00BE42A0" w:rsidRPr="00FA25B7" w:rsidRDefault="00BE42A0" w:rsidP="00FA25B7">
            <w:pPr>
              <w:spacing w:line="240" w:lineRule="atLeast"/>
              <w:rPr>
                <w:b/>
                <w:color w:val="000000" w:themeColor="text1"/>
                <w:sz w:val="28"/>
                <w:szCs w:val="28"/>
                <w:lang w:val="en-US"/>
              </w:rPr>
            </w:pPr>
          </w:p>
        </w:tc>
        <w:tc>
          <w:tcPr>
            <w:tcW w:w="1134" w:type="dxa"/>
            <w:shd w:val="clear" w:color="auto" w:fill="D9D9D9" w:themeFill="background1" w:themeFillShade="D9"/>
            <w:vAlign w:val="center"/>
          </w:tcPr>
          <w:p w14:paraId="21E6640B" w14:textId="77777777" w:rsidR="00BE42A0" w:rsidRPr="00FA25B7" w:rsidRDefault="00BE42A0" w:rsidP="00FA25B7">
            <w:pPr>
              <w:spacing w:line="240" w:lineRule="atLeast"/>
              <w:ind w:firstLine="33"/>
              <w:jc w:val="center"/>
              <w:rPr>
                <w:b/>
                <w:color w:val="000000" w:themeColor="text1"/>
                <w:sz w:val="28"/>
                <w:szCs w:val="28"/>
                <w:lang w:val="en-US"/>
              </w:rPr>
            </w:pPr>
            <w:r w:rsidRPr="00FA25B7">
              <w:rPr>
                <w:b/>
                <w:color w:val="000000" w:themeColor="text1"/>
                <w:sz w:val="28"/>
                <w:szCs w:val="28"/>
                <w:lang w:val="en-US"/>
              </w:rPr>
              <w:t>UAH</w:t>
            </w:r>
          </w:p>
        </w:tc>
      </w:tr>
      <w:tr w:rsidR="00BE42A0" w:rsidRPr="00FA25B7" w14:paraId="2B9B0299" w14:textId="77777777" w:rsidTr="00AA55B8">
        <w:tc>
          <w:tcPr>
            <w:tcW w:w="4579" w:type="dxa"/>
            <w:vAlign w:val="center"/>
          </w:tcPr>
          <w:p w14:paraId="6673FC63"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Trading profit</w:t>
            </w:r>
          </w:p>
        </w:tc>
        <w:tc>
          <w:tcPr>
            <w:tcW w:w="1134" w:type="dxa"/>
            <w:vAlign w:val="center"/>
          </w:tcPr>
          <w:p w14:paraId="0AA65F19"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36,535</w:t>
            </w:r>
          </w:p>
        </w:tc>
      </w:tr>
      <w:tr w:rsidR="00BE42A0" w:rsidRPr="00FA25B7" w14:paraId="16C742C1" w14:textId="77777777" w:rsidTr="00AA55B8">
        <w:tc>
          <w:tcPr>
            <w:tcW w:w="4579" w:type="dxa"/>
            <w:vAlign w:val="center"/>
          </w:tcPr>
          <w:p w14:paraId="74BF6A1E" w14:textId="77777777" w:rsidR="00BE42A0" w:rsidRPr="00FA25B7" w:rsidRDefault="00674331" w:rsidP="00FA25B7">
            <w:pPr>
              <w:spacing w:line="240" w:lineRule="atLeast"/>
              <w:rPr>
                <w:color w:val="000000" w:themeColor="text1"/>
                <w:sz w:val="28"/>
                <w:szCs w:val="28"/>
                <w:lang w:val="en-US"/>
              </w:rPr>
            </w:pPr>
            <w:r w:rsidRPr="00FA25B7">
              <w:rPr>
                <w:color w:val="000000" w:themeColor="text1"/>
                <w:sz w:val="28"/>
                <w:szCs w:val="28"/>
                <w:lang w:val="en-US"/>
              </w:rPr>
              <w:t>Employment income</w:t>
            </w:r>
          </w:p>
        </w:tc>
        <w:tc>
          <w:tcPr>
            <w:tcW w:w="1134" w:type="dxa"/>
            <w:vAlign w:val="center"/>
          </w:tcPr>
          <w:p w14:paraId="6E56E620"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8,000</w:t>
            </w:r>
          </w:p>
        </w:tc>
      </w:tr>
      <w:tr w:rsidR="00BE42A0" w:rsidRPr="00FA25B7" w14:paraId="7671882D" w14:textId="77777777" w:rsidTr="00AA55B8">
        <w:tc>
          <w:tcPr>
            <w:tcW w:w="4579" w:type="dxa"/>
            <w:vAlign w:val="center"/>
          </w:tcPr>
          <w:p w14:paraId="75589398" w14:textId="77777777" w:rsidR="00BE42A0" w:rsidRPr="00FA25B7" w:rsidRDefault="00BE42A0" w:rsidP="00674331">
            <w:pPr>
              <w:spacing w:line="240" w:lineRule="atLeast"/>
              <w:rPr>
                <w:color w:val="000000" w:themeColor="text1"/>
                <w:sz w:val="28"/>
                <w:szCs w:val="28"/>
                <w:lang w:val="en-US"/>
              </w:rPr>
            </w:pPr>
            <w:r w:rsidRPr="00FA25B7">
              <w:rPr>
                <w:color w:val="000000" w:themeColor="text1"/>
                <w:sz w:val="28"/>
                <w:szCs w:val="28"/>
                <w:lang w:val="en-US"/>
              </w:rPr>
              <w:t xml:space="preserve">Bank </w:t>
            </w:r>
            <w:r w:rsidR="00674331">
              <w:rPr>
                <w:color w:val="000000" w:themeColor="text1"/>
                <w:sz w:val="28"/>
                <w:szCs w:val="28"/>
                <w:lang w:val="en-US"/>
              </w:rPr>
              <w:t>d</w:t>
            </w:r>
            <w:r w:rsidRPr="00FA25B7">
              <w:rPr>
                <w:color w:val="000000" w:themeColor="text1"/>
                <w:sz w:val="28"/>
                <w:szCs w:val="28"/>
                <w:lang w:val="en-US"/>
              </w:rPr>
              <w:t xml:space="preserve">eposit </w:t>
            </w:r>
            <w:r w:rsidR="00674331">
              <w:rPr>
                <w:color w:val="000000" w:themeColor="text1"/>
                <w:sz w:val="28"/>
                <w:szCs w:val="28"/>
                <w:lang w:val="en-US"/>
              </w:rPr>
              <w:t>i</w:t>
            </w:r>
            <w:r w:rsidRPr="00FA25B7">
              <w:rPr>
                <w:color w:val="000000" w:themeColor="text1"/>
                <w:sz w:val="28"/>
                <w:szCs w:val="28"/>
                <w:lang w:val="en-US"/>
              </w:rPr>
              <w:t>nterest (amount received)</w:t>
            </w:r>
          </w:p>
        </w:tc>
        <w:tc>
          <w:tcPr>
            <w:tcW w:w="1134" w:type="dxa"/>
            <w:vAlign w:val="center"/>
          </w:tcPr>
          <w:p w14:paraId="622311DF"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2,800</w:t>
            </w:r>
          </w:p>
        </w:tc>
      </w:tr>
      <w:tr w:rsidR="00BE42A0" w:rsidRPr="00FA25B7" w14:paraId="2CDA215C" w14:textId="77777777" w:rsidTr="00AA55B8">
        <w:tc>
          <w:tcPr>
            <w:tcW w:w="4579" w:type="dxa"/>
            <w:vAlign w:val="center"/>
          </w:tcPr>
          <w:p w14:paraId="7C822353"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Dividend income (amount received)</w:t>
            </w:r>
          </w:p>
        </w:tc>
        <w:tc>
          <w:tcPr>
            <w:tcW w:w="1134" w:type="dxa"/>
            <w:vAlign w:val="center"/>
          </w:tcPr>
          <w:p w14:paraId="27922675"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1,800</w:t>
            </w:r>
          </w:p>
        </w:tc>
      </w:tr>
      <w:tr w:rsidR="00BE42A0" w:rsidRPr="00FA25B7" w14:paraId="111E44C5" w14:textId="77777777" w:rsidTr="00AA55B8">
        <w:tc>
          <w:tcPr>
            <w:tcW w:w="4579" w:type="dxa"/>
            <w:vAlign w:val="center"/>
          </w:tcPr>
          <w:p w14:paraId="473E8B81"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Gift aid (amount paid)</w:t>
            </w:r>
          </w:p>
        </w:tc>
        <w:tc>
          <w:tcPr>
            <w:tcW w:w="1134" w:type="dxa"/>
            <w:vAlign w:val="center"/>
          </w:tcPr>
          <w:p w14:paraId="457ABFD6"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2,000</w:t>
            </w:r>
          </w:p>
        </w:tc>
      </w:tr>
    </w:tbl>
    <w:p w14:paraId="5140ECBE" w14:textId="77777777" w:rsidR="00BE42A0" w:rsidRPr="00FA25B7" w:rsidRDefault="00BE42A0" w:rsidP="00FA25B7">
      <w:pPr>
        <w:spacing w:line="240" w:lineRule="atLeast"/>
        <w:ind w:firstLine="357"/>
        <w:rPr>
          <w:color w:val="000000" w:themeColor="text1"/>
          <w:sz w:val="28"/>
          <w:szCs w:val="28"/>
          <w:lang w:val="en-US"/>
        </w:rPr>
      </w:pPr>
      <w:r w:rsidRPr="00FA25B7">
        <w:rPr>
          <w:color w:val="000000" w:themeColor="text1"/>
          <w:sz w:val="28"/>
          <w:szCs w:val="28"/>
          <w:lang w:val="en-US"/>
        </w:rPr>
        <w:tab/>
      </w:r>
    </w:p>
    <w:p w14:paraId="42C7112F" w14:textId="77777777" w:rsidR="00BE42A0" w:rsidRPr="00FA25B7"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 xml:space="preserve">PAYE of UAH 505 was deducted from the </w:t>
      </w:r>
      <w:r w:rsidR="00674331">
        <w:rPr>
          <w:color w:val="000000" w:themeColor="text1"/>
          <w:sz w:val="28"/>
          <w:szCs w:val="28"/>
          <w:lang w:val="en-US"/>
        </w:rPr>
        <w:t>e</w:t>
      </w:r>
      <w:r w:rsidRPr="00FA25B7">
        <w:rPr>
          <w:color w:val="000000" w:themeColor="text1"/>
          <w:sz w:val="28"/>
          <w:szCs w:val="28"/>
          <w:lang w:val="en-US"/>
        </w:rPr>
        <w:t xml:space="preserve">mployment </w:t>
      </w:r>
      <w:r w:rsidR="00674331">
        <w:rPr>
          <w:color w:val="000000" w:themeColor="text1"/>
          <w:sz w:val="28"/>
          <w:szCs w:val="28"/>
          <w:lang w:val="en-US"/>
        </w:rPr>
        <w:t>i</w:t>
      </w:r>
      <w:r w:rsidRPr="00FA25B7">
        <w:rPr>
          <w:color w:val="000000" w:themeColor="text1"/>
          <w:sz w:val="28"/>
          <w:szCs w:val="28"/>
          <w:lang w:val="en-US"/>
        </w:rPr>
        <w:t>ncome. Calculate the amount of income tax payable by Kate for 2013/14.</w:t>
      </w:r>
      <w:r w:rsidRPr="00FA25B7">
        <w:rPr>
          <w:color w:val="000000" w:themeColor="text1"/>
          <w:sz w:val="28"/>
          <w:szCs w:val="28"/>
          <w:lang w:val="en-US"/>
        </w:rPr>
        <w:tab/>
      </w:r>
      <w:r w:rsidRPr="00FA25B7">
        <w:rPr>
          <w:color w:val="000000" w:themeColor="text1"/>
          <w:sz w:val="28"/>
          <w:szCs w:val="28"/>
          <w:lang w:val="en-US"/>
        </w:rPr>
        <w:tab/>
      </w:r>
      <w:r w:rsidRPr="00FA25B7">
        <w:rPr>
          <w:color w:val="000000" w:themeColor="text1"/>
          <w:sz w:val="28"/>
          <w:szCs w:val="28"/>
          <w:lang w:val="en-US"/>
        </w:rPr>
        <w:tab/>
      </w:r>
    </w:p>
    <w:p w14:paraId="69EB21F2" w14:textId="77777777" w:rsidR="00BE42A0" w:rsidRPr="00FA25B7"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tab/>
      </w:r>
      <w:r w:rsidRPr="00FA25B7">
        <w:rPr>
          <w:color w:val="000000" w:themeColor="text1"/>
          <w:sz w:val="28"/>
          <w:szCs w:val="28"/>
          <w:lang w:val="en-US"/>
        </w:rPr>
        <w:tab/>
      </w:r>
      <w:r w:rsidRPr="00FA25B7">
        <w:rPr>
          <w:color w:val="000000" w:themeColor="text1"/>
          <w:sz w:val="28"/>
          <w:szCs w:val="28"/>
          <w:lang w:val="en-US"/>
        </w:rPr>
        <w:tab/>
      </w:r>
    </w:p>
    <w:p w14:paraId="7C823400" w14:textId="77777777" w:rsidR="00BE42A0" w:rsidRPr="00AA55B8" w:rsidRDefault="00BE42A0" w:rsidP="00AA55B8">
      <w:pPr>
        <w:spacing w:after="200" w:line="240" w:lineRule="atLeast"/>
        <w:ind w:left="426" w:hanging="360"/>
        <w:contextualSpacing/>
        <w:jc w:val="both"/>
        <w:rPr>
          <w:rFonts w:eastAsiaTheme="minorHAnsi"/>
          <w:color w:val="000000" w:themeColor="text1"/>
          <w:sz w:val="28"/>
          <w:szCs w:val="28"/>
          <w:lang w:val="en-US"/>
        </w:rPr>
      </w:pPr>
      <w:r w:rsidRPr="00AA55B8">
        <w:rPr>
          <w:rFonts w:eastAsiaTheme="minorHAnsi"/>
          <w:color w:val="000000" w:themeColor="text1"/>
          <w:sz w:val="28"/>
          <w:szCs w:val="28"/>
          <w:lang w:val="en-US"/>
        </w:rPr>
        <w:t xml:space="preserve">7. </w:t>
      </w:r>
      <w:r w:rsidRPr="00AA55B8">
        <w:rPr>
          <w:rFonts w:eastAsiaTheme="minorHAnsi"/>
          <w:color w:val="000000" w:themeColor="text1"/>
          <w:sz w:val="28"/>
          <w:szCs w:val="28"/>
          <w:lang w:val="en-US"/>
        </w:rPr>
        <w:tab/>
        <w:t>Jason commenced trading on 1 July 2014 drawing up accounts to 31 May each year. Trading profit for each accounting period is as follows:</w:t>
      </w:r>
    </w:p>
    <w:tbl>
      <w:tblPr>
        <w:tblStyle w:val="32"/>
        <w:tblW w:w="0" w:type="auto"/>
        <w:tblInd w:w="534" w:type="dxa"/>
        <w:tblLook w:val="04A0" w:firstRow="1" w:lastRow="0" w:firstColumn="1" w:lastColumn="0" w:noHBand="0" w:noVBand="1"/>
      </w:tblPr>
      <w:tblGrid>
        <w:gridCol w:w="3469"/>
        <w:gridCol w:w="1158"/>
      </w:tblGrid>
      <w:tr w:rsidR="00BE42A0" w:rsidRPr="00FA25B7" w14:paraId="5A29FD92" w14:textId="77777777" w:rsidTr="00AA55B8">
        <w:trPr>
          <w:trHeight w:val="328"/>
        </w:trPr>
        <w:tc>
          <w:tcPr>
            <w:tcW w:w="3469" w:type="dxa"/>
            <w:shd w:val="clear" w:color="auto" w:fill="D9D9D9" w:themeFill="background1" w:themeFillShade="D9"/>
            <w:vAlign w:val="center"/>
          </w:tcPr>
          <w:p w14:paraId="2A11E434" w14:textId="77777777" w:rsidR="00BE42A0" w:rsidRPr="00FA25B7" w:rsidRDefault="00BE42A0" w:rsidP="00FA25B7">
            <w:pPr>
              <w:spacing w:line="240" w:lineRule="atLeast"/>
              <w:rPr>
                <w:color w:val="000000" w:themeColor="text1"/>
                <w:sz w:val="28"/>
                <w:szCs w:val="28"/>
                <w:lang w:val="en-US"/>
              </w:rPr>
            </w:pPr>
          </w:p>
        </w:tc>
        <w:tc>
          <w:tcPr>
            <w:tcW w:w="1158" w:type="dxa"/>
            <w:shd w:val="clear" w:color="auto" w:fill="D9D9D9" w:themeFill="background1" w:themeFillShade="D9"/>
            <w:vAlign w:val="center"/>
          </w:tcPr>
          <w:p w14:paraId="0B6C70A4" w14:textId="77777777" w:rsidR="00BE42A0" w:rsidRPr="00FA25B7" w:rsidRDefault="00BE42A0" w:rsidP="00FA25B7">
            <w:pPr>
              <w:spacing w:line="240" w:lineRule="atLeast"/>
              <w:jc w:val="center"/>
              <w:rPr>
                <w:b/>
                <w:color w:val="000000" w:themeColor="text1"/>
                <w:sz w:val="28"/>
                <w:szCs w:val="28"/>
                <w:lang w:val="en-US"/>
              </w:rPr>
            </w:pPr>
            <w:r w:rsidRPr="00FA25B7">
              <w:rPr>
                <w:b/>
                <w:color w:val="000000" w:themeColor="text1"/>
                <w:sz w:val="28"/>
                <w:szCs w:val="28"/>
                <w:lang w:val="en-US"/>
              </w:rPr>
              <w:t>UAH</w:t>
            </w:r>
          </w:p>
        </w:tc>
      </w:tr>
      <w:tr w:rsidR="00BE42A0" w:rsidRPr="00FA25B7" w14:paraId="497B4084" w14:textId="77777777" w:rsidTr="00AA55B8">
        <w:trPr>
          <w:trHeight w:val="208"/>
        </w:trPr>
        <w:tc>
          <w:tcPr>
            <w:tcW w:w="3469" w:type="dxa"/>
            <w:vAlign w:val="center"/>
          </w:tcPr>
          <w:p w14:paraId="17F1BA82"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1 July 2012 to 31 May 2013</w:t>
            </w:r>
          </w:p>
        </w:tc>
        <w:tc>
          <w:tcPr>
            <w:tcW w:w="1158" w:type="dxa"/>
            <w:vAlign w:val="center"/>
          </w:tcPr>
          <w:p w14:paraId="2F8CD95B"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33,000</w:t>
            </w:r>
          </w:p>
        </w:tc>
      </w:tr>
      <w:tr w:rsidR="00BE42A0" w:rsidRPr="00FA25B7" w14:paraId="68FAD60C" w14:textId="77777777" w:rsidTr="00AA55B8">
        <w:trPr>
          <w:trHeight w:val="328"/>
        </w:trPr>
        <w:tc>
          <w:tcPr>
            <w:tcW w:w="3469" w:type="dxa"/>
            <w:vAlign w:val="center"/>
          </w:tcPr>
          <w:p w14:paraId="1866D43C"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Year ended 31 May 2014</w:t>
            </w:r>
          </w:p>
        </w:tc>
        <w:tc>
          <w:tcPr>
            <w:tcW w:w="1158" w:type="dxa"/>
            <w:vAlign w:val="center"/>
          </w:tcPr>
          <w:p w14:paraId="3BE8B1D4"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24,000</w:t>
            </w:r>
          </w:p>
        </w:tc>
      </w:tr>
      <w:tr w:rsidR="00BE42A0" w:rsidRPr="00FA25B7" w14:paraId="5518C3DF" w14:textId="77777777" w:rsidTr="00AA55B8">
        <w:trPr>
          <w:trHeight w:val="328"/>
        </w:trPr>
        <w:tc>
          <w:tcPr>
            <w:tcW w:w="3469" w:type="dxa"/>
            <w:vAlign w:val="center"/>
          </w:tcPr>
          <w:p w14:paraId="79F287DC"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Year ended 31 May 2015</w:t>
            </w:r>
          </w:p>
        </w:tc>
        <w:tc>
          <w:tcPr>
            <w:tcW w:w="1158" w:type="dxa"/>
            <w:vAlign w:val="center"/>
          </w:tcPr>
          <w:p w14:paraId="68530CA3"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36,000</w:t>
            </w:r>
          </w:p>
        </w:tc>
      </w:tr>
    </w:tbl>
    <w:p w14:paraId="321F291D" w14:textId="77777777" w:rsidR="00BE42A0" w:rsidRPr="00FA25B7" w:rsidRDefault="00BE42A0" w:rsidP="00FA25B7">
      <w:pPr>
        <w:spacing w:line="240" w:lineRule="atLeast"/>
        <w:ind w:firstLine="357"/>
        <w:jc w:val="both"/>
        <w:rPr>
          <w:color w:val="000000" w:themeColor="text1"/>
          <w:sz w:val="28"/>
          <w:szCs w:val="28"/>
          <w:lang w:val="en-US"/>
        </w:rPr>
      </w:pPr>
      <w:r w:rsidRPr="00FA25B7">
        <w:rPr>
          <w:color w:val="000000" w:themeColor="text1"/>
          <w:sz w:val="28"/>
          <w:szCs w:val="28"/>
          <w:lang w:val="en-US"/>
        </w:rPr>
        <w:lastRenderedPageBreak/>
        <w:tab/>
        <w:t>Calculate the trading profit assessments for the relevant tax years and any overlap profits arising.</w:t>
      </w:r>
    </w:p>
    <w:p w14:paraId="707914F9" w14:textId="77777777" w:rsidR="00BE42A0" w:rsidRPr="00FA25B7" w:rsidRDefault="00BE42A0" w:rsidP="00FA25B7">
      <w:pPr>
        <w:spacing w:line="240" w:lineRule="atLeast"/>
        <w:ind w:firstLine="357"/>
        <w:jc w:val="both"/>
        <w:rPr>
          <w:color w:val="000000" w:themeColor="text1"/>
          <w:sz w:val="28"/>
          <w:szCs w:val="28"/>
          <w:lang w:val="en-US"/>
        </w:rPr>
      </w:pPr>
    </w:p>
    <w:p w14:paraId="702693AF" w14:textId="77777777" w:rsidR="00BE42A0" w:rsidRPr="00AA55B8" w:rsidRDefault="00BE42A0" w:rsidP="00AA55B8">
      <w:pPr>
        <w:spacing w:after="200" w:line="240" w:lineRule="atLeast"/>
        <w:ind w:left="426" w:hanging="360"/>
        <w:contextualSpacing/>
        <w:jc w:val="both"/>
        <w:rPr>
          <w:rFonts w:eastAsiaTheme="minorHAnsi"/>
          <w:color w:val="000000" w:themeColor="text1"/>
          <w:sz w:val="28"/>
          <w:szCs w:val="28"/>
          <w:lang w:val="en-US"/>
        </w:rPr>
      </w:pPr>
      <w:r w:rsidRPr="00AA55B8">
        <w:rPr>
          <w:rFonts w:eastAsiaTheme="minorHAnsi"/>
          <w:color w:val="000000" w:themeColor="text1"/>
          <w:sz w:val="28"/>
          <w:szCs w:val="28"/>
          <w:lang w:val="en-US"/>
        </w:rPr>
        <w:t xml:space="preserve">8. </w:t>
      </w:r>
      <w:r w:rsidRPr="00AA55B8">
        <w:rPr>
          <w:rFonts w:eastAsiaTheme="minorHAnsi"/>
          <w:color w:val="000000" w:themeColor="text1"/>
          <w:sz w:val="28"/>
          <w:szCs w:val="28"/>
          <w:lang w:val="en-US"/>
        </w:rPr>
        <w:tab/>
        <w:t xml:space="preserve">Sail Ltd has the following results for the year ended 31 December 2014. It has one associated company. Additional information </w:t>
      </w:r>
      <w:r w:rsidR="00674331">
        <w:rPr>
          <w:rFonts w:eastAsiaTheme="minorHAnsi"/>
          <w:color w:val="000000" w:themeColor="text1"/>
          <w:sz w:val="28"/>
          <w:szCs w:val="28"/>
          <w:lang w:val="en-US"/>
        </w:rPr>
        <w:t xml:space="preserve">is </w:t>
      </w:r>
      <w:r w:rsidRPr="00AA55B8">
        <w:rPr>
          <w:rFonts w:eastAsiaTheme="minorHAnsi"/>
          <w:color w:val="000000" w:themeColor="text1"/>
          <w:sz w:val="28"/>
          <w:szCs w:val="28"/>
          <w:lang w:val="en-US"/>
        </w:rPr>
        <w:t xml:space="preserve">provided in </w:t>
      </w:r>
      <w:r w:rsidR="00B17A60">
        <w:rPr>
          <w:rFonts w:eastAsiaTheme="minorHAnsi"/>
          <w:color w:val="000000" w:themeColor="text1"/>
          <w:sz w:val="28"/>
          <w:szCs w:val="28"/>
          <w:lang w:val="en-US"/>
        </w:rPr>
        <w:t>the box below</w:t>
      </w:r>
      <w:r w:rsidRPr="00AA55B8">
        <w:rPr>
          <w:rFonts w:eastAsiaTheme="minorHAnsi"/>
          <w:color w:val="000000" w:themeColor="text1"/>
          <w:sz w:val="28"/>
          <w:szCs w:val="28"/>
          <w:lang w:val="en-US"/>
        </w:rPr>
        <w:t>.</w:t>
      </w:r>
    </w:p>
    <w:p w14:paraId="12FC8AC0" w14:textId="77777777" w:rsidR="00BE42A0" w:rsidRPr="00FA25B7" w:rsidRDefault="00BE42A0" w:rsidP="00FA25B7">
      <w:pPr>
        <w:spacing w:line="240" w:lineRule="atLeast"/>
        <w:ind w:firstLine="357"/>
        <w:jc w:val="right"/>
        <w:rPr>
          <w:b/>
          <w:color w:val="000000" w:themeColor="text1"/>
          <w:sz w:val="28"/>
          <w:szCs w:val="28"/>
          <w:lang w:val="en-US"/>
        </w:rPr>
      </w:pPr>
      <w:r w:rsidRPr="00FA25B7">
        <w:rPr>
          <w:color w:val="000000" w:themeColor="text1"/>
          <w:sz w:val="28"/>
          <w:szCs w:val="28"/>
          <w:lang w:val="en-US"/>
        </w:rPr>
        <w:tab/>
      </w:r>
    </w:p>
    <w:p w14:paraId="7D63AA0F" w14:textId="77777777" w:rsidR="00BE42A0" w:rsidRPr="00FA25B7" w:rsidRDefault="00BE42A0" w:rsidP="00FA25B7">
      <w:pPr>
        <w:spacing w:line="240" w:lineRule="atLeast"/>
        <w:ind w:firstLine="357"/>
        <w:jc w:val="center"/>
        <w:rPr>
          <w:b/>
          <w:color w:val="000000" w:themeColor="text1"/>
          <w:sz w:val="28"/>
          <w:szCs w:val="28"/>
          <w:lang w:val="en-US"/>
        </w:rPr>
      </w:pPr>
      <w:r w:rsidRPr="00FA25B7">
        <w:rPr>
          <w:b/>
          <w:color w:val="000000" w:themeColor="text1"/>
          <w:sz w:val="28"/>
          <w:szCs w:val="28"/>
          <w:lang w:val="en-US"/>
        </w:rPr>
        <w:t>Additional information</w:t>
      </w:r>
    </w:p>
    <w:tbl>
      <w:tblPr>
        <w:tblStyle w:val="32"/>
        <w:tblW w:w="0" w:type="auto"/>
        <w:tblInd w:w="357" w:type="dxa"/>
        <w:tblLook w:val="04A0" w:firstRow="1" w:lastRow="0" w:firstColumn="1" w:lastColumn="0" w:noHBand="0" w:noVBand="1"/>
      </w:tblPr>
      <w:tblGrid>
        <w:gridCol w:w="7341"/>
        <w:gridCol w:w="1919"/>
      </w:tblGrid>
      <w:tr w:rsidR="00BE42A0" w:rsidRPr="00FA25B7" w14:paraId="50389BF4" w14:textId="77777777" w:rsidTr="00AA55B8">
        <w:trPr>
          <w:trHeight w:val="343"/>
        </w:trPr>
        <w:tc>
          <w:tcPr>
            <w:tcW w:w="7341" w:type="dxa"/>
            <w:shd w:val="clear" w:color="auto" w:fill="D9D9D9" w:themeFill="background1" w:themeFillShade="D9"/>
            <w:vAlign w:val="center"/>
          </w:tcPr>
          <w:p w14:paraId="737FF822" w14:textId="77777777" w:rsidR="00BE42A0" w:rsidRPr="00FA25B7" w:rsidRDefault="00BE42A0" w:rsidP="00FA25B7">
            <w:pPr>
              <w:spacing w:line="240" w:lineRule="atLeast"/>
              <w:rPr>
                <w:color w:val="000000" w:themeColor="text1"/>
                <w:sz w:val="28"/>
                <w:szCs w:val="28"/>
                <w:lang w:val="en-US"/>
              </w:rPr>
            </w:pPr>
          </w:p>
        </w:tc>
        <w:tc>
          <w:tcPr>
            <w:tcW w:w="1919" w:type="dxa"/>
            <w:shd w:val="clear" w:color="auto" w:fill="D9D9D9" w:themeFill="background1" w:themeFillShade="D9"/>
            <w:vAlign w:val="center"/>
          </w:tcPr>
          <w:p w14:paraId="0F5F25C4"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UAH</w:t>
            </w:r>
          </w:p>
        </w:tc>
      </w:tr>
      <w:tr w:rsidR="00BE42A0" w:rsidRPr="00FA25B7" w14:paraId="6B273FB1" w14:textId="77777777" w:rsidTr="00BE42A0">
        <w:trPr>
          <w:trHeight w:val="343"/>
        </w:trPr>
        <w:tc>
          <w:tcPr>
            <w:tcW w:w="7341" w:type="dxa"/>
            <w:vAlign w:val="center"/>
          </w:tcPr>
          <w:p w14:paraId="26C3D1FC"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Trading profit</w:t>
            </w:r>
          </w:p>
        </w:tc>
        <w:tc>
          <w:tcPr>
            <w:tcW w:w="1919" w:type="dxa"/>
            <w:vAlign w:val="center"/>
          </w:tcPr>
          <w:p w14:paraId="415B6B11"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380,000</w:t>
            </w:r>
          </w:p>
        </w:tc>
      </w:tr>
      <w:tr w:rsidR="00BE42A0" w:rsidRPr="00FA25B7" w14:paraId="44015627" w14:textId="77777777" w:rsidTr="00BE42A0">
        <w:trPr>
          <w:trHeight w:val="343"/>
        </w:trPr>
        <w:tc>
          <w:tcPr>
            <w:tcW w:w="7341" w:type="dxa"/>
            <w:vAlign w:val="center"/>
          </w:tcPr>
          <w:p w14:paraId="5BC3654E"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Interest receivable</w:t>
            </w:r>
          </w:p>
        </w:tc>
        <w:tc>
          <w:tcPr>
            <w:tcW w:w="1919" w:type="dxa"/>
            <w:vAlign w:val="center"/>
          </w:tcPr>
          <w:p w14:paraId="721252D9"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9,000</w:t>
            </w:r>
          </w:p>
        </w:tc>
      </w:tr>
      <w:tr w:rsidR="00BE42A0" w:rsidRPr="00FA25B7" w14:paraId="79AF920A" w14:textId="77777777" w:rsidTr="00BE42A0">
        <w:trPr>
          <w:trHeight w:val="343"/>
        </w:trPr>
        <w:tc>
          <w:tcPr>
            <w:tcW w:w="7341" w:type="dxa"/>
            <w:vAlign w:val="center"/>
          </w:tcPr>
          <w:p w14:paraId="0252F1A9" w14:textId="77777777" w:rsidR="00BE42A0" w:rsidRPr="00FA25B7" w:rsidRDefault="00BE42A0" w:rsidP="00674331">
            <w:pPr>
              <w:spacing w:line="240" w:lineRule="atLeast"/>
              <w:rPr>
                <w:color w:val="000000" w:themeColor="text1"/>
                <w:sz w:val="28"/>
                <w:szCs w:val="28"/>
                <w:lang w:val="en-US"/>
              </w:rPr>
            </w:pPr>
            <w:r w:rsidRPr="00FA25B7">
              <w:rPr>
                <w:color w:val="000000" w:themeColor="text1"/>
                <w:sz w:val="28"/>
                <w:szCs w:val="28"/>
                <w:lang w:val="en-US"/>
              </w:rPr>
              <w:t xml:space="preserve">Property </w:t>
            </w:r>
            <w:r w:rsidR="00674331">
              <w:rPr>
                <w:color w:val="000000" w:themeColor="text1"/>
                <w:sz w:val="28"/>
                <w:szCs w:val="28"/>
                <w:lang w:val="en-US"/>
              </w:rPr>
              <w:t>i</w:t>
            </w:r>
            <w:r w:rsidRPr="00FA25B7">
              <w:rPr>
                <w:color w:val="000000" w:themeColor="text1"/>
                <w:sz w:val="28"/>
                <w:szCs w:val="28"/>
                <w:lang w:val="en-US"/>
              </w:rPr>
              <w:t>ncome</w:t>
            </w:r>
          </w:p>
        </w:tc>
        <w:tc>
          <w:tcPr>
            <w:tcW w:w="1919" w:type="dxa"/>
            <w:vAlign w:val="center"/>
          </w:tcPr>
          <w:p w14:paraId="430D8B8E"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12,000</w:t>
            </w:r>
          </w:p>
        </w:tc>
      </w:tr>
      <w:tr w:rsidR="00BE42A0" w:rsidRPr="00FA25B7" w14:paraId="06FF3B1B" w14:textId="77777777" w:rsidTr="00BE42A0">
        <w:trPr>
          <w:trHeight w:val="322"/>
        </w:trPr>
        <w:tc>
          <w:tcPr>
            <w:tcW w:w="7341" w:type="dxa"/>
            <w:vAlign w:val="center"/>
          </w:tcPr>
          <w:p w14:paraId="5F82771A"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Dividends received from companies (non-associated)</w:t>
            </w:r>
          </w:p>
        </w:tc>
        <w:tc>
          <w:tcPr>
            <w:tcW w:w="1919" w:type="dxa"/>
            <w:vAlign w:val="center"/>
          </w:tcPr>
          <w:p w14:paraId="2B2008D2"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45,000</w:t>
            </w:r>
          </w:p>
        </w:tc>
      </w:tr>
      <w:tr w:rsidR="00BE42A0" w:rsidRPr="00FA25B7" w14:paraId="7EA638E1" w14:textId="77777777" w:rsidTr="00BE42A0">
        <w:trPr>
          <w:trHeight w:val="343"/>
        </w:trPr>
        <w:tc>
          <w:tcPr>
            <w:tcW w:w="7341" w:type="dxa"/>
            <w:vAlign w:val="center"/>
          </w:tcPr>
          <w:p w14:paraId="088B33FC" w14:textId="77777777" w:rsidR="00BE42A0" w:rsidRPr="00FA25B7" w:rsidRDefault="00BE42A0" w:rsidP="00FA25B7">
            <w:pPr>
              <w:spacing w:line="240" w:lineRule="atLeast"/>
              <w:rPr>
                <w:color w:val="000000" w:themeColor="text1"/>
                <w:sz w:val="28"/>
                <w:szCs w:val="28"/>
                <w:lang w:val="en-US"/>
              </w:rPr>
            </w:pPr>
            <w:r w:rsidRPr="00FA25B7">
              <w:rPr>
                <w:color w:val="000000" w:themeColor="text1"/>
                <w:sz w:val="28"/>
                <w:szCs w:val="28"/>
                <w:lang w:val="en-US"/>
              </w:rPr>
              <w:t>Qualifying charitable donations</w:t>
            </w:r>
          </w:p>
        </w:tc>
        <w:tc>
          <w:tcPr>
            <w:tcW w:w="1919" w:type="dxa"/>
            <w:vAlign w:val="center"/>
          </w:tcPr>
          <w:p w14:paraId="5F55EE5C" w14:textId="77777777" w:rsidR="00BE42A0" w:rsidRPr="00FA25B7" w:rsidRDefault="00BE42A0" w:rsidP="00FA25B7">
            <w:pPr>
              <w:spacing w:line="240" w:lineRule="atLeast"/>
              <w:jc w:val="center"/>
              <w:rPr>
                <w:color w:val="000000" w:themeColor="text1"/>
                <w:sz w:val="28"/>
                <w:szCs w:val="28"/>
                <w:lang w:val="en-US"/>
              </w:rPr>
            </w:pPr>
            <w:r w:rsidRPr="00FA25B7">
              <w:rPr>
                <w:color w:val="000000" w:themeColor="text1"/>
                <w:sz w:val="28"/>
                <w:szCs w:val="28"/>
                <w:lang w:val="en-US"/>
              </w:rPr>
              <w:t>22,000</w:t>
            </w:r>
          </w:p>
        </w:tc>
      </w:tr>
    </w:tbl>
    <w:p w14:paraId="49E0FA70" w14:textId="77777777" w:rsidR="00BE42A0" w:rsidRPr="00FA25B7" w:rsidRDefault="00BE42A0" w:rsidP="00FA25B7">
      <w:pPr>
        <w:spacing w:line="240" w:lineRule="atLeast"/>
        <w:ind w:firstLine="357"/>
        <w:jc w:val="both"/>
        <w:rPr>
          <w:color w:val="000000" w:themeColor="text1"/>
          <w:sz w:val="28"/>
          <w:szCs w:val="28"/>
          <w:lang w:val="en-US"/>
        </w:rPr>
      </w:pPr>
    </w:p>
    <w:p w14:paraId="56F46757" w14:textId="77777777" w:rsidR="00BE42A0" w:rsidRPr="00FA25B7" w:rsidRDefault="00BE42A0" w:rsidP="00B17A60">
      <w:pPr>
        <w:spacing w:line="240" w:lineRule="atLeast"/>
        <w:ind w:firstLine="357"/>
        <w:jc w:val="both"/>
        <w:rPr>
          <w:color w:val="000000" w:themeColor="text1"/>
          <w:sz w:val="28"/>
          <w:szCs w:val="28"/>
          <w:lang w:val="en-US"/>
        </w:rPr>
      </w:pPr>
      <w:r w:rsidRPr="00FA25B7">
        <w:rPr>
          <w:color w:val="000000" w:themeColor="text1"/>
          <w:sz w:val="28"/>
          <w:szCs w:val="28"/>
          <w:lang w:val="en-US"/>
        </w:rPr>
        <w:t>Calculate the amount of corporation tax payable by Sail Ltd for the year ended 31 December 2014.</w:t>
      </w:r>
      <w:r w:rsidRPr="00FA25B7">
        <w:rPr>
          <w:color w:val="000000" w:themeColor="text1"/>
          <w:sz w:val="28"/>
          <w:szCs w:val="28"/>
          <w:lang w:val="en-US"/>
        </w:rPr>
        <w:tab/>
      </w:r>
    </w:p>
    <w:p w14:paraId="792D4779" w14:textId="77777777" w:rsidR="00BE42A0" w:rsidRPr="00FA25B7" w:rsidRDefault="00BE42A0" w:rsidP="00B17A60">
      <w:pPr>
        <w:spacing w:line="240" w:lineRule="atLeast"/>
        <w:ind w:firstLine="357"/>
        <w:jc w:val="both"/>
        <w:rPr>
          <w:color w:val="000000" w:themeColor="text1"/>
          <w:sz w:val="28"/>
          <w:szCs w:val="28"/>
          <w:lang w:val="en-US"/>
        </w:rPr>
      </w:pPr>
    </w:p>
    <w:p w14:paraId="591BE91D" w14:textId="77777777" w:rsidR="00BE42A0" w:rsidRPr="00AA55B8" w:rsidRDefault="00BE42A0" w:rsidP="00B17A60">
      <w:pPr>
        <w:spacing w:line="240" w:lineRule="atLeast"/>
        <w:ind w:left="426" w:hanging="360"/>
        <w:contextualSpacing/>
        <w:jc w:val="both"/>
        <w:rPr>
          <w:rFonts w:eastAsiaTheme="minorHAnsi"/>
          <w:color w:val="000000" w:themeColor="text1"/>
          <w:sz w:val="28"/>
          <w:szCs w:val="28"/>
          <w:lang w:val="en-US"/>
        </w:rPr>
      </w:pPr>
      <w:r w:rsidRPr="00AA55B8">
        <w:rPr>
          <w:rFonts w:eastAsiaTheme="minorHAnsi"/>
          <w:color w:val="000000" w:themeColor="text1"/>
          <w:sz w:val="28"/>
          <w:szCs w:val="28"/>
          <w:lang w:val="en-US"/>
        </w:rPr>
        <w:t xml:space="preserve">9. Financial results before tax for the reporting period was UAH 25,750,000. The amount of accumulated depreciation </w:t>
      </w:r>
      <w:r w:rsidR="00674331">
        <w:rPr>
          <w:rFonts w:eastAsiaTheme="minorHAnsi"/>
          <w:color w:val="000000" w:themeColor="text1"/>
          <w:sz w:val="28"/>
          <w:szCs w:val="28"/>
          <w:lang w:val="en-US"/>
        </w:rPr>
        <w:t>was</w:t>
      </w:r>
      <w:r w:rsidRPr="00AA55B8">
        <w:rPr>
          <w:rFonts w:eastAsiaTheme="minorHAnsi"/>
          <w:color w:val="000000" w:themeColor="text1"/>
          <w:sz w:val="28"/>
          <w:szCs w:val="28"/>
          <w:lang w:val="en-US"/>
        </w:rPr>
        <w:t xml:space="preserve"> UAH 450,000. Depreciation</w:t>
      </w:r>
      <w:r w:rsidR="00674331">
        <w:rPr>
          <w:rFonts w:eastAsiaTheme="minorHAnsi"/>
          <w:color w:val="000000" w:themeColor="text1"/>
          <w:sz w:val="28"/>
          <w:szCs w:val="28"/>
          <w:lang w:val="en-US"/>
        </w:rPr>
        <w:t>,</w:t>
      </w:r>
      <w:r w:rsidRPr="00AA55B8">
        <w:rPr>
          <w:rFonts w:eastAsiaTheme="minorHAnsi"/>
          <w:color w:val="000000" w:themeColor="text1"/>
          <w:sz w:val="28"/>
          <w:szCs w:val="28"/>
          <w:lang w:val="en-US"/>
        </w:rPr>
        <w:t xml:space="preserve"> calculated in accordance with the provisions of the tax code</w:t>
      </w:r>
      <w:r w:rsidR="00674331">
        <w:rPr>
          <w:rFonts w:eastAsiaTheme="minorHAnsi"/>
          <w:color w:val="000000" w:themeColor="text1"/>
          <w:sz w:val="28"/>
          <w:szCs w:val="28"/>
          <w:lang w:val="en-US"/>
        </w:rPr>
        <w:t>,</w:t>
      </w:r>
      <w:r w:rsidRPr="00AA55B8">
        <w:rPr>
          <w:rFonts w:eastAsiaTheme="minorHAnsi"/>
          <w:color w:val="000000" w:themeColor="text1"/>
          <w:sz w:val="28"/>
          <w:szCs w:val="28"/>
          <w:lang w:val="en-US"/>
        </w:rPr>
        <w:t xml:space="preserve"> was UAH 430,000. Calculate the corporate income tax.</w:t>
      </w:r>
    </w:p>
    <w:p w14:paraId="1ECAD6A1" w14:textId="77777777" w:rsidR="00BE42A0" w:rsidRPr="00FA25B7" w:rsidRDefault="00BE42A0" w:rsidP="00B17A60">
      <w:pPr>
        <w:spacing w:line="240" w:lineRule="atLeast"/>
        <w:ind w:firstLine="357"/>
        <w:jc w:val="both"/>
        <w:rPr>
          <w:color w:val="000000" w:themeColor="text1"/>
          <w:sz w:val="28"/>
          <w:szCs w:val="28"/>
          <w:lang w:val="en-US"/>
        </w:rPr>
      </w:pPr>
    </w:p>
    <w:p w14:paraId="669890D7" w14:textId="77777777" w:rsidR="00BE42A0" w:rsidRPr="00FA25B7" w:rsidRDefault="00BE42A0" w:rsidP="00B17A60">
      <w:pPr>
        <w:spacing w:line="240" w:lineRule="atLeast"/>
        <w:ind w:left="426" w:hanging="360"/>
        <w:contextualSpacing/>
        <w:jc w:val="both"/>
        <w:rPr>
          <w:color w:val="000000" w:themeColor="text1"/>
          <w:sz w:val="28"/>
          <w:szCs w:val="28"/>
          <w:lang w:val="en-US"/>
        </w:rPr>
      </w:pPr>
      <w:r w:rsidRPr="00AA55B8">
        <w:rPr>
          <w:rFonts w:eastAsiaTheme="minorHAnsi"/>
          <w:color w:val="000000" w:themeColor="text1"/>
          <w:sz w:val="28"/>
          <w:szCs w:val="28"/>
          <w:lang w:val="en-US"/>
        </w:rPr>
        <w:t>10. Perspective Ltd made the following transactions in January 2015:</w:t>
      </w:r>
    </w:p>
    <w:p w14:paraId="05F96459" w14:textId="77777777" w:rsidR="00BE42A0" w:rsidRPr="00FA25B7" w:rsidRDefault="00BE42A0" w:rsidP="006F749C">
      <w:pPr>
        <w:numPr>
          <w:ilvl w:val="0"/>
          <w:numId w:val="54"/>
        </w:numPr>
        <w:shd w:val="clear" w:color="auto" w:fill="FFFFFF"/>
        <w:spacing w:line="240" w:lineRule="atLeast"/>
        <w:ind w:left="782" w:hanging="357"/>
        <w:jc w:val="both"/>
        <w:textAlignment w:val="baseline"/>
        <w:rPr>
          <w:sz w:val="28"/>
          <w:szCs w:val="28"/>
          <w:lang w:val="en-US"/>
        </w:rPr>
      </w:pPr>
      <w:r w:rsidRPr="00FA25B7">
        <w:rPr>
          <w:sz w:val="28"/>
          <w:szCs w:val="28"/>
          <w:lang w:val="en-US"/>
        </w:rPr>
        <w:t>s</w:t>
      </w:r>
      <w:r w:rsidR="00674331">
        <w:rPr>
          <w:sz w:val="28"/>
          <w:szCs w:val="28"/>
          <w:lang w:val="en-US"/>
        </w:rPr>
        <w:t>old</w:t>
      </w:r>
      <w:r w:rsidRPr="00FA25B7">
        <w:rPr>
          <w:sz w:val="28"/>
          <w:szCs w:val="28"/>
          <w:lang w:val="en-US"/>
        </w:rPr>
        <w:t xml:space="preserve"> goods to Klim Ltd (corporate profit tax payer) with a catalogue value of UAH 100,000 (taxable value excludes VAT UAH 20,000). </w:t>
      </w:r>
    </w:p>
    <w:p w14:paraId="4B8B4E72" w14:textId="77777777" w:rsidR="00BE42A0" w:rsidRPr="00FA25B7" w:rsidRDefault="00BE42A0" w:rsidP="006F749C">
      <w:pPr>
        <w:numPr>
          <w:ilvl w:val="0"/>
          <w:numId w:val="54"/>
        </w:numPr>
        <w:shd w:val="clear" w:color="auto" w:fill="FFFFFF"/>
        <w:spacing w:line="240" w:lineRule="atLeast"/>
        <w:ind w:left="782" w:hanging="357"/>
        <w:jc w:val="both"/>
        <w:textAlignment w:val="baseline"/>
        <w:rPr>
          <w:sz w:val="28"/>
          <w:szCs w:val="28"/>
          <w:lang w:val="en-US"/>
        </w:rPr>
      </w:pPr>
      <w:r w:rsidRPr="00FA25B7">
        <w:rPr>
          <w:sz w:val="28"/>
          <w:szCs w:val="28"/>
          <w:lang w:val="en-US"/>
        </w:rPr>
        <w:t>receive part of Miracle Ltd payment in advance in the amount of UAH 20,000 (taxable value excludes VAT UAH 4,000) for services that w</w:t>
      </w:r>
      <w:r w:rsidR="00674331">
        <w:rPr>
          <w:sz w:val="28"/>
          <w:szCs w:val="28"/>
          <w:lang w:val="en-US"/>
        </w:rPr>
        <w:t>ould</w:t>
      </w:r>
      <w:r w:rsidRPr="00FA25B7">
        <w:rPr>
          <w:sz w:val="28"/>
          <w:szCs w:val="28"/>
          <w:lang w:val="en-US"/>
        </w:rPr>
        <w:t xml:space="preserve"> be provided in the I quarter of 2015.</w:t>
      </w:r>
    </w:p>
    <w:p w14:paraId="3A4D5A62" w14:textId="77777777" w:rsidR="00BE42A0" w:rsidRPr="00FA25B7" w:rsidRDefault="00BE42A0" w:rsidP="00B17A60">
      <w:pPr>
        <w:spacing w:line="240" w:lineRule="atLeast"/>
        <w:ind w:firstLine="357"/>
        <w:jc w:val="both"/>
        <w:rPr>
          <w:color w:val="000000" w:themeColor="text1"/>
          <w:sz w:val="28"/>
          <w:szCs w:val="28"/>
          <w:lang w:val="en-US"/>
        </w:rPr>
      </w:pPr>
      <w:r w:rsidRPr="00FA25B7">
        <w:rPr>
          <w:color w:val="000000" w:themeColor="text1"/>
          <w:sz w:val="28"/>
          <w:szCs w:val="28"/>
          <w:lang w:val="en-US"/>
        </w:rPr>
        <w:t>Calculate the amount of VAT liability for January 2015.</w:t>
      </w:r>
    </w:p>
    <w:p w14:paraId="44913BD1" w14:textId="77777777" w:rsidR="00BE42A0" w:rsidRPr="00FA25B7" w:rsidRDefault="00BE42A0" w:rsidP="00BE42A0">
      <w:pPr>
        <w:spacing w:line="312" w:lineRule="auto"/>
        <w:ind w:firstLine="360"/>
        <w:jc w:val="both"/>
        <w:rPr>
          <w:sz w:val="28"/>
          <w:szCs w:val="28"/>
          <w:lang w:val="en-GB"/>
        </w:rPr>
      </w:pPr>
      <w:r w:rsidRPr="00FA25B7">
        <w:rPr>
          <w:sz w:val="28"/>
          <w:szCs w:val="28"/>
          <w:lang w:val="en-GB"/>
        </w:rPr>
        <w:tab/>
      </w:r>
      <w:r w:rsidRPr="00FA25B7">
        <w:rPr>
          <w:sz w:val="28"/>
          <w:szCs w:val="28"/>
          <w:lang w:val="en-GB"/>
        </w:rPr>
        <w:tab/>
      </w:r>
    </w:p>
    <w:p w14:paraId="12B08F14" w14:textId="77777777" w:rsidR="00BE42A0" w:rsidRPr="00FA25B7" w:rsidRDefault="00BE42A0">
      <w:pPr>
        <w:rPr>
          <w:sz w:val="28"/>
          <w:szCs w:val="28"/>
          <w:lang w:val="en-GB"/>
        </w:rPr>
      </w:pPr>
      <w:r w:rsidRPr="00FA25B7">
        <w:rPr>
          <w:sz w:val="28"/>
          <w:szCs w:val="28"/>
          <w:lang w:val="en-GB"/>
        </w:rPr>
        <w:br w:type="page"/>
      </w:r>
    </w:p>
    <w:p w14:paraId="1A6DB70D" w14:textId="77777777" w:rsidR="00BE42A0" w:rsidRPr="00BE42A0" w:rsidRDefault="00BE42A0" w:rsidP="00AA55B8">
      <w:pPr>
        <w:pStyle w:val="eng"/>
        <w:rPr>
          <w:lang w:val="en-GB"/>
        </w:rPr>
      </w:pPr>
      <w:r w:rsidRPr="00BE42A0">
        <w:rPr>
          <w:lang w:val="en-GB"/>
        </w:rPr>
        <w:lastRenderedPageBreak/>
        <w:t>Chapter 5</w:t>
      </w:r>
      <w:r w:rsidR="009D094B">
        <w:rPr>
          <w:lang w:val="en-GB"/>
        </w:rPr>
        <w:t>:</w:t>
      </w:r>
      <w:r w:rsidRPr="00BE42A0">
        <w:rPr>
          <w:lang w:val="en-GB"/>
        </w:rPr>
        <w:t xml:space="preserve"> </w:t>
      </w:r>
    </w:p>
    <w:p w14:paraId="7E143DD1" w14:textId="77777777" w:rsidR="00BE42A0" w:rsidRPr="00BE42A0" w:rsidRDefault="002D6C8B" w:rsidP="002D6C8B">
      <w:pPr>
        <w:pStyle w:val="eng"/>
        <w:rPr>
          <w:lang w:val="en-GB"/>
        </w:rPr>
      </w:pPr>
      <w:r>
        <w:rPr>
          <w:lang w:val="en-GB"/>
        </w:rPr>
        <w:t xml:space="preserve">Budget and </w:t>
      </w:r>
      <w:r w:rsidR="00BE42A0" w:rsidRPr="00BE42A0">
        <w:rPr>
          <w:lang w:val="en-GB"/>
        </w:rPr>
        <w:t>Budget system</w:t>
      </w:r>
    </w:p>
    <w:p w14:paraId="699481CB" w14:textId="77777777" w:rsidR="00BE42A0" w:rsidRPr="00BE42A0" w:rsidRDefault="00BE42A0" w:rsidP="00AA55B8">
      <w:pPr>
        <w:pStyle w:val="end2"/>
      </w:pPr>
      <w:r w:rsidRPr="00BE42A0">
        <w:t>summary</w:t>
      </w:r>
    </w:p>
    <w:p w14:paraId="01444727" w14:textId="77777777" w:rsidR="00BE42A0" w:rsidRPr="00AA55B8" w:rsidRDefault="00BE42A0" w:rsidP="00C62FA2">
      <w:pPr>
        <w:spacing w:line="312" w:lineRule="auto"/>
        <w:ind w:firstLine="709"/>
        <w:jc w:val="both"/>
        <w:rPr>
          <w:sz w:val="28"/>
          <w:szCs w:val="28"/>
          <w:lang w:val="en-GB"/>
        </w:rPr>
      </w:pPr>
      <w:r w:rsidRPr="00AA55B8">
        <w:rPr>
          <w:sz w:val="28"/>
          <w:szCs w:val="28"/>
          <w:lang w:val="en-GB"/>
        </w:rPr>
        <w:t xml:space="preserve">In its simplest form, a </w:t>
      </w:r>
      <w:r w:rsidRPr="00AA55B8">
        <w:rPr>
          <w:b/>
          <w:sz w:val="28"/>
          <w:szCs w:val="28"/>
          <w:lang w:val="en-GB"/>
        </w:rPr>
        <w:t>budget</w:t>
      </w:r>
      <w:r w:rsidRPr="00AA55B8">
        <w:rPr>
          <w:sz w:val="28"/>
          <w:szCs w:val="28"/>
          <w:lang w:val="en-GB"/>
        </w:rPr>
        <w:t xml:space="preserve"> is a document or a collection of documents that refers to the financial conditions and future plans of the government, including information on revenues, expenditures, activities, and</w:t>
      </w:r>
      <w:r w:rsidR="00674331">
        <w:rPr>
          <w:sz w:val="28"/>
          <w:szCs w:val="28"/>
          <w:lang w:val="en-GB"/>
        </w:rPr>
        <w:t xml:space="preserve"> purposes or goals. In contrast</w:t>
      </w:r>
      <w:r w:rsidRPr="00AA55B8">
        <w:rPr>
          <w:sz w:val="28"/>
          <w:szCs w:val="28"/>
          <w:lang w:val="en-GB"/>
        </w:rPr>
        <w:t xml:space="preserve"> to an accounting operating statement, which is retrospective in nature, referring to the past conditions, a budget is perspective, referring to anticipated future revenues, expenditures, and accomplishments.</w:t>
      </w:r>
    </w:p>
    <w:p w14:paraId="336A670E" w14:textId="77777777" w:rsidR="00BE42A0" w:rsidRPr="00AA55B8" w:rsidRDefault="00BE42A0" w:rsidP="00C62FA2">
      <w:pPr>
        <w:spacing w:line="312" w:lineRule="auto"/>
        <w:ind w:firstLine="709"/>
        <w:jc w:val="both"/>
        <w:rPr>
          <w:sz w:val="28"/>
          <w:szCs w:val="28"/>
          <w:lang w:val="en-GB"/>
        </w:rPr>
      </w:pPr>
      <w:r w:rsidRPr="00AA55B8">
        <w:rPr>
          <w:sz w:val="28"/>
          <w:szCs w:val="28"/>
          <w:lang w:val="en-GB"/>
        </w:rPr>
        <w:t xml:space="preserve">A </w:t>
      </w:r>
      <w:r w:rsidRPr="00AA55B8">
        <w:rPr>
          <w:b/>
          <w:sz w:val="28"/>
          <w:szCs w:val="28"/>
          <w:lang w:val="en-GB"/>
        </w:rPr>
        <w:t>government budget</w:t>
      </w:r>
      <w:r w:rsidRPr="00AA55B8">
        <w:rPr>
          <w:sz w:val="28"/>
          <w:szCs w:val="28"/>
          <w:lang w:val="en-GB"/>
        </w:rPr>
        <w:t xml:space="preserve"> is a government document presenting the government's proposed revenues and spending for a financial year that is often passed by the legislature, approved by the chief executive or president</w:t>
      </w:r>
      <w:r w:rsidR="00674331">
        <w:rPr>
          <w:sz w:val="28"/>
          <w:szCs w:val="28"/>
          <w:lang w:val="en-GB"/>
        </w:rPr>
        <w:t>,</w:t>
      </w:r>
      <w:r w:rsidRPr="00AA55B8">
        <w:rPr>
          <w:sz w:val="28"/>
          <w:szCs w:val="28"/>
          <w:lang w:val="en-GB"/>
        </w:rPr>
        <w:t xml:space="preserve"> and presented by the Finance Minister to the nation. The budget is also known as the Annual Financial Statement of the country. This document estimates the anticipated government revenues and government expenditures for the ensuing (current) financial year.</w:t>
      </w:r>
    </w:p>
    <w:p w14:paraId="14004D4C" w14:textId="77777777" w:rsidR="00BE42A0" w:rsidRPr="00AA55B8" w:rsidRDefault="00BE42A0" w:rsidP="00C62FA2">
      <w:pPr>
        <w:spacing w:line="312" w:lineRule="auto"/>
        <w:ind w:firstLine="709"/>
        <w:jc w:val="both"/>
        <w:rPr>
          <w:sz w:val="28"/>
          <w:szCs w:val="28"/>
          <w:lang w:val="en-GB"/>
        </w:rPr>
      </w:pPr>
      <w:r w:rsidRPr="00AA55B8">
        <w:rPr>
          <w:b/>
          <w:sz w:val="28"/>
          <w:szCs w:val="28"/>
          <w:lang w:val="en-GB"/>
        </w:rPr>
        <w:t>Budget Code of Ukraine</w:t>
      </w:r>
      <w:r w:rsidRPr="00AA55B8">
        <w:rPr>
          <w:sz w:val="28"/>
          <w:szCs w:val="28"/>
          <w:lang w:val="en-GB"/>
        </w:rPr>
        <w:t xml:space="preserve"> defines budget as a plan of raising and using financial resources to ensure achievement of tasks and execution of functions by bodies of State power, bodies of power of the Autonomous Republic of Crimea and local self-governmental bodies during a budget period. </w:t>
      </w:r>
      <w:r w:rsidRPr="00AA55B8">
        <w:rPr>
          <w:b/>
          <w:sz w:val="28"/>
          <w:szCs w:val="28"/>
          <w:lang w:val="en-GB"/>
        </w:rPr>
        <w:t>Regulations and legal directives of Ukraine</w:t>
      </w:r>
      <w:r w:rsidRPr="00AA55B8">
        <w:rPr>
          <w:sz w:val="28"/>
          <w:szCs w:val="28"/>
          <w:lang w:val="en-GB"/>
        </w:rPr>
        <w:t xml:space="preserve"> that regulate budgeta</w:t>
      </w:r>
      <w:r w:rsidR="00674331">
        <w:rPr>
          <w:sz w:val="28"/>
          <w:szCs w:val="28"/>
          <w:lang w:val="en-GB"/>
        </w:rPr>
        <w:t>ry relations in Ukraine include</w:t>
      </w:r>
      <w:r w:rsidRPr="00AA55B8">
        <w:rPr>
          <w:sz w:val="28"/>
          <w:szCs w:val="28"/>
          <w:lang w:val="en-GB"/>
        </w:rPr>
        <w:t xml:space="preserve"> (i) the Constitution of Ukraine</w:t>
      </w:r>
      <w:r w:rsidR="00674331">
        <w:rPr>
          <w:sz w:val="28"/>
          <w:szCs w:val="28"/>
          <w:lang w:val="en-GB"/>
        </w:rPr>
        <w:t>;</w:t>
      </w:r>
      <w:r w:rsidRPr="00AA55B8">
        <w:rPr>
          <w:sz w:val="28"/>
          <w:szCs w:val="28"/>
          <w:lang w:val="en-GB"/>
        </w:rPr>
        <w:t xml:space="preserve"> (ii) the Budget Code</w:t>
      </w:r>
      <w:r w:rsidR="00674331">
        <w:rPr>
          <w:sz w:val="28"/>
          <w:szCs w:val="28"/>
          <w:lang w:val="en-GB"/>
        </w:rPr>
        <w:t>;</w:t>
      </w:r>
      <w:r w:rsidRPr="00AA55B8">
        <w:rPr>
          <w:sz w:val="28"/>
          <w:szCs w:val="28"/>
          <w:lang w:val="en-GB"/>
        </w:rPr>
        <w:t xml:space="preserve"> (iii) Law on the state budget</w:t>
      </w:r>
      <w:r w:rsidR="00674331">
        <w:rPr>
          <w:sz w:val="28"/>
          <w:szCs w:val="28"/>
          <w:lang w:val="en-GB"/>
        </w:rPr>
        <w:t>;</w:t>
      </w:r>
      <w:r w:rsidRPr="00AA55B8">
        <w:rPr>
          <w:sz w:val="28"/>
          <w:szCs w:val="28"/>
          <w:lang w:val="en-GB"/>
        </w:rPr>
        <w:t xml:space="preserve"> (iv) other laws regulating budgetary relations as per art. 1 of the Budget Code</w:t>
      </w:r>
      <w:r w:rsidR="00674331">
        <w:rPr>
          <w:sz w:val="28"/>
          <w:szCs w:val="28"/>
          <w:lang w:val="en-GB"/>
        </w:rPr>
        <w:t>;</w:t>
      </w:r>
      <w:r w:rsidRPr="00AA55B8">
        <w:rPr>
          <w:sz w:val="28"/>
          <w:szCs w:val="28"/>
          <w:lang w:val="en-GB"/>
        </w:rPr>
        <w:t xml:space="preserve"> (v) regulations of the Cabinet of Ministers adopted on the basis and in line with the Budget Code</w:t>
      </w:r>
      <w:r w:rsidR="00674331">
        <w:rPr>
          <w:sz w:val="28"/>
          <w:szCs w:val="28"/>
          <w:lang w:val="en-GB"/>
        </w:rPr>
        <w:t>;</w:t>
      </w:r>
      <w:r w:rsidRPr="00AA55B8">
        <w:rPr>
          <w:sz w:val="28"/>
          <w:szCs w:val="28"/>
          <w:lang w:val="en-GB"/>
        </w:rPr>
        <w:t xml:space="preserve"> and (vi) other laws of Ukraine, regulations of the bodies of executive power adopted on the basis and in line with the Budget Code, decisions on local budgets as well as decisions of the bodies of the Autonomous Republic of Crimea, local state administrations and local self-government bodies adopted according to the Budget Code.</w:t>
      </w:r>
    </w:p>
    <w:p w14:paraId="6AA206FB" w14:textId="77777777" w:rsidR="00BE42A0" w:rsidRPr="00AA55B8" w:rsidRDefault="00BE42A0" w:rsidP="00C62FA2">
      <w:pPr>
        <w:spacing w:line="312" w:lineRule="auto"/>
        <w:ind w:firstLine="709"/>
        <w:jc w:val="both"/>
        <w:rPr>
          <w:sz w:val="28"/>
          <w:szCs w:val="28"/>
          <w:lang w:val="en-GB"/>
        </w:rPr>
      </w:pPr>
      <w:r w:rsidRPr="00AA55B8">
        <w:rPr>
          <w:b/>
          <w:sz w:val="28"/>
          <w:szCs w:val="28"/>
          <w:lang w:val="en-GB"/>
        </w:rPr>
        <w:t>Consolidated budget</w:t>
      </w:r>
      <w:r w:rsidRPr="00AA55B8">
        <w:rPr>
          <w:sz w:val="28"/>
          <w:szCs w:val="28"/>
          <w:lang w:val="en-GB"/>
        </w:rPr>
        <w:t xml:space="preserve"> is a range of budget indicators used for the analysis and forecasts of economic and social development of a country. The consolidated budget of Ukraine includes indicators of the State Budget of Ukraine, the consolidated budget </w:t>
      </w:r>
      <w:r w:rsidRPr="00AA55B8">
        <w:rPr>
          <w:sz w:val="28"/>
          <w:szCs w:val="28"/>
          <w:lang w:val="en-GB"/>
        </w:rPr>
        <w:lastRenderedPageBreak/>
        <w:t>of the Autonomous Republic of Crimea, and consolidated budgets of regions and cities of Kyiv and Sevastopol.</w:t>
      </w:r>
    </w:p>
    <w:p w14:paraId="64F2AD60" w14:textId="77777777" w:rsidR="00BE42A0" w:rsidRPr="00AA55B8" w:rsidRDefault="00BE42A0" w:rsidP="00C62FA2">
      <w:pPr>
        <w:spacing w:line="312" w:lineRule="auto"/>
        <w:ind w:firstLine="709"/>
        <w:jc w:val="both"/>
        <w:rPr>
          <w:sz w:val="28"/>
          <w:szCs w:val="28"/>
          <w:lang w:val="en-GB"/>
        </w:rPr>
      </w:pPr>
      <w:r w:rsidRPr="00AA55B8">
        <w:rPr>
          <w:b/>
          <w:sz w:val="28"/>
          <w:szCs w:val="28"/>
          <w:lang w:val="en-GB"/>
        </w:rPr>
        <w:t>Budget classification</w:t>
      </w:r>
      <w:r w:rsidRPr="00AA55B8">
        <w:rPr>
          <w:sz w:val="28"/>
          <w:szCs w:val="28"/>
          <w:lang w:val="en-GB"/>
        </w:rPr>
        <w:t xml:space="preserve"> is used to prepare and execute the state and local budgets, report on their execution, exercise control over the financial activities of government authorities, authorities of the Autonomous Republic of Crimea, local self-governments, and other spending units, as well as to conduct financial analysis by revenues, organizational, functional, and economic categories of expenditures, loans, financing and debt, and to ensure the nationwide and international comparability of budget indicators. Budget classification is binding upon all the participants of budget process within the scope of budget permissions. </w:t>
      </w:r>
      <w:r w:rsidRPr="00AA55B8">
        <w:rPr>
          <w:b/>
          <w:sz w:val="28"/>
          <w:szCs w:val="28"/>
          <w:lang w:val="en-GB"/>
        </w:rPr>
        <w:t>Budget classification</w:t>
      </w:r>
      <w:r w:rsidRPr="00AA55B8">
        <w:rPr>
          <w:sz w:val="28"/>
          <w:szCs w:val="28"/>
          <w:lang w:val="en-GB"/>
        </w:rPr>
        <w:t xml:space="preserve"> has the following </w:t>
      </w:r>
      <w:r w:rsidRPr="00AA55B8">
        <w:rPr>
          <w:b/>
          <w:sz w:val="28"/>
          <w:szCs w:val="28"/>
          <w:lang w:val="en-GB"/>
        </w:rPr>
        <w:t>components</w:t>
      </w:r>
      <w:r w:rsidRPr="00AA55B8">
        <w:rPr>
          <w:sz w:val="28"/>
          <w:szCs w:val="28"/>
          <w:lang w:val="en-GB"/>
        </w:rPr>
        <w:t>:</w:t>
      </w:r>
    </w:p>
    <w:p w14:paraId="4CF22A78" w14:textId="77777777" w:rsidR="00BE42A0" w:rsidRPr="00AA55B8" w:rsidRDefault="00AA55B8" w:rsidP="00C62FA2">
      <w:pPr>
        <w:shd w:val="clear" w:color="auto" w:fill="FFFFFF"/>
        <w:spacing w:line="312" w:lineRule="auto"/>
        <w:ind w:left="782" w:hanging="73"/>
        <w:jc w:val="both"/>
        <w:textAlignment w:val="baseline"/>
        <w:rPr>
          <w:sz w:val="28"/>
          <w:szCs w:val="28"/>
          <w:lang w:val="en-US"/>
        </w:rPr>
      </w:pPr>
      <w:r>
        <w:rPr>
          <w:sz w:val="28"/>
          <w:szCs w:val="28"/>
          <w:lang w:val="en-US"/>
        </w:rPr>
        <w:t xml:space="preserve">(i) </w:t>
      </w:r>
      <w:r w:rsidR="00BE42A0" w:rsidRPr="00AA55B8">
        <w:rPr>
          <w:sz w:val="28"/>
          <w:szCs w:val="28"/>
          <w:lang w:val="en-US"/>
        </w:rPr>
        <w:t>classification of budget revenues;</w:t>
      </w:r>
    </w:p>
    <w:p w14:paraId="01541B55" w14:textId="77777777" w:rsidR="00BE42A0" w:rsidRPr="00AA55B8" w:rsidRDefault="00AA55B8" w:rsidP="00C62FA2">
      <w:pPr>
        <w:shd w:val="clear" w:color="auto" w:fill="FFFFFF"/>
        <w:spacing w:line="312" w:lineRule="auto"/>
        <w:ind w:left="782" w:hanging="73"/>
        <w:jc w:val="both"/>
        <w:textAlignment w:val="baseline"/>
        <w:rPr>
          <w:sz w:val="28"/>
          <w:szCs w:val="28"/>
          <w:lang w:val="en-US"/>
        </w:rPr>
      </w:pPr>
      <w:r>
        <w:rPr>
          <w:sz w:val="28"/>
          <w:szCs w:val="28"/>
          <w:lang w:val="en-US"/>
        </w:rPr>
        <w:t xml:space="preserve">(ii) </w:t>
      </w:r>
      <w:r w:rsidR="00BE42A0" w:rsidRPr="00AA55B8">
        <w:rPr>
          <w:sz w:val="28"/>
          <w:szCs w:val="28"/>
          <w:lang w:val="en-US"/>
        </w:rPr>
        <w:t xml:space="preserve">classification of expenditures and loans of the budget; </w:t>
      </w:r>
    </w:p>
    <w:p w14:paraId="12A94846" w14:textId="77777777" w:rsidR="00BE42A0" w:rsidRPr="00AA55B8" w:rsidRDefault="00AA55B8" w:rsidP="00C62FA2">
      <w:pPr>
        <w:shd w:val="clear" w:color="auto" w:fill="FFFFFF"/>
        <w:spacing w:line="312" w:lineRule="auto"/>
        <w:ind w:left="782" w:hanging="73"/>
        <w:jc w:val="both"/>
        <w:textAlignment w:val="baseline"/>
        <w:rPr>
          <w:sz w:val="28"/>
          <w:szCs w:val="28"/>
          <w:lang w:val="en-US"/>
        </w:rPr>
      </w:pPr>
      <w:r>
        <w:rPr>
          <w:sz w:val="28"/>
          <w:szCs w:val="28"/>
          <w:lang w:val="en-US"/>
        </w:rPr>
        <w:t xml:space="preserve">(iii) </w:t>
      </w:r>
      <w:r w:rsidR="00BE42A0" w:rsidRPr="00AA55B8">
        <w:rPr>
          <w:sz w:val="28"/>
          <w:szCs w:val="28"/>
          <w:lang w:val="en-US"/>
        </w:rPr>
        <w:t>classification of budget financing;</w:t>
      </w:r>
    </w:p>
    <w:p w14:paraId="03466859" w14:textId="77777777" w:rsidR="00BE42A0" w:rsidRPr="00AA55B8" w:rsidRDefault="00AA55B8" w:rsidP="00C62FA2">
      <w:pPr>
        <w:shd w:val="clear" w:color="auto" w:fill="FFFFFF"/>
        <w:spacing w:line="312" w:lineRule="auto"/>
        <w:ind w:left="782" w:hanging="73"/>
        <w:jc w:val="both"/>
        <w:textAlignment w:val="baseline"/>
        <w:rPr>
          <w:sz w:val="28"/>
          <w:szCs w:val="28"/>
          <w:lang w:val="en-US"/>
        </w:rPr>
      </w:pPr>
      <w:r>
        <w:rPr>
          <w:sz w:val="28"/>
          <w:szCs w:val="28"/>
          <w:lang w:val="en-US"/>
        </w:rPr>
        <w:t xml:space="preserve">(iv) </w:t>
      </w:r>
      <w:r w:rsidR="00BE42A0" w:rsidRPr="00AA55B8">
        <w:rPr>
          <w:sz w:val="28"/>
          <w:szCs w:val="28"/>
          <w:lang w:val="en-US"/>
        </w:rPr>
        <w:t xml:space="preserve">debt classification. </w:t>
      </w:r>
    </w:p>
    <w:p w14:paraId="3F1DBED0" w14:textId="77777777" w:rsidR="00BE42A0" w:rsidRDefault="00BE42A0" w:rsidP="00C62FA2">
      <w:pPr>
        <w:spacing w:line="312" w:lineRule="auto"/>
        <w:ind w:firstLine="709"/>
        <w:jc w:val="both"/>
        <w:rPr>
          <w:sz w:val="28"/>
          <w:szCs w:val="28"/>
          <w:lang w:val="en-GB"/>
        </w:rPr>
      </w:pPr>
      <w:r w:rsidRPr="00AA55B8">
        <w:rPr>
          <w:b/>
          <w:sz w:val="28"/>
          <w:szCs w:val="28"/>
          <w:lang w:val="en-GB"/>
        </w:rPr>
        <w:t>Budget System of Ukraine</w:t>
      </w:r>
      <w:r w:rsidRPr="00AA55B8">
        <w:rPr>
          <w:sz w:val="28"/>
          <w:szCs w:val="28"/>
          <w:lang w:val="en-GB"/>
        </w:rPr>
        <w:t xml:space="preserve"> is an aggregate of the </w:t>
      </w:r>
      <w:r w:rsidR="00674331">
        <w:rPr>
          <w:sz w:val="28"/>
          <w:szCs w:val="28"/>
          <w:lang w:val="en-GB"/>
        </w:rPr>
        <w:t>s</w:t>
      </w:r>
      <w:r w:rsidRPr="00AA55B8">
        <w:rPr>
          <w:sz w:val="28"/>
          <w:szCs w:val="28"/>
          <w:lang w:val="en-GB"/>
        </w:rPr>
        <w:t xml:space="preserve">tate budget and local budgets based on economic relationships, </w:t>
      </w:r>
      <w:r w:rsidR="00674331">
        <w:rPr>
          <w:sz w:val="28"/>
          <w:szCs w:val="28"/>
          <w:lang w:val="en-GB"/>
        </w:rPr>
        <w:t>s</w:t>
      </w:r>
      <w:r w:rsidRPr="00AA55B8">
        <w:rPr>
          <w:sz w:val="28"/>
          <w:szCs w:val="28"/>
          <w:lang w:val="en-GB"/>
        </w:rPr>
        <w:t xml:space="preserve">tate structure, and administrative-territorial structure, and regulated by provisions of the law. </w:t>
      </w:r>
      <w:r w:rsidR="00674331">
        <w:rPr>
          <w:sz w:val="28"/>
          <w:szCs w:val="28"/>
          <w:lang w:val="en-GB"/>
        </w:rPr>
        <w:t>F</w:t>
      </w:r>
      <w:r w:rsidRPr="00AA55B8">
        <w:rPr>
          <w:sz w:val="28"/>
          <w:szCs w:val="28"/>
          <w:lang w:val="en-GB"/>
        </w:rPr>
        <w:t xml:space="preserve">igure 5.1 </w:t>
      </w:r>
      <w:r w:rsidR="00674331">
        <w:rPr>
          <w:sz w:val="28"/>
          <w:szCs w:val="28"/>
          <w:lang w:val="en-GB"/>
        </w:rPr>
        <w:t xml:space="preserve">presents </w:t>
      </w:r>
      <w:r w:rsidRPr="00AA55B8">
        <w:rPr>
          <w:sz w:val="28"/>
          <w:szCs w:val="28"/>
          <w:lang w:val="en-GB"/>
        </w:rPr>
        <w:t xml:space="preserve">the budget system of Ukraine </w:t>
      </w:r>
      <w:r w:rsidR="00674331">
        <w:rPr>
          <w:sz w:val="28"/>
          <w:szCs w:val="28"/>
          <w:lang w:val="en-GB"/>
        </w:rPr>
        <w:t xml:space="preserve">that </w:t>
      </w:r>
      <w:r w:rsidRPr="00AA55B8">
        <w:rPr>
          <w:sz w:val="28"/>
          <w:szCs w:val="28"/>
          <w:lang w:val="en-GB"/>
        </w:rPr>
        <w:t>consists of the state budget and local budgets.</w:t>
      </w:r>
    </w:p>
    <w:p w14:paraId="732E14A8" w14:textId="77777777" w:rsidR="00AA55B8" w:rsidRPr="00AA55B8" w:rsidRDefault="00AA55B8" w:rsidP="00AA55B8">
      <w:pPr>
        <w:spacing w:line="312" w:lineRule="auto"/>
        <w:jc w:val="both"/>
        <w:rPr>
          <w:sz w:val="28"/>
          <w:szCs w:val="28"/>
          <w:lang w:val="en-GB"/>
        </w:rPr>
      </w:pPr>
      <w:r>
        <w:rPr>
          <w:noProof/>
          <w:sz w:val="28"/>
          <w:szCs w:val="28"/>
          <w:lang w:val="ru-RU" w:eastAsia="ru-RU"/>
        </w:rPr>
        <mc:AlternateContent>
          <mc:Choice Requires="wpc">
            <w:drawing>
              <wp:inline distT="0" distB="0" distL="0" distR="0" wp14:anchorId="30ACD7E3" wp14:editId="71E2DF4D">
                <wp:extent cx="5741043" cy="3136323"/>
                <wp:effectExtent l="0" t="0" r="12065" b="6985"/>
                <wp:docPr id="1073741847" name="Полотно 107374184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73741848" name="Овал 1073741848"/>
                        <wps:cNvSpPr/>
                        <wps:spPr>
                          <a:xfrm>
                            <a:off x="2060282" y="69440"/>
                            <a:ext cx="1932980" cy="636616"/>
                          </a:xfrm>
                          <a:prstGeom prst="ellipse">
                            <a:avLst/>
                          </a:prstGeom>
                          <a:solidFill>
                            <a:schemeClr val="bg1">
                              <a:lumMod val="75000"/>
                            </a:schemeClr>
                          </a:solidFill>
                          <a:ln w="9525">
                            <a:noFill/>
                          </a:ln>
                        </wps:spPr>
                        <wps:style>
                          <a:lnRef idx="2">
                            <a:schemeClr val="dk1"/>
                          </a:lnRef>
                          <a:fillRef idx="1">
                            <a:schemeClr val="lt1"/>
                          </a:fillRef>
                          <a:effectRef idx="0">
                            <a:schemeClr val="dk1"/>
                          </a:effectRef>
                          <a:fontRef idx="minor">
                            <a:schemeClr val="dk1"/>
                          </a:fontRef>
                        </wps:style>
                        <wps:txbx>
                          <w:txbxContent>
                            <w:p w14:paraId="093F72A8" w14:textId="77777777" w:rsidR="00B56753" w:rsidRPr="00E66982" w:rsidRDefault="00B56753" w:rsidP="00AA55B8">
                              <w:pPr>
                                <w:jc w:val="center"/>
                                <w:rPr>
                                  <w:b/>
                                  <w:sz w:val="28"/>
                                  <w:lang w:val="en-US"/>
                                </w:rPr>
                              </w:pPr>
                              <w:r w:rsidRPr="00E66982">
                                <w:rPr>
                                  <w:b/>
                                  <w:sz w:val="28"/>
                                  <w:lang w:val="en-US"/>
                                </w:rPr>
                                <w:t>Budget system of Ukraine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073741849" name="Поле 1073741849"/>
                        <wps:cNvSpPr txBox="1"/>
                        <wps:spPr>
                          <a:xfrm>
                            <a:off x="34723" y="786663"/>
                            <a:ext cx="1493135" cy="474562"/>
                          </a:xfrm>
                          <a:prstGeom prst="rect">
                            <a:avLst/>
                          </a:prstGeom>
                          <a:solidFill>
                            <a:schemeClr val="bg1">
                              <a:lumMod val="8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159352A" w14:textId="77777777" w:rsidR="00B56753" w:rsidRPr="00E66982" w:rsidRDefault="00B56753" w:rsidP="00AA55B8">
                              <w:pPr>
                                <w:jc w:val="center"/>
                                <w:rPr>
                                  <w:b/>
                                  <w:sz w:val="28"/>
                                  <w:lang w:val="en-US"/>
                                </w:rPr>
                              </w:pPr>
                              <w:r w:rsidRPr="00E66982">
                                <w:rPr>
                                  <w:b/>
                                  <w:sz w:val="28"/>
                                  <w:lang w:val="en-US"/>
                                </w:rPr>
                                <w:t>State budget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4" name="Поле 1073741849"/>
                        <wps:cNvSpPr txBox="1"/>
                        <wps:spPr>
                          <a:xfrm>
                            <a:off x="4248158" y="787078"/>
                            <a:ext cx="1492885" cy="474345"/>
                          </a:xfrm>
                          <a:prstGeom prst="rect">
                            <a:avLst/>
                          </a:prstGeom>
                          <a:solidFill>
                            <a:schemeClr val="bg1">
                              <a:lumMod val="8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C72987D" w14:textId="77777777" w:rsidR="00B56753" w:rsidRPr="00E66982" w:rsidRDefault="00B56753" w:rsidP="00E66982">
                              <w:pPr>
                                <w:pStyle w:val="NormalWeb"/>
                                <w:spacing w:before="0" w:beforeAutospacing="0" w:after="0" w:afterAutospacing="0"/>
                                <w:jc w:val="center"/>
                                <w:rPr>
                                  <w:b/>
                                </w:rPr>
                              </w:pPr>
                              <w:r w:rsidRPr="00E66982">
                                <w:rPr>
                                  <w:rFonts w:ascii="Garamond" w:hAnsi="Garamond"/>
                                  <w:b/>
                                  <w:sz w:val="28"/>
                                  <w:szCs w:val="28"/>
                                  <w:lang w:val="en-US"/>
                                </w:rPr>
                                <w:t>Local budgets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5" name="Поле 1073741849"/>
                        <wps:cNvSpPr txBox="1"/>
                        <wps:spPr>
                          <a:xfrm>
                            <a:off x="266218" y="1543810"/>
                            <a:ext cx="1342663" cy="539633"/>
                          </a:xfrm>
                          <a:prstGeom prst="rect">
                            <a:avLst/>
                          </a:prstGeom>
                          <a:solidFill>
                            <a:schemeClr val="bg1">
                              <a:lumMod val="95000"/>
                            </a:schemeClr>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5FF869BC" w14:textId="77777777" w:rsidR="00B56753" w:rsidRPr="00E66982" w:rsidRDefault="00B56753" w:rsidP="00E66982">
                              <w:pPr>
                                <w:pStyle w:val="NormalWeb"/>
                                <w:spacing w:before="0" w:beforeAutospacing="0" w:after="0" w:afterAutospacing="0"/>
                                <w:jc w:val="center"/>
                              </w:pPr>
                              <w:r w:rsidRPr="00E66982">
                                <w:rPr>
                                  <w:rFonts w:ascii="Garamond" w:hAnsi="Garamond"/>
                                  <w:bCs/>
                                  <w:sz w:val="28"/>
                                  <w:szCs w:val="28"/>
                                  <w:lang w:val="en-US"/>
                                </w:rPr>
                                <w:t>Regional budgets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7" name="Поле 1073741849"/>
                        <wps:cNvSpPr txBox="1"/>
                        <wps:spPr>
                          <a:xfrm>
                            <a:off x="2071847" y="1553417"/>
                            <a:ext cx="1174241" cy="557925"/>
                          </a:xfrm>
                          <a:prstGeom prst="rect">
                            <a:avLst/>
                          </a:prstGeom>
                          <a:solidFill>
                            <a:schemeClr val="bg1">
                              <a:lumMod val="95000"/>
                            </a:schemeClr>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B99D3C5" w14:textId="77777777" w:rsidR="00B56753" w:rsidRPr="00E66982" w:rsidRDefault="00B56753" w:rsidP="00E66982">
                              <w:pPr>
                                <w:pStyle w:val="NormalWeb"/>
                                <w:spacing w:before="0" w:beforeAutospacing="0" w:after="0" w:afterAutospacing="0"/>
                                <w:jc w:val="center"/>
                              </w:pPr>
                              <w:r w:rsidRPr="00E66982">
                                <w:rPr>
                                  <w:rFonts w:ascii="Garamond" w:hAnsi="Garamond"/>
                                  <w:bCs/>
                                  <w:sz w:val="28"/>
                                  <w:szCs w:val="28"/>
                                  <w:lang w:val="en-US"/>
                                </w:rPr>
                                <w:t>District budgets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8" name="Поле 1073741849"/>
                        <wps:cNvSpPr txBox="1"/>
                        <wps:spPr>
                          <a:xfrm>
                            <a:off x="3900660" y="1543809"/>
                            <a:ext cx="1840383" cy="567533"/>
                          </a:xfrm>
                          <a:prstGeom prst="rect">
                            <a:avLst/>
                          </a:prstGeom>
                          <a:solidFill>
                            <a:schemeClr val="bg1">
                              <a:lumMod val="95000"/>
                            </a:schemeClr>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7A17D8C1" w14:textId="77777777" w:rsidR="00B56753" w:rsidRPr="00E66982" w:rsidRDefault="00B56753" w:rsidP="00E66982">
                              <w:pPr>
                                <w:pStyle w:val="NormalWeb"/>
                                <w:spacing w:before="0" w:beforeAutospacing="0" w:after="0" w:afterAutospacing="0"/>
                                <w:jc w:val="center"/>
                              </w:pPr>
                              <w:r w:rsidRPr="00E66982">
                                <w:rPr>
                                  <w:rFonts w:ascii="Garamond" w:hAnsi="Garamond"/>
                                  <w:bCs/>
                                  <w:sz w:val="28"/>
                                  <w:szCs w:val="28"/>
                                  <w:lang w:val="en-US"/>
                                </w:rPr>
                                <w:t>Budgets of local self-government bodies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9" name="Поле 1073741849"/>
                        <wps:cNvSpPr txBox="1"/>
                        <wps:spPr>
                          <a:xfrm>
                            <a:off x="2071840" y="2291787"/>
                            <a:ext cx="3668995" cy="844371"/>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35B1446" w14:textId="77777777" w:rsidR="00B56753" w:rsidRDefault="00B56753" w:rsidP="00E66982">
                              <w:pPr>
                                <w:pStyle w:val="NormalWeb"/>
                                <w:spacing w:before="0" w:beforeAutospacing="0" w:after="0" w:afterAutospacing="0"/>
                              </w:pPr>
                              <w:r w:rsidRPr="00E66982">
                                <w:rPr>
                                  <w:rFonts w:ascii="Garamond" w:hAnsi="Garamond"/>
                                  <w:sz w:val="28"/>
                                  <w:szCs w:val="28"/>
                                  <w:lang w:val="en-US"/>
                                </w:rPr>
                                <w:t>include budgets of towns, settlements, and villages</w:t>
                              </w:r>
                              <w:r>
                                <w:rPr>
                                  <w:rFonts w:ascii="Garamond" w:hAnsi="Garamond"/>
                                  <w:sz w:val="28"/>
                                  <w:szCs w:val="28"/>
                                  <w:lang w:val="en-US"/>
                                </w:rPr>
                                <w:t>;</w:t>
                              </w:r>
                              <w:r w:rsidRPr="00E66982">
                                <w:rPr>
                                  <w:rFonts w:ascii="Garamond" w:hAnsi="Garamond"/>
                                  <w:sz w:val="28"/>
                                  <w:szCs w:val="28"/>
                                  <w:lang w:val="en-US"/>
                                </w:rPr>
                                <w:t xml:space="preserve"> budgets of united municipalities which are created in accordance with the law and the plan for the territor</w:t>
                              </w:r>
                              <w:r>
                                <w:rPr>
                                  <w:rFonts w:ascii="Garamond" w:hAnsi="Garamond"/>
                                  <w:sz w:val="28"/>
                                  <w:szCs w:val="28"/>
                                  <w:lang w:val="en-US"/>
                                </w:rPr>
                                <w:t>ial structure of municipalities</w:t>
                              </w:r>
                              <w:r w:rsidRPr="00E66982">
                                <w:rPr>
                                  <w:rFonts w:ascii="Garamond" w:hAnsi="Garamond"/>
                                  <w:sz w:val="28"/>
                                  <w:szCs w:val="28"/>
                                  <w:lang w:val="en-US"/>
                                </w:rPr>
                                <w: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1073741854" name="Полилиния 1073741854"/>
                        <wps:cNvSpPr/>
                        <wps:spPr>
                          <a:xfrm>
                            <a:off x="798649" y="392301"/>
                            <a:ext cx="1273195" cy="394741"/>
                          </a:xfrm>
                          <a:custGeom>
                            <a:avLst/>
                            <a:gdLst>
                              <a:gd name="connsiteX0" fmla="*/ 1261640 w 1261640"/>
                              <a:gd name="connsiteY0" fmla="*/ 1206 h 394745"/>
                              <a:gd name="connsiteX1" fmla="*/ 462987 w 1261640"/>
                              <a:gd name="connsiteY1" fmla="*/ 59080 h 394745"/>
                              <a:gd name="connsiteX2" fmla="*/ 0 w 1261640"/>
                              <a:gd name="connsiteY2" fmla="*/ 383171 h 394745"/>
                              <a:gd name="connsiteX3" fmla="*/ 0 w 1261640"/>
                              <a:gd name="connsiteY3" fmla="*/ 383171 h 394745"/>
                              <a:gd name="connsiteX4" fmla="*/ 0 w 1261640"/>
                              <a:gd name="connsiteY4" fmla="*/ 394745 h 39474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261640" h="394745">
                                <a:moveTo>
                                  <a:pt x="1261640" y="1206"/>
                                </a:moveTo>
                                <a:cubicBezTo>
                                  <a:pt x="967450" y="-1688"/>
                                  <a:pt x="673260" y="-4581"/>
                                  <a:pt x="462987" y="59080"/>
                                </a:cubicBezTo>
                                <a:cubicBezTo>
                                  <a:pt x="252714" y="122741"/>
                                  <a:pt x="0" y="383171"/>
                                  <a:pt x="0" y="383171"/>
                                </a:cubicBezTo>
                                <a:lnTo>
                                  <a:pt x="0" y="383171"/>
                                </a:lnTo>
                                <a:lnTo>
                                  <a:pt x="0" y="394745"/>
                                </a:lnTo>
                              </a:path>
                            </a:pathLst>
                          </a:custGeom>
                          <a:ln>
                            <a:solidFill>
                              <a:schemeClr val="tx1"/>
                            </a:solidFill>
                            <a:tailEnd type="stealth" w="med" len="lg"/>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5" name="Полилиния 265"/>
                        <wps:cNvSpPr/>
                        <wps:spPr>
                          <a:xfrm flipH="1">
                            <a:off x="3993255" y="392319"/>
                            <a:ext cx="1186469" cy="394335"/>
                          </a:xfrm>
                          <a:custGeom>
                            <a:avLst/>
                            <a:gdLst>
                              <a:gd name="connsiteX0" fmla="*/ 1261640 w 1261640"/>
                              <a:gd name="connsiteY0" fmla="*/ 1206 h 394745"/>
                              <a:gd name="connsiteX1" fmla="*/ 462987 w 1261640"/>
                              <a:gd name="connsiteY1" fmla="*/ 59080 h 394745"/>
                              <a:gd name="connsiteX2" fmla="*/ 0 w 1261640"/>
                              <a:gd name="connsiteY2" fmla="*/ 383171 h 394745"/>
                              <a:gd name="connsiteX3" fmla="*/ 0 w 1261640"/>
                              <a:gd name="connsiteY3" fmla="*/ 383171 h 394745"/>
                              <a:gd name="connsiteX4" fmla="*/ 0 w 1261640"/>
                              <a:gd name="connsiteY4" fmla="*/ 394745 h 39474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261640" h="394745">
                                <a:moveTo>
                                  <a:pt x="1261640" y="1206"/>
                                </a:moveTo>
                                <a:cubicBezTo>
                                  <a:pt x="967450" y="-1688"/>
                                  <a:pt x="673260" y="-4581"/>
                                  <a:pt x="462987" y="59080"/>
                                </a:cubicBezTo>
                                <a:cubicBezTo>
                                  <a:pt x="252714" y="122741"/>
                                  <a:pt x="0" y="383171"/>
                                  <a:pt x="0" y="383171"/>
                                </a:cubicBezTo>
                                <a:lnTo>
                                  <a:pt x="0" y="383171"/>
                                </a:lnTo>
                                <a:lnTo>
                                  <a:pt x="0" y="394745"/>
                                </a:lnTo>
                              </a:path>
                            </a:pathLst>
                          </a:custGeom>
                          <a:ln>
                            <a:solidFill>
                              <a:schemeClr val="tx1"/>
                            </a:solidFill>
                            <a:tailEnd type="stealth" w="med" len="lg"/>
                          </a:ln>
                        </wps:spPr>
                        <wps:style>
                          <a:lnRef idx="1">
                            <a:schemeClr val="dk1"/>
                          </a:lnRef>
                          <a:fillRef idx="0">
                            <a:schemeClr val="dk1"/>
                          </a:fillRef>
                          <a:effectRef idx="0">
                            <a:schemeClr val="dk1"/>
                          </a:effectRef>
                          <a:fontRef idx="minor">
                            <a:schemeClr val="tx1"/>
                          </a:fontRef>
                        </wps:style>
                        <wps:txbx>
                          <w:txbxContent>
                            <w:p w14:paraId="09C1C9B4" w14:textId="77777777" w:rsidR="00B56753" w:rsidRDefault="00B56753" w:rsidP="00E66982"/>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4" name="Прямая соединительная линия 224"/>
                        <wps:cNvCnPr>
                          <a:stCxn id="254" idx="2"/>
                        </wps:cNvCnPr>
                        <wps:spPr>
                          <a:xfrm flipH="1">
                            <a:off x="4994588" y="1261423"/>
                            <a:ext cx="13" cy="115902"/>
                          </a:xfrm>
                          <a:prstGeom prst="line">
                            <a:avLst/>
                          </a:prstGeom>
                        </wps:spPr>
                        <wps:style>
                          <a:lnRef idx="1">
                            <a:schemeClr val="dk1"/>
                          </a:lnRef>
                          <a:fillRef idx="0">
                            <a:schemeClr val="dk1"/>
                          </a:fillRef>
                          <a:effectRef idx="0">
                            <a:schemeClr val="dk1"/>
                          </a:effectRef>
                          <a:fontRef idx="minor">
                            <a:schemeClr val="tx1"/>
                          </a:fontRef>
                        </wps:style>
                        <wps:bodyPr/>
                      </wps:wsp>
                      <wps:wsp>
                        <wps:cNvPr id="225" name="Прямая соединительная линия 225"/>
                        <wps:cNvCnPr/>
                        <wps:spPr>
                          <a:xfrm flipH="1">
                            <a:off x="937549" y="1377294"/>
                            <a:ext cx="4057045" cy="0"/>
                          </a:xfrm>
                          <a:prstGeom prst="line">
                            <a:avLst/>
                          </a:prstGeom>
                        </wps:spPr>
                        <wps:style>
                          <a:lnRef idx="1">
                            <a:schemeClr val="dk1"/>
                          </a:lnRef>
                          <a:fillRef idx="0">
                            <a:schemeClr val="dk1"/>
                          </a:fillRef>
                          <a:effectRef idx="0">
                            <a:schemeClr val="dk1"/>
                          </a:effectRef>
                          <a:fontRef idx="minor">
                            <a:schemeClr val="tx1"/>
                          </a:fontRef>
                        </wps:style>
                        <wps:bodyPr/>
                      </wps:wsp>
                      <wps:wsp>
                        <wps:cNvPr id="226" name="Прямая со стрелкой 226"/>
                        <wps:cNvCnPr/>
                        <wps:spPr>
                          <a:xfrm>
                            <a:off x="937548" y="1377263"/>
                            <a:ext cx="0" cy="166511"/>
                          </a:xfrm>
                          <a:prstGeom prst="straightConnector1">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270" name="Прямая со стрелкой 270"/>
                        <wps:cNvCnPr/>
                        <wps:spPr>
                          <a:xfrm>
                            <a:off x="2679843" y="1390314"/>
                            <a:ext cx="0" cy="166370"/>
                          </a:xfrm>
                          <a:prstGeom prst="straightConnector1">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271" name="Прямая со стрелкой 271"/>
                        <wps:cNvCnPr/>
                        <wps:spPr>
                          <a:xfrm>
                            <a:off x="4994601" y="1377263"/>
                            <a:ext cx="0" cy="166370"/>
                          </a:xfrm>
                          <a:prstGeom prst="straightConnector1">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227" name="Стрелка вниз 227"/>
                        <wps:cNvSpPr/>
                        <wps:spPr>
                          <a:xfrm>
                            <a:off x="4490940" y="2111186"/>
                            <a:ext cx="590346" cy="180520"/>
                          </a:xfrm>
                          <a:prstGeom prst="downArrow">
                            <a:avLst/>
                          </a:prstGeom>
                          <a:solidFill>
                            <a:schemeClr val="bg1">
                              <a:lumMod val="95000"/>
                            </a:schemeClr>
                          </a:solid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073741847" o:spid="_x0000_s1043" editas="canvas" style="width:452.05pt;height:246.95pt;mso-position-horizontal-relative:char;mso-position-vertical-relative:line" coordsize="57410,313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4" type="#_x0000_t75" style="position:absolute;width:57410;height:31362;visibility:visible;mso-wrap-style:square">
                  <v:fill o:detectmouseclick="t"/>
                  <v:path o:connecttype="none"/>
                </v:shape>
                <v:oval id="Овал 1073741848" o:spid="_x0000_s1045" style="position:absolute;left:20602;top:694;width:19330;height:63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QY6soA&#10;AADjAAAADwAAAGRycy9kb3ducmV2LnhtbESPQW/CMAyF75P2HyJP2m2kDDRQR0DTBFrRTrQ77Gg1&#10;XlOtcaomQLdfjw9IHO33/N7n1Wb0nTrRENvABqaTDBRxHWzLjYGvave0BBUTssUuMBn4owib9f3d&#10;CnMbznygU5kaJSEcczTgUupzrWPtyGOchJ5YtJ8weEwyDo22A54l3Hf6OctetMeWpcFhT++O6t/y&#10;6A18fFau6urvff/vY1lsx4JDEYx5fBjfXkElGtPNfL0urOBni9liPl3OBVp+kgXo9QU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yEGOrKAAAA4wAAAA8AAAAAAAAAAAAAAAAAmAIA&#10;AGRycy9kb3ducmV2LnhtbFBLBQYAAAAABAAEAPUAAACPAwAAAAA=&#10;" fillcolor="#bfbfbf [2412]" stroked="f">
                  <v:textbox inset="1mm,1mm,1mm,1mm">
                    <w:txbxContent>
                      <w:p w:rsidR="00B56753" w:rsidRPr="00E66982" w:rsidRDefault="00B56753" w:rsidP="00AA55B8">
                        <w:pPr>
                          <w:jc w:val="center"/>
                          <w:rPr>
                            <w:b/>
                            <w:sz w:val="28"/>
                            <w:lang w:val="en-US"/>
                          </w:rPr>
                        </w:pPr>
                        <w:r w:rsidRPr="00E66982">
                          <w:rPr>
                            <w:b/>
                            <w:sz w:val="28"/>
                            <w:lang w:val="en-US"/>
                          </w:rPr>
                          <w:t>Budget system of Ukraine</w:t>
                        </w:r>
                      </w:p>
                    </w:txbxContent>
                  </v:textbox>
                </v:oval>
                <v:shape id="Поле 1073741849" o:spid="_x0000_s1046" type="#_x0000_t202" style="position:absolute;left:347;top:7866;width:14931;height:47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qfTMcA&#10;AADjAAAADwAAAGRycy9kb3ducmV2LnhtbERPX2vCMBB/F/wO4YS9aeIqWqtRhjCYL5N1gq9Hc7bF&#10;5lKarNZvvwwGPt7v/233g21ET52vHWuYzxQI4sKZmksN5+/3aQrCB2SDjWPS8CAP+914tMXMuDt/&#10;UZ+HUsQQ9hlqqEJoMyl9UZFFP3MtceSurrMY4tmV0nR4j+G2ka9KLaXFmmNDhS0dKipu+Y/VkCQK&#10;P0/95XJ85Gl+bK7r0/lgtH6ZDG8bEIGG8BT/uz9MnK9WyWoxTxdr+PspAiB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Kn0zHAAAA4wAAAA8AAAAAAAAAAAAAAAAAmAIAAGRy&#10;cy9kb3ducmV2LnhtbFBLBQYAAAAABAAEAPUAAACMAwAAAAA=&#10;" fillcolor="#d8d8d8 [2732]" stroked="f" strokeweight=".5pt">
                  <v:textbox>
                    <w:txbxContent>
                      <w:p w:rsidR="00B56753" w:rsidRPr="00E66982" w:rsidRDefault="00B56753" w:rsidP="00AA55B8">
                        <w:pPr>
                          <w:jc w:val="center"/>
                          <w:rPr>
                            <w:b/>
                            <w:sz w:val="28"/>
                            <w:lang w:val="en-US"/>
                          </w:rPr>
                        </w:pPr>
                        <w:r w:rsidRPr="00E66982">
                          <w:rPr>
                            <w:b/>
                            <w:sz w:val="28"/>
                            <w:lang w:val="en-US"/>
                          </w:rPr>
                          <w:t>State budget</w:t>
                        </w:r>
                      </w:p>
                    </w:txbxContent>
                  </v:textbox>
                </v:shape>
                <v:shape id="Поле 1073741849" o:spid="_x0000_s1047" type="#_x0000_t202" style="position:absolute;left:42481;top:7870;width:14929;height:47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ARsUA&#10;AADcAAAADwAAAGRycy9kb3ducmV2LnhtbESPT2vCQBTE7wW/w/KE3urGf8WmboIIheZSMRW8PrLP&#10;JJh9G7JrTL59Vyh4HGbmN8w2HUwjeupcbVnBfBaBIC6srrlUcPr9etuAcB5ZY2OZFIzkIE0mL1uM&#10;tb3zkfrclyJA2MWooPK+jaV0RUUG3cy2xMG72M6gD7Irpe7wHuCmkYsoepcGaw4LFba0r6i45jej&#10;YLmM8OfQn8/ZmG/yrLl8HE57rdTrdNh9gvA0+Gf4v/2tFSzWK3icCUdAJ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f4BGxQAAANwAAAAPAAAAAAAAAAAAAAAAAJgCAABkcnMv&#10;ZG93bnJldi54bWxQSwUGAAAAAAQABAD1AAAAigMAAAAA&#10;" fillcolor="#d8d8d8 [2732]" stroked="f" strokeweight=".5pt">
                  <v:textbox>
                    <w:txbxContent>
                      <w:p w:rsidR="00B56753" w:rsidRPr="00E66982" w:rsidRDefault="00B56753" w:rsidP="00E66982">
                        <w:pPr>
                          <w:pStyle w:val="afc"/>
                          <w:spacing w:before="0" w:beforeAutospacing="0" w:after="0" w:afterAutospacing="0"/>
                          <w:jc w:val="center"/>
                          <w:rPr>
                            <w:b/>
                          </w:rPr>
                        </w:pPr>
                        <w:r w:rsidRPr="00E66982">
                          <w:rPr>
                            <w:rFonts w:ascii="Garamond" w:hAnsi="Garamond"/>
                            <w:b/>
                            <w:sz w:val="28"/>
                            <w:szCs w:val="28"/>
                            <w:lang w:val="en-US"/>
                          </w:rPr>
                          <w:t>Local budgets</w:t>
                        </w:r>
                      </w:p>
                    </w:txbxContent>
                  </v:textbox>
                </v:shape>
                <v:shape id="Поле 1073741849" o:spid="_x0000_s1048" type="#_x0000_t202" style="position:absolute;left:2662;top:15438;width:13426;height:53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0ETccA&#10;AADcAAAADwAAAGRycy9kb3ducmV2LnhtbESPT2vCQBTE7wW/w/KE3upGi1VTV9FiqYgX/9DS2yP7&#10;TEKyb0N2Ndtv7xYKPQ4z8xtmvgymFjdqXWlZwXCQgCDOrC45V3A+vT9NQTiPrLG2TAp+yMFy0XuY&#10;Y6ptxwe6HX0uIoRdigoK75tUSpcVZNANbEMcvYttDfoo21zqFrsIN7UcJcmLNFhyXCiwobeCsup4&#10;NQquzx+h2ly+u/Xu9En7yXoTZl+VUo/9sHoF4Sn4//Bfe6sVjMZj+D0Tj4Bc3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BE3HAAAA3AAAAA8AAAAAAAAAAAAAAAAAmAIAAGRy&#10;cy9kb3ducmV2LnhtbFBLBQYAAAAABAAEAPUAAACMAwAAAAA=&#10;" fillcolor="#f2f2f2 [3052]" strokecolor="black [3213]" strokeweight=".5pt">
                  <v:textbox>
                    <w:txbxContent>
                      <w:p w:rsidR="00B56753" w:rsidRPr="00E66982" w:rsidRDefault="00B56753" w:rsidP="00E66982">
                        <w:pPr>
                          <w:pStyle w:val="afc"/>
                          <w:spacing w:before="0" w:beforeAutospacing="0" w:after="0" w:afterAutospacing="0"/>
                          <w:jc w:val="center"/>
                        </w:pPr>
                        <w:r w:rsidRPr="00E66982">
                          <w:rPr>
                            <w:rFonts w:ascii="Garamond" w:hAnsi="Garamond"/>
                            <w:bCs/>
                            <w:sz w:val="28"/>
                            <w:szCs w:val="28"/>
                            <w:lang w:val="en-US"/>
                          </w:rPr>
                          <w:t>Regional budgets</w:t>
                        </w:r>
                      </w:p>
                    </w:txbxContent>
                  </v:textbox>
                </v:shape>
                <v:shape id="Поле 1073741849" o:spid="_x0000_s1049" type="#_x0000_t202" style="position:absolute;left:20718;top:15534;width:11742;height:55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M/occA&#10;AADcAAAADwAAAGRycy9kb3ducmV2LnhtbESPT2vCQBTE7wW/w/IK3uqmFqumrqJFsUgv/qGlt0f2&#10;mYRk34bsatZv7xYKPQ4z8xtmtgimFldqXWlZwfMgAUGcWV1yruB03DxNQDiPrLG2TApu5GAx7z3M&#10;MNW24z1dDz4XEcIuRQWF900qpcsKMugGtiGO3tm2Bn2UbS51i12Em1oOk+RVGiw5LhTY0HtBWXW4&#10;GAWXl22o1uefbrU7ftHneLUO0+9Kqf5jWL6B8BT8f/iv/aEVDEdj+D0Tj4C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DP6HHAAAA3AAAAA8AAAAAAAAAAAAAAAAAmAIAAGRy&#10;cy9kb3ducmV2LnhtbFBLBQYAAAAABAAEAPUAAACMAwAAAAA=&#10;" fillcolor="#f2f2f2 [3052]" strokecolor="black [3213]" strokeweight=".5pt">
                  <v:textbox>
                    <w:txbxContent>
                      <w:p w:rsidR="00B56753" w:rsidRPr="00E66982" w:rsidRDefault="00B56753" w:rsidP="00E66982">
                        <w:pPr>
                          <w:pStyle w:val="afc"/>
                          <w:spacing w:before="0" w:beforeAutospacing="0" w:after="0" w:afterAutospacing="0"/>
                          <w:jc w:val="center"/>
                        </w:pPr>
                        <w:r w:rsidRPr="00E66982">
                          <w:rPr>
                            <w:rFonts w:ascii="Garamond" w:hAnsi="Garamond"/>
                            <w:bCs/>
                            <w:sz w:val="28"/>
                            <w:szCs w:val="28"/>
                            <w:lang w:val="en-US"/>
                          </w:rPr>
                          <w:t>District budgets</w:t>
                        </w:r>
                      </w:p>
                    </w:txbxContent>
                  </v:textbox>
                </v:shape>
                <v:shape id="Поле 1073741849" o:spid="_x0000_s1050" type="#_x0000_t202" style="position:absolute;left:39006;top:15438;width:18404;height:56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yr08MA&#10;AADcAAAADwAAAGRycy9kb3ducmV2LnhtbERPz2vCMBS+C/sfwhO8aapjc3ZGmUPZEC9T2djt0Tzb&#10;0ualNNHG/94cBI8f3+/5MphaXKh1pWUF41ECgjizuuRcwfGwGb6BcB5ZY22ZFFzJwXLx1Jtjqm3H&#10;P3TZ+1zEEHYpKii8b1IpXVaQQTeyDXHkTrY16CNsc6lb7GK4qeUkSV6lwZJjQ4ENfRaUVfuzUXB+&#10;/grV+vTfrbaHX9pNV+sw+6uUGvTDxzsIT8E/xHf3t1YweYlr45l4BO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Zyr08MAAADcAAAADwAAAAAAAAAAAAAAAACYAgAAZHJzL2Rv&#10;d25yZXYueG1sUEsFBgAAAAAEAAQA9QAAAIgDAAAAAA==&#10;" fillcolor="#f2f2f2 [3052]" strokecolor="black [3213]" strokeweight=".5pt">
                  <v:textbox>
                    <w:txbxContent>
                      <w:p w:rsidR="00B56753" w:rsidRPr="00E66982" w:rsidRDefault="00B56753" w:rsidP="00E66982">
                        <w:pPr>
                          <w:pStyle w:val="afc"/>
                          <w:spacing w:before="0" w:beforeAutospacing="0" w:after="0" w:afterAutospacing="0"/>
                          <w:jc w:val="center"/>
                        </w:pPr>
                        <w:r w:rsidRPr="00E66982">
                          <w:rPr>
                            <w:rFonts w:ascii="Garamond" w:hAnsi="Garamond"/>
                            <w:bCs/>
                            <w:sz w:val="28"/>
                            <w:szCs w:val="28"/>
                            <w:lang w:val="en-US"/>
                          </w:rPr>
                          <w:t>Budgets of local self-government bodies</w:t>
                        </w:r>
                      </w:p>
                    </w:txbxContent>
                  </v:textbox>
                </v:shape>
                <v:shape id="Поле 1073741849" o:spid="_x0000_s1051" type="#_x0000_t202" style="position:absolute;left:20718;top:22917;width:36690;height:84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jzl8MA&#10;AADcAAAADwAAAGRycy9kb3ducmV2LnhtbESPT2sCMRTE74V+h/AK3mriglJXoxRxxUMv9c/9sXnd&#10;LLt5WTdR12/fCIUeh5n5DbNcD64VN+pD7VnDZKxAEJfe1FxpOB2L9w8QISIbbD2ThgcFWK9eX5aY&#10;G3/nb7odYiUShEOOGmyMXS5lKC05DGPfESfvx/cOY5J9JU2P9wR3rcyUmkmHNacFix1tLJXN4eo0&#10;FNRMjpm6KF+cNrvqLBsbv7Zaj96GzwWISEP8D/+190ZDNp3D80w6An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jzl8MAAADcAAAADwAAAAAAAAAAAAAAAACYAgAAZHJzL2Rv&#10;d25yZXYueG1sUEsFBgAAAAAEAAQA9QAAAIgDAAAAAA==&#10;" fillcolor="#f2f2f2 [3052]" stroked="f" strokeweight=".5pt">
                  <v:textbox inset="1mm,0,1mm,0">
                    <w:txbxContent>
                      <w:p w:rsidR="00B56753" w:rsidRDefault="00B56753" w:rsidP="00E66982">
                        <w:pPr>
                          <w:pStyle w:val="afc"/>
                          <w:spacing w:before="0" w:beforeAutospacing="0" w:after="0" w:afterAutospacing="0"/>
                        </w:pPr>
                        <w:r w:rsidRPr="00E66982">
                          <w:rPr>
                            <w:rFonts w:ascii="Garamond" w:hAnsi="Garamond"/>
                            <w:sz w:val="28"/>
                            <w:szCs w:val="28"/>
                            <w:lang w:val="en-US"/>
                          </w:rPr>
                          <w:t>include budgets of towns, settlements, and villages</w:t>
                        </w:r>
                        <w:r>
                          <w:rPr>
                            <w:rFonts w:ascii="Garamond" w:hAnsi="Garamond"/>
                            <w:sz w:val="28"/>
                            <w:szCs w:val="28"/>
                            <w:lang w:val="en-US"/>
                          </w:rPr>
                          <w:t>;</w:t>
                        </w:r>
                        <w:r w:rsidRPr="00E66982">
                          <w:rPr>
                            <w:rFonts w:ascii="Garamond" w:hAnsi="Garamond"/>
                            <w:sz w:val="28"/>
                            <w:szCs w:val="28"/>
                            <w:lang w:val="en-US"/>
                          </w:rPr>
                          <w:t xml:space="preserve"> budgets of united municipalities which are created in accordance with the law and the plan for the territor</w:t>
                        </w:r>
                        <w:r>
                          <w:rPr>
                            <w:rFonts w:ascii="Garamond" w:hAnsi="Garamond"/>
                            <w:sz w:val="28"/>
                            <w:szCs w:val="28"/>
                            <w:lang w:val="en-US"/>
                          </w:rPr>
                          <w:t>ial structure of municipalities</w:t>
                        </w:r>
                        <w:r w:rsidRPr="00E66982">
                          <w:rPr>
                            <w:rFonts w:ascii="Garamond" w:hAnsi="Garamond"/>
                            <w:sz w:val="28"/>
                            <w:szCs w:val="28"/>
                            <w:lang w:val="en-US"/>
                          </w:rPr>
                          <w:t>.</w:t>
                        </w:r>
                      </w:p>
                    </w:txbxContent>
                  </v:textbox>
                </v:shape>
                <v:shape id="Полилиния 1073741854" o:spid="_x0000_s1052" style="position:absolute;left:7986;top:3923;width:12732;height:3947;visibility:visible;mso-wrap-style:square;v-text-anchor:middle" coordsize="1261640,3947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gH+8sA&#10;AADjAAAADwAAAGRycy9kb3ducmV2LnhtbESPwW7CMBBE70j9B2sr9YKKk5IWSDGItkLiVhH4gFW8&#10;JKHx2ordEP6+roTEcXfmzc4u14NpRU+dbywrSCcJCOLS6oYrBcfD9nkOwgdkja1lUnAlD+vVw2iJ&#10;ubYX3lNfhErEEPY5KqhDcLmUvqzJoJ9YRxy1k+0Mhjh2ldQdXmK4aeVLkrxJgw3HCzU6+qyp/Cl+&#10;TaxRfJz71GVfejHdXL/H523m9q1ST4/D5h1EoCHczTd6pyOXzKazLJ2/ZvD/U1yAXP0B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CCAf7ywAAAOMAAAAPAAAAAAAAAAAAAAAAAJgC&#10;AABkcnMvZG93bnJldi54bWxQSwUGAAAAAAQABAD1AAAAkAMAAAAA&#10;" path="m1261640,1206c967450,-1688,673260,-4581,462987,59080,252714,122741,,383171,,383171r,l,394745e" filled="f" strokecolor="black [3213]">
                  <v:stroke endarrow="classic" endarrowlength="long"/>
                  <v:path arrowok="t" o:connecttype="custom" o:connectlocs="1273195,1206;467227,59079;0,383167;0,383167;0,394741" o:connectangles="0,0,0,0,0"/>
                </v:shape>
                <v:shape id="Полилиния 265" o:spid="_x0000_s1053" style="position:absolute;left:39932;top:3923;width:11865;height:3943;flip:x;visibility:visible;mso-wrap-style:square;v-text-anchor:middle" coordsize="1261640,39474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Ta8UA&#10;AADcAAAADwAAAGRycy9kb3ducmV2LnhtbESPQUvDQBSE70L/w/KE3uzGoqnEbksRCj3USqOCx0f2&#10;mQSzb0P2pV3/vVsQehxm5htmuY6uUycaQuvZwP0sA0VcedtybeDjfXv3BCoIssXOMxn4pQDr1eRm&#10;iYX1Zz7SqZRaJQiHAg00In2hdagachhmvidO3rcfHEqSQ63tgOcEd52eZ1muHbacFhrs6aWh6qcc&#10;nYG3z/L1YVzksti2+10co/DXQYyZ3sbNMyihKNfwf3tnDczzR7icSUdAr/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8RNrxQAAANwAAAAPAAAAAAAAAAAAAAAAAJgCAABkcnMv&#10;ZG93bnJldi54bWxQSwUGAAAAAAQABAD1AAAAigMAAAAA&#10;" adj="-11796480,,5400" path="m1261640,1206c967450,-1688,673260,-4581,462987,59080,252714,122741,,383171,,383171r,l,394745e" filled="f" strokecolor="black [3213]">
                  <v:stroke endarrow="classic" endarrowlength="long" joinstyle="miter"/>
                  <v:formulas/>
                  <v:path arrowok="t" o:connecttype="custom" o:connectlocs="1186469,1205;435401,59019;0,382773;0,382773;0,394335" o:connectangles="0,0,0,0,0" textboxrect="0,0,1261640,394745"/>
                  <v:textbox>
                    <w:txbxContent>
                      <w:p w:rsidR="00B56753" w:rsidRDefault="00B56753" w:rsidP="00E66982"/>
                    </w:txbxContent>
                  </v:textbox>
                </v:shape>
                <v:line id="Прямая соединительная линия 224" o:spid="_x0000_s1054" style="position:absolute;flip:x;visibility:visible;mso-wrap-style:square" from="49945,12614" to="49946,13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iRcYAAADcAAAADwAAAGRycy9kb3ducmV2LnhtbESPT2vCQBTE7wW/w/KE3pqNodiSuooI&#10;grSkNNEeentkX/7Q7NuQXU389l1B6HGYmd8wq81kOnGhwbWWFSyiGARxaXXLtYLTcf/0CsJ5ZI2d&#10;ZVJwJQeb9exhham2I+d0KXwtAoRdigoa7/tUSlc2ZNBFticOXmUHgz7IoZZ6wDHATSeTOF5Kgy2H&#10;hQZ72jVU/hZno6By537386199fKe5Vn1UX/i+KXU43zavoHwNPn/8L190AqS5BluZ8IRkO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w/okXGAAAA3AAAAA8AAAAAAAAA&#10;AAAAAAAAoQIAAGRycy9kb3ducmV2LnhtbFBLBQYAAAAABAAEAPkAAACUAwAAAAA=&#10;" strokecolor="black [3040]"/>
                <v:line id="Прямая соединительная линия 225" o:spid="_x0000_s1055" style="position:absolute;flip:x;visibility:visible;mso-wrap-style:square" from="9375,13772" to="49945,13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MH3sYAAADcAAAADwAAAGRycy9kb3ducmV2LnhtbESPT2vCQBTE7wW/w/KE3pqNgdqSuooI&#10;grSkNNEeentkX/7Q7NuQXU389l1B6HGYmd8wq81kOnGhwbWWFSyiGARxaXXLtYLTcf/0CsJ5ZI2d&#10;ZVJwJQeb9exhham2I+d0KXwtAoRdigoa7/tUSlc2ZNBFticOXmUHgz7IoZZ6wDHATSeTOF5Kgy2H&#10;hQZ72jVU/hZno6By537386199fKe5Vn1UX/i+KXU43zavoHwNPn/8L190AqS5BluZ8IRkO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NzB97GAAAA3AAAAA8AAAAAAAAA&#10;AAAAAAAAoQIAAGRycy9kb3ducmV2LnhtbFBLBQYAAAAABAAEAPkAAACUAwAAAAA=&#10;" strokecolor="black [3040]"/>
                <v:shapetype id="_x0000_t32" coordsize="21600,21600" o:spt="32" o:oned="t" path="m,l21600,21600e" filled="f">
                  <v:path arrowok="t" fillok="f" o:connecttype="none"/>
                  <o:lock v:ext="edit" shapetype="t"/>
                </v:shapetype>
                <v:shape id="Прямая со стрелкой 226" o:spid="_x0000_s1056" type="#_x0000_t32" style="position:absolute;left:9375;top:13772;width:0;height:16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Fzm8IAAADcAAAADwAAAGRycy9kb3ducmV2LnhtbESPzarCMBSE98J9h3AuuNP0VhGpRpGL&#10;gl2Jfwt3h+bYVpuT0kStb28EweUwM98w03lrKnGnxpWWFfz1IxDEmdUl5woO+1VvDMJ5ZI2VZVLw&#10;JAfz2U9niom2D97SfedzESDsElRQeF8nUrqsIIOub2vi4J1tY9AH2eRSN/gIcFPJOIpG0mDJYaHA&#10;mv4Lyq67m1GwcZc0lcfr0Jw4LZdZyuunGyjV/W0XExCeWv8Nf9prrSCOR/A+E46An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ZFzm8IAAADcAAAADwAAAAAAAAAAAAAA&#10;AAChAgAAZHJzL2Rvd25yZXYueG1sUEsFBgAAAAAEAAQA+QAAAJADAAAAAA==&#10;" strokecolor="black [3040]">
                  <v:stroke endarrow="classic" endarrowlength="long"/>
                </v:shape>
                <v:shape id="Прямая со стрелкой 270" o:spid="_x0000_s1057" type="#_x0000_t32" style="position:absolute;left:26798;top:13903;width:0;height:16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dhacEAAADcAAAADwAAAGRycy9kb3ducmV2LnhtbERPTYvCMBC9C/6HMMLeNFWXVaqpiKxg&#10;T7JVD96GZmxrm0lpslr/vTks7PHxvteb3jTiQZ2rLCuYTiIQxLnVFRcKzqf9eAnCeWSNjWVS8CIH&#10;m2Q4WGOs7ZN/6JH5QoQQdjEqKL1vYyldXpJBN7EtceButjPoA+wKqTt8hnDTyFkUfUmDFYeGElva&#10;lZTX2a9RcHT3NJWX+tNcOa2+85QPLzdX6mPUb1cgPPX+X/znPmgFs0WYH86EIyCT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h2FpwQAAANwAAAAPAAAAAAAAAAAAAAAA&#10;AKECAABkcnMvZG93bnJldi54bWxQSwUGAAAAAAQABAD5AAAAjwMAAAAA&#10;" strokecolor="black [3040]">
                  <v:stroke endarrow="classic" endarrowlength="long"/>
                </v:shape>
                <v:shape id="Прямая со стрелкой 271" o:spid="_x0000_s1058" type="#_x0000_t32" style="position:absolute;left:49946;top:13772;width:0;height:16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vE8sQAAADcAAAADwAAAGRycy9kb3ducmV2LnhtbESPT4vCMBTE74LfITxhb5qqiy5dUxFR&#10;sKfFP3vY26N5ttXmpTSx1m+/EQSPw8z8hlksO1OJlhpXWlYwHkUgiDOrS84VnI7b4RcI55E1VpZJ&#10;wYMcLJN+b4GxtnfeU3vwuQgQdjEqKLyvYyldVpBBN7I1cfDOtjHog2xyqRu8B7ip5CSKZtJgyWGh&#10;wJrWBWXXw80o+HGXNJW/10/zx2m5yVLePdxUqY9Bt/oG4anz7/CrvdMKJvMxPM+EIyCT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y8TyxAAAANwAAAAPAAAAAAAAAAAA&#10;AAAAAKECAABkcnMvZG93bnJldi54bWxQSwUGAAAAAAQABAD5AAAAkgMAAAAA&#10;" strokecolor="black [3040]">
                  <v:stroke endarrow="classic" endarrowlength="long"/>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27" o:spid="_x0000_s1059" type="#_x0000_t67" style="position:absolute;left:44909;top:21111;width:5903;height:18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FsJMQA&#10;AADcAAAADwAAAGRycy9kb3ducmV2LnhtbESPQUsDMRSE70L/Q3iCN5vtQtd2bVqKIHoT29LzY/O6&#10;iW5eYhLb1V9vBMHjMDPfMKvN6AZxppisZwWzaQWCuPPacq/gsH+8XYBIGVnj4JkUfFGCzXpytcJW&#10;+wu/0nmXe1EgnFpUYHIOrZSpM+QwTX0gLt7JR4e5yNhLHfFS4G6QdVU10qHlsmAw0IOh7n336RQ0&#10;Zt4cn2bfb2F5+BiCnZ+ONr4odXM9bu9BZBrzf/iv/awV1PUd/J4pR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2BbCTEAAAA3AAAAA8AAAAAAAAAAAAAAAAAmAIAAGRycy9k&#10;b3ducmV2LnhtbFBLBQYAAAAABAAEAPUAAACJAwAAAAA=&#10;" adj="10800" fillcolor="#f2f2f2 [3052]" strokecolor="black [3213]" strokeweight=".5pt"/>
                <w10:anchorlock/>
              </v:group>
            </w:pict>
          </mc:Fallback>
        </mc:AlternateContent>
      </w:r>
    </w:p>
    <w:p w14:paraId="49DB5715" w14:textId="77777777" w:rsidR="00BE42A0" w:rsidRPr="000E35D0" w:rsidRDefault="000E35D0" w:rsidP="0073536E">
      <w:pPr>
        <w:spacing w:line="312" w:lineRule="auto"/>
        <w:ind w:firstLine="709"/>
        <w:jc w:val="center"/>
        <w:rPr>
          <w:b/>
          <w:sz w:val="28"/>
          <w:szCs w:val="28"/>
          <w:lang w:val="en-GB"/>
        </w:rPr>
      </w:pPr>
      <w:r w:rsidRPr="000E35D0">
        <w:rPr>
          <w:b/>
          <w:sz w:val="28"/>
          <w:szCs w:val="28"/>
          <w:lang w:val="en-GB"/>
        </w:rPr>
        <w:t>Figure 5.1</w:t>
      </w:r>
      <w:r w:rsidR="00C62FA2">
        <w:rPr>
          <w:b/>
          <w:sz w:val="28"/>
          <w:szCs w:val="28"/>
          <w:lang w:val="en-GB"/>
        </w:rPr>
        <w:t xml:space="preserve"> – </w:t>
      </w:r>
      <w:r w:rsidRPr="000E35D0">
        <w:rPr>
          <w:b/>
          <w:sz w:val="28"/>
          <w:szCs w:val="28"/>
          <w:lang w:val="en-GB"/>
        </w:rPr>
        <w:t>Structure of the budget system of Ukraine</w:t>
      </w:r>
    </w:p>
    <w:p w14:paraId="7EA8A99A"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 xml:space="preserve">   </w:t>
      </w:r>
    </w:p>
    <w:p w14:paraId="277F6525"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lastRenderedPageBreak/>
        <w:t xml:space="preserve">Currently, there are 11761 </w:t>
      </w:r>
      <w:r w:rsidRPr="000E35D0">
        <w:rPr>
          <w:b/>
          <w:sz w:val="28"/>
          <w:szCs w:val="28"/>
          <w:lang w:val="en-GB"/>
        </w:rPr>
        <w:t xml:space="preserve">local budgets </w:t>
      </w:r>
      <w:r w:rsidRPr="00AA55B8">
        <w:rPr>
          <w:sz w:val="28"/>
          <w:szCs w:val="28"/>
          <w:lang w:val="en-GB"/>
        </w:rPr>
        <w:t xml:space="preserve">(not including the Autonomous Republic of Crimea and Sevastopol). All local budgets are independent, i.e. they have necessary revenue sources and the local governments are entitled to decide about budget expenses in accordance with the law of Ukraine. Respective local councils can discuss and adopt local budgets by themselves and independently of each other. 672 budgets are directly linked with the state budget (including 24 regional budgets, the budget of Kyiv, 173 budgets of </w:t>
      </w:r>
      <w:r w:rsidR="00674331">
        <w:rPr>
          <w:sz w:val="28"/>
          <w:szCs w:val="28"/>
          <w:lang w:val="en-GB"/>
        </w:rPr>
        <w:t>c</w:t>
      </w:r>
      <w:r w:rsidRPr="00AA55B8">
        <w:rPr>
          <w:sz w:val="28"/>
          <w:szCs w:val="28"/>
          <w:lang w:val="en-GB"/>
        </w:rPr>
        <w:t>ities of regional significance</w:t>
      </w:r>
      <w:r w:rsidR="00674331">
        <w:rPr>
          <w:sz w:val="28"/>
          <w:szCs w:val="28"/>
          <w:lang w:val="en-GB"/>
        </w:rPr>
        <w:t>,</w:t>
      </w:r>
      <w:r w:rsidRPr="00AA55B8">
        <w:rPr>
          <w:sz w:val="28"/>
          <w:szCs w:val="28"/>
          <w:lang w:val="en-GB"/>
        </w:rPr>
        <w:t xml:space="preserve"> and 474 district budgets).</w:t>
      </w:r>
    </w:p>
    <w:p w14:paraId="5D57FB01" w14:textId="77777777" w:rsidR="00DE789B" w:rsidRDefault="00BE42A0" w:rsidP="0073536E">
      <w:pPr>
        <w:spacing w:line="312" w:lineRule="auto"/>
        <w:ind w:firstLine="709"/>
        <w:jc w:val="both"/>
        <w:rPr>
          <w:sz w:val="28"/>
          <w:szCs w:val="28"/>
          <w:lang w:val="en-GB"/>
        </w:rPr>
      </w:pPr>
      <w:r w:rsidRPr="000E35D0">
        <w:rPr>
          <w:b/>
          <w:sz w:val="28"/>
          <w:szCs w:val="28"/>
          <w:lang w:val="en-GB"/>
        </w:rPr>
        <w:t>Decentralization</w:t>
      </w:r>
      <w:r w:rsidRPr="00AA55B8">
        <w:rPr>
          <w:sz w:val="28"/>
          <w:szCs w:val="28"/>
          <w:lang w:val="en-GB"/>
        </w:rPr>
        <w:t xml:space="preserve"> became a top priority on Ukraine’s political agenda in the aftermath of Euromaidan in February 2014 as a result of the pronounced public demand for the devolution of power and resources to local communities and a subsequently strong commitment by the new political elite to reform the existing system of local governance. </w:t>
      </w:r>
    </w:p>
    <w:p w14:paraId="134548E8" w14:textId="77777777" w:rsidR="000E35D0" w:rsidRDefault="00BE42A0" w:rsidP="0073536E">
      <w:pPr>
        <w:spacing w:line="312" w:lineRule="auto"/>
        <w:ind w:firstLine="709"/>
        <w:jc w:val="both"/>
        <w:rPr>
          <w:sz w:val="28"/>
          <w:szCs w:val="28"/>
          <w:lang w:val="en-GB"/>
        </w:rPr>
      </w:pPr>
      <w:r w:rsidRPr="00AA55B8">
        <w:rPr>
          <w:sz w:val="28"/>
          <w:szCs w:val="28"/>
          <w:lang w:val="en-GB"/>
        </w:rPr>
        <w:t>Beginning from 2015</w:t>
      </w:r>
      <w:r w:rsidR="00674331">
        <w:rPr>
          <w:sz w:val="28"/>
          <w:szCs w:val="28"/>
          <w:lang w:val="en-GB"/>
        </w:rPr>
        <w:t>,</w:t>
      </w:r>
      <w:r w:rsidRPr="00AA55B8">
        <w:rPr>
          <w:sz w:val="28"/>
          <w:szCs w:val="28"/>
          <w:lang w:val="en-GB"/>
        </w:rPr>
        <w:t xml:space="preserve"> the budget decentralization process in Ukraine took place. </w:t>
      </w:r>
      <w:r w:rsidR="00674331">
        <w:rPr>
          <w:sz w:val="28"/>
          <w:szCs w:val="28"/>
          <w:lang w:val="en-GB"/>
        </w:rPr>
        <w:t>A</w:t>
      </w:r>
      <w:r w:rsidRPr="00AA55B8">
        <w:rPr>
          <w:sz w:val="28"/>
          <w:szCs w:val="28"/>
          <w:lang w:val="en-GB"/>
        </w:rPr>
        <w:t xml:space="preserve">ctive work is being pursued to build up capable municipalities, which is in line with the </w:t>
      </w:r>
      <w:r w:rsidR="00674331">
        <w:rPr>
          <w:sz w:val="28"/>
          <w:szCs w:val="28"/>
          <w:lang w:val="en-GB"/>
        </w:rPr>
        <w:t>c</w:t>
      </w:r>
      <w:r w:rsidRPr="00AA55B8">
        <w:rPr>
          <w:sz w:val="28"/>
          <w:szCs w:val="28"/>
          <w:lang w:val="en-GB"/>
        </w:rPr>
        <w:t xml:space="preserve">oncept for the reform of local self-government and territorial government structure of Ukraine. The budgets of united municipalities to be created in accordance with the current legislation and the plan for the territorial structure of municipalities </w:t>
      </w:r>
      <w:r w:rsidR="00674331">
        <w:rPr>
          <w:sz w:val="28"/>
          <w:szCs w:val="28"/>
          <w:lang w:val="en-GB"/>
        </w:rPr>
        <w:t>will</w:t>
      </w:r>
      <w:r w:rsidRPr="00AA55B8">
        <w:rPr>
          <w:sz w:val="28"/>
          <w:szCs w:val="28"/>
          <w:lang w:val="en-GB"/>
        </w:rPr>
        <w:t xml:space="preserve"> be linked directly to the state budget. Based on preliminary calculations for the reform of local self-government and territorial government in Ukraine, it is planned to build up approximately 1800 local budgets. After the unification of village, settlement and town municipalities</w:t>
      </w:r>
      <w:r w:rsidR="00674331">
        <w:rPr>
          <w:sz w:val="28"/>
          <w:szCs w:val="28"/>
          <w:lang w:val="en-GB"/>
        </w:rPr>
        <w:t>,</w:t>
      </w:r>
      <w:r w:rsidRPr="00AA55B8">
        <w:rPr>
          <w:sz w:val="28"/>
          <w:szCs w:val="28"/>
          <w:lang w:val="en-GB"/>
        </w:rPr>
        <w:t xml:space="preserve"> all local budgets </w:t>
      </w:r>
      <w:r w:rsidR="00674331">
        <w:rPr>
          <w:sz w:val="28"/>
          <w:szCs w:val="28"/>
          <w:lang w:val="en-GB"/>
        </w:rPr>
        <w:t>will</w:t>
      </w:r>
      <w:r w:rsidRPr="00AA55B8">
        <w:rPr>
          <w:sz w:val="28"/>
          <w:szCs w:val="28"/>
          <w:lang w:val="en-GB"/>
        </w:rPr>
        <w:t xml:space="preserve"> be linked directly to the state budget. This is how one of the goals of the budgetary reform will be achieved – transition from the three- to the two-level budgetary system. </w:t>
      </w:r>
    </w:p>
    <w:p w14:paraId="640AA334"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 xml:space="preserve">The </w:t>
      </w:r>
      <w:r w:rsidRPr="000E35D0">
        <w:rPr>
          <w:b/>
          <w:sz w:val="28"/>
          <w:szCs w:val="28"/>
          <w:lang w:val="en-GB"/>
        </w:rPr>
        <w:t>reform of the budgetary system</w:t>
      </w:r>
      <w:r w:rsidRPr="00AA55B8">
        <w:rPr>
          <w:sz w:val="28"/>
          <w:szCs w:val="28"/>
          <w:lang w:val="en-GB"/>
        </w:rPr>
        <w:t xml:space="preserve"> </w:t>
      </w:r>
      <w:r w:rsidR="00674331">
        <w:rPr>
          <w:sz w:val="28"/>
          <w:szCs w:val="28"/>
          <w:lang w:val="en-GB"/>
        </w:rPr>
        <w:t>must</w:t>
      </w:r>
      <w:r w:rsidRPr="00AA55B8">
        <w:rPr>
          <w:sz w:val="28"/>
          <w:szCs w:val="28"/>
          <w:lang w:val="en-GB"/>
        </w:rPr>
        <w:t xml:space="preserve"> achieve the following goals: (i) local governments </w:t>
      </w:r>
      <w:r w:rsidR="00674331">
        <w:rPr>
          <w:sz w:val="28"/>
          <w:szCs w:val="28"/>
          <w:lang w:val="en-GB"/>
        </w:rPr>
        <w:t>must</w:t>
      </w:r>
      <w:r w:rsidRPr="00AA55B8">
        <w:rPr>
          <w:sz w:val="28"/>
          <w:szCs w:val="28"/>
          <w:lang w:val="en-GB"/>
        </w:rPr>
        <w:t xml:space="preserve"> elaborate and adopt their local budgets by themselves without having to wait for the adoption of the state budget; (ii) the Ministry of Finance does not impose revenue targets on the local budgets; (iii) local budgets have more revenue sources which are needed to finance the functions of the local self-government; (iv)</w:t>
      </w:r>
      <w:r w:rsidR="00DE789B">
        <w:rPr>
          <w:sz w:val="28"/>
          <w:szCs w:val="28"/>
          <w:lang w:val="en-GB"/>
        </w:rPr>
        <w:t> </w:t>
      </w:r>
      <w:r w:rsidRPr="00AA55B8">
        <w:rPr>
          <w:sz w:val="28"/>
          <w:szCs w:val="28"/>
          <w:lang w:val="en-GB"/>
        </w:rPr>
        <w:t>the previous system of balance between the revenues and expenses of the local budgets is replaced by a totally different system securing horizontal compensation of tax-collection capacities of different territories depending on the income per capita; (v)</w:t>
      </w:r>
      <w:r w:rsidR="00DE789B">
        <w:rPr>
          <w:sz w:val="28"/>
          <w:szCs w:val="28"/>
          <w:lang w:val="en-GB"/>
        </w:rPr>
        <w:t> </w:t>
      </w:r>
      <w:r w:rsidRPr="00AA55B8">
        <w:rPr>
          <w:sz w:val="28"/>
          <w:szCs w:val="28"/>
          <w:lang w:val="en-GB"/>
        </w:rPr>
        <w:t xml:space="preserve">new types of budgetary transfers are introduced (education and health subventions, subventions for the education of high-skilled workers, basic and reverse subsidies); </w:t>
      </w:r>
      <w:r w:rsidRPr="00AA55B8">
        <w:rPr>
          <w:sz w:val="28"/>
          <w:szCs w:val="28"/>
          <w:lang w:val="en-GB"/>
        </w:rPr>
        <w:lastRenderedPageBreak/>
        <w:t>(vi)</w:t>
      </w:r>
      <w:r w:rsidR="00DE789B">
        <w:rPr>
          <w:sz w:val="28"/>
          <w:szCs w:val="28"/>
          <w:lang w:val="en-GB"/>
        </w:rPr>
        <w:t> </w:t>
      </w:r>
      <w:r w:rsidRPr="00AA55B8">
        <w:rPr>
          <w:sz w:val="28"/>
          <w:szCs w:val="28"/>
          <w:lang w:val="en-GB"/>
        </w:rPr>
        <w:t>the calculation of the new types of budgetary transfers is set up in the legislation; (vii) municipalities are entitled to set tax rates by themselves within fixed limits set by law as well as to grant preferences regarding tax payment.</w:t>
      </w:r>
    </w:p>
    <w:p w14:paraId="0723E134" w14:textId="77777777" w:rsidR="00DE789B" w:rsidRDefault="00BE42A0" w:rsidP="0073536E">
      <w:pPr>
        <w:spacing w:line="312" w:lineRule="auto"/>
        <w:ind w:firstLine="709"/>
        <w:jc w:val="both"/>
        <w:rPr>
          <w:sz w:val="28"/>
          <w:szCs w:val="28"/>
          <w:lang w:val="en-GB"/>
        </w:rPr>
      </w:pPr>
      <w:r w:rsidRPr="00AA55B8">
        <w:rPr>
          <w:sz w:val="28"/>
          <w:szCs w:val="28"/>
          <w:lang w:val="en-GB"/>
        </w:rPr>
        <w:t xml:space="preserve">The </w:t>
      </w:r>
      <w:r w:rsidRPr="000E35D0">
        <w:rPr>
          <w:b/>
          <w:sz w:val="28"/>
          <w:szCs w:val="28"/>
          <w:lang w:val="en-GB"/>
        </w:rPr>
        <w:t>budget comprises</w:t>
      </w:r>
      <w:r w:rsidRPr="00AA55B8">
        <w:rPr>
          <w:sz w:val="28"/>
          <w:szCs w:val="28"/>
          <w:lang w:val="en-GB"/>
        </w:rPr>
        <w:t xml:space="preserve"> revenues and expenses </w:t>
      </w:r>
      <w:r w:rsidR="00674331">
        <w:rPr>
          <w:sz w:val="28"/>
          <w:szCs w:val="28"/>
          <w:lang w:val="en-GB"/>
        </w:rPr>
        <w:t xml:space="preserve">to </w:t>
      </w:r>
      <w:r w:rsidRPr="00AA55B8">
        <w:rPr>
          <w:sz w:val="28"/>
          <w:szCs w:val="28"/>
          <w:lang w:val="en-GB"/>
        </w:rPr>
        <w:t xml:space="preserve">compose </w:t>
      </w:r>
      <w:r w:rsidRPr="000E35D0">
        <w:rPr>
          <w:b/>
          <w:sz w:val="28"/>
          <w:szCs w:val="28"/>
          <w:lang w:val="en-GB"/>
        </w:rPr>
        <w:t>budget funds</w:t>
      </w:r>
      <w:r w:rsidRPr="00AA55B8">
        <w:rPr>
          <w:sz w:val="28"/>
          <w:szCs w:val="28"/>
          <w:lang w:val="en-GB"/>
        </w:rPr>
        <w:t xml:space="preserve">. </w:t>
      </w:r>
    </w:p>
    <w:p w14:paraId="06833D2B"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 xml:space="preserve">The budget may be composed of </w:t>
      </w:r>
      <w:r w:rsidRPr="000E35D0">
        <w:rPr>
          <w:b/>
          <w:sz w:val="28"/>
          <w:szCs w:val="28"/>
          <w:lang w:val="en-GB"/>
        </w:rPr>
        <w:t>general and special funds</w:t>
      </w:r>
      <w:r w:rsidRPr="00AA55B8">
        <w:rPr>
          <w:sz w:val="28"/>
          <w:szCs w:val="28"/>
          <w:lang w:val="en-GB"/>
        </w:rPr>
        <w:t xml:space="preserve">. The </w:t>
      </w:r>
      <w:r w:rsidRPr="000E35D0">
        <w:rPr>
          <w:b/>
          <w:sz w:val="28"/>
          <w:szCs w:val="28"/>
          <w:lang w:val="en-GB"/>
        </w:rPr>
        <w:t>components of the</w:t>
      </w:r>
      <w:r w:rsidRPr="00AA55B8">
        <w:rPr>
          <w:sz w:val="28"/>
          <w:szCs w:val="28"/>
          <w:lang w:val="en-GB"/>
        </w:rPr>
        <w:t xml:space="preserve"> </w:t>
      </w:r>
      <w:r w:rsidRPr="000E35D0">
        <w:rPr>
          <w:b/>
          <w:sz w:val="28"/>
          <w:szCs w:val="28"/>
          <w:lang w:val="en-GB"/>
        </w:rPr>
        <w:t>general fund of the budget</w:t>
      </w:r>
      <w:r w:rsidRPr="00AA55B8">
        <w:rPr>
          <w:sz w:val="28"/>
          <w:szCs w:val="28"/>
          <w:lang w:val="en-GB"/>
        </w:rPr>
        <w:t xml:space="preserve"> include (i) all budget revenues except those to be added to the special fund of the budget; (ii) all budget expenditures made against the revenues of the general fund of the budget; (iii) loans of the budget (repayment of loans to the budget without specifying their purpose, and issuing loans from the budget against the revenues of the general fund of the budget); </w:t>
      </w:r>
      <w:r w:rsidR="00674331">
        <w:rPr>
          <w:sz w:val="28"/>
          <w:szCs w:val="28"/>
          <w:lang w:val="en-GB"/>
        </w:rPr>
        <w:t xml:space="preserve">and </w:t>
      </w:r>
      <w:r w:rsidRPr="00AA55B8">
        <w:rPr>
          <w:sz w:val="28"/>
          <w:szCs w:val="28"/>
          <w:lang w:val="en-GB"/>
        </w:rPr>
        <w:t>(iv) financing of the general fund of the budget.</w:t>
      </w:r>
    </w:p>
    <w:p w14:paraId="73CE53B7"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 xml:space="preserve">The </w:t>
      </w:r>
      <w:r w:rsidRPr="000E35D0">
        <w:rPr>
          <w:b/>
          <w:sz w:val="28"/>
          <w:szCs w:val="28"/>
          <w:lang w:val="en-GB"/>
        </w:rPr>
        <w:t>components of the special fund</w:t>
      </w:r>
      <w:r w:rsidRPr="00AA55B8">
        <w:rPr>
          <w:sz w:val="28"/>
          <w:szCs w:val="28"/>
          <w:lang w:val="en-GB"/>
        </w:rPr>
        <w:t xml:space="preserve"> of the budget include (i) budget revenues (including revenues of government-funded institutions) intended for a specific purpose; (ii) budget expenditures made against the specifically defined revenues of the special fund of the budget (including revenues of government-funded institutions); (iii)</w:t>
      </w:r>
      <w:r w:rsidR="00DE789B">
        <w:rPr>
          <w:sz w:val="28"/>
          <w:szCs w:val="28"/>
          <w:lang w:val="en-GB"/>
        </w:rPr>
        <w:t> </w:t>
      </w:r>
      <w:r w:rsidRPr="00AA55B8">
        <w:rPr>
          <w:sz w:val="28"/>
          <w:szCs w:val="28"/>
          <w:lang w:val="en-GB"/>
        </w:rPr>
        <w:t xml:space="preserve">loans of the budget (repayment of loans to the budget specifying their purpose, and issuing loans from the budget made against the specifically defined revenues of the special fund of the budget); </w:t>
      </w:r>
      <w:r w:rsidR="00674331">
        <w:rPr>
          <w:sz w:val="28"/>
          <w:szCs w:val="28"/>
          <w:lang w:val="en-GB"/>
        </w:rPr>
        <w:t xml:space="preserve">and </w:t>
      </w:r>
      <w:r w:rsidRPr="00AA55B8">
        <w:rPr>
          <w:sz w:val="28"/>
          <w:szCs w:val="28"/>
          <w:lang w:val="en-GB"/>
        </w:rPr>
        <w:t xml:space="preserve">(iv) financing of the special fund of the budget. </w:t>
      </w:r>
    </w:p>
    <w:p w14:paraId="4D6E7D0E" w14:textId="77777777" w:rsidR="00DE789B" w:rsidRDefault="00BE42A0" w:rsidP="0073536E">
      <w:pPr>
        <w:spacing w:line="312" w:lineRule="auto"/>
        <w:ind w:firstLine="709"/>
        <w:jc w:val="both"/>
        <w:rPr>
          <w:sz w:val="28"/>
          <w:szCs w:val="28"/>
          <w:lang w:val="en-GB"/>
        </w:rPr>
      </w:pPr>
      <w:r w:rsidRPr="000E35D0">
        <w:rPr>
          <w:b/>
          <w:sz w:val="28"/>
          <w:szCs w:val="28"/>
          <w:lang w:val="en-GB"/>
        </w:rPr>
        <w:t>Budget revenues</w:t>
      </w:r>
      <w:r w:rsidRPr="00AA55B8">
        <w:rPr>
          <w:sz w:val="28"/>
          <w:szCs w:val="28"/>
          <w:lang w:val="en-GB"/>
        </w:rPr>
        <w:t xml:space="preserve"> are all tax, non-tax, and other receipts collected on a non-repayment basis in accordance with Ukrainian tax legislation (including transfers, donations, and grants). </w:t>
      </w:r>
      <w:r w:rsidR="00DE789B">
        <w:rPr>
          <w:sz w:val="28"/>
          <w:szCs w:val="28"/>
          <w:lang w:val="en-GB"/>
        </w:rPr>
        <w:t>The r</w:t>
      </w:r>
      <w:r w:rsidR="00DE789B" w:rsidRPr="00DE789B">
        <w:rPr>
          <w:sz w:val="28"/>
          <w:szCs w:val="28"/>
          <w:lang w:val="en-GB"/>
        </w:rPr>
        <w:t>evenue structure of the Consolidated budget of Ukraine in 2010</w:t>
      </w:r>
      <w:r w:rsidR="00674331">
        <w:rPr>
          <w:sz w:val="28"/>
          <w:szCs w:val="28"/>
          <w:lang w:val="en-GB"/>
        </w:rPr>
        <w:t>–</w:t>
      </w:r>
      <w:r w:rsidR="00DE789B" w:rsidRPr="00DE789B">
        <w:rPr>
          <w:sz w:val="28"/>
          <w:szCs w:val="28"/>
          <w:lang w:val="en-GB"/>
        </w:rPr>
        <w:t>2014</w:t>
      </w:r>
      <w:r w:rsidR="00DE789B">
        <w:rPr>
          <w:sz w:val="28"/>
          <w:szCs w:val="28"/>
          <w:lang w:val="en-GB"/>
        </w:rPr>
        <w:t xml:space="preserve"> (mln UAH) </w:t>
      </w:r>
      <w:r w:rsidR="00674331">
        <w:rPr>
          <w:sz w:val="28"/>
          <w:szCs w:val="28"/>
          <w:lang w:val="en-GB"/>
        </w:rPr>
        <w:t>is presented</w:t>
      </w:r>
      <w:r w:rsidR="00DE789B">
        <w:rPr>
          <w:sz w:val="28"/>
          <w:szCs w:val="28"/>
          <w:lang w:val="en-GB"/>
        </w:rPr>
        <w:t xml:space="preserve"> in </w:t>
      </w:r>
      <w:r w:rsidR="00674331">
        <w:rPr>
          <w:sz w:val="28"/>
          <w:szCs w:val="28"/>
          <w:lang w:val="en-GB"/>
        </w:rPr>
        <w:t>T</w:t>
      </w:r>
      <w:r w:rsidR="00DE789B">
        <w:rPr>
          <w:sz w:val="28"/>
          <w:szCs w:val="28"/>
          <w:lang w:val="en-GB"/>
        </w:rPr>
        <w:t>able 5.1.</w:t>
      </w:r>
      <w:r w:rsidR="00674331">
        <w:rPr>
          <w:sz w:val="28"/>
          <w:szCs w:val="28"/>
          <w:lang w:val="en-GB"/>
        </w:rPr>
        <w:t xml:space="preserve"> </w:t>
      </w:r>
    </w:p>
    <w:p w14:paraId="22C05961" w14:textId="77777777" w:rsidR="009D094B" w:rsidRDefault="009D094B" w:rsidP="009D094B">
      <w:pPr>
        <w:spacing w:line="312" w:lineRule="auto"/>
        <w:jc w:val="both"/>
        <w:rPr>
          <w:sz w:val="28"/>
          <w:szCs w:val="28"/>
          <w:lang w:val="en-GB"/>
        </w:rPr>
      </w:pPr>
    </w:p>
    <w:p w14:paraId="4831A92B" w14:textId="77777777" w:rsidR="00DE789B" w:rsidRPr="00DE789B" w:rsidRDefault="00DE789B" w:rsidP="009D094B">
      <w:pPr>
        <w:spacing w:line="312" w:lineRule="auto"/>
        <w:jc w:val="both"/>
        <w:rPr>
          <w:b/>
          <w:sz w:val="28"/>
          <w:szCs w:val="28"/>
          <w:lang w:val="en-GB"/>
        </w:rPr>
      </w:pPr>
      <w:r w:rsidRPr="00DE789B">
        <w:rPr>
          <w:b/>
          <w:sz w:val="28"/>
          <w:szCs w:val="28"/>
          <w:lang w:val="en-GB"/>
        </w:rPr>
        <w:t>Table 5.1</w:t>
      </w:r>
      <w:r w:rsidR="0073536E">
        <w:rPr>
          <w:b/>
          <w:sz w:val="28"/>
          <w:szCs w:val="28"/>
          <w:lang w:val="en-GB"/>
        </w:rPr>
        <w:t xml:space="preserve"> – </w:t>
      </w:r>
      <w:r w:rsidRPr="00DE789B">
        <w:rPr>
          <w:b/>
          <w:sz w:val="28"/>
          <w:szCs w:val="28"/>
          <w:lang w:val="en-GB"/>
        </w:rPr>
        <w:t xml:space="preserve">Revenue structure of the </w:t>
      </w:r>
      <w:r w:rsidR="00674331">
        <w:rPr>
          <w:b/>
          <w:sz w:val="28"/>
          <w:szCs w:val="28"/>
          <w:lang w:val="en-GB"/>
        </w:rPr>
        <w:t>c</w:t>
      </w:r>
      <w:r w:rsidRPr="00DE789B">
        <w:rPr>
          <w:b/>
          <w:sz w:val="28"/>
          <w:szCs w:val="28"/>
          <w:lang w:val="en-GB"/>
        </w:rPr>
        <w:t>onsolidated budget of Ukraine in 2010</w:t>
      </w:r>
      <w:r w:rsidR="005A7A1F" w:rsidRPr="005A7A1F">
        <w:rPr>
          <w:b/>
          <w:sz w:val="28"/>
          <w:szCs w:val="28"/>
          <w:lang w:val="en-GB"/>
        </w:rPr>
        <w:t>–</w:t>
      </w:r>
      <w:r w:rsidRPr="00DE789B">
        <w:rPr>
          <w:b/>
          <w:sz w:val="28"/>
          <w:szCs w:val="28"/>
          <w:lang w:val="en-GB"/>
        </w:rPr>
        <w:t>2014</w:t>
      </w:r>
      <w:r w:rsidR="0073536E">
        <w:rPr>
          <w:b/>
          <w:sz w:val="28"/>
          <w:szCs w:val="28"/>
          <w:lang w:val="en-GB"/>
        </w:rPr>
        <w:t xml:space="preserve">, mln </w:t>
      </w:r>
      <w:r w:rsidR="00674331">
        <w:rPr>
          <w:b/>
          <w:sz w:val="28"/>
          <w:szCs w:val="28"/>
          <w:lang w:val="en-GB"/>
        </w:rPr>
        <w:t>UAH</w:t>
      </w:r>
    </w:p>
    <w:tbl>
      <w:tblPr>
        <w:tblStyle w:val="TableGrid"/>
        <w:tblW w:w="0" w:type="auto"/>
        <w:tblLook w:val="04A0" w:firstRow="1" w:lastRow="0" w:firstColumn="1" w:lastColumn="0" w:noHBand="0" w:noVBand="1"/>
      </w:tblPr>
      <w:tblGrid>
        <w:gridCol w:w="4579"/>
        <w:gridCol w:w="986"/>
        <w:gridCol w:w="985"/>
        <w:gridCol w:w="985"/>
        <w:gridCol w:w="985"/>
        <w:gridCol w:w="995"/>
      </w:tblGrid>
      <w:tr w:rsidR="00DE789B" w:rsidRPr="00DE789B" w14:paraId="2F1F1BA4" w14:textId="77777777" w:rsidTr="0057576F">
        <w:tc>
          <w:tcPr>
            <w:tcW w:w="4644" w:type="dxa"/>
            <w:vMerge w:val="restart"/>
            <w:shd w:val="clear" w:color="auto" w:fill="D9D9D9" w:themeFill="background1" w:themeFillShade="D9"/>
            <w:tcMar>
              <w:left w:w="57" w:type="dxa"/>
              <w:right w:w="57" w:type="dxa"/>
            </w:tcMar>
          </w:tcPr>
          <w:p w14:paraId="3433A2AD" w14:textId="77777777" w:rsidR="00DE789B" w:rsidRPr="00DE789B" w:rsidRDefault="00DE789B" w:rsidP="00C55564">
            <w:pPr>
              <w:jc w:val="center"/>
              <w:rPr>
                <w:sz w:val="28"/>
                <w:szCs w:val="28"/>
                <w:lang w:val="en-GB"/>
              </w:rPr>
            </w:pPr>
          </w:p>
        </w:tc>
        <w:tc>
          <w:tcPr>
            <w:tcW w:w="4971" w:type="dxa"/>
            <w:gridSpan w:val="5"/>
            <w:shd w:val="clear" w:color="auto" w:fill="D9D9D9" w:themeFill="background1" w:themeFillShade="D9"/>
            <w:tcMar>
              <w:left w:w="57" w:type="dxa"/>
              <w:right w:w="57" w:type="dxa"/>
            </w:tcMar>
          </w:tcPr>
          <w:p w14:paraId="3BF48856" w14:textId="77777777" w:rsidR="00DE789B" w:rsidRPr="00DE789B" w:rsidRDefault="00DE789B" w:rsidP="00C55564">
            <w:pPr>
              <w:jc w:val="center"/>
              <w:rPr>
                <w:sz w:val="28"/>
                <w:szCs w:val="28"/>
                <w:lang w:val="en-GB"/>
              </w:rPr>
            </w:pPr>
            <w:r>
              <w:rPr>
                <w:sz w:val="28"/>
                <w:szCs w:val="28"/>
                <w:lang w:val="en-GB"/>
              </w:rPr>
              <w:t>Year</w:t>
            </w:r>
          </w:p>
        </w:tc>
      </w:tr>
      <w:tr w:rsidR="00DE789B" w:rsidRPr="00DE789B" w14:paraId="49B8ADD2" w14:textId="77777777" w:rsidTr="0057576F">
        <w:tc>
          <w:tcPr>
            <w:tcW w:w="4644" w:type="dxa"/>
            <w:vMerge/>
            <w:shd w:val="clear" w:color="auto" w:fill="D9D9D9" w:themeFill="background1" w:themeFillShade="D9"/>
            <w:tcMar>
              <w:left w:w="57" w:type="dxa"/>
              <w:right w:w="57" w:type="dxa"/>
            </w:tcMar>
          </w:tcPr>
          <w:p w14:paraId="57743898" w14:textId="77777777" w:rsidR="00DE789B" w:rsidRPr="00DE789B" w:rsidRDefault="00DE789B" w:rsidP="00C55564">
            <w:pPr>
              <w:jc w:val="center"/>
              <w:rPr>
                <w:sz w:val="28"/>
                <w:szCs w:val="28"/>
                <w:lang w:val="en-GB"/>
              </w:rPr>
            </w:pPr>
          </w:p>
        </w:tc>
        <w:tc>
          <w:tcPr>
            <w:tcW w:w="993" w:type="dxa"/>
            <w:shd w:val="clear" w:color="auto" w:fill="D9D9D9" w:themeFill="background1" w:themeFillShade="D9"/>
            <w:tcMar>
              <w:left w:w="57" w:type="dxa"/>
              <w:right w:w="57" w:type="dxa"/>
            </w:tcMar>
          </w:tcPr>
          <w:p w14:paraId="20AC0D24" w14:textId="77777777" w:rsidR="00DE789B" w:rsidRPr="00DE789B" w:rsidRDefault="00DE789B" w:rsidP="00C55564">
            <w:pPr>
              <w:jc w:val="center"/>
              <w:rPr>
                <w:sz w:val="28"/>
                <w:szCs w:val="28"/>
                <w:lang w:val="en-GB"/>
              </w:rPr>
            </w:pPr>
            <w:r w:rsidRPr="00DE789B">
              <w:rPr>
                <w:sz w:val="28"/>
                <w:szCs w:val="28"/>
                <w:lang w:val="en-GB"/>
              </w:rPr>
              <w:t>2010</w:t>
            </w:r>
          </w:p>
        </w:tc>
        <w:tc>
          <w:tcPr>
            <w:tcW w:w="992" w:type="dxa"/>
            <w:shd w:val="clear" w:color="auto" w:fill="D9D9D9" w:themeFill="background1" w:themeFillShade="D9"/>
            <w:tcMar>
              <w:left w:w="57" w:type="dxa"/>
              <w:right w:w="57" w:type="dxa"/>
            </w:tcMar>
          </w:tcPr>
          <w:p w14:paraId="0380E377" w14:textId="77777777" w:rsidR="00DE789B" w:rsidRPr="00DE789B" w:rsidRDefault="00DE789B" w:rsidP="00C55564">
            <w:pPr>
              <w:jc w:val="center"/>
              <w:rPr>
                <w:sz w:val="28"/>
                <w:szCs w:val="28"/>
                <w:lang w:val="en-GB"/>
              </w:rPr>
            </w:pPr>
            <w:r w:rsidRPr="00DE789B">
              <w:rPr>
                <w:sz w:val="28"/>
                <w:szCs w:val="28"/>
                <w:lang w:val="en-GB"/>
              </w:rPr>
              <w:t>2011</w:t>
            </w:r>
          </w:p>
        </w:tc>
        <w:tc>
          <w:tcPr>
            <w:tcW w:w="992" w:type="dxa"/>
            <w:shd w:val="clear" w:color="auto" w:fill="D9D9D9" w:themeFill="background1" w:themeFillShade="D9"/>
            <w:tcMar>
              <w:left w:w="57" w:type="dxa"/>
              <w:right w:w="57" w:type="dxa"/>
            </w:tcMar>
          </w:tcPr>
          <w:p w14:paraId="02A3075A" w14:textId="77777777" w:rsidR="00DE789B" w:rsidRPr="00DE789B" w:rsidRDefault="00DE789B" w:rsidP="00C55564">
            <w:pPr>
              <w:jc w:val="center"/>
              <w:rPr>
                <w:sz w:val="28"/>
                <w:szCs w:val="28"/>
                <w:lang w:val="en-GB"/>
              </w:rPr>
            </w:pPr>
            <w:r w:rsidRPr="00DE789B">
              <w:rPr>
                <w:sz w:val="28"/>
                <w:szCs w:val="28"/>
                <w:lang w:val="en-GB"/>
              </w:rPr>
              <w:t>2012</w:t>
            </w:r>
          </w:p>
        </w:tc>
        <w:tc>
          <w:tcPr>
            <w:tcW w:w="992" w:type="dxa"/>
            <w:shd w:val="clear" w:color="auto" w:fill="D9D9D9" w:themeFill="background1" w:themeFillShade="D9"/>
            <w:tcMar>
              <w:left w:w="57" w:type="dxa"/>
              <w:right w:w="57" w:type="dxa"/>
            </w:tcMar>
          </w:tcPr>
          <w:p w14:paraId="435DC73C" w14:textId="77777777" w:rsidR="00DE789B" w:rsidRPr="00DE789B" w:rsidRDefault="00DE789B" w:rsidP="00C55564">
            <w:pPr>
              <w:jc w:val="center"/>
              <w:rPr>
                <w:sz w:val="28"/>
                <w:szCs w:val="28"/>
                <w:lang w:val="en-GB"/>
              </w:rPr>
            </w:pPr>
            <w:r w:rsidRPr="00DE789B">
              <w:rPr>
                <w:sz w:val="28"/>
                <w:szCs w:val="28"/>
                <w:lang w:val="en-GB"/>
              </w:rPr>
              <w:t>2013</w:t>
            </w:r>
          </w:p>
        </w:tc>
        <w:tc>
          <w:tcPr>
            <w:tcW w:w="1002" w:type="dxa"/>
            <w:shd w:val="clear" w:color="auto" w:fill="D9D9D9" w:themeFill="background1" w:themeFillShade="D9"/>
            <w:tcMar>
              <w:left w:w="57" w:type="dxa"/>
              <w:right w:w="57" w:type="dxa"/>
            </w:tcMar>
          </w:tcPr>
          <w:p w14:paraId="7FB123D5" w14:textId="77777777" w:rsidR="00DE789B" w:rsidRPr="00DE789B" w:rsidRDefault="00DE789B" w:rsidP="00C55564">
            <w:pPr>
              <w:jc w:val="center"/>
              <w:rPr>
                <w:sz w:val="28"/>
                <w:szCs w:val="28"/>
                <w:lang w:val="en-GB"/>
              </w:rPr>
            </w:pPr>
            <w:r w:rsidRPr="00DE789B">
              <w:rPr>
                <w:sz w:val="28"/>
                <w:szCs w:val="28"/>
                <w:lang w:val="en-GB"/>
              </w:rPr>
              <w:t>2014</w:t>
            </w:r>
          </w:p>
        </w:tc>
      </w:tr>
      <w:tr w:rsidR="00DE789B" w:rsidRPr="00DE789B" w14:paraId="7E05913F" w14:textId="77777777" w:rsidTr="0057576F">
        <w:tc>
          <w:tcPr>
            <w:tcW w:w="4644" w:type="dxa"/>
            <w:tcMar>
              <w:left w:w="57" w:type="dxa"/>
              <w:right w:w="57" w:type="dxa"/>
            </w:tcMar>
          </w:tcPr>
          <w:p w14:paraId="4CF12C7A" w14:textId="77777777" w:rsidR="00DE789B" w:rsidRPr="00DE789B" w:rsidRDefault="00DE789B" w:rsidP="00C55564">
            <w:pPr>
              <w:jc w:val="both"/>
              <w:rPr>
                <w:sz w:val="28"/>
                <w:szCs w:val="28"/>
                <w:lang w:val="en-GB"/>
              </w:rPr>
            </w:pPr>
            <w:r w:rsidRPr="00DE789B">
              <w:rPr>
                <w:sz w:val="28"/>
                <w:szCs w:val="28"/>
                <w:lang w:val="en-GB"/>
              </w:rPr>
              <w:t>Revenue of the consolidated budget</w:t>
            </w:r>
          </w:p>
        </w:tc>
        <w:tc>
          <w:tcPr>
            <w:tcW w:w="993" w:type="dxa"/>
            <w:tcMar>
              <w:left w:w="57" w:type="dxa"/>
              <w:right w:w="57" w:type="dxa"/>
            </w:tcMar>
          </w:tcPr>
          <w:p w14:paraId="5B442055" w14:textId="77777777" w:rsidR="00DE789B" w:rsidRPr="00DE789B" w:rsidRDefault="00DE789B" w:rsidP="00C55564">
            <w:pPr>
              <w:jc w:val="center"/>
              <w:rPr>
                <w:sz w:val="28"/>
                <w:szCs w:val="28"/>
                <w:lang w:val="en-GB"/>
              </w:rPr>
            </w:pPr>
            <w:r w:rsidRPr="00DE789B">
              <w:rPr>
                <w:sz w:val="28"/>
                <w:szCs w:val="28"/>
                <w:lang w:val="en-GB"/>
              </w:rPr>
              <w:t>100</w:t>
            </w:r>
          </w:p>
        </w:tc>
        <w:tc>
          <w:tcPr>
            <w:tcW w:w="992" w:type="dxa"/>
            <w:tcMar>
              <w:left w:w="57" w:type="dxa"/>
              <w:right w:w="57" w:type="dxa"/>
            </w:tcMar>
          </w:tcPr>
          <w:p w14:paraId="5F9938D0" w14:textId="77777777" w:rsidR="00DE789B" w:rsidRPr="00DE789B" w:rsidRDefault="00DE789B" w:rsidP="00C55564">
            <w:pPr>
              <w:jc w:val="center"/>
              <w:rPr>
                <w:sz w:val="28"/>
                <w:szCs w:val="28"/>
                <w:lang w:val="en-GB"/>
              </w:rPr>
            </w:pPr>
            <w:r w:rsidRPr="00DE789B">
              <w:rPr>
                <w:sz w:val="28"/>
                <w:szCs w:val="28"/>
                <w:lang w:val="en-GB"/>
              </w:rPr>
              <w:t>100</w:t>
            </w:r>
          </w:p>
        </w:tc>
        <w:tc>
          <w:tcPr>
            <w:tcW w:w="992" w:type="dxa"/>
            <w:tcMar>
              <w:left w:w="57" w:type="dxa"/>
              <w:right w:w="57" w:type="dxa"/>
            </w:tcMar>
          </w:tcPr>
          <w:p w14:paraId="14257EE6" w14:textId="77777777" w:rsidR="00DE789B" w:rsidRPr="00DE789B" w:rsidRDefault="00DE789B" w:rsidP="00C55564">
            <w:pPr>
              <w:jc w:val="center"/>
              <w:rPr>
                <w:sz w:val="28"/>
                <w:szCs w:val="28"/>
                <w:lang w:val="en-GB"/>
              </w:rPr>
            </w:pPr>
            <w:r w:rsidRPr="00DE789B">
              <w:rPr>
                <w:sz w:val="28"/>
                <w:szCs w:val="28"/>
                <w:lang w:val="en-GB"/>
              </w:rPr>
              <w:t>100</w:t>
            </w:r>
          </w:p>
        </w:tc>
        <w:tc>
          <w:tcPr>
            <w:tcW w:w="992" w:type="dxa"/>
            <w:tcMar>
              <w:left w:w="57" w:type="dxa"/>
              <w:right w:w="57" w:type="dxa"/>
            </w:tcMar>
          </w:tcPr>
          <w:p w14:paraId="7D81F047" w14:textId="77777777" w:rsidR="00DE789B" w:rsidRPr="00DE789B" w:rsidRDefault="00DE789B" w:rsidP="00C55564">
            <w:pPr>
              <w:jc w:val="center"/>
              <w:rPr>
                <w:sz w:val="28"/>
                <w:szCs w:val="28"/>
                <w:lang w:val="en-GB"/>
              </w:rPr>
            </w:pPr>
            <w:r w:rsidRPr="00DE789B">
              <w:rPr>
                <w:sz w:val="28"/>
                <w:szCs w:val="28"/>
                <w:lang w:val="en-GB"/>
              </w:rPr>
              <w:t>100</w:t>
            </w:r>
          </w:p>
        </w:tc>
        <w:tc>
          <w:tcPr>
            <w:tcW w:w="1002" w:type="dxa"/>
            <w:tcMar>
              <w:left w:w="57" w:type="dxa"/>
              <w:right w:w="57" w:type="dxa"/>
            </w:tcMar>
          </w:tcPr>
          <w:p w14:paraId="7CEBD2DE" w14:textId="77777777" w:rsidR="00DE789B" w:rsidRPr="00DE789B" w:rsidRDefault="00DE789B" w:rsidP="00C55564">
            <w:pPr>
              <w:jc w:val="center"/>
              <w:rPr>
                <w:sz w:val="28"/>
                <w:szCs w:val="28"/>
                <w:lang w:val="en-GB"/>
              </w:rPr>
            </w:pPr>
            <w:r w:rsidRPr="00DE789B">
              <w:rPr>
                <w:sz w:val="28"/>
                <w:szCs w:val="28"/>
                <w:lang w:val="en-GB"/>
              </w:rPr>
              <w:t>100</w:t>
            </w:r>
          </w:p>
        </w:tc>
      </w:tr>
      <w:tr w:rsidR="00DE789B" w:rsidRPr="00DE789B" w14:paraId="225BC853" w14:textId="77777777" w:rsidTr="0057576F">
        <w:tc>
          <w:tcPr>
            <w:tcW w:w="4644" w:type="dxa"/>
            <w:tcMar>
              <w:left w:w="57" w:type="dxa"/>
              <w:right w:w="57" w:type="dxa"/>
            </w:tcMar>
          </w:tcPr>
          <w:p w14:paraId="36A20ECE" w14:textId="77777777" w:rsidR="00DE789B" w:rsidRPr="00DE789B" w:rsidRDefault="00DE789B" w:rsidP="00C55564">
            <w:pPr>
              <w:jc w:val="both"/>
              <w:rPr>
                <w:sz w:val="28"/>
                <w:szCs w:val="28"/>
                <w:lang w:val="en-GB"/>
              </w:rPr>
            </w:pPr>
            <w:r w:rsidRPr="00DE789B">
              <w:rPr>
                <w:sz w:val="28"/>
                <w:szCs w:val="28"/>
                <w:lang w:val="en-GB"/>
              </w:rPr>
              <w:t>state budget</w:t>
            </w:r>
          </w:p>
        </w:tc>
        <w:tc>
          <w:tcPr>
            <w:tcW w:w="993" w:type="dxa"/>
            <w:tcMar>
              <w:left w:w="57" w:type="dxa"/>
              <w:right w:w="57" w:type="dxa"/>
            </w:tcMar>
          </w:tcPr>
          <w:p w14:paraId="021EC47D" w14:textId="77777777" w:rsidR="00DE789B" w:rsidRPr="00DE789B" w:rsidRDefault="00DE789B" w:rsidP="00C55564">
            <w:pPr>
              <w:jc w:val="center"/>
              <w:rPr>
                <w:sz w:val="28"/>
                <w:szCs w:val="28"/>
                <w:lang w:val="en-GB"/>
              </w:rPr>
            </w:pPr>
            <w:r w:rsidRPr="00DE789B">
              <w:rPr>
                <w:sz w:val="28"/>
                <w:szCs w:val="28"/>
                <w:lang w:val="en-GB"/>
              </w:rPr>
              <w:t>74</w:t>
            </w:r>
            <w:r w:rsidR="009C5FE7">
              <w:rPr>
                <w:sz w:val="28"/>
                <w:szCs w:val="28"/>
                <w:lang w:val="en-GB"/>
              </w:rPr>
              <w:t>.</w:t>
            </w:r>
            <w:r w:rsidRPr="00DE789B">
              <w:rPr>
                <w:sz w:val="28"/>
                <w:szCs w:val="28"/>
                <w:lang w:val="en-GB"/>
              </w:rPr>
              <w:t>4</w:t>
            </w:r>
          </w:p>
        </w:tc>
        <w:tc>
          <w:tcPr>
            <w:tcW w:w="992" w:type="dxa"/>
            <w:tcMar>
              <w:left w:w="57" w:type="dxa"/>
              <w:right w:w="57" w:type="dxa"/>
            </w:tcMar>
          </w:tcPr>
          <w:p w14:paraId="7164A61B" w14:textId="77777777" w:rsidR="00DE789B" w:rsidRPr="00DE789B" w:rsidRDefault="00DE789B" w:rsidP="00C55564">
            <w:pPr>
              <w:jc w:val="center"/>
              <w:rPr>
                <w:sz w:val="28"/>
                <w:szCs w:val="28"/>
                <w:lang w:val="en-GB"/>
              </w:rPr>
            </w:pPr>
            <w:r w:rsidRPr="00DE789B">
              <w:rPr>
                <w:sz w:val="28"/>
                <w:szCs w:val="28"/>
                <w:lang w:val="en-GB"/>
              </w:rPr>
              <w:t>78</w:t>
            </w:r>
            <w:r w:rsidR="009C5FE7">
              <w:rPr>
                <w:sz w:val="28"/>
                <w:szCs w:val="28"/>
                <w:lang w:val="en-GB"/>
              </w:rPr>
              <w:t>.</w:t>
            </w:r>
            <w:r w:rsidRPr="00DE789B">
              <w:rPr>
                <w:sz w:val="28"/>
                <w:szCs w:val="28"/>
                <w:lang w:val="en-GB"/>
              </w:rPr>
              <w:t>3</w:t>
            </w:r>
          </w:p>
        </w:tc>
        <w:tc>
          <w:tcPr>
            <w:tcW w:w="992" w:type="dxa"/>
            <w:tcMar>
              <w:left w:w="57" w:type="dxa"/>
              <w:right w:w="57" w:type="dxa"/>
            </w:tcMar>
          </w:tcPr>
          <w:p w14:paraId="3D454A94" w14:textId="77777777" w:rsidR="00DE789B" w:rsidRPr="00DE789B" w:rsidRDefault="00DE789B" w:rsidP="00C55564">
            <w:pPr>
              <w:jc w:val="center"/>
              <w:rPr>
                <w:sz w:val="28"/>
                <w:szCs w:val="28"/>
                <w:lang w:val="en-GB"/>
              </w:rPr>
            </w:pPr>
            <w:r w:rsidRPr="00DE789B">
              <w:rPr>
                <w:sz w:val="28"/>
                <w:szCs w:val="28"/>
                <w:lang w:val="en-GB"/>
              </w:rPr>
              <w:t>77</w:t>
            </w:r>
            <w:r w:rsidR="009C5FE7">
              <w:rPr>
                <w:sz w:val="28"/>
                <w:szCs w:val="28"/>
                <w:lang w:val="en-GB"/>
              </w:rPr>
              <w:t>.</w:t>
            </w:r>
            <w:r w:rsidRPr="00DE789B">
              <w:rPr>
                <w:sz w:val="28"/>
                <w:szCs w:val="28"/>
                <w:lang w:val="en-GB"/>
              </w:rPr>
              <w:t>4</w:t>
            </w:r>
          </w:p>
        </w:tc>
        <w:tc>
          <w:tcPr>
            <w:tcW w:w="992" w:type="dxa"/>
            <w:tcMar>
              <w:left w:w="57" w:type="dxa"/>
              <w:right w:w="57" w:type="dxa"/>
            </w:tcMar>
          </w:tcPr>
          <w:p w14:paraId="264AE868" w14:textId="77777777" w:rsidR="00DE789B" w:rsidRPr="00DE789B" w:rsidRDefault="00DE789B" w:rsidP="00C55564">
            <w:pPr>
              <w:jc w:val="center"/>
              <w:rPr>
                <w:sz w:val="28"/>
                <w:szCs w:val="28"/>
                <w:lang w:val="en-GB"/>
              </w:rPr>
            </w:pPr>
            <w:r w:rsidRPr="00DE789B">
              <w:rPr>
                <w:sz w:val="28"/>
                <w:szCs w:val="28"/>
                <w:lang w:val="en-GB"/>
              </w:rPr>
              <w:t>76</w:t>
            </w:r>
            <w:r w:rsidR="009C5FE7">
              <w:rPr>
                <w:sz w:val="28"/>
                <w:szCs w:val="28"/>
                <w:lang w:val="en-GB"/>
              </w:rPr>
              <w:t>.</w:t>
            </w:r>
            <w:r w:rsidRPr="00DE789B">
              <w:rPr>
                <w:sz w:val="28"/>
                <w:szCs w:val="28"/>
                <w:lang w:val="en-GB"/>
              </w:rPr>
              <w:t>2</w:t>
            </w:r>
          </w:p>
        </w:tc>
        <w:tc>
          <w:tcPr>
            <w:tcW w:w="1002" w:type="dxa"/>
            <w:tcMar>
              <w:left w:w="57" w:type="dxa"/>
              <w:right w:w="57" w:type="dxa"/>
            </w:tcMar>
          </w:tcPr>
          <w:p w14:paraId="22C2B30D" w14:textId="77777777" w:rsidR="00DE789B" w:rsidRPr="00DE789B" w:rsidRDefault="00DE789B" w:rsidP="00C55564">
            <w:pPr>
              <w:jc w:val="center"/>
              <w:rPr>
                <w:sz w:val="28"/>
                <w:szCs w:val="28"/>
                <w:lang w:val="en-GB"/>
              </w:rPr>
            </w:pPr>
            <w:r w:rsidRPr="00DE789B">
              <w:rPr>
                <w:sz w:val="28"/>
                <w:szCs w:val="28"/>
                <w:lang w:val="en-GB"/>
              </w:rPr>
              <w:t>77</w:t>
            </w:r>
            <w:r w:rsidR="009C5FE7">
              <w:rPr>
                <w:sz w:val="28"/>
                <w:szCs w:val="28"/>
                <w:lang w:val="en-GB"/>
              </w:rPr>
              <w:t>.</w:t>
            </w:r>
            <w:r w:rsidRPr="00DE789B">
              <w:rPr>
                <w:sz w:val="28"/>
                <w:szCs w:val="28"/>
                <w:lang w:val="en-GB"/>
              </w:rPr>
              <w:t>8</w:t>
            </w:r>
          </w:p>
        </w:tc>
      </w:tr>
      <w:tr w:rsidR="00DE789B" w:rsidRPr="00AA55B8" w14:paraId="4CDBEF84" w14:textId="77777777" w:rsidTr="0057576F">
        <w:tc>
          <w:tcPr>
            <w:tcW w:w="4644" w:type="dxa"/>
            <w:tcMar>
              <w:left w:w="57" w:type="dxa"/>
              <w:right w:w="57" w:type="dxa"/>
            </w:tcMar>
          </w:tcPr>
          <w:p w14:paraId="3620E062" w14:textId="77777777" w:rsidR="00DE789B" w:rsidRPr="00DE789B" w:rsidRDefault="00DE789B" w:rsidP="00C55564">
            <w:pPr>
              <w:jc w:val="both"/>
              <w:rPr>
                <w:sz w:val="28"/>
                <w:szCs w:val="28"/>
                <w:lang w:val="en-GB"/>
              </w:rPr>
            </w:pPr>
            <w:r w:rsidRPr="00DE789B">
              <w:rPr>
                <w:sz w:val="28"/>
                <w:szCs w:val="28"/>
                <w:lang w:val="en-GB"/>
              </w:rPr>
              <w:t>local budgets</w:t>
            </w:r>
          </w:p>
        </w:tc>
        <w:tc>
          <w:tcPr>
            <w:tcW w:w="993" w:type="dxa"/>
            <w:tcMar>
              <w:left w:w="57" w:type="dxa"/>
              <w:right w:w="57" w:type="dxa"/>
            </w:tcMar>
          </w:tcPr>
          <w:p w14:paraId="264CED57" w14:textId="77777777" w:rsidR="00DE789B" w:rsidRPr="00DE789B" w:rsidRDefault="00DE789B" w:rsidP="00C55564">
            <w:pPr>
              <w:jc w:val="center"/>
              <w:rPr>
                <w:sz w:val="28"/>
                <w:szCs w:val="28"/>
                <w:lang w:val="en-GB"/>
              </w:rPr>
            </w:pPr>
            <w:r w:rsidRPr="00DE789B">
              <w:rPr>
                <w:sz w:val="28"/>
                <w:szCs w:val="28"/>
                <w:lang w:val="en-GB"/>
              </w:rPr>
              <w:t>25</w:t>
            </w:r>
            <w:r w:rsidR="009C5FE7">
              <w:rPr>
                <w:sz w:val="28"/>
                <w:szCs w:val="28"/>
                <w:lang w:val="en-GB"/>
              </w:rPr>
              <w:t>.</w:t>
            </w:r>
            <w:r w:rsidRPr="00DE789B">
              <w:rPr>
                <w:sz w:val="28"/>
                <w:szCs w:val="28"/>
                <w:lang w:val="en-GB"/>
              </w:rPr>
              <w:t>6</w:t>
            </w:r>
          </w:p>
        </w:tc>
        <w:tc>
          <w:tcPr>
            <w:tcW w:w="992" w:type="dxa"/>
            <w:tcMar>
              <w:left w:w="57" w:type="dxa"/>
              <w:right w:w="57" w:type="dxa"/>
            </w:tcMar>
          </w:tcPr>
          <w:p w14:paraId="7039DEFF" w14:textId="77777777" w:rsidR="00DE789B" w:rsidRPr="00DE789B" w:rsidRDefault="00DE789B" w:rsidP="00C55564">
            <w:pPr>
              <w:jc w:val="center"/>
              <w:rPr>
                <w:sz w:val="28"/>
                <w:szCs w:val="28"/>
                <w:lang w:val="en-GB"/>
              </w:rPr>
            </w:pPr>
            <w:r w:rsidRPr="00DE789B">
              <w:rPr>
                <w:sz w:val="28"/>
                <w:szCs w:val="28"/>
                <w:lang w:val="en-GB"/>
              </w:rPr>
              <w:t>21</w:t>
            </w:r>
            <w:r w:rsidR="009C5FE7">
              <w:rPr>
                <w:sz w:val="28"/>
                <w:szCs w:val="28"/>
                <w:lang w:val="en-GB"/>
              </w:rPr>
              <w:t>.</w:t>
            </w:r>
            <w:r w:rsidRPr="00DE789B">
              <w:rPr>
                <w:sz w:val="28"/>
                <w:szCs w:val="28"/>
                <w:lang w:val="en-GB"/>
              </w:rPr>
              <w:t>7</w:t>
            </w:r>
          </w:p>
        </w:tc>
        <w:tc>
          <w:tcPr>
            <w:tcW w:w="992" w:type="dxa"/>
            <w:tcMar>
              <w:left w:w="57" w:type="dxa"/>
              <w:right w:w="57" w:type="dxa"/>
            </w:tcMar>
          </w:tcPr>
          <w:p w14:paraId="772CC5E8" w14:textId="77777777" w:rsidR="00DE789B" w:rsidRPr="00DE789B" w:rsidRDefault="00DE789B" w:rsidP="00C55564">
            <w:pPr>
              <w:jc w:val="center"/>
              <w:rPr>
                <w:sz w:val="28"/>
                <w:szCs w:val="28"/>
                <w:lang w:val="en-GB"/>
              </w:rPr>
            </w:pPr>
            <w:r w:rsidRPr="00DE789B">
              <w:rPr>
                <w:sz w:val="28"/>
                <w:szCs w:val="28"/>
                <w:lang w:val="en-GB"/>
              </w:rPr>
              <w:t>22</w:t>
            </w:r>
            <w:r w:rsidR="009C5FE7">
              <w:rPr>
                <w:sz w:val="28"/>
                <w:szCs w:val="28"/>
                <w:lang w:val="en-GB"/>
              </w:rPr>
              <w:t>.</w:t>
            </w:r>
            <w:r w:rsidRPr="00DE789B">
              <w:rPr>
                <w:sz w:val="28"/>
                <w:szCs w:val="28"/>
                <w:lang w:val="en-GB"/>
              </w:rPr>
              <w:t>6</w:t>
            </w:r>
          </w:p>
        </w:tc>
        <w:tc>
          <w:tcPr>
            <w:tcW w:w="992" w:type="dxa"/>
            <w:tcMar>
              <w:left w:w="57" w:type="dxa"/>
              <w:right w:w="57" w:type="dxa"/>
            </w:tcMar>
          </w:tcPr>
          <w:p w14:paraId="0BB15D6E" w14:textId="77777777" w:rsidR="00DE789B" w:rsidRPr="00DE789B" w:rsidRDefault="00DE789B" w:rsidP="00C55564">
            <w:pPr>
              <w:jc w:val="center"/>
              <w:rPr>
                <w:sz w:val="28"/>
                <w:szCs w:val="28"/>
                <w:lang w:val="en-GB"/>
              </w:rPr>
            </w:pPr>
            <w:r w:rsidRPr="00DE789B">
              <w:rPr>
                <w:sz w:val="28"/>
                <w:szCs w:val="28"/>
                <w:lang w:val="en-GB"/>
              </w:rPr>
              <w:t>23</w:t>
            </w:r>
            <w:r w:rsidR="009C5FE7">
              <w:rPr>
                <w:sz w:val="28"/>
                <w:szCs w:val="28"/>
                <w:lang w:val="en-GB"/>
              </w:rPr>
              <w:t>.</w:t>
            </w:r>
            <w:r w:rsidRPr="00DE789B">
              <w:rPr>
                <w:sz w:val="28"/>
                <w:szCs w:val="28"/>
                <w:lang w:val="en-GB"/>
              </w:rPr>
              <w:t>8</w:t>
            </w:r>
          </w:p>
        </w:tc>
        <w:tc>
          <w:tcPr>
            <w:tcW w:w="1002" w:type="dxa"/>
            <w:tcMar>
              <w:left w:w="57" w:type="dxa"/>
              <w:right w:w="57" w:type="dxa"/>
            </w:tcMar>
          </w:tcPr>
          <w:p w14:paraId="2E59FA16" w14:textId="77777777" w:rsidR="00DE789B" w:rsidRPr="00AA55B8" w:rsidRDefault="00DE789B" w:rsidP="00C55564">
            <w:pPr>
              <w:jc w:val="center"/>
              <w:rPr>
                <w:sz w:val="28"/>
                <w:szCs w:val="28"/>
                <w:lang w:val="en-GB"/>
              </w:rPr>
            </w:pPr>
            <w:r w:rsidRPr="00DE789B">
              <w:rPr>
                <w:sz w:val="28"/>
                <w:szCs w:val="28"/>
                <w:lang w:val="en-GB"/>
              </w:rPr>
              <w:t>22</w:t>
            </w:r>
            <w:r w:rsidR="009C5FE7">
              <w:rPr>
                <w:sz w:val="28"/>
                <w:szCs w:val="28"/>
                <w:lang w:val="en-GB"/>
              </w:rPr>
              <w:t>.</w:t>
            </w:r>
            <w:r w:rsidRPr="00DE789B">
              <w:rPr>
                <w:sz w:val="28"/>
                <w:szCs w:val="28"/>
                <w:lang w:val="en-GB"/>
              </w:rPr>
              <w:t>2</w:t>
            </w:r>
          </w:p>
        </w:tc>
      </w:tr>
    </w:tbl>
    <w:p w14:paraId="2C806668" w14:textId="77777777" w:rsidR="00DE789B" w:rsidRDefault="00DE789B" w:rsidP="00BE42A0">
      <w:pPr>
        <w:spacing w:line="312" w:lineRule="auto"/>
        <w:ind w:firstLine="360"/>
        <w:jc w:val="both"/>
        <w:rPr>
          <w:sz w:val="28"/>
          <w:szCs w:val="28"/>
          <w:lang w:val="en-GB"/>
        </w:rPr>
      </w:pPr>
    </w:p>
    <w:p w14:paraId="54E57A3F" w14:textId="77777777" w:rsidR="00DE789B" w:rsidRDefault="00BE42A0" w:rsidP="0073536E">
      <w:pPr>
        <w:spacing w:line="312" w:lineRule="auto"/>
        <w:ind w:firstLine="709"/>
        <w:jc w:val="both"/>
        <w:rPr>
          <w:sz w:val="28"/>
          <w:szCs w:val="28"/>
          <w:lang w:val="en-GB"/>
        </w:rPr>
      </w:pPr>
      <w:r w:rsidRPr="00AA55B8">
        <w:rPr>
          <w:sz w:val="28"/>
          <w:szCs w:val="28"/>
          <w:lang w:val="en-GB"/>
        </w:rPr>
        <w:t xml:space="preserve">Budget revenues are all tax revenues and other revenues which are irreversibly transferred to the budget and are collected in accordance with the legislation of Ukraine (including transfer payments, fees for administrative services, </w:t>
      </w:r>
      <w:r w:rsidR="005A7A1F">
        <w:rPr>
          <w:sz w:val="28"/>
          <w:szCs w:val="28"/>
          <w:lang w:val="en-GB"/>
        </w:rPr>
        <w:t xml:space="preserve">and </w:t>
      </w:r>
      <w:r w:rsidRPr="00AA55B8">
        <w:rPr>
          <w:sz w:val="28"/>
          <w:szCs w:val="28"/>
          <w:lang w:val="en-GB"/>
        </w:rPr>
        <w:t xml:space="preserve">own </w:t>
      </w:r>
      <w:r w:rsidRPr="00AA55B8">
        <w:rPr>
          <w:sz w:val="28"/>
          <w:szCs w:val="28"/>
          <w:lang w:val="en-GB"/>
        </w:rPr>
        <w:lastRenderedPageBreak/>
        <w:t xml:space="preserve">revenues of public institutions), repayment of loans to the budget, revenues from state (local) loans, revenues from the privatization of state property (for the state budget), return of budget funds from deposits, </w:t>
      </w:r>
      <w:r w:rsidR="005A7A1F">
        <w:rPr>
          <w:sz w:val="28"/>
          <w:szCs w:val="28"/>
          <w:lang w:val="en-GB"/>
        </w:rPr>
        <w:t xml:space="preserve">and </w:t>
      </w:r>
      <w:r w:rsidRPr="00AA55B8">
        <w:rPr>
          <w:sz w:val="28"/>
          <w:szCs w:val="28"/>
          <w:lang w:val="en-GB"/>
        </w:rPr>
        <w:t>revenue from the sale/redemption of stocks.</w:t>
      </w:r>
      <w:r w:rsidR="00DE789B">
        <w:rPr>
          <w:sz w:val="28"/>
          <w:szCs w:val="28"/>
          <w:lang w:val="en-GB"/>
        </w:rPr>
        <w:t xml:space="preserve"> </w:t>
      </w:r>
      <w:r w:rsidRPr="00AA55B8">
        <w:rPr>
          <w:sz w:val="28"/>
          <w:szCs w:val="28"/>
          <w:lang w:val="en-GB"/>
        </w:rPr>
        <w:t xml:space="preserve">Tax receipts include national taxes and duties (mandatory payments) and local taxes and duties (mandatory payments) established by Ukrainian laws on taxation. </w:t>
      </w:r>
      <w:r w:rsidR="00DE789B">
        <w:rPr>
          <w:sz w:val="28"/>
          <w:szCs w:val="28"/>
          <w:lang w:val="en-GB"/>
        </w:rPr>
        <w:t>In table 5.2, the c</w:t>
      </w:r>
      <w:r w:rsidR="00DE789B" w:rsidRPr="00DE789B">
        <w:rPr>
          <w:sz w:val="28"/>
          <w:szCs w:val="28"/>
          <w:lang w:val="en-GB"/>
        </w:rPr>
        <w:t>onsolidated budget revenue structure of Ukraine</w:t>
      </w:r>
      <w:r w:rsidR="00DE789B">
        <w:rPr>
          <w:sz w:val="28"/>
          <w:szCs w:val="28"/>
          <w:lang w:val="en-GB"/>
        </w:rPr>
        <w:t xml:space="preserve"> in percent during 2012</w:t>
      </w:r>
      <w:r w:rsidR="005A7A1F">
        <w:rPr>
          <w:sz w:val="28"/>
          <w:szCs w:val="28"/>
          <w:lang w:val="en-GB"/>
        </w:rPr>
        <w:t>–</w:t>
      </w:r>
      <w:r w:rsidR="00DE789B">
        <w:rPr>
          <w:sz w:val="28"/>
          <w:szCs w:val="28"/>
          <w:lang w:val="en-GB"/>
        </w:rPr>
        <w:t xml:space="preserve">2014 </w:t>
      </w:r>
      <w:r w:rsidR="005A7A1F">
        <w:rPr>
          <w:sz w:val="28"/>
          <w:szCs w:val="28"/>
          <w:lang w:val="en-GB"/>
        </w:rPr>
        <w:t xml:space="preserve">is </w:t>
      </w:r>
      <w:r w:rsidR="00DE789B">
        <w:rPr>
          <w:sz w:val="28"/>
          <w:szCs w:val="28"/>
          <w:lang w:val="en-GB"/>
        </w:rPr>
        <w:t xml:space="preserve">presented.  </w:t>
      </w:r>
    </w:p>
    <w:p w14:paraId="028FB442" w14:textId="77777777" w:rsidR="00DE789B" w:rsidRDefault="00DE789B" w:rsidP="0073536E">
      <w:pPr>
        <w:spacing w:line="312" w:lineRule="auto"/>
        <w:ind w:firstLine="709"/>
        <w:jc w:val="both"/>
        <w:rPr>
          <w:sz w:val="28"/>
          <w:szCs w:val="28"/>
          <w:lang w:val="en-GB"/>
        </w:rPr>
      </w:pPr>
    </w:p>
    <w:p w14:paraId="5E02F4A2" w14:textId="77777777" w:rsidR="00BE42A0" w:rsidRPr="00DE789B" w:rsidRDefault="00DE789B" w:rsidP="009D094B">
      <w:pPr>
        <w:spacing w:line="312" w:lineRule="auto"/>
        <w:jc w:val="both"/>
        <w:rPr>
          <w:b/>
          <w:sz w:val="28"/>
          <w:szCs w:val="28"/>
          <w:lang w:val="en-GB"/>
        </w:rPr>
      </w:pPr>
      <w:r>
        <w:rPr>
          <w:b/>
          <w:sz w:val="28"/>
          <w:szCs w:val="28"/>
          <w:lang w:val="en-GB"/>
        </w:rPr>
        <w:t>Table 5.2</w:t>
      </w:r>
      <w:r w:rsidR="0073536E">
        <w:rPr>
          <w:b/>
          <w:sz w:val="28"/>
          <w:szCs w:val="28"/>
          <w:lang w:val="en-GB"/>
        </w:rPr>
        <w:t xml:space="preserve"> – </w:t>
      </w:r>
      <w:r w:rsidRPr="00DE789B">
        <w:rPr>
          <w:b/>
          <w:sz w:val="28"/>
          <w:szCs w:val="28"/>
          <w:lang w:val="en-GB"/>
        </w:rPr>
        <w:t>Consolidated budget revenue structure of Ukraine</w:t>
      </w:r>
      <w:r w:rsidR="005A7A1F">
        <w:rPr>
          <w:b/>
          <w:sz w:val="28"/>
          <w:szCs w:val="28"/>
          <w:lang w:val="en-GB"/>
        </w:rPr>
        <w:t xml:space="preserve">, </w:t>
      </w:r>
      <w:r w:rsidR="00BE42A0" w:rsidRPr="00DE789B">
        <w:rPr>
          <w:b/>
          <w:sz w:val="28"/>
          <w:szCs w:val="28"/>
          <w:lang w:val="en-GB"/>
        </w:rPr>
        <w:t>percent</w:t>
      </w:r>
    </w:p>
    <w:tbl>
      <w:tblPr>
        <w:tblStyle w:val="Table1"/>
        <w:tblW w:w="96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90"/>
        <w:gridCol w:w="1134"/>
        <w:gridCol w:w="851"/>
        <w:gridCol w:w="920"/>
      </w:tblGrid>
      <w:tr w:rsidR="0057576F" w:rsidRPr="00DE789B" w14:paraId="089CBAB7" w14:textId="77777777" w:rsidTr="00A068CB">
        <w:trPr>
          <w:trHeight w:val="157"/>
        </w:trPr>
        <w:tc>
          <w:tcPr>
            <w:tcW w:w="6790" w:type="dxa"/>
            <w:vMerge w:val="restart"/>
            <w:shd w:val="clear" w:color="auto" w:fill="D9D9D9" w:themeFill="background1" w:themeFillShade="D9"/>
            <w:tcMar>
              <w:top w:w="0" w:type="dxa"/>
              <w:left w:w="28" w:type="dxa"/>
              <w:bottom w:w="0" w:type="dxa"/>
              <w:right w:w="28" w:type="dxa"/>
            </w:tcMar>
          </w:tcPr>
          <w:p w14:paraId="326FCE96" w14:textId="77777777" w:rsidR="0057576F" w:rsidRPr="009D094B" w:rsidRDefault="0057576F" w:rsidP="00DE789B">
            <w:pPr>
              <w:widowControl w:val="0"/>
              <w:spacing w:line="240" w:lineRule="atLeast"/>
              <w:rPr>
                <w:sz w:val="28"/>
                <w:szCs w:val="28"/>
                <w:lang w:val="en-GB"/>
              </w:rPr>
            </w:pPr>
          </w:p>
        </w:tc>
        <w:tc>
          <w:tcPr>
            <w:tcW w:w="2905" w:type="dxa"/>
            <w:gridSpan w:val="3"/>
            <w:shd w:val="clear" w:color="auto" w:fill="D9D9D9" w:themeFill="background1" w:themeFillShade="D9"/>
            <w:tcMar>
              <w:top w:w="0" w:type="dxa"/>
              <w:left w:w="28" w:type="dxa"/>
              <w:bottom w:w="0" w:type="dxa"/>
              <w:right w:w="28" w:type="dxa"/>
            </w:tcMar>
          </w:tcPr>
          <w:p w14:paraId="065511E9" w14:textId="77777777" w:rsidR="0057576F" w:rsidRPr="00DE789B" w:rsidRDefault="0057576F" w:rsidP="00DE789B">
            <w:pPr>
              <w:spacing w:line="240" w:lineRule="atLeast"/>
              <w:jc w:val="center"/>
              <w:rPr>
                <w:sz w:val="28"/>
                <w:szCs w:val="28"/>
                <w:lang w:val="en-US"/>
              </w:rPr>
            </w:pPr>
            <w:r w:rsidRPr="0057576F">
              <w:rPr>
                <w:rFonts w:ascii="Garamond" w:hAnsi="Garamond" w:cs="Times New Roman"/>
                <w:sz w:val="28"/>
                <w:szCs w:val="28"/>
                <w:lang w:val="en-US"/>
              </w:rPr>
              <w:t>Year</w:t>
            </w:r>
          </w:p>
        </w:tc>
      </w:tr>
      <w:tr w:rsidR="0057576F" w:rsidRPr="00DE789B" w14:paraId="7A458831" w14:textId="77777777" w:rsidTr="00A068CB">
        <w:trPr>
          <w:trHeight w:val="20"/>
        </w:trPr>
        <w:tc>
          <w:tcPr>
            <w:tcW w:w="6790" w:type="dxa"/>
            <w:vMerge/>
            <w:shd w:val="clear" w:color="auto" w:fill="D9D9D9" w:themeFill="background1" w:themeFillShade="D9"/>
            <w:tcMar>
              <w:top w:w="0" w:type="dxa"/>
              <w:left w:w="28" w:type="dxa"/>
              <w:bottom w:w="0" w:type="dxa"/>
              <w:right w:w="28" w:type="dxa"/>
            </w:tcMar>
          </w:tcPr>
          <w:p w14:paraId="7FB3B241" w14:textId="77777777" w:rsidR="0057576F" w:rsidRPr="00DE789B" w:rsidRDefault="0057576F" w:rsidP="00DE789B">
            <w:pPr>
              <w:widowControl w:val="0"/>
              <w:spacing w:line="240" w:lineRule="atLeast"/>
              <w:rPr>
                <w:rFonts w:ascii="Garamond" w:hAnsi="Garamond"/>
                <w:sz w:val="28"/>
                <w:szCs w:val="28"/>
                <w:lang w:val="en-US"/>
              </w:rPr>
            </w:pPr>
          </w:p>
        </w:tc>
        <w:tc>
          <w:tcPr>
            <w:tcW w:w="1134" w:type="dxa"/>
            <w:shd w:val="clear" w:color="auto" w:fill="D9D9D9" w:themeFill="background1" w:themeFillShade="D9"/>
            <w:tcMar>
              <w:top w:w="0" w:type="dxa"/>
              <w:left w:w="28" w:type="dxa"/>
              <w:bottom w:w="0" w:type="dxa"/>
              <w:right w:w="28" w:type="dxa"/>
            </w:tcMar>
          </w:tcPr>
          <w:p w14:paraId="2BCA5529" w14:textId="77777777" w:rsidR="0057576F" w:rsidRPr="00DE789B" w:rsidRDefault="0057576F"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2012</w:t>
            </w:r>
          </w:p>
        </w:tc>
        <w:tc>
          <w:tcPr>
            <w:tcW w:w="851" w:type="dxa"/>
            <w:shd w:val="clear" w:color="auto" w:fill="D9D9D9" w:themeFill="background1" w:themeFillShade="D9"/>
            <w:tcMar>
              <w:top w:w="0" w:type="dxa"/>
              <w:left w:w="28" w:type="dxa"/>
              <w:bottom w:w="0" w:type="dxa"/>
              <w:right w:w="28" w:type="dxa"/>
            </w:tcMar>
          </w:tcPr>
          <w:p w14:paraId="0C31CECE" w14:textId="77777777" w:rsidR="0057576F" w:rsidRPr="00DE789B" w:rsidRDefault="0057576F"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2013</w:t>
            </w:r>
          </w:p>
        </w:tc>
        <w:tc>
          <w:tcPr>
            <w:tcW w:w="920" w:type="dxa"/>
            <w:shd w:val="clear" w:color="auto" w:fill="D9D9D9" w:themeFill="background1" w:themeFillShade="D9"/>
            <w:tcMar>
              <w:top w:w="0" w:type="dxa"/>
              <w:left w:w="28" w:type="dxa"/>
              <w:bottom w:w="0" w:type="dxa"/>
              <w:right w:w="28" w:type="dxa"/>
            </w:tcMar>
          </w:tcPr>
          <w:p w14:paraId="6DD75E32" w14:textId="77777777" w:rsidR="0057576F" w:rsidRPr="00DE789B" w:rsidRDefault="0057576F"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2014</w:t>
            </w:r>
          </w:p>
        </w:tc>
      </w:tr>
      <w:tr w:rsidR="003C51B1" w:rsidRPr="00DE789B" w14:paraId="7E290AC6" w14:textId="77777777" w:rsidTr="00A068CB">
        <w:trPr>
          <w:trHeight w:val="20"/>
        </w:trPr>
        <w:tc>
          <w:tcPr>
            <w:tcW w:w="6790" w:type="dxa"/>
            <w:tcMar>
              <w:top w:w="0" w:type="dxa"/>
              <w:left w:w="28" w:type="dxa"/>
              <w:bottom w:w="0" w:type="dxa"/>
              <w:right w:w="28" w:type="dxa"/>
            </w:tcMar>
          </w:tcPr>
          <w:p w14:paraId="5886AC85" w14:textId="77777777" w:rsidR="003C51B1" w:rsidRPr="00DE789B" w:rsidRDefault="003C51B1" w:rsidP="00DE789B">
            <w:pPr>
              <w:spacing w:line="240" w:lineRule="atLeast"/>
              <w:jc w:val="both"/>
              <w:rPr>
                <w:rFonts w:ascii="Garamond" w:hAnsi="Garamond"/>
                <w:sz w:val="28"/>
                <w:szCs w:val="28"/>
                <w:lang w:val="en-US"/>
              </w:rPr>
            </w:pPr>
            <w:r w:rsidRPr="00DE789B">
              <w:rPr>
                <w:rFonts w:ascii="Garamond" w:hAnsi="Garamond" w:cs="Times New Roman"/>
                <w:b/>
                <w:sz w:val="28"/>
                <w:szCs w:val="28"/>
                <w:lang w:val="en-US"/>
              </w:rPr>
              <w:t>Total revenue</w:t>
            </w:r>
          </w:p>
        </w:tc>
        <w:tc>
          <w:tcPr>
            <w:tcW w:w="1134" w:type="dxa"/>
            <w:tcMar>
              <w:top w:w="0" w:type="dxa"/>
              <w:left w:w="28" w:type="dxa"/>
              <w:bottom w:w="0" w:type="dxa"/>
              <w:right w:w="28" w:type="dxa"/>
            </w:tcMar>
          </w:tcPr>
          <w:p w14:paraId="419559BC"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100</w:t>
            </w:r>
          </w:p>
        </w:tc>
        <w:tc>
          <w:tcPr>
            <w:tcW w:w="851" w:type="dxa"/>
            <w:tcMar>
              <w:top w:w="0" w:type="dxa"/>
              <w:left w:w="28" w:type="dxa"/>
              <w:bottom w:w="0" w:type="dxa"/>
              <w:right w:w="28" w:type="dxa"/>
            </w:tcMar>
          </w:tcPr>
          <w:p w14:paraId="19A05EF6"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100</w:t>
            </w:r>
          </w:p>
        </w:tc>
        <w:tc>
          <w:tcPr>
            <w:tcW w:w="920" w:type="dxa"/>
            <w:tcMar>
              <w:top w:w="0" w:type="dxa"/>
              <w:left w:w="28" w:type="dxa"/>
              <w:bottom w:w="0" w:type="dxa"/>
              <w:right w:w="28" w:type="dxa"/>
            </w:tcMar>
          </w:tcPr>
          <w:p w14:paraId="3867B8CB"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100</w:t>
            </w:r>
          </w:p>
        </w:tc>
      </w:tr>
      <w:tr w:rsidR="003C51B1" w:rsidRPr="00DE789B" w14:paraId="14233790" w14:textId="77777777" w:rsidTr="00A068CB">
        <w:trPr>
          <w:trHeight w:val="20"/>
        </w:trPr>
        <w:tc>
          <w:tcPr>
            <w:tcW w:w="6790" w:type="dxa"/>
            <w:tcMar>
              <w:top w:w="0" w:type="dxa"/>
              <w:left w:w="28" w:type="dxa"/>
              <w:bottom w:w="0" w:type="dxa"/>
              <w:right w:w="28" w:type="dxa"/>
            </w:tcMar>
          </w:tcPr>
          <w:p w14:paraId="078F55A1" w14:textId="77777777" w:rsidR="003C51B1" w:rsidRPr="00DE789B" w:rsidRDefault="003C51B1" w:rsidP="0057576F">
            <w:pPr>
              <w:spacing w:line="240" w:lineRule="atLeast"/>
              <w:rPr>
                <w:rFonts w:ascii="Garamond" w:hAnsi="Garamond"/>
                <w:sz w:val="28"/>
                <w:szCs w:val="28"/>
                <w:lang w:val="en-US"/>
              </w:rPr>
            </w:pPr>
            <w:r w:rsidRPr="00DE789B">
              <w:rPr>
                <w:rFonts w:ascii="Garamond" w:hAnsi="Garamond" w:cs="Times New Roman"/>
                <w:b/>
                <w:sz w:val="28"/>
                <w:szCs w:val="28"/>
                <w:lang w:val="en-US"/>
              </w:rPr>
              <w:t>Tax receipts</w:t>
            </w:r>
            <w:r w:rsidR="0057576F">
              <w:rPr>
                <w:rFonts w:ascii="Garamond" w:hAnsi="Garamond" w:cs="Times New Roman"/>
                <w:b/>
                <w:sz w:val="28"/>
                <w:szCs w:val="28"/>
                <w:lang w:val="en-US"/>
              </w:rPr>
              <w:t xml:space="preserve">, </w:t>
            </w:r>
            <w:r w:rsidRPr="00DE789B">
              <w:rPr>
                <w:rFonts w:ascii="Garamond" w:hAnsi="Garamond" w:cs="Times New Roman"/>
                <w:sz w:val="28"/>
                <w:szCs w:val="28"/>
                <w:lang w:val="en-US"/>
              </w:rPr>
              <w:t>including</w:t>
            </w:r>
            <w:r w:rsidR="005A7A1F">
              <w:rPr>
                <w:rFonts w:ascii="Garamond" w:hAnsi="Garamond" w:cs="Times New Roman"/>
                <w:sz w:val="28"/>
                <w:szCs w:val="28"/>
                <w:lang w:val="en-US"/>
              </w:rPr>
              <w:t xml:space="preserve"> the following</w:t>
            </w:r>
            <w:r w:rsidRPr="00DE789B">
              <w:rPr>
                <w:rFonts w:ascii="Garamond" w:hAnsi="Garamond" w:cs="Times New Roman"/>
                <w:sz w:val="28"/>
                <w:szCs w:val="28"/>
                <w:lang w:val="en-US"/>
              </w:rPr>
              <w:t>:</w:t>
            </w:r>
          </w:p>
        </w:tc>
        <w:tc>
          <w:tcPr>
            <w:tcW w:w="1134" w:type="dxa"/>
            <w:tcMar>
              <w:top w:w="0" w:type="dxa"/>
              <w:left w:w="28" w:type="dxa"/>
              <w:bottom w:w="0" w:type="dxa"/>
              <w:right w:w="28" w:type="dxa"/>
            </w:tcMar>
          </w:tcPr>
          <w:p w14:paraId="20D4B32B"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80</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9 </w:t>
            </w:r>
          </w:p>
        </w:tc>
        <w:tc>
          <w:tcPr>
            <w:tcW w:w="851" w:type="dxa"/>
            <w:tcMar>
              <w:top w:w="0" w:type="dxa"/>
              <w:left w:w="28" w:type="dxa"/>
              <w:bottom w:w="0" w:type="dxa"/>
              <w:right w:w="28" w:type="dxa"/>
            </w:tcMar>
          </w:tcPr>
          <w:p w14:paraId="1AEA3C82"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79</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9 </w:t>
            </w:r>
          </w:p>
        </w:tc>
        <w:tc>
          <w:tcPr>
            <w:tcW w:w="920" w:type="dxa"/>
            <w:tcMar>
              <w:top w:w="0" w:type="dxa"/>
              <w:left w:w="28" w:type="dxa"/>
              <w:bottom w:w="0" w:type="dxa"/>
              <w:right w:w="28" w:type="dxa"/>
            </w:tcMar>
          </w:tcPr>
          <w:p w14:paraId="2720106F"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80</w:t>
            </w:r>
            <w:r w:rsidR="009C5FE7">
              <w:rPr>
                <w:rFonts w:ascii="Garamond" w:hAnsi="Garamond" w:cs="Times New Roman"/>
                <w:sz w:val="28"/>
                <w:szCs w:val="28"/>
                <w:lang w:val="en-US"/>
              </w:rPr>
              <w:t>.</w:t>
            </w:r>
            <w:r w:rsidRPr="00DE789B">
              <w:rPr>
                <w:rFonts w:ascii="Garamond" w:hAnsi="Garamond" w:cs="Times New Roman"/>
                <w:sz w:val="28"/>
                <w:szCs w:val="28"/>
                <w:lang w:val="en-US"/>
              </w:rPr>
              <w:t>6</w:t>
            </w:r>
          </w:p>
        </w:tc>
      </w:tr>
      <w:tr w:rsidR="003C51B1" w:rsidRPr="00DE789B" w14:paraId="23AF44E0" w14:textId="77777777" w:rsidTr="00A068CB">
        <w:trPr>
          <w:trHeight w:val="20"/>
        </w:trPr>
        <w:tc>
          <w:tcPr>
            <w:tcW w:w="6790" w:type="dxa"/>
            <w:tcMar>
              <w:top w:w="0" w:type="dxa"/>
              <w:left w:w="28" w:type="dxa"/>
              <w:bottom w:w="0" w:type="dxa"/>
              <w:right w:w="28" w:type="dxa"/>
            </w:tcMar>
          </w:tcPr>
          <w:p w14:paraId="26173C7F" w14:textId="77777777" w:rsidR="003C51B1" w:rsidRPr="00DE789B" w:rsidRDefault="003C51B1" w:rsidP="000A0D23">
            <w:pPr>
              <w:spacing w:line="240" w:lineRule="atLeast"/>
              <w:rPr>
                <w:rFonts w:ascii="Garamond" w:hAnsi="Garamond"/>
                <w:sz w:val="28"/>
                <w:szCs w:val="28"/>
                <w:lang w:val="en-US"/>
              </w:rPr>
            </w:pPr>
            <w:r w:rsidRPr="00DE789B">
              <w:rPr>
                <w:rFonts w:ascii="Garamond" w:hAnsi="Garamond" w:cs="Times New Roman"/>
                <w:sz w:val="28"/>
                <w:szCs w:val="28"/>
                <w:lang w:val="en-US"/>
              </w:rPr>
              <w:t xml:space="preserve">Taxes on revenue, taxes on income, </w:t>
            </w:r>
            <w:r w:rsidR="005A7A1F">
              <w:rPr>
                <w:rFonts w:ascii="Garamond" w:hAnsi="Garamond" w:cs="Times New Roman"/>
                <w:sz w:val="28"/>
                <w:szCs w:val="28"/>
                <w:lang w:val="en-US"/>
              </w:rPr>
              <w:t xml:space="preserve">and </w:t>
            </w:r>
            <w:r w:rsidRPr="00DE789B">
              <w:rPr>
                <w:rFonts w:ascii="Garamond" w:hAnsi="Garamond" w:cs="Times New Roman"/>
                <w:sz w:val="28"/>
                <w:szCs w:val="28"/>
                <w:lang w:val="en-US"/>
              </w:rPr>
              <w:t>taxes on market value increase</w:t>
            </w:r>
          </w:p>
        </w:tc>
        <w:tc>
          <w:tcPr>
            <w:tcW w:w="1134" w:type="dxa"/>
            <w:tcMar>
              <w:top w:w="0" w:type="dxa"/>
              <w:left w:w="28" w:type="dxa"/>
              <w:bottom w:w="0" w:type="dxa"/>
              <w:right w:w="28" w:type="dxa"/>
            </w:tcMar>
          </w:tcPr>
          <w:p w14:paraId="64789BEB"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27</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8 </w:t>
            </w:r>
          </w:p>
        </w:tc>
        <w:tc>
          <w:tcPr>
            <w:tcW w:w="851" w:type="dxa"/>
            <w:tcMar>
              <w:top w:w="0" w:type="dxa"/>
              <w:left w:w="28" w:type="dxa"/>
              <w:bottom w:w="0" w:type="dxa"/>
              <w:right w:w="28" w:type="dxa"/>
            </w:tcMar>
          </w:tcPr>
          <w:p w14:paraId="020260AA"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28</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7 </w:t>
            </w:r>
          </w:p>
          <w:p w14:paraId="30430884" w14:textId="77777777" w:rsidR="003C51B1" w:rsidRPr="00DE789B" w:rsidRDefault="003C51B1" w:rsidP="00DE789B">
            <w:pPr>
              <w:spacing w:line="240" w:lineRule="atLeast"/>
              <w:jc w:val="center"/>
              <w:rPr>
                <w:rFonts w:ascii="Garamond" w:hAnsi="Garamond"/>
                <w:sz w:val="28"/>
                <w:szCs w:val="28"/>
                <w:lang w:val="en-US"/>
              </w:rPr>
            </w:pPr>
          </w:p>
        </w:tc>
        <w:tc>
          <w:tcPr>
            <w:tcW w:w="920" w:type="dxa"/>
            <w:tcMar>
              <w:top w:w="0" w:type="dxa"/>
              <w:left w:w="28" w:type="dxa"/>
              <w:bottom w:w="0" w:type="dxa"/>
              <w:right w:w="28" w:type="dxa"/>
            </w:tcMar>
          </w:tcPr>
          <w:p w14:paraId="16AA709F"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25</w:t>
            </w:r>
            <w:r w:rsidR="009C5FE7">
              <w:rPr>
                <w:rFonts w:ascii="Garamond" w:hAnsi="Garamond" w:cs="Times New Roman"/>
                <w:sz w:val="28"/>
                <w:szCs w:val="28"/>
                <w:lang w:val="en-US"/>
              </w:rPr>
              <w:t>.</w:t>
            </w:r>
            <w:r w:rsidRPr="00DE789B">
              <w:rPr>
                <w:rFonts w:ascii="Garamond" w:hAnsi="Garamond" w:cs="Times New Roman"/>
                <w:sz w:val="28"/>
                <w:szCs w:val="28"/>
                <w:lang w:val="en-US"/>
              </w:rPr>
              <w:t>3</w:t>
            </w:r>
          </w:p>
        </w:tc>
      </w:tr>
      <w:tr w:rsidR="003C51B1" w:rsidRPr="00DE789B" w14:paraId="144C7574" w14:textId="77777777" w:rsidTr="00A068CB">
        <w:trPr>
          <w:trHeight w:val="20"/>
        </w:trPr>
        <w:tc>
          <w:tcPr>
            <w:tcW w:w="6790" w:type="dxa"/>
            <w:tcMar>
              <w:top w:w="0" w:type="dxa"/>
              <w:left w:w="28" w:type="dxa"/>
              <w:bottom w:w="0" w:type="dxa"/>
              <w:right w:w="28" w:type="dxa"/>
            </w:tcMar>
          </w:tcPr>
          <w:p w14:paraId="15F2194C" w14:textId="77777777" w:rsidR="003C51B1" w:rsidRPr="00DE789B" w:rsidRDefault="003C51B1" w:rsidP="000A0D23">
            <w:pPr>
              <w:spacing w:line="240" w:lineRule="atLeast"/>
              <w:jc w:val="both"/>
              <w:rPr>
                <w:rFonts w:ascii="Garamond" w:hAnsi="Garamond"/>
                <w:sz w:val="28"/>
                <w:szCs w:val="28"/>
                <w:lang w:val="en-US"/>
              </w:rPr>
            </w:pPr>
            <w:r w:rsidRPr="00DE789B">
              <w:rPr>
                <w:rFonts w:ascii="Garamond" w:hAnsi="Garamond" w:cs="Times New Roman"/>
                <w:sz w:val="28"/>
                <w:szCs w:val="28"/>
                <w:lang w:val="en-US"/>
              </w:rPr>
              <w:t>Taxes on property</w:t>
            </w:r>
          </w:p>
        </w:tc>
        <w:tc>
          <w:tcPr>
            <w:tcW w:w="1134" w:type="dxa"/>
            <w:tcMar>
              <w:top w:w="0" w:type="dxa"/>
              <w:left w:w="28" w:type="dxa"/>
              <w:bottom w:w="0" w:type="dxa"/>
              <w:right w:w="28" w:type="dxa"/>
            </w:tcMar>
          </w:tcPr>
          <w:p w14:paraId="03C13CE0"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2 </w:t>
            </w:r>
          </w:p>
        </w:tc>
        <w:tc>
          <w:tcPr>
            <w:tcW w:w="851" w:type="dxa"/>
            <w:tcMar>
              <w:top w:w="0" w:type="dxa"/>
              <w:left w:w="28" w:type="dxa"/>
              <w:bottom w:w="0" w:type="dxa"/>
              <w:right w:w="28" w:type="dxa"/>
            </w:tcMar>
          </w:tcPr>
          <w:p w14:paraId="2748FCB2"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1 </w:t>
            </w:r>
          </w:p>
        </w:tc>
        <w:tc>
          <w:tcPr>
            <w:tcW w:w="920" w:type="dxa"/>
            <w:tcMar>
              <w:top w:w="0" w:type="dxa"/>
              <w:left w:w="28" w:type="dxa"/>
              <w:bottom w:w="0" w:type="dxa"/>
              <w:right w:w="28" w:type="dxa"/>
            </w:tcMar>
          </w:tcPr>
          <w:p w14:paraId="36130FA8"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1</w:t>
            </w:r>
          </w:p>
        </w:tc>
      </w:tr>
      <w:tr w:rsidR="003C51B1" w:rsidRPr="00DE789B" w14:paraId="16A920FA" w14:textId="77777777" w:rsidTr="00A068CB">
        <w:trPr>
          <w:trHeight w:val="20"/>
        </w:trPr>
        <w:tc>
          <w:tcPr>
            <w:tcW w:w="6790" w:type="dxa"/>
            <w:tcMar>
              <w:top w:w="0" w:type="dxa"/>
              <w:left w:w="28" w:type="dxa"/>
              <w:bottom w:w="0" w:type="dxa"/>
              <w:right w:w="28" w:type="dxa"/>
            </w:tcMar>
          </w:tcPr>
          <w:p w14:paraId="54429950" w14:textId="77777777" w:rsidR="003C51B1" w:rsidRPr="00DE789B" w:rsidRDefault="003C51B1" w:rsidP="000A0D23">
            <w:pPr>
              <w:spacing w:line="240" w:lineRule="atLeast"/>
              <w:jc w:val="both"/>
              <w:rPr>
                <w:rFonts w:ascii="Garamond" w:hAnsi="Garamond"/>
                <w:sz w:val="28"/>
                <w:szCs w:val="28"/>
                <w:lang w:val="en-US"/>
              </w:rPr>
            </w:pPr>
            <w:r w:rsidRPr="00DE789B">
              <w:rPr>
                <w:rFonts w:ascii="Garamond" w:hAnsi="Garamond" w:cs="Times New Roman"/>
                <w:sz w:val="28"/>
                <w:szCs w:val="28"/>
                <w:lang w:val="en-US"/>
              </w:rPr>
              <w:t>Fees for special use of natural resources</w:t>
            </w:r>
          </w:p>
        </w:tc>
        <w:tc>
          <w:tcPr>
            <w:tcW w:w="1134" w:type="dxa"/>
            <w:tcMar>
              <w:top w:w="0" w:type="dxa"/>
              <w:left w:w="28" w:type="dxa"/>
              <w:bottom w:w="0" w:type="dxa"/>
              <w:right w:w="28" w:type="dxa"/>
            </w:tcMar>
          </w:tcPr>
          <w:p w14:paraId="1A00786B"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3</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9 </w:t>
            </w:r>
          </w:p>
        </w:tc>
        <w:tc>
          <w:tcPr>
            <w:tcW w:w="851" w:type="dxa"/>
            <w:tcMar>
              <w:top w:w="0" w:type="dxa"/>
              <w:left w:w="28" w:type="dxa"/>
              <w:bottom w:w="0" w:type="dxa"/>
              <w:right w:w="28" w:type="dxa"/>
            </w:tcMar>
          </w:tcPr>
          <w:p w14:paraId="1F1858FF"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6</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5 </w:t>
            </w:r>
          </w:p>
        </w:tc>
        <w:tc>
          <w:tcPr>
            <w:tcW w:w="920" w:type="dxa"/>
            <w:tcMar>
              <w:top w:w="0" w:type="dxa"/>
              <w:left w:w="28" w:type="dxa"/>
              <w:bottom w:w="0" w:type="dxa"/>
              <w:right w:w="28" w:type="dxa"/>
            </w:tcMar>
          </w:tcPr>
          <w:p w14:paraId="041AE3FD"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7</w:t>
            </w:r>
            <w:r w:rsidR="009C5FE7">
              <w:rPr>
                <w:rFonts w:ascii="Garamond" w:hAnsi="Garamond" w:cs="Times New Roman"/>
                <w:sz w:val="28"/>
                <w:szCs w:val="28"/>
                <w:lang w:val="en-US"/>
              </w:rPr>
              <w:t>.</w:t>
            </w:r>
            <w:r w:rsidRPr="00DE789B">
              <w:rPr>
                <w:rFonts w:ascii="Garamond" w:hAnsi="Garamond" w:cs="Times New Roman"/>
                <w:sz w:val="28"/>
                <w:szCs w:val="28"/>
                <w:lang w:val="en-US"/>
              </w:rPr>
              <w:t>3</w:t>
            </w:r>
          </w:p>
        </w:tc>
      </w:tr>
      <w:tr w:rsidR="003C51B1" w:rsidRPr="00DE789B" w14:paraId="44092714" w14:textId="77777777" w:rsidTr="00A068CB">
        <w:trPr>
          <w:trHeight w:val="20"/>
        </w:trPr>
        <w:tc>
          <w:tcPr>
            <w:tcW w:w="6790" w:type="dxa"/>
            <w:tcMar>
              <w:top w:w="0" w:type="dxa"/>
              <w:left w:w="28" w:type="dxa"/>
              <w:bottom w:w="0" w:type="dxa"/>
              <w:right w:w="28" w:type="dxa"/>
            </w:tcMar>
          </w:tcPr>
          <w:p w14:paraId="7162D5E8" w14:textId="77777777" w:rsidR="003C51B1" w:rsidRPr="00DE789B" w:rsidRDefault="003C51B1" w:rsidP="000A0D23">
            <w:pPr>
              <w:spacing w:line="240" w:lineRule="atLeast"/>
              <w:jc w:val="both"/>
              <w:rPr>
                <w:rFonts w:ascii="Garamond" w:hAnsi="Garamond"/>
                <w:sz w:val="28"/>
                <w:szCs w:val="28"/>
                <w:lang w:val="en-US"/>
              </w:rPr>
            </w:pPr>
            <w:r w:rsidRPr="00DE789B">
              <w:rPr>
                <w:rFonts w:ascii="Garamond" w:hAnsi="Garamond" w:cs="Times New Roman"/>
                <w:sz w:val="28"/>
                <w:szCs w:val="28"/>
                <w:lang w:val="en-US"/>
              </w:rPr>
              <w:t>Domestic taxes on goods and services</w:t>
            </w:r>
            <w:r w:rsidR="0057576F">
              <w:rPr>
                <w:rFonts w:ascii="Garamond" w:hAnsi="Garamond" w:cs="Times New Roman"/>
                <w:sz w:val="28"/>
                <w:szCs w:val="28"/>
                <w:lang w:val="en-US"/>
              </w:rPr>
              <w:t xml:space="preserve">, </w:t>
            </w:r>
            <w:r w:rsidR="005A7A1F">
              <w:rPr>
                <w:rFonts w:ascii="Garamond" w:hAnsi="Garamond" w:cs="Times New Roman"/>
                <w:sz w:val="28"/>
                <w:szCs w:val="28"/>
                <w:lang w:val="en-US"/>
              </w:rPr>
              <w:t>including the following:</w:t>
            </w:r>
            <w:r w:rsidRPr="00DE789B">
              <w:rPr>
                <w:rFonts w:ascii="Garamond" w:hAnsi="Garamond" w:cs="Times New Roman"/>
                <w:sz w:val="28"/>
                <w:szCs w:val="28"/>
                <w:lang w:val="en-US"/>
              </w:rPr>
              <w:t xml:space="preserve"> </w:t>
            </w:r>
          </w:p>
          <w:p w14:paraId="77B5233C" w14:textId="77777777" w:rsidR="003C51B1" w:rsidRPr="00DE789B" w:rsidRDefault="003C51B1" w:rsidP="00A068CB">
            <w:pPr>
              <w:spacing w:line="240" w:lineRule="atLeast"/>
              <w:ind w:left="284"/>
              <w:jc w:val="both"/>
              <w:rPr>
                <w:rFonts w:ascii="Garamond" w:hAnsi="Garamond"/>
                <w:sz w:val="28"/>
                <w:szCs w:val="28"/>
                <w:lang w:val="en-US"/>
              </w:rPr>
            </w:pPr>
            <w:r w:rsidRPr="00DE789B">
              <w:rPr>
                <w:rFonts w:ascii="Garamond" w:hAnsi="Garamond" w:cs="Times New Roman"/>
                <w:sz w:val="28"/>
                <w:szCs w:val="28"/>
                <w:lang w:val="en-US"/>
              </w:rPr>
              <w:t>Value-added tax</w:t>
            </w:r>
          </w:p>
        </w:tc>
        <w:tc>
          <w:tcPr>
            <w:tcW w:w="1134" w:type="dxa"/>
            <w:tcMar>
              <w:top w:w="0" w:type="dxa"/>
              <w:left w:w="28" w:type="dxa"/>
              <w:bottom w:w="0" w:type="dxa"/>
              <w:right w:w="28" w:type="dxa"/>
            </w:tcMar>
          </w:tcPr>
          <w:p w14:paraId="7B159BAC"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39</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8 </w:t>
            </w:r>
          </w:p>
          <w:p w14:paraId="0701FE76" w14:textId="77777777" w:rsidR="005A7A1F" w:rsidRDefault="005A7A1F" w:rsidP="00DE789B">
            <w:pPr>
              <w:spacing w:line="240" w:lineRule="atLeast"/>
              <w:jc w:val="center"/>
              <w:rPr>
                <w:rFonts w:ascii="Garamond" w:hAnsi="Garamond" w:cs="Times New Roman"/>
                <w:sz w:val="28"/>
                <w:szCs w:val="28"/>
                <w:lang w:val="en-US"/>
              </w:rPr>
            </w:pPr>
          </w:p>
          <w:p w14:paraId="728BBAC6"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31</w:t>
            </w:r>
            <w:r w:rsidR="009C5FE7">
              <w:rPr>
                <w:rFonts w:ascii="Garamond" w:hAnsi="Garamond" w:cs="Times New Roman"/>
                <w:sz w:val="28"/>
                <w:szCs w:val="28"/>
                <w:lang w:val="en-US"/>
              </w:rPr>
              <w:t>.</w:t>
            </w:r>
            <w:r w:rsidRPr="00DE789B">
              <w:rPr>
                <w:rFonts w:ascii="Garamond" w:hAnsi="Garamond" w:cs="Times New Roman"/>
                <w:sz w:val="28"/>
                <w:szCs w:val="28"/>
                <w:lang w:val="en-US"/>
              </w:rPr>
              <w:t>2</w:t>
            </w:r>
          </w:p>
        </w:tc>
        <w:tc>
          <w:tcPr>
            <w:tcW w:w="851" w:type="dxa"/>
            <w:tcMar>
              <w:top w:w="0" w:type="dxa"/>
              <w:left w:w="28" w:type="dxa"/>
              <w:bottom w:w="0" w:type="dxa"/>
              <w:right w:w="28" w:type="dxa"/>
            </w:tcMar>
          </w:tcPr>
          <w:p w14:paraId="758929D3"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37</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2 </w:t>
            </w:r>
          </w:p>
          <w:p w14:paraId="2A167313" w14:textId="77777777" w:rsidR="005A7A1F" w:rsidRDefault="005A7A1F" w:rsidP="00DE789B">
            <w:pPr>
              <w:spacing w:line="240" w:lineRule="atLeast"/>
              <w:jc w:val="center"/>
              <w:rPr>
                <w:rFonts w:ascii="Garamond" w:hAnsi="Garamond" w:cs="Times New Roman"/>
                <w:sz w:val="28"/>
                <w:szCs w:val="28"/>
                <w:lang w:val="en-US"/>
              </w:rPr>
            </w:pPr>
          </w:p>
          <w:p w14:paraId="3A495746"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29</w:t>
            </w:r>
            <w:r w:rsidR="009C5FE7">
              <w:rPr>
                <w:rFonts w:ascii="Garamond" w:hAnsi="Garamond" w:cs="Times New Roman"/>
                <w:sz w:val="28"/>
                <w:szCs w:val="28"/>
                <w:lang w:val="en-US"/>
              </w:rPr>
              <w:t>.</w:t>
            </w:r>
            <w:r w:rsidRPr="00DE789B">
              <w:rPr>
                <w:rFonts w:ascii="Garamond" w:hAnsi="Garamond" w:cs="Times New Roman"/>
                <w:sz w:val="28"/>
                <w:szCs w:val="28"/>
                <w:lang w:val="en-US"/>
              </w:rPr>
              <w:t>0</w:t>
            </w:r>
          </w:p>
        </w:tc>
        <w:tc>
          <w:tcPr>
            <w:tcW w:w="920" w:type="dxa"/>
            <w:tcMar>
              <w:top w:w="0" w:type="dxa"/>
              <w:left w:w="28" w:type="dxa"/>
              <w:bottom w:w="0" w:type="dxa"/>
              <w:right w:w="28" w:type="dxa"/>
            </w:tcMar>
          </w:tcPr>
          <w:p w14:paraId="2AA5FB30"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40</w:t>
            </w:r>
            <w:r w:rsidR="009C5FE7">
              <w:rPr>
                <w:rFonts w:ascii="Garamond" w:hAnsi="Garamond" w:cs="Times New Roman"/>
                <w:sz w:val="28"/>
                <w:szCs w:val="28"/>
                <w:lang w:val="en-US"/>
              </w:rPr>
              <w:t>.</w:t>
            </w:r>
            <w:r w:rsidRPr="00DE789B">
              <w:rPr>
                <w:rFonts w:ascii="Garamond" w:hAnsi="Garamond" w:cs="Times New Roman"/>
                <w:sz w:val="28"/>
                <w:szCs w:val="28"/>
                <w:lang w:val="en-US"/>
              </w:rPr>
              <w:t>4</w:t>
            </w:r>
          </w:p>
          <w:p w14:paraId="3CA22359" w14:textId="77777777" w:rsidR="005A7A1F" w:rsidRDefault="005A7A1F" w:rsidP="00DE789B">
            <w:pPr>
              <w:spacing w:line="240" w:lineRule="atLeast"/>
              <w:jc w:val="center"/>
              <w:rPr>
                <w:rFonts w:ascii="Garamond" w:hAnsi="Garamond" w:cs="Times New Roman"/>
                <w:sz w:val="28"/>
                <w:szCs w:val="28"/>
                <w:lang w:val="en-US"/>
              </w:rPr>
            </w:pPr>
          </w:p>
          <w:p w14:paraId="3332EF0A" w14:textId="77777777" w:rsidR="003C51B1" w:rsidRPr="00DE789B" w:rsidRDefault="003C51B1" w:rsidP="00DE789B">
            <w:pPr>
              <w:spacing w:line="240" w:lineRule="atLeast"/>
              <w:jc w:val="center"/>
              <w:rPr>
                <w:rFonts w:ascii="Garamond" w:hAnsi="Garamond"/>
                <w:sz w:val="28"/>
                <w:szCs w:val="28"/>
                <w:lang w:val="en-US"/>
              </w:rPr>
            </w:pPr>
            <w:r w:rsidRPr="00DE789B">
              <w:rPr>
                <w:rFonts w:ascii="Garamond" w:hAnsi="Garamond" w:cs="Times New Roman"/>
                <w:sz w:val="28"/>
                <w:szCs w:val="28"/>
                <w:lang w:val="en-US"/>
              </w:rPr>
              <w:t>30</w:t>
            </w:r>
            <w:r w:rsidR="009C5FE7">
              <w:rPr>
                <w:rFonts w:ascii="Garamond" w:hAnsi="Garamond" w:cs="Times New Roman"/>
                <w:sz w:val="28"/>
                <w:szCs w:val="28"/>
                <w:lang w:val="en-US"/>
              </w:rPr>
              <w:t>.</w:t>
            </w:r>
            <w:r w:rsidRPr="00DE789B">
              <w:rPr>
                <w:rFonts w:ascii="Garamond" w:hAnsi="Garamond" w:cs="Times New Roman"/>
                <w:sz w:val="28"/>
                <w:szCs w:val="28"/>
                <w:lang w:val="en-US"/>
              </w:rPr>
              <w:t>5</w:t>
            </w:r>
          </w:p>
        </w:tc>
      </w:tr>
      <w:tr w:rsidR="003C51B1" w:rsidRPr="00DE789B" w14:paraId="2CFE2BC3" w14:textId="77777777" w:rsidTr="00A068CB">
        <w:trPr>
          <w:trHeight w:val="20"/>
        </w:trPr>
        <w:tc>
          <w:tcPr>
            <w:tcW w:w="6790" w:type="dxa"/>
            <w:tcMar>
              <w:top w:w="0" w:type="dxa"/>
              <w:left w:w="28" w:type="dxa"/>
              <w:bottom w:w="0" w:type="dxa"/>
              <w:right w:w="28" w:type="dxa"/>
            </w:tcMar>
          </w:tcPr>
          <w:p w14:paraId="2E2CF8F1" w14:textId="77777777" w:rsidR="003C51B1" w:rsidRPr="00DE789B" w:rsidRDefault="003C51B1" w:rsidP="005A7A1F">
            <w:pPr>
              <w:widowControl w:val="0"/>
              <w:spacing w:line="240" w:lineRule="atLeast"/>
              <w:ind w:left="284"/>
              <w:rPr>
                <w:rFonts w:ascii="Garamond" w:hAnsi="Garamond"/>
                <w:sz w:val="28"/>
                <w:szCs w:val="28"/>
                <w:lang w:val="en-US"/>
              </w:rPr>
            </w:pPr>
            <w:r w:rsidRPr="00DE789B">
              <w:rPr>
                <w:rFonts w:ascii="Garamond" w:hAnsi="Garamond" w:cs="Times New Roman"/>
                <w:sz w:val="28"/>
                <w:szCs w:val="28"/>
                <w:lang w:val="en-US"/>
              </w:rPr>
              <w:t>Taxes on international trade and external operations</w:t>
            </w:r>
          </w:p>
        </w:tc>
        <w:tc>
          <w:tcPr>
            <w:tcW w:w="1134" w:type="dxa"/>
            <w:tcMar>
              <w:top w:w="0" w:type="dxa"/>
              <w:left w:w="28" w:type="dxa"/>
              <w:bottom w:w="0" w:type="dxa"/>
              <w:right w:w="28" w:type="dxa"/>
            </w:tcMar>
          </w:tcPr>
          <w:p w14:paraId="0E5704C1"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3</w:t>
            </w:r>
            <w:r w:rsidR="009C5FE7">
              <w:rPr>
                <w:rFonts w:ascii="Garamond" w:hAnsi="Garamond" w:cs="Times New Roman"/>
                <w:sz w:val="28"/>
                <w:szCs w:val="28"/>
                <w:lang w:val="en-US"/>
              </w:rPr>
              <w:t>.</w:t>
            </w:r>
            <w:r w:rsidRPr="00DE789B">
              <w:rPr>
                <w:rFonts w:ascii="Garamond" w:hAnsi="Garamond" w:cs="Times New Roman"/>
                <w:sz w:val="28"/>
                <w:szCs w:val="28"/>
                <w:lang w:val="en-US"/>
              </w:rPr>
              <w:t>0</w:t>
            </w:r>
          </w:p>
        </w:tc>
        <w:tc>
          <w:tcPr>
            <w:tcW w:w="851" w:type="dxa"/>
            <w:tcMar>
              <w:top w:w="0" w:type="dxa"/>
              <w:left w:w="28" w:type="dxa"/>
              <w:bottom w:w="0" w:type="dxa"/>
              <w:right w:w="28" w:type="dxa"/>
            </w:tcMar>
          </w:tcPr>
          <w:p w14:paraId="3B5E135D"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3</w:t>
            </w:r>
            <w:r w:rsidR="009C5FE7">
              <w:rPr>
                <w:rFonts w:ascii="Garamond" w:hAnsi="Garamond" w:cs="Times New Roman"/>
                <w:sz w:val="28"/>
                <w:szCs w:val="28"/>
                <w:lang w:val="en-US"/>
              </w:rPr>
              <w:t>.</w:t>
            </w:r>
            <w:r w:rsidRPr="00DE789B">
              <w:rPr>
                <w:rFonts w:ascii="Garamond" w:hAnsi="Garamond" w:cs="Times New Roman"/>
                <w:sz w:val="28"/>
                <w:szCs w:val="28"/>
                <w:lang w:val="en-US"/>
              </w:rPr>
              <w:t>0</w:t>
            </w:r>
          </w:p>
        </w:tc>
        <w:tc>
          <w:tcPr>
            <w:tcW w:w="920" w:type="dxa"/>
            <w:tcMar>
              <w:top w:w="0" w:type="dxa"/>
              <w:left w:w="28" w:type="dxa"/>
              <w:bottom w:w="0" w:type="dxa"/>
              <w:right w:w="28" w:type="dxa"/>
            </w:tcMar>
          </w:tcPr>
          <w:p w14:paraId="2319B9EB"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2</w:t>
            </w:r>
            <w:r w:rsidR="009C5FE7">
              <w:rPr>
                <w:rFonts w:ascii="Garamond" w:hAnsi="Garamond" w:cs="Times New Roman"/>
                <w:sz w:val="28"/>
                <w:szCs w:val="28"/>
                <w:lang w:val="en-US"/>
              </w:rPr>
              <w:t>.</w:t>
            </w:r>
            <w:r w:rsidRPr="00DE789B">
              <w:rPr>
                <w:rFonts w:ascii="Garamond" w:hAnsi="Garamond" w:cs="Times New Roman"/>
                <w:sz w:val="28"/>
                <w:szCs w:val="28"/>
                <w:lang w:val="en-US"/>
              </w:rPr>
              <w:t>8</w:t>
            </w:r>
          </w:p>
        </w:tc>
      </w:tr>
      <w:tr w:rsidR="003C51B1" w:rsidRPr="00DE789B" w14:paraId="5A045B06" w14:textId="77777777" w:rsidTr="00A068CB">
        <w:trPr>
          <w:trHeight w:val="20"/>
        </w:trPr>
        <w:tc>
          <w:tcPr>
            <w:tcW w:w="6790" w:type="dxa"/>
            <w:tcMar>
              <w:top w:w="0" w:type="dxa"/>
              <w:left w:w="28" w:type="dxa"/>
              <w:bottom w:w="0" w:type="dxa"/>
              <w:right w:w="28" w:type="dxa"/>
            </w:tcMar>
          </w:tcPr>
          <w:p w14:paraId="2DE1A4F1" w14:textId="77777777" w:rsidR="003C51B1" w:rsidRPr="00DE789B" w:rsidRDefault="00A068CB" w:rsidP="00A068CB">
            <w:pPr>
              <w:widowControl w:val="0"/>
              <w:spacing w:line="240" w:lineRule="atLeast"/>
              <w:ind w:left="284"/>
              <w:rPr>
                <w:rFonts w:ascii="Garamond" w:hAnsi="Garamond"/>
                <w:sz w:val="28"/>
                <w:szCs w:val="28"/>
                <w:lang w:val="en-US"/>
              </w:rPr>
            </w:pPr>
            <w:r>
              <w:rPr>
                <w:rFonts w:ascii="Garamond" w:hAnsi="Garamond" w:cs="Times New Roman"/>
                <w:sz w:val="28"/>
                <w:szCs w:val="28"/>
                <w:lang w:val="en-US"/>
              </w:rPr>
              <w:t xml:space="preserve">Rent and </w:t>
            </w:r>
            <w:r w:rsidR="003C51B1" w:rsidRPr="00DE789B">
              <w:rPr>
                <w:rFonts w:ascii="Garamond" w:hAnsi="Garamond" w:cs="Times New Roman"/>
                <w:sz w:val="28"/>
                <w:szCs w:val="28"/>
                <w:lang w:val="en-US"/>
              </w:rPr>
              <w:t>energy resources charges</w:t>
            </w:r>
          </w:p>
        </w:tc>
        <w:tc>
          <w:tcPr>
            <w:tcW w:w="1134" w:type="dxa"/>
            <w:tcMar>
              <w:top w:w="0" w:type="dxa"/>
              <w:left w:w="28" w:type="dxa"/>
              <w:bottom w:w="0" w:type="dxa"/>
              <w:right w:w="28" w:type="dxa"/>
            </w:tcMar>
          </w:tcPr>
          <w:p w14:paraId="448187DE"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4</w:t>
            </w:r>
            <w:r w:rsidR="009C5FE7">
              <w:rPr>
                <w:rFonts w:ascii="Garamond" w:hAnsi="Garamond" w:cs="Times New Roman"/>
                <w:sz w:val="28"/>
                <w:szCs w:val="28"/>
                <w:lang w:val="en-US"/>
              </w:rPr>
              <w:t>.</w:t>
            </w:r>
            <w:r w:rsidRPr="00DE789B">
              <w:rPr>
                <w:rFonts w:ascii="Garamond" w:hAnsi="Garamond" w:cs="Times New Roman"/>
                <w:sz w:val="28"/>
                <w:szCs w:val="28"/>
                <w:lang w:val="en-US"/>
              </w:rPr>
              <w:t>0</w:t>
            </w:r>
          </w:p>
        </w:tc>
        <w:tc>
          <w:tcPr>
            <w:tcW w:w="851" w:type="dxa"/>
            <w:tcMar>
              <w:top w:w="0" w:type="dxa"/>
              <w:left w:w="28" w:type="dxa"/>
              <w:bottom w:w="0" w:type="dxa"/>
              <w:right w:w="28" w:type="dxa"/>
            </w:tcMar>
          </w:tcPr>
          <w:p w14:paraId="38463314"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3</w:t>
            </w:r>
          </w:p>
        </w:tc>
        <w:tc>
          <w:tcPr>
            <w:tcW w:w="920" w:type="dxa"/>
            <w:tcMar>
              <w:top w:w="0" w:type="dxa"/>
              <w:left w:w="28" w:type="dxa"/>
              <w:bottom w:w="0" w:type="dxa"/>
              <w:right w:w="28" w:type="dxa"/>
            </w:tcMar>
          </w:tcPr>
          <w:p w14:paraId="78226186"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3</w:t>
            </w:r>
          </w:p>
        </w:tc>
      </w:tr>
      <w:tr w:rsidR="003C51B1" w:rsidRPr="00DE789B" w14:paraId="7076752F" w14:textId="77777777" w:rsidTr="00A068CB">
        <w:trPr>
          <w:trHeight w:val="20"/>
        </w:trPr>
        <w:tc>
          <w:tcPr>
            <w:tcW w:w="6790" w:type="dxa"/>
            <w:tcMar>
              <w:top w:w="0" w:type="dxa"/>
              <w:left w:w="28" w:type="dxa"/>
              <w:bottom w:w="0" w:type="dxa"/>
              <w:right w:w="28" w:type="dxa"/>
            </w:tcMar>
          </w:tcPr>
          <w:p w14:paraId="7424CD11" w14:textId="77777777" w:rsidR="003C51B1" w:rsidRPr="00DE789B" w:rsidRDefault="003C51B1" w:rsidP="00A068CB">
            <w:pPr>
              <w:widowControl w:val="0"/>
              <w:spacing w:line="240" w:lineRule="atLeast"/>
              <w:ind w:left="284"/>
              <w:rPr>
                <w:rFonts w:ascii="Garamond" w:hAnsi="Garamond"/>
                <w:sz w:val="28"/>
                <w:szCs w:val="28"/>
                <w:lang w:val="en-US"/>
              </w:rPr>
            </w:pPr>
            <w:r w:rsidRPr="00DE789B">
              <w:rPr>
                <w:rFonts w:ascii="Garamond" w:hAnsi="Garamond" w:cs="Times New Roman"/>
                <w:sz w:val="28"/>
                <w:szCs w:val="28"/>
                <w:lang w:val="en-US"/>
              </w:rPr>
              <w:t>Local taxes and charges, incl</w:t>
            </w:r>
            <w:r w:rsidR="00A068CB">
              <w:rPr>
                <w:rFonts w:ascii="Garamond" w:hAnsi="Garamond" w:cs="Times New Roman"/>
                <w:sz w:val="28"/>
                <w:szCs w:val="28"/>
                <w:lang w:val="en-US"/>
              </w:rPr>
              <w:t>uding</w:t>
            </w:r>
            <w:r w:rsidRPr="00DE789B">
              <w:rPr>
                <w:rFonts w:ascii="Garamond" w:hAnsi="Garamond" w:cs="Times New Roman"/>
                <w:sz w:val="28"/>
                <w:szCs w:val="28"/>
                <w:lang w:val="en-US"/>
              </w:rPr>
              <w:t xml:space="preserve"> accrued taxes before January 1, 2011</w:t>
            </w:r>
          </w:p>
        </w:tc>
        <w:tc>
          <w:tcPr>
            <w:tcW w:w="1134" w:type="dxa"/>
            <w:tcMar>
              <w:top w:w="0" w:type="dxa"/>
              <w:left w:w="28" w:type="dxa"/>
              <w:bottom w:w="0" w:type="dxa"/>
              <w:right w:w="28" w:type="dxa"/>
            </w:tcMar>
          </w:tcPr>
          <w:p w14:paraId="42DC07DA"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2 </w:t>
            </w:r>
          </w:p>
        </w:tc>
        <w:tc>
          <w:tcPr>
            <w:tcW w:w="851" w:type="dxa"/>
            <w:tcMar>
              <w:top w:w="0" w:type="dxa"/>
              <w:left w:w="28" w:type="dxa"/>
              <w:bottom w:w="0" w:type="dxa"/>
              <w:right w:w="28" w:type="dxa"/>
            </w:tcMar>
          </w:tcPr>
          <w:p w14:paraId="0E2607A5"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 xml:space="preserve">7 </w:t>
            </w:r>
          </w:p>
        </w:tc>
        <w:tc>
          <w:tcPr>
            <w:tcW w:w="920" w:type="dxa"/>
            <w:tcMar>
              <w:top w:w="0" w:type="dxa"/>
              <w:left w:w="28" w:type="dxa"/>
              <w:bottom w:w="0" w:type="dxa"/>
              <w:right w:w="28" w:type="dxa"/>
            </w:tcMar>
          </w:tcPr>
          <w:p w14:paraId="6400096D"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8</w:t>
            </w:r>
          </w:p>
        </w:tc>
      </w:tr>
      <w:tr w:rsidR="003C51B1" w:rsidRPr="00DE789B" w14:paraId="60A69DD4" w14:textId="77777777" w:rsidTr="00A068CB">
        <w:trPr>
          <w:trHeight w:val="20"/>
        </w:trPr>
        <w:tc>
          <w:tcPr>
            <w:tcW w:w="6790" w:type="dxa"/>
            <w:tcMar>
              <w:top w:w="0" w:type="dxa"/>
              <w:left w:w="28" w:type="dxa"/>
              <w:bottom w:w="0" w:type="dxa"/>
              <w:right w:w="28" w:type="dxa"/>
            </w:tcMar>
          </w:tcPr>
          <w:p w14:paraId="0B7A7D12" w14:textId="77777777" w:rsidR="003C51B1" w:rsidRPr="00DE789B" w:rsidRDefault="003C51B1" w:rsidP="005A7A1F">
            <w:pPr>
              <w:widowControl w:val="0"/>
              <w:spacing w:line="240" w:lineRule="atLeast"/>
              <w:ind w:left="284"/>
              <w:rPr>
                <w:rFonts w:ascii="Garamond" w:hAnsi="Garamond"/>
                <w:sz w:val="28"/>
                <w:szCs w:val="28"/>
                <w:lang w:val="en-US"/>
              </w:rPr>
            </w:pPr>
            <w:r w:rsidRPr="00DE789B">
              <w:rPr>
                <w:rFonts w:ascii="Garamond" w:hAnsi="Garamond" w:cs="Times New Roman"/>
                <w:sz w:val="28"/>
                <w:szCs w:val="28"/>
                <w:lang w:val="en-US"/>
              </w:rPr>
              <w:t>Other taxes and charges</w:t>
            </w:r>
          </w:p>
        </w:tc>
        <w:tc>
          <w:tcPr>
            <w:tcW w:w="1134" w:type="dxa"/>
            <w:tcMar>
              <w:top w:w="0" w:type="dxa"/>
              <w:left w:w="28" w:type="dxa"/>
              <w:bottom w:w="0" w:type="dxa"/>
              <w:right w:w="28" w:type="dxa"/>
            </w:tcMar>
          </w:tcPr>
          <w:p w14:paraId="751CCBB7"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1</w:t>
            </w:r>
          </w:p>
        </w:tc>
        <w:tc>
          <w:tcPr>
            <w:tcW w:w="851" w:type="dxa"/>
            <w:tcMar>
              <w:top w:w="0" w:type="dxa"/>
              <w:left w:w="28" w:type="dxa"/>
              <w:bottom w:w="0" w:type="dxa"/>
              <w:right w:w="28" w:type="dxa"/>
            </w:tcMar>
          </w:tcPr>
          <w:p w14:paraId="6CC023D0"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4</w:t>
            </w:r>
          </w:p>
        </w:tc>
        <w:tc>
          <w:tcPr>
            <w:tcW w:w="920" w:type="dxa"/>
            <w:tcMar>
              <w:top w:w="0" w:type="dxa"/>
              <w:left w:w="28" w:type="dxa"/>
              <w:bottom w:w="0" w:type="dxa"/>
              <w:right w:w="28" w:type="dxa"/>
            </w:tcMar>
          </w:tcPr>
          <w:p w14:paraId="222AD7D4"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6</w:t>
            </w:r>
          </w:p>
        </w:tc>
      </w:tr>
      <w:tr w:rsidR="003C51B1" w:rsidRPr="00DE789B" w14:paraId="5EED83A2" w14:textId="77777777" w:rsidTr="00A068CB">
        <w:trPr>
          <w:trHeight w:val="20"/>
        </w:trPr>
        <w:tc>
          <w:tcPr>
            <w:tcW w:w="6790" w:type="dxa"/>
            <w:tcMar>
              <w:top w:w="0" w:type="dxa"/>
              <w:left w:w="28" w:type="dxa"/>
              <w:bottom w:w="0" w:type="dxa"/>
              <w:right w:w="28" w:type="dxa"/>
            </w:tcMar>
          </w:tcPr>
          <w:p w14:paraId="7301C898"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b/>
                <w:sz w:val="28"/>
                <w:szCs w:val="28"/>
                <w:lang w:val="en-US"/>
              </w:rPr>
              <w:t>Non-tax receipts</w:t>
            </w:r>
            <w:r w:rsidR="000A0D23">
              <w:rPr>
                <w:rFonts w:ascii="Garamond" w:hAnsi="Garamond" w:cs="Times New Roman"/>
                <w:b/>
                <w:sz w:val="28"/>
                <w:szCs w:val="28"/>
                <w:lang w:val="en-US"/>
              </w:rPr>
              <w:t xml:space="preserve">, </w:t>
            </w:r>
            <w:r w:rsidR="000A0D23" w:rsidRPr="00DE789B">
              <w:rPr>
                <w:rFonts w:ascii="Garamond" w:hAnsi="Garamond" w:cs="Times New Roman"/>
                <w:sz w:val="28"/>
                <w:szCs w:val="28"/>
                <w:lang w:val="en-US"/>
              </w:rPr>
              <w:t>including</w:t>
            </w:r>
            <w:r w:rsidR="000A0D23">
              <w:rPr>
                <w:rFonts w:ascii="Garamond" w:hAnsi="Garamond" w:cs="Times New Roman"/>
                <w:sz w:val="28"/>
                <w:szCs w:val="28"/>
                <w:lang w:val="en-US"/>
              </w:rPr>
              <w:t xml:space="preserve"> the following</w:t>
            </w:r>
            <w:r w:rsidR="000A0D23" w:rsidRPr="00DE789B">
              <w:rPr>
                <w:rFonts w:ascii="Garamond" w:hAnsi="Garamond" w:cs="Times New Roman"/>
                <w:sz w:val="28"/>
                <w:szCs w:val="28"/>
                <w:lang w:val="en-US"/>
              </w:rPr>
              <w:t>:</w:t>
            </w:r>
          </w:p>
        </w:tc>
        <w:tc>
          <w:tcPr>
            <w:tcW w:w="1134" w:type="dxa"/>
            <w:tcMar>
              <w:top w:w="0" w:type="dxa"/>
              <w:left w:w="28" w:type="dxa"/>
              <w:bottom w:w="0" w:type="dxa"/>
              <w:right w:w="28" w:type="dxa"/>
            </w:tcMar>
          </w:tcPr>
          <w:p w14:paraId="267975B8"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18</w:t>
            </w:r>
            <w:r w:rsidR="009C5FE7">
              <w:rPr>
                <w:rFonts w:ascii="Garamond" w:hAnsi="Garamond" w:cs="Times New Roman"/>
                <w:b/>
                <w:sz w:val="28"/>
                <w:szCs w:val="28"/>
                <w:lang w:val="en-US"/>
              </w:rPr>
              <w:t>.</w:t>
            </w:r>
            <w:r w:rsidRPr="00DE789B">
              <w:rPr>
                <w:rFonts w:ascii="Garamond" w:hAnsi="Garamond" w:cs="Times New Roman"/>
                <w:b/>
                <w:sz w:val="28"/>
                <w:szCs w:val="28"/>
                <w:lang w:val="en-US"/>
              </w:rPr>
              <w:t>2</w:t>
            </w:r>
          </w:p>
        </w:tc>
        <w:tc>
          <w:tcPr>
            <w:tcW w:w="851" w:type="dxa"/>
            <w:tcMar>
              <w:top w:w="0" w:type="dxa"/>
              <w:left w:w="28" w:type="dxa"/>
              <w:bottom w:w="0" w:type="dxa"/>
              <w:right w:w="28" w:type="dxa"/>
            </w:tcMar>
          </w:tcPr>
          <w:p w14:paraId="1CA5C91F"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19</w:t>
            </w:r>
            <w:r w:rsidR="009C5FE7">
              <w:rPr>
                <w:rFonts w:ascii="Garamond" w:hAnsi="Garamond" w:cs="Times New Roman"/>
                <w:b/>
                <w:sz w:val="28"/>
                <w:szCs w:val="28"/>
                <w:lang w:val="en-US"/>
              </w:rPr>
              <w:t>.</w:t>
            </w:r>
            <w:r w:rsidRPr="00DE789B">
              <w:rPr>
                <w:rFonts w:ascii="Garamond" w:hAnsi="Garamond" w:cs="Times New Roman"/>
                <w:b/>
                <w:sz w:val="28"/>
                <w:szCs w:val="28"/>
                <w:lang w:val="en-US"/>
              </w:rPr>
              <w:t>2</w:t>
            </w:r>
          </w:p>
        </w:tc>
        <w:tc>
          <w:tcPr>
            <w:tcW w:w="920" w:type="dxa"/>
            <w:tcMar>
              <w:top w:w="0" w:type="dxa"/>
              <w:left w:w="28" w:type="dxa"/>
              <w:bottom w:w="0" w:type="dxa"/>
              <w:right w:w="28" w:type="dxa"/>
            </w:tcMar>
          </w:tcPr>
          <w:p w14:paraId="1F21635C"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17</w:t>
            </w:r>
            <w:r w:rsidR="009C5FE7">
              <w:rPr>
                <w:rFonts w:ascii="Garamond" w:hAnsi="Garamond" w:cs="Times New Roman"/>
                <w:b/>
                <w:sz w:val="28"/>
                <w:szCs w:val="28"/>
                <w:lang w:val="en-US"/>
              </w:rPr>
              <w:t>.</w:t>
            </w:r>
            <w:r w:rsidRPr="00DE789B">
              <w:rPr>
                <w:rFonts w:ascii="Garamond" w:hAnsi="Garamond" w:cs="Times New Roman"/>
                <w:b/>
                <w:sz w:val="28"/>
                <w:szCs w:val="28"/>
                <w:lang w:val="en-US"/>
              </w:rPr>
              <w:t>7</w:t>
            </w:r>
          </w:p>
        </w:tc>
      </w:tr>
      <w:tr w:rsidR="003C51B1" w:rsidRPr="00DE789B" w14:paraId="30840B4A" w14:textId="77777777" w:rsidTr="00A068CB">
        <w:trPr>
          <w:trHeight w:val="20"/>
        </w:trPr>
        <w:tc>
          <w:tcPr>
            <w:tcW w:w="6790" w:type="dxa"/>
            <w:tcMar>
              <w:top w:w="0" w:type="dxa"/>
              <w:left w:w="28" w:type="dxa"/>
              <w:bottom w:w="0" w:type="dxa"/>
              <w:right w:w="28" w:type="dxa"/>
            </w:tcMar>
          </w:tcPr>
          <w:p w14:paraId="58DFB511"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sz w:val="28"/>
                <w:szCs w:val="28"/>
                <w:lang w:val="en-US"/>
              </w:rPr>
              <w:t>Property and entrepreneurial activity income</w:t>
            </w:r>
          </w:p>
        </w:tc>
        <w:tc>
          <w:tcPr>
            <w:tcW w:w="1134" w:type="dxa"/>
            <w:tcMar>
              <w:top w:w="0" w:type="dxa"/>
              <w:left w:w="28" w:type="dxa"/>
              <w:bottom w:w="0" w:type="dxa"/>
              <w:right w:w="28" w:type="dxa"/>
            </w:tcMar>
          </w:tcPr>
          <w:p w14:paraId="19323780"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7</w:t>
            </w:r>
            <w:r w:rsidR="009C5FE7">
              <w:rPr>
                <w:rFonts w:ascii="Garamond" w:hAnsi="Garamond" w:cs="Times New Roman"/>
                <w:sz w:val="28"/>
                <w:szCs w:val="28"/>
                <w:lang w:val="en-US"/>
              </w:rPr>
              <w:t>.</w:t>
            </w:r>
            <w:r w:rsidRPr="00DE789B">
              <w:rPr>
                <w:rFonts w:ascii="Garamond" w:hAnsi="Garamond" w:cs="Times New Roman"/>
                <w:sz w:val="28"/>
                <w:szCs w:val="28"/>
                <w:lang w:val="en-US"/>
              </w:rPr>
              <w:t>4</w:t>
            </w:r>
          </w:p>
        </w:tc>
        <w:tc>
          <w:tcPr>
            <w:tcW w:w="851" w:type="dxa"/>
            <w:tcMar>
              <w:top w:w="0" w:type="dxa"/>
              <w:left w:w="28" w:type="dxa"/>
              <w:bottom w:w="0" w:type="dxa"/>
              <w:right w:w="28" w:type="dxa"/>
            </w:tcMar>
          </w:tcPr>
          <w:p w14:paraId="3687F9AD"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7</w:t>
            </w:r>
            <w:r w:rsidR="009C5FE7">
              <w:rPr>
                <w:rFonts w:ascii="Garamond" w:hAnsi="Garamond" w:cs="Times New Roman"/>
                <w:sz w:val="28"/>
                <w:szCs w:val="28"/>
                <w:lang w:val="en-US"/>
              </w:rPr>
              <w:t>.</w:t>
            </w:r>
            <w:r w:rsidRPr="00DE789B">
              <w:rPr>
                <w:rFonts w:ascii="Garamond" w:hAnsi="Garamond" w:cs="Times New Roman"/>
                <w:sz w:val="28"/>
                <w:szCs w:val="28"/>
                <w:lang w:val="en-US"/>
              </w:rPr>
              <w:t>6</w:t>
            </w:r>
          </w:p>
        </w:tc>
        <w:tc>
          <w:tcPr>
            <w:tcW w:w="920" w:type="dxa"/>
            <w:tcMar>
              <w:top w:w="0" w:type="dxa"/>
              <w:left w:w="28" w:type="dxa"/>
              <w:bottom w:w="0" w:type="dxa"/>
              <w:right w:w="28" w:type="dxa"/>
            </w:tcMar>
          </w:tcPr>
          <w:p w14:paraId="198222F7"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6</w:t>
            </w:r>
            <w:r w:rsidR="009C5FE7">
              <w:rPr>
                <w:rFonts w:ascii="Garamond" w:hAnsi="Garamond" w:cs="Times New Roman"/>
                <w:sz w:val="28"/>
                <w:szCs w:val="28"/>
                <w:lang w:val="en-US"/>
              </w:rPr>
              <w:t>.</w:t>
            </w:r>
            <w:r w:rsidRPr="00DE789B">
              <w:rPr>
                <w:rFonts w:ascii="Garamond" w:hAnsi="Garamond" w:cs="Times New Roman"/>
                <w:sz w:val="28"/>
                <w:szCs w:val="28"/>
                <w:lang w:val="en-US"/>
              </w:rPr>
              <w:t>3</w:t>
            </w:r>
          </w:p>
        </w:tc>
      </w:tr>
      <w:tr w:rsidR="003C51B1" w:rsidRPr="00DE789B" w14:paraId="13BA2977" w14:textId="77777777" w:rsidTr="00A068CB">
        <w:trPr>
          <w:trHeight w:val="20"/>
        </w:trPr>
        <w:tc>
          <w:tcPr>
            <w:tcW w:w="6790" w:type="dxa"/>
            <w:tcMar>
              <w:top w:w="0" w:type="dxa"/>
              <w:left w:w="28" w:type="dxa"/>
              <w:bottom w:w="0" w:type="dxa"/>
              <w:right w:w="28" w:type="dxa"/>
            </w:tcMar>
          </w:tcPr>
          <w:p w14:paraId="54B1DA24"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sz w:val="28"/>
                <w:szCs w:val="28"/>
                <w:lang w:val="en-US"/>
              </w:rPr>
              <w:t>Administrative fees, charges, receipts from non-commercial economic activity</w:t>
            </w:r>
          </w:p>
        </w:tc>
        <w:tc>
          <w:tcPr>
            <w:tcW w:w="1134" w:type="dxa"/>
            <w:tcMar>
              <w:top w:w="0" w:type="dxa"/>
              <w:left w:w="28" w:type="dxa"/>
              <w:bottom w:w="0" w:type="dxa"/>
              <w:right w:w="28" w:type="dxa"/>
            </w:tcMar>
          </w:tcPr>
          <w:p w14:paraId="460A8320"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6</w:t>
            </w:r>
          </w:p>
        </w:tc>
        <w:tc>
          <w:tcPr>
            <w:tcW w:w="851" w:type="dxa"/>
            <w:tcMar>
              <w:top w:w="0" w:type="dxa"/>
              <w:left w:w="28" w:type="dxa"/>
              <w:bottom w:w="0" w:type="dxa"/>
              <w:right w:w="28" w:type="dxa"/>
            </w:tcMar>
          </w:tcPr>
          <w:p w14:paraId="1C55399F"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6</w:t>
            </w:r>
          </w:p>
        </w:tc>
        <w:tc>
          <w:tcPr>
            <w:tcW w:w="920" w:type="dxa"/>
            <w:tcMar>
              <w:top w:w="0" w:type="dxa"/>
              <w:left w:w="28" w:type="dxa"/>
              <w:bottom w:w="0" w:type="dxa"/>
              <w:right w:w="28" w:type="dxa"/>
            </w:tcMar>
          </w:tcPr>
          <w:p w14:paraId="0C9037D2"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5</w:t>
            </w:r>
          </w:p>
        </w:tc>
      </w:tr>
      <w:tr w:rsidR="003C51B1" w:rsidRPr="00DE789B" w14:paraId="20C33118" w14:textId="77777777" w:rsidTr="00A068CB">
        <w:trPr>
          <w:trHeight w:val="20"/>
        </w:trPr>
        <w:tc>
          <w:tcPr>
            <w:tcW w:w="6790" w:type="dxa"/>
            <w:tcMar>
              <w:top w:w="0" w:type="dxa"/>
              <w:left w:w="28" w:type="dxa"/>
              <w:bottom w:w="0" w:type="dxa"/>
              <w:right w:w="28" w:type="dxa"/>
            </w:tcMar>
          </w:tcPr>
          <w:p w14:paraId="67D57A38"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sz w:val="28"/>
                <w:szCs w:val="28"/>
                <w:lang w:val="en-US"/>
              </w:rPr>
              <w:t>Other non-tax receipts</w:t>
            </w:r>
          </w:p>
        </w:tc>
        <w:tc>
          <w:tcPr>
            <w:tcW w:w="1134" w:type="dxa"/>
            <w:tcMar>
              <w:top w:w="0" w:type="dxa"/>
              <w:left w:w="28" w:type="dxa"/>
              <w:bottom w:w="0" w:type="dxa"/>
              <w:right w:w="28" w:type="dxa"/>
            </w:tcMar>
          </w:tcPr>
          <w:p w14:paraId="03BE94D5"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5</w:t>
            </w:r>
          </w:p>
        </w:tc>
        <w:tc>
          <w:tcPr>
            <w:tcW w:w="851" w:type="dxa"/>
            <w:tcMar>
              <w:top w:w="0" w:type="dxa"/>
              <w:left w:w="28" w:type="dxa"/>
              <w:bottom w:w="0" w:type="dxa"/>
              <w:right w:w="28" w:type="dxa"/>
            </w:tcMar>
          </w:tcPr>
          <w:p w14:paraId="416064BA"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1</w:t>
            </w:r>
            <w:r w:rsidR="009C5FE7">
              <w:rPr>
                <w:rFonts w:ascii="Garamond" w:hAnsi="Garamond" w:cs="Times New Roman"/>
                <w:sz w:val="28"/>
                <w:szCs w:val="28"/>
                <w:lang w:val="en-US"/>
              </w:rPr>
              <w:t>.</w:t>
            </w:r>
            <w:r w:rsidRPr="00DE789B">
              <w:rPr>
                <w:rFonts w:ascii="Garamond" w:hAnsi="Garamond" w:cs="Times New Roman"/>
                <w:sz w:val="28"/>
                <w:szCs w:val="28"/>
                <w:lang w:val="en-US"/>
              </w:rPr>
              <w:t>4</w:t>
            </w:r>
          </w:p>
        </w:tc>
        <w:tc>
          <w:tcPr>
            <w:tcW w:w="920" w:type="dxa"/>
            <w:tcMar>
              <w:top w:w="0" w:type="dxa"/>
              <w:left w:w="28" w:type="dxa"/>
              <w:bottom w:w="0" w:type="dxa"/>
              <w:right w:w="28" w:type="dxa"/>
            </w:tcMar>
          </w:tcPr>
          <w:p w14:paraId="2A051A00"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2</w:t>
            </w:r>
            <w:r w:rsidR="009C5FE7">
              <w:rPr>
                <w:rFonts w:ascii="Garamond" w:hAnsi="Garamond" w:cs="Times New Roman"/>
                <w:sz w:val="28"/>
                <w:szCs w:val="28"/>
                <w:lang w:val="en-US"/>
              </w:rPr>
              <w:t>.</w:t>
            </w:r>
            <w:r w:rsidRPr="00DE789B">
              <w:rPr>
                <w:rFonts w:ascii="Garamond" w:hAnsi="Garamond" w:cs="Times New Roman"/>
                <w:sz w:val="28"/>
                <w:szCs w:val="28"/>
                <w:lang w:val="en-US"/>
              </w:rPr>
              <w:t>9</w:t>
            </w:r>
          </w:p>
        </w:tc>
      </w:tr>
      <w:tr w:rsidR="003C51B1" w:rsidRPr="00DE789B" w14:paraId="4A61C173" w14:textId="77777777" w:rsidTr="00A068CB">
        <w:trPr>
          <w:trHeight w:val="20"/>
        </w:trPr>
        <w:tc>
          <w:tcPr>
            <w:tcW w:w="6790" w:type="dxa"/>
            <w:tcMar>
              <w:top w:w="0" w:type="dxa"/>
              <w:left w:w="28" w:type="dxa"/>
              <w:bottom w:w="0" w:type="dxa"/>
              <w:right w:w="28" w:type="dxa"/>
            </w:tcMar>
          </w:tcPr>
          <w:p w14:paraId="7B3F16F1"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sz w:val="28"/>
                <w:szCs w:val="28"/>
                <w:lang w:val="en-US"/>
              </w:rPr>
              <w:t>Own-source revenues of budgetary institutions</w:t>
            </w:r>
          </w:p>
        </w:tc>
        <w:tc>
          <w:tcPr>
            <w:tcW w:w="1134" w:type="dxa"/>
            <w:tcMar>
              <w:top w:w="0" w:type="dxa"/>
              <w:left w:w="28" w:type="dxa"/>
              <w:bottom w:w="0" w:type="dxa"/>
              <w:right w:w="28" w:type="dxa"/>
            </w:tcMar>
          </w:tcPr>
          <w:p w14:paraId="3E6028B7"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7</w:t>
            </w:r>
            <w:r w:rsidR="009C5FE7">
              <w:rPr>
                <w:rFonts w:ascii="Garamond" w:hAnsi="Garamond" w:cs="Times New Roman"/>
                <w:sz w:val="28"/>
                <w:szCs w:val="28"/>
                <w:lang w:val="en-US"/>
              </w:rPr>
              <w:t>.</w:t>
            </w:r>
            <w:r w:rsidRPr="00DE789B">
              <w:rPr>
                <w:rFonts w:ascii="Garamond" w:hAnsi="Garamond" w:cs="Times New Roman"/>
                <w:sz w:val="28"/>
                <w:szCs w:val="28"/>
                <w:lang w:val="en-US"/>
              </w:rPr>
              <w:t>7</w:t>
            </w:r>
          </w:p>
        </w:tc>
        <w:tc>
          <w:tcPr>
            <w:tcW w:w="851" w:type="dxa"/>
            <w:tcMar>
              <w:top w:w="0" w:type="dxa"/>
              <w:left w:w="28" w:type="dxa"/>
              <w:bottom w:w="0" w:type="dxa"/>
              <w:right w:w="28" w:type="dxa"/>
            </w:tcMar>
          </w:tcPr>
          <w:p w14:paraId="0A06D66A"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8</w:t>
            </w:r>
            <w:r w:rsidR="009C5FE7">
              <w:rPr>
                <w:rFonts w:ascii="Garamond" w:hAnsi="Garamond" w:cs="Times New Roman"/>
                <w:sz w:val="28"/>
                <w:szCs w:val="28"/>
                <w:lang w:val="en-US"/>
              </w:rPr>
              <w:t>.</w:t>
            </w:r>
            <w:r w:rsidRPr="00DE789B">
              <w:rPr>
                <w:rFonts w:ascii="Garamond" w:hAnsi="Garamond" w:cs="Times New Roman"/>
                <w:sz w:val="28"/>
                <w:szCs w:val="28"/>
                <w:lang w:val="en-US"/>
              </w:rPr>
              <w:t>6</w:t>
            </w:r>
          </w:p>
        </w:tc>
        <w:tc>
          <w:tcPr>
            <w:tcW w:w="920" w:type="dxa"/>
            <w:tcMar>
              <w:top w:w="0" w:type="dxa"/>
              <w:left w:w="28" w:type="dxa"/>
              <w:bottom w:w="0" w:type="dxa"/>
              <w:right w:w="28" w:type="dxa"/>
            </w:tcMar>
          </w:tcPr>
          <w:p w14:paraId="435C637E"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6</w:t>
            </w:r>
            <w:r w:rsidR="009C5FE7">
              <w:rPr>
                <w:rFonts w:ascii="Garamond" w:hAnsi="Garamond" w:cs="Times New Roman"/>
                <w:sz w:val="28"/>
                <w:szCs w:val="28"/>
                <w:lang w:val="en-US"/>
              </w:rPr>
              <w:t>.</w:t>
            </w:r>
            <w:r w:rsidRPr="00DE789B">
              <w:rPr>
                <w:rFonts w:ascii="Garamond" w:hAnsi="Garamond" w:cs="Times New Roman"/>
                <w:sz w:val="28"/>
                <w:szCs w:val="28"/>
                <w:lang w:val="en-US"/>
              </w:rPr>
              <w:t>9</w:t>
            </w:r>
          </w:p>
        </w:tc>
      </w:tr>
      <w:tr w:rsidR="003C51B1" w:rsidRPr="00DE789B" w14:paraId="3BC75BD4" w14:textId="77777777" w:rsidTr="00A068CB">
        <w:trPr>
          <w:trHeight w:val="20"/>
        </w:trPr>
        <w:tc>
          <w:tcPr>
            <w:tcW w:w="6790" w:type="dxa"/>
            <w:tcMar>
              <w:top w:w="0" w:type="dxa"/>
              <w:left w:w="28" w:type="dxa"/>
              <w:bottom w:w="0" w:type="dxa"/>
              <w:right w:w="28" w:type="dxa"/>
            </w:tcMar>
          </w:tcPr>
          <w:p w14:paraId="2347291A"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b/>
                <w:sz w:val="28"/>
                <w:szCs w:val="28"/>
                <w:lang w:val="en-US"/>
              </w:rPr>
              <w:t>Revenues from capital operations</w:t>
            </w:r>
            <w:r w:rsidR="00A068CB">
              <w:rPr>
                <w:rFonts w:ascii="Garamond" w:hAnsi="Garamond" w:cs="Times New Roman"/>
                <w:b/>
                <w:sz w:val="28"/>
                <w:szCs w:val="28"/>
                <w:lang w:val="en-US"/>
              </w:rPr>
              <w:t xml:space="preserve">, </w:t>
            </w:r>
            <w:r w:rsidR="00A068CB" w:rsidRPr="00DE789B">
              <w:rPr>
                <w:rFonts w:ascii="Garamond" w:hAnsi="Garamond" w:cs="Times New Roman"/>
                <w:sz w:val="28"/>
                <w:szCs w:val="28"/>
                <w:lang w:val="en-US"/>
              </w:rPr>
              <w:t>including</w:t>
            </w:r>
            <w:r w:rsidR="00A068CB">
              <w:rPr>
                <w:rFonts w:ascii="Garamond" w:hAnsi="Garamond" w:cs="Times New Roman"/>
                <w:sz w:val="28"/>
                <w:szCs w:val="28"/>
                <w:lang w:val="en-US"/>
              </w:rPr>
              <w:t xml:space="preserve"> the following</w:t>
            </w:r>
            <w:r w:rsidR="00A068CB" w:rsidRPr="00DE789B">
              <w:rPr>
                <w:rFonts w:ascii="Garamond" w:hAnsi="Garamond" w:cs="Times New Roman"/>
                <w:sz w:val="28"/>
                <w:szCs w:val="28"/>
                <w:lang w:val="en-US"/>
              </w:rPr>
              <w:t>:</w:t>
            </w:r>
          </w:p>
        </w:tc>
        <w:tc>
          <w:tcPr>
            <w:tcW w:w="1134" w:type="dxa"/>
            <w:tcMar>
              <w:top w:w="0" w:type="dxa"/>
              <w:left w:w="28" w:type="dxa"/>
              <w:bottom w:w="0" w:type="dxa"/>
              <w:right w:w="28" w:type="dxa"/>
            </w:tcMar>
          </w:tcPr>
          <w:p w14:paraId="7C00997E"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0</w:t>
            </w:r>
            <w:r w:rsidR="009C5FE7">
              <w:rPr>
                <w:rFonts w:ascii="Garamond" w:hAnsi="Garamond" w:cs="Times New Roman"/>
                <w:b/>
                <w:sz w:val="28"/>
                <w:szCs w:val="28"/>
                <w:lang w:val="en-US"/>
              </w:rPr>
              <w:t>.</w:t>
            </w:r>
            <w:r w:rsidRPr="00DE789B">
              <w:rPr>
                <w:rFonts w:ascii="Garamond" w:hAnsi="Garamond" w:cs="Times New Roman"/>
                <w:b/>
                <w:sz w:val="28"/>
                <w:szCs w:val="28"/>
                <w:lang w:val="en-US"/>
              </w:rPr>
              <w:t>7</w:t>
            </w:r>
          </w:p>
        </w:tc>
        <w:tc>
          <w:tcPr>
            <w:tcW w:w="851" w:type="dxa"/>
            <w:tcMar>
              <w:top w:w="0" w:type="dxa"/>
              <w:left w:w="28" w:type="dxa"/>
              <w:bottom w:w="0" w:type="dxa"/>
              <w:right w:w="28" w:type="dxa"/>
            </w:tcMar>
          </w:tcPr>
          <w:p w14:paraId="3E0D68D1"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0</w:t>
            </w:r>
            <w:r w:rsidR="009C5FE7">
              <w:rPr>
                <w:rFonts w:ascii="Garamond" w:hAnsi="Garamond" w:cs="Times New Roman"/>
                <w:b/>
                <w:sz w:val="28"/>
                <w:szCs w:val="28"/>
                <w:lang w:val="en-US"/>
              </w:rPr>
              <w:t>.</w:t>
            </w:r>
            <w:r w:rsidRPr="00DE789B">
              <w:rPr>
                <w:rFonts w:ascii="Garamond" w:hAnsi="Garamond" w:cs="Times New Roman"/>
                <w:b/>
                <w:sz w:val="28"/>
                <w:szCs w:val="28"/>
                <w:lang w:val="en-US"/>
              </w:rPr>
              <w:t>4</w:t>
            </w:r>
          </w:p>
        </w:tc>
        <w:tc>
          <w:tcPr>
            <w:tcW w:w="920" w:type="dxa"/>
            <w:tcMar>
              <w:top w:w="0" w:type="dxa"/>
              <w:left w:w="28" w:type="dxa"/>
              <w:bottom w:w="0" w:type="dxa"/>
              <w:right w:w="28" w:type="dxa"/>
            </w:tcMar>
          </w:tcPr>
          <w:p w14:paraId="237ADEF0"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0</w:t>
            </w:r>
            <w:r w:rsidR="009C5FE7">
              <w:rPr>
                <w:rFonts w:ascii="Garamond" w:hAnsi="Garamond" w:cs="Times New Roman"/>
                <w:b/>
                <w:sz w:val="28"/>
                <w:szCs w:val="28"/>
                <w:lang w:val="en-US"/>
              </w:rPr>
              <w:t>.</w:t>
            </w:r>
            <w:r w:rsidRPr="00DE789B">
              <w:rPr>
                <w:rFonts w:ascii="Garamond" w:hAnsi="Garamond" w:cs="Times New Roman"/>
                <w:b/>
                <w:sz w:val="28"/>
                <w:szCs w:val="28"/>
                <w:lang w:val="en-US"/>
              </w:rPr>
              <w:t>4</w:t>
            </w:r>
          </w:p>
        </w:tc>
      </w:tr>
      <w:tr w:rsidR="003C51B1" w:rsidRPr="00DE789B" w14:paraId="352F6B73" w14:textId="77777777" w:rsidTr="00A068CB">
        <w:trPr>
          <w:trHeight w:val="20"/>
        </w:trPr>
        <w:tc>
          <w:tcPr>
            <w:tcW w:w="6790" w:type="dxa"/>
            <w:tcMar>
              <w:top w:w="0" w:type="dxa"/>
              <w:left w:w="28" w:type="dxa"/>
              <w:bottom w:w="0" w:type="dxa"/>
              <w:right w:w="28" w:type="dxa"/>
            </w:tcMar>
          </w:tcPr>
          <w:p w14:paraId="6A1AA828"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sz w:val="28"/>
                <w:szCs w:val="28"/>
                <w:lang w:val="en-US"/>
              </w:rPr>
              <w:t>Receipts from fixed capital disposal</w:t>
            </w:r>
          </w:p>
        </w:tc>
        <w:tc>
          <w:tcPr>
            <w:tcW w:w="1134" w:type="dxa"/>
            <w:tcMar>
              <w:top w:w="0" w:type="dxa"/>
              <w:left w:w="28" w:type="dxa"/>
              <w:bottom w:w="0" w:type="dxa"/>
              <w:right w:w="28" w:type="dxa"/>
            </w:tcMar>
          </w:tcPr>
          <w:p w14:paraId="1BB20610"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2</w:t>
            </w:r>
          </w:p>
        </w:tc>
        <w:tc>
          <w:tcPr>
            <w:tcW w:w="851" w:type="dxa"/>
            <w:tcMar>
              <w:top w:w="0" w:type="dxa"/>
              <w:left w:w="28" w:type="dxa"/>
              <w:bottom w:w="0" w:type="dxa"/>
              <w:right w:w="28" w:type="dxa"/>
            </w:tcMar>
          </w:tcPr>
          <w:p w14:paraId="179F4D23"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2</w:t>
            </w:r>
          </w:p>
        </w:tc>
        <w:tc>
          <w:tcPr>
            <w:tcW w:w="920" w:type="dxa"/>
            <w:tcMar>
              <w:top w:w="0" w:type="dxa"/>
              <w:left w:w="28" w:type="dxa"/>
              <w:bottom w:w="0" w:type="dxa"/>
              <w:right w:w="28" w:type="dxa"/>
            </w:tcMar>
          </w:tcPr>
          <w:p w14:paraId="555EE977"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1</w:t>
            </w:r>
          </w:p>
        </w:tc>
      </w:tr>
      <w:tr w:rsidR="003C51B1" w:rsidRPr="00DE789B" w14:paraId="3D0E0D5E" w14:textId="77777777" w:rsidTr="00A068CB">
        <w:trPr>
          <w:trHeight w:val="20"/>
        </w:trPr>
        <w:tc>
          <w:tcPr>
            <w:tcW w:w="6790" w:type="dxa"/>
            <w:tcMar>
              <w:top w:w="0" w:type="dxa"/>
              <w:left w:w="28" w:type="dxa"/>
              <w:bottom w:w="0" w:type="dxa"/>
              <w:right w:w="28" w:type="dxa"/>
            </w:tcMar>
          </w:tcPr>
          <w:p w14:paraId="7739DFDC"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sz w:val="28"/>
                <w:szCs w:val="28"/>
                <w:lang w:val="en-US"/>
              </w:rPr>
              <w:t>Receipts from disposal of the state inventories of goods</w:t>
            </w:r>
          </w:p>
        </w:tc>
        <w:tc>
          <w:tcPr>
            <w:tcW w:w="1134" w:type="dxa"/>
            <w:tcMar>
              <w:top w:w="0" w:type="dxa"/>
              <w:left w:w="28" w:type="dxa"/>
              <w:bottom w:w="0" w:type="dxa"/>
              <w:right w:w="28" w:type="dxa"/>
            </w:tcMar>
          </w:tcPr>
          <w:p w14:paraId="024DE6E6"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2</w:t>
            </w:r>
          </w:p>
        </w:tc>
        <w:tc>
          <w:tcPr>
            <w:tcW w:w="851" w:type="dxa"/>
            <w:tcMar>
              <w:top w:w="0" w:type="dxa"/>
              <w:left w:w="28" w:type="dxa"/>
              <w:bottom w:w="0" w:type="dxa"/>
              <w:right w:w="28" w:type="dxa"/>
            </w:tcMar>
          </w:tcPr>
          <w:p w14:paraId="019FAF4B"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04</w:t>
            </w:r>
          </w:p>
        </w:tc>
        <w:tc>
          <w:tcPr>
            <w:tcW w:w="920" w:type="dxa"/>
            <w:tcMar>
              <w:top w:w="0" w:type="dxa"/>
              <w:left w:w="28" w:type="dxa"/>
              <w:bottom w:w="0" w:type="dxa"/>
              <w:right w:w="28" w:type="dxa"/>
            </w:tcMar>
          </w:tcPr>
          <w:p w14:paraId="66148A64"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2</w:t>
            </w:r>
          </w:p>
        </w:tc>
      </w:tr>
      <w:tr w:rsidR="003C51B1" w:rsidRPr="00DE789B" w14:paraId="6AEAFB50" w14:textId="77777777" w:rsidTr="00A068CB">
        <w:trPr>
          <w:trHeight w:val="20"/>
        </w:trPr>
        <w:tc>
          <w:tcPr>
            <w:tcW w:w="6790" w:type="dxa"/>
            <w:tcMar>
              <w:top w:w="0" w:type="dxa"/>
              <w:left w:w="28" w:type="dxa"/>
              <w:bottom w:w="0" w:type="dxa"/>
              <w:right w:w="28" w:type="dxa"/>
            </w:tcMar>
          </w:tcPr>
          <w:p w14:paraId="5F239D39"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sz w:val="28"/>
                <w:szCs w:val="28"/>
                <w:lang w:val="en-US"/>
              </w:rPr>
              <w:t>Receipts from disposal of land and intangible assets</w:t>
            </w:r>
          </w:p>
        </w:tc>
        <w:tc>
          <w:tcPr>
            <w:tcW w:w="1134" w:type="dxa"/>
            <w:tcMar>
              <w:top w:w="0" w:type="dxa"/>
              <w:left w:w="28" w:type="dxa"/>
              <w:bottom w:w="0" w:type="dxa"/>
              <w:right w:w="28" w:type="dxa"/>
            </w:tcMar>
          </w:tcPr>
          <w:p w14:paraId="745377E2"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2</w:t>
            </w:r>
          </w:p>
        </w:tc>
        <w:tc>
          <w:tcPr>
            <w:tcW w:w="851" w:type="dxa"/>
            <w:tcMar>
              <w:top w:w="0" w:type="dxa"/>
              <w:left w:w="28" w:type="dxa"/>
              <w:bottom w:w="0" w:type="dxa"/>
              <w:right w:w="28" w:type="dxa"/>
            </w:tcMar>
          </w:tcPr>
          <w:p w14:paraId="412B13AF"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2</w:t>
            </w:r>
          </w:p>
        </w:tc>
        <w:tc>
          <w:tcPr>
            <w:tcW w:w="920" w:type="dxa"/>
            <w:tcMar>
              <w:top w:w="0" w:type="dxa"/>
              <w:left w:w="28" w:type="dxa"/>
              <w:bottom w:w="0" w:type="dxa"/>
              <w:right w:w="28" w:type="dxa"/>
            </w:tcMar>
          </w:tcPr>
          <w:p w14:paraId="2C9F00B5"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sz w:val="28"/>
                <w:szCs w:val="28"/>
                <w:lang w:val="en-US"/>
              </w:rPr>
              <w:t>0</w:t>
            </w:r>
            <w:r w:rsidR="009C5FE7">
              <w:rPr>
                <w:rFonts w:ascii="Garamond" w:hAnsi="Garamond" w:cs="Times New Roman"/>
                <w:sz w:val="28"/>
                <w:szCs w:val="28"/>
                <w:lang w:val="en-US"/>
              </w:rPr>
              <w:t>.</w:t>
            </w:r>
            <w:r w:rsidRPr="00DE789B">
              <w:rPr>
                <w:rFonts w:ascii="Garamond" w:hAnsi="Garamond" w:cs="Times New Roman"/>
                <w:sz w:val="28"/>
                <w:szCs w:val="28"/>
                <w:lang w:val="en-US"/>
              </w:rPr>
              <w:t>2</w:t>
            </w:r>
          </w:p>
        </w:tc>
      </w:tr>
      <w:tr w:rsidR="003C51B1" w:rsidRPr="00DE789B" w14:paraId="29FCF9C7" w14:textId="77777777" w:rsidTr="00A068CB">
        <w:trPr>
          <w:trHeight w:val="20"/>
        </w:trPr>
        <w:tc>
          <w:tcPr>
            <w:tcW w:w="6790" w:type="dxa"/>
            <w:tcMar>
              <w:top w:w="0" w:type="dxa"/>
              <w:left w:w="28" w:type="dxa"/>
              <w:bottom w:w="0" w:type="dxa"/>
              <w:right w:w="28" w:type="dxa"/>
            </w:tcMar>
          </w:tcPr>
          <w:p w14:paraId="53B82AEA" w14:textId="77777777" w:rsidR="003C51B1" w:rsidRPr="00DE789B" w:rsidRDefault="00A068CB" w:rsidP="00DE789B">
            <w:pPr>
              <w:widowControl w:val="0"/>
              <w:spacing w:line="240" w:lineRule="atLeast"/>
              <w:rPr>
                <w:rFonts w:ascii="Garamond" w:hAnsi="Garamond"/>
                <w:sz w:val="28"/>
                <w:szCs w:val="28"/>
                <w:lang w:val="en-US"/>
              </w:rPr>
            </w:pPr>
            <w:r>
              <w:rPr>
                <w:rFonts w:ascii="Garamond" w:hAnsi="Garamond" w:cs="Times New Roman"/>
                <w:b/>
                <w:sz w:val="28"/>
                <w:szCs w:val="28"/>
                <w:lang w:val="en-US"/>
              </w:rPr>
              <w:t>Revenues f</w:t>
            </w:r>
            <w:r w:rsidR="003C51B1" w:rsidRPr="00DE789B">
              <w:rPr>
                <w:rFonts w:ascii="Garamond" w:hAnsi="Garamond" w:cs="Times New Roman"/>
                <w:b/>
                <w:sz w:val="28"/>
                <w:szCs w:val="28"/>
                <w:lang w:val="en-US"/>
              </w:rPr>
              <w:t>rom foreign governments and international organizations</w:t>
            </w:r>
          </w:p>
        </w:tc>
        <w:tc>
          <w:tcPr>
            <w:tcW w:w="1134" w:type="dxa"/>
            <w:tcMar>
              <w:top w:w="0" w:type="dxa"/>
              <w:left w:w="28" w:type="dxa"/>
              <w:bottom w:w="0" w:type="dxa"/>
              <w:right w:w="28" w:type="dxa"/>
            </w:tcMar>
          </w:tcPr>
          <w:p w14:paraId="5B5340C7"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0</w:t>
            </w:r>
            <w:r w:rsidR="009C5FE7">
              <w:rPr>
                <w:rFonts w:ascii="Garamond" w:hAnsi="Garamond" w:cs="Times New Roman"/>
                <w:b/>
                <w:sz w:val="28"/>
                <w:szCs w:val="28"/>
                <w:lang w:val="en-US"/>
              </w:rPr>
              <w:t>.</w:t>
            </w:r>
            <w:r w:rsidRPr="00DE789B">
              <w:rPr>
                <w:rFonts w:ascii="Garamond" w:hAnsi="Garamond" w:cs="Times New Roman"/>
                <w:b/>
                <w:sz w:val="28"/>
                <w:szCs w:val="28"/>
                <w:lang w:val="en-US"/>
              </w:rPr>
              <w:t>1</w:t>
            </w:r>
          </w:p>
        </w:tc>
        <w:tc>
          <w:tcPr>
            <w:tcW w:w="851" w:type="dxa"/>
            <w:tcMar>
              <w:top w:w="0" w:type="dxa"/>
              <w:left w:w="28" w:type="dxa"/>
              <w:bottom w:w="0" w:type="dxa"/>
              <w:right w:w="28" w:type="dxa"/>
            </w:tcMar>
          </w:tcPr>
          <w:p w14:paraId="23E8F01B"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0</w:t>
            </w:r>
            <w:r w:rsidR="009C5FE7">
              <w:rPr>
                <w:rFonts w:ascii="Garamond" w:hAnsi="Garamond" w:cs="Times New Roman"/>
                <w:b/>
                <w:sz w:val="28"/>
                <w:szCs w:val="28"/>
                <w:lang w:val="en-US"/>
              </w:rPr>
              <w:t>.</w:t>
            </w:r>
            <w:r w:rsidRPr="00DE789B">
              <w:rPr>
                <w:rFonts w:ascii="Garamond" w:hAnsi="Garamond" w:cs="Times New Roman"/>
                <w:b/>
                <w:sz w:val="28"/>
                <w:szCs w:val="28"/>
                <w:lang w:val="en-US"/>
              </w:rPr>
              <w:t>3</w:t>
            </w:r>
          </w:p>
        </w:tc>
        <w:tc>
          <w:tcPr>
            <w:tcW w:w="920" w:type="dxa"/>
            <w:tcMar>
              <w:top w:w="0" w:type="dxa"/>
              <w:left w:w="28" w:type="dxa"/>
              <w:bottom w:w="0" w:type="dxa"/>
              <w:right w:w="28" w:type="dxa"/>
            </w:tcMar>
          </w:tcPr>
          <w:p w14:paraId="3A4FFF2B"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1</w:t>
            </w:r>
            <w:r w:rsidR="009C5FE7">
              <w:rPr>
                <w:rFonts w:ascii="Garamond" w:hAnsi="Garamond" w:cs="Times New Roman"/>
                <w:b/>
                <w:sz w:val="28"/>
                <w:szCs w:val="28"/>
                <w:lang w:val="en-US"/>
              </w:rPr>
              <w:t>.</w:t>
            </w:r>
            <w:r w:rsidRPr="00DE789B">
              <w:rPr>
                <w:rFonts w:ascii="Garamond" w:hAnsi="Garamond" w:cs="Times New Roman"/>
                <w:b/>
                <w:sz w:val="28"/>
                <w:szCs w:val="28"/>
                <w:lang w:val="en-US"/>
              </w:rPr>
              <w:t>2</w:t>
            </w:r>
          </w:p>
        </w:tc>
      </w:tr>
      <w:tr w:rsidR="003C51B1" w:rsidRPr="00DE789B" w14:paraId="3A28D71F" w14:textId="77777777" w:rsidTr="00A068CB">
        <w:trPr>
          <w:trHeight w:val="20"/>
        </w:trPr>
        <w:tc>
          <w:tcPr>
            <w:tcW w:w="6790" w:type="dxa"/>
            <w:tcMar>
              <w:top w:w="0" w:type="dxa"/>
              <w:left w:w="28" w:type="dxa"/>
              <w:bottom w:w="0" w:type="dxa"/>
              <w:right w:w="28" w:type="dxa"/>
            </w:tcMar>
          </w:tcPr>
          <w:p w14:paraId="69070302" w14:textId="77777777" w:rsidR="003C51B1" w:rsidRPr="00DE789B" w:rsidRDefault="003C51B1" w:rsidP="00DE789B">
            <w:pPr>
              <w:widowControl w:val="0"/>
              <w:spacing w:line="240" w:lineRule="atLeast"/>
              <w:rPr>
                <w:rFonts w:ascii="Garamond" w:hAnsi="Garamond"/>
                <w:sz w:val="28"/>
                <w:szCs w:val="28"/>
                <w:lang w:val="en-US"/>
              </w:rPr>
            </w:pPr>
            <w:r w:rsidRPr="00DE789B">
              <w:rPr>
                <w:rFonts w:ascii="Garamond" w:hAnsi="Garamond" w:cs="Times New Roman"/>
                <w:b/>
                <w:sz w:val="28"/>
                <w:szCs w:val="28"/>
                <w:lang w:val="en-US"/>
              </w:rPr>
              <w:t>Special funds</w:t>
            </w:r>
          </w:p>
        </w:tc>
        <w:tc>
          <w:tcPr>
            <w:tcW w:w="1134" w:type="dxa"/>
            <w:tcMar>
              <w:top w:w="0" w:type="dxa"/>
              <w:left w:w="28" w:type="dxa"/>
              <w:bottom w:w="0" w:type="dxa"/>
              <w:right w:w="28" w:type="dxa"/>
            </w:tcMar>
          </w:tcPr>
          <w:p w14:paraId="4D0B5B03"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0</w:t>
            </w:r>
            <w:r w:rsidR="009C5FE7">
              <w:rPr>
                <w:rFonts w:ascii="Garamond" w:hAnsi="Garamond" w:cs="Times New Roman"/>
                <w:b/>
                <w:sz w:val="28"/>
                <w:szCs w:val="28"/>
                <w:lang w:val="en-US"/>
              </w:rPr>
              <w:t>.</w:t>
            </w:r>
            <w:r w:rsidRPr="00DE789B">
              <w:rPr>
                <w:rFonts w:ascii="Garamond" w:hAnsi="Garamond" w:cs="Times New Roman"/>
                <w:b/>
                <w:sz w:val="28"/>
                <w:szCs w:val="28"/>
                <w:lang w:val="en-US"/>
              </w:rPr>
              <w:t>2</w:t>
            </w:r>
          </w:p>
        </w:tc>
        <w:tc>
          <w:tcPr>
            <w:tcW w:w="851" w:type="dxa"/>
            <w:tcMar>
              <w:top w:w="0" w:type="dxa"/>
              <w:left w:w="28" w:type="dxa"/>
              <w:bottom w:w="0" w:type="dxa"/>
              <w:right w:w="28" w:type="dxa"/>
            </w:tcMar>
          </w:tcPr>
          <w:p w14:paraId="47AF6286"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0</w:t>
            </w:r>
            <w:r w:rsidR="009C5FE7">
              <w:rPr>
                <w:rFonts w:ascii="Garamond" w:hAnsi="Garamond" w:cs="Times New Roman"/>
                <w:b/>
                <w:sz w:val="28"/>
                <w:szCs w:val="28"/>
                <w:lang w:val="en-US"/>
              </w:rPr>
              <w:t>.</w:t>
            </w:r>
            <w:r w:rsidRPr="00DE789B">
              <w:rPr>
                <w:rFonts w:ascii="Garamond" w:hAnsi="Garamond" w:cs="Times New Roman"/>
                <w:b/>
                <w:sz w:val="28"/>
                <w:szCs w:val="28"/>
                <w:lang w:val="en-US"/>
              </w:rPr>
              <w:t>2</w:t>
            </w:r>
          </w:p>
        </w:tc>
        <w:tc>
          <w:tcPr>
            <w:tcW w:w="920" w:type="dxa"/>
            <w:tcMar>
              <w:top w:w="0" w:type="dxa"/>
              <w:left w:w="28" w:type="dxa"/>
              <w:bottom w:w="0" w:type="dxa"/>
              <w:right w:w="28" w:type="dxa"/>
            </w:tcMar>
          </w:tcPr>
          <w:p w14:paraId="2E637FC1" w14:textId="77777777" w:rsidR="003C51B1" w:rsidRPr="00DE789B" w:rsidRDefault="003C51B1" w:rsidP="00DE789B">
            <w:pPr>
              <w:widowControl w:val="0"/>
              <w:spacing w:line="240" w:lineRule="atLeast"/>
              <w:jc w:val="center"/>
              <w:rPr>
                <w:rFonts w:ascii="Garamond" w:hAnsi="Garamond"/>
                <w:sz w:val="28"/>
                <w:szCs w:val="28"/>
                <w:lang w:val="en-US"/>
              </w:rPr>
            </w:pPr>
            <w:r w:rsidRPr="00DE789B">
              <w:rPr>
                <w:rFonts w:ascii="Garamond" w:hAnsi="Garamond" w:cs="Times New Roman"/>
                <w:b/>
                <w:sz w:val="28"/>
                <w:szCs w:val="28"/>
                <w:lang w:val="en-US"/>
              </w:rPr>
              <w:t>0</w:t>
            </w:r>
            <w:r w:rsidR="009C5FE7">
              <w:rPr>
                <w:rFonts w:ascii="Garamond" w:hAnsi="Garamond" w:cs="Times New Roman"/>
                <w:b/>
                <w:sz w:val="28"/>
                <w:szCs w:val="28"/>
                <w:lang w:val="en-US"/>
              </w:rPr>
              <w:t>.</w:t>
            </w:r>
            <w:r w:rsidRPr="00DE789B">
              <w:rPr>
                <w:rFonts w:ascii="Garamond" w:hAnsi="Garamond" w:cs="Times New Roman"/>
                <w:b/>
                <w:sz w:val="28"/>
                <w:szCs w:val="28"/>
                <w:lang w:val="en-US"/>
              </w:rPr>
              <w:t>1</w:t>
            </w:r>
          </w:p>
        </w:tc>
      </w:tr>
    </w:tbl>
    <w:p w14:paraId="4BD18917" w14:textId="77777777" w:rsidR="00BE42A0" w:rsidRPr="00AA55B8" w:rsidRDefault="00BE42A0" w:rsidP="0073536E">
      <w:pPr>
        <w:spacing w:line="312" w:lineRule="auto"/>
        <w:ind w:firstLine="709"/>
        <w:jc w:val="both"/>
        <w:rPr>
          <w:sz w:val="28"/>
          <w:szCs w:val="28"/>
          <w:lang w:val="en-GB"/>
        </w:rPr>
      </w:pPr>
      <w:r w:rsidRPr="0057576F">
        <w:rPr>
          <w:b/>
          <w:sz w:val="28"/>
          <w:szCs w:val="28"/>
          <w:lang w:val="en-GB"/>
        </w:rPr>
        <w:lastRenderedPageBreak/>
        <w:t>Budget expenses</w:t>
      </w:r>
      <w:r w:rsidRPr="00AA55B8">
        <w:rPr>
          <w:sz w:val="28"/>
          <w:szCs w:val="28"/>
          <w:lang w:val="en-GB"/>
        </w:rPr>
        <w:t xml:space="preserve"> are funds utilized for the implementation of programs and measures included in the respective budget, loans granted from the budget, debt repayment and transfer of budget funds to deposit accounts as well as the purchase of stocks. </w:t>
      </w:r>
      <w:r w:rsidRPr="0057576F">
        <w:rPr>
          <w:b/>
          <w:sz w:val="28"/>
          <w:szCs w:val="28"/>
          <w:lang w:val="en-GB"/>
        </w:rPr>
        <w:t>State expenditure</w:t>
      </w:r>
      <w:r w:rsidRPr="00AA55B8">
        <w:rPr>
          <w:sz w:val="28"/>
          <w:szCs w:val="28"/>
          <w:lang w:val="en-GB"/>
        </w:rPr>
        <w:t xml:space="preserve"> includes all government consumption, investment, and transfer payments. In national income accounting</w:t>
      </w:r>
      <w:r w:rsidR="00AC1FA9">
        <w:rPr>
          <w:sz w:val="28"/>
          <w:szCs w:val="28"/>
          <w:lang w:val="en-GB"/>
        </w:rPr>
        <w:t>, the acquisition by governments</w:t>
      </w:r>
      <w:r w:rsidRPr="00AA55B8">
        <w:rPr>
          <w:sz w:val="28"/>
          <w:szCs w:val="28"/>
          <w:lang w:val="en-GB"/>
        </w:rPr>
        <w:t xml:space="preserve"> of goods and services for current use, to directly satisfy the individual or collective needs of the community, is classed as government final consumption expenditure. Government acquisition of goods and services intended to create future benefits, such as infrastructure investment or research spending, is classed as government investment (government gross capital formation). These </w:t>
      </w:r>
      <w:r w:rsidRPr="0057576F">
        <w:rPr>
          <w:b/>
          <w:sz w:val="28"/>
          <w:szCs w:val="28"/>
          <w:lang w:val="en-GB"/>
        </w:rPr>
        <w:t>two types of government spending</w:t>
      </w:r>
      <w:r w:rsidRPr="00AA55B8">
        <w:rPr>
          <w:sz w:val="28"/>
          <w:szCs w:val="28"/>
          <w:lang w:val="en-GB"/>
        </w:rPr>
        <w:t xml:space="preserve">, on final consumption and on a gross capital formation, together constitute one of the major components of a gross domestic product. </w:t>
      </w:r>
      <w:r w:rsidR="00C55564" w:rsidRPr="00C55564">
        <w:rPr>
          <w:sz w:val="28"/>
          <w:szCs w:val="28"/>
          <w:lang w:val="en-GB"/>
        </w:rPr>
        <w:t>Consolidated budget expenditure structure of Ukraine</w:t>
      </w:r>
      <w:r w:rsidR="00C55564">
        <w:rPr>
          <w:sz w:val="28"/>
          <w:szCs w:val="28"/>
          <w:lang w:val="en-GB"/>
        </w:rPr>
        <w:t xml:space="preserve"> </w:t>
      </w:r>
      <w:r w:rsidR="00AC1FA9">
        <w:rPr>
          <w:sz w:val="28"/>
          <w:szCs w:val="28"/>
          <w:lang w:val="en-GB"/>
        </w:rPr>
        <w:t xml:space="preserve">is </w:t>
      </w:r>
      <w:r w:rsidR="00C55564">
        <w:rPr>
          <w:sz w:val="28"/>
          <w:szCs w:val="28"/>
          <w:lang w:val="en-GB"/>
        </w:rPr>
        <w:t xml:space="preserve">shown in </w:t>
      </w:r>
      <w:r w:rsidR="00AC1FA9">
        <w:rPr>
          <w:sz w:val="28"/>
          <w:szCs w:val="28"/>
          <w:lang w:val="en-GB"/>
        </w:rPr>
        <w:t>T</w:t>
      </w:r>
      <w:r w:rsidR="00C55564">
        <w:rPr>
          <w:sz w:val="28"/>
          <w:szCs w:val="28"/>
          <w:lang w:val="en-GB"/>
        </w:rPr>
        <w:t>able 5.3.</w:t>
      </w:r>
    </w:p>
    <w:p w14:paraId="40852679" w14:textId="77777777" w:rsidR="0057576F" w:rsidRPr="0057576F" w:rsidRDefault="0057576F" w:rsidP="0073536E">
      <w:pPr>
        <w:spacing w:line="312" w:lineRule="auto"/>
        <w:ind w:firstLine="709"/>
        <w:jc w:val="both"/>
        <w:rPr>
          <w:sz w:val="28"/>
          <w:szCs w:val="28"/>
          <w:lang w:val="en-GB"/>
        </w:rPr>
      </w:pPr>
    </w:p>
    <w:p w14:paraId="4F21D81B" w14:textId="77777777" w:rsidR="00BE42A0" w:rsidRPr="0057576F" w:rsidRDefault="0057576F" w:rsidP="009D094B">
      <w:pPr>
        <w:spacing w:line="312" w:lineRule="auto"/>
        <w:rPr>
          <w:b/>
          <w:sz w:val="28"/>
          <w:szCs w:val="28"/>
          <w:lang w:val="en-GB"/>
        </w:rPr>
      </w:pPr>
      <w:r w:rsidRPr="0057576F">
        <w:rPr>
          <w:b/>
          <w:sz w:val="28"/>
          <w:szCs w:val="28"/>
          <w:lang w:val="en-GB"/>
        </w:rPr>
        <w:t>Table 5.3</w:t>
      </w:r>
      <w:r w:rsidR="0073536E">
        <w:rPr>
          <w:b/>
          <w:sz w:val="28"/>
          <w:szCs w:val="28"/>
          <w:lang w:val="en-GB"/>
        </w:rPr>
        <w:t xml:space="preserve"> – </w:t>
      </w:r>
      <w:r w:rsidR="00BE42A0" w:rsidRPr="0057576F">
        <w:rPr>
          <w:b/>
          <w:sz w:val="28"/>
          <w:szCs w:val="28"/>
          <w:lang w:val="en-GB"/>
        </w:rPr>
        <w:t>Consolidated budget expenditure structure of Ukraine</w:t>
      </w:r>
      <w:r w:rsidR="0073536E">
        <w:rPr>
          <w:b/>
          <w:sz w:val="28"/>
          <w:szCs w:val="28"/>
          <w:lang w:val="en-GB"/>
        </w:rPr>
        <w:t xml:space="preserve">, </w:t>
      </w:r>
      <w:r w:rsidR="00BE42A0" w:rsidRPr="0057576F">
        <w:rPr>
          <w:b/>
          <w:sz w:val="28"/>
          <w:szCs w:val="28"/>
          <w:lang w:val="en-GB"/>
        </w:rPr>
        <w:t>percent</w:t>
      </w:r>
    </w:p>
    <w:tbl>
      <w:tblPr>
        <w:tblStyle w:val="Table2"/>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5273"/>
        <w:gridCol w:w="1400"/>
        <w:gridCol w:w="1432"/>
        <w:gridCol w:w="1352"/>
      </w:tblGrid>
      <w:tr w:rsidR="0057576F" w:rsidRPr="0057576F" w14:paraId="20916351" w14:textId="77777777" w:rsidTr="0057576F">
        <w:tc>
          <w:tcPr>
            <w:tcW w:w="2788" w:type="pct"/>
            <w:vMerge w:val="restart"/>
            <w:shd w:val="clear" w:color="auto" w:fill="D9D9D9" w:themeFill="background1" w:themeFillShade="D9"/>
            <w:tcMar>
              <w:top w:w="0" w:type="dxa"/>
              <w:left w:w="28" w:type="dxa"/>
              <w:bottom w:w="28" w:type="dxa"/>
              <w:right w:w="28" w:type="dxa"/>
            </w:tcMar>
            <w:vAlign w:val="bottom"/>
          </w:tcPr>
          <w:p w14:paraId="606C7014" w14:textId="77777777" w:rsidR="0057576F" w:rsidRPr="009D094B" w:rsidRDefault="0057576F" w:rsidP="0057576F">
            <w:pPr>
              <w:widowControl w:val="0"/>
              <w:jc w:val="center"/>
              <w:rPr>
                <w:sz w:val="28"/>
                <w:szCs w:val="28"/>
                <w:lang w:val="en-GB"/>
              </w:rPr>
            </w:pPr>
          </w:p>
        </w:tc>
        <w:tc>
          <w:tcPr>
            <w:tcW w:w="2212" w:type="pct"/>
            <w:gridSpan w:val="3"/>
            <w:shd w:val="clear" w:color="auto" w:fill="D9D9D9" w:themeFill="background1" w:themeFillShade="D9"/>
            <w:tcMar>
              <w:top w:w="0" w:type="dxa"/>
              <w:left w:w="28" w:type="dxa"/>
              <w:bottom w:w="28" w:type="dxa"/>
              <w:right w:w="28" w:type="dxa"/>
            </w:tcMar>
            <w:vAlign w:val="bottom"/>
          </w:tcPr>
          <w:p w14:paraId="3B149B2A" w14:textId="77777777" w:rsidR="0057576F" w:rsidRPr="0057576F" w:rsidRDefault="0057576F" w:rsidP="0057576F">
            <w:pPr>
              <w:jc w:val="center"/>
              <w:rPr>
                <w:rFonts w:ascii="Garamond" w:hAnsi="Garamond" w:cs="Times New Roman"/>
                <w:sz w:val="28"/>
                <w:szCs w:val="28"/>
                <w:lang w:val="en-US"/>
              </w:rPr>
            </w:pPr>
            <w:r w:rsidRPr="0057576F">
              <w:rPr>
                <w:rFonts w:ascii="Garamond" w:hAnsi="Garamond" w:cs="Times New Roman"/>
                <w:sz w:val="28"/>
                <w:szCs w:val="28"/>
                <w:lang w:val="en-US"/>
              </w:rPr>
              <w:t>Year</w:t>
            </w:r>
          </w:p>
        </w:tc>
      </w:tr>
      <w:tr w:rsidR="0057576F" w:rsidRPr="0057576F" w14:paraId="3DCA411B" w14:textId="77777777" w:rsidTr="0057576F">
        <w:tc>
          <w:tcPr>
            <w:tcW w:w="2788" w:type="pct"/>
            <w:vMerge/>
            <w:shd w:val="clear" w:color="auto" w:fill="D9D9D9" w:themeFill="background1" w:themeFillShade="D9"/>
            <w:tcMar>
              <w:top w:w="0" w:type="dxa"/>
              <w:left w:w="28" w:type="dxa"/>
              <w:bottom w:w="28" w:type="dxa"/>
              <w:right w:w="28" w:type="dxa"/>
            </w:tcMar>
            <w:vAlign w:val="bottom"/>
          </w:tcPr>
          <w:p w14:paraId="049BD1BA" w14:textId="77777777" w:rsidR="0057576F" w:rsidRPr="0057576F" w:rsidRDefault="0057576F" w:rsidP="0057576F">
            <w:pPr>
              <w:widowControl w:val="0"/>
              <w:jc w:val="center"/>
              <w:rPr>
                <w:rFonts w:ascii="Garamond" w:hAnsi="Garamond"/>
                <w:sz w:val="28"/>
                <w:szCs w:val="28"/>
                <w:lang w:val="en-US"/>
              </w:rPr>
            </w:pPr>
          </w:p>
        </w:tc>
        <w:tc>
          <w:tcPr>
            <w:tcW w:w="740" w:type="pct"/>
            <w:shd w:val="clear" w:color="auto" w:fill="D9D9D9" w:themeFill="background1" w:themeFillShade="D9"/>
            <w:tcMar>
              <w:top w:w="0" w:type="dxa"/>
              <w:left w:w="28" w:type="dxa"/>
              <w:bottom w:w="28" w:type="dxa"/>
              <w:right w:w="28" w:type="dxa"/>
            </w:tcMar>
            <w:vAlign w:val="bottom"/>
          </w:tcPr>
          <w:p w14:paraId="68C981FE" w14:textId="77777777" w:rsidR="0057576F" w:rsidRPr="0057576F" w:rsidRDefault="0057576F" w:rsidP="0057576F">
            <w:pPr>
              <w:jc w:val="center"/>
              <w:rPr>
                <w:rFonts w:ascii="Garamond" w:hAnsi="Garamond" w:cs="Times New Roman"/>
                <w:sz w:val="28"/>
                <w:szCs w:val="28"/>
                <w:lang w:val="en-US"/>
              </w:rPr>
            </w:pPr>
            <w:r w:rsidRPr="0057576F">
              <w:rPr>
                <w:rFonts w:ascii="Garamond" w:hAnsi="Garamond" w:cs="Times New Roman"/>
                <w:sz w:val="28"/>
                <w:szCs w:val="28"/>
                <w:lang w:val="en-US"/>
              </w:rPr>
              <w:t>2012</w:t>
            </w:r>
          </w:p>
        </w:tc>
        <w:tc>
          <w:tcPr>
            <w:tcW w:w="757" w:type="pct"/>
            <w:shd w:val="clear" w:color="auto" w:fill="D9D9D9" w:themeFill="background1" w:themeFillShade="D9"/>
            <w:tcMar>
              <w:top w:w="0" w:type="dxa"/>
              <w:left w:w="28" w:type="dxa"/>
              <w:bottom w:w="28" w:type="dxa"/>
              <w:right w:w="28" w:type="dxa"/>
            </w:tcMar>
            <w:vAlign w:val="bottom"/>
          </w:tcPr>
          <w:p w14:paraId="158CDAAC" w14:textId="77777777" w:rsidR="0057576F" w:rsidRPr="0057576F" w:rsidRDefault="0057576F" w:rsidP="0057576F">
            <w:pPr>
              <w:jc w:val="center"/>
              <w:rPr>
                <w:rFonts w:ascii="Garamond" w:hAnsi="Garamond" w:cs="Times New Roman"/>
                <w:sz w:val="28"/>
                <w:szCs w:val="28"/>
                <w:lang w:val="en-US"/>
              </w:rPr>
            </w:pPr>
            <w:r w:rsidRPr="0057576F">
              <w:rPr>
                <w:rFonts w:ascii="Garamond" w:hAnsi="Garamond" w:cs="Times New Roman"/>
                <w:sz w:val="28"/>
                <w:szCs w:val="28"/>
                <w:lang w:val="en-US"/>
              </w:rPr>
              <w:t>2013</w:t>
            </w:r>
          </w:p>
        </w:tc>
        <w:tc>
          <w:tcPr>
            <w:tcW w:w="715" w:type="pct"/>
            <w:shd w:val="clear" w:color="auto" w:fill="D9D9D9" w:themeFill="background1" w:themeFillShade="D9"/>
            <w:tcMar>
              <w:top w:w="0" w:type="dxa"/>
              <w:left w:w="28" w:type="dxa"/>
              <w:bottom w:w="28" w:type="dxa"/>
              <w:right w:w="28" w:type="dxa"/>
            </w:tcMar>
            <w:vAlign w:val="bottom"/>
          </w:tcPr>
          <w:p w14:paraId="57ADB374" w14:textId="77777777" w:rsidR="0057576F" w:rsidRPr="0057576F" w:rsidRDefault="0057576F" w:rsidP="0057576F">
            <w:pPr>
              <w:jc w:val="center"/>
              <w:rPr>
                <w:rFonts w:ascii="Garamond" w:hAnsi="Garamond" w:cs="Times New Roman"/>
                <w:sz w:val="28"/>
                <w:szCs w:val="28"/>
                <w:lang w:val="en-US"/>
              </w:rPr>
            </w:pPr>
            <w:r w:rsidRPr="0057576F">
              <w:rPr>
                <w:rFonts w:ascii="Garamond" w:hAnsi="Garamond" w:cs="Times New Roman"/>
                <w:sz w:val="28"/>
                <w:szCs w:val="28"/>
                <w:lang w:val="en-US"/>
              </w:rPr>
              <w:t>2014</w:t>
            </w:r>
          </w:p>
        </w:tc>
      </w:tr>
      <w:tr w:rsidR="003C51B1" w:rsidRPr="0057576F" w14:paraId="4A69C2B7" w14:textId="77777777" w:rsidTr="0057576F">
        <w:tc>
          <w:tcPr>
            <w:tcW w:w="2788" w:type="pct"/>
            <w:tcMar>
              <w:top w:w="0" w:type="dxa"/>
              <w:left w:w="28" w:type="dxa"/>
              <w:bottom w:w="28" w:type="dxa"/>
              <w:right w:w="28" w:type="dxa"/>
            </w:tcMar>
          </w:tcPr>
          <w:p w14:paraId="13308C17"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b/>
                <w:sz w:val="28"/>
                <w:szCs w:val="28"/>
                <w:lang w:val="en-US"/>
              </w:rPr>
              <w:t>Total expenditure</w:t>
            </w:r>
          </w:p>
        </w:tc>
        <w:tc>
          <w:tcPr>
            <w:tcW w:w="740" w:type="pct"/>
            <w:tcMar>
              <w:top w:w="0" w:type="dxa"/>
              <w:left w:w="28" w:type="dxa"/>
              <w:bottom w:w="28" w:type="dxa"/>
              <w:right w:w="28" w:type="dxa"/>
            </w:tcMar>
          </w:tcPr>
          <w:p w14:paraId="487B1BAE"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b/>
                <w:sz w:val="28"/>
                <w:szCs w:val="28"/>
                <w:lang w:val="en-US"/>
              </w:rPr>
              <w:t>100</w:t>
            </w:r>
          </w:p>
        </w:tc>
        <w:tc>
          <w:tcPr>
            <w:tcW w:w="757" w:type="pct"/>
            <w:tcMar>
              <w:top w:w="0" w:type="dxa"/>
              <w:left w:w="28" w:type="dxa"/>
              <w:bottom w:w="28" w:type="dxa"/>
              <w:right w:w="28" w:type="dxa"/>
            </w:tcMar>
          </w:tcPr>
          <w:p w14:paraId="35E1CD6F"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b/>
                <w:sz w:val="28"/>
                <w:szCs w:val="28"/>
                <w:lang w:val="en-US"/>
              </w:rPr>
              <w:t>100</w:t>
            </w:r>
          </w:p>
        </w:tc>
        <w:tc>
          <w:tcPr>
            <w:tcW w:w="715" w:type="pct"/>
            <w:tcMar>
              <w:top w:w="0" w:type="dxa"/>
              <w:left w:w="28" w:type="dxa"/>
              <w:bottom w:w="28" w:type="dxa"/>
              <w:right w:w="28" w:type="dxa"/>
            </w:tcMar>
          </w:tcPr>
          <w:p w14:paraId="3292F264"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b/>
                <w:sz w:val="28"/>
                <w:szCs w:val="28"/>
                <w:lang w:val="en-US"/>
              </w:rPr>
              <w:t>100</w:t>
            </w:r>
          </w:p>
        </w:tc>
      </w:tr>
      <w:tr w:rsidR="003C51B1" w:rsidRPr="0057576F" w14:paraId="103153A3" w14:textId="77777777" w:rsidTr="0057576F">
        <w:tc>
          <w:tcPr>
            <w:tcW w:w="2788" w:type="pct"/>
            <w:tcMar>
              <w:top w:w="0" w:type="dxa"/>
              <w:left w:w="28" w:type="dxa"/>
              <w:bottom w:w="28" w:type="dxa"/>
              <w:right w:w="28" w:type="dxa"/>
            </w:tcMar>
          </w:tcPr>
          <w:p w14:paraId="565FBEE5"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sz w:val="28"/>
                <w:szCs w:val="28"/>
                <w:lang w:val="en-US"/>
              </w:rPr>
              <w:t>General public services</w:t>
            </w:r>
          </w:p>
        </w:tc>
        <w:tc>
          <w:tcPr>
            <w:tcW w:w="740" w:type="pct"/>
            <w:tcMar>
              <w:top w:w="0" w:type="dxa"/>
              <w:left w:w="28" w:type="dxa"/>
              <w:bottom w:w="28" w:type="dxa"/>
              <w:right w:w="28" w:type="dxa"/>
            </w:tcMar>
          </w:tcPr>
          <w:p w14:paraId="322B3DEB"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11</w:t>
            </w:r>
            <w:r w:rsidR="009C5FE7">
              <w:rPr>
                <w:rFonts w:ascii="Garamond" w:hAnsi="Garamond" w:cs="Times New Roman"/>
                <w:sz w:val="28"/>
                <w:szCs w:val="28"/>
                <w:lang w:val="en-US"/>
              </w:rPr>
              <w:t>.</w:t>
            </w:r>
            <w:r w:rsidRPr="0057576F">
              <w:rPr>
                <w:rFonts w:ascii="Garamond" w:hAnsi="Garamond" w:cs="Times New Roman"/>
                <w:sz w:val="28"/>
                <w:szCs w:val="28"/>
                <w:lang w:val="en-US"/>
              </w:rPr>
              <w:t>1</w:t>
            </w:r>
          </w:p>
        </w:tc>
        <w:tc>
          <w:tcPr>
            <w:tcW w:w="757" w:type="pct"/>
            <w:tcMar>
              <w:top w:w="0" w:type="dxa"/>
              <w:left w:w="28" w:type="dxa"/>
              <w:bottom w:w="28" w:type="dxa"/>
              <w:right w:w="28" w:type="dxa"/>
            </w:tcMar>
          </w:tcPr>
          <w:p w14:paraId="3FF33B56"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12</w:t>
            </w:r>
            <w:r w:rsidR="009C5FE7">
              <w:rPr>
                <w:rFonts w:ascii="Garamond" w:hAnsi="Garamond" w:cs="Times New Roman"/>
                <w:sz w:val="28"/>
                <w:szCs w:val="28"/>
                <w:lang w:val="en-US"/>
              </w:rPr>
              <w:t>.</w:t>
            </w:r>
            <w:r w:rsidRPr="0057576F">
              <w:rPr>
                <w:rFonts w:ascii="Garamond" w:hAnsi="Garamond" w:cs="Times New Roman"/>
                <w:sz w:val="28"/>
                <w:szCs w:val="28"/>
                <w:lang w:val="en-US"/>
              </w:rPr>
              <w:t>2</w:t>
            </w:r>
          </w:p>
        </w:tc>
        <w:tc>
          <w:tcPr>
            <w:tcW w:w="715" w:type="pct"/>
            <w:tcMar>
              <w:top w:w="0" w:type="dxa"/>
              <w:left w:w="28" w:type="dxa"/>
              <w:bottom w:w="28" w:type="dxa"/>
              <w:right w:w="28" w:type="dxa"/>
            </w:tcMar>
          </w:tcPr>
          <w:p w14:paraId="71381959"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14</w:t>
            </w:r>
            <w:r w:rsidR="009C5FE7">
              <w:rPr>
                <w:rFonts w:ascii="Garamond" w:hAnsi="Garamond" w:cs="Times New Roman"/>
                <w:sz w:val="28"/>
                <w:szCs w:val="28"/>
                <w:lang w:val="en-US"/>
              </w:rPr>
              <w:t>.</w:t>
            </w:r>
            <w:r w:rsidRPr="0057576F">
              <w:rPr>
                <w:rFonts w:ascii="Garamond" w:hAnsi="Garamond" w:cs="Times New Roman"/>
                <w:sz w:val="28"/>
                <w:szCs w:val="28"/>
                <w:lang w:val="en-US"/>
              </w:rPr>
              <w:t>7</w:t>
            </w:r>
          </w:p>
        </w:tc>
      </w:tr>
      <w:tr w:rsidR="003C51B1" w:rsidRPr="0057576F" w14:paraId="4EC5BFAE" w14:textId="77777777" w:rsidTr="0057576F">
        <w:tc>
          <w:tcPr>
            <w:tcW w:w="2788" w:type="pct"/>
            <w:tcMar>
              <w:top w:w="0" w:type="dxa"/>
              <w:left w:w="28" w:type="dxa"/>
              <w:bottom w:w="28" w:type="dxa"/>
              <w:right w:w="28" w:type="dxa"/>
            </w:tcMar>
          </w:tcPr>
          <w:p w14:paraId="4F6241B2" w14:textId="77777777" w:rsidR="003C51B1" w:rsidRPr="0057576F" w:rsidRDefault="0057576F" w:rsidP="003C51B1">
            <w:pPr>
              <w:widowControl w:val="0"/>
              <w:rPr>
                <w:rFonts w:ascii="Garamond" w:hAnsi="Garamond"/>
                <w:sz w:val="28"/>
                <w:szCs w:val="28"/>
                <w:lang w:val="en-US"/>
              </w:rPr>
            </w:pPr>
            <w:r w:rsidRPr="0057576F">
              <w:rPr>
                <w:rFonts w:ascii="Garamond" w:hAnsi="Garamond" w:cs="Times New Roman"/>
                <w:sz w:val="28"/>
                <w:szCs w:val="28"/>
                <w:lang w:val="en-US"/>
              </w:rPr>
              <w:t>Defense</w:t>
            </w:r>
          </w:p>
        </w:tc>
        <w:tc>
          <w:tcPr>
            <w:tcW w:w="740" w:type="pct"/>
            <w:tcMar>
              <w:top w:w="0" w:type="dxa"/>
              <w:left w:w="28" w:type="dxa"/>
              <w:bottom w:w="28" w:type="dxa"/>
              <w:right w:w="28" w:type="dxa"/>
            </w:tcMar>
          </w:tcPr>
          <w:p w14:paraId="077F2D53"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w:t>
            </w:r>
            <w:r w:rsidR="009C5FE7">
              <w:rPr>
                <w:rFonts w:ascii="Garamond" w:hAnsi="Garamond" w:cs="Times New Roman"/>
                <w:sz w:val="28"/>
                <w:szCs w:val="28"/>
                <w:lang w:val="en-US"/>
              </w:rPr>
              <w:t>.</w:t>
            </w:r>
            <w:r w:rsidRPr="0057576F">
              <w:rPr>
                <w:rFonts w:ascii="Garamond" w:hAnsi="Garamond" w:cs="Times New Roman"/>
                <w:sz w:val="28"/>
                <w:szCs w:val="28"/>
                <w:lang w:val="en-US"/>
              </w:rPr>
              <w:t>9</w:t>
            </w:r>
          </w:p>
        </w:tc>
        <w:tc>
          <w:tcPr>
            <w:tcW w:w="757" w:type="pct"/>
            <w:tcMar>
              <w:top w:w="0" w:type="dxa"/>
              <w:left w:w="28" w:type="dxa"/>
              <w:bottom w:w="28" w:type="dxa"/>
              <w:right w:w="28" w:type="dxa"/>
            </w:tcMar>
          </w:tcPr>
          <w:p w14:paraId="34FA6C98"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w:t>
            </w:r>
            <w:r w:rsidR="009C5FE7">
              <w:rPr>
                <w:rFonts w:ascii="Garamond" w:hAnsi="Garamond" w:cs="Times New Roman"/>
                <w:sz w:val="28"/>
                <w:szCs w:val="28"/>
                <w:lang w:val="en-US"/>
              </w:rPr>
              <w:t>.</w:t>
            </w:r>
            <w:r w:rsidRPr="0057576F">
              <w:rPr>
                <w:rFonts w:ascii="Garamond" w:hAnsi="Garamond" w:cs="Times New Roman"/>
                <w:sz w:val="28"/>
                <w:szCs w:val="28"/>
                <w:lang w:val="en-US"/>
              </w:rPr>
              <w:t>9</w:t>
            </w:r>
          </w:p>
        </w:tc>
        <w:tc>
          <w:tcPr>
            <w:tcW w:w="715" w:type="pct"/>
            <w:tcMar>
              <w:top w:w="0" w:type="dxa"/>
              <w:left w:w="28" w:type="dxa"/>
              <w:bottom w:w="28" w:type="dxa"/>
              <w:right w:w="28" w:type="dxa"/>
            </w:tcMar>
          </w:tcPr>
          <w:p w14:paraId="0624D9D7"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5</w:t>
            </w:r>
            <w:r w:rsidR="009C5FE7">
              <w:rPr>
                <w:rFonts w:ascii="Garamond" w:hAnsi="Garamond" w:cs="Times New Roman"/>
                <w:sz w:val="28"/>
                <w:szCs w:val="28"/>
                <w:lang w:val="en-US"/>
              </w:rPr>
              <w:t>.</w:t>
            </w:r>
            <w:r w:rsidRPr="0057576F">
              <w:rPr>
                <w:rFonts w:ascii="Garamond" w:hAnsi="Garamond" w:cs="Times New Roman"/>
                <w:sz w:val="28"/>
                <w:szCs w:val="28"/>
                <w:lang w:val="en-US"/>
              </w:rPr>
              <w:t>2</w:t>
            </w:r>
          </w:p>
        </w:tc>
      </w:tr>
      <w:tr w:rsidR="003C51B1" w:rsidRPr="0057576F" w14:paraId="59578824" w14:textId="77777777" w:rsidTr="0057576F">
        <w:tc>
          <w:tcPr>
            <w:tcW w:w="2788" w:type="pct"/>
            <w:tcMar>
              <w:top w:w="0" w:type="dxa"/>
              <w:left w:w="28" w:type="dxa"/>
              <w:bottom w:w="28" w:type="dxa"/>
              <w:right w:w="28" w:type="dxa"/>
            </w:tcMar>
          </w:tcPr>
          <w:p w14:paraId="1357675B"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sz w:val="28"/>
                <w:szCs w:val="28"/>
                <w:lang w:val="en-US"/>
              </w:rPr>
              <w:t>Public order, security, and judiciary</w:t>
            </w:r>
          </w:p>
        </w:tc>
        <w:tc>
          <w:tcPr>
            <w:tcW w:w="740" w:type="pct"/>
            <w:tcMar>
              <w:top w:w="0" w:type="dxa"/>
              <w:left w:w="28" w:type="dxa"/>
              <w:bottom w:w="28" w:type="dxa"/>
              <w:right w:w="28" w:type="dxa"/>
            </w:tcMar>
          </w:tcPr>
          <w:p w14:paraId="1B24CC2D"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7</w:t>
            </w:r>
            <w:r w:rsidR="009C5FE7">
              <w:rPr>
                <w:rFonts w:ascii="Garamond" w:hAnsi="Garamond" w:cs="Times New Roman"/>
                <w:sz w:val="28"/>
                <w:szCs w:val="28"/>
                <w:lang w:val="en-US"/>
              </w:rPr>
              <w:t>.</w:t>
            </w:r>
            <w:r w:rsidRPr="0057576F">
              <w:rPr>
                <w:rFonts w:ascii="Garamond" w:hAnsi="Garamond" w:cs="Times New Roman"/>
                <w:sz w:val="28"/>
                <w:szCs w:val="28"/>
                <w:lang w:val="en-US"/>
              </w:rPr>
              <w:t>4</w:t>
            </w:r>
          </w:p>
        </w:tc>
        <w:tc>
          <w:tcPr>
            <w:tcW w:w="757" w:type="pct"/>
            <w:tcMar>
              <w:top w:w="0" w:type="dxa"/>
              <w:left w:w="28" w:type="dxa"/>
              <w:bottom w:w="28" w:type="dxa"/>
              <w:right w:w="28" w:type="dxa"/>
            </w:tcMar>
          </w:tcPr>
          <w:p w14:paraId="6DB9A413"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7</w:t>
            </w:r>
            <w:r w:rsidR="009C5FE7">
              <w:rPr>
                <w:rFonts w:ascii="Garamond" w:hAnsi="Garamond" w:cs="Times New Roman"/>
                <w:sz w:val="28"/>
                <w:szCs w:val="28"/>
                <w:lang w:val="en-US"/>
              </w:rPr>
              <w:t>.</w:t>
            </w:r>
            <w:r w:rsidRPr="0057576F">
              <w:rPr>
                <w:rFonts w:ascii="Garamond" w:hAnsi="Garamond" w:cs="Times New Roman"/>
                <w:sz w:val="28"/>
                <w:szCs w:val="28"/>
                <w:lang w:val="en-US"/>
              </w:rPr>
              <w:t>8</w:t>
            </w:r>
          </w:p>
        </w:tc>
        <w:tc>
          <w:tcPr>
            <w:tcW w:w="715" w:type="pct"/>
            <w:tcMar>
              <w:top w:w="0" w:type="dxa"/>
              <w:left w:w="28" w:type="dxa"/>
              <w:bottom w:w="28" w:type="dxa"/>
              <w:right w:w="28" w:type="dxa"/>
            </w:tcMar>
          </w:tcPr>
          <w:p w14:paraId="05D862EB"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8</w:t>
            </w:r>
            <w:r w:rsidR="009C5FE7">
              <w:rPr>
                <w:rFonts w:ascii="Garamond" w:hAnsi="Garamond" w:cs="Times New Roman"/>
                <w:sz w:val="28"/>
                <w:szCs w:val="28"/>
                <w:lang w:val="en-US"/>
              </w:rPr>
              <w:t>.</w:t>
            </w:r>
            <w:r w:rsidRPr="0057576F">
              <w:rPr>
                <w:rFonts w:ascii="Garamond" w:hAnsi="Garamond" w:cs="Times New Roman"/>
                <w:sz w:val="28"/>
                <w:szCs w:val="28"/>
                <w:lang w:val="en-US"/>
              </w:rPr>
              <w:t>6</w:t>
            </w:r>
          </w:p>
        </w:tc>
      </w:tr>
      <w:tr w:rsidR="003C51B1" w:rsidRPr="0057576F" w14:paraId="2F02CDC9" w14:textId="77777777" w:rsidTr="0057576F">
        <w:tc>
          <w:tcPr>
            <w:tcW w:w="2788" w:type="pct"/>
            <w:tcMar>
              <w:top w:w="0" w:type="dxa"/>
              <w:left w:w="28" w:type="dxa"/>
              <w:bottom w:w="28" w:type="dxa"/>
              <w:right w:w="28" w:type="dxa"/>
            </w:tcMar>
          </w:tcPr>
          <w:p w14:paraId="0E0EC4D1"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sz w:val="28"/>
                <w:szCs w:val="28"/>
                <w:lang w:val="en-US"/>
              </w:rPr>
              <w:t>Economic affairs</w:t>
            </w:r>
          </w:p>
        </w:tc>
        <w:tc>
          <w:tcPr>
            <w:tcW w:w="740" w:type="pct"/>
            <w:tcMar>
              <w:top w:w="0" w:type="dxa"/>
              <w:left w:w="28" w:type="dxa"/>
              <w:bottom w:w="28" w:type="dxa"/>
              <w:right w:w="28" w:type="dxa"/>
            </w:tcMar>
          </w:tcPr>
          <w:p w14:paraId="67A14371"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12</w:t>
            </w:r>
            <w:r w:rsidR="009C5FE7">
              <w:rPr>
                <w:rFonts w:ascii="Garamond" w:hAnsi="Garamond" w:cs="Times New Roman"/>
                <w:sz w:val="28"/>
                <w:szCs w:val="28"/>
                <w:lang w:val="en-US"/>
              </w:rPr>
              <w:t>.</w:t>
            </w:r>
            <w:r w:rsidRPr="0057576F">
              <w:rPr>
                <w:rFonts w:ascii="Garamond" w:hAnsi="Garamond" w:cs="Times New Roman"/>
                <w:sz w:val="28"/>
                <w:szCs w:val="28"/>
                <w:lang w:val="en-US"/>
              </w:rPr>
              <w:t>7</w:t>
            </w:r>
          </w:p>
        </w:tc>
        <w:tc>
          <w:tcPr>
            <w:tcW w:w="757" w:type="pct"/>
            <w:tcMar>
              <w:top w:w="0" w:type="dxa"/>
              <w:left w:w="28" w:type="dxa"/>
              <w:bottom w:w="28" w:type="dxa"/>
              <w:right w:w="28" w:type="dxa"/>
            </w:tcMar>
          </w:tcPr>
          <w:p w14:paraId="30A524C3"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10</w:t>
            </w:r>
            <w:r w:rsidR="009C5FE7">
              <w:rPr>
                <w:rFonts w:ascii="Garamond" w:hAnsi="Garamond" w:cs="Times New Roman"/>
                <w:sz w:val="28"/>
                <w:szCs w:val="28"/>
                <w:lang w:val="en-US"/>
              </w:rPr>
              <w:t>.</w:t>
            </w:r>
            <w:r w:rsidRPr="0057576F">
              <w:rPr>
                <w:rFonts w:ascii="Garamond" w:hAnsi="Garamond" w:cs="Times New Roman"/>
                <w:sz w:val="28"/>
                <w:szCs w:val="28"/>
                <w:lang w:val="en-US"/>
              </w:rPr>
              <w:t>0</w:t>
            </w:r>
          </w:p>
        </w:tc>
        <w:tc>
          <w:tcPr>
            <w:tcW w:w="715" w:type="pct"/>
            <w:tcMar>
              <w:top w:w="0" w:type="dxa"/>
              <w:left w:w="28" w:type="dxa"/>
              <w:bottom w:w="28" w:type="dxa"/>
              <w:right w:w="28" w:type="dxa"/>
            </w:tcMar>
          </w:tcPr>
          <w:p w14:paraId="4A801718"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8</w:t>
            </w:r>
            <w:r w:rsidR="009C5FE7">
              <w:rPr>
                <w:rFonts w:ascii="Garamond" w:hAnsi="Garamond" w:cs="Times New Roman"/>
                <w:sz w:val="28"/>
                <w:szCs w:val="28"/>
                <w:lang w:val="en-US"/>
              </w:rPr>
              <w:t>.</w:t>
            </w:r>
            <w:r w:rsidRPr="0057576F">
              <w:rPr>
                <w:rFonts w:ascii="Garamond" w:hAnsi="Garamond" w:cs="Times New Roman"/>
                <w:sz w:val="28"/>
                <w:szCs w:val="28"/>
                <w:lang w:val="en-US"/>
              </w:rPr>
              <w:t>3</w:t>
            </w:r>
          </w:p>
        </w:tc>
      </w:tr>
      <w:tr w:rsidR="003C51B1" w:rsidRPr="0057576F" w14:paraId="514E0F1C" w14:textId="77777777" w:rsidTr="0057576F">
        <w:tc>
          <w:tcPr>
            <w:tcW w:w="2788" w:type="pct"/>
            <w:tcMar>
              <w:top w:w="0" w:type="dxa"/>
              <w:left w:w="28" w:type="dxa"/>
              <w:bottom w:w="28" w:type="dxa"/>
              <w:right w:w="28" w:type="dxa"/>
            </w:tcMar>
          </w:tcPr>
          <w:p w14:paraId="199D583C"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sz w:val="28"/>
                <w:szCs w:val="28"/>
                <w:lang w:val="en-US"/>
              </w:rPr>
              <w:t>Environmental protection</w:t>
            </w:r>
          </w:p>
        </w:tc>
        <w:tc>
          <w:tcPr>
            <w:tcW w:w="740" w:type="pct"/>
            <w:tcMar>
              <w:top w:w="0" w:type="dxa"/>
              <w:left w:w="28" w:type="dxa"/>
              <w:bottom w:w="28" w:type="dxa"/>
              <w:right w:w="28" w:type="dxa"/>
            </w:tcMar>
          </w:tcPr>
          <w:p w14:paraId="444EC2D3"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w:t>
            </w:r>
            <w:r w:rsidR="009C5FE7">
              <w:rPr>
                <w:rFonts w:ascii="Garamond" w:hAnsi="Garamond" w:cs="Times New Roman"/>
                <w:sz w:val="28"/>
                <w:szCs w:val="28"/>
                <w:lang w:val="en-US"/>
              </w:rPr>
              <w:t>.</w:t>
            </w:r>
            <w:r w:rsidRPr="0057576F">
              <w:rPr>
                <w:rFonts w:ascii="Garamond" w:hAnsi="Garamond" w:cs="Times New Roman"/>
                <w:sz w:val="28"/>
                <w:szCs w:val="28"/>
                <w:lang w:val="en-US"/>
              </w:rPr>
              <w:t>1</w:t>
            </w:r>
          </w:p>
        </w:tc>
        <w:tc>
          <w:tcPr>
            <w:tcW w:w="757" w:type="pct"/>
            <w:tcMar>
              <w:top w:w="0" w:type="dxa"/>
              <w:left w:w="28" w:type="dxa"/>
              <w:bottom w:w="28" w:type="dxa"/>
              <w:right w:w="28" w:type="dxa"/>
            </w:tcMar>
          </w:tcPr>
          <w:p w14:paraId="1C94E801"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w:t>
            </w:r>
            <w:r w:rsidR="009C5FE7">
              <w:rPr>
                <w:rFonts w:ascii="Garamond" w:hAnsi="Garamond" w:cs="Times New Roman"/>
                <w:sz w:val="28"/>
                <w:szCs w:val="28"/>
                <w:lang w:val="en-US"/>
              </w:rPr>
              <w:t>.</w:t>
            </w:r>
            <w:r w:rsidRPr="0057576F">
              <w:rPr>
                <w:rFonts w:ascii="Garamond" w:hAnsi="Garamond" w:cs="Times New Roman"/>
                <w:sz w:val="28"/>
                <w:szCs w:val="28"/>
                <w:lang w:val="en-US"/>
              </w:rPr>
              <w:t>1</w:t>
            </w:r>
          </w:p>
        </w:tc>
        <w:tc>
          <w:tcPr>
            <w:tcW w:w="715" w:type="pct"/>
            <w:tcMar>
              <w:top w:w="0" w:type="dxa"/>
              <w:left w:w="28" w:type="dxa"/>
              <w:bottom w:w="28" w:type="dxa"/>
              <w:right w:w="28" w:type="dxa"/>
            </w:tcMar>
          </w:tcPr>
          <w:p w14:paraId="17952F8E"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0</w:t>
            </w:r>
            <w:r w:rsidR="009C5FE7">
              <w:rPr>
                <w:rFonts w:ascii="Garamond" w:hAnsi="Garamond" w:cs="Times New Roman"/>
                <w:sz w:val="28"/>
                <w:szCs w:val="28"/>
                <w:lang w:val="en-US"/>
              </w:rPr>
              <w:t>.</w:t>
            </w:r>
            <w:r w:rsidRPr="0057576F">
              <w:rPr>
                <w:rFonts w:ascii="Garamond" w:hAnsi="Garamond" w:cs="Times New Roman"/>
                <w:sz w:val="28"/>
                <w:szCs w:val="28"/>
                <w:lang w:val="en-US"/>
              </w:rPr>
              <w:t>7</w:t>
            </w:r>
          </w:p>
        </w:tc>
      </w:tr>
      <w:tr w:rsidR="003C51B1" w:rsidRPr="0057576F" w14:paraId="096A6296" w14:textId="77777777" w:rsidTr="0057576F">
        <w:tc>
          <w:tcPr>
            <w:tcW w:w="2788" w:type="pct"/>
            <w:tcMar>
              <w:top w:w="0" w:type="dxa"/>
              <w:left w:w="28" w:type="dxa"/>
              <w:bottom w:w="28" w:type="dxa"/>
              <w:right w:w="28" w:type="dxa"/>
            </w:tcMar>
          </w:tcPr>
          <w:p w14:paraId="3AA68BAD"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sz w:val="28"/>
                <w:szCs w:val="28"/>
                <w:lang w:val="en-US"/>
              </w:rPr>
              <w:t>Housing and utilities</w:t>
            </w:r>
          </w:p>
        </w:tc>
        <w:tc>
          <w:tcPr>
            <w:tcW w:w="740" w:type="pct"/>
            <w:tcMar>
              <w:top w:w="0" w:type="dxa"/>
              <w:left w:w="28" w:type="dxa"/>
              <w:bottom w:w="28" w:type="dxa"/>
              <w:right w:w="28" w:type="dxa"/>
            </w:tcMar>
          </w:tcPr>
          <w:p w14:paraId="224931E8"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4</w:t>
            </w:r>
            <w:r w:rsidR="009C5FE7">
              <w:rPr>
                <w:rFonts w:ascii="Garamond" w:hAnsi="Garamond" w:cs="Times New Roman"/>
                <w:sz w:val="28"/>
                <w:szCs w:val="28"/>
                <w:lang w:val="en-US"/>
              </w:rPr>
              <w:t>.</w:t>
            </w:r>
            <w:r w:rsidRPr="0057576F">
              <w:rPr>
                <w:rFonts w:ascii="Garamond" w:hAnsi="Garamond" w:cs="Times New Roman"/>
                <w:sz w:val="28"/>
                <w:szCs w:val="28"/>
                <w:lang w:val="en-US"/>
              </w:rPr>
              <w:t>1</w:t>
            </w:r>
          </w:p>
        </w:tc>
        <w:tc>
          <w:tcPr>
            <w:tcW w:w="757" w:type="pct"/>
            <w:tcMar>
              <w:top w:w="0" w:type="dxa"/>
              <w:left w:w="28" w:type="dxa"/>
              <w:bottom w:w="28" w:type="dxa"/>
              <w:right w:w="28" w:type="dxa"/>
            </w:tcMar>
          </w:tcPr>
          <w:p w14:paraId="6D0C64C0"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w:t>
            </w:r>
            <w:r w:rsidR="009C5FE7">
              <w:rPr>
                <w:rFonts w:ascii="Garamond" w:hAnsi="Garamond" w:cs="Times New Roman"/>
                <w:sz w:val="28"/>
                <w:szCs w:val="28"/>
                <w:lang w:val="en-US"/>
              </w:rPr>
              <w:t>.</w:t>
            </w:r>
            <w:r w:rsidRPr="0057576F">
              <w:rPr>
                <w:rFonts w:ascii="Garamond" w:hAnsi="Garamond" w:cs="Times New Roman"/>
                <w:sz w:val="28"/>
                <w:szCs w:val="28"/>
                <w:lang w:val="en-US"/>
              </w:rPr>
              <w:t>5</w:t>
            </w:r>
          </w:p>
        </w:tc>
        <w:tc>
          <w:tcPr>
            <w:tcW w:w="715" w:type="pct"/>
            <w:tcMar>
              <w:top w:w="0" w:type="dxa"/>
              <w:left w:w="28" w:type="dxa"/>
              <w:bottom w:w="28" w:type="dxa"/>
              <w:right w:w="28" w:type="dxa"/>
            </w:tcMar>
          </w:tcPr>
          <w:p w14:paraId="0F8200EE"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3</w:t>
            </w:r>
            <w:r w:rsidR="009C5FE7">
              <w:rPr>
                <w:rFonts w:ascii="Garamond" w:hAnsi="Garamond" w:cs="Times New Roman"/>
                <w:sz w:val="28"/>
                <w:szCs w:val="28"/>
                <w:lang w:val="en-US"/>
              </w:rPr>
              <w:t>.</w:t>
            </w:r>
            <w:r w:rsidRPr="0057576F">
              <w:rPr>
                <w:rFonts w:ascii="Garamond" w:hAnsi="Garamond" w:cs="Times New Roman"/>
                <w:sz w:val="28"/>
                <w:szCs w:val="28"/>
                <w:lang w:val="en-US"/>
              </w:rPr>
              <w:t>4</w:t>
            </w:r>
          </w:p>
        </w:tc>
      </w:tr>
      <w:tr w:rsidR="003C51B1" w:rsidRPr="0057576F" w14:paraId="03B56065" w14:textId="77777777" w:rsidTr="0057576F">
        <w:tc>
          <w:tcPr>
            <w:tcW w:w="2788" w:type="pct"/>
            <w:tcMar>
              <w:top w:w="0" w:type="dxa"/>
              <w:left w:w="28" w:type="dxa"/>
              <w:bottom w:w="28" w:type="dxa"/>
              <w:right w:w="28" w:type="dxa"/>
            </w:tcMar>
          </w:tcPr>
          <w:p w14:paraId="5154C9D7"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sz w:val="28"/>
                <w:szCs w:val="28"/>
                <w:lang w:val="en-US"/>
              </w:rPr>
              <w:t>Health</w:t>
            </w:r>
          </w:p>
        </w:tc>
        <w:tc>
          <w:tcPr>
            <w:tcW w:w="740" w:type="pct"/>
            <w:tcMar>
              <w:top w:w="0" w:type="dxa"/>
              <w:left w:w="28" w:type="dxa"/>
              <w:bottom w:w="28" w:type="dxa"/>
              <w:right w:w="28" w:type="dxa"/>
            </w:tcMar>
          </w:tcPr>
          <w:p w14:paraId="3CD02388"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11</w:t>
            </w:r>
            <w:r w:rsidR="009C5FE7">
              <w:rPr>
                <w:rFonts w:ascii="Garamond" w:hAnsi="Garamond" w:cs="Times New Roman"/>
                <w:sz w:val="28"/>
                <w:szCs w:val="28"/>
                <w:lang w:val="en-US"/>
              </w:rPr>
              <w:t>.</w:t>
            </w:r>
            <w:r w:rsidRPr="0057576F">
              <w:rPr>
                <w:rFonts w:ascii="Garamond" w:hAnsi="Garamond" w:cs="Times New Roman"/>
                <w:sz w:val="28"/>
                <w:szCs w:val="28"/>
                <w:lang w:val="en-US"/>
              </w:rPr>
              <w:t>9</w:t>
            </w:r>
          </w:p>
        </w:tc>
        <w:tc>
          <w:tcPr>
            <w:tcW w:w="757" w:type="pct"/>
            <w:tcMar>
              <w:top w:w="0" w:type="dxa"/>
              <w:left w:w="28" w:type="dxa"/>
              <w:bottom w:w="28" w:type="dxa"/>
              <w:right w:w="28" w:type="dxa"/>
            </w:tcMar>
          </w:tcPr>
          <w:p w14:paraId="17EFFDDD"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12</w:t>
            </w:r>
            <w:r w:rsidR="009C5FE7">
              <w:rPr>
                <w:rFonts w:ascii="Garamond" w:hAnsi="Garamond" w:cs="Times New Roman"/>
                <w:sz w:val="28"/>
                <w:szCs w:val="28"/>
                <w:lang w:val="en-US"/>
              </w:rPr>
              <w:t>.</w:t>
            </w:r>
            <w:r w:rsidRPr="0057576F">
              <w:rPr>
                <w:rFonts w:ascii="Garamond" w:hAnsi="Garamond" w:cs="Times New Roman"/>
                <w:sz w:val="28"/>
                <w:szCs w:val="28"/>
                <w:lang w:val="en-US"/>
              </w:rPr>
              <w:t>2</w:t>
            </w:r>
          </w:p>
        </w:tc>
        <w:tc>
          <w:tcPr>
            <w:tcW w:w="715" w:type="pct"/>
            <w:tcMar>
              <w:top w:w="0" w:type="dxa"/>
              <w:left w:w="28" w:type="dxa"/>
              <w:bottom w:w="28" w:type="dxa"/>
              <w:right w:w="28" w:type="dxa"/>
            </w:tcMar>
          </w:tcPr>
          <w:p w14:paraId="6CEAB883"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10</w:t>
            </w:r>
            <w:r w:rsidR="009C5FE7">
              <w:rPr>
                <w:rFonts w:ascii="Garamond" w:hAnsi="Garamond" w:cs="Times New Roman"/>
                <w:sz w:val="28"/>
                <w:szCs w:val="28"/>
                <w:lang w:val="en-US"/>
              </w:rPr>
              <w:t>.</w:t>
            </w:r>
            <w:r w:rsidRPr="0057576F">
              <w:rPr>
                <w:rFonts w:ascii="Garamond" w:hAnsi="Garamond" w:cs="Times New Roman"/>
                <w:sz w:val="28"/>
                <w:szCs w:val="28"/>
                <w:lang w:val="en-US"/>
              </w:rPr>
              <w:t>9</w:t>
            </w:r>
          </w:p>
        </w:tc>
      </w:tr>
      <w:tr w:rsidR="003C51B1" w:rsidRPr="0057576F" w14:paraId="055E30A9" w14:textId="77777777" w:rsidTr="0057576F">
        <w:tc>
          <w:tcPr>
            <w:tcW w:w="2788" w:type="pct"/>
            <w:tcMar>
              <w:top w:w="0" w:type="dxa"/>
              <w:left w:w="28" w:type="dxa"/>
              <w:bottom w:w="28" w:type="dxa"/>
              <w:right w:w="28" w:type="dxa"/>
            </w:tcMar>
          </w:tcPr>
          <w:p w14:paraId="603FBE42"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sz w:val="28"/>
                <w:szCs w:val="28"/>
                <w:lang w:val="en-US"/>
              </w:rPr>
              <w:t>Cultural and physical development</w:t>
            </w:r>
          </w:p>
        </w:tc>
        <w:tc>
          <w:tcPr>
            <w:tcW w:w="740" w:type="pct"/>
            <w:tcMar>
              <w:top w:w="0" w:type="dxa"/>
              <w:left w:w="28" w:type="dxa"/>
              <w:bottom w:w="28" w:type="dxa"/>
              <w:right w:w="28" w:type="dxa"/>
            </w:tcMar>
          </w:tcPr>
          <w:p w14:paraId="0872D354"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w:t>
            </w:r>
            <w:r w:rsidR="009C5FE7">
              <w:rPr>
                <w:rFonts w:ascii="Garamond" w:hAnsi="Garamond" w:cs="Times New Roman"/>
                <w:sz w:val="28"/>
                <w:szCs w:val="28"/>
                <w:lang w:val="en-US"/>
              </w:rPr>
              <w:t>.</w:t>
            </w:r>
            <w:r w:rsidRPr="0057576F">
              <w:rPr>
                <w:rFonts w:ascii="Garamond" w:hAnsi="Garamond" w:cs="Times New Roman"/>
                <w:sz w:val="28"/>
                <w:szCs w:val="28"/>
                <w:lang w:val="en-US"/>
              </w:rPr>
              <w:t>8</w:t>
            </w:r>
          </w:p>
        </w:tc>
        <w:tc>
          <w:tcPr>
            <w:tcW w:w="757" w:type="pct"/>
            <w:tcMar>
              <w:top w:w="0" w:type="dxa"/>
              <w:left w:w="28" w:type="dxa"/>
              <w:bottom w:w="28" w:type="dxa"/>
              <w:right w:w="28" w:type="dxa"/>
            </w:tcMar>
          </w:tcPr>
          <w:p w14:paraId="3821FFD4"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w:t>
            </w:r>
            <w:r w:rsidR="009C5FE7">
              <w:rPr>
                <w:rFonts w:ascii="Garamond" w:hAnsi="Garamond" w:cs="Times New Roman"/>
                <w:sz w:val="28"/>
                <w:szCs w:val="28"/>
                <w:lang w:val="en-US"/>
              </w:rPr>
              <w:t>.</w:t>
            </w:r>
            <w:r w:rsidRPr="0057576F">
              <w:rPr>
                <w:rFonts w:ascii="Garamond" w:hAnsi="Garamond" w:cs="Times New Roman"/>
                <w:sz w:val="28"/>
                <w:szCs w:val="28"/>
                <w:lang w:val="en-US"/>
              </w:rPr>
              <w:t>7</w:t>
            </w:r>
          </w:p>
        </w:tc>
        <w:tc>
          <w:tcPr>
            <w:tcW w:w="715" w:type="pct"/>
            <w:tcMar>
              <w:top w:w="0" w:type="dxa"/>
              <w:left w:w="28" w:type="dxa"/>
              <w:bottom w:w="28" w:type="dxa"/>
              <w:right w:w="28" w:type="dxa"/>
            </w:tcMar>
          </w:tcPr>
          <w:p w14:paraId="0B603858"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w:t>
            </w:r>
            <w:r w:rsidR="009C5FE7">
              <w:rPr>
                <w:rFonts w:ascii="Garamond" w:hAnsi="Garamond" w:cs="Times New Roman"/>
                <w:sz w:val="28"/>
                <w:szCs w:val="28"/>
                <w:lang w:val="en-US"/>
              </w:rPr>
              <w:t>.</w:t>
            </w:r>
            <w:r w:rsidRPr="0057576F">
              <w:rPr>
                <w:rFonts w:ascii="Garamond" w:hAnsi="Garamond" w:cs="Times New Roman"/>
                <w:sz w:val="28"/>
                <w:szCs w:val="28"/>
                <w:lang w:val="en-US"/>
              </w:rPr>
              <w:t>7</w:t>
            </w:r>
          </w:p>
        </w:tc>
      </w:tr>
      <w:tr w:rsidR="003C51B1" w:rsidRPr="0057576F" w14:paraId="29371305" w14:textId="77777777" w:rsidTr="0057576F">
        <w:tc>
          <w:tcPr>
            <w:tcW w:w="2788" w:type="pct"/>
            <w:tcMar>
              <w:top w:w="0" w:type="dxa"/>
              <w:left w:w="28" w:type="dxa"/>
              <w:bottom w:w="28" w:type="dxa"/>
              <w:right w:w="28" w:type="dxa"/>
            </w:tcMar>
          </w:tcPr>
          <w:p w14:paraId="097D68B6"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sz w:val="28"/>
                <w:szCs w:val="28"/>
                <w:lang w:val="en-US"/>
              </w:rPr>
              <w:t>Education</w:t>
            </w:r>
          </w:p>
        </w:tc>
        <w:tc>
          <w:tcPr>
            <w:tcW w:w="740" w:type="pct"/>
            <w:tcMar>
              <w:top w:w="0" w:type="dxa"/>
              <w:left w:w="28" w:type="dxa"/>
              <w:bottom w:w="28" w:type="dxa"/>
              <w:right w:w="28" w:type="dxa"/>
            </w:tcMar>
          </w:tcPr>
          <w:p w14:paraId="2B26D321"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20</w:t>
            </w:r>
            <w:r w:rsidR="009C5FE7">
              <w:rPr>
                <w:rFonts w:ascii="Garamond" w:hAnsi="Garamond" w:cs="Times New Roman"/>
                <w:sz w:val="28"/>
                <w:szCs w:val="28"/>
                <w:lang w:val="en-US"/>
              </w:rPr>
              <w:t>.</w:t>
            </w:r>
            <w:r w:rsidRPr="0057576F">
              <w:rPr>
                <w:rFonts w:ascii="Garamond" w:hAnsi="Garamond" w:cs="Times New Roman"/>
                <w:sz w:val="28"/>
                <w:szCs w:val="28"/>
                <w:lang w:val="en-US"/>
              </w:rPr>
              <w:t>6</w:t>
            </w:r>
          </w:p>
        </w:tc>
        <w:tc>
          <w:tcPr>
            <w:tcW w:w="757" w:type="pct"/>
            <w:tcMar>
              <w:top w:w="0" w:type="dxa"/>
              <w:left w:w="28" w:type="dxa"/>
              <w:bottom w:w="28" w:type="dxa"/>
              <w:right w:w="28" w:type="dxa"/>
            </w:tcMar>
          </w:tcPr>
          <w:p w14:paraId="0B7E57A2"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20</w:t>
            </w:r>
            <w:r w:rsidR="009C5FE7">
              <w:rPr>
                <w:rFonts w:ascii="Garamond" w:hAnsi="Garamond" w:cs="Times New Roman"/>
                <w:sz w:val="28"/>
                <w:szCs w:val="28"/>
                <w:lang w:val="en-US"/>
              </w:rPr>
              <w:t>.</w:t>
            </w:r>
            <w:r w:rsidRPr="0057576F">
              <w:rPr>
                <w:rFonts w:ascii="Garamond" w:hAnsi="Garamond" w:cs="Times New Roman"/>
                <w:sz w:val="28"/>
                <w:szCs w:val="28"/>
                <w:lang w:val="en-US"/>
              </w:rPr>
              <w:t>9</w:t>
            </w:r>
          </w:p>
        </w:tc>
        <w:tc>
          <w:tcPr>
            <w:tcW w:w="715" w:type="pct"/>
            <w:tcMar>
              <w:top w:w="0" w:type="dxa"/>
              <w:left w:w="28" w:type="dxa"/>
              <w:bottom w:w="28" w:type="dxa"/>
              <w:right w:w="28" w:type="dxa"/>
            </w:tcMar>
          </w:tcPr>
          <w:p w14:paraId="08F48FA3"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19</w:t>
            </w:r>
            <w:r w:rsidR="009C5FE7">
              <w:rPr>
                <w:rFonts w:ascii="Garamond" w:hAnsi="Garamond" w:cs="Times New Roman"/>
                <w:sz w:val="28"/>
                <w:szCs w:val="28"/>
                <w:lang w:val="en-US"/>
              </w:rPr>
              <w:t>.</w:t>
            </w:r>
            <w:r w:rsidRPr="0057576F">
              <w:rPr>
                <w:rFonts w:ascii="Garamond" w:hAnsi="Garamond" w:cs="Times New Roman"/>
                <w:sz w:val="28"/>
                <w:szCs w:val="28"/>
                <w:lang w:val="en-US"/>
              </w:rPr>
              <w:t>1</w:t>
            </w:r>
          </w:p>
        </w:tc>
      </w:tr>
      <w:tr w:rsidR="003C51B1" w:rsidRPr="0057576F" w14:paraId="3F84D1B6" w14:textId="77777777" w:rsidTr="0057576F">
        <w:tc>
          <w:tcPr>
            <w:tcW w:w="2788" w:type="pct"/>
            <w:tcMar>
              <w:top w:w="0" w:type="dxa"/>
              <w:left w:w="28" w:type="dxa"/>
              <w:bottom w:w="28" w:type="dxa"/>
              <w:right w:w="28" w:type="dxa"/>
            </w:tcMar>
          </w:tcPr>
          <w:p w14:paraId="40E16023" w14:textId="77777777" w:rsidR="003C51B1" w:rsidRPr="0057576F" w:rsidRDefault="003C51B1" w:rsidP="003C51B1">
            <w:pPr>
              <w:widowControl w:val="0"/>
              <w:rPr>
                <w:rFonts w:ascii="Garamond" w:hAnsi="Garamond"/>
                <w:sz w:val="28"/>
                <w:szCs w:val="28"/>
                <w:lang w:val="en-US"/>
              </w:rPr>
            </w:pPr>
            <w:r w:rsidRPr="0057576F">
              <w:rPr>
                <w:rFonts w:ascii="Garamond" w:hAnsi="Garamond" w:cs="Times New Roman"/>
                <w:sz w:val="28"/>
                <w:szCs w:val="28"/>
                <w:lang w:val="en-US"/>
              </w:rPr>
              <w:t>Social protection and social security</w:t>
            </w:r>
          </w:p>
        </w:tc>
        <w:tc>
          <w:tcPr>
            <w:tcW w:w="740" w:type="pct"/>
            <w:tcMar>
              <w:top w:w="0" w:type="dxa"/>
              <w:left w:w="28" w:type="dxa"/>
              <w:bottom w:w="28" w:type="dxa"/>
              <w:right w:w="28" w:type="dxa"/>
            </w:tcMar>
          </w:tcPr>
          <w:p w14:paraId="2131F6D5"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25</w:t>
            </w:r>
            <w:r w:rsidR="009C5FE7">
              <w:rPr>
                <w:rFonts w:ascii="Garamond" w:hAnsi="Garamond" w:cs="Times New Roman"/>
                <w:sz w:val="28"/>
                <w:szCs w:val="28"/>
                <w:lang w:val="en-US"/>
              </w:rPr>
              <w:t>.</w:t>
            </w:r>
            <w:r w:rsidRPr="0057576F">
              <w:rPr>
                <w:rFonts w:ascii="Garamond" w:hAnsi="Garamond" w:cs="Times New Roman"/>
                <w:sz w:val="28"/>
                <w:szCs w:val="28"/>
                <w:lang w:val="en-US"/>
              </w:rPr>
              <w:t>4</w:t>
            </w:r>
          </w:p>
        </w:tc>
        <w:tc>
          <w:tcPr>
            <w:tcW w:w="757" w:type="pct"/>
            <w:tcMar>
              <w:top w:w="0" w:type="dxa"/>
              <w:left w:w="28" w:type="dxa"/>
              <w:bottom w:w="28" w:type="dxa"/>
              <w:right w:w="28" w:type="dxa"/>
            </w:tcMar>
          </w:tcPr>
          <w:p w14:paraId="14D7143C"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28</w:t>
            </w:r>
            <w:r w:rsidR="009C5FE7">
              <w:rPr>
                <w:rFonts w:ascii="Garamond" w:hAnsi="Garamond" w:cs="Times New Roman"/>
                <w:sz w:val="28"/>
                <w:szCs w:val="28"/>
                <w:lang w:val="en-US"/>
              </w:rPr>
              <w:t>.</w:t>
            </w:r>
            <w:r w:rsidRPr="0057576F">
              <w:rPr>
                <w:rFonts w:ascii="Garamond" w:hAnsi="Garamond" w:cs="Times New Roman"/>
                <w:sz w:val="28"/>
                <w:szCs w:val="28"/>
                <w:lang w:val="en-US"/>
              </w:rPr>
              <w:t>7</w:t>
            </w:r>
          </w:p>
        </w:tc>
        <w:tc>
          <w:tcPr>
            <w:tcW w:w="715" w:type="pct"/>
            <w:tcMar>
              <w:top w:w="0" w:type="dxa"/>
              <w:left w:w="28" w:type="dxa"/>
              <w:bottom w:w="28" w:type="dxa"/>
              <w:right w:w="28" w:type="dxa"/>
            </w:tcMar>
          </w:tcPr>
          <w:p w14:paraId="1A3006E2" w14:textId="77777777" w:rsidR="003C51B1" w:rsidRPr="0057576F" w:rsidRDefault="003C51B1" w:rsidP="003C51B1">
            <w:pPr>
              <w:widowControl w:val="0"/>
              <w:jc w:val="center"/>
              <w:rPr>
                <w:rFonts w:ascii="Garamond" w:hAnsi="Garamond"/>
                <w:sz w:val="28"/>
                <w:szCs w:val="28"/>
                <w:lang w:val="en-US"/>
              </w:rPr>
            </w:pPr>
            <w:r w:rsidRPr="0057576F">
              <w:rPr>
                <w:rFonts w:ascii="Garamond" w:hAnsi="Garamond" w:cs="Times New Roman"/>
                <w:sz w:val="28"/>
                <w:szCs w:val="28"/>
                <w:lang w:val="en-US"/>
              </w:rPr>
              <w:t>26</w:t>
            </w:r>
            <w:r w:rsidR="009C5FE7">
              <w:rPr>
                <w:rFonts w:ascii="Garamond" w:hAnsi="Garamond" w:cs="Times New Roman"/>
                <w:sz w:val="28"/>
                <w:szCs w:val="28"/>
                <w:lang w:val="en-US"/>
              </w:rPr>
              <w:t>.</w:t>
            </w:r>
            <w:r w:rsidRPr="0057576F">
              <w:rPr>
                <w:rFonts w:ascii="Garamond" w:hAnsi="Garamond" w:cs="Times New Roman"/>
                <w:sz w:val="28"/>
                <w:szCs w:val="28"/>
                <w:lang w:val="en-US"/>
              </w:rPr>
              <w:t>4</w:t>
            </w:r>
          </w:p>
        </w:tc>
      </w:tr>
    </w:tbl>
    <w:p w14:paraId="656E0323" w14:textId="77777777" w:rsidR="00BE42A0" w:rsidRPr="00AA55B8" w:rsidRDefault="00BE42A0" w:rsidP="00BE42A0">
      <w:pPr>
        <w:spacing w:line="312" w:lineRule="auto"/>
        <w:ind w:firstLine="360"/>
        <w:jc w:val="both"/>
        <w:rPr>
          <w:sz w:val="28"/>
          <w:szCs w:val="28"/>
          <w:lang w:val="en-GB"/>
        </w:rPr>
      </w:pPr>
      <w:r w:rsidRPr="00AA55B8">
        <w:rPr>
          <w:sz w:val="28"/>
          <w:szCs w:val="28"/>
          <w:lang w:val="en-GB"/>
        </w:rPr>
        <w:tab/>
      </w:r>
      <w:r w:rsidRPr="00AA55B8">
        <w:rPr>
          <w:sz w:val="28"/>
          <w:szCs w:val="28"/>
          <w:lang w:val="en-GB"/>
        </w:rPr>
        <w:tab/>
      </w:r>
      <w:r w:rsidRPr="00AA55B8">
        <w:rPr>
          <w:sz w:val="28"/>
          <w:szCs w:val="28"/>
          <w:lang w:val="en-GB"/>
        </w:rPr>
        <w:tab/>
      </w:r>
      <w:r w:rsidRPr="00AA55B8">
        <w:rPr>
          <w:sz w:val="28"/>
          <w:szCs w:val="28"/>
          <w:lang w:val="en-GB"/>
        </w:rPr>
        <w:tab/>
      </w:r>
    </w:p>
    <w:p w14:paraId="487B559E" w14:textId="77777777" w:rsidR="0057576F" w:rsidRPr="00AA55B8" w:rsidRDefault="0057576F" w:rsidP="0073536E">
      <w:pPr>
        <w:spacing w:line="312" w:lineRule="auto"/>
        <w:ind w:firstLine="709"/>
        <w:jc w:val="both"/>
        <w:rPr>
          <w:sz w:val="28"/>
          <w:szCs w:val="28"/>
          <w:lang w:val="en-GB"/>
        </w:rPr>
      </w:pPr>
      <w:r w:rsidRPr="00AA55B8">
        <w:rPr>
          <w:sz w:val="28"/>
          <w:szCs w:val="28"/>
          <w:lang w:val="en-GB"/>
        </w:rPr>
        <w:t>According to the Budget Code of Ukraine</w:t>
      </w:r>
      <w:r w:rsidR="00AC1FA9">
        <w:rPr>
          <w:sz w:val="28"/>
          <w:szCs w:val="28"/>
          <w:lang w:val="en-GB"/>
        </w:rPr>
        <w:t>,</w:t>
      </w:r>
      <w:r w:rsidRPr="00AA55B8">
        <w:rPr>
          <w:sz w:val="28"/>
          <w:szCs w:val="28"/>
          <w:lang w:val="en-GB"/>
        </w:rPr>
        <w:t xml:space="preserve"> </w:t>
      </w:r>
      <w:r w:rsidRPr="0057576F">
        <w:rPr>
          <w:b/>
          <w:sz w:val="28"/>
          <w:szCs w:val="28"/>
          <w:lang w:val="en-GB"/>
        </w:rPr>
        <w:t>expenditures and loans of the budget are classified</w:t>
      </w:r>
      <w:r w:rsidRPr="00AA55B8">
        <w:rPr>
          <w:sz w:val="28"/>
          <w:szCs w:val="28"/>
          <w:lang w:val="en-GB"/>
        </w:rPr>
        <w:t xml:space="preserve"> as follows:</w:t>
      </w:r>
      <w:r w:rsidRPr="00AA55B8">
        <w:rPr>
          <w:sz w:val="28"/>
          <w:szCs w:val="28"/>
          <w:lang w:val="en-GB"/>
        </w:rPr>
        <w:tab/>
      </w:r>
      <w:r w:rsidRPr="00AA55B8">
        <w:rPr>
          <w:sz w:val="28"/>
          <w:szCs w:val="28"/>
          <w:lang w:val="en-GB"/>
        </w:rPr>
        <w:tab/>
      </w:r>
    </w:p>
    <w:p w14:paraId="3E906A90" w14:textId="77777777" w:rsidR="0057576F" w:rsidRPr="0057576F" w:rsidRDefault="0057576F" w:rsidP="0073536E">
      <w:pPr>
        <w:shd w:val="clear" w:color="auto" w:fill="FFFFFF"/>
        <w:spacing w:line="312" w:lineRule="auto"/>
        <w:ind w:left="993" w:hanging="284"/>
        <w:jc w:val="both"/>
        <w:textAlignment w:val="baseline"/>
        <w:rPr>
          <w:sz w:val="28"/>
          <w:szCs w:val="28"/>
          <w:lang w:val="en-US"/>
        </w:rPr>
      </w:pPr>
      <w:r w:rsidRPr="0057576F">
        <w:rPr>
          <w:sz w:val="28"/>
          <w:szCs w:val="28"/>
          <w:lang w:val="en-US"/>
        </w:rPr>
        <w:t>(i) in line with budget programs (program-based classification of budget expenditures and loans);</w:t>
      </w:r>
      <w:r w:rsidRPr="0057576F">
        <w:rPr>
          <w:sz w:val="28"/>
          <w:szCs w:val="28"/>
          <w:lang w:val="en-US"/>
        </w:rPr>
        <w:tab/>
      </w:r>
      <w:r w:rsidRPr="0057576F">
        <w:rPr>
          <w:sz w:val="28"/>
          <w:szCs w:val="28"/>
          <w:lang w:val="en-US"/>
        </w:rPr>
        <w:tab/>
      </w:r>
      <w:r w:rsidRPr="0057576F">
        <w:rPr>
          <w:sz w:val="28"/>
          <w:szCs w:val="28"/>
          <w:lang w:val="en-US"/>
        </w:rPr>
        <w:tab/>
      </w:r>
      <w:r w:rsidRPr="0057576F">
        <w:rPr>
          <w:sz w:val="28"/>
          <w:szCs w:val="28"/>
          <w:lang w:val="en-US"/>
        </w:rPr>
        <w:tab/>
      </w:r>
      <w:r w:rsidRPr="0057576F">
        <w:rPr>
          <w:sz w:val="28"/>
          <w:szCs w:val="28"/>
          <w:lang w:val="en-US"/>
        </w:rPr>
        <w:tab/>
      </w:r>
    </w:p>
    <w:p w14:paraId="4554D9D3" w14:textId="77777777" w:rsidR="0057576F" w:rsidRPr="0057576F" w:rsidRDefault="0057576F" w:rsidP="0073536E">
      <w:pPr>
        <w:shd w:val="clear" w:color="auto" w:fill="FFFFFF"/>
        <w:spacing w:line="312" w:lineRule="auto"/>
        <w:ind w:left="993" w:hanging="284"/>
        <w:jc w:val="both"/>
        <w:textAlignment w:val="baseline"/>
        <w:rPr>
          <w:sz w:val="28"/>
          <w:szCs w:val="28"/>
          <w:lang w:val="en-US"/>
        </w:rPr>
      </w:pPr>
      <w:r>
        <w:rPr>
          <w:sz w:val="28"/>
          <w:szCs w:val="28"/>
          <w:lang w:val="en-US"/>
        </w:rPr>
        <w:lastRenderedPageBreak/>
        <w:t>(ii</w:t>
      </w:r>
      <w:r w:rsidRPr="0057576F">
        <w:rPr>
          <w:sz w:val="28"/>
          <w:szCs w:val="28"/>
          <w:lang w:val="en-US"/>
        </w:rPr>
        <w:t>) according to the key spending unit characteristic (institutional classification of budget expenditures and loans);</w:t>
      </w:r>
      <w:r w:rsidRPr="0057576F">
        <w:rPr>
          <w:sz w:val="28"/>
          <w:szCs w:val="28"/>
          <w:lang w:val="en-US"/>
        </w:rPr>
        <w:tab/>
      </w:r>
      <w:r w:rsidRPr="0057576F">
        <w:rPr>
          <w:sz w:val="28"/>
          <w:szCs w:val="28"/>
          <w:lang w:val="en-US"/>
        </w:rPr>
        <w:tab/>
      </w:r>
      <w:r w:rsidRPr="0057576F">
        <w:rPr>
          <w:sz w:val="28"/>
          <w:szCs w:val="28"/>
          <w:lang w:val="en-US"/>
        </w:rPr>
        <w:tab/>
      </w:r>
      <w:r w:rsidRPr="0057576F">
        <w:rPr>
          <w:sz w:val="28"/>
          <w:szCs w:val="28"/>
          <w:lang w:val="en-US"/>
        </w:rPr>
        <w:tab/>
      </w:r>
    </w:p>
    <w:p w14:paraId="63354061" w14:textId="77777777" w:rsidR="0057576F" w:rsidRPr="00AA55B8" w:rsidRDefault="0057576F" w:rsidP="0073536E">
      <w:pPr>
        <w:shd w:val="clear" w:color="auto" w:fill="FFFFFF"/>
        <w:spacing w:line="312" w:lineRule="auto"/>
        <w:ind w:left="993" w:hanging="284"/>
        <w:jc w:val="both"/>
        <w:textAlignment w:val="baseline"/>
        <w:rPr>
          <w:sz w:val="28"/>
          <w:szCs w:val="28"/>
          <w:lang w:val="en-GB"/>
        </w:rPr>
      </w:pPr>
      <w:r>
        <w:rPr>
          <w:sz w:val="28"/>
          <w:szCs w:val="28"/>
          <w:lang w:val="en-US"/>
        </w:rPr>
        <w:t>(iii</w:t>
      </w:r>
      <w:r w:rsidRPr="0057576F">
        <w:rPr>
          <w:sz w:val="28"/>
          <w:szCs w:val="28"/>
          <w:lang w:val="en-US"/>
        </w:rPr>
        <w:t>) according to the functions related to expenditures and loans of the budget (functional classification of budget expenditures and loans).</w:t>
      </w:r>
      <w:r w:rsidRPr="00AA55B8">
        <w:rPr>
          <w:sz w:val="28"/>
          <w:szCs w:val="28"/>
          <w:lang w:val="en-GB"/>
        </w:rPr>
        <w:t xml:space="preserve"> </w:t>
      </w:r>
      <w:r w:rsidRPr="00AA55B8">
        <w:rPr>
          <w:sz w:val="28"/>
          <w:szCs w:val="28"/>
          <w:lang w:val="en-GB"/>
        </w:rPr>
        <w:tab/>
      </w:r>
    </w:p>
    <w:p w14:paraId="0CF3A315" w14:textId="77777777" w:rsidR="0057576F" w:rsidRPr="00AA55B8" w:rsidRDefault="0057576F" w:rsidP="0073536E">
      <w:pPr>
        <w:spacing w:line="312" w:lineRule="auto"/>
        <w:ind w:firstLine="709"/>
        <w:jc w:val="both"/>
        <w:rPr>
          <w:sz w:val="28"/>
          <w:szCs w:val="28"/>
          <w:lang w:val="en-GB"/>
        </w:rPr>
      </w:pPr>
      <w:r w:rsidRPr="00C55564">
        <w:rPr>
          <w:sz w:val="28"/>
          <w:szCs w:val="28"/>
          <w:lang w:val="en-GB"/>
        </w:rPr>
        <w:t>Expenditures of the budget also could be classified by economic nature of the related transactions (economic classification of budget expenditures</w:t>
      </w:r>
      <w:r w:rsidRPr="00AA55B8">
        <w:rPr>
          <w:sz w:val="28"/>
          <w:szCs w:val="28"/>
          <w:lang w:val="en-GB"/>
        </w:rPr>
        <w:t xml:space="preserve">). According to the economic classification, the budget expenditures fall into </w:t>
      </w:r>
      <w:r w:rsidRPr="0057576F">
        <w:rPr>
          <w:b/>
          <w:sz w:val="28"/>
          <w:szCs w:val="28"/>
          <w:lang w:val="en-GB"/>
        </w:rPr>
        <w:t>current and capital expenditures</w:t>
      </w:r>
      <w:r w:rsidRPr="00AA55B8">
        <w:rPr>
          <w:sz w:val="28"/>
          <w:szCs w:val="28"/>
          <w:lang w:val="en-GB"/>
        </w:rPr>
        <w:t xml:space="preserve">. </w:t>
      </w:r>
    </w:p>
    <w:p w14:paraId="79C407EF" w14:textId="77777777" w:rsidR="0057576F" w:rsidRPr="00AA55B8" w:rsidRDefault="0057576F" w:rsidP="0073536E">
      <w:pPr>
        <w:spacing w:line="312" w:lineRule="auto"/>
        <w:ind w:firstLine="709"/>
        <w:jc w:val="both"/>
        <w:rPr>
          <w:sz w:val="28"/>
          <w:szCs w:val="28"/>
          <w:lang w:val="en-GB"/>
        </w:rPr>
      </w:pPr>
      <w:r w:rsidRPr="00C55564">
        <w:rPr>
          <w:sz w:val="28"/>
          <w:szCs w:val="28"/>
          <w:lang w:val="en-GB"/>
        </w:rPr>
        <w:t>Classification of budget lending systematizes budget lending by type of a borrower and breaks down lending transactions by issuing loans from budget and repayment of loans to the budget. The</w:t>
      </w:r>
      <w:r w:rsidRPr="00AA55B8">
        <w:rPr>
          <w:sz w:val="28"/>
          <w:szCs w:val="28"/>
          <w:lang w:val="en-GB"/>
        </w:rPr>
        <w:t xml:space="preserve"> budget expenses (expenditures) include </w:t>
      </w:r>
      <w:r w:rsidRPr="0057576F">
        <w:rPr>
          <w:b/>
          <w:sz w:val="28"/>
          <w:szCs w:val="28"/>
          <w:lang w:val="en-GB"/>
        </w:rPr>
        <w:t>consumption expenses</w:t>
      </w:r>
      <w:r w:rsidRPr="00AA55B8">
        <w:rPr>
          <w:sz w:val="28"/>
          <w:szCs w:val="28"/>
          <w:lang w:val="en-GB"/>
        </w:rPr>
        <w:t xml:space="preserve"> (expenditures) and </w:t>
      </w:r>
      <w:r w:rsidRPr="0057576F">
        <w:rPr>
          <w:b/>
          <w:sz w:val="28"/>
          <w:szCs w:val="28"/>
          <w:lang w:val="en-GB"/>
        </w:rPr>
        <w:t xml:space="preserve">development expenses </w:t>
      </w:r>
      <w:r w:rsidRPr="00AA55B8">
        <w:rPr>
          <w:sz w:val="28"/>
          <w:szCs w:val="28"/>
          <w:lang w:val="en-GB"/>
        </w:rPr>
        <w:t xml:space="preserve">(expenditures) under the budget classification. </w:t>
      </w:r>
    </w:p>
    <w:p w14:paraId="70715B93"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 xml:space="preserve">The </w:t>
      </w:r>
      <w:r w:rsidRPr="00C55564">
        <w:rPr>
          <w:b/>
          <w:sz w:val="28"/>
          <w:szCs w:val="28"/>
          <w:lang w:val="en-GB"/>
        </w:rPr>
        <w:t>budget period</w:t>
      </w:r>
      <w:r w:rsidRPr="00AA55B8">
        <w:rPr>
          <w:sz w:val="28"/>
          <w:szCs w:val="28"/>
          <w:lang w:val="en-GB"/>
        </w:rPr>
        <w:t xml:space="preserve"> for all budgets that comprise the budget system </w:t>
      </w:r>
      <w:r w:rsidR="00AC1FA9">
        <w:rPr>
          <w:sz w:val="28"/>
          <w:szCs w:val="28"/>
          <w:lang w:val="en-GB"/>
        </w:rPr>
        <w:t>must</w:t>
      </w:r>
      <w:r w:rsidRPr="00AA55B8">
        <w:rPr>
          <w:sz w:val="28"/>
          <w:szCs w:val="28"/>
          <w:lang w:val="en-GB"/>
        </w:rPr>
        <w:t xml:space="preserve"> be one calendar year that begins on the 1st of January of a relevant year and ends on the 31st of December of the same year. Failure of the Verkhovna Rada of Ukraine to approve the State Budget Law of Ukraine by January 1 </w:t>
      </w:r>
      <w:r w:rsidR="00AC1FA9">
        <w:rPr>
          <w:sz w:val="28"/>
          <w:szCs w:val="28"/>
          <w:lang w:val="en-GB"/>
        </w:rPr>
        <w:t>will</w:t>
      </w:r>
      <w:r w:rsidRPr="00AA55B8">
        <w:rPr>
          <w:sz w:val="28"/>
          <w:szCs w:val="28"/>
          <w:lang w:val="en-GB"/>
        </w:rPr>
        <w:t xml:space="preserve"> not be a reason to set a different budget period. </w:t>
      </w:r>
    </w:p>
    <w:p w14:paraId="47D30B11"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 xml:space="preserve">Approval of budget running a deficit is allowed when there are reasonable sources of financing of the state budget available with reference to the specific conditions stipulated by the Budget Code. The budget surplus is approved in order to settle a debt, maintain the established current balance of budget funds, and purchase the securities. The current balance of budget funds is a portion of the balance of general fund of the corresponding budget generated to cover temporary cash gaps.  The current balance of budget funds </w:t>
      </w:r>
      <w:r w:rsidR="00AC1FA9">
        <w:rPr>
          <w:sz w:val="28"/>
          <w:szCs w:val="28"/>
          <w:lang w:val="en-GB"/>
        </w:rPr>
        <w:t>will</w:t>
      </w:r>
      <w:r w:rsidRPr="00AA55B8">
        <w:rPr>
          <w:sz w:val="28"/>
          <w:szCs w:val="28"/>
          <w:lang w:val="en-GB"/>
        </w:rPr>
        <w:t xml:space="preserve"> not exceed 2 percent of the target expenditures of the general fund of the budget, and is approved by the Law on the State Budget of Ukraine (decision on the local budget). At the end of the budget period, the current balance of budget funds </w:t>
      </w:r>
      <w:r w:rsidR="00AC1FA9">
        <w:rPr>
          <w:sz w:val="28"/>
          <w:szCs w:val="28"/>
          <w:lang w:val="en-GB"/>
        </w:rPr>
        <w:t>will</w:t>
      </w:r>
      <w:r w:rsidRPr="00AA55B8">
        <w:rPr>
          <w:sz w:val="28"/>
          <w:szCs w:val="28"/>
          <w:lang w:val="en-GB"/>
        </w:rPr>
        <w:t xml:space="preserve"> be maintained within the established amount. The excess of the balance of the general fund budget over the current balance of budget funds at the end of the budget period constitutes the available balance of budget funds used to effect the budget expenses in accordance with the Law on the State Budget of Ukraine and/or changes thereto (changes to the decision on local budget).</w:t>
      </w:r>
    </w:p>
    <w:p w14:paraId="065C5DFA"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lastRenderedPageBreak/>
        <w:t xml:space="preserve">There are four </w:t>
      </w:r>
      <w:r w:rsidRPr="00C55564">
        <w:rPr>
          <w:b/>
          <w:sz w:val="28"/>
          <w:szCs w:val="28"/>
          <w:lang w:val="en-GB"/>
        </w:rPr>
        <w:t>main sources of budget financing</w:t>
      </w:r>
      <w:r w:rsidRPr="00AA55B8">
        <w:rPr>
          <w:sz w:val="28"/>
          <w:szCs w:val="28"/>
          <w:lang w:val="en-GB"/>
        </w:rPr>
        <w:t>: (i) proceeds from government (local) domestic and external borrowings; (ii) proceeds from privatization of state property (including other revenues directly related to privatization process) - as regards the state budget; (iii) withdrawa</w:t>
      </w:r>
      <w:r w:rsidR="00AC1FA9">
        <w:rPr>
          <w:sz w:val="28"/>
          <w:szCs w:val="28"/>
          <w:lang w:val="en-GB"/>
        </w:rPr>
        <w:t>l of budget funds from deposits</w:t>
      </w:r>
      <w:r w:rsidRPr="00AA55B8">
        <w:rPr>
          <w:sz w:val="28"/>
          <w:szCs w:val="28"/>
          <w:lang w:val="en-GB"/>
        </w:rPr>
        <w:t xml:space="preserve"> and proceeds from selling/presenting securities; </w:t>
      </w:r>
      <w:r w:rsidR="00AC1FA9">
        <w:rPr>
          <w:sz w:val="28"/>
          <w:szCs w:val="28"/>
          <w:lang w:val="en-GB"/>
        </w:rPr>
        <w:t xml:space="preserve">and </w:t>
      </w:r>
      <w:r w:rsidRPr="00AA55B8">
        <w:rPr>
          <w:sz w:val="28"/>
          <w:szCs w:val="28"/>
          <w:lang w:val="en-GB"/>
        </w:rPr>
        <w:t xml:space="preserve">(iv) available balance of budget funds. Money issued by the National Bank of Ukraine cannot constitute a source of budget financing. </w:t>
      </w:r>
    </w:p>
    <w:p w14:paraId="208DE849"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Domestic and foreign government borrowings are made within the established limit of public debt.</w:t>
      </w:r>
    </w:p>
    <w:p w14:paraId="7F14EF4A" w14:textId="77777777" w:rsidR="00BE42A0" w:rsidRPr="00AA55B8" w:rsidRDefault="00BE42A0" w:rsidP="0073536E">
      <w:pPr>
        <w:spacing w:line="312" w:lineRule="auto"/>
        <w:ind w:firstLine="709"/>
        <w:jc w:val="both"/>
        <w:rPr>
          <w:sz w:val="28"/>
          <w:szCs w:val="28"/>
          <w:lang w:val="en-GB"/>
        </w:rPr>
      </w:pPr>
      <w:r w:rsidRPr="00C55564">
        <w:rPr>
          <w:b/>
          <w:sz w:val="28"/>
          <w:szCs w:val="28"/>
          <w:lang w:val="en-GB"/>
        </w:rPr>
        <w:t>Public debt</w:t>
      </w:r>
      <w:r w:rsidRPr="00AA55B8">
        <w:rPr>
          <w:sz w:val="28"/>
          <w:szCs w:val="28"/>
          <w:lang w:val="en-GB"/>
        </w:rPr>
        <w:t xml:space="preserve"> is the sum of the debt liabilities of a state consisting of pending loans at the respective reporting date which were taken by the state. Public loans are taken to finance the public budget deficit. To receive them, a country issues bonds (debt instruments) for the domestic or international financial market. These funds are taken to be used in the public sector of the economy and for their effective transformation into the growth of public revenues. Public debt consists of the </w:t>
      </w:r>
      <w:r w:rsidRPr="00C55564">
        <w:rPr>
          <w:b/>
          <w:sz w:val="28"/>
          <w:szCs w:val="28"/>
          <w:lang w:val="en-GB"/>
        </w:rPr>
        <w:t>direct debt</w:t>
      </w:r>
      <w:r w:rsidRPr="00AA55B8">
        <w:rPr>
          <w:sz w:val="28"/>
          <w:szCs w:val="28"/>
          <w:lang w:val="en-GB"/>
        </w:rPr>
        <w:t xml:space="preserve"> and the </w:t>
      </w:r>
      <w:r w:rsidRPr="00C55564">
        <w:rPr>
          <w:b/>
          <w:sz w:val="28"/>
          <w:szCs w:val="28"/>
          <w:lang w:val="en-GB"/>
        </w:rPr>
        <w:t>debt guaranteed by the state</w:t>
      </w:r>
      <w:r w:rsidRPr="00AA55B8">
        <w:rPr>
          <w:sz w:val="28"/>
          <w:szCs w:val="28"/>
          <w:lang w:val="en-GB"/>
        </w:rPr>
        <w:t xml:space="preserve">. </w:t>
      </w:r>
      <w:r w:rsidRPr="00C55564">
        <w:rPr>
          <w:b/>
          <w:sz w:val="28"/>
          <w:szCs w:val="28"/>
          <w:lang w:val="en-GB"/>
        </w:rPr>
        <w:t>Direct debt</w:t>
      </w:r>
      <w:r w:rsidRPr="00AA55B8">
        <w:rPr>
          <w:sz w:val="28"/>
          <w:szCs w:val="28"/>
          <w:lang w:val="en-GB"/>
        </w:rPr>
        <w:t xml:space="preserve"> is the sum of the country’s debts resulting from taken and pending loans at the respective reporting date. </w:t>
      </w:r>
    </w:p>
    <w:p w14:paraId="612CE19E" w14:textId="77777777" w:rsidR="00BE42A0" w:rsidRPr="00AA55B8" w:rsidRDefault="00BE42A0" w:rsidP="0073536E">
      <w:pPr>
        <w:spacing w:line="312" w:lineRule="auto"/>
        <w:ind w:firstLine="709"/>
        <w:jc w:val="both"/>
        <w:rPr>
          <w:sz w:val="28"/>
          <w:szCs w:val="28"/>
          <w:lang w:val="en-GB"/>
        </w:rPr>
      </w:pPr>
      <w:r w:rsidRPr="00C55564">
        <w:rPr>
          <w:b/>
          <w:sz w:val="28"/>
          <w:szCs w:val="28"/>
          <w:lang w:val="en-GB"/>
        </w:rPr>
        <w:t>Debt guaranteed by the state</w:t>
      </w:r>
      <w:r w:rsidRPr="00AA55B8">
        <w:rPr>
          <w:sz w:val="28"/>
          <w:szCs w:val="28"/>
          <w:lang w:val="en-GB"/>
        </w:rPr>
        <w:t xml:space="preserve"> is the sum of the debts of economic entities residing in Ukraine resulting from taken and pending loans at the respective reporting date whose repayment is guaranteed by the state. State guarantees are meant to support the implementation of projects on social and economic development and pose one</w:t>
      </w:r>
      <w:r w:rsidR="00AC1FA9">
        <w:rPr>
          <w:sz w:val="28"/>
          <w:szCs w:val="28"/>
          <w:lang w:val="en-GB"/>
        </w:rPr>
        <w:t>s</w:t>
      </w:r>
      <w:r w:rsidRPr="00AA55B8">
        <w:rPr>
          <w:sz w:val="28"/>
          <w:szCs w:val="28"/>
          <w:lang w:val="en-GB"/>
        </w:rPr>
        <w:t xml:space="preserve"> the most popular forms of financial support for infrastructure development. The new policy on state guarantees</w:t>
      </w:r>
      <w:r w:rsidR="00AC1FA9">
        <w:rPr>
          <w:sz w:val="28"/>
          <w:szCs w:val="28"/>
          <w:lang w:val="en-GB"/>
        </w:rPr>
        <w:t>,</w:t>
      </w:r>
      <w:r w:rsidRPr="00AA55B8">
        <w:rPr>
          <w:sz w:val="28"/>
          <w:szCs w:val="28"/>
          <w:lang w:val="en-GB"/>
        </w:rPr>
        <w:t xml:space="preserve"> which has been pursued since the second half of 2014</w:t>
      </w:r>
      <w:r w:rsidR="00AC1FA9">
        <w:rPr>
          <w:sz w:val="28"/>
          <w:szCs w:val="28"/>
          <w:lang w:val="en-GB"/>
        </w:rPr>
        <w:t>,</w:t>
      </w:r>
      <w:r w:rsidRPr="00AA55B8">
        <w:rPr>
          <w:sz w:val="28"/>
          <w:szCs w:val="28"/>
          <w:lang w:val="en-GB"/>
        </w:rPr>
        <w:t xml:space="preserve"> emphasizes that these guarantees are not provided for consumption – they are mostly granted for development projects supported by international financial organizations. These projects are implemented in areas like funding of investment, innovation, infrastructure and other development projects which are of strategic importance and which contribute to the economic development of Ukraine. Also, these are projects aimed to increase the energy efficiency and to enhance the competitive advantages of Ukrainian companies.</w:t>
      </w:r>
      <w:r w:rsidR="00C55564">
        <w:rPr>
          <w:sz w:val="28"/>
          <w:szCs w:val="28"/>
          <w:lang w:val="en-GB"/>
        </w:rPr>
        <w:t xml:space="preserve"> </w:t>
      </w:r>
      <w:r w:rsidRPr="00AA55B8">
        <w:rPr>
          <w:sz w:val="28"/>
          <w:szCs w:val="28"/>
          <w:lang w:val="en-GB"/>
        </w:rPr>
        <w:t>State guarantees are granted to support projects related to the social and economic development and are one of the most popular forms of financial support for infrastructure build-up.</w:t>
      </w:r>
    </w:p>
    <w:p w14:paraId="11D84E48"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 xml:space="preserve">Depending on the source of the loans, the </w:t>
      </w:r>
      <w:r w:rsidRPr="00C55564">
        <w:rPr>
          <w:b/>
          <w:sz w:val="28"/>
          <w:szCs w:val="28"/>
          <w:lang w:val="en-GB"/>
        </w:rPr>
        <w:t>public debt</w:t>
      </w:r>
      <w:r w:rsidRPr="00AA55B8">
        <w:rPr>
          <w:sz w:val="28"/>
          <w:szCs w:val="28"/>
          <w:lang w:val="en-GB"/>
        </w:rPr>
        <w:t xml:space="preserve"> can be </w:t>
      </w:r>
      <w:r w:rsidRPr="00C55564">
        <w:rPr>
          <w:b/>
          <w:sz w:val="28"/>
          <w:szCs w:val="28"/>
          <w:lang w:val="en-GB"/>
        </w:rPr>
        <w:t>domestic/internal</w:t>
      </w:r>
      <w:r w:rsidRPr="00AA55B8">
        <w:rPr>
          <w:sz w:val="28"/>
          <w:szCs w:val="28"/>
          <w:lang w:val="en-GB"/>
        </w:rPr>
        <w:t xml:space="preserve"> (loans taken from citizens or legal entities buying public domestic </w:t>
      </w:r>
      <w:r w:rsidRPr="00AA55B8">
        <w:rPr>
          <w:sz w:val="28"/>
          <w:szCs w:val="28"/>
          <w:lang w:val="en-GB"/>
        </w:rPr>
        <w:lastRenderedPageBreak/>
        <w:t xml:space="preserve">bonds) or </w:t>
      </w:r>
      <w:r w:rsidRPr="00C55564">
        <w:rPr>
          <w:b/>
          <w:sz w:val="28"/>
          <w:szCs w:val="28"/>
          <w:lang w:val="en-GB"/>
        </w:rPr>
        <w:t xml:space="preserve">external </w:t>
      </w:r>
      <w:r w:rsidRPr="00AA55B8">
        <w:rPr>
          <w:sz w:val="28"/>
          <w:szCs w:val="28"/>
          <w:lang w:val="en-GB"/>
        </w:rPr>
        <w:t>(loans taken on the international market). The public debt of Ukraine is ma</w:t>
      </w:r>
      <w:r w:rsidR="009D094B">
        <w:rPr>
          <w:sz w:val="28"/>
          <w:szCs w:val="28"/>
          <w:lang w:val="en-GB"/>
        </w:rPr>
        <w:t xml:space="preserve">naged jointly by the Cabinet </w:t>
      </w:r>
      <w:r w:rsidRPr="00AA55B8">
        <w:rPr>
          <w:sz w:val="28"/>
          <w:szCs w:val="28"/>
          <w:lang w:val="en-GB"/>
        </w:rPr>
        <w:t>Ministers, the Ministry of Finance, the National Bank, and the State Treasury which are responsible for the elaboration and implementation of an effective state debt strategy aimed to secure financial stability and debt sustainability of the country. The Cabinet</w:t>
      </w:r>
      <w:r w:rsidR="00AC1FA9">
        <w:rPr>
          <w:sz w:val="28"/>
          <w:szCs w:val="28"/>
          <w:lang w:val="en-GB"/>
        </w:rPr>
        <w:t xml:space="preserve"> </w:t>
      </w:r>
      <w:r w:rsidRPr="00AA55B8">
        <w:rPr>
          <w:sz w:val="28"/>
          <w:szCs w:val="28"/>
          <w:lang w:val="en-GB"/>
        </w:rPr>
        <w:t xml:space="preserve">Ministers of Ukraine define conditions to make government borrowings, including their type, currency, term, and interest rate of a government borrowing. The direct public debt and the debt guaranteed by the state are regulated by the Constitution of Ukraine, the Budget Code of Ukraine and other regulations on the re-payment and processing of the public debt and the debt guaranteed by the state. The </w:t>
      </w:r>
      <w:r w:rsidRPr="00C55564">
        <w:rPr>
          <w:b/>
          <w:sz w:val="28"/>
          <w:szCs w:val="28"/>
          <w:lang w:val="en-GB"/>
        </w:rPr>
        <w:t>limit of public (local) debt</w:t>
      </w:r>
      <w:r w:rsidRPr="00AA55B8">
        <w:rPr>
          <w:sz w:val="28"/>
          <w:szCs w:val="28"/>
          <w:lang w:val="en-GB"/>
        </w:rPr>
        <w:t xml:space="preserve"> and the </w:t>
      </w:r>
      <w:r w:rsidRPr="00C55564">
        <w:rPr>
          <w:b/>
          <w:sz w:val="28"/>
          <w:szCs w:val="28"/>
          <w:lang w:val="en-GB"/>
        </w:rPr>
        <w:t>limit of government (local) guarantees to be issued</w:t>
      </w:r>
      <w:r w:rsidRPr="00AA55B8">
        <w:rPr>
          <w:sz w:val="28"/>
          <w:szCs w:val="28"/>
          <w:lang w:val="en-GB"/>
        </w:rPr>
        <w:t xml:space="preserve"> are defined for each budget period by the Law on the State Budget of Ukraine (decision on the local budget). The </w:t>
      </w:r>
      <w:r w:rsidRPr="00C55564">
        <w:rPr>
          <w:b/>
          <w:sz w:val="28"/>
          <w:szCs w:val="28"/>
          <w:lang w:val="en-GB"/>
        </w:rPr>
        <w:t>total amount of public debt and state-guaranteed debt</w:t>
      </w:r>
      <w:r w:rsidRPr="00AA55B8">
        <w:rPr>
          <w:sz w:val="28"/>
          <w:szCs w:val="28"/>
          <w:lang w:val="en-GB"/>
        </w:rPr>
        <w:t xml:space="preserve"> at the end of the budget period </w:t>
      </w:r>
      <w:r w:rsidR="00AC1FA9">
        <w:rPr>
          <w:sz w:val="28"/>
          <w:szCs w:val="28"/>
          <w:lang w:val="en-GB"/>
        </w:rPr>
        <w:t>must</w:t>
      </w:r>
      <w:r w:rsidRPr="00AA55B8">
        <w:rPr>
          <w:sz w:val="28"/>
          <w:szCs w:val="28"/>
          <w:lang w:val="en-GB"/>
        </w:rPr>
        <w:t xml:space="preserve"> not exceed </w:t>
      </w:r>
      <w:r w:rsidRPr="00C55564">
        <w:rPr>
          <w:b/>
          <w:sz w:val="28"/>
          <w:szCs w:val="28"/>
          <w:lang w:val="en-GB"/>
        </w:rPr>
        <w:t>60 percent</w:t>
      </w:r>
      <w:r w:rsidRPr="00AA55B8">
        <w:rPr>
          <w:sz w:val="28"/>
          <w:szCs w:val="28"/>
          <w:lang w:val="en-GB"/>
        </w:rPr>
        <w:t xml:space="preserve"> of the annual nominal volume of Ukrainian gross domestic product.</w:t>
      </w:r>
    </w:p>
    <w:p w14:paraId="323FD881"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 xml:space="preserve">To recover the state financial system and to secure financial stability at the currency and financial market, the Ministry of Finance is working to reduce the public debt of Ukraine. To lower the debt burden, the Ministry is active in 2 areas: </w:t>
      </w:r>
    </w:p>
    <w:p w14:paraId="5661971E" w14:textId="77777777" w:rsidR="00BE42A0" w:rsidRPr="00C55564" w:rsidRDefault="00C55564" w:rsidP="0073536E">
      <w:pPr>
        <w:shd w:val="clear" w:color="auto" w:fill="FFFFFF"/>
        <w:spacing w:line="312" w:lineRule="auto"/>
        <w:ind w:left="993" w:hanging="284"/>
        <w:jc w:val="both"/>
        <w:textAlignment w:val="baseline"/>
        <w:rPr>
          <w:sz w:val="28"/>
          <w:szCs w:val="28"/>
          <w:lang w:val="en-US"/>
        </w:rPr>
      </w:pPr>
      <w:r w:rsidRPr="00C55564">
        <w:rPr>
          <w:sz w:val="28"/>
          <w:szCs w:val="28"/>
          <w:lang w:val="en-US"/>
        </w:rPr>
        <w:t>(i</w:t>
      </w:r>
      <w:r w:rsidR="00BE42A0" w:rsidRPr="00C55564">
        <w:rPr>
          <w:sz w:val="28"/>
          <w:szCs w:val="28"/>
          <w:lang w:val="en-US"/>
        </w:rPr>
        <w:t xml:space="preserve">) </w:t>
      </w:r>
      <w:r w:rsidRPr="00C55564">
        <w:rPr>
          <w:b/>
          <w:sz w:val="28"/>
          <w:szCs w:val="28"/>
          <w:lang w:val="en-US"/>
        </w:rPr>
        <w:t>R</w:t>
      </w:r>
      <w:r w:rsidR="00BE42A0" w:rsidRPr="00C55564">
        <w:rPr>
          <w:b/>
          <w:sz w:val="28"/>
          <w:szCs w:val="28"/>
          <w:lang w:val="en-US"/>
        </w:rPr>
        <w:t>eplacement of previously issued bonds</w:t>
      </w:r>
      <w:r w:rsidR="00BE42A0" w:rsidRPr="00C55564">
        <w:rPr>
          <w:sz w:val="28"/>
          <w:szCs w:val="28"/>
          <w:lang w:val="en-US"/>
        </w:rPr>
        <w:t xml:space="preserve"> by new cheaper financial instruments. The Ministry of Finance is effectively replacing the expensive liabilities made in previous years (average interest rate of 8</w:t>
      </w:r>
      <w:r w:rsidR="00AD0648">
        <w:rPr>
          <w:sz w:val="28"/>
          <w:szCs w:val="28"/>
          <w:lang w:val="en-US"/>
        </w:rPr>
        <w:t xml:space="preserve"> </w:t>
      </w:r>
      <w:r w:rsidR="00BE42A0" w:rsidRPr="00C55564">
        <w:rPr>
          <w:sz w:val="28"/>
          <w:szCs w:val="28"/>
          <w:lang w:val="en-US"/>
        </w:rPr>
        <w:t>% p.a. with the maturity of approx. 8 years) with cheaper loans (average interest rate of up to 3</w:t>
      </w:r>
      <w:r w:rsidR="00AD0648">
        <w:rPr>
          <w:sz w:val="28"/>
          <w:szCs w:val="28"/>
          <w:lang w:val="en-US"/>
        </w:rPr>
        <w:t> </w:t>
      </w:r>
      <w:r w:rsidR="00BE42A0" w:rsidRPr="00C55564">
        <w:rPr>
          <w:sz w:val="28"/>
          <w:szCs w:val="28"/>
          <w:lang w:val="en-US"/>
        </w:rPr>
        <w:t>% p.a. with the maturity above 10 years). Thus, new loans are threefold more favorable compared to the previous ones.</w:t>
      </w:r>
    </w:p>
    <w:p w14:paraId="78EF33F6" w14:textId="77777777" w:rsidR="0073536E" w:rsidRDefault="00C55564" w:rsidP="0073536E">
      <w:pPr>
        <w:shd w:val="clear" w:color="auto" w:fill="FFFFFF"/>
        <w:spacing w:line="312" w:lineRule="auto"/>
        <w:ind w:left="993" w:hanging="284"/>
        <w:jc w:val="both"/>
        <w:textAlignment w:val="baseline"/>
        <w:rPr>
          <w:sz w:val="28"/>
          <w:szCs w:val="28"/>
          <w:lang w:val="en-GB"/>
        </w:rPr>
      </w:pPr>
      <w:r w:rsidRPr="00C55564">
        <w:rPr>
          <w:sz w:val="28"/>
          <w:szCs w:val="28"/>
          <w:lang w:val="en-US"/>
        </w:rPr>
        <w:t>(ii</w:t>
      </w:r>
      <w:r w:rsidR="00BE42A0" w:rsidRPr="00C55564">
        <w:rPr>
          <w:sz w:val="28"/>
          <w:szCs w:val="28"/>
          <w:lang w:val="en-US"/>
        </w:rPr>
        <w:t xml:space="preserve">) </w:t>
      </w:r>
      <w:r w:rsidR="00BE42A0" w:rsidRPr="00C55564">
        <w:rPr>
          <w:b/>
          <w:sz w:val="28"/>
          <w:szCs w:val="28"/>
          <w:lang w:val="en-US"/>
        </w:rPr>
        <w:t>Debt restructuring</w:t>
      </w:r>
      <w:r w:rsidR="00BE42A0" w:rsidRPr="00C55564">
        <w:rPr>
          <w:sz w:val="28"/>
          <w:szCs w:val="28"/>
          <w:lang w:val="en-US"/>
        </w:rPr>
        <w:t xml:space="preserve"> deals with the holders of the Ukrainian bonds: the agreement between the Ministry of Finance and the </w:t>
      </w:r>
      <w:r w:rsidR="00A31DAC">
        <w:rPr>
          <w:sz w:val="28"/>
          <w:szCs w:val="28"/>
          <w:lang w:val="en-US"/>
        </w:rPr>
        <w:t>C</w:t>
      </w:r>
      <w:r w:rsidR="00BE42A0" w:rsidRPr="00C55564">
        <w:rPr>
          <w:sz w:val="28"/>
          <w:szCs w:val="28"/>
          <w:lang w:val="en-US"/>
        </w:rPr>
        <w:t xml:space="preserve">reditors’ </w:t>
      </w:r>
      <w:r w:rsidR="00A31DAC">
        <w:rPr>
          <w:sz w:val="28"/>
          <w:szCs w:val="28"/>
          <w:lang w:val="en-US"/>
        </w:rPr>
        <w:t>C</w:t>
      </w:r>
      <w:r w:rsidR="00BE42A0" w:rsidRPr="00C55564">
        <w:rPr>
          <w:sz w:val="28"/>
          <w:szCs w:val="28"/>
          <w:lang w:val="en-US"/>
        </w:rPr>
        <w:t xml:space="preserve">ommittee on the </w:t>
      </w:r>
      <w:r w:rsidR="00A31DAC" w:rsidRPr="00C55564">
        <w:rPr>
          <w:sz w:val="28"/>
          <w:szCs w:val="28"/>
          <w:lang w:val="en-US"/>
        </w:rPr>
        <w:t>Ukrain</w:t>
      </w:r>
      <w:r w:rsidR="00A31DAC">
        <w:rPr>
          <w:sz w:val="28"/>
          <w:szCs w:val="28"/>
          <w:lang w:val="en-US"/>
        </w:rPr>
        <w:t>e’s debt</w:t>
      </w:r>
      <w:r w:rsidR="00A31DAC" w:rsidRPr="00C55564">
        <w:rPr>
          <w:sz w:val="28"/>
          <w:szCs w:val="28"/>
          <w:lang w:val="en-US"/>
        </w:rPr>
        <w:t xml:space="preserve"> </w:t>
      </w:r>
      <w:r w:rsidR="00BE42A0" w:rsidRPr="00C55564">
        <w:rPr>
          <w:sz w:val="28"/>
          <w:szCs w:val="28"/>
          <w:lang w:val="en-US"/>
        </w:rPr>
        <w:t>restructuring includes the following terms: reduction of the principal value of the public debt and debt guaranteed by the state by 20</w:t>
      </w:r>
      <w:r w:rsidR="00AD0648">
        <w:rPr>
          <w:sz w:val="28"/>
          <w:szCs w:val="28"/>
          <w:lang w:val="en-US"/>
        </w:rPr>
        <w:t xml:space="preserve"> </w:t>
      </w:r>
      <w:r w:rsidR="00BE42A0" w:rsidRPr="00C55564">
        <w:rPr>
          <w:sz w:val="28"/>
          <w:szCs w:val="28"/>
          <w:lang w:val="en-US"/>
        </w:rPr>
        <w:t xml:space="preserve">% thus cutting the debt immediately by USD 3.6 bn (USD 3.8 bn if this </w:t>
      </w:r>
      <w:r w:rsidR="00AD0648">
        <w:rPr>
          <w:sz w:val="28"/>
          <w:szCs w:val="28"/>
          <w:lang w:val="en-US"/>
        </w:rPr>
        <w:t>“</w:t>
      </w:r>
      <w:r w:rsidR="00BE42A0" w:rsidRPr="00C55564">
        <w:rPr>
          <w:sz w:val="28"/>
          <w:szCs w:val="28"/>
          <w:lang w:val="en-US"/>
        </w:rPr>
        <w:t>haircut</w:t>
      </w:r>
      <w:r w:rsidR="00AD0648">
        <w:rPr>
          <w:sz w:val="28"/>
          <w:szCs w:val="28"/>
          <w:lang w:val="en-US"/>
        </w:rPr>
        <w:t>”</w:t>
      </w:r>
      <w:r w:rsidR="00BE42A0" w:rsidRPr="00C55564">
        <w:rPr>
          <w:sz w:val="28"/>
          <w:szCs w:val="28"/>
          <w:lang w:val="en-US"/>
        </w:rPr>
        <w:t xml:space="preserve"> is also agreed for the foreign debts of companies guaranteed by the state and for the Eurobonds of Kyiv).</w:t>
      </w:r>
      <w:r w:rsidR="0073536E">
        <w:rPr>
          <w:sz w:val="28"/>
          <w:szCs w:val="28"/>
          <w:lang w:val="en-GB"/>
        </w:rPr>
        <w:t xml:space="preserve"> </w:t>
      </w:r>
      <w:r w:rsidR="0073536E">
        <w:rPr>
          <w:sz w:val="28"/>
          <w:szCs w:val="28"/>
          <w:lang w:val="en-GB"/>
        </w:rPr>
        <w:tab/>
      </w:r>
    </w:p>
    <w:p w14:paraId="0BA94AF3" w14:textId="77777777" w:rsidR="00BE42A0" w:rsidRPr="00AA55B8" w:rsidRDefault="00BE42A0" w:rsidP="0073536E">
      <w:pPr>
        <w:shd w:val="clear" w:color="auto" w:fill="FFFFFF"/>
        <w:spacing w:line="312" w:lineRule="auto"/>
        <w:ind w:firstLine="709"/>
        <w:jc w:val="both"/>
        <w:textAlignment w:val="baseline"/>
        <w:rPr>
          <w:sz w:val="28"/>
          <w:szCs w:val="28"/>
          <w:lang w:val="en-GB"/>
        </w:rPr>
      </w:pPr>
      <w:r w:rsidRPr="00AA55B8">
        <w:rPr>
          <w:sz w:val="28"/>
          <w:szCs w:val="28"/>
          <w:lang w:val="en-GB"/>
        </w:rPr>
        <w:t xml:space="preserve">The </w:t>
      </w:r>
      <w:r w:rsidRPr="00C55564">
        <w:rPr>
          <w:b/>
          <w:sz w:val="28"/>
          <w:szCs w:val="28"/>
          <w:lang w:val="en-GB"/>
        </w:rPr>
        <w:t>budget process</w:t>
      </w:r>
      <w:r w:rsidRPr="00AA55B8">
        <w:rPr>
          <w:sz w:val="28"/>
          <w:szCs w:val="28"/>
          <w:lang w:val="en-GB"/>
        </w:rPr>
        <w:t xml:space="preserve"> is a process of drafting, deliberation, approval and execution of budgets, reporting on budget execution, and exercising control over compliance with budget legislation regulated by the budget legislation. The </w:t>
      </w:r>
      <w:r w:rsidRPr="00C55564">
        <w:rPr>
          <w:b/>
          <w:sz w:val="28"/>
          <w:szCs w:val="28"/>
          <w:lang w:val="en-GB"/>
        </w:rPr>
        <w:lastRenderedPageBreak/>
        <w:t>participants of the budget process</w:t>
      </w:r>
      <w:r w:rsidRPr="00AA55B8">
        <w:rPr>
          <w:sz w:val="28"/>
          <w:szCs w:val="28"/>
          <w:lang w:val="en-GB"/>
        </w:rPr>
        <w:t xml:space="preserve"> are bodies, institutions, and officials possessing budget permissions (rights and obligations related to managing budget funds), including the President of Ukraine, Verkhovna Rada of Ukraine, Cabinet Ministers of Ukraine, Ministry of Finance, State Treasury, the National Bank of Ukraine, etc.</w:t>
      </w:r>
    </w:p>
    <w:p w14:paraId="78ACF303" w14:textId="77777777" w:rsidR="00BE42A0" w:rsidRPr="00AA55B8" w:rsidRDefault="00BE42A0" w:rsidP="0073536E">
      <w:pPr>
        <w:spacing w:line="312" w:lineRule="auto"/>
        <w:ind w:firstLine="709"/>
        <w:jc w:val="both"/>
        <w:rPr>
          <w:sz w:val="28"/>
          <w:szCs w:val="28"/>
          <w:lang w:val="en-GB"/>
        </w:rPr>
      </w:pPr>
      <w:r w:rsidRPr="00AA55B8">
        <w:rPr>
          <w:sz w:val="28"/>
          <w:szCs w:val="28"/>
          <w:lang w:val="en-GB"/>
        </w:rPr>
        <w:t xml:space="preserve">The following are recognized as </w:t>
      </w:r>
      <w:r w:rsidRPr="00C55564">
        <w:rPr>
          <w:b/>
          <w:sz w:val="28"/>
          <w:szCs w:val="28"/>
          <w:lang w:val="en-GB"/>
        </w:rPr>
        <w:t>stages of the budget process</w:t>
      </w:r>
      <w:r w:rsidRPr="00AA55B8">
        <w:rPr>
          <w:sz w:val="28"/>
          <w:szCs w:val="28"/>
          <w:lang w:val="en-GB"/>
        </w:rPr>
        <w:t>:</w:t>
      </w:r>
    </w:p>
    <w:p w14:paraId="1DF3B6C6" w14:textId="77777777" w:rsidR="00BE42A0" w:rsidRPr="00C55564" w:rsidRDefault="00C55564" w:rsidP="0073536E">
      <w:pPr>
        <w:shd w:val="clear" w:color="auto" w:fill="FFFFFF"/>
        <w:spacing w:line="312" w:lineRule="auto"/>
        <w:ind w:left="1134" w:hanging="425"/>
        <w:jc w:val="both"/>
        <w:textAlignment w:val="baseline"/>
        <w:rPr>
          <w:sz w:val="28"/>
          <w:szCs w:val="28"/>
          <w:lang w:val="en-US"/>
        </w:rPr>
      </w:pPr>
      <w:r>
        <w:rPr>
          <w:sz w:val="28"/>
          <w:szCs w:val="28"/>
          <w:lang w:val="en-US"/>
        </w:rPr>
        <w:t>(i</w:t>
      </w:r>
      <w:r w:rsidR="00BE42A0" w:rsidRPr="00C55564">
        <w:rPr>
          <w:sz w:val="28"/>
          <w:szCs w:val="28"/>
          <w:lang w:val="en-US"/>
        </w:rPr>
        <w:t>) drawing up draft budgets;</w:t>
      </w:r>
    </w:p>
    <w:p w14:paraId="29B786FF" w14:textId="77777777" w:rsidR="00BE42A0" w:rsidRPr="00C55564" w:rsidRDefault="00C55564" w:rsidP="0073536E">
      <w:pPr>
        <w:shd w:val="clear" w:color="auto" w:fill="FFFFFF"/>
        <w:spacing w:line="312" w:lineRule="auto"/>
        <w:ind w:left="1134" w:hanging="425"/>
        <w:jc w:val="both"/>
        <w:textAlignment w:val="baseline"/>
        <w:rPr>
          <w:sz w:val="28"/>
          <w:szCs w:val="28"/>
          <w:lang w:val="en-US"/>
        </w:rPr>
      </w:pPr>
      <w:r>
        <w:rPr>
          <w:sz w:val="28"/>
          <w:szCs w:val="28"/>
          <w:lang w:val="en-US"/>
        </w:rPr>
        <w:t>(ii</w:t>
      </w:r>
      <w:r w:rsidR="00BE42A0" w:rsidRPr="00C55564">
        <w:rPr>
          <w:sz w:val="28"/>
          <w:szCs w:val="28"/>
          <w:lang w:val="en-US"/>
        </w:rPr>
        <w:t>) deliberating the draft and adopting the Law on the State Budget of Ukraine (decision on the local budget);</w:t>
      </w:r>
    </w:p>
    <w:p w14:paraId="00C2BFE7" w14:textId="77777777" w:rsidR="00BE42A0" w:rsidRPr="00C55564" w:rsidRDefault="00C55564" w:rsidP="0073536E">
      <w:pPr>
        <w:shd w:val="clear" w:color="auto" w:fill="FFFFFF"/>
        <w:spacing w:line="312" w:lineRule="auto"/>
        <w:ind w:left="1134" w:hanging="425"/>
        <w:jc w:val="both"/>
        <w:textAlignment w:val="baseline"/>
        <w:rPr>
          <w:sz w:val="28"/>
          <w:szCs w:val="28"/>
          <w:lang w:val="en-US"/>
        </w:rPr>
      </w:pPr>
      <w:r>
        <w:rPr>
          <w:sz w:val="28"/>
          <w:szCs w:val="28"/>
          <w:lang w:val="en-US"/>
        </w:rPr>
        <w:t>(iii</w:t>
      </w:r>
      <w:r w:rsidR="00BE42A0" w:rsidRPr="00C55564">
        <w:rPr>
          <w:sz w:val="28"/>
          <w:szCs w:val="28"/>
          <w:lang w:val="en-US"/>
        </w:rPr>
        <w:t>) executing the budget, including introducing changes to the Law on the State Budget of Ukraine (decision on the local budget);</w:t>
      </w:r>
    </w:p>
    <w:p w14:paraId="4A48BD89" w14:textId="77777777" w:rsidR="00BE42A0" w:rsidRPr="00C55564" w:rsidRDefault="00C55564" w:rsidP="0073536E">
      <w:pPr>
        <w:shd w:val="clear" w:color="auto" w:fill="FFFFFF"/>
        <w:spacing w:line="312" w:lineRule="auto"/>
        <w:ind w:left="1134" w:hanging="425"/>
        <w:jc w:val="both"/>
        <w:textAlignment w:val="baseline"/>
        <w:rPr>
          <w:sz w:val="28"/>
          <w:szCs w:val="28"/>
          <w:lang w:val="en-US"/>
        </w:rPr>
      </w:pPr>
      <w:r>
        <w:rPr>
          <w:sz w:val="28"/>
          <w:szCs w:val="28"/>
          <w:lang w:val="en-US"/>
        </w:rPr>
        <w:t>(iv</w:t>
      </w:r>
      <w:r w:rsidR="00BE42A0" w:rsidRPr="00C55564">
        <w:rPr>
          <w:sz w:val="28"/>
          <w:szCs w:val="28"/>
          <w:lang w:val="en-US"/>
        </w:rPr>
        <w:t>) drawing up and deliberating a report on budget execution and making the corresponding decision.</w:t>
      </w:r>
    </w:p>
    <w:p w14:paraId="639C0896" w14:textId="77777777" w:rsidR="00BE42A0" w:rsidRPr="00AA55B8" w:rsidRDefault="00C55564" w:rsidP="00C55564">
      <w:pPr>
        <w:pStyle w:val="end2"/>
      </w:pPr>
      <w:r w:rsidRPr="00C55564">
        <w:t>RECOMMENDED READING</w:t>
      </w:r>
    </w:p>
    <w:p w14:paraId="7402434C" w14:textId="77777777" w:rsidR="0073536E" w:rsidRPr="0073536E" w:rsidRDefault="0072591B" w:rsidP="006F749C">
      <w:pPr>
        <w:pStyle w:val="ListParagraph"/>
        <w:numPr>
          <w:ilvl w:val="3"/>
          <w:numId w:val="113"/>
        </w:numPr>
        <w:tabs>
          <w:tab w:val="clear" w:pos="3589"/>
        </w:tabs>
        <w:spacing w:line="312" w:lineRule="auto"/>
        <w:ind w:left="426"/>
        <w:jc w:val="both"/>
        <w:rPr>
          <w:rFonts w:ascii="Garamond" w:hAnsi="Garamond"/>
          <w:szCs w:val="28"/>
          <w:lang w:val="en-US"/>
        </w:rPr>
      </w:pPr>
      <w:r w:rsidRPr="0073536E">
        <w:rPr>
          <w:rFonts w:ascii="Garamond" w:hAnsi="Garamond"/>
          <w:szCs w:val="28"/>
          <w:lang w:val="en-US"/>
        </w:rPr>
        <w:t xml:space="preserve">Alesina, A. F., </w:t>
      </w:r>
      <w:r w:rsidR="0073536E">
        <w:rPr>
          <w:rFonts w:ascii="Garamond" w:hAnsi="Garamond"/>
          <w:szCs w:val="28"/>
          <w:lang w:val="en-US"/>
        </w:rPr>
        <w:t>and</w:t>
      </w:r>
      <w:r w:rsidRPr="0073536E">
        <w:rPr>
          <w:rFonts w:ascii="Garamond" w:hAnsi="Garamond"/>
          <w:szCs w:val="28"/>
          <w:lang w:val="en-US"/>
        </w:rPr>
        <w:t xml:space="preserve"> Perotti, R.</w:t>
      </w:r>
      <w:r w:rsidR="0073536E">
        <w:rPr>
          <w:rFonts w:ascii="Garamond" w:hAnsi="Garamond"/>
          <w:szCs w:val="28"/>
          <w:lang w:val="en-US"/>
        </w:rPr>
        <w:t xml:space="preserve">, </w:t>
      </w:r>
      <w:r w:rsidRPr="0073536E">
        <w:rPr>
          <w:rFonts w:ascii="Garamond" w:hAnsi="Garamond"/>
          <w:szCs w:val="28"/>
          <w:lang w:val="en-US"/>
        </w:rPr>
        <w:t>1999</w:t>
      </w:r>
      <w:r w:rsidR="0073536E">
        <w:rPr>
          <w:rFonts w:ascii="Garamond" w:hAnsi="Garamond"/>
          <w:szCs w:val="28"/>
          <w:lang w:val="en-US"/>
        </w:rPr>
        <w:t xml:space="preserve">, </w:t>
      </w:r>
      <w:r w:rsidRPr="009D094B">
        <w:rPr>
          <w:rFonts w:ascii="Garamond" w:hAnsi="Garamond"/>
          <w:szCs w:val="28"/>
          <w:lang w:val="en-US"/>
        </w:rPr>
        <w:t>Budget deficits and budget institutions. In Fiscal inst</w:t>
      </w:r>
      <w:r w:rsidR="0073536E" w:rsidRPr="009D094B">
        <w:rPr>
          <w:rFonts w:ascii="Garamond" w:hAnsi="Garamond"/>
          <w:szCs w:val="28"/>
          <w:lang w:val="en-US"/>
        </w:rPr>
        <w:t>itutions and fiscal performance,</w:t>
      </w:r>
      <w:r w:rsidRPr="009D094B">
        <w:rPr>
          <w:rFonts w:ascii="Garamond" w:hAnsi="Garamond"/>
          <w:szCs w:val="28"/>
          <w:lang w:val="en-US"/>
        </w:rPr>
        <w:t xml:space="preserve"> </w:t>
      </w:r>
      <w:r w:rsidRPr="0073536E">
        <w:rPr>
          <w:rFonts w:ascii="Garamond" w:hAnsi="Garamond"/>
          <w:szCs w:val="28"/>
          <w:lang w:val="en-US"/>
        </w:rPr>
        <w:t>University of Chicago Press</w:t>
      </w:r>
      <w:r w:rsidR="0073536E">
        <w:rPr>
          <w:rFonts w:ascii="Garamond" w:hAnsi="Garamond"/>
          <w:szCs w:val="28"/>
          <w:lang w:val="en-US"/>
        </w:rPr>
        <w:t xml:space="preserve">, pp. 13–36. </w:t>
      </w:r>
    </w:p>
    <w:p w14:paraId="15DCAE87" w14:textId="77777777" w:rsidR="0072591B" w:rsidRPr="0073536E" w:rsidRDefault="0072591B" w:rsidP="006F749C">
      <w:pPr>
        <w:pStyle w:val="ListParagraph"/>
        <w:numPr>
          <w:ilvl w:val="3"/>
          <w:numId w:val="113"/>
        </w:numPr>
        <w:tabs>
          <w:tab w:val="clear" w:pos="3589"/>
        </w:tabs>
        <w:spacing w:line="312" w:lineRule="auto"/>
        <w:ind w:left="426"/>
        <w:jc w:val="both"/>
        <w:rPr>
          <w:rFonts w:ascii="Garamond" w:hAnsi="Garamond"/>
          <w:szCs w:val="28"/>
          <w:lang w:val="en-US"/>
        </w:rPr>
      </w:pPr>
      <w:r w:rsidRPr="0073536E">
        <w:rPr>
          <w:rFonts w:ascii="Garamond" w:hAnsi="Garamond"/>
          <w:szCs w:val="28"/>
          <w:lang w:val="en-US"/>
        </w:rPr>
        <w:t xml:space="preserve">Allison, John </w:t>
      </w:r>
      <w:r w:rsidR="0073536E">
        <w:rPr>
          <w:rFonts w:ascii="Garamond" w:hAnsi="Garamond"/>
          <w:szCs w:val="28"/>
          <w:lang w:val="en-US"/>
        </w:rPr>
        <w:t xml:space="preserve">W. F., </w:t>
      </w:r>
      <w:r w:rsidRPr="0073536E">
        <w:rPr>
          <w:rFonts w:ascii="Garamond" w:hAnsi="Garamond"/>
          <w:szCs w:val="28"/>
          <w:lang w:val="en-US"/>
        </w:rPr>
        <w:t>1997</w:t>
      </w:r>
      <w:r w:rsidR="0073536E">
        <w:rPr>
          <w:rFonts w:ascii="Garamond" w:hAnsi="Garamond"/>
          <w:szCs w:val="28"/>
          <w:lang w:val="en-US"/>
        </w:rPr>
        <w:t>,</w:t>
      </w:r>
      <w:r w:rsidRPr="0073536E">
        <w:rPr>
          <w:rFonts w:ascii="Garamond" w:hAnsi="Garamond"/>
          <w:szCs w:val="28"/>
          <w:lang w:val="en-US"/>
        </w:rPr>
        <w:t xml:space="preserve"> Cultural Divergence, The Separation of Power</w:t>
      </w:r>
      <w:r w:rsidR="0073536E">
        <w:rPr>
          <w:rFonts w:ascii="Garamond" w:hAnsi="Garamond"/>
          <w:szCs w:val="28"/>
          <w:lang w:val="en-US"/>
        </w:rPr>
        <w:t>s and the Public-Private Divide,</w:t>
      </w:r>
      <w:r w:rsidRPr="0073536E">
        <w:rPr>
          <w:rFonts w:ascii="Garamond" w:hAnsi="Garamond"/>
          <w:szCs w:val="28"/>
          <w:lang w:val="en-US"/>
        </w:rPr>
        <w:t xml:space="preserve"> </w:t>
      </w:r>
      <w:r w:rsidRPr="0073536E">
        <w:rPr>
          <w:rFonts w:ascii="Garamond" w:hAnsi="Garamond"/>
          <w:i/>
          <w:szCs w:val="28"/>
          <w:lang w:val="en-US"/>
        </w:rPr>
        <w:t>Esperia Publications</w:t>
      </w:r>
      <w:r w:rsidRPr="0073536E">
        <w:rPr>
          <w:rFonts w:ascii="Garamond" w:hAnsi="Garamond"/>
          <w:szCs w:val="28"/>
          <w:lang w:val="en-US"/>
        </w:rPr>
        <w:t xml:space="preserve">, Athens, Greece, 9(2), </w:t>
      </w:r>
      <w:r w:rsidR="00580666">
        <w:rPr>
          <w:rFonts w:ascii="Garamond" w:hAnsi="Garamond"/>
          <w:szCs w:val="28"/>
          <w:lang w:val="en-US"/>
        </w:rPr>
        <w:t xml:space="preserve">pp. </w:t>
      </w:r>
      <w:r w:rsidRPr="0073536E">
        <w:rPr>
          <w:rFonts w:ascii="Garamond" w:hAnsi="Garamond"/>
          <w:szCs w:val="28"/>
          <w:lang w:val="en-US"/>
        </w:rPr>
        <w:t>305</w:t>
      </w:r>
      <w:r w:rsidR="00580666">
        <w:rPr>
          <w:rFonts w:ascii="Garamond" w:hAnsi="Garamond"/>
          <w:szCs w:val="28"/>
          <w:lang w:val="en-US"/>
        </w:rPr>
        <w:t>–</w:t>
      </w:r>
      <w:r w:rsidRPr="0073536E">
        <w:rPr>
          <w:rFonts w:ascii="Garamond" w:hAnsi="Garamond"/>
          <w:szCs w:val="28"/>
          <w:lang w:val="en-US"/>
        </w:rPr>
        <w:t xml:space="preserve">333. </w:t>
      </w:r>
    </w:p>
    <w:p w14:paraId="4E202485" w14:textId="77777777" w:rsidR="0072591B" w:rsidRPr="0073536E" w:rsidRDefault="00580666" w:rsidP="006F749C">
      <w:pPr>
        <w:pStyle w:val="ListParagraph"/>
        <w:numPr>
          <w:ilvl w:val="3"/>
          <w:numId w:val="113"/>
        </w:numPr>
        <w:tabs>
          <w:tab w:val="clear" w:pos="3589"/>
        </w:tabs>
        <w:spacing w:line="312" w:lineRule="auto"/>
        <w:ind w:left="426"/>
        <w:jc w:val="both"/>
        <w:rPr>
          <w:rFonts w:ascii="Garamond" w:hAnsi="Garamond"/>
          <w:szCs w:val="28"/>
          <w:lang w:val="en-US"/>
        </w:rPr>
      </w:pPr>
      <w:r>
        <w:rPr>
          <w:rFonts w:ascii="Garamond" w:hAnsi="Garamond"/>
          <w:szCs w:val="28"/>
          <w:lang w:val="en-US"/>
        </w:rPr>
        <w:t xml:space="preserve">Baskaran, T., </w:t>
      </w:r>
      <w:r w:rsidR="0072591B" w:rsidRPr="0073536E">
        <w:rPr>
          <w:rFonts w:ascii="Garamond" w:hAnsi="Garamond"/>
          <w:szCs w:val="28"/>
          <w:lang w:val="en-US"/>
        </w:rPr>
        <w:t>2012</w:t>
      </w:r>
      <w:r>
        <w:rPr>
          <w:rFonts w:ascii="Garamond" w:hAnsi="Garamond"/>
          <w:szCs w:val="28"/>
          <w:lang w:val="en-US"/>
        </w:rPr>
        <w:t>,</w:t>
      </w:r>
      <w:r w:rsidR="0072591B" w:rsidRPr="0073536E">
        <w:rPr>
          <w:rFonts w:ascii="Garamond" w:hAnsi="Garamond"/>
          <w:szCs w:val="28"/>
          <w:lang w:val="en-US"/>
        </w:rPr>
        <w:t xml:space="preserve"> Tax decentralization and public deficits in OECD countries, </w:t>
      </w:r>
      <w:r w:rsidR="0072591B" w:rsidRPr="00580666">
        <w:rPr>
          <w:rFonts w:ascii="Garamond" w:hAnsi="Garamond"/>
          <w:i/>
          <w:szCs w:val="28"/>
          <w:lang w:val="en-US"/>
        </w:rPr>
        <w:t>Publius: The Journal of Federalism</w:t>
      </w:r>
      <w:r>
        <w:rPr>
          <w:rFonts w:ascii="Garamond" w:hAnsi="Garamond"/>
          <w:szCs w:val="28"/>
          <w:lang w:val="en-US"/>
        </w:rPr>
        <w:t>, 42(4), pp. 688–707.</w:t>
      </w:r>
    </w:p>
    <w:p w14:paraId="4225D3FD" w14:textId="77777777" w:rsidR="0072591B" w:rsidRPr="0073536E" w:rsidRDefault="0072591B" w:rsidP="006F749C">
      <w:pPr>
        <w:pStyle w:val="ListParagraph"/>
        <w:numPr>
          <w:ilvl w:val="3"/>
          <w:numId w:val="113"/>
        </w:numPr>
        <w:tabs>
          <w:tab w:val="clear" w:pos="3589"/>
        </w:tabs>
        <w:spacing w:line="312" w:lineRule="auto"/>
        <w:ind w:left="426"/>
        <w:jc w:val="both"/>
        <w:rPr>
          <w:rFonts w:ascii="Garamond" w:hAnsi="Garamond"/>
          <w:szCs w:val="28"/>
          <w:lang w:val="en-US"/>
        </w:rPr>
      </w:pPr>
      <w:r w:rsidRPr="0073536E">
        <w:rPr>
          <w:rFonts w:ascii="Garamond" w:hAnsi="Garamond"/>
          <w:szCs w:val="28"/>
          <w:lang w:val="en-US"/>
        </w:rPr>
        <w:t xml:space="preserve">Bohn, H., </w:t>
      </w:r>
      <w:r w:rsidR="00580666">
        <w:rPr>
          <w:rFonts w:ascii="Garamond" w:hAnsi="Garamond"/>
          <w:szCs w:val="28"/>
          <w:lang w:val="en-US"/>
        </w:rPr>
        <w:t xml:space="preserve">and Inman, R. P., 1996, </w:t>
      </w:r>
      <w:r w:rsidRPr="0073536E">
        <w:rPr>
          <w:rFonts w:ascii="Garamond" w:hAnsi="Garamond"/>
          <w:szCs w:val="28"/>
          <w:lang w:val="en-US"/>
        </w:rPr>
        <w:t>Balanced-budget rules and public defici</w:t>
      </w:r>
      <w:r w:rsidR="00580666">
        <w:rPr>
          <w:rFonts w:ascii="Garamond" w:hAnsi="Garamond"/>
          <w:szCs w:val="28"/>
          <w:lang w:val="en-US"/>
        </w:rPr>
        <w:t>ts: evidence from the US states,</w:t>
      </w:r>
      <w:r w:rsidRPr="0073536E">
        <w:rPr>
          <w:rFonts w:ascii="Garamond" w:hAnsi="Garamond"/>
          <w:szCs w:val="28"/>
          <w:lang w:val="en-US"/>
        </w:rPr>
        <w:t xml:space="preserve"> </w:t>
      </w:r>
      <w:r w:rsidRPr="00580666">
        <w:rPr>
          <w:rFonts w:ascii="Garamond" w:hAnsi="Garamond"/>
          <w:i/>
          <w:szCs w:val="28"/>
          <w:lang w:val="en-US"/>
        </w:rPr>
        <w:t>Carnegie-Rochester conference series on public policy</w:t>
      </w:r>
      <w:r w:rsidRPr="0073536E">
        <w:rPr>
          <w:rFonts w:ascii="Garamond" w:hAnsi="Garamond"/>
          <w:szCs w:val="28"/>
          <w:lang w:val="en-US"/>
        </w:rPr>
        <w:t xml:space="preserve">, 45, </w:t>
      </w:r>
      <w:r w:rsidR="00580666">
        <w:rPr>
          <w:rFonts w:ascii="Garamond" w:hAnsi="Garamond"/>
          <w:szCs w:val="28"/>
          <w:lang w:val="en-US"/>
        </w:rPr>
        <w:t>pp.</w:t>
      </w:r>
      <w:r w:rsidR="009D094B">
        <w:rPr>
          <w:rFonts w:ascii="Garamond" w:hAnsi="Garamond"/>
          <w:szCs w:val="28"/>
          <w:lang w:val="en-US"/>
        </w:rPr>
        <w:t> </w:t>
      </w:r>
      <w:r w:rsidRPr="0073536E">
        <w:rPr>
          <w:rFonts w:ascii="Garamond" w:hAnsi="Garamond"/>
          <w:szCs w:val="28"/>
          <w:lang w:val="en-US"/>
        </w:rPr>
        <w:t>13</w:t>
      </w:r>
      <w:r w:rsidR="00580666">
        <w:rPr>
          <w:rFonts w:ascii="Garamond" w:hAnsi="Garamond"/>
          <w:szCs w:val="28"/>
          <w:lang w:val="en-US"/>
        </w:rPr>
        <w:t>–</w:t>
      </w:r>
      <w:r w:rsidRPr="0073536E">
        <w:rPr>
          <w:rFonts w:ascii="Garamond" w:hAnsi="Garamond"/>
          <w:szCs w:val="28"/>
          <w:lang w:val="en-US"/>
        </w:rPr>
        <w:t xml:space="preserve">76. </w:t>
      </w:r>
    </w:p>
    <w:p w14:paraId="40426A4D" w14:textId="77777777" w:rsidR="00580666" w:rsidRDefault="0072591B" w:rsidP="006F749C">
      <w:pPr>
        <w:pStyle w:val="ListParagraph"/>
        <w:numPr>
          <w:ilvl w:val="3"/>
          <w:numId w:val="113"/>
        </w:numPr>
        <w:tabs>
          <w:tab w:val="clear" w:pos="3589"/>
        </w:tabs>
        <w:spacing w:line="312" w:lineRule="auto"/>
        <w:ind w:left="426"/>
        <w:jc w:val="both"/>
        <w:rPr>
          <w:rFonts w:ascii="Garamond" w:hAnsi="Garamond"/>
          <w:szCs w:val="28"/>
          <w:lang w:val="en-US"/>
        </w:rPr>
      </w:pPr>
      <w:r w:rsidRPr="00580666">
        <w:rPr>
          <w:rFonts w:ascii="Garamond" w:hAnsi="Garamond"/>
          <w:szCs w:val="28"/>
          <w:lang w:val="en-US"/>
        </w:rPr>
        <w:t xml:space="preserve">Costello, A. M., Petacchi, R., </w:t>
      </w:r>
      <w:r w:rsidR="00580666" w:rsidRPr="00580666">
        <w:rPr>
          <w:rFonts w:ascii="Garamond" w:hAnsi="Garamond"/>
          <w:szCs w:val="28"/>
          <w:lang w:val="en-US"/>
        </w:rPr>
        <w:t>and Weber, J., 2012,</w:t>
      </w:r>
      <w:r w:rsidRPr="00580666">
        <w:rPr>
          <w:rFonts w:ascii="Garamond" w:hAnsi="Garamond"/>
          <w:szCs w:val="28"/>
          <w:lang w:val="en-US"/>
        </w:rPr>
        <w:t xml:space="preserve"> The Hidden Consequences </w:t>
      </w:r>
      <w:r w:rsidR="00580666" w:rsidRPr="00580666">
        <w:rPr>
          <w:rFonts w:ascii="Garamond" w:hAnsi="Garamond"/>
          <w:szCs w:val="28"/>
          <w:lang w:val="en-US"/>
        </w:rPr>
        <w:t xml:space="preserve">of Balanced Budget Requirements, Available at SSRN </w:t>
      </w:r>
      <w:r w:rsidR="00580666">
        <w:rPr>
          <w:rFonts w:ascii="Garamond" w:hAnsi="Garamond"/>
          <w:szCs w:val="28"/>
          <w:lang w:val="en-US"/>
        </w:rPr>
        <w:t xml:space="preserve">Electronic Journals, </w:t>
      </w:r>
      <w:hyperlink r:id="rId28" w:tgtFrame="_blank" w:history="1">
        <w:r w:rsidR="00580666">
          <w:rPr>
            <w:rFonts w:ascii="Garamond" w:hAnsi="Garamond"/>
            <w:szCs w:val="28"/>
            <w:lang w:val="en-US"/>
          </w:rPr>
          <w:t>doi:</w:t>
        </w:r>
        <w:r w:rsidR="00580666" w:rsidRPr="00580666">
          <w:rPr>
            <w:rFonts w:ascii="Garamond" w:hAnsi="Garamond"/>
            <w:szCs w:val="28"/>
            <w:lang w:val="en-US"/>
          </w:rPr>
          <w:t xml:space="preserve"> 10.2139/ssrn.2151598</w:t>
        </w:r>
      </w:hyperlink>
      <w:r w:rsidR="00580666" w:rsidRPr="00580666">
        <w:rPr>
          <w:rFonts w:ascii="Garamond" w:hAnsi="Garamond"/>
          <w:szCs w:val="28"/>
          <w:lang w:val="en-US"/>
        </w:rPr>
        <w:t xml:space="preserve"> </w:t>
      </w:r>
      <w:r w:rsidR="00580666">
        <w:rPr>
          <w:rFonts w:ascii="Garamond" w:hAnsi="Garamond"/>
          <w:szCs w:val="28"/>
          <w:lang w:val="en-US"/>
        </w:rPr>
        <w:t>.</w:t>
      </w:r>
    </w:p>
    <w:p w14:paraId="4EF4DA32" w14:textId="77777777" w:rsidR="0072591B" w:rsidRPr="00580666" w:rsidRDefault="00580666" w:rsidP="006F749C">
      <w:pPr>
        <w:pStyle w:val="ListParagraph"/>
        <w:numPr>
          <w:ilvl w:val="3"/>
          <w:numId w:val="113"/>
        </w:numPr>
        <w:tabs>
          <w:tab w:val="clear" w:pos="3589"/>
        </w:tabs>
        <w:spacing w:line="312" w:lineRule="auto"/>
        <w:ind w:left="426"/>
        <w:jc w:val="both"/>
        <w:rPr>
          <w:rFonts w:ascii="Garamond" w:hAnsi="Garamond"/>
          <w:szCs w:val="28"/>
          <w:lang w:val="en-US"/>
        </w:rPr>
      </w:pPr>
      <w:r>
        <w:rPr>
          <w:rFonts w:ascii="Garamond" w:hAnsi="Garamond"/>
          <w:szCs w:val="28"/>
          <w:lang w:val="en-US"/>
        </w:rPr>
        <w:t xml:space="preserve">Diamond, J., </w:t>
      </w:r>
      <w:r w:rsidR="0072591B" w:rsidRPr="00580666">
        <w:rPr>
          <w:rFonts w:ascii="Garamond" w:hAnsi="Garamond"/>
          <w:szCs w:val="28"/>
          <w:lang w:val="en-US"/>
        </w:rPr>
        <w:t>2006</w:t>
      </w:r>
      <w:r>
        <w:rPr>
          <w:rFonts w:ascii="Garamond" w:hAnsi="Garamond"/>
          <w:szCs w:val="28"/>
          <w:lang w:val="en-US"/>
        </w:rPr>
        <w:t>,</w:t>
      </w:r>
      <w:r w:rsidR="0072591B" w:rsidRPr="00580666">
        <w:rPr>
          <w:rFonts w:ascii="Garamond" w:hAnsi="Garamond"/>
          <w:szCs w:val="28"/>
          <w:lang w:val="en-US"/>
        </w:rPr>
        <w:t xml:space="preserve"> </w:t>
      </w:r>
      <w:r w:rsidR="0072591B" w:rsidRPr="009D094B">
        <w:rPr>
          <w:rFonts w:ascii="Garamond" w:hAnsi="Garamond"/>
          <w:i/>
          <w:szCs w:val="28"/>
          <w:lang w:val="en-US"/>
        </w:rPr>
        <w:t>Budget System Reform in Emerging Economies; The Ch</w:t>
      </w:r>
      <w:r w:rsidRPr="009D094B">
        <w:rPr>
          <w:rFonts w:ascii="Garamond" w:hAnsi="Garamond"/>
          <w:i/>
          <w:szCs w:val="28"/>
          <w:lang w:val="en-US"/>
        </w:rPr>
        <w:t>allenges and the Reform Agenda</w:t>
      </w:r>
      <w:r>
        <w:rPr>
          <w:rFonts w:ascii="Garamond" w:hAnsi="Garamond"/>
          <w:szCs w:val="28"/>
          <w:lang w:val="en-US"/>
        </w:rPr>
        <w:t xml:space="preserve">, </w:t>
      </w:r>
      <w:r w:rsidR="0072591B" w:rsidRPr="00580666">
        <w:rPr>
          <w:rFonts w:ascii="Garamond" w:hAnsi="Garamond"/>
          <w:szCs w:val="28"/>
          <w:lang w:val="en-US"/>
        </w:rPr>
        <w:t>No. 245</w:t>
      </w:r>
      <w:r>
        <w:rPr>
          <w:rFonts w:ascii="Garamond" w:hAnsi="Garamond"/>
          <w:szCs w:val="28"/>
          <w:lang w:val="en-US"/>
        </w:rPr>
        <w:t xml:space="preserve">, </w:t>
      </w:r>
      <w:r w:rsidR="0072591B" w:rsidRPr="009D094B">
        <w:rPr>
          <w:rFonts w:ascii="Garamond" w:hAnsi="Garamond"/>
          <w:szCs w:val="28"/>
          <w:lang w:val="en-US"/>
        </w:rPr>
        <w:t>International Monetary Fund.</w:t>
      </w:r>
      <w:r w:rsidR="0072591B" w:rsidRPr="00580666">
        <w:rPr>
          <w:rFonts w:ascii="Garamond" w:hAnsi="Garamond"/>
          <w:szCs w:val="28"/>
          <w:lang w:val="en-US"/>
        </w:rPr>
        <w:tab/>
      </w:r>
      <w:r w:rsidR="0072591B" w:rsidRPr="00580666">
        <w:rPr>
          <w:rFonts w:ascii="Garamond" w:hAnsi="Garamond"/>
          <w:szCs w:val="28"/>
          <w:lang w:val="en-US"/>
        </w:rPr>
        <w:tab/>
      </w:r>
      <w:r w:rsidR="0072591B" w:rsidRPr="00580666">
        <w:rPr>
          <w:rFonts w:ascii="Garamond" w:hAnsi="Garamond"/>
          <w:szCs w:val="28"/>
          <w:lang w:val="en-US"/>
        </w:rPr>
        <w:tab/>
      </w:r>
    </w:p>
    <w:p w14:paraId="2263A248" w14:textId="77777777" w:rsidR="0072591B" w:rsidRPr="0073536E" w:rsidRDefault="00580666" w:rsidP="006F749C">
      <w:pPr>
        <w:pStyle w:val="ListParagraph"/>
        <w:numPr>
          <w:ilvl w:val="3"/>
          <w:numId w:val="113"/>
        </w:numPr>
        <w:tabs>
          <w:tab w:val="clear" w:pos="3589"/>
        </w:tabs>
        <w:spacing w:line="312" w:lineRule="auto"/>
        <w:ind w:left="426"/>
        <w:jc w:val="both"/>
        <w:rPr>
          <w:rFonts w:ascii="Garamond" w:hAnsi="Garamond"/>
          <w:szCs w:val="28"/>
          <w:lang w:val="en-US"/>
        </w:rPr>
      </w:pPr>
      <w:r>
        <w:rPr>
          <w:rFonts w:ascii="Garamond" w:hAnsi="Garamond"/>
          <w:szCs w:val="28"/>
          <w:lang w:val="en-US"/>
        </w:rPr>
        <w:t xml:space="preserve">Gleich, H., </w:t>
      </w:r>
      <w:r w:rsidR="0072591B" w:rsidRPr="0073536E">
        <w:rPr>
          <w:rFonts w:ascii="Garamond" w:hAnsi="Garamond"/>
          <w:szCs w:val="28"/>
          <w:lang w:val="en-US"/>
        </w:rPr>
        <w:t>2003</w:t>
      </w:r>
      <w:r>
        <w:rPr>
          <w:rFonts w:ascii="Garamond" w:hAnsi="Garamond"/>
          <w:szCs w:val="28"/>
          <w:lang w:val="en-US"/>
        </w:rPr>
        <w:t xml:space="preserve">, </w:t>
      </w:r>
      <w:r w:rsidR="0072591B" w:rsidRPr="0073536E">
        <w:rPr>
          <w:rFonts w:ascii="Garamond" w:hAnsi="Garamond"/>
          <w:szCs w:val="28"/>
          <w:lang w:val="en-US"/>
        </w:rPr>
        <w:t xml:space="preserve">Budget institutions and fiscal performance in Central and </w:t>
      </w:r>
      <w:r>
        <w:rPr>
          <w:rFonts w:ascii="Garamond" w:hAnsi="Garamond"/>
          <w:szCs w:val="28"/>
          <w:lang w:val="en-US"/>
        </w:rPr>
        <w:t>Eastern European countries</w:t>
      </w:r>
      <w:r w:rsidRPr="009C5FE7">
        <w:rPr>
          <w:rFonts w:ascii="Garamond" w:hAnsi="Garamond"/>
          <w:szCs w:val="28"/>
          <w:lang w:val="en-US"/>
        </w:rPr>
        <w:t>,</w:t>
      </w:r>
      <w:r w:rsidR="0072591B" w:rsidRPr="009C5FE7">
        <w:rPr>
          <w:rFonts w:ascii="Garamond" w:hAnsi="Garamond"/>
          <w:szCs w:val="28"/>
          <w:lang w:val="en-US"/>
        </w:rPr>
        <w:t xml:space="preserve"> Working Paper 215,</w:t>
      </w:r>
      <w:r w:rsidR="0072591B" w:rsidRPr="00580666">
        <w:rPr>
          <w:rFonts w:ascii="Garamond" w:hAnsi="Garamond"/>
          <w:i/>
          <w:szCs w:val="28"/>
          <w:lang w:val="en-US"/>
        </w:rPr>
        <w:t xml:space="preserve"> European Central Bank</w:t>
      </w:r>
      <w:r w:rsidR="0072591B" w:rsidRPr="0073536E">
        <w:rPr>
          <w:rFonts w:ascii="Garamond" w:hAnsi="Garamond"/>
          <w:szCs w:val="28"/>
          <w:lang w:val="en-US"/>
        </w:rPr>
        <w:t xml:space="preserve">, Frankfurt, Germany, February. </w:t>
      </w:r>
    </w:p>
    <w:p w14:paraId="63557022" w14:textId="77777777" w:rsidR="0072591B" w:rsidRPr="0073536E" w:rsidRDefault="00580666" w:rsidP="006F749C">
      <w:pPr>
        <w:pStyle w:val="ListParagraph"/>
        <w:numPr>
          <w:ilvl w:val="3"/>
          <w:numId w:val="113"/>
        </w:numPr>
        <w:tabs>
          <w:tab w:val="clear" w:pos="3589"/>
        </w:tabs>
        <w:spacing w:line="312" w:lineRule="auto"/>
        <w:ind w:left="426"/>
        <w:jc w:val="both"/>
        <w:rPr>
          <w:rFonts w:ascii="Garamond" w:hAnsi="Garamond"/>
          <w:szCs w:val="28"/>
          <w:lang w:val="en-US"/>
        </w:rPr>
      </w:pPr>
      <w:r>
        <w:rPr>
          <w:rFonts w:ascii="Garamond" w:hAnsi="Garamond"/>
          <w:szCs w:val="28"/>
          <w:lang w:val="en-US"/>
        </w:rPr>
        <w:t>Momotyuk, L., 2013,</w:t>
      </w:r>
      <w:r w:rsidR="0072591B" w:rsidRPr="0073536E">
        <w:rPr>
          <w:rFonts w:ascii="Garamond" w:hAnsi="Garamond"/>
          <w:szCs w:val="28"/>
          <w:lang w:val="en-US"/>
        </w:rPr>
        <w:t xml:space="preserve"> State Finance Statistics and its Harmonizati</w:t>
      </w:r>
      <w:r>
        <w:rPr>
          <w:rFonts w:ascii="Garamond" w:hAnsi="Garamond"/>
          <w:szCs w:val="28"/>
          <w:lang w:val="en-US"/>
        </w:rPr>
        <w:t>on with International Standards,</w:t>
      </w:r>
      <w:r w:rsidR="0072591B" w:rsidRPr="0073536E">
        <w:rPr>
          <w:rFonts w:ascii="Garamond" w:hAnsi="Garamond"/>
          <w:szCs w:val="28"/>
          <w:lang w:val="en-US"/>
        </w:rPr>
        <w:t xml:space="preserve"> </w:t>
      </w:r>
      <w:r w:rsidR="0072591B" w:rsidRPr="00580666">
        <w:rPr>
          <w:rFonts w:ascii="Garamond" w:hAnsi="Garamond"/>
          <w:i/>
          <w:szCs w:val="28"/>
          <w:lang w:val="en-US"/>
        </w:rPr>
        <w:t>Accounting and Finance</w:t>
      </w:r>
      <w:r>
        <w:rPr>
          <w:rFonts w:ascii="Garamond" w:hAnsi="Garamond"/>
          <w:szCs w:val="28"/>
          <w:lang w:val="en-US"/>
        </w:rPr>
        <w:t xml:space="preserve">, </w:t>
      </w:r>
      <w:r w:rsidR="0072591B" w:rsidRPr="0073536E">
        <w:rPr>
          <w:rFonts w:ascii="Garamond" w:hAnsi="Garamond"/>
          <w:szCs w:val="28"/>
          <w:lang w:val="en-US"/>
        </w:rPr>
        <w:t xml:space="preserve">2, </w:t>
      </w:r>
      <w:r>
        <w:rPr>
          <w:rFonts w:ascii="Garamond" w:hAnsi="Garamond"/>
          <w:szCs w:val="28"/>
          <w:lang w:val="en-US"/>
        </w:rPr>
        <w:t xml:space="preserve">pp. </w:t>
      </w:r>
      <w:r w:rsidR="0072591B" w:rsidRPr="0073536E">
        <w:rPr>
          <w:rFonts w:ascii="Garamond" w:hAnsi="Garamond"/>
          <w:szCs w:val="28"/>
          <w:lang w:val="en-US"/>
        </w:rPr>
        <w:t>93</w:t>
      </w:r>
      <w:r>
        <w:rPr>
          <w:rFonts w:ascii="Garamond" w:hAnsi="Garamond"/>
          <w:szCs w:val="28"/>
          <w:lang w:val="en-US"/>
        </w:rPr>
        <w:t>–</w:t>
      </w:r>
      <w:r w:rsidR="0072591B" w:rsidRPr="0073536E">
        <w:rPr>
          <w:rFonts w:ascii="Garamond" w:hAnsi="Garamond"/>
          <w:szCs w:val="28"/>
          <w:lang w:val="en-US"/>
        </w:rPr>
        <w:t>99.</w:t>
      </w:r>
    </w:p>
    <w:p w14:paraId="5FBBA93B" w14:textId="77777777" w:rsidR="0072591B" w:rsidRPr="0073536E" w:rsidRDefault="0072591B" w:rsidP="006F749C">
      <w:pPr>
        <w:pStyle w:val="ListParagraph"/>
        <w:numPr>
          <w:ilvl w:val="3"/>
          <w:numId w:val="113"/>
        </w:numPr>
        <w:tabs>
          <w:tab w:val="clear" w:pos="3589"/>
        </w:tabs>
        <w:spacing w:line="312" w:lineRule="auto"/>
        <w:ind w:left="426"/>
        <w:jc w:val="both"/>
        <w:rPr>
          <w:rFonts w:ascii="Garamond" w:hAnsi="Garamond"/>
          <w:szCs w:val="28"/>
          <w:lang w:val="en-US"/>
        </w:rPr>
      </w:pPr>
      <w:r w:rsidRPr="0073536E">
        <w:rPr>
          <w:rFonts w:ascii="Garamond" w:hAnsi="Garamond"/>
          <w:szCs w:val="28"/>
          <w:lang w:val="en-US"/>
        </w:rPr>
        <w:lastRenderedPageBreak/>
        <w:t xml:space="preserve">Tekin-Koru, A., </w:t>
      </w:r>
      <w:r w:rsidR="00580666">
        <w:rPr>
          <w:rFonts w:ascii="Garamond" w:hAnsi="Garamond"/>
          <w:szCs w:val="28"/>
          <w:lang w:val="en-US"/>
        </w:rPr>
        <w:t>and</w:t>
      </w:r>
      <w:r w:rsidRPr="0073536E">
        <w:rPr>
          <w:rFonts w:ascii="Garamond" w:hAnsi="Garamond"/>
          <w:szCs w:val="28"/>
          <w:lang w:val="en-US"/>
        </w:rPr>
        <w:t xml:space="preserve"> Özm</w:t>
      </w:r>
      <w:r w:rsidR="00580666">
        <w:rPr>
          <w:rFonts w:ascii="Garamond" w:hAnsi="Garamond"/>
          <w:szCs w:val="28"/>
          <w:lang w:val="en-US"/>
        </w:rPr>
        <w:t xml:space="preserve">en, E., </w:t>
      </w:r>
      <w:r w:rsidRPr="0073536E">
        <w:rPr>
          <w:rFonts w:ascii="Garamond" w:hAnsi="Garamond"/>
          <w:szCs w:val="28"/>
          <w:lang w:val="en-US"/>
        </w:rPr>
        <w:t>2003</w:t>
      </w:r>
      <w:r w:rsidR="00580666">
        <w:rPr>
          <w:rFonts w:ascii="Garamond" w:hAnsi="Garamond"/>
          <w:szCs w:val="28"/>
          <w:lang w:val="en-US"/>
        </w:rPr>
        <w:t xml:space="preserve">, </w:t>
      </w:r>
      <w:r w:rsidRPr="0073536E">
        <w:rPr>
          <w:rFonts w:ascii="Garamond" w:hAnsi="Garamond"/>
          <w:szCs w:val="28"/>
          <w:lang w:val="en-US"/>
        </w:rPr>
        <w:t>Budget deficits, money growth and i</w:t>
      </w:r>
      <w:r w:rsidR="00580666">
        <w:rPr>
          <w:rFonts w:ascii="Garamond" w:hAnsi="Garamond"/>
          <w:szCs w:val="28"/>
          <w:lang w:val="en-US"/>
        </w:rPr>
        <w:t xml:space="preserve">nflation: the Turkish evidence, </w:t>
      </w:r>
      <w:r w:rsidRPr="00580666">
        <w:rPr>
          <w:rFonts w:ascii="Garamond" w:hAnsi="Garamond"/>
          <w:i/>
          <w:szCs w:val="28"/>
          <w:lang w:val="en-US"/>
        </w:rPr>
        <w:t>Applied Economics</w:t>
      </w:r>
      <w:r w:rsidRPr="0073536E">
        <w:rPr>
          <w:rFonts w:ascii="Garamond" w:hAnsi="Garamond"/>
          <w:szCs w:val="28"/>
          <w:lang w:val="en-US"/>
        </w:rPr>
        <w:t xml:space="preserve">, 35(5), </w:t>
      </w:r>
      <w:r w:rsidR="00580666">
        <w:rPr>
          <w:rFonts w:ascii="Garamond" w:hAnsi="Garamond"/>
          <w:szCs w:val="28"/>
          <w:lang w:val="en-US"/>
        </w:rPr>
        <w:t xml:space="preserve">pp. </w:t>
      </w:r>
      <w:r w:rsidRPr="0073536E">
        <w:rPr>
          <w:rFonts w:ascii="Garamond" w:hAnsi="Garamond"/>
          <w:szCs w:val="28"/>
          <w:lang w:val="en-US"/>
        </w:rPr>
        <w:t>591</w:t>
      </w:r>
      <w:r w:rsidR="00580666">
        <w:rPr>
          <w:rFonts w:ascii="Garamond" w:hAnsi="Garamond"/>
          <w:szCs w:val="28"/>
          <w:lang w:val="en-US"/>
        </w:rPr>
        <w:t>–</w:t>
      </w:r>
      <w:r w:rsidRPr="0073536E">
        <w:rPr>
          <w:rFonts w:ascii="Garamond" w:hAnsi="Garamond"/>
          <w:szCs w:val="28"/>
          <w:lang w:val="en-US"/>
        </w:rPr>
        <w:t>596.</w:t>
      </w:r>
    </w:p>
    <w:p w14:paraId="3D583751" w14:textId="77777777" w:rsidR="0072591B" w:rsidRPr="0073536E" w:rsidRDefault="00580666" w:rsidP="006F749C">
      <w:pPr>
        <w:pStyle w:val="ListParagraph"/>
        <w:numPr>
          <w:ilvl w:val="3"/>
          <w:numId w:val="113"/>
        </w:numPr>
        <w:tabs>
          <w:tab w:val="clear" w:pos="3589"/>
        </w:tabs>
        <w:spacing w:line="312" w:lineRule="auto"/>
        <w:ind w:left="426"/>
        <w:jc w:val="both"/>
        <w:rPr>
          <w:rFonts w:ascii="Garamond" w:hAnsi="Garamond"/>
          <w:szCs w:val="28"/>
          <w:lang w:val="en-US"/>
        </w:rPr>
      </w:pPr>
      <w:r>
        <w:rPr>
          <w:rFonts w:ascii="Garamond" w:hAnsi="Garamond"/>
          <w:szCs w:val="28"/>
          <w:lang w:val="en-US"/>
        </w:rPr>
        <w:t>Wagner, R. E., 2012,</w:t>
      </w:r>
      <w:r w:rsidR="0072591B" w:rsidRPr="0073536E">
        <w:rPr>
          <w:rFonts w:ascii="Garamond" w:hAnsi="Garamond"/>
          <w:szCs w:val="28"/>
          <w:lang w:val="en-US"/>
        </w:rPr>
        <w:t xml:space="preserve"> </w:t>
      </w:r>
      <w:r w:rsidR="0072591B" w:rsidRPr="00A31DAC">
        <w:rPr>
          <w:rFonts w:ascii="Garamond" w:hAnsi="Garamond"/>
          <w:i/>
          <w:szCs w:val="28"/>
          <w:lang w:val="en-US"/>
        </w:rPr>
        <w:t>Deficits, debt, and democracy: Wrestling with tragedy on the fiscal commons</w:t>
      </w:r>
      <w:r>
        <w:rPr>
          <w:rFonts w:ascii="Garamond" w:hAnsi="Garamond"/>
          <w:szCs w:val="28"/>
          <w:lang w:val="en-US"/>
        </w:rPr>
        <w:t>,</w:t>
      </w:r>
      <w:r w:rsidR="0072591B" w:rsidRPr="0073536E">
        <w:rPr>
          <w:rFonts w:ascii="Garamond" w:hAnsi="Garamond"/>
          <w:szCs w:val="28"/>
          <w:lang w:val="en-US"/>
        </w:rPr>
        <w:t xml:space="preserve"> </w:t>
      </w:r>
      <w:r w:rsidR="00A31DAC">
        <w:rPr>
          <w:rFonts w:ascii="Garamond" w:hAnsi="Garamond"/>
          <w:szCs w:val="28"/>
          <w:lang w:val="en-US"/>
        </w:rPr>
        <w:t xml:space="preserve">Northamptan: </w:t>
      </w:r>
      <w:r w:rsidR="0072591B" w:rsidRPr="0073536E">
        <w:rPr>
          <w:rFonts w:ascii="Garamond" w:hAnsi="Garamond"/>
          <w:szCs w:val="28"/>
          <w:lang w:val="en-US"/>
        </w:rPr>
        <w:t>Edward Elgar</w:t>
      </w:r>
      <w:r w:rsidR="00A31DAC">
        <w:rPr>
          <w:rFonts w:ascii="Garamond" w:hAnsi="Garamond"/>
          <w:szCs w:val="28"/>
          <w:lang w:val="en-US"/>
        </w:rPr>
        <w:t>, 208 p</w:t>
      </w:r>
      <w:r w:rsidR="0072591B" w:rsidRPr="0073536E">
        <w:rPr>
          <w:rFonts w:ascii="Garamond" w:hAnsi="Garamond"/>
          <w:szCs w:val="28"/>
          <w:lang w:val="en-US"/>
        </w:rPr>
        <w:t>.</w:t>
      </w:r>
    </w:p>
    <w:p w14:paraId="7C4EF411" w14:textId="77777777" w:rsidR="00BE42A0" w:rsidRPr="00BE42A0" w:rsidRDefault="00BE42A0" w:rsidP="0037211E">
      <w:pPr>
        <w:pStyle w:val="end2"/>
        <w:rPr>
          <w:lang w:val="en-GB"/>
        </w:rPr>
      </w:pPr>
      <w:r w:rsidRPr="0037211E">
        <w:t>Key terms</w:t>
      </w:r>
    </w:p>
    <w:tbl>
      <w:tblPr>
        <w:tblStyle w:val="23"/>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67"/>
        <w:gridCol w:w="7980"/>
      </w:tblGrid>
      <w:tr w:rsidR="0037211E" w:rsidRPr="0037211E" w14:paraId="0D07A9A7" w14:textId="77777777" w:rsidTr="0037211E">
        <w:tc>
          <w:tcPr>
            <w:tcW w:w="1767" w:type="dxa"/>
          </w:tcPr>
          <w:p w14:paraId="7BF6219D" w14:textId="77777777" w:rsidR="0037211E" w:rsidRPr="0037211E" w:rsidRDefault="0037211E" w:rsidP="0037211E">
            <w:pPr>
              <w:spacing w:after="120" w:line="240" w:lineRule="atLeast"/>
              <w:rPr>
                <w:b/>
                <w:lang w:val="en-US"/>
              </w:rPr>
            </w:pPr>
            <w:r w:rsidRPr="0037211E">
              <w:rPr>
                <w:b/>
                <w:lang w:val="en-US"/>
              </w:rPr>
              <w:t xml:space="preserve">budget program </w:t>
            </w:r>
            <w:r w:rsidR="00A31DAC">
              <w:rPr>
                <w:b/>
                <w:lang w:val="en-US"/>
              </w:rPr>
              <w:t xml:space="preserve"> </w:t>
            </w:r>
          </w:p>
        </w:tc>
        <w:tc>
          <w:tcPr>
            <w:tcW w:w="7980" w:type="dxa"/>
          </w:tcPr>
          <w:p w14:paraId="2C748464" w14:textId="77777777" w:rsidR="0037211E" w:rsidRPr="0037211E" w:rsidRDefault="004B4308" w:rsidP="0037211E">
            <w:pPr>
              <w:spacing w:after="120" w:line="240" w:lineRule="atLeast"/>
              <w:jc w:val="both"/>
              <w:rPr>
                <w:lang w:val="en-US"/>
              </w:rPr>
            </w:pPr>
            <w:r>
              <w:rPr>
                <w:lang w:val="en-US"/>
              </w:rPr>
              <w:t xml:space="preserve">is </w:t>
            </w:r>
            <w:r w:rsidR="0037211E" w:rsidRPr="0037211E">
              <w:rPr>
                <w:lang w:val="en-US"/>
              </w:rPr>
              <w:t>a systematized list of activities aimed at achieving a general goal and tasks, implementation of which is proposed and fulfilled by a spending unit in accordance with its responsibilities.</w:t>
            </w:r>
          </w:p>
        </w:tc>
      </w:tr>
      <w:tr w:rsidR="0037211E" w:rsidRPr="0037211E" w14:paraId="3B56CE84" w14:textId="77777777" w:rsidTr="0037211E">
        <w:tc>
          <w:tcPr>
            <w:tcW w:w="1767" w:type="dxa"/>
          </w:tcPr>
          <w:p w14:paraId="7A041D6B" w14:textId="77777777" w:rsidR="0037211E" w:rsidRPr="0037211E" w:rsidRDefault="0037211E" w:rsidP="0037211E">
            <w:pPr>
              <w:spacing w:after="120" w:line="240" w:lineRule="atLeast"/>
              <w:rPr>
                <w:b/>
                <w:lang w:val="en-US"/>
              </w:rPr>
            </w:pPr>
            <w:r w:rsidRPr="0037211E">
              <w:rPr>
                <w:b/>
                <w:lang w:val="en-US"/>
              </w:rPr>
              <w:t>budget entity</w:t>
            </w:r>
            <w:r>
              <w:rPr>
                <w:b/>
                <w:lang w:val="en-US"/>
              </w:rPr>
              <w:t> </w:t>
            </w:r>
            <w:r w:rsidR="00A31DAC">
              <w:rPr>
                <w:b/>
                <w:lang w:val="en-US"/>
              </w:rPr>
              <w:t xml:space="preserve"> </w:t>
            </w:r>
          </w:p>
        </w:tc>
        <w:tc>
          <w:tcPr>
            <w:tcW w:w="7980" w:type="dxa"/>
          </w:tcPr>
          <w:p w14:paraId="0AE98317" w14:textId="77777777" w:rsidR="0037211E" w:rsidRPr="0037211E" w:rsidRDefault="004B4308" w:rsidP="0037211E">
            <w:pPr>
              <w:spacing w:after="120" w:line="240" w:lineRule="atLeast"/>
              <w:jc w:val="both"/>
              <w:rPr>
                <w:lang w:val="en-US"/>
              </w:rPr>
            </w:pPr>
            <w:r>
              <w:rPr>
                <w:lang w:val="en-US"/>
              </w:rPr>
              <w:t xml:space="preserve">is </w:t>
            </w:r>
            <w:r w:rsidR="0037211E" w:rsidRPr="0037211E">
              <w:rPr>
                <w:lang w:val="en-US"/>
              </w:rPr>
              <w:t xml:space="preserve">a body, entity, or organization defined in the Constitution of Ukraine or an establishment or organization formed in compliance with the </w:t>
            </w:r>
            <w:r>
              <w:rPr>
                <w:lang w:val="en-US"/>
              </w:rPr>
              <w:t>established order by a body of s</w:t>
            </w:r>
            <w:r w:rsidR="0037211E" w:rsidRPr="0037211E">
              <w:rPr>
                <w:lang w:val="en-US"/>
              </w:rPr>
              <w:t xml:space="preserve">tate power, body of power of the Autonomous Republic of Crimea, or a local self-governmental body that is financed </w:t>
            </w:r>
            <w:r>
              <w:rPr>
                <w:lang w:val="en-US"/>
              </w:rPr>
              <w:t>entirely at the expense of the s</w:t>
            </w:r>
            <w:r w:rsidR="0037211E" w:rsidRPr="0037211E">
              <w:rPr>
                <w:lang w:val="en-US"/>
              </w:rPr>
              <w:t>tate budget or a local budget, respectively. Budget entities are non-profit.</w:t>
            </w:r>
          </w:p>
        </w:tc>
      </w:tr>
      <w:tr w:rsidR="0037211E" w:rsidRPr="0037211E" w14:paraId="6C4E439C" w14:textId="77777777" w:rsidTr="0037211E">
        <w:tc>
          <w:tcPr>
            <w:tcW w:w="1767" w:type="dxa"/>
          </w:tcPr>
          <w:p w14:paraId="0C3D6A89" w14:textId="77777777" w:rsidR="0037211E" w:rsidRPr="0037211E" w:rsidRDefault="0037211E" w:rsidP="0037211E">
            <w:pPr>
              <w:spacing w:after="120" w:line="240" w:lineRule="atLeast"/>
              <w:rPr>
                <w:b/>
                <w:lang w:val="en-US"/>
              </w:rPr>
            </w:pPr>
            <w:r w:rsidRPr="0037211E">
              <w:rPr>
                <w:b/>
                <w:lang w:val="en-US"/>
              </w:rPr>
              <w:t xml:space="preserve">budget allocation </w:t>
            </w:r>
            <w:r w:rsidR="00A31DAC">
              <w:rPr>
                <w:b/>
                <w:lang w:val="en-US"/>
              </w:rPr>
              <w:t xml:space="preserve"> </w:t>
            </w:r>
            <w:r w:rsidR="004B4308">
              <w:rPr>
                <w:b/>
                <w:lang w:val="en-US"/>
              </w:rPr>
              <w:t xml:space="preserve"> </w:t>
            </w:r>
          </w:p>
        </w:tc>
        <w:tc>
          <w:tcPr>
            <w:tcW w:w="7980" w:type="dxa"/>
          </w:tcPr>
          <w:p w14:paraId="2B2CAF4F" w14:textId="77777777" w:rsidR="0037211E" w:rsidRPr="0037211E" w:rsidRDefault="004B4308" w:rsidP="0037211E">
            <w:pPr>
              <w:spacing w:after="120" w:line="240" w:lineRule="atLeast"/>
              <w:jc w:val="both"/>
              <w:rPr>
                <w:lang w:val="en-US"/>
              </w:rPr>
            </w:pPr>
            <w:r>
              <w:rPr>
                <w:lang w:val="en-US"/>
              </w:rPr>
              <w:t xml:space="preserve">is an </w:t>
            </w:r>
            <w:r w:rsidR="0037211E" w:rsidRPr="0037211E">
              <w:rPr>
                <w:lang w:val="en-US"/>
              </w:rPr>
              <w:t xml:space="preserve">authority granted to a key spending unit to enter into budget commitments and spend budget funds on a specific objective in the process of budget execution consistent with the established appropriations. </w:t>
            </w:r>
          </w:p>
        </w:tc>
      </w:tr>
      <w:tr w:rsidR="0037211E" w:rsidRPr="0037211E" w14:paraId="3E858D5F" w14:textId="77777777" w:rsidTr="0037211E">
        <w:tc>
          <w:tcPr>
            <w:tcW w:w="1767" w:type="dxa"/>
          </w:tcPr>
          <w:p w14:paraId="1184B6AE" w14:textId="77777777" w:rsidR="0037211E" w:rsidRPr="0037211E" w:rsidRDefault="0037211E" w:rsidP="0037211E">
            <w:pPr>
              <w:spacing w:after="120" w:line="240" w:lineRule="atLeast"/>
              <w:rPr>
                <w:b/>
                <w:lang w:val="en-US"/>
              </w:rPr>
            </w:pPr>
            <w:r w:rsidRPr="0037211E">
              <w:rPr>
                <w:b/>
                <w:lang w:val="en-US"/>
              </w:rPr>
              <w:t xml:space="preserve">budget commitment </w:t>
            </w:r>
            <w:r w:rsidR="00A31DAC">
              <w:rPr>
                <w:b/>
                <w:lang w:val="en-US"/>
              </w:rPr>
              <w:t xml:space="preserve"> </w:t>
            </w:r>
          </w:p>
        </w:tc>
        <w:tc>
          <w:tcPr>
            <w:tcW w:w="7980" w:type="dxa"/>
          </w:tcPr>
          <w:p w14:paraId="2B60E031" w14:textId="77777777" w:rsidR="0037211E" w:rsidRPr="0037211E" w:rsidRDefault="004B4308" w:rsidP="0037211E">
            <w:pPr>
              <w:spacing w:after="120" w:line="240" w:lineRule="atLeast"/>
              <w:jc w:val="both"/>
              <w:rPr>
                <w:lang w:val="en-US"/>
              </w:rPr>
            </w:pPr>
            <w:r>
              <w:rPr>
                <w:lang w:val="en-US"/>
              </w:rPr>
              <w:t xml:space="preserve">is </w:t>
            </w:r>
            <w:r w:rsidR="0037211E" w:rsidRPr="0037211E">
              <w:rPr>
                <w:lang w:val="en-US"/>
              </w:rPr>
              <w:t xml:space="preserve">any placement within a budget allocation of an order, entering </w:t>
            </w:r>
            <w:r>
              <w:rPr>
                <w:lang w:val="en-US"/>
              </w:rPr>
              <w:t>in</w:t>
            </w:r>
            <w:r w:rsidR="0037211E" w:rsidRPr="0037211E">
              <w:rPr>
                <w:lang w:val="en-US"/>
              </w:rPr>
              <w:t>to a contract, purchase of a good or a service, or implementation of other similar transactions during a certain budget period that requires payments during the same period or in the future.</w:t>
            </w:r>
          </w:p>
        </w:tc>
      </w:tr>
      <w:tr w:rsidR="0037211E" w:rsidRPr="0037211E" w14:paraId="66BF583E" w14:textId="77777777" w:rsidTr="0037211E">
        <w:tc>
          <w:tcPr>
            <w:tcW w:w="1767" w:type="dxa"/>
          </w:tcPr>
          <w:p w14:paraId="248D39A0" w14:textId="77777777" w:rsidR="0037211E" w:rsidRPr="0037211E" w:rsidRDefault="0037211E" w:rsidP="0037211E">
            <w:pPr>
              <w:spacing w:after="120" w:line="240" w:lineRule="atLeast"/>
              <w:rPr>
                <w:b/>
                <w:lang w:val="en-US"/>
              </w:rPr>
            </w:pPr>
            <w:r w:rsidRPr="0037211E">
              <w:rPr>
                <w:b/>
                <w:lang w:val="en-US"/>
              </w:rPr>
              <w:t xml:space="preserve">budget appropriation </w:t>
            </w:r>
            <w:r w:rsidR="00A31DAC">
              <w:rPr>
                <w:b/>
                <w:lang w:val="en-US"/>
              </w:rPr>
              <w:t xml:space="preserve"> </w:t>
            </w:r>
          </w:p>
        </w:tc>
        <w:tc>
          <w:tcPr>
            <w:tcW w:w="7980" w:type="dxa"/>
          </w:tcPr>
          <w:p w14:paraId="58E866DF" w14:textId="77777777" w:rsidR="0037211E" w:rsidRPr="0037211E" w:rsidRDefault="004B4308" w:rsidP="004B4308">
            <w:pPr>
              <w:spacing w:after="120" w:line="240" w:lineRule="atLeast"/>
              <w:jc w:val="both"/>
              <w:rPr>
                <w:lang w:val="en-US"/>
              </w:rPr>
            </w:pPr>
            <w:r>
              <w:rPr>
                <w:lang w:val="en-US"/>
              </w:rPr>
              <w:t xml:space="preserve">is an </w:t>
            </w:r>
            <w:r w:rsidR="0037211E" w:rsidRPr="0037211E">
              <w:rPr>
                <w:lang w:val="en-US"/>
              </w:rPr>
              <w:t xml:space="preserve">authority granted to a key spending unit by this Code, the State Budget Law of Ukraine or by the local budget decision, with quantitative and time limits that allows budget allocations. </w:t>
            </w:r>
          </w:p>
        </w:tc>
      </w:tr>
      <w:tr w:rsidR="0037211E" w:rsidRPr="0037211E" w14:paraId="3FC8B875" w14:textId="77777777" w:rsidTr="0037211E">
        <w:tc>
          <w:tcPr>
            <w:tcW w:w="1767" w:type="dxa"/>
          </w:tcPr>
          <w:p w14:paraId="55A93D8E" w14:textId="77777777" w:rsidR="0037211E" w:rsidRPr="0037211E" w:rsidRDefault="0037211E" w:rsidP="0037211E">
            <w:pPr>
              <w:spacing w:after="120" w:line="240" w:lineRule="atLeast"/>
              <w:rPr>
                <w:b/>
                <w:lang w:val="en-US"/>
              </w:rPr>
            </w:pPr>
            <w:r w:rsidRPr="0037211E">
              <w:rPr>
                <w:b/>
                <w:lang w:val="en-US"/>
              </w:rPr>
              <w:t xml:space="preserve">borrowing </w:t>
            </w:r>
            <w:r w:rsidR="00A31DAC">
              <w:rPr>
                <w:b/>
                <w:lang w:val="en-US"/>
              </w:rPr>
              <w:t xml:space="preserve"> </w:t>
            </w:r>
          </w:p>
        </w:tc>
        <w:tc>
          <w:tcPr>
            <w:tcW w:w="7980" w:type="dxa"/>
          </w:tcPr>
          <w:p w14:paraId="58AB542A" w14:textId="77777777" w:rsidR="0037211E" w:rsidRPr="0037211E" w:rsidRDefault="004B4308" w:rsidP="0037211E">
            <w:pPr>
              <w:spacing w:after="120" w:line="240" w:lineRule="atLeast"/>
              <w:jc w:val="both"/>
              <w:rPr>
                <w:lang w:val="en-US"/>
              </w:rPr>
            </w:pPr>
            <w:r>
              <w:rPr>
                <w:lang w:val="en-US"/>
              </w:rPr>
              <w:t xml:space="preserve">is </w:t>
            </w:r>
            <w:r w:rsidR="0037211E" w:rsidRPr="0037211E">
              <w:rPr>
                <w:lang w:val="en-US"/>
              </w:rPr>
              <w:t>transactions related to securing resources by a budget at the terms of redemption, payback and time limits that result in entering by the State, the Autonomous Republic of Crimea, and local governments into liabilities with payments due to creditors.</w:t>
            </w:r>
          </w:p>
        </w:tc>
      </w:tr>
      <w:tr w:rsidR="0037211E" w:rsidRPr="0037211E" w14:paraId="08EB4AA9" w14:textId="77777777" w:rsidTr="0037211E">
        <w:tc>
          <w:tcPr>
            <w:tcW w:w="1767" w:type="dxa"/>
          </w:tcPr>
          <w:p w14:paraId="12593B3F" w14:textId="77777777" w:rsidR="0037211E" w:rsidRPr="0037211E" w:rsidRDefault="004B4308" w:rsidP="0037211E">
            <w:pPr>
              <w:spacing w:after="120" w:line="240" w:lineRule="atLeast"/>
              <w:rPr>
                <w:b/>
                <w:lang w:val="en-US"/>
              </w:rPr>
            </w:pPr>
            <w:r>
              <w:rPr>
                <w:b/>
                <w:lang w:val="en-US"/>
              </w:rPr>
              <w:t>inter-</w:t>
            </w:r>
            <w:r w:rsidR="0037211E" w:rsidRPr="0037211E">
              <w:rPr>
                <w:b/>
                <w:lang w:val="en-US"/>
              </w:rPr>
              <w:t xml:space="preserve">governmental transfers </w:t>
            </w:r>
            <w:r w:rsidR="00A31DAC">
              <w:rPr>
                <w:b/>
                <w:lang w:val="en-US"/>
              </w:rPr>
              <w:t xml:space="preserve"> </w:t>
            </w:r>
          </w:p>
        </w:tc>
        <w:tc>
          <w:tcPr>
            <w:tcW w:w="7980" w:type="dxa"/>
          </w:tcPr>
          <w:p w14:paraId="04429218" w14:textId="77777777" w:rsidR="0037211E" w:rsidRPr="0037211E" w:rsidRDefault="004B4308" w:rsidP="0037211E">
            <w:pPr>
              <w:spacing w:after="120" w:line="240" w:lineRule="atLeast"/>
              <w:jc w:val="both"/>
              <w:rPr>
                <w:lang w:val="en-US"/>
              </w:rPr>
            </w:pPr>
            <w:r>
              <w:rPr>
                <w:lang w:val="en-US"/>
              </w:rPr>
              <w:t xml:space="preserve">are </w:t>
            </w:r>
            <w:r w:rsidR="0037211E" w:rsidRPr="0037211E">
              <w:rPr>
                <w:lang w:val="en-US"/>
              </w:rPr>
              <w:t>resources transferred free of redemption and repayment from one budget to another one.</w:t>
            </w:r>
          </w:p>
        </w:tc>
      </w:tr>
      <w:tr w:rsidR="0037211E" w:rsidRPr="0037211E" w14:paraId="456ABB5A" w14:textId="77777777" w:rsidTr="0037211E">
        <w:tc>
          <w:tcPr>
            <w:tcW w:w="1767" w:type="dxa"/>
          </w:tcPr>
          <w:p w14:paraId="459BE1C1" w14:textId="77777777" w:rsidR="0037211E" w:rsidRPr="0037211E" w:rsidRDefault="0037211E" w:rsidP="0037211E">
            <w:pPr>
              <w:spacing w:after="120" w:line="240" w:lineRule="atLeast"/>
              <w:rPr>
                <w:b/>
                <w:lang w:val="en-US"/>
              </w:rPr>
            </w:pPr>
            <w:r w:rsidRPr="0037211E">
              <w:rPr>
                <w:b/>
                <w:lang w:val="en-US"/>
              </w:rPr>
              <w:t xml:space="preserve">local financial authority </w:t>
            </w:r>
            <w:r w:rsidR="00A31DAC">
              <w:rPr>
                <w:b/>
                <w:lang w:val="en-US"/>
              </w:rPr>
              <w:t xml:space="preserve"> </w:t>
            </w:r>
          </w:p>
        </w:tc>
        <w:tc>
          <w:tcPr>
            <w:tcW w:w="7980" w:type="dxa"/>
          </w:tcPr>
          <w:p w14:paraId="083070F9" w14:textId="77777777" w:rsidR="0037211E" w:rsidRPr="0037211E" w:rsidRDefault="004B4308" w:rsidP="0037211E">
            <w:pPr>
              <w:spacing w:after="120" w:line="240" w:lineRule="atLeast"/>
              <w:jc w:val="both"/>
              <w:rPr>
                <w:lang w:val="en-US"/>
              </w:rPr>
            </w:pPr>
            <w:r>
              <w:rPr>
                <w:lang w:val="en-US"/>
              </w:rPr>
              <w:t xml:space="preserve">is </w:t>
            </w:r>
            <w:r w:rsidR="0037211E" w:rsidRPr="0037211E">
              <w:rPr>
                <w:lang w:val="en-US"/>
              </w:rPr>
              <w:t>an agency that executes functions consistent with Ukrainian legislation dealing with formulating and executing local budgets, supervising fund spending by spending units, as well as other functions related to the management of local budget funds. For purposes of the Budget Code, the Ministry of Finance of the Autonomous Republic of Crimea is considered as a local financial authority.</w:t>
            </w:r>
          </w:p>
        </w:tc>
      </w:tr>
      <w:tr w:rsidR="0037211E" w:rsidRPr="0037211E" w14:paraId="56557B57" w14:textId="77777777" w:rsidTr="0037211E">
        <w:tc>
          <w:tcPr>
            <w:tcW w:w="1767" w:type="dxa"/>
          </w:tcPr>
          <w:p w14:paraId="2AA23CB2" w14:textId="77777777" w:rsidR="0037211E" w:rsidRPr="0037211E" w:rsidRDefault="0037211E" w:rsidP="0037211E">
            <w:pPr>
              <w:spacing w:after="120" w:line="240" w:lineRule="atLeast"/>
              <w:rPr>
                <w:b/>
                <w:lang w:val="en-US"/>
              </w:rPr>
            </w:pPr>
            <w:r w:rsidRPr="0037211E">
              <w:rPr>
                <w:b/>
                <w:lang w:val="en-US"/>
              </w:rPr>
              <w:t xml:space="preserve">budget receipts </w:t>
            </w:r>
            <w:r w:rsidR="00A31DAC">
              <w:rPr>
                <w:b/>
                <w:lang w:val="en-US"/>
              </w:rPr>
              <w:t xml:space="preserve"> </w:t>
            </w:r>
          </w:p>
        </w:tc>
        <w:tc>
          <w:tcPr>
            <w:tcW w:w="7980" w:type="dxa"/>
          </w:tcPr>
          <w:p w14:paraId="2CFF39B4" w14:textId="77777777" w:rsidR="0037211E" w:rsidRPr="0037211E" w:rsidRDefault="004B4308" w:rsidP="0037211E">
            <w:pPr>
              <w:spacing w:after="120" w:line="240" w:lineRule="atLeast"/>
              <w:jc w:val="both"/>
              <w:rPr>
                <w:lang w:val="en-US"/>
              </w:rPr>
            </w:pPr>
            <w:r>
              <w:rPr>
                <w:lang w:val="en-US"/>
              </w:rPr>
              <w:t xml:space="preserve">are </w:t>
            </w:r>
            <w:r w:rsidR="0037211E" w:rsidRPr="0037211E">
              <w:rPr>
                <w:lang w:val="en-US"/>
              </w:rPr>
              <w:t xml:space="preserve">budget revenues and funds raised by way of issuing debt by the State government, the government of the Autonomous Republic of Crimea, or a local self- governmental body. </w:t>
            </w:r>
          </w:p>
        </w:tc>
      </w:tr>
      <w:tr w:rsidR="0037211E" w:rsidRPr="0037211E" w14:paraId="2DA219E1" w14:textId="77777777" w:rsidTr="0037211E">
        <w:tc>
          <w:tcPr>
            <w:tcW w:w="1767" w:type="dxa"/>
          </w:tcPr>
          <w:p w14:paraId="2869A75A" w14:textId="77777777" w:rsidR="0037211E" w:rsidRPr="0037211E" w:rsidRDefault="0037211E" w:rsidP="0037211E">
            <w:pPr>
              <w:spacing w:after="120" w:line="240" w:lineRule="atLeast"/>
              <w:rPr>
                <w:b/>
                <w:lang w:val="en-US"/>
              </w:rPr>
            </w:pPr>
            <w:r w:rsidRPr="0037211E">
              <w:rPr>
                <w:b/>
                <w:lang w:val="en-US"/>
              </w:rPr>
              <w:t xml:space="preserve">the financial standard of budget sufficiency </w:t>
            </w:r>
            <w:r w:rsidR="00A31DAC">
              <w:rPr>
                <w:b/>
                <w:lang w:val="en-US"/>
              </w:rPr>
              <w:t xml:space="preserve"> </w:t>
            </w:r>
          </w:p>
        </w:tc>
        <w:tc>
          <w:tcPr>
            <w:tcW w:w="7980" w:type="dxa"/>
          </w:tcPr>
          <w:p w14:paraId="7845ED00" w14:textId="77777777" w:rsidR="0037211E" w:rsidRPr="0037211E" w:rsidRDefault="004B4308" w:rsidP="004B4308">
            <w:pPr>
              <w:spacing w:after="120" w:line="240" w:lineRule="atLeast"/>
              <w:jc w:val="both"/>
              <w:rPr>
                <w:lang w:val="en-US"/>
              </w:rPr>
            </w:pPr>
            <w:r>
              <w:rPr>
                <w:lang w:val="en-US"/>
              </w:rPr>
              <w:t xml:space="preserve">is </w:t>
            </w:r>
            <w:r w:rsidR="0037211E" w:rsidRPr="0037211E">
              <w:rPr>
                <w:lang w:val="en-US"/>
              </w:rPr>
              <w:t xml:space="preserve">the guaranteed by the State within the limits of available budget resources level of financial provision of authorities of the Council of Ministers of the Autonomous Republic of Crimea, local State administrations, and executive bodies of local </w:t>
            </w:r>
            <w:r>
              <w:rPr>
                <w:lang w:val="en-US"/>
              </w:rPr>
              <w:t>councils</w:t>
            </w:r>
            <w:r w:rsidR="0037211E" w:rsidRPr="0037211E">
              <w:rPr>
                <w:lang w:val="en-US"/>
              </w:rPr>
              <w:t xml:space="preserve"> that are used for defining the amount of inter-governmental transfers.</w:t>
            </w:r>
          </w:p>
        </w:tc>
      </w:tr>
      <w:tr w:rsidR="0037211E" w:rsidRPr="0037211E" w14:paraId="31932B71" w14:textId="77777777" w:rsidTr="0037211E">
        <w:tc>
          <w:tcPr>
            <w:tcW w:w="1767" w:type="dxa"/>
          </w:tcPr>
          <w:p w14:paraId="3EC79066" w14:textId="77777777" w:rsidR="0037211E" w:rsidRPr="0037211E" w:rsidRDefault="0037211E" w:rsidP="0037211E">
            <w:pPr>
              <w:spacing w:after="120" w:line="240" w:lineRule="atLeast"/>
              <w:rPr>
                <w:b/>
                <w:lang w:val="en-US"/>
              </w:rPr>
            </w:pPr>
            <w:r w:rsidRPr="0037211E">
              <w:rPr>
                <w:b/>
                <w:lang w:val="en-US"/>
              </w:rPr>
              <w:lastRenderedPageBreak/>
              <w:t xml:space="preserve">draft budget </w:t>
            </w:r>
            <w:r w:rsidR="00A31DAC">
              <w:rPr>
                <w:b/>
                <w:lang w:val="en-US"/>
              </w:rPr>
              <w:t xml:space="preserve"> </w:t>
            </w:r>
          </w:p>
        </w:tc>
        <w:tc>
          <w:tcPr>
            <w:tcW w:w="7980" w:type="dxa"/>
          </w:tcPr>
          <w:p w14:paraId="08FB73B9" w14:textId="77777777" w:rsidR="0037211E" w:rsidRPr="0037211E" w:rsidRDefault="004B4308" w:rsidP="00A31DAC">
            <w:pPr>
              <w:spacing w:after="120" w:line="240" w:lineRule="atLeast"/>
              <w:jc w:val="both"/>
              <w:rPr>
                <w:lang w:val="en-US"/>
              </w:rPr>
            </w:pPr>
            <w:r>
              <w:rPr>
                <w:lang w:val="en-US"/>
              </w:rPr>
              <w:t xml:space="preserve">is a </w:t>
            </w:r>
            <w:r w:rsidR="0037211E" w:rsidRPr="0037211E">
              <w:rPr>
                <w:lang w:val="en-US"/>
              </w:rPr>
              <w:t xml:space="preserve">draft plan of formation and use of fiscal resources for purposes of implementation of tasks and functions that are fulfilled by bodies of the </w:t>
            </w:r>
            <w:r w:rsidR="00A31DAC">
              <w:rPr>
                <w:lang w:val="en-US"/>
              </w:rPr>
              <w:t>s</w:t>
            </w:r>
            <w:r w:rsidR="0037211E" w:rsidRPr="0037211E">
              <w:rPr>
                <w:lang w:val="en-US"/>
              </w:rPr>
              <w:t xml:space="preserve">tate power, bodies of power of the Autonomous Republic of Crimea, or local self-governmental bodies; the draft budget is an integral part of the State Budget Law of Ukraine or the draft decision of the respective </w:t>
            </w:r>
            <w:r>
              <w:rPr>
                <w:lang w:val="en-US"/>
              </w:rPr>
              <w:t>council</w:t>
            </w:r>
            <w:r w:rsidR="0037211E" w:rsidRPr="0037211E">
              <w:rPr>
                <w:lang w:val="en-US"/>
              </w:rPr>
              <w:t xml:space="preserve"> on the local budget.</w:t>
            </w:r>
          </w:p>
        </w:tc>
      </w:tr>
      <w:tr w:rsidR="0037211E" w:rsidRPr="0037211E" w14:paraId="30E07FCA" w14:textId="77777777" w:rsidTr="0037211E">
        <w:tc>
          <w:tcPr>
            <w:tcW w:w="1767" w:type="dxa"/>
          </w:tcPr>
          <w:p w14:paraId="75F66078" w14:textId="77777777" w:rsidR="0037211E" w:rsidRPr="0037211E" w:rsidRDefault="0037211E" w:rsidP="0037211E">
            <w:pPr>
              <w:spacing w:after="120" w:line="240" w:lineRule="atLeast"/>
              <w:rPr>
                <w:b/>
                <w:lang w:val="en-US"/>
              </w:rPr>
            </w:pPr>
            <w:r w:rsidRPr="0037211E">
              <w:rPr>
                <w:b/>
                <w:lang w:val="en-US"/>
              </w:rPr>
              <w:t xml:space="preserve">decision on the local budget </w:t>
            </w:r>
            <w:r w:rsidR="00A31DAC">
              <w:rPr>
                <w:b/>
                <w:lang w:val="en-US"/>
              </w:rPr>
              <w:t xml:space="preserve"> </w:t>
            </w:r>
          </w:p>
        </w:tc>
        <w:tc>
          <w:tcPr>
            <w:tcW w:w="7980" w:type="dxa"/>
          </w:tcPr>
          <w:p w14:paraId="07DFD44F" w14:textId="77777777" w:rsidR="0037211E" w:rsidRPr="0037211E" w:rsidRDefault="004B4308" w:rsidP="004B4308">
            <w:pPr>
              <w:spacing w:after="120" w:line="240" w:lineRule="atLeast"/>
              <w:jc w:val="both"/>
              <w:rPr>
                <w:lang w:val="en-US"/>
              </w:rPr>
            </w:pPr>
            <w:r>
              <w:rPr>
                <w:lang w:val="en-US"/>
              </w:rPr>
              <w:t xml:space="preserve">is </w:t>
            </w:r>
            <w:r w:rsidR="0037211E" w:rsidRPr="0037211E">
              <w:rPr>
                <w:lang w:val="en-US"/>
              </w:rPr>
              <w:t xml:space="preserve">a legislative act adopted by the Verkhovna Rada of the Autonomous Republic </w:t>
            </w:r>
            <w:r>
              <w:rPr>
                <w:lang w:val="en-US"/>
              </w:rPr>
              <w:t>of Crimea or relevant local council</w:t>
            </w:r>
            <w:r w:rsidR="0037211E" w:rsidRPr="0037211E">
              <w:rPr>
                <w:lang w:val="en-US"/>
              </w:rPr>
              <w:t xml:space="preserve"> in accordance with the procedure established by laws of Ukraine that contains approved assignments of the Council of Ministers of the Autonomous Republic of Crimea, local state administration, or executive body of a local </w:t>
            </w:r>
            <w:r>
              <w:rPr>
                <w:lang w:val="en-US"/>
              </w:rPr>
              <w:t>council</w:t>
            </w:r>
            <w:r w:rsidR="0037211E" w:rsidRPr="0037211E">
              <w:rPr>
                <w:lang w:val="en-US"/>
              </w:rPr>
              <w:t xml:space="preserve"> to execute the local budget during the budget period.</w:t>
            </w:r>
          </w:p>
        </w:tc>
      </w:tr>
      <w:tr w:rsidR="0037211E" w:rsidRPr="0037211E" w14:paraId="0B7E038D" w14:textId="77777777" w:rsidTr="0037211E">
        <w:tc>
          <w:tcPr>
            <w:tcW w:w="1767" w:type="dxa"/>
          </w:tcPr>
          <w:p w14:paraId="2F933EDA" w14:textId="77777777" w:rsidR="0037211E" w:rsidRPr="0037211E" w:rsidRDefault="0037211E" w:rsidP="0037211E">
            <w:pPr>
              <w:spacing w:after="120" w:line="240" w:lineRule="atLeast"/>
              <w:rPr>
                <w:b/>
                <w:lang w:val="en-US"/>
              </w:rPr>
            </w:pPr>
            <w:r>
              <w:rPr>
                <w:b/>
                <w:lang w:val="en-US"/>
              </w:rPr>
              <w:t>spending units </w:t>
            </w:r>
            <w:r w:rsidR="00A31DAC">
              <w:rPr>
                <w:b/>
                <w:lang w:val="en-US"/>
              </w:rPr>
              <w:t xml:space="preserve"> </w:t>
            </w:r>
          </w:p>
        </w:tc>
        <w:tc>
          <w:tcPr>
            <w:tcW w:w="7980" w:type="dxa"/>
          </w:tcPr>
          <w:p w14:paraId="3EDEFC33" w14:textId="77777777" w:rsidR="0037211E" w:rsidRPr="0037211E" w:rsidRDefault="004B4308" w:rsidP="0037211E">
            <w:pPr>
              <w:spacing w:after="120" w:line="240" w:lineRule="atLeast"/>
              <w:jc w:val="both"/>
              <w:rPr>
                <w:lang w:val="en-US"/>
              </w:rPr>
            </w:pPr>
            <w:r>
              <w:rPr>
                <w:lang w:val="en-US"/>
              </w:rPr>
              <w:t xml:space="preserve">are </w:t>
            </w:r>
            <w:r w:rsidR="0037211E" w:rsidRPr="0037211E">
              <w:rPr>
                <w:lang w:val="en-US"/>
              </w:rPr>
              <w:t>budget entities and organizations empowered</w:t>
            </w:r>
            <w:r>
              <w:rPr>
                <w:lang w:val="en-US"/>
              </w:rPr>
              <w:t>,</w:t>
            </w:r>
            <w:r w:rsidR="0037211E" w:rsidRPr="0037211E">
              <w:rPr>
                <w:lang w:val="en-US"/>
              </w:rPr>
              <w:t xml:space="preserve"> in the person of their leadership</w:t>
            </w:r>
            <w:r>
              <w:rPr>
                <w:lang w:val="en-US"/>
              </w:rPr>
              <w:t>,</w:t>
            </w:r>
            <w:r w:rsidR="0037211E" w:rsidRPr="0037211E">
              <w:rPr>
                <w:lang w:val="en-US"/>
              </w:rPr>
              <w:t xml:space="preserve"> to receive allocations, undertake commitments, and execute expenditures from the budget. </w:t>
            </w:r>
          </w:p>
        </w:tc>
      </w:tr>
      <w:tr w:rsidR="0037211E" w:rsidRPr="0037211E" w14:paraId="4F165CFC" w14:textId="77777777" w:rsidTr="0037211E">
        <w:tc>
          <w:tcPr>
            <w:tcW w:w="1767" w:type="dxa"/>
          </w:tcPr>
          <w:p w14:paraId="7C5AF596" w14:textId="77777777" w:rsidR="0037211E" w:rsidRPr="0037211E" w:rsidRDefault="0037211E" w:rsidP="0037211E">
            <w:pPr>
              <w:spacing w:after="120" w:line="240" w:lineRule="atLeast"/>
              <w:rPr>
                <w:b/>
                <w:lang w:val="en-US"/>
              </w:rPr>
            </w:pPr>
            <w:r w:rsidRPr="0037211E">
              <w:rPr>
                <w:b/>
                <w:lang w:val="en-US"/>
              </w:rPr>
              <w:t xml:space="preserve">subventions </w:t>
            </w:r>
            <w:r w:rsidR="00A31DAC">
              <w:rPr>
                <w:b/>
                <w:lang w:val="en-US"/>
              </w:rPr>
              <w:t xml:space="preserve"> </w:t>
            </w:r>
          </w:p>
        </w:tc>
        <w:tc>
          <w:tcPr>
            <w:tcW w:w="7980" w:type="dxa"/>
          </w:tcPr>
          <w:p w14:paraId="488C72A1" w14:textId="77777777" w:rsidR="0037211E" w:rsidRPr="0037211E" w:rsidRDefault="004B4308" w:rsidP="0037211E">
            <w:pPr>
              <w:spacing w:after="120" w:line="240" w:lineRule="atLeast"/>
              <w:jc w:val="both"/>
              <w:rPr>
                <w:lang w:val="en-US"/>
              </w:rPr>
            </w:pPr>
            <w:r>
              <w:rPr>
                <w:lang w:val="en-US"/>
              </w:rPr>
              <w:t xml:space="preserve">are </w:t>
            </w:r>
            <w:r w:rsidR="0037211E" w:rsidRPr="0037211E">
              <w:rPr>
                <w:lang w:val="en-US"/>
              </w:rPr>
              <w:t xml:space="preserve">inter-governmental transfers of funds to be used for set purposes through procedures defined by the authority that decides to provide the subvention. </w:t>
            </w:r>
          </w:p>
        </w:tc>
      </w:tr>
      <w:tr w:rsidR="0037211E" w:rsidRPr="0037211E" w14:paraId="3E041D5F" w14:textId="77777777" w:rsidTr="0037211E">
        <w:trPr>
          <w:trHeight w:val="914"/>
        </w:trPr>
        <w:tc>
          <w:tcPr>
            <w:tcW w:w="1767" w:type="dxa"/>
          </w:tcPr>
          <w:p w14:paraId="27FA08DD" w14:textId="77777777" w:rsidR="0037211E" w:rsidRPr="0037211E" w:rsidRDefault="0037211E" w:rsidP="0037211E">
            <w:pPr>
              <w:spacing w:after="120" w:line="240" w:lineRule="atLeast"/>
              <w:rPr>
                <w:b/>
                <w:lang w:val="en-US"/>
              </w:rPr>
            </w:pPr>
            <w:r w:rsidRPr="0037211E">
              <w:rPr>
                <w:b/>
                <w:lang w:val="en-US"/>
              </w:rPr>
              <w:t xml:space="preserve">budget financing </w:t>
            </w:r>
            <w:r w:rsidR="00A31DAC">
              <w:rPr>
                <w:b/>
                <w:lang w:val="en-US"/>
              </w:rPr>
              <w:t xml:space="preserve"> </w:t>
            </w:r>
          </w:p>
        </w:tc>
        <w:tc>
          <w:tcPr>
            <w:tcW w:w="7980" w:type="dxa"/>
          </w:tcPr>
          <w:p w14:paraId="3E32CD8B" w14:textId="77777777" w:rsidR="0037211E" w:rsidRPr="0037211E" w:rsidRDefault="004B4308" w:rsidP="0037211E">
            <w:pPr>
              <w:spacing w:after="120" w:line="240" w:lineRule="atLeast"/>
              <w:jc w:val="both"/>
              <w:rPr>
                <w:lang w:val="en-US"/>
              </w:rPr>
            </w:pPr>
            <w:r>
              <w:rPr>
                <w:lang w:val="en-US"/>
              </w:rPr>
              <w:t xml:space="preserve">is </w:t>
            </w:r>
            <w:r w:rsidR="0037211E" w:rsidRPr="0037211E">
              <w:rPr>
                <w:lang w:val="en-US"/>
              </w:rPr>
              <w:t>receipts and expenses related to changes in the amount of the debt</w:t>
            </w:r>
            <w:r>
              <w:rPr>
                <w:lang w:val="en-US"/>
              </w:rPr>
              <w:t>,</w:t>
            </w:r>
            <w:r w:rsidR="0037211E" w:rsidRPr="0037211E">
              <w:rPr>
                <w:lang w:val="en-US"/>
              </w:rPr>
              <w:t xml:space="preserve"> as well as changes in the balance of cash resources used to cover the gap between budget revenues and budget expenditures.</w:t>
            </w:r>
          </w:p>
        </w:tc>
      </w:tr>
      <w:tr w:rsidR="0037211E" w:rsidRPr="0037211E" w14:paraId="08398551" w14:textId="77777777" w:rsidTr="0037211E">
        <w:trPr>
          <w:trHeight w:val="544"/>
        </w:trPr>
        <w:tc>
          <w:tcPr>
            <w:tcW w:w="1767" w:type="dxa"/>
          </w:tcPr>
          <w:p w14:paraId="3EE7911D" w14:textId="77777777" w:rsidR="0037211E" w:rsidRPr="0037211E" w:rsidRDefault="0037211E" w:rsidP="0037211E">
            <w:pPr>
              <w:spacing w:after="120" w:line="240" w:lineRule="atLeast"/>
              <w:rPr>
                <w:b/>
                <w:lang w:val="en-US"/>
              </w:rPr>
            </w:pPr>
            <w:r>
              <w:rPr>
                <w:b/>
                <w:lang w:val="en-US"/>
              </w:rPr>
              <w:t>budget surplus </w:t>
            </w:r>
            <w:r w:rsidR="00A31DAC">
              <w:rPr>
                <w:b/>
                <w:lang w:val="en-US"/>
              </w:rPr>
              <w:t xml:space="preserve"> </w:t>
            </w:r>
          </w:p>
        </w:tc>
        <w:tc>
          <w:tcPr>
            <w:tcW w:w="7980" w:type="dxa"/>
          </w:tcPr>
          <w:p w14:paraId="54B6E9F0" w14:textId="77777777" w:rsidR="0037211E" w:rsidRPr="0037211E" w:rsidRDefault="004B4308" w:rsidP="0037211E">
            <w:pPr>
              <w:spacing w:after="120" w:line="240" w:lineRule="atLeast"/>
              <w:jc w:val="both"/>
              <w:rPr>
                <w:lang w:val="en-US"/>
              </w:rPr>
            </w:pPr>
            <w:r>
              <w:rPr>
                <w:lang w:val="en-US"/>
              </w:rPr>
              <w:t xml:space="preserve">is the </w:t>
            </w:r>
            <w:r w:rsidR="0037211E" w:rsidRPr="0037211E">
              <w:rPr>
                <w:lang w:val="en-US"/>
              </w:rPr>
              <w:t>excess of budget revenues over budget expenditures.</w:t>
            </w:r>
          </w:p>
        </w:tc>
      </w:tr>
      <w:tr w:rsidR="0037211E" w:rsidRPr="0037211E" w14:paraId="2016EB1A" w14:textId="77777777" w:rsidTr="0037211E">
        <w:trPr>
          <w:trHeight w:val="454"/>
        </w:trPr>
        <w:tc>
          <w:tcPr>
            <w:tcW w:w="1767" w:type="dxa"/>
          </w:tcPr>
          <w:p w14:paraId="21BC21D6" w14:textId="77777777" w:rsidR="0037211E" w:rsidRPr="0037211E" w:rsidRDefault="0037211E" w:rsidP="0037211E">
            <w:pPr>
              <w:spacing w:after="120" w:line="240" w:lineRule="atLeast"/>
              <w:rPr>
                <w:b/>
                <w:lang w:val="en-US"/>
              </w:rPr>
            </w:pPr>
            <w:r>
              <w:rPr>
                <w:b/>
                <w:lang w:val="en-US"/>
              </w:rPr>
              <w:t>budget deficit </w:t>
            </w:r>
            <w:r w:rsidR="00A31DAC">
              <w:rPr>
                <w:b/>
                <w:lang w:val="en-US"/>
              </w:rPr>
              <w:t xml:space="preserve"> </w:t>
            </w:r>
          </w:p>
        </w:tc>
        <w:tc>
          <w:tcPr>
            <w:tcW w:w="7980" w:type="dxa"/>
          </w:tcPr>
          <w:p w14:paraId="496AC511" w14:textId="77777777" w:rsidR="0037211E" w:rsidRPr="0037211E" w:rsidRDefault="004B4308" w:rsidP="0037211E">
            <w:pPr>
              <w:spacing w:after="120" w:line="240" w:lineRule="atLeast"/>
              <w:jc w:val="both"/>
              <w:rPr>
                <w:lang w:val="en-US"/>
              </w:rPr>
            </w:pPr>
            <w:r>
              <w:rPr>
                <w:lang w:val="en-US"/>
              </w:rPr>
              <w:t xml:space="preserve">is the </w:t>
            </w:r>
            <w:r w:rsidR="0037211E" w:rsidRPr="0037211E">
              <w:rPr>
                <w:lang w:val="en-US"/>
              </w:rPr>
              <w:t>excess of budget expenditures over budget revenues.</w:t>
            </w:r>
          </w:p>
        </w:tc>
      </w:tr>
      <w:tr w:rsidR="0037211E" w:rsidRPr="0037211E" w14:paraId="23815E71" w14:textId="77777777" w:rsidTr="0037211E">
        <w:trPr>
          <w:trHeight w:val="365"/>
        </w:trPr>
        <w:tc>
          <w:tcPr>
            <w:tcW w:w="1767" w:type="dxa"/>
          </w:tcPr>
          <w:p w14:paraId="2A461AB0" w14:textId="77777777" w:rsidR="0037211E" w:rsidRPr="0037211E" w:rsidRDefault="0037211E" w:rsidP="0037211E">
            <w:pPr>
              <w:spacing w:after="120" w:line="240" w:lineRule="atLeast"/>
              <w:rPr>
                <w:b/>
                <w:lang w:val="en-US"/>
              </w:rPr>
            </w:pPr>
            <w:r w:rsidRPr="0037211E">
              <w:rPr>
                <w:b/>
                <w:lang w:val="en-US"/>
              </w:rPr>
              <w:t xml:space="preserve">key spending units </w:t>
            </w:r>
            <w:r w:rsidR="00A31DAC">
              <w:rPr>
                <w:b/>
                <w:lang w:val="en-US"/>
              </w:rPr>
              <w:t xml:space="preserve"> </w:t>
            </w:r>
          </w:p>
        </w:tc>
        <w:tc>
          <w:tcPr>
            <w:tcW w:w="7980" w:type="dxa"/>
          </w:tcPr>
          <w:p w14:paraId="5E7AAE66" w14:textId="77777777" w:rsidR="0037211E" w:rsidRPr="0037211E" w:rsidRDefault="004B4308" w:rsidP="004B4308">
            <w:pPr>
              <w:spacing w:after="120" w:line="240" w:lineRule="atLeast"/>
              <w:jc w:val="both"/>
              <w:rPr>
                <w:lang w:val="en-US"/>
              </w:rPr>
            </w:pPr>
            <w:r>
              <w:rPr>
                <w:lang w:val="en-US"/>
              </w:rPr>
              <w:t xml:space="preserve">are </w:t>
            </w:r>
            <w:r w:rsidR="0037211E" w:rsidRPr="0037211E">
              <w:rPr>
                <w:lang w:val="en-US"/>
              </w:rPr>
              <w:t xml:space="preserve">budget entities in </w:t>
            </w:r>
            <w:r>
              <w:rPr>
                <w:lang w:val="en-US"/>
              </w:rPr>
              <w:t>the</w:t>
            </w:r>
            <w:r w:rsidR="0037211E" w:rsidRPr="0037211E">
              <w:rPr>
                <w:lang w:val="en-US"/>
              </w:rPr>
              <w:t xml:space="preserve"> person of their managers which receive assignments by way of establishing budget appropriations.</w:t>
            </w:r>
          </w:p>
        </w:tc>
      </w:tr>
      <w:tr w:rsidR="0037211E" w:rsidRPr="0037211E" w14:paraId="09F50F15" w14:textId="77777777" w:rsidTr="0037211E">
        <w:trPr>
          <w:trHeight w:val="914"/>
        </w:trPr>
        <w:tc>
          <w:tcPr>
            <w:tcW w:w="1767" w:type="dxa"/>
          </w:tcPr>
          <w:p w14:paraId="3510D14B" w14:textId="77777777" w:rsidR="0037211E" w:rsidRPr="0037211E" w:rsidRDefault="0037211E" w:rsidP="0037211E">
            <w:pPr>
              <w:spacing w:after="120" w:line="240" w:lineRule="atLeast"/>
              <w:rPr>
                <w:b/>
                <w:lang w:val="en-US"/>
              </w:rPr>
            </w:pPr>
            <w:r w:rsidRPr="0037211E">
              <w:rPr>
                <w:b/>
                <w:lang w:val="en-US"/>
              </w:rPr>
              <w:t xml:space="preserve">revenue collection units </w:t>
            </w:r>
            <w:r w:rsidR="00A31DAC">
              <w:rPr>
                <w:b/>
                <w:lang w:val="en-US"/>
              </w:rPr>
              <w:t xml:space="preserve"> </w:t>
            </w:r>
          </w:p>
        </w:tc>
        <w:tc>
          <w:tcPr>
            <w:tcW w:w="7980" w:type="dxa"/>
          </w:tcPr>
          <w:p w14:paraId="613A0595" w14:textId="77777777" w:rsidR="0037211E" w:rsidRPr="0037211E" w:rsidRDefault="000504EE" w:rsidP="0037211E">
            <w:pPr>
              <w:spacing w:after="120" w:line="240" w:lineRule="atLeast"/>
              <w:jc w:val="both"/>
              <w:rPr>
                <w:lang w:val="en-US"/>
              </w:rPr>
            </w:pPr>
            <w:r>
              <w:rPr>
                <w:lang w:val="en-US"/>
              </w:rPr>
              <w:t xml:space="preserve">are tax </w:t>
            </w:r>
            <w:r w:rsidR="0037211E" w:rsidRPr="0037211E">
              <w:rPr>
                <w:lang w:val="en-US"/>
              </w:rPr>
              <w:t>collecting, customs, and other governmental agencies authorized by law to collect taxes, fees, mandatory payments</w:t>
            </w:r>
            <w:r>
              <w:rPr>
                <w:lang w:val="en-US"/>
              </w:rPr>
              <w:t>,</w:t>
            </w:r>
            <w:r w:rsidR="0037211E" w:rsidRPr="0037211E">
              <w:rPr>
                <w:lang w:val="en-US"/>
              </w:rPr>
              <w:t xml:space="preserve"> and other receipts</w:t>
            </w:r>
            <w:r>
              <w:rPr>
                <w:lang w:val="en-US"/>
              </w:rPr>
              <w:t>.</w:t>
            </w:r>
            <w:r w:rsidR="0037211E" w:rsidRPr="0037211E">
              <w:rPr>
                <w:lang w:val="en-US"/>
              </w:rPr>
              <w:t xml:space="preserve"> </w:t>
            </w:r>
          </w:p>
        </w:tc>
      </w:tr>
      <w:tr w:rsidR="0037211E" w:rsidRPr="0037211E" w14:paraId="7AA75209" w14:textId="77777777" w:rsidTr="0037211E">
        <w:trPr>
          <w:trHeight w:val="914"/>
        </w:trPr>
        <w:tc>
          <w:tcPr>
            <w:tcW w:w="1767" w:type="dxa"/>
          </w:tcPr>
          <w:p w14:paraId="195045F7" w14:textId="77777777" w:rsidR="0037211E" w:rsidRPr="0037211E" w:rsidRDefault="0037211E" w:rsidP="0037211E">
            <w:pPr>
              <w:spacing w:after="120" w:line="240" w:lineRule="atLeast"/>
              <w:rPr>
                <w:b/>
                <w:lang w:val="en-US"/>
              </w:rPr>
            </w:pPr>
            <w:r w:rsidRPr="0037211E">
              <w:rPr>
                <w:b/>
                <w:lang w:val="en-US"/>
              </w:rPr>
              <w:t xml:space="preserve">budget apportionment </w:t>
            </w:r>
            <w:r w:rsidR="00A31DAC">
              <w:rPr>
                <w:b/>
                <w:lang w:val="en-US"/>
              </w:rPr>
              <w:t xml:space="preserve"> </w:t>
            </w:r>
          </w:p>
        </w:tc>
        <w:tc>
          <w:tcPr>
            <w:tcW w:w="7980" w:type="dxa"/>
          </w:tcPr>
          <w:p w14:paraId="3798C416" w14:textId="77777777" w:rsidR="0037211E" w:rsidRPr="0037211E" w:rsidRDefault="000504EE" w:rsidP="0037211E">
            <w:pPr>
              <w:spacing w:after="120" w:line="240" w:lineRule="atLeast"/>
              <w:jc w:val="both"/>
              <w:rPr>
                <w:lang w:val="en-US"/>
              </w:rPr>
            </w:pPr>
            <w:r>
              <w:rPr>
                <w:lang w:val="en-US"/>
              </w:rPr>
              <w:t xml:space="preserve">is </w:t>
            </w:r>
            <w:r w:rsidR="0037211E" w:rsidRPr="0037211E">
              <w:rPr>
                <w:lang w:val="en-US"/>
              </w:rPr>
              <w:t xml:space="preserve">a document distributing revenues, budget funding and allocations across key spending units for particular periods of the year in accordance with budget classification. </w:t>
            </w:r>
          </w:p>
        </w:tc>
      </w:tr>
    </w:tbl>
    <w:p w14:paraId="00031F81" w14:textId="77777777" w:rsidR="00BE42A0" w:rsidRPr="00BE42A0" w:rsidRDefault="00BE42A0" w:rsidP="0037211E">
      <w:pPr>
        <w:pStyle w:val="end2"/>
      </w:pPr>
      <w:r w:rsidRPr="00BE42A0">
        <w:t>Review questions</w:t>
      </w:r>
    </w:p>
    <w:p w14:paraId="12DC517C"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What is a budget? Discuss the main objectives and features of a budget.</w:t>
      </w:r>
    </w:p>
    <w:p w14:paraId="292ECFAD"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What are the major differences between the state and local budgeting?</w:t>
      </w:r>
    </w:p>
    <w:p w14:paraId="03E1E810"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Discuss the budget decentralization process in Ukraine.</w:t>
      </w:r>
    </w:p>
    <w:p w14:paraId="0C906D0E"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 xml:space="preserve">What is a budget period? </w:t>
      </w:r>
    </w:p>
    <w:p w14:paraId="1BB47141"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Why is a budget classification system important?</w:t>
      </w:r>
      <w:r w:rsidRPr="0037211E">
        <w:rPr>
          <w:rFonts w:ascii="Garamond" w:hAnsi="Garamond" w:cs="Garamond"/>
          <w:color w:val="auto"/>
          <w:szCs w:val="28"/>
          <w:lang w:val="en-US" w:eastAsia="ru-RU" w:bidi="ru-RU"/>
        </w:rPr>
        <w:tab/>
      </w:r>
      <w:r w:rsidRPr="0037211E">
        <w:rPr>
          <w:rFonts w:ascii="Garamond" w:hAnsi="Garamond" w:cs="Garamond"/>
          <w:color w:val="auto"/>
          <w:szCs w:val="28"/>
          <w:lang w:val="en-US" w:eastAsia="ru-RU" w:bidi="ru-RU"/>
        </w:rPr>
        <w:tab/>
        <w:t xml:space="preserve"> </w:t>
      </w:r>
      <w:r w:rsidRPr="0037211E">
        <w:rPr>
          <w:rFonts w:ascii="Garamond" w:hAnsi="Garamond" w:cs="Garamond"/>
          <w:color w:val="auto"/>
          <w:szCs w:val="28"/>
          <w:lang w:val="en-US" w:eastAsia="ru-RU" w:bidi="ru-RU"/>
        </w:rPr>
        <w:tab/>
        <w:t xml:space="preserve"> </w:t>
      </w:r>
      <w:r w:rsidRPr="0037211E">
        <w:rPr>
          <w:rFonts w:ascii="Garamond" w:hAnsi="Garamond" w:cs="Garamond"/>
          <w:color w:val="auto"/>
          <w:szCs w:val="28"/>
          <w:lang w:val="en-US" w:eastAsia="ru-RU" w:bidi="ru-RU"/>
        </w:rPr>
        <w:tab/>
        <w:t xml:space="preserve"> </w:t>
      </w:r>
      <w:r w:rsidRPr="0037211E">
        <w:rPr>
          <w:rFonts w:ascii="Garamond" w:hAnsi="Garamond" w:cs="Garamond"/>
          <w:color w:val="auto"/>
          <w:szCs w:val="28"/>
          <w:lang w:val="en-US" w:eastAsia="ru-RU" w:bidi="ru-RU"/>
        </w:rPr>
        <w:tab/>
      </w:r>
      <w:r w:rsidRPr="0037211E">
        <w:rPr>
          <w:rFonts w:ascii="Garamond" w:hAnsi="Garamond" w:cs="Garamond"/>
          <w:color w:val="auto"/>
          <w:szCs w:val="28"/>
          <w:lang w:val="en-US" w:eastAsia="ru-RU" w:bidi="ru-RU"/>
        </w:rPr>
        <w:tab/>
      </w:r>
    </w:p>
    <w:p w14:paraId="746982CE"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What are the revenue sources for a government?</w:t>
      </w:r>
    </w:p>
    <w:p w14:paraId="0ECC21E2"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What are the major classes of public expenditure?</w:t>
      </w:r>
    </w:p>
    <w:p w14:paraId="483C971E"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Distinguish between revenue expenditure and capital expenditure in a government budget. Give two examples of each.</w:t>
      </w:r>
      <w:r w:rsidRPr="0037211E">
        <w:rPr>
          <w:rFonts w:ascii="Garamond" w:hAnsi="Garamond" w:cs="Garamond"/>
          <w:color w:val="auto"/>
          <w:szCs w:val="28"/>
          <w:lang w:val="en-US" w:eastAsia="ru-RU" w:bidi="ru-RU"/>
        </w:rPr>
        <w:tab/>
      </w:r>
      <w:r w:rsidRPr="0037211E">
        <w:rPr>
          <w:rFonts w:ascii="Garamond" w:hAnsi="Garamond" w:cs="Garamond"/>
          <w:color w:val="auto"/>
          <w:szCs w:val="28"/>
          <w:lang w:val="en-US" w:eastAsia="ru-RU" w:bidi="ru-RU"/>
        </w:rPr>
        <w:tab/>
      </w:r>
      <w:r w:rsidRPr="0037211E">
        <w:rPr>
          <w:rFonts w:ascii="Garamond" w:hAnsi="Garamond" w:cs="Garamond"/>
          <w:color w:val="auto"/>
          <w:szCs w:val="28"/>
          <w:lang w:val="en-US" w:eastAsia="ru-RU" w:bidi="ru-RU"/>
        </w:rPr>
        <w:tab/>
      </w:r>
    </w:p>
    <w:p w14:paraId="577E46B1"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lastRenderedPageBreak/>
        <w:t>What are the main sources of budget financing?</w:t>
      </w:r>
      <w:r w:rsidRPr="0037211E">
        <w:rPr>
          <w:rFonts w:ascii="Garamond" w:hAnsi="Garamond" w:cs="Garamond"/>
          <w:color w:val="auto"/>
          <w:szCs w:val="28"/>
          <w:lang w:val="en-US" w:eastAsia="ru-RU" w:bidi="ru-RU"/>
        </w:rPr>
        <w:tab/>
      </w:r>
    </w:p>
    <w:p w14:paraId="226AEA9D"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 xml:space="preserve">How does the government issue debt? </w:t>
      </w:r>
      <w:r w:rsidRPr="0037211E">
        <w:rPr>
          <w:rFonts w:ascii="Garamond" w:hAnsi="Garamond" w:cs="Garamond"/>
          <w:color w:val="auto"/>
          <w:szCs w:val="28"/>
          <w:lang w:val="en-US" w:eastAsia="ru-RU" w:bidi="ru-RU"/>
        </w:rPr>
        <w:tab/>
      </w:r>
      <w:r w:rsidRPr="0037211E">
        <w:rPr>
          <w:rFonts w:ascii="Garamond" w:hAnsi="Garamond" w:cs="Garamond"/>
          <w:color w:val="auto"/>
          <w:szCs w:val="28"/>
          <w:lang w:val="en-US" w:eastAsia="ru-RU" w:bidi="ru-RU"/>
        </w:rPr>
        <w:tab/>
      </w:r>
      <w:r w:rsidRPr="0037211E">
        <w:rPr>
          <w:rFonts w:ascii="Garamond" w:hAnsi="Garamond" w:cs="Garamond"/>
          <w:color w:val="auto"/>
          <w:szCs w:val="28"/>
          <w:lang w:val="en-US" w:eastAsia="ru-RU" w:bidi="ru-RU"/>
        </w:rPr>
        <w:tab/>
      </w:r>
      <w:r w:rsidRPr="0037211E">
        <w:rPr>
          <w:rFonts w:ascii="Garamond" w:hAnsi="Garamond" w:cs="Garamond"/>
          <w:color w:val="auto"/>
          <w:szCs w:val="28"/>
          <w:lang w:val="en-US" w:eastAsia="ru-RU" w:bidi="ru-RU"/>
        </w:rPr>
        <w:tab/>
      </w:r>
      <w:r w:rsidRPr="0037211E">
        <w:rPr>
          <w:rFonts w:ascii="Garamond" w:hAnsi="Garamond" w:cs="Garamond"/>
          <w:color w:val="auto"/>
          <w:szCs w:val="28"/>
          <w:lang w:val="en-US" w:eastAsia="ru-RU" w:bidi="ru-RU"/>
        </w:rPr>
        <w:tab/>
      </w:r>
    </w:p>
    <w:p w14:paraId="7AB75B9A"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 xml:space="preserve">Explain the difference between deficit and debt. </w:t>
      </w:r>
    </w:p>
    <w:p w14:paraId="67422997"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Explain the difference between internal and external debt.</w:t>
      </w:r>
    </w:p>
    <w:p w14:paraId="70426F6D"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Distinguish between the primary budget deficit and the reported budget deficit. Which one is more helpful for economists to analyze the government debt situation?</w:t>
      </w:r>
    </w:p>
    <w:p w14:paraId="3FB9A62E"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cs="Garamond"/>
          <w:color w:val="auto"/>
          <w:szCs w:val="28"/>
          <w:lang w:val="en-US" w:eastAsia="ru-RU" w:bidi="ru-RU"/>
        </w:rPr>
      </w:pPr>
      <w:r w:rsidRPr="0037211E">
        <w:rPr>
          <w:rFonts w:ascii="Garamond" w:hAnsi="Garamond" w:cs="Garamond"/>
          <w:color w:val="auto"/>
          <w:szCs w:val="28"/>
          <w:lang w:val="en-US" w:eastAsia="ru-RU" w:bidi="ru-RU"/>
        </w:rPr>
        <w:t>What tools the Ministry of Finance use in order to reduce the public debt of Ukraine?</w:t>
      </w:r>
    </w:p>
    <w:p w14:paraId="5028F6AC" w14:textId="77777777" w:rsidR="00BE42A0" w:rsidRPr="0037211E" w:rsidRDefault="00BE42A0" w:rsidP="006F749C">
      <w:pPr>
        <w:pStyle w:val="ListParagraph"/>
        <w:numPr>
          <w:ilvl w:val="0"/>
          <w:numId w:val="132"/>
        </w:numPr>
        <w:spacing w:after="0" w:line="312" w:lineRule="auto"/>
        <w:ind w:left="425" w:hanging="357"/>
        <w:jc w:val="both"/>
        <w:rPr>
          <w:rFonts w:ascii="Garamond" w:hAnsi="Garamond"/>
          <w:lang w:val="en-GB"/>
        </w:rPr>
      </w:pPr>
      <w:r w:rsidRPr="0037211E">
        <w:rPr>
          <w:rFonts w:ascii="Garamond" w:hAnsi="Garamond" w:cs="Garamond"/>
          <w:color w:val="auto"/>
          <w:szCs w:val="28"/>
          <w:lang w:val="en-US" w:eastAsia="ru-RU" w:bidi="ru-RU"/>
        </w:rPr>
        <w:t xml:space="preserve">List major </w:t>
      </w:r>
      <w:r w:rsidR="000504EE">
        <w:rPr>
          <w:rFonts w:ascii="Garamond" w:hAnsi="Garamond" w:cs="Garamond"/>
          <w:color w:val="auto"/>
          <w:szCs w:val="28"/>
          <w:lang w:val="en-US" w:eastAsia="ru-RU" w:bidi="ru-RU"/>
        </w:rPr>
        <w:t xml:space="preserve">steps taken in the process of </w:t>
      </w:r>
      <w:r w:rsidRPr="0037211E">
        <w:rPr>
          <w:rFonts w:ascii="Garamond" w:hAnsi="Garamond" w:cs="Garamond"/>
          <w:color w:val="auto"/>
          <w:szCs w:val="28"/>
          <w:lang w:val="en-US" w:eastAsia="ru-RU" w:bidi="ru-RU"/>
        </w:rPr>
        <w:t>building a state or local government budget.</w:t>
      </w:r>
      <w:r w:rsidRPr="0037211E">
        <w:rPr>
          <w:rFonts w:ascii="Garamond" w:hAnsi="Garamond"/>
          <w:lang w:val="en-GB"/>
        </w:rPr>
        <w:tab/>
      </w:r>
    </w:p>
    <w:p w14:paraId="4E8BF4A8" w14:textId="77777777" w:rsidR="00BE42A0" w:rsidRPr="00BE42A0" w:rsidRDefault="00E42D64" w:rsidP="00E42D64">
      <w:pPr>
        <w:pStyle w:val="end2"/>
        <w:rPr>
          <w:lang w:val="en-GB"/>
        </w:rPr>
      </w:pPr>
      <w:r w:rsidRPr="00E42D64">
        <w:t>MULTIPLE</w:t>
      </w:r>
      <w:r w:rsidR="00580666">
        <w:t xml:space="preserve"> </w:t>
      </w:r>
      <w:r w:rsidRPr="00E42D64">
        <w:t>CHOICE QUESTIONS</w:t>
      </w:r>
    </w:p>
    <w:tbl>
      <w:tblPr>
        <w:tblStyle w:val="1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6"/>
      </w:tblGrid>
      <w:tr w:rsidR="00E42D64" w:rsidRPr="00E42D64" w14:paraId="55CC7A80" w14:textId="77777777" w:rsidTr="004A1B27">
        <w:trPr>
          <w:trHeight w:val="1351"/>
        </w:trPr>
        <w:tc>
          <w:tcPr>
            <w:tcW w:w="9606" w:type="dxa"/>
          </w:tcPr>
          <w:p w14:paraId="6A35B881" w14:textId="77777777" w:rsidR="00E42D64" w:rsidRDefault="00E42D64" w:rsidP="006F749C">
            <w:pPr>
              <w:numPr>
                <w:ilvl w:val="0"/>
                <w:numId w:val="133"/>
              </w:numPr>
              <w:spacing w:line="240" w:lineRule="atLeast"/>
              <w:ind w:left="426" w:hanging="284"/>
              <w:contextualSpacing/>
              <w:jc w:val="both"/>
              <w:rPr>
                <w:sz w:val="28"/>
                <w:szCs w:val="28"/>
                <w:lang w:val="en-US"/>
              </w:rPr>
            </w:pPr>
            <w:r w:rsidRPr="00E42D64">
              <w:rPr>
                <w:sz w:val="28"/>
                <w:szCs w:val="28"/>
                <w:lang w:val="en-US"/>
              </w:rPr>
              <w:t>Which objectives government attempts to obtain by budget?</w:t>
            </w:r>
          </w:p>
          <w:p w14:paraId="29F42726" w14:textId="77777777" w:rsidR="00E42D64" w:rsidRPr="00E42D64" w:rsidRDefault="00E42D64" w:rsidP="006F749C">
            <w:pPr>
              <w:numPr>
                <w:ilvl w:val="0"/>
                <w:numId w:val="134"/>
              </w:numPr>
              <w:shd w:val="clear" w:color="auto" w:fill="FFFFFF"/>
              <w:spacing w:line="240" w:lineRule="atLeast"/>
              <w:ind w:left="788"/>
              <w:jc w:val="both"/>
              <w:textAlignment w:val="baseline"/>
              <w:rPr>
                <w:sz w:val="28"/>
                <w:szCs w:val="28"/>
                <w:lang w:val="en-US"/>
              </w:rPr>
            </w:pPr>
            <w:r w:rsidRPr="00E42D64">
              <w:rPr>
                <w:sz w:val="28"/>
                <w:szCs w:val="28"/>
                <w:lang w:val="en-US"/>
              </w:rPr>
              <w:t>to promote economic development;</w:t>
            </w:r>
          </w:p>
          <w:p w14:paraId="168EA111" w14:textId="77777777" w:rsidR="00E42D64" w:rsidRPr="00E42D64" w:rsidRDefault="00E42D64" w:rsidP="006F749C">
            <w:pPr>
              <w:numPr>
                <w:ilvl w:val="0"/>
                <w:numId w:val="134"/>
              </w:numPr>
              <w:shd w:val="clear" w:color="auto" w:fill="FFFFFF"/>
              <w:spacing w:line="240" w:lineRule="atLeast"/>
              <w:ind w:left="788"/>
              <w:jc w:val="both"/>
              <w:textAlignment w:val="baseline"/>
              <w:rPr>
                <w:sz w:val="28"/>
                <w:szCs w:val="28"/>
                <w:lang w:val="en-US"/>
              </w:rPr>
            </w:pPr>
            <w:r w:rsidRPr="00E42D64">
              <w:rPr>
                <w:sz w:val="28"/>
                <w:szCs w:val="28"/>
                <w:lang w:val="en-US"/>
              </w:rPr>
              <w:t>balanced regional development;</w:t>
            </w:r>
          </w:p>
          <w:p w14:paraId="78C5CEDB" w14:textId="77777777" w:rsidR="00E42D64" w:rsidRPr="00E42D64" w:rsidRDefault="00E42D64" w:rsidP="006F749C">
            <w:pPr>
              <w:numPr>
                <w:ilvl w:val="0"/>
                <w:numId w:val="134"/>
              </w:numPr>
              <w:shd w:val="clear" w:color="auto" w:fill="FFFFFF"/>
              <w:spacing w:line="240" w:lineRule="atLeast"/>
              <w:ind w:left="788"/>
              <w:jc w:val="both"/>
              <w:textAlignment w:val="baseline"/>
              <w:rPr>
                <w:sz w:val="28"/>
                <w:szCs w:val="28"/>
                <w:lang w:val="en-US"/>
              </w:rPr>
            </w:pPr>
            <w:r w:rsidRPr="00E42D64">
              <w:rPr>
                <w:sz w:val="28"/>
                <w:szCs w:val="28"/>
                <w:lang w:val="en-US"/>
              </w:rPr>
              <w:t>redistribution of income and wealth;</w:t>
            </w:r>
          </w:p>
          <w:p w14:paraId="579DA4EA" w14:textId="77777777" w:rsidR="00E42D64" w:rsidRPr="00E42D64" w:rsidRDefault="00E42D64" w:rsidP="006F749C">
            <w:pPr>
              <w:numPr>
                <w:ilvl w:val="0"/>
                <w:numId w:val="134"/>
              </w:numPr>
              <w:shd w:val="clear" w:color="auto" w:fill="FFFFFF"/>
              <w:spacing w:after="120" w:line="240" w:lineRule="atLeast"/>
              <w:ind w:left="782" w:hanging="357"/>
              <w:jc w:val="both"/>
              <w:textAlignment w:val="baseline"/>
              <w:rPr>
                <w:sz w:val="28"/>
                <w:szCs w:val="28"/>
                <w:lang w:val="en-US"/>
              </w:rPr>
            </w:pPr>
            <w:r w:rsidRPr="00E42D64">
              <w:rPr>
                <w:sz w:val="28"/>
                <w:szCs w:val="28"/>
                <w:lang w:val="en-US"/>
              </w:rPr>
              <w:t>all of this.</w:t>
            </w:r>
          </w:p>
        </w:tc>
      </w:tr>
      <w:tr w:rsidR="00E42D64" w:rsidRPr="00E42D64" w14:paraId="23E5327B" w14:textId="77777777" w:rsidTr="004A1B27">
        <w:trPr>
          <w:trHeight w:val="1271"/>
        </w:trPr>
        <w:tc>
          <w:tcPr>
            <w:tcW w:w="9606" w:type="dxa"/>
          </w:tcPr>
          <w:p w14:paraId="20846402" w14:textId="77777777" w:rsidR="00E42D64" w:rsidRDefault="00E42D64" w:rsidP="006F749C">
            <w:pPr>
              <w:numPr>
                <w:ilvl w:val="0"/>
                <w:numId w:val="133"/>
              </w:numPr>
              <w:spacing w:line="240" w:lineRule="atLeast"/>
              <w:ind w:left="426" w:hanging="284"/>
              <w:contextualSpacing/>
              <w:jc w:val="both"/>
              <w:rPr>
                <w:sz w:val="28"/>
                <w:szCs w:val="28"/>
                <w:lang w:val="en-US"/>
              </w:rPr>
            </w:pPr>
            <w:r w:rsidRPr="00E42D64">
              <w:rPr>
                <w:sz w:val="28"/>
                <w:szCs w:val="28"/>
                <w:lang w:val="en-US"/>
              </w:rPr>
              <w:t>What is the largest source of revenue for states?</w:t>
            </w:r>
          </w:p>
          <w:p w14:paraId="11FD5C99" w14:textId="77777777" w:rsidR="00E42D64" w:rsidRPr="00E42D64" w:rsidRDefault="00E42D64" w:rsidP="006F749C">
            <w:pPr>
              <w:numPr>
                <w:ilvl w:val="0"/>
                <w:numId w:val="135"/>
              </w:numPr>
              <w:shd w:val="clear" w:color="auto" w:fill="FFFFFF"/>
              <w:spacing w:line="240" w:lineRule="atLeast"/>
              <w:ind w:left="788"/>
              <w:jc w:val="both"/>
              <w:textAlignment w:val="baseline"/>
              <w:rPr>
                <w:sz w:val="28"/>
                <w:szCs w:val="28"/>
                <w:lang w:val="en-US"/>
              </w:rPr>
            </w:pPr>
            <w:r w:rsidRPr="00E42D64">
              <w:rPr>
                <w:sz w:val="28"/>
                <w:szCs w:val="28"/>
                <w:lang w:val="en-US"/>
              </w:rPr>
              <w:t xml:space="preserve">personal income tax; </w:t>
            </w:r>
          </w:p>
          <w:p w14:paraId="3FD61214" w14:textId="77777777" w:rsidR="00E42D64" w:rsidRPr="00E42D64" w:rsidRDefault="00E42D64" w:rsidP="006F749C">
            <w:pPr>
              <w:numPr>
                <w:ilvl w:val="0"/>
                <w:numId w:val="135"/>
              </w:numPr>
              <w:shd w:val="clear" w:color="auto" w:fill="FFFFFF"/>
              <w:spacing w:line="240" w:lineRule="atLeast"/>
              <w:ind w:left="788"/>
              <w:jc w:val="both"/>
              <w:textAlignment w:val="baseline"/>
              <w:rPr>
                <w:sz w:val="28"/>
                <w:szCs w:val="28"/>
                <w:lang w:val="en-US"/>
              </w:rPr>
            </w:pPr>
            <w:r w:rsidRPr="00E42D64">
              <w:rPr>
                <w:sz w:val="28"/>
                <w:szCs w:val="28"/>
                <w:lang w:val="en-US"/>
              </w:rPr>
              <w:t xml:space="preserve">property tax; </w:t>
            </w:r>
          </w:p>
          <w:p w14:paraId="12806176" w14:textId="77777777" w:rsidR="00E42D64" w:rsidRPr="00E42D64" w:rsidRDefault="00E42D64" w:rsidP="006F749C">
            <w:pPr>
              <w:numPr>
                <w:ilvl w:val="0"/>
                <w:numId w:val="135"/>
              </w:numPr>
              <w:shd w:val="clear" w:color="auto" w:fill="FFFFFF"/>
              <w:spacing w:line="240" w:lineRule="atLeast"/>
              <w:ind w:left="788"/>
              <w:jc w:val="both"/>
              <w:textAlignment w:val="baseline"/>
              <w:rPr>
                <w:sz w:val="28"/>
                <w:szCs w:val="28"/>
                <w:lang w:val="en-US"/>
              </w:rPr>
            </w:pPr>
            <w:r w:rsidRPr="00E42D64">
              <w:rPr>
                <w:sz w:val="28"/>
                <w:szCs w:val="28"/>
                <w:lang w:val="en-US"/>
              </w:rPr>
              <w:t xml:space="preserve">license fees; </w:t>
            </w:r>
          </w:p>
          <w:p w14:paraId="62279753" w14:textId="77777777" w:rsidR="00E42D64" w:rsidRPr="00E42D64" w:rsidRDefault="00E42D64" w:rsidP="006F749C">
            <w:pPr>
              <w:numPr>
                <w:ilvl w:val="0"/>
                <w:numId w:val="135"/>
              </w:numPr>
              <w:shd w:val="clear" w:color="auto" w:fill="FFFFFF"/>
              <w:spacing w:after="120" w:line="240" w:lineRule="atLeast"/>
              <w:ind w:left="782" w:hanging="357"/>
              <w:jc w:val="both"/>
              <w:textAlignment w:val="baseline"/>
              <w:rPr>
                <w:sz w:val="28"/>
                <w:szCs w:val="28"/>
                <w:lang w:val="en-US"/>
              </w:rPr>
            </w:pPr>
            <w:r w:rsidRPr="00E42D64">
              <w:rPr>
                <w:sz w:val="28"/>
                <w:szCs w:val="28"/>
                <w:lang w:val="en-US"/>
              </w:rPr>
              <w:t>sales and gross receipt tax.</w:t>
            </w:r>
          </w:p>
        </w:tc>
      </w:tr>
      <w:tr w:rsidR="00E42D64" w:rsidRPr="00E42D64" w14:paraId="05CF20DB" w14:textId="77777777" w:rsidTr="004A1B27">
        <w:trPr>
          <w:trHeight w:val="1251"/>
        </w:trPr>
        <w:tc>
          <w:tcPr>
            <w:tcW w:w="9606" w:type="dxa"/>
          </w:tcPr>
          <w:p w14:paraId="2ACE5EAB" w14:textId="77777777" w:rsidR="00E42D64" w:rsidRPr="00E42D64" w:rsidRDefault="00E42D64" w:rsidP="006F749C">
            <w:pPr>
              <w:numPr>
                <w:ilvl w:val="0"/>
                <w:numId w:val="133"/>
              </w:numPr>
              <w:spacing w:line="240" w:lineRule="atLeast"/>
              <w:ind w:left="426" w:hanging="284"/>
              <w:contextualSpacing/>
              <w:jc w:val="both"/>
              <w:rPr>
                <w:sz w:val="28"/>
                <w:szCs w:val="28"/>
                <w:lang w:val="en-US"/>
              </w:rPr>
            </w:pPr>
            <w:r w:rsidRPr="00E42D64">
              <w:rPr>
                <w:sz w:val="28"/>
                <w:szCs w:val="28"/>
                <w:lang w:val="en-US"/>
              </w:rPr>
              <w:t>What are the two biggest areas of state expenditures?</w:t>
            </w:r>
          </w:p>
          <w:p w14:paraId="4A12929F" w14:textId="77777777" w:rsidR="00E42D64" w:rsidRPr="00E42D64" w:rsidRDefault="00E42D64" w:rsidP="006F749C">
            <w:pPr>
              <w:numPr>
                <w:ilvl w:val="0"/>
                <w:numId w:val="136"/>
              </w:numPr>
              <w:shd w:val="clear" w:color="auto" w:fill="FFFFFF"/>
              <w:spacing w:line="240" w:lineRule="atLeast"/>
              <w:ind w:left="788"/>
              <w:jc w:val="both"/>
              <w:textAlignment w:val="baseline"/>
              <w:rPr>
                <w:sz w:val="28"/>
                <w:szCs w:val="28"/>
                <w:lang w:val="en-US"/>
              </w:rPr>
            </w:pPr>
            <w:r w:rsidRPr="00E42D64">
              <w:rPr>
                <w:sz w:val="28"/>
                <w:szCs w:val="28"/>
                <w:lang w:val="en-US"/>
              </w:rPr>
              <w:t xml:space="preserve">welfare and corrections; </w:t>
            </w:r>
          </w:p>
          <w:p w14:paraId="458FC90F" w14:textId="77777777" w:rsidR="00E42D64" w:rsidRPr="00E42D64" w:rsidRDefault="00E42D64" w:rsidP="006F749C">
            <w:pPr>
              <w:numPr>
                <w:ilvl w:val="0"/>
                <w:numId w:val="136"/>
              </w:numPr>
              <w:shd w:val="clear" w:color="auto" w:fill="FFFFFF"/>
              <w:spacing w:line="240" w:lineRule="atLeast"/>
              <w:ind w:left="788"/>
              <w:jc w:val="both"/>
              <w:textAlignment w:val="baseline"/>
              <w:rPr>
                <w:sz w:val="28"/>
                <w:szCs w:val="28"/>
                <w:lang w:val="en-US"/>
              </w:rPr>
            </w:pPr>
            <w:r w:rsidRPr="00E42D64">
              <w:rPr>
                <w:sz w:val="28"/>
                <w:szCs w:val="28"/>
                <w:lang w:val="en-US"/>
              </w:rPr>
              <w:t xml:space="preserve">corrections and education; </w:t>
            </w:r>
          </w:p>
          <w:p w14:paraId="3821227C" w14:textId="77777777" w:rsidR="00E42D64" w:rsidRPr="00E42D64" w:rsidRDefault="00E42D64" w:rsidP="006F749C">
            <w:pPr>
              <w:numPr>
                <w:ilvl w:val="0"/>
                <w:numId w:val="136"/>
              </w:numPr>
              <w:shd w:val="clear" w:color="auto" w:fill="FFFFFF"/>
              <w:spacing w:line="240" w:lineRule="atLeast"/>
              <w:ind w:left="788"/>
              <w:jc w:val="both"/>
              <w:textAlignment w:val="baseline"/>
              <w:rPr>
                <w:sz w:val="28"/>
                <w:szCs w:val="28"/>
                <w:lang w:val="en-US"/>
              </w:rPr>
            </w:pPr>
            <w:r w:rsidRPr="00E42D64">
              <w:rPr>
                <w:sz w:val="28"/>
                <w:szCs w:val="28"/>
                <w:lang w:val="en-US"/>
              </w:rPr>
              <w:t xml:space="preserve">welfare and education; </w:t>
            </w:r>
          </w:p>
          <w:p w14:paraId="6A34C74F" w14:textId="77777777" w:rsidR="00E42D64" w:rsidRPr="00E42D64" w:rsidRDefault="00E42D64" w:rsidP="006F749C">
            <w:pPr>
              <w:numPr>
                <w:ilvl w:val="0"/>
                <w:numId w:val="136"/>
              </w:numPr>
              <w:shd w:val="clear" w:color="auto" w:fill="FFFFFF"/>
              <w:spacing w:after="120" w:line="240" w:lineRule="atLeast"/>
              <w:ind w:left="782" w:hanging="357"/>
              <w:jc w:val="both"/>
              <w:textAlignment w:val="baseline"/>
              <w:rPr>
                <w:sz w:val="28"/>
                <w:szCs w:val="28"/>
                <w:lang w:val="en-US"/>
              </w:rPr>
            </w:pPr>
            <w:r w:rsidRPr="00E42D64">
              <w:rPr>
                <w:sz w:val="28"/>
                <w:szCs w:val="28"/>
                <w:lang w:val="en-US"/>
              </w:rPr>
              <w:t>education and healthcare.</w:t>
            </w:r>
          </w:p>
        </w:tc>
      </w:tr>
      <w:tr w:rsidR="00E42D64" w:rsidRPr="00E42D64" w14:paraId="01C5D5D9" w14:textId="77777777" w:rsidTr="00E42D64">
        <w:trPr>
          <w:trHeight w:val="284"/>
        </w:trPr>
        <w:tc>
          <w:tcPr>
            <w:tcW w:w="9606" w:type="dxa"/>
          </w:tcPr>
          <w:p w14:paraId="762C2E66" w14:textId="77777777" w:rsidR="00E42D64" w:rsidRPr="00BE42A0" w:rsidRDefault="00E42D64" w:rsidP="006F749C">
            <w:pPr>
              <w:numPr>
                <w:ilvl w:val="0"/>
                <w:numId w:val="133"/>
              </w:numPr>
              <w:spacing w:line="240" w:lineRule="atLeast"/>
              <w:ind w:left="426" w:hanging="284"/>
              <w:contextualSpacing/>
              <w:jc w:val="both"/>
              <w:rPr>
                <w:lang w:val="en-GB"/>
              </w:rPr>
            </w:pPr>
            <w:r w:rsidRPr="00E42D64">
              <w:rPr>
                <w:sz w:val="28"/>
                <w:szCs w:val="28"/>
                <w:lang w:val="en-US"/>
              </w:rPr>
              <w:t>Expenditures which do not cr</w:t>
            </w:r>
            <w:r w:rsidR="000504EE">
              <w:rPr>
                <w:sz w:val="28"/>
                <w:szCs w:val="28"/>
                <w:lang w:val="en-US"/>
              </w:rPr>
              <w:t>eate assets for the government are</w:t>
            </w:r>
            <w:r w:rsidRPr="00E42D64">
              <w:rPr>
                <w:sz w:val="28"/>
                <w:szCs w:val="28"/>
                <w:lang w:val="en-US"/>
              </w:rPr>
              <w:t xml:space="preserve"> called</w:t>
            </w:r>
            <w:r w:rsidR="000504EE">
              <w:rPr>
                <w:sz w:val="28"/>
                <w:szCs w:val="28"/>
                <w:lang w:val="en-US"/>
              </w:rPr>
              <w:t xml:space="preserve"> as follows</w:t>
            </w:r>
            <w:r w:rsidRPr="00E42D64">
              <w:rPr>
                <w:sz w:val="28"/>
                <w:szCs w:val="28"/>
                <w:lang w:val="en-US"/>
              </w:rPr>
              <w:t>:</w:t>
            </w:r>
          </w:p>
          <w:p w14:paraId="17FCEBC7" w14:textId="77777777" w:rsidR="00E42D64" w:rsidRPr="00E42D64" w:rsidRDefault="00E42D64" w:rsidP="006F749C">
            <w:pPr>
              <w:numPr>
                <w:ilvl w:val="0"/>
                <w:numId w:val="137"/>
              </w:numPr>
              <w:shd w:val="clear" w:color="auto" w:fill="FFFFFF"/>
              <w:spacing w:line="240" w:lineRule="atLeast"/>
              <w:ind w:left="788"/>
              <w:jc w:val="both"/>
              <w:textAlignment w:val="baseline"/>
              <w:rPr>
                <w:sz w:val="28"/>
                <w:szCs w:val="28"/>
                <w:lang w:val="en-US"/>
              </w:rPr>
            </w:pPr>
            <w:r w:rsidRPr="00E42D64">
              <w:rPr>
                <w:sz w:val="28"/>
                <w:szCs w:val="28"/>
                <w:lang w:val="en-US"/>
              </w:rPr>
              <w:t>revenue expenditure;</w:t>
            </w:r>
          </w:p>
          <w:p w14:paraId="5CEDFA59" w14:textId="77777777" w:rsidR="00E42D64" w:rsidRPr="00E42D64" w:rsidRDefault="00E42D64" w:rsidP="006F749C">
            <w:pPr>
              <w:numPr>
                <w:ilvl w:val="0"/>
                <w:numId w:val="137"/>
              </w:numPr>
              <w:shd w:val="clear" w:color="auto" w:fill="FFFFFF"/>
              <w:spacing w:line="240" w:lineRule="atLeast"/>
              <w:ind w:left="788"/>
              <w:jc w:val="both"/>
              <w:textAlignment w:val="baseline"/>
              <w:rPr>
                <w:sz w:val="28"/>
                <w:szCs w:val="28"/>
                <w:lang w:val="en-US"/>
              </w:rPr>
            </w:pPr>
            <w:r w:rsidRPr="00E42D64">
              <w:rPr>
                <w:sz w:val="28"/>
                <w:szCs w:val="28"/>
                <w:lang w:val="en-US"/>
              </w:rPr>
              <w:t>capital expenditure;</w:t>
            </w:r>
          </w:p>
          <w:p w14:paraId="30AA05FE" w14:textId="77777777" w:rsidR="00E42D64" w:rsidRPr="00E42D64" w:rsidRDefault="00E42D64" w:rsidP="006F749C">
            <w:pPr>
              <w:numPr>
                <w:ilvl w:val="0"/>
                <w:numId w:val="137"/>
              </w:numPr>
              <w:shd w:val="clear" w:color="auto" w:fill="FFFFFF"/>
              <w:spacing w:line="240" w:lineRule="atLeast"/>
              <w:ind w:left="788"/>
              <w:jc w:val="both"/>
              <w:textAlignment w:val="baseline"/>
              <w:rPr>
                <w:sz w:val="28"/>
                <w:szCs w:val="28"/>
                <w:lang w:val="en-US"/>
              </w:rPr>
            </w:pPr>
            <w:r w:rsidRPr="00E42D64">
              <w:rPr>
                <w:sz w:val="28"/>
                <w:szCs w:val="28"/>
                <w:lang w:val="en-US"/>
              </w:rPr>
              <w:t>both (a) and (b);</w:t>
            </w:r>
          </w:p>
          <w:p w14:paraId="05B4BD11" w14:textId="77777777" w:rsidR="00E42D64" w:rsidRPr="00E42D64" w:rsidRDefault="00E42D64" w:rsidP="006F749C">
            <w:pPr>
              <w:numPr>
                <w:ilvl w:val="0"/>
                <w:numId w:val="137"/>
              </w:numPr>
              <w:shd w:val="clear" w:color="auto" w:fill="FFFFFF"/>
              <w:spacing w:after="120" w:line="240" w:lineRule="atLeast"/>
              <w:ind w:left="782" w:hanging="357"/>
              <w:jc w:val="both"/>
              <w:textAlignment w:val="baseline"/>
              <w:rPr>
                <w:sz w:val="28"/>
                <w:szCs w:val="28"/>
                <w:lang w:val="en-US"/>
              </w:rPr>
            </w:pPr>
            <w:r w:rsidRPr="00E42D64">
              <w:rPr>
                <w:sz w:val="28"/>
                <w:szCs w:val="28"/>
                <w:lang w:val="en-US"/>
              </w:rPr>
              <w:t>none of these.</w:t>
            </w:r>
          </w:p>
        </w:tc>
      </w:tr>
      <w:tr w:rsidR="00E42D64" w:rsidRPr="00E42D64" w14:paraId="7EFB86AF" w14:textId="77777777" w:rsidTr="004A1B27">
        <w:trPr>
          <w:trHeight w:val="1791"/>
        </w:trPr>
        <w:tc>
          <w:tcPr>
            <w:tcW w:w="9606" w:type="dxa"/>
          </w:tcPr>
          <w:p w14:paraId="1DA9A0CE" w14:textId="77777777" w:rsidR="00E42D64" w:rsidRPr="00E42D64" w:rsidRDefault="00E42D64" w:rsidP="006F749C">
            <w:pPr>
              <w:numPr>
                <w:ilvl w:val="0"/>
                <w:numId w:val="133"/>
              </w:numPr>
              <w:spacing w:line="240" w:lineRule="atLeast"/>
              <w:ind w:left="426" w:hanging="284"/>
              <w:contextualSpacing/>
              <w:jc w:val="both"/>
              <w:rPr>
                <w:sz w:val="28"/>
                <w:szCs w:val="28"/>
                <w:lang w:val="en-US"/>
              </w:rPr>
            </w:pPr>
            <w:r w:rsidRPr="00E42D64">
              <w:rPr>
                <w:sz w:val="28"/>
                <w:szCs w:val="28"/>
                <w:lang w:val="en-US"/>
              </w:rPr>
              <w:lastRenderedPageBreak/>
              <w:t>If government spending exceeds tax collection,</w:t>
            </w:r>
          </w:p>
          <w:p w14:paraId="0F8AB072" w14:textId="77777777" w:rsidR="00E42D64" w:rsidRPr="00E42D64" w:rsidRDefault="00E42D64" w:rsidP="006F749C">
            <w:pPr>
              <w:numPr>
                <w:ilvl w:val="0"/>
                <w:numId w:val="138"/>
              </w:numPr>
              <w:shd w:val="clear" w:color="auto" w:fill="FFFFFF"/>
              <w:spacing w:line="240" w:lineRule="atLeast"/>
              <w:ind w:left="788"/>
              <w:jc w:val="both"/>
              <w:textAlignment w:val="baseline"/>
              <w:rPr>
                <w:sz w:val="28"/>
                <w:szCs w:val="28"/>
                <w:lang w:val="en-US"/>
              </w:rPr>
            </w:pPr>
            <w:r w:rsidRPr="00E42D64">
              <w:rPr>
                <w:sz w:val="28"/>
                <w:szCs w:val="28"/>
                <w:lang w:val="en-US"/>
              </w:rPr>
              <w:t>there is a budget surplus;</w:t>
            </w:r>
          </w:p>
          <w:p w14:paraId="569FB2F8" w14:textId="77777777" w:rsidR="00E42D64" w:rsidRPr="00E42D64" w:rsidRDefault="00E42D64" w:rsidP="006F749C">
            <w:pPr>
              <w:numPr>
                <w:ilvl w:val="0"/>
                <w:numId w:val="138"/>
              </w:numPr>
              <w:shd w:val="clear" w:color="auto" w:fill="FFFFFF"/>
              <w:spacing w:line="240" w:lineRule="atLeast"/>
              <w:ind w:left="788"/>
              <w:jc w:val="both"/>
              <w:textAlignment w:val="baseline"/>
              <w:rPr>
                <w:sz w:val="28"/>
                <w:szCs w:val="28"/>
                <w:lang w:val="en-US"/>
              </w:rPr>
            </w:pPr>
            <w:r w:rsidRPr="00E42D64">
              <w:rPr>
                <w:sz w:val="28"/>
                <w:szCs w:val="28"/>
                <w:lang w:val="en-US"/>
              </w:rPr>
              <w:t>there is the budget deficit;</w:t>
            </w:r>
          </w:p>
          <w:p w14:paraId="47A1BEB7" w14:textId="77777777" w:rsidR="00E42D64" w:rsidRPr="00E42D64" w:rsidRDefault="00E42D64" w:rsidP="006F749C">
            <w:pPr>
              <w:numPr>
                <w:ilvl w:val="0"/>
                <w:numId w:val="138"/>
              </w:numPr>
              <w:shd w:val="clear" w:color="auto" w:fill="FFFFFF"/>
              <w:spacing w:line="240" w:lineRule="atLeast"/>
              <w:ind w:left="788"/>
              <w:jc w:val="both"/>
              <w:textAlignment w:val="baseline"/>
              <w:rPr>
                <w:sz w:val="28"/>
                <w:szCs w:val="28"/>
                <w:lang w:val="en-US"/>
              </w:rPr>
            </w:pPr>
            <w:r w:rsidRPr="00E42D64">
              <w:rPr>
                <w:sz w:val="28"/>
                <w:szCs w:val="28"/>
                <w:lang w:val="en-US"/>
              </w:rPr>
              <w:t>private saving is positive;</w:t>
            </w:r>
          </w:p>
          <w:p w14:paraId="231E5E87" w14:textId="77777777" w:rsidR="00E42D64" w:rsidRPr="00E42D64" w:rsidRDefault="00E42D64" w:rsidP="006F749C">
            <w:pPr>
              <w:numPr>
                <w:ilvl w:val="0"/>
                <w:numId w:val="138"/>
              </w:numPr>
              <w:shd w:val="clear" w:color="auto" w:fill="FFFFFF"/>
              <w:spacing w:line="240" w:lineRule="atLeast"/>
              <w:ind w:left="788"/>
              <w:jc w:val="both"/>
              <w:textAlignment w:val="baseline"/>
              <w:rPr>
                <w:sz w:val="28"/>
                <w:szCs w:val="28"/>
                <w:lang w:val="en-US"/>
              </w:rPr>
            </w:pPr>
            <w:r w:rsidRPr="00E42D64">
              <w:rPr>
                <w:sz w:val="28"/>
                <w:szCs w:val="28"/>
                <w:lang w:val="en-US"/>
              </w:rPr>
              <w:t>public saving is positive;</w:t>
            </w:r>
          </w:p>
          <w:p w14:paraId="5F1D3808" w14:textId="77777777" w:rsidR="00E42D64" w:rsidRPr="00E42D64" w:rsidRDefault="00E42D64" w:rsidP="006F749C">
            <w:pPr>
              <w:numPr>
                <w:ilvl w:val="0"/>
                <w:numId w:val="138"/>
              </w:numPr>
              <w:shd w:val="clear" w:color="auto" w:fill="FFFFFF"/>
              <w:spacing w:after="120" w:line="240" w:lineRule="atLeast"/>
              <w:ind w:left="782" w:hanging="357"/>
              <w:jc w:val="both"/>
              <w:textAlignment w:val="baseline"/>
              <w:rPr>
                <w:sz w:val="28"/>
                <w:szCs w:val="28"/>
                <w:lang w:val="en-US"/>
              </w:rPr>
            </w:pPr>
            <w:r w:rsidRPr="00E42D64">
              <w:rPr>
                <w:sz w:val="28"/>
                <w:szCs w:val="28"/>
                <w:lang w:val="en-US"/>
              </w:rPr>
              <w:t>none of the above is true.</w:t>
            </w:r>
          </w:p>
        </w:tc>
      </w:tr>
      <w:tr w:rsidR="00E42D64" w:rsidRPr="00E42D64" w14:paraId="31CEEC3D" w14:textId="77777777" w:rsidTr="004A1B27">
        <w:trPr>
          <w:trHeight w:val="1591"/>
        </w:trPr>
        <w:tc>
          <w:tcPr>
            <w:tcW w:w="9606" w:type="dxa"/>
          </w:tcPr>
          <w:p w14:paraId="126AEA7A" w14:textId="77777777" w:rsidR="00E42D64" w:rsidRPr="00E42D64" w:rsidRDefault="00E42D64" w:rsidP="006F749C">
            <w:pPr>
              <w:numPr>
                <w:ilvl w:val="0"/>
                <w:numId w:val="133"/>
              </w:numPr>
              <w:spacing w:line="240" w:lineRule="atLeast"/>
              <w:ind w:left="426" w:hanging="284"/>
              <w:contextualSpacing/>
              <w:jc w:val="both"/>
              <w:rPr>
                <w:sz w:val="28"/>
                <w:szCs w:val="28"/>
                <w:lang w:val="en-US"/>
              </w:rPr>
            </w:pPr>
            <w:r w:rsidRPr="00E42D64">
              <w:rPr>
                <w:sz w:val="28"/>
                <w:szCs w:val="28"/>
                <w:lang w:val="en-US"/>
              </w:rPr>
              <w:t>A 'structu</w:t>
            </w:r>
            <w:r w:rsidR="000504EE">
              <w:rPr>
                <w:sz w:val="28"/>
                <w:szCs w:val="28"/>
                <w:lang w:val="en-US"/>
              </w:rPr>
              <w:t>ral' budget deficit is one that</w:t>
            </w:r>
          </w:p>
          <w:p w14:paraId="2AB20A63" w14:textId="77777777" w:rsidR="00E42D64" w:rsidRPr="00E42D64" w:rsidRDefault="00E42D64" w:rsidP="006F749C">
            <w:pPr>
              <w:numPr>
                <w:ilvl w:val="0"/>
                <w:numId w:val="139"/>
              </w:numPr>
              <w:shd w:val="clear" w:color="auto" w:fill="FFFFFF"/>
              <w:spacing w:line="240" w:lineRule="atLeast"/>
              <w:ind w:left="788"/>
              <w:jc w:val="both"/>
              <w:textAlignment w:val="baseline"/>
              <w:rPr>
                <w:sz w:val="28"/>
                <w:szCs w:val="28"/>
                <w:lang w:val="en-US"/>
              </w:rPr>
            </w:pPr>
            <w:r w:rsidRPr="00E42D64">
              <w:rPr>
                <w:sz w:val="28"/>
                <w:szCs w:val="28"/>
                <w:lang w:val="en-US"/>
              </w:rPr>
              <w:t>occurs when countries are in recession;</w:t>
            </w:r>
          </w:p>
          <w:p w14:paraId="0B45370F" w14:textId="77777777" w:rsidR="00E42D64" w:rsidRPr="00E42D64" w:rsidRDefault="00E42D64" w:rsidP="006F749C">
            <w:pPr>
              <w:numPr>
                <w:ilvl w:val="0"/>
                <w:numId w:val="139"/>
              </w:numPr>
              <w:shd w:val="clear" w:color="auto" w:fill="FFFFFF"/>
              <w:spacing w:line="240" w:lineRule="atLeast"/>
              <w:ind w:left="788"/>
              <w:jc w:val="both"/>
              <w:textAlignment w:val="baseline"/>
              <w:rPr>
                <w:sz w:val="28"/>
                <w:szCs w:val="28"/>
                <w:lang w:val="en-US"/>
              </w:rPr>
            </w:pPr>
            <w:r w:rsidRPr="00E42D64">
              <w:rPr>
                <w:sz w:val="28"/>
                <w:szCs w:val="28"/>
                <w:lang w:val="en-US"/>
              </w:rPr>
              <w:t>occurs regularly irrespective of the state of the economy;</w:t>
            </w:r>
          </w:p>
          <w:p w14:paraId="795DEBAD" w14:textId="77777777" w:rsidR="00E42D64" w:rsidRPr="00E42D64" w:rsidRDefault="00E42D64" w:rsidP="006F749C">
            <w:pPr>
              <w:numPr>
                <w:ilvl w:val="0"/>
                <w:numId w:val="139"/>
              </w:numPr>
              <w:shd w:val="clear" w:color="auto" w:fill="FFFFFF"/>
              <w:spacing w:line="240" w:lineRule="atLeast"/>
              <w:ind w:left="788"/>
              <w:jc w:val="both"/>
              <w:textAlignment w:val="baseline"/>
              <w:rPr>
                <w:sz w:val="28"/>
                <w:szCs w:val="28"/>
                <w:lang w:val="en-US"/>
              </w:rPr>
            </w:pPr>
            <w:r w:rsidRPr="00E42D64">
              <w:rPr>
                <w:sz w:val="28"/>
                <w:szCs w:val="28"/>
                <w:lang w:val="en-US"/>
              </w:rPr>
              <w:t>arises because of high capital expenditure</w:t>
            </w:r>
            <w:r w:rsidR="000504EE">
              <w:rPr>
                <w:sz w:val="28"/>
                <w:szCs w:val="28"/>
                <w:lang w:val="en-US"/>
              </w:rPr>
              <w:t>,</w:t>
            </w:r>
            <w:r w:rsidRPr="00E42D64">
              <w:rPr>
                <w:sz w:val="28"/>
                <w:szCs w:val="28"/>
                <w:lang w:val="en-US"/>
              </w:rPr>
              <w:t xml:space="preserve"> such as the building of new schools and hospitals;</w:t>
            </w:r>
          </w:p>
          <w:p w14:paraId="232732A7" w14:textId="77777777" w:rsidR="00E42D64" w:rsidRPr="00E42D64" w:rsidRDefault="00E42D64" w:rsidP="006F749C">
            <w:pPr>
              <w:numPr>
                <w:ilvl w:val="0"/>
                <w:numId w:val="139"/>
              </w:numPr>
              <w:shd w:val="clear" w:color="auto" w:fill="FFFFFF"/>
              <w:spacing w:after="120" w:line="240" w:lineRule="atLeast"/>
              <w:ind w:left="782" w:hanging="357"/>
              <w:jc w:val="both"/>
              <w:textAlignment w:val="baseline"/>
              <w:rPr>
                <w:sz w:val="28"/>
                <w:szCs w:val="28"/>
                <w:lang w:val="en-US"/>
              </w:rPr>
            </w:pPr>
            <w:r w:rsidRPr="00E42D64">
              <w:rPr>
                <w:sz w:val="28"/>
                <w:szCs w:val="28"/>
                <w:lang w:val="en-US"/>
              </w:rPr>
              <w:t>arises because of accounting practice but has no economic significance.</w:t>
            </w:r>
          </w:p>
        </w:tc>
      </w:tr>
      <w:tr w:rsidR="00E42D64" w:rsidRPr="00E42D64" w14:paraId="726D4322" w14:textId="77777777" w:rsidTr="004A1B27">
        <w:trPr>
          <w:trHeight w:val="1387"/>
        </w:trPr>
        <w:tc>
          <w:tcPr>
            <w:tcW w:w="9606" w:type="dxa"/>
          </w:tcPr>
          <w:p w14:paraId="6A49A325" w14:textId="77777777" w:rsidR="00E42D64" w:rsidRPr="00E42D64" w:rsidRDefault="00E42D64" w:rsidP="006F749C">
            <w:pPr>
              <w:numPr>
                <w:ilvl w:val="0"/>
                <w:numId w:val="133"/>
              </w:numPr>
              <w:spacing w:line="240" w:lineRule="atLeast"/>
              <w:ind w:left="426" w:hanging="284"/>
              <w:contextualSpacing/>
              <w:jc w:val="both"/>
              <w:rPr>
                <w:sz w:val="28"/>
                <w:szCs w:val="28"/>
                <w:lang w:val="en-US"/>
              </w:rPr>
            </w:pPr>
            <w:r w:rsidRPr="00E42D64">
              <w:rPr>
                <w:sz w:val="28"/>
                <w:szCs w:val="28"/>
                <w:lang w:val="en-US"/>
              </w:rPr>
              <w:t>The pub</w:t>
            </w:r>
            <w:r w:rsidR="000504EE">
              <w:rPr>
                <w:sz w:val="28"/>
                <w:szCs w:val="28"/>
                <w:lang w:val="en-US"/>
              </w:rPr>
              <w:t>lic debt is the total amount of</w:t>
            </w:r>
          </w:p>
          <w:p w14:paraId="2604AB1E" w14:textId="77777777" w:rsidR="00E42D64" w:rsidRPr="00E42D64" w:rsidRDefault="00E42D64" w:rsidP="006F749C">
            <w:pPr>
              <w:numPr>
                <w:ilvl w:val="0"/>
                <w:numId w:val="140"/>
              </w:numPr>
              <w:shd w:val="clear" w:color="auto" w:fill="FFFFFF"/>
              <w:spacing w:line="240" w:lineRule="atLeast"/>
              <w:ind w:left="788"/>
              <w:jc w:val="both"/>
              <w:textAlignment w:val="baseline"/>
              <w:rPr>
                <w:sz w:val="28"/>
                <w:szCs w:val="28"/>
                <w:lang w:val="en-US"/>
              </w:rPr>
            </w:pPr>
            <w:r w:rsidRPr="00E42D64">
              <w:rPr>
                <w:sz w:val="28"/>
                <w:szCs w:val="28"/>
                <w:lang w:val="en-US"/>
              </w:rPr>
              <w:t>debt held by the public;</w:t>
            </w:r>
          </w:p>
          <w:p w14:paraId="1C256E39" w14:textId="77777777" w:rsidR="00E42D64" w:rsidRPr="00E42D64" w:rsidRDefault="00E42D64" w:rsidP="006F749C">
            <w:pPr>
              <w:numPr>
                <w:ilvl w:val="0"/>
                <w:numId w:val="140"/>
              </w:numPr>
              <w:shd w:val="clear" w:color="auto" w:fill="FFFFFF"/>
              <w:spacing w:line="240" w:lineRule="atLeast"/>
              <w:ind w:left="788"/>
              <w:jc w:val="both"/>
              <w:textAlignment w:val="baseline"/>
              <w:rPr>
                <w:sz w:val="28"/>
                <w:szCs w:val="28"/>
                <w:lang w:val="en-US"/>
              </w:rPr>
            </w:pPr>
            <w:r w:rsidRPr="00E42D64">
              <w:rPr>
                <w:sz w:val="28"/>
                <w:szCs w:val="28"/>
                <w:lang w:val="en-US"/>
              </w:rPr>
              <w:t>government securities held by individuals, businesses,</w:t>
            </w:r>
            <w:r w:rsidR="000504EE">
              <w:rPr>
                <w:sz w:val="28"/>
                <w:szCs w:val="28"/>
                <w:lang w:val="en-US"/>
              </w:rPr>
              <w:t xml:space="preserve"> and</w:t>
            </w:r>
            <w:r w:rsidRPr="00E42D64">
              <w:rPr>
                <w:sz w:val="28"/>
                <w:szCs w:val="28"/>
                <w:lang w:val="en-US"/>
              </w:rPr>
              <w:t xml:space="preserve"> government agencies;</w:t>
            </w:r>
          </w:p>
          <w:p w14:paraId="63024FC1" w14:textId="77777777" w:rsidR="00E42D64" w:rsidRPr="00E42D64" w:rsidRDefault="00E42D64" w:rsidP="006F749C">
            <w:pPr>
              <w:numPr>
                <w:ilvl w:val="0"/>
                <w:numId w:val="140"/>
              </w:numPr>
              <w:shd w:val="clear" w:color="auto" w:fill="FFFFFF"/>
              <w:spacing w:line="240" w:lineRule="atLeast"/>
              <w:ind w:left="788"/>
              <w:jc w:val="both"/>
              <w:textAlignment w:val="baseline"/>
              <w:rPr>
                <w:sz w:val="28"/>
                <w:szCs w:val="28"/>
                <w:lang w:val="en-US"/>
              </w:rPr>
            </w:pPr>
            <w:r w:rsidRPr="00E42D64">
              <w:rPr>
                <w:sz w:val="28"/>
                <w:szCs w:val="28"/>
                <w:lang w:val="en-US"/>
              </w:rPr>
              <w:t>demand deposits held by banks;</w:t>
            </w:r>
          </w:p>
          <w:p w14:paraId="6ABA9127" w14:textId="77777777" w:rsidR="00E42D64" w:rsidRPr="00E42D64" w:rsidRDefault="00E42D64" w:rsidP="006F749C">
            <w:pPr>
              <w:numPr>
                <w:ilvl w:val="0"/>
                <w:numId w:val="140"/>
              </w:numPr>
              <w:shd w:val="clear" w:color="auto" w:fill="FFFFFF"/>
              <w:spacing w:line="240" w:lineRule="atLeast"/>
              <w:ind w:left="788"/>
              <w:jc w:val="both"/>
              <w:textAlignment w:val="baseline"/>
              <w:rPr>
                <w:sz w:val="28"/>
                <w:szCs w:val="28"/>
                <w:lang w:val="en-US"/>
              </w:rPr>
            </w:pPr>
            <w:r w:rsidRPr="00E42D64">
              <w:rPr>
                <w:sz w:val="28"/>
                <w:szCs w:val="28"/>
                <w:lang w:val="en-US"/>
              </w:rPr>
              <w:t>outstanding commercial loans;</w:t>
            </w:r>
          </w:p>
          <w:p w14:paraId="125F708B" w14:textId="77777777" w:rsidR="00E42D64" w:rsidRPr="00E42D64" w:rsidRDefault="00E42D64" w:rsidP="006F749C">
            <w:pPr>
              <w:numPr>
                <w:ilvl w:val="0"/>
                <w:numId w:val="140"/>
              </w:numPr>
              <w:shd w:val="clear" w:color="auto" w:fill="FFFFFF"/>
              <w:spacing w:after="120" w:line="240" w:lineRule="atLeast"/>
              <w:ind w:left="782" w:hanging="357"/>
              <w:jc w:val="both"/>
              <w:textAlignment w:val="baseline"/>
              <w:rPr>
                <w:sz w:val="28"/>
                <w:szCs w:val="28"/>
                <w:lang w:val="en-US"/>
              </w:rPr>
            </w:pPr>
            <w:r w:rsidRPr="00E42D64">
              <w:rPr>
                <w:sz w:val="28"/>
                <w:szCs w:val="28"/>
                <w:lang w:val="en-US"/>
              </w:rPr>
              <w:t>outstanding mortgages.</w:t>
            </w:r>
          </w:p>
        </w:tc>
      </w:tr>
      <w:tr w:rsidR="00E42D64" w:rsidRPr="00E42D64" w14:paraId="4731845B" w14:textId="77777777" w:rsidTr="004A1B27">
        <w:trPr>
          <w:trHeight w:val="1560"/>
        </w:trPr>
        <w:tc>
          <w:tcPr>
            <w:tcW w:w="9606" w:type="dxa"/>
          </w:tcPr>
          <w:p w14:paraId="64B569DB" w14:textId="77777777" w:rsidR="00E42D64" w:rsidRPr="00E42D64" w:rsidRDefault="00E42D64" w:rsidP="006F749C">
            <w:pPr>
              <w:numPr>
                <w:ilvl w:val="0"/>
                <w:numId w:val="133"/>
              </w:numPr>
              <w:spacing w:line="240" w:lineRule="atLeast"/>
              <w:ind w:left="426" w:hanging="284"/>
              <w:contextualSpacing/>
              <w:jc w:val="both"/>
              <w:rPr>
                <w:sz w:val="28"/>
                <w:szCs w:val="28"/>
                <w:lang w:val="en-US"/>
              </w:rPr>
            </w:pPr>
            <w:r w:rsidRPr="00E42D64">
              <w:rPr>
                <w:sz w:val="28"/>
                <w:szCs w:val="28"/>
                <w:lang w:val="en-US"/>
              </w:rPr>
              <w:t>The public debt of a country is not necessarily a burden on</w:t>
            </w:r>
            <w:r w:rsidR="000504EE">
              <w:rPr>
                <w:sz w:val="28"/>
                <w:szCs w:val="28"/>
                <w:lang w:val="en-US"/>
              </w:rPr>
              <w:t xml:space="preserve"> the economy to the extent that</w:t>
            </w:r>
          </w:p>
          <w:p w14:paraId="1EAAF62A" w14:textId="77777777" w:rsidR="00E42D64" w:rsidRPr="00E42D64" w:rsidRDefault="00E42D64" w:rsidP="006F749C">
            <w:pPr>
              <w:numPr>
                <w:ilvl w:val="0"/>
                <w:numId w:val="141"/>
              </w:numPr>
              <w:shd w:val="clear" w:color="auto" w:fill="FFFFFF"/>
              <w:spacing w:line="240" w:lineRule="atLeast"/>
              <w:ind w:left="788"/>
              <w:jc w:val="both"/>
              <w:textAlignment w:val="baseline"/>
              <w:rPr>
                <w:sz w:val="28"/>
                <w:szCs w:val="28"/>
                <w:lang w:val="en-US"/>
              </w:rPr>
            </w:pPr>
            <w:r w:rsidRPr="00E42D64">
              <w:rPr>
                <w:sz w:val="28"/>
                <w:szCs w:val="28"/>
                <w:lang w:val="en-US"/>
              </w:rPr>
              <w:t>it is paid for by borrowing abroad;</w:t>
            </w:r>
          </w:p>
          <w:p w14:paraId="1FB2698C" w14:textId="77777777" w:rsidR="00E42D64" w:rsidRPr="00E42D64" w:rsidRDefault="00E42D64" w:rsidP="006F749C">
            <w:pPr>
              <w:numPr>
                <w:ilvl w:val="0"/>
                <w:numId w:val="141"/>
              </w:numPr>
              <w:shd w:val="clear" w:color="auto" w:fill="FFFFFF"/>
              <w:spacing w:line="240" w:lineRule="atLeast"/>
              <w:ind w:left="788"/>
              <w:jc w:val="both"/>
              <w:textAlignment w:val="baseline"/>
              <w:rPr>
                <w:sz w:val="28"/>
                <w:szCs w:val="28"/>
                <w:lang w:val="en-US"/>
              </w:rPr>
            </w:pPr>
            <w:r w:rsidRPr="00E42D64">
              <w:rPr>
                <w:sz w:val="28"/>
                <w:szCs w:val="28"/>
                <w:lang w:val="en-US"/>
              </w:rPr>
              <w:t>people are happy to hold government bonds;</w:t>
            </w:r>
          </w:p>
          <w:p w14:paraId="1A87F3DB" w14:textId="77777777" w:rsidR="00E42D64" w:rsidRPr="00E42D64" w:rsidRDefault="00E42D64" w:rsidP="006F749C">
            <w:pPr>
              <w:numPr>
                <w:ilvl w:val="0"/>
                <w:numId w:val="141"/>
              </w:numPr>
              <w:shd w:val="clear" w:color="auto" w:fill="FFFFFF"/>
              <w:spacing w:line="240" w:lineRule="atLeast"/>
              <w:ind w:left="788"/>
              <w:jc w:val="both"/>
              <w:textAlignment w:val="baseline"/>
              <w:rPr>
                <w:sz w:val="28"/>
                <w:szCs w:val="28"/>
                <w:lang w:val="en-US"/>
              </w:rPr>
            </w:pPr>
            <w:r w:rsidRPr="00E42D64">
              <w:rPr>
                <w:sz w:val="28"/>
                <w:szCs w:val="28"/>
                <w:lang w:val="en-US"/>
              </w:rPr>
              <w:t>it can be financed without adding to inflation;</w:t>
            </w:r>
          </w:p>
          <w:p w14:paraId="6CA2E3C9" w14:textId="77777777" w:rsidR="00E42D64" w:rsidRPr="00E42D64" w:rsidRDefault="00E42D64" w:rsidP="006F749C">
            <w:pPr>
              <w:numPr>
                <w:ilvl w:val="0"/>
                <w:numId w:val="141"/>
              </w:numPr>
              <w:shd w:val="clear" w:color="auto" w:fill="FFFFFF"/>
              <w:spacing w:line="240" w:lineRule="atLeast"/>
              <w:ind w:left="788"/>
              <w:jc w:val="both"/>
              <w:textAlignment w:val="baseline"/>
              <w:rPr>
                <w:sz w:val="28"/>
                <w:szCs w:val="28"/>
                <w:lang w:val="en-US"/>
              </w:rPr>
            </w:pPr>
            <w:r w:rsidRPr="00E42D64">
              <w:rPr>
                <w:sz w:val="28"/>
                <w:szCs w:val="28"/>
                <w:lang w:val="en-US"/>
              </w:rPr>
              <w:t>people receive good public services;</w:t>
            </w:r>
          </w:p>
          <w:p w14:paraId="40097DF2" w14:textId="77777777" w:rsidR="00E42D64" w:rsidRPr="00E42D64" w:rsidRDefault="00E42D64" w:rsidP="006F749C">
            <w:pPr>
              <w:numPr>
                <w:ilvl w:val="0"/>
                <w:numId w:val="141"/>
              </w:numPr>
              <w:shd w:val="clear" w:color="auto" w:fill="FFFFFF"/>
              <w:spacing w:after="120" w:line="240" w:lineRule="atLeast"/>
              <w:ind w:left="782" w:hanging="357"/>
              <w:jc w:val="both"/>
              <w:textAlignment w:val="baseline"/>
              <w:rPr>
                <w:sz w:val="28"/>
                <w:szCs w:val="28"/>
                <w:lang w:val="en-US"/>
              </w:rPr>
            </w:pPr>
            <w:r w:rsidRPr="00E42D64">
              <w:rPr>
                <w:sz w:val="28"/>
                <w:szCs w:val="28"/>
                <w:lang w:val="en-US"/>
              </w:rPr>
              <w:t>it grows less rapidly than GDP.</w:t>
            </w:r>
            <w:r w:rsidRPr="00E42D64">
              <w:rPr>
                <w:sz w:val="28"/>
                <w:szCs w:val="28"/>
                <w:lang w:val="en-US"/>
              </w:rPr>
              <w:tab/>
            </w:r>
          </w:p>
        </w:tc>
      </w:tr>
      <w:tr w:rsidR="00E42D64" w:rsidRPr="00E42D64" w14:paraId="61202CB2" w14:textId="77777777" w:rsidTr="004A1B27">
        <w:trPr>
          <w:trHeight w:val="1639"/>
        </w:trPr>
        <w:tc>
          <w:tcPr>
            <w:tcW w:w="9606" w:type="dxa"/>
          </w:tcPr>
          <w:p w14:paraId="51AF6FEC" w14:textId="77777777" w:rsidR="00E42D64" w:rsidRPr="00E42D64" w:rsidRDefault="00E42D64" w:rsidP="006F749C">
            <w:pPr>
              <w:numPr>
                <w:ilvl w:val="0"/>
                <w:numId w:val="133"/>
              </w:numPr>
              <w:spacing w:line="240" w:lineRule="atLeast"/>
              <w:ind w:left="426" w:hanging="284"/>
              <w:contextualSpacing/>
              <w:jc w:val="both"/>
              <w:rPr>
                <w:sz w:val="28"/>
                <w:szCs w:val="28"/>
                <w:lang w:val="en-US"/>
              </w:rPr>
            </w:pPr>
            <w:r w:rsidRPr="00E42D64">
              <w:rPr>
                <w:sz w:val="28"/>
                <w:szCs w:val="28"/>
                <w:lang w:val="en-US"/>
              </w:rPr>
              <w:t xml:space="preserve">The level of external debt rises when the Ukrainian Treasury </w:t>
            </w:r>
          </w:p>
          <w:p w14:paraId="52659AE8" w14:textId="77777777" w:rsidR="00E42D64" w:rsidRPr="00E42D64" w:rsidRDefault="00E42D64" w:rsidP="006F749C">
            <w:pPr>
              <w:numPr>
                <w:ilvl w:val="0"/>
                <w:numId w:val="142"/>
              </w:numPr>
              <w:shd w:val="clear" w:color="auto" w:fill="FFFFFF"/>
              <w:spacing w:line="240" w:lineRule="atLeast"/>
              <w:ind w:left="788"/>
              <w:jc w:val="both"/>
              <w:textAlignment w:val="baseline"/>
              <w:rPr>
                <w:sz w:val="28"/>
                <w:szCs w:val="28"/>
                <w:lang w:val="en-US"/>
              </w:rPr>
            </w:pPr>
            <w:r w:rsidRPr="00E42D64">
              <w:rPr>
                <w:sz w:val="28"/>
                <w:szCs w:val="28"/>
                <w:lang w:val="en-US"/>
              </w:rPr>
              <w:t>prints more money;</w:t>
            </w:r>
          </w:p>
          <w:p w14:paraId="1EF49EE2" w14:textId="77777777" w:rsidR="00E42D64" w:rsidRPr="00E42D64" w:rsidRDefault="00E42D64" w:rsidP="006F749C">
            <w:pPr>
              <w:numPr>
                <w:ilvl w:val="0"/>
                <w:numId w:val="142"/>
              </w:numPr>
              <w:shd w:val="clear" w:color="auto" w:fill="FFFFFF"/>
              <w:spacing w:line="240" w:lineRule="atLeast"/>
              <w:ind w:left="788"/>
              <w:jc w:val="both"/>
              <w:textAlignment w:val="baseline"/>
              <w:rPr>
                <w:sz w:val="28"/>
                <w:szCs w:val="28"/>
                <w:lang w:val="en-US"/>
              </w:rPr>
            </w:pPr>
            <w:r w:rsidRPr="00E42D64">
              <w:rPr>
                <w:sz w:val="28"/>
                <w:szCs w:val="28"/>
                <w:lang w:val="en-US"/>
              </w:rPr>
              <w:t>sells securities to Ukrainians;</w:t>
            </w:r>
          </w:p>
          <w:p w14:paraId="29800D75" w14:textId="77777777" w:rsidR="00E42D64" w:rsidRPr="00E42D64" w:rsidRDefault="00E42D64" w:rsidP="006F749C">
            <w:pPr>
              <w:numPr>
                <w:ilvl w:val="0"/>
                <w:numId w:val="142"/>
              </w:numPr>
              <w:shd w:val="clear" w:color="auto" w:fill="FFFFFF"/>
              <w:spacing w:line="240" w:lineRule="atLeast"/>
              <w:ind w:left="788"/>
              <w:jc w:val="both"/>
              <w:textAlignment w:val="baseline"/>
              <w:rPr>
                <w:sz w:val="28"/>
                <w:szCs w:val="28"/>
                <w:lang w:val="en-US"/>
              </w:rPr>
            </w:pPr>
            <w:r w:rsidRPr="00E42D64">
              <w:rPr>
                <w:sz w:val="28"/>
                <w:szCs w:val="28"/>
                <w:lang w:val="en-US"/>
              </w:rPr>
              <w:t>increases the deficit;</w:t>
            </w:r>
            <w:r w:rsidRPr="00E42D64">
              <w:rPr>
                <w:sz w:val="28"/>
                <w:szCs w:val="28"/>
                <w:lang w:val="en-US"/>
              </w:rPr>
              <w:tab/>
            </w:r>
            <w:r w:rsidRPr="00E42D64">
              <w:rPr>
                <w:sz w:val="28"/>
                <w:szCs w:val="28"/>
                <w:lang w:val="en-US"/>
              </w:rPr>
              <w:tab/>
            </w:r>
            <w:r w:rsidRPr="00E42D64">
              <w:rPr>
                <w:sz w:val="28"/>
                <w:szCs w:val="28"/>
                <w:lang w:val="en-US"/>
              </w:rPr>
              <w:tab/>
            </w:r>
          </w:p>
          <w:p w14:paraId="309114AD" w14:textId="77777777" w:rsidR="00E42D64" w:rsidRPr="00E42D64" w:rsidRDefault="00E42D64" w:rsidP="006F749C">
            <w:pPr>
              <w:numPr>
                <w:ilvl w:val="0"/>
                <w:numId w:val="142"/>
              </w:numPr>
              <w:shd w:val="clear" w:color="auto" w:fill="FFFFFF"/>
              <w:spacing w:line="240" w:lineRule="atLeast"/>
              <w:ind w:left="788"/>
              <w:jc w:val="both"/>
              <w:textAlignment w:val="baseline"/>
              <w:rPr>
                <w:sz w:val="28"/>
                <w:szCs w:val="28"/>
                <w:lang w:val="en-US"/>
              </w:rPr>
            </w:pPr>
            <w:r w:rsidRPr="00E42D64">
              <w:rPr>
                <w:sz w:val="28"/>
                <w:szCs w:val="28"/>
                <w:lang w:val="en-US"/>
              </w:rPr>
              <w:t>decreases the deficit;</w:t>
            </w:r>
          </w:p>
          <w:p w14:paraId="48D2FC26" w14:textId="77777777" w:rsidR="00E42D64" w:rsidRPr="00E42D64" w:rsidRDefault="00E42D64" w:rsidP="006F749C">
            <w:pPr>
              <w:numPr>
                <w:ilvl w:val="0"/>
                <w:numId w:val="142"/>
              </w:numPr>
              <w:shd w:val="clear" w:color="auto" w:fill="FFFFFF"/>
              <w:spacing w:after="120" w:line="240" w:lineRule="atLeast"/>
              <w:ind w:left="782" w:hanging="357"/>
              <w:jc w:val="both"/>
              <w:textAlignment w:val="baseline"/>
              <w:rPr>
                <w:sz w:val="28"/>
                <w:szCs w:val="28"/>
                <w:lang w:val="en-US"/>
              </w:rPr>
            </w:pPr>
            <w:r w:rsidRPr="00E42D64">
              <w:rPr>
                <w:sz w:val="28"/>
                <w:szCs w:val="28"/>
                <w:lang w:val="en-US"/>
              </w:rPr>
              <w:t>sells securities to foreigners.</w:t>
            </w:r>
          </w:p>
        </w:tc>
      </w:tr>
      <w:tr w:rsidR="00E42D64" w:rsidRPr="00E42D64" w14:paraId="5C92D855" w14:textId="77777777" w:rsidTr="004A1B27">
        <w:trPr>
          <w:trHeight w:val="1279"/>
        </w:trPr>
        <w:tc>
          <w:tcPr>
            <w:tcW w:w="9606" w:type="dxa"/>
          </w:tcPr>
          <w:p w14:paraId="2A5FA246" w14:textId="77777777" w:rsidR="00E42D64" w:rsidRPr="00E42D64" w:rsidRDefault="00E42D64" w:rsidP="006F749C">
            <w:pPr>
              <w:numPr>
                <w:ilvl w:val="0"/>
                <w:numId w:val="133"/>
              </w:numPr>
              <w:spacing w:line="240" w:lineRule="atLeast"/>
              <w:ind w:left="426" w:hanging="284"/>
              <w:contextualSpacing/>
              <w:jc w:val="both"/>
              <w:rPr>
                <w:sz w:val="28"/>
                <w:szCs w:val="28"/>
                <w:lang w:val="en-US"/>
              </w:rPr>
            </w:pPr>
            <w:r w:rsidRPr="00E42D64">
              <w:rPr>
                <w:sz w:val="28"/>
                <w:szCs w:val="28"/>
                <w:lang w:val="en-US"/>
              </w:rPr>
              <w:t xml:space="preserve">One reason that the government budget is </w:t>
            </w:r>
            <w:r w:rsidR="000504EE">
              <w:rPr>
                <w:sz w:val="28"/>
                <w:szCs w:val="28"/>
                <w:lang w:val="en-US"/>
              </w:rPr>
              <w:t>so difficult to balance is that</w:t>
            </w:r>
          </w:p>
          <w:p w14:paraId="31E129B4" w14:textId="77777777" w:rsidR="00E42D64" w:rsidRPr="0025241A" w:rsidRDefault="00E42D64" w:rsidP="006F749C">
            <w:pPr>
              <w:numPr>
                <w:ilvl w:val="0"/>
                <w:numId w:val="143"/>
              </w:numPr>
              <w:shd w:val="clear" w:color="auto" w:fill="FFFFFF"/>
              <w:spacing w:line="240" w:lineRule="atLeast"/>
              <w:ind w:left="788"/>
              <w:jc w:val="both"/>
              <w:textAlignment w:val="baseline"/>
              <w:rPr>
                <w:sz w:val="28"/>
                <w:szCs w:val="28"/>
                <w:lang w:val="en-US"/>
              </w:rPr>
            </w:pPr>
            <w:r w:rsidRPr="0025241A">
              <w:rPr>
                <w:sz w:val="28"/>
                <w:szCs w:val="28"/>
                <w:lang w:val="en-US"/>
              </w:rPr>
              <w:t>the Treasury is always issuing new securities;</w:t>
            </w:r>
          </w:p>
          <w:p w14:paraId="2609A2CD" w14:textId="77777777" w:rsidR="00E42D64" w:rsidRPr="0025241A" w:rsidRDefault="00E42D64" w:rsidP="006F749C">
            <w:pPr>
              <w:numPr>
                <w:ilvl w:val="0"/>
                <w:numId w:val="143"/>
              </w:numPr>
              <w:shd w:val="clear" w:color="auto" w:fill="FFFFFF"/>
              <w:spacing w:line="240" w:lineRule="atLeast"/>
              <w:ind w:left="788"/>
              <w:jc w:val="both"/>
              <w:textAlignment w:val="baseline"/>
              <w:rPr>
                <w:sz w:val="28"/>
                <w:szCs w:val="28"/>
                <w:lang w:val="en-US"/>
              </w:rPr>
            </w:pPr>
            <w:r w:rsidRPr="0025241A">
              <w:rPr>
                <w:sz w:val="28"/>
                <w:szCs w:val="28"/>
                <w:lang w:val="en-US"/>
              </w:rPr>
              <w:t>people enjoy the benefits associated with government spending programs, so that cuts are unpopular;</w:t>
            </w:r>
          </w:p>
          <w:p w14:paraId="5AB76617" w14:textId="77777777" w:rsidR="00E42D64" w:rsidRPr="0025241A" w:rsidRDefault="00E42D64" w:rsidP="006F749C">
            <w:pPr>
              <w:numPr>
                <w:ilvl w:val="0"/>
                <w:numId w:val="143"/>
              </w:numPr>
              <w:shd w:val="clear" w:color="auto" w:fill="FFFFFF"/>
              <w:spacing w:line="240" w:lineRule="atLeast"/>
              <w:ind w:left="788"/>
              <w:jc w:val="both"/>
              <w:textAlignment w:val="baseline"/>
              <w:rPr>
                <w:sz w:val="28"/>
                <w:szCs w:val="28"/>
                <w:lang w:val="en-US"/>
              </w:rPr>
            </w:pPr>
            <w:r w:rsidRPr="0025241A">
              <w:rPr>
                <w:sz w:val="28"/>
                <w:szCs w:val="28"/>
                <w:lang w:val="en-US"/>
              </w:rPr>
              <w:t>there is very little wasteful spending that could be cut;</w:t>
            </w:r>
          </w:p>
          <w:p w14:paraId="48D47578" w14:textId="77777777" w:rsidR="00E42D64" w:rsidRPr="0025241A" w:rsidRDefault="00E42D64" w:rsidP="006F749C">
            <w:pPr>
              <w:numPr>
                <w:ilvl w:val="0"/>
                <w:numId w:val="143"/>
              </w:numPr>
              <w:shd w:val="clear" w:color="auto" w:fill="FFFFFF"/>
              <w:spacing w:line="240" w:lineRule="atLeast"/>
              <w:ind w:left="788"/>
              <w:jc w:val="both"/>
              <w:textAlignment w:val="baseline"/>
              <w:rPr>
                <w:sz w:val="28"/>
                <w:szCs w:val="28"/>
                <w:lang w:val="en-US"/>
              </w:rPr>
            </w:pPr>
            <w:r w:rsidRPr="0025241A">
              <w:rPr>
                <w:sz w:val="28"/>
                <w:szCs w:val="28"/>
                <w:lang w:val="en-US"/>
              </w:rPr>
              <w:t>even minor spending cuts and tax increases would be disastrous for the economy;</w:t>
            </w:r>
          </w:p>
          <w:p w14:paraId="19AB52C4" w14:textId="77777777" w:rsidR="00E42D64" w:rsidRPr="00E42D64" w:rsidRDefault="00E42D64" w:rsidP="006F749C">
            <w:pPr>
              <w:numPr>
                <w:ilvl w:val="0"/>
                <w:numId w:val="143"/>
              </w:numPr>
              <w:shd w:val="clear" w:color="auto" w:fill="FFFFFF"/>
              <w:spacing w:after="120" w:line="240" w:lineRule="atLeast"/>
              <w:ind w:left="782" w:hanging="357"/>
              <w:jc w:val="both"/>
              <w:textAlignment w:val="baseline"/>
              <w:rPr>
                <w:lang w:val="en-GB"/>
              </w:rPr>
            </w:pPr>
            <w:r w:rsidRPr="0025241A">
              <w:rPr>
                <w:sz w:val="28"/>
                <w:szCs w:val="28"/>
                <w:lang w:val="en-US"/>
              </w:rPr>
              <w:t>the budget is far too complicated to expect the balance to be achieved.</w:t>
            </w:r>
          </w:p>
        </w:tc>
      </w:tr>
    </w:tbl>
    <w:p w14:paraId="08821863" w14:textId="77777777" w:rsidR="0025241A" w:rsidRPr="0025241A" w:rsidRDefault="0025241A" w:rsidP="0025241A">
      <w:pPr>
        <w:keepNext/>
        <w:keepLines/>
        <w:pBdr>
          <w:top w:val="single" w:sz="6" w:space="6" w:color="808080"/>
          <w:bottom w:val="single" w:sz="6" w:space="6" w:color="808080"/>
        </w:pBdr>
        <w:spacing w:before="240" w:after="240"/>
        <w:jc w:val="center"/>
        <w:outlineLvl w:val="0"/>
        <w:rPr>
          <w:b/>
          <w:caps/>
          <w:spacing w:val="20"/>
          <w:kern w:val="16"/>
          <w:sz w:val="28"/>
          <w:szCs w:val="28"/>
          <w:lang w:val="en-US"/>
        </w:rPr>
      </w:pPr>
      <w:r w:rsidRPr="0025241A">
        <w:rPr>
          <w:b/>
          <w:caps/>
          <w:spacing w:val="20"/>
          <w:kern w:val="16"/>
          <w:sz w:val="28"/>
          <w:szCs w:val="28"/>
          <w:lang w:val="en-US"/>
        </w:rPr>
        <w:lastRenderedPageBreak/>
        <w:t>Short answer questions</w:t>
      </w:r>
    </w:p>
    <w:p w14:paraId="01EE49D6" w14:textId="77777777" w:rsidR="0025241A" w:rsidRPr="0025241A" w:rsidRDefault="0025241A" w:rsidP="0025241A">
      <w:pPr>
        <w:pStyle w:val="eng3"/>
        <w:rPr>
          <w:szCs w:val="28"/>
        </w:rPr>
      </w:pPr>
      <w:r w:rsidRPr="0025241A">
        <w:rPr>
          <w:szCs w:val="28"/>
        </w:rPr>
        <w:t>MISSING</w:t>
      </w:r>
      <w:r w:rsidR="006E0140">
        <w:rPr>
          <w:szCs w:val="28"/>
        </w:rPr>
        <w:t xml:space="preserve"> </w:t>
      </w:r>
      <w:r w:rsidRPr="0025241A">
        <w:rPr>
          <w:szCs w:val="28"/>
        </w:rPr>
        <w:t>WORD QUESTIONS</w:t>
      </w:r>
    </w:p>
    <w:p w14:paraId="2D934F3D" w14:textId="77777777" w:rsidR="0025241A" w:rsidRPr="0025241A" w:rsidRDefault="0025241A" w:rsidP="0025241A">
      <w:pPr>
        <w:spacing w:line="312" w:lineRule="auto"/>
        <w:ind w:firstLine="360"/>
        <w:jc w:val="both"/>
        <w:rPr>
          <w:sz w:val="28"/>
          <w:szCs w:val="28"/>
          <w:lang w:val="en-GB"/>
        </w:rPr>
      </w:pPr>
      <w:r w:rsidRPr="0025241A">
        <w:rPr>
          <w:sz w:val="28"/>
          <w:szCs w:val="28"/>
          <w:lang w:val="en-GB"/>
        </w:rPr>
        <w:t>Choose the correct word to complete each sentence.</w:t>
      </w:r>
    </w:p>
    <w:p w14:paraId="0753AF5B" w14:textId="77777777" w:rsidR="0025241A" w:rsidRDefault="0025241A" w:rsidP="0025241A">
      <w:pPr>
        <w:pBdr>
          <w:top w:val="nil"/>
          <w:left w:val="nil"/>
          <w:bottom w:val="nil"/>
          <w:right w:val="nil"/>
          <w:between w:val="nil"/>
          <w:bar w:val="nil"/>
        </w:pBdr>
        <w:tabs>
          <w:tab w:val="num" w:pos="284"/>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hanging="260"/>
        <w:jc w:val="both"/>
        <w:rPr>
          <w:rFonts w:eastAsia="Arial Unicode MS" w:cs="Arial Unicode MS"/>
          <w:sz w:val="28"/>
          <w:szCs w:val="28"/>
          <w:u w:color="000000"/>
          <w:bdr w:val="nil"/>
          <w:lang w:val="en-US"/>
        </w:rPr>
      </w:pPr>
    </w:p>
    <w:p w14:paraId="307AF885" w14:textId="77777777" w:rsidR="0025241A" w:rsidRPr="0025241A" w:rsidRDefault="0025241A" w:rsidP="006F749C">
      <w:pPr>
        <w:numPr>
          <w:ilvl w:val="0"/>
          <w:numId w:val="14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t>____________ is a fiscal tool in the hands of the government which is effe</w:t>
      </w:r>
      <w:r w:rsidR="000504EE">
        <w:rPr>
          <w:rFonts w:eastAsia="Arial Unicode MS" w:cs="Arial Unicode MS"/>
          <w:sz w:val="28"/>
          <w:szCs w:val="28"/>
          <w:u w:color="000000"/>
          <w:bdr w:val="nil"/>
          <w:lang w:val="en-US"/>
        </w:rPr>
        <w:t>ctively used for the accomplish</w:t>
      </w:r>
      <w:r w:rsidRPr="0025241A">
        <w:rPr>
          <w:rFonts w:eastAsia="Arial Unicode MS" w:cs="Arial Unicode MS"/>
          <w:sz w:val="28"/>
          <w:szCs w:val="28"/>
          <w:u w:color="000000"/>
          <w:bdr w:val="nil"/>
          <w:lang w:val="en-US"/>
        </w:rPr>
        <w:t xml:space="preserve">ment of various socio-economic objectives. </w:t>
      </w:r>
    </w:p>
    <w:p w14:paraId="789CE493" w14:textId="77777777" w:rsidR="0025241A" w:rsidRPr="0025241A" w:rsidRDefault="0025241A" w:rsidP="0025241A">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35F9C893" w14:textId="77777777" w:rsidR="0025241A" w:rsidRPr="0025241A" w:rsidRDefault="0025241A" w:rsidP="006F749C">
      <w:pPr>
        <w:numPr>
          <w:ilvl w:val="0"/>
          <w:numId w:val="14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t>According to the law of Ukraine, the sum of the debts of economic entities (only those residing in Ukraine) guaranteed by the state which are taken but still pending at the respective reporting date is considered as ___________________. If the respective ec</w:t>
      </w:r>
      <w:r w:rsidR="000504EE">
        <w:rPr>
          <w:rFonts w:eastAsia="Arial Unicode MS" w:cs="Arial Unicode MS"/>
          <w:sz w:val="28"/>
          <w:szCs w:val="28"/>
          <w:u w:color="000000"/>
          <w:bdr w:val="nil"/>
          <w:lang w:val="en-US"/>
        </w:rPr>
        <w:t>onomic entity is not able to re</w:t>
      </w:r>
      <w:r w:rsidRPr="0025241A">
        <w:rPr>
          <w:rFonts w:eastAsia="Arial Unicode MS" w:cs="Arial Unicode MS"/>
          <w:sz w:val="28"/>
          <w:szCs w:val="28"/>
          <w:u w:color="000000"/>
          <w:bdr w:val="nil"/>
          <w:lang w:val="en-US"/>
        </w:rPr>
        <w:t>pay its debt, the state budget becomes ___</w:t>
      </w:r>
      <w:r w:rsidR="000504EE">
        <w:rPr>
          <w:rFonts w:eastAsia="Arial Unicode MS" w:cs="Arial Unicode MS"/>
          <w:sz w:val="28"/>
          <w:szCs w:val="28"/>
          <w:u w:color="000000"/>
          <w:bdr w:val="nil"/>
          <w:lang w:val="en-US"/>
        </w:rPr>
        <w:t>_____________ for its re</w:t>
      </w:r>
      <w:r w:rsidRPr="0025241A">
        <w:rPr>
          <w:rFonts w:eastAsia="Arial Unicode MS" w:cs="Arial Unicode MS"/>
          <w:sz w:val="28"/>
          <w:szCs w:val="28"/>
          <w:u w:color="000000"/>
          <w:bdr w:val="nil"/>
          <w:lang w:val="en-US"/>
        </w:rPr>
        <w:t>payment.</w:t>
      </w:r>
    </w:p>
    <w:p w14:paraId="4A907BE7" w14:textId="77777777" w:rsidR="0025241A" w:rsidRPr="0025241A" w:rsidRDefault="0025241A" w:rsidP="0025241A">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23EE3838" w14:textId="77777777" w:rsidR="0025241A" w:rsidRPr="0025241A" w:rsidRDefault="0025241A" w:rsidP="006F749C">
      <w:pPr>
        <w:numPr>
          <w:ilvl w:val="0"/>
          <w:numId w:val="14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t xml:space="preserve">The state takes ___________ to cover its budget deficit at the central and regional levels, to arrange targeted funding for various programs, to increase the necessary </w:t>
      </w:r>
      <w:r w:rsidR="000504EE">
        <w:rPr>
          <w:rFonts w:eastAsia="Arial Unicode MS" w:cs="Arial Unicode MS"/>
          <w:sz w:val="28"/>
          <w:szCs w:val="28"/>
          <w:u w:color="000000"/>
          <w:bdr w:val="nil"/>
          <w:lang w:val="en-US"/>
        </w:rPr>
        <w:t>reserve assets as well as to re</w:t>
      </w:r>
      <w:r w:rsidRPr="0025241A">
        <w:rPr>
          <w:rFonts w:eastAsia="Arial Unicode MS" w:cs="Arial Unicode MS"/>
          <w:sz w:val="28"/>
          <w:szCs w:val="28"/>
          <w:u w:color="000000"/>
          <w:bdr w:val="nil"/>
          <w:lang w:val="en-US"/>
        </w:rPr>
        <w:t>finance previous public debts.</w:t>
      </w:r>
      <w:r w:rsidRPr="0025241A">
        <w:rPr>
          <w:rFonts w:eastAsia="Arial Unicode MS" w:cs="Arial Unicode MS"/>
          <w:sz w:val="28"/>
          <w:szCs w:val="28"/>
          <w:u w:color="000000"/>
          <w:bdr w:val="nil"/>
          <w:lang w:val="en-US"/>
        </w:rPr>
        <w:tab/>
      </w:r>
      <w:r w:rsidRPr="0025241A">
        <w:rPr>
          <w:rFonts w:eastAsia="Arial Unicode MS" w:cs="Arial Unicode MS"/>
          <w:sz w:val="28"/>
          <w:szCs w:val="28"/>
          <w:u w:color="000000"/>
          <w:bdr w:val="nil"/>
          <w:lang w:val="en-US"/>
        </w:rPr>
        <w:tab/>
      </w:r>
      <w:r w:rsidRPr="0025241A">
        <w:rPr>
          <w:rFonts w:eastAsia="Arial Unicode MS" w:cs="Arial Unicode MS"/>
          <w:sz w:val="28"/>
          <w:szCs w:val="28"/>
          <w:u w:color="000000"/>
          <w:bdr w:val="nil"/>
          <w:lang w:val="en-US"/>
        </w:rPr>
        <w:tab/>
      </w:r>
      <w:r w:rsidRPr="0025241A">
        <w:rPr>
          <w:rFonts w:eastAsia="Arial Unicode MS" w:cs="Arial Unicode MS"/>
          <w:sz w:val="28"/>
          <w:szCs w:val="28"/>
          <w:u w:color="000000"/>
          <w:bdr w:val="nil"/>
          <w:lang w:val="en-US"/>
        </w:rPr>
        <w:tab/>
      </w:r>
      <w:r w:rsidRPr="0025241A">
        <w:rPr>
          <w:rFonts w:eastAsia="Arial Unicode MS" w:cs="Arial Unicode MS"/>
          <w:sz w:val="28"/>
          <w:szCs w:val="28"/>
          <w:u w:color="000000"/>
          <w:bdr w:val="nil"/>
          <w:lang w:val="en-US"/>
        </w:rPr>
        <w:tab/>
        <w:t xml:space="preserve"> </w:t>
      </w:r>
      <w:r w:rsidRPr="0025241A">
        <w:rPr>
          <w:rFonts w:eastAsia="Arial Unicode MS" w:cs="Arial Unicode MS"/>
          <w:sz w:val="28"/>
          <w:szCs w:val="28"/>
          <w:u w:color="000000"/>
          <w:bdr w:val="nil"/>
          <w:lang w:val="en-US"/>
        </w:rPr>
        <w:tab/>
      </w:r>
      <w:r w:rsidRPr="0025241A">
        <w:rPr>
          <w:rFonts w:eastAsia="Arial Unicode MS" w:cs="Arial Unicode MS"/>
          <w:sz w:val="28"/>
          <w:szCs w:val="28"/>
          <w:u w:color="000000"/>
          <w:bdr w:val="nil"/>
          <w:lang w:val="en-US"/>
        </w:rPr>
        <w:tab/>
      </w:r>
      <w:r w:rsidRPr="0025241A">
        <w:rPr>
          <w:rFonts w:eastAsia="Arial Unicode MS" w:cs="Arial Unicode MS"/>
          <w:sz w:val="28"/>
          <w:szCs w:val="28"/>
          <w:u w:color="000000"/>
          <w:bdr w:val="nil"/>
          <w:lang w:val="en-US"/>
        </w:rPr>
        <w:tab/>
      </w:r>
      <w:r w:rsidRPr="0025241A">
        <w:rPr>
          <w:rFonts w:eastAsia="Arial Unicode MS" w:cs="Arial Unicode MS"/>
          <w:sz w:val="28"/>
          <w:szCs w:val="28"/>
          <w:u w:color="000000"/>
          <w:bdr w:val="nil"/>
          <w:lang w:val="en-US"/>
        </w:rPr>
        <w:tab/>
      </w:r>
    </w:p>
    <w:p w14:paraId="04EF7405" w14:textId="77777777" w:rsidR="0025241A" w:rsidRPr="0025241A" w:rsidRDefault="0025241A" w:rsidP="006F749C">
      <w:pPr>
        <w:numPr>
          <w:ilvl w:val="0"/>
          <w:numId w:val="14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t xml:space="preserve">The situation in financial planning or the budgeting process where total revenues are equal to or greater than total expenses </w:t>
      </w:r>
      <w:r w:rsidR="000504EE">
        <w:rPr>
          <w:rFonts w:eastAsia="Arial Unicode MS" w:cs="Arial Unicode MS"/>
          <w:sz w:val="28"/>
          <w:szCs w:val="28"/>
          <w:u w:color="000000"/>
          <w:bdr w:val="nil"/>
          <w:lang w:val="en-US"/>
        </w:rPr>
        <w:t xml:space="preserve">are </w:t>
      </w:r>
      <w:r w:rsidRPr="0025241A">
        <w:rPr>
          <w:rFonts w:eastAsia="Arial Unicode MS" w:cs="Arial Unicode MS"/>
          <w:sz w:val="28"/>
          <w:szCs w:val="28"/>
          <w:u w:color="000000"/>
          <w:bdr w:val="nil"/>
          <w:lang w:val="en-US"/>
        </w:rPr>
        <w:t>called ______________.</w:t>
      </w:r>
    </w:p>
    <w:p w14:paraId="714295B7" w14:textId="77777777" w:rsidR="0025241A" w:rsidRPr="0025241A" w:rsidRDefault="0025241A" w:rsidP="0025241A">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22768CA3" w14:textId="77777777" w:rsidR="0025241A" w:rsidRPr="0025241A" w:rsidRDefault="0025241A" w:rsidP="006F749C">
      <w:pPr>
        <w:numPr>
          <w:ilvl w:val="0"/>
          <w:numId w:val="144"/>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hanging="260"/>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t>Government expenses include spending on current goods and services, which economists call government _____________; government ____________ expenditures</w:t>
      </w:r>
      <w:r w:rsidR="000504EE">
        <w:rPr>
          <w:rFonts w:eastAsia="Arial Unicode MS" w:cs="Arial Unicode MS"/>
          <w:sz w:val="28"/>
          <w:szCs w:val="28"/>
          <w:u w:color="000000"/>
          <w:bdr w:val="nil"/>
          <w:lang w:val="en-US"/>
        </w:rPr>
        <w:t>,</w:t>
      </w:r>
      <w:r w:rsidRPr="0025241A">
        <w:rPr>
          <w:rFonts w:eastAsia="Arial Unicode MS" w:cs="Arial Unicode MS"/>
          <w:sz w:val="28"/>
          <w:szCs w:val="28"/>
          <w:u w:color="000000"/>
          <w:bdr w:val="nil"/>
          <w:lang w:val="en-US"/>
        </w:rPr>
        <w:t xml:space="preserve"> such as infrastructure investment or research expenditure; and ______________ like unemployment or retirement benefits.</w:t>
      </w:r>
    </w:p>
    <w:p w14:paraId="38FE0622" w14:textId="77777777" w:rsidR="00B17A60" w:rsidRDefault="00B17A60" w:rsidP="0025241A">
      <w:pPr>
        <w:pStyle w:val="eng3"/>
      </w:pPr>
    </w:p>
    <w:p w14:paraId="043E13AE" w14:textId="77777777" w:rsidR="0025241A" w:rsidRPr="0025241A" w:rsidRDefault="0025241A" w:rsidP="0025241A">
      <w:pPr>
        <w:pStyle w:val="eng3"/>
      </w:pPr>
      <w:r w:rsidRPr="0025241A">
        <w:t>True/False/Uncertain questions</w:t>
      </w:r>
    </w:p>
    <w:p w14:paraId="5C85BF12" w14:textId="77777777" w:rsidR="0025241A" w:rsidRPr="0025241A" w:rsidRDefault="0025241A" w:rsidP="0025241A">
      <w:pPr>
        <w:spacing w:line="240" w:lineRule="atLeast"/>
        <w:ind w:firstLine="360"/>
        <w:jc w:val="both"/>
        <w:rPr>
          <w:color w:val="000000" w:themeColor="text1"/>
          <w:sz w:val="28"/>
          <w:szCs w:val="28"/>
          <w:lang w:val="en-US"/>
        </w:rPr>
      </w:pPr>
      <w:r w:rsidRPr="0025241A">
        <w:rPr>
          <w:color w:val="000000" w:themeColor="text1"/>
          <w:sz w:val="28"/>
          <w:szCs w:val="28"/>
          <w:lang w:val="en-US"/>
        </w:rPr>
        <w:t xml:space="preserve">Decide whether the following statements are True, False, or Uncertain. Explain your reasoning. Your score will be based not just on whether you get the True, False, </w:t>
      </w:r>
      <w:r w:rsidR="000504EE">
        <w:rPr>
          <w:color w:val="000000" w:themeColor="text1"/>
          <w:sz w:val="28"/>
          <w:szCs w:val="28"/>
          <w:lang w:val="en-US"/>
        </w:rPr>
        <w:t xml:space="preserve">or </w:t>
      </w:r>
      <w:r w:rsidRPr="0025241A">
        <w:rPr>
          <w:color w:val="000000" w:themeColor="text1"/>
          <w:sz w:val="28"/>
          <w:szCs w:val="28"/>
          <w:lang w:val="en-US"/>
        </w:rPr>
        <w:t>Uncertain part right but also</w:t>
      </w:r>
      <w:r w:rsidR="000504EE">
        <w:rPr>
          <w:color w:val="000000" w:themeColor="text1"/>
          <w:sz w:val="28"/>
          <w:szCs w:val="28"/>
          <w:lang w:val="en-US"/>
        </w:rPr>
        <w:t>, to a larger extent,</w:t>
      </w:r>
      <w:r w:rsidRPr="0025241A">
        <w:rPr>
          <w:color w:val="000000" w:themeColor="text1"/>
          <w:sz w:val="28"/>
          <w:szCs w:val="28"/>
          <w:lang w:val="en-US"/>
        </w:rPr>
        <w:t xml:space="preserve"> on the quality of your explanation.</w:t>
      </w:r>
    </w:p>
    <w:p w14:paraId="11FFEC9C" w14:textId="77777777" w:rsidR="0025241A" w:rsidRDefault="0025241A" w:rsidP="00BE42A0">
      <w:pPr>
        <w:spacing w:line="312" w:lineRule="auto"/>
        <w:ind w:firstLine="360"/>
        <w:jc w:val="both"/>
        <w:rPr>
          <w:sz w:val="28"/>
          <w:szCs w:val="28"/>
          <w:lang w:val="en-US"/>
        </w:rPr>
      </w:pPr>
    </w:p>
    <w:p w14:paraId="2224D2B3" w14:textId="77777777" w:rsidR="00BE42A0" w:rsidRPr="0025241A" w:rsidRDefault="00BE42A0" w:rsidP="006F749C">
      <w:pPr>
        <w:numPr>
          <w:ilvl w:val="0"/>
          <w:numId w:val="145"/>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t xml:space="preserve">The difference between a deficit and </w:t>
      </w:r>
      <w:r w:rsidR="000504EE">
        <w:rPr>
          <w:rFonts w:eastAsia="Arial Unicode MS" w:cs="Arial Unicode MS"/>
          <w:sz w:val="28"/>
          <w:szCs w:val="28"/>
          <w:u w:color="000000"/>
          <w:bdr w:val="nil"/>
          <w:lang w:val="en-US"/>
        </w:rPr>
        <w:t>a</w:t>
      </w:r>
      <w:r w:rsidRPr="0025241A">
        <w:rPr>
          <w:rFonts w:eastAsia="Arial Unicode MS" w:cs="Arial Unicode MS"/>
          <w:sz w:val="28"/>
          <w:szCs w:val="28"/>
          <w:u w:color="000000"/>
          <w:bdr w:val="nil"/>
          <w:lang w:val="en-US"/>
        </w:rPr>
        <w:t xml:space="preserve"> debt is that a deficit represents the accumulation of debts over many years</w:t>
      </w:r>
      <w:r w:rsidR="000504EE">
        <w:rPr>
          <w:rFonts w:eastAsia="Arial Unicode MS" w:cs="Arial Unicode MS"/>
          <w:sz w:val="28"/>
          <w:szCs w:val="28"/>
          <w:u w:color="000000"/>
          <w:bdr w:val="nil"/>
          <w:lang w:val="en-US"/>
        </w:rPr>
        <w:t>,</w:t>
      </w:r>
      <w:r w:rsidRPr="0025241A">
        <w:rPr>
          <w:rFonts w:eastAsia="Arial Unicode MS" w:cs="Arial Unicode MS"/>
          <w:sz w:val="28"/>
          <w:szCs w:val="28"/>
          <w:u w:color="000000"/>
          <w:bdr w:val="nil"/>
          <w:lang w:val="en-US"/>
        </w:rPr>
        <w:t xml:space="preserve"> while a debt represents the amount by which government spending exceeds tax revenue in a single year.</w:t>
      </w:r>
    </w:p>
    <w:p w14:paraId="79B3CF14" w14:textId="77777777" w:rsidR="00BE42A0" w:rsidRPr="0025241A" w:rsidRDefault="00BE42A0" w:rsidP="0025241A">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021C18FF" w14:textId="77777777" w:rsidR="00BE42A0" w:rsidRPr="0025241A" w:rsidRDefault="00BE42A0" w:rsidP="006F749C">
      <w:pPr>
        <w:numPr>
          <w:ilvl w:val="0"/>
          <w:numId w:val="145"/>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t xml:space="preserve">External debt is private debt and internal debt is public debt. </w:t>
      </w:r>
    </w:p>
    <w:p w14:paraId="0AF7A351" w14:textId="77777777" w:rsidR="00BE42A0" w:rsidRPr="0025241A" w:rsidRDefault="00BE42A0" w:rsidP="0025241A">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59410224" w14:textId="77777777" w:rsidR="00BE42A0" w:rsidRPr="0025241A" w:rsidRDefault="00BE42A0" w:rsidP="006F749C">
      <w:pPr>
        <w:numPr>
          <w:ilvl w:val="0"/>
          <w:numId w:val="145"/>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t xml:space="preserve">The public debt consists of only one year's government securities, which must be paid back at the end of the fiscal year.  </w:t>
      </w:r>
      <w:r w:rsidRPr="0025241A">
        <w:rPr>
          <w:rFonts w:eastAsia="Arial Unicode MS" w:cs="Arial Unicode MS"/>
          <w:sz w:val="28"/>
          <w:szCs w:val="28"/>
          <w:u w:color="000000"/>
          <w:bdr w:val="nil"/>
          <w:lang w:val="en-US"/>
        </w:rPr>
        <w:tab/>
      </w:r>
      <w:r w:rsidRPr="0025241A">
        <w:rPr>
          <w:rFonts w:eastAsia="Arial Unicode MS" w:cs="Arial Unicode MS"/>
          <w:sz w:val="28"/>
          <w:szCs w:val="28"/>
          <w:u w:color="000000"/>
          <w:bdr w:val="nil"/>
          <w:lang w:val="en-US"/>
        </w:rPr>
        <w:tab/>
      </w:r>
      <w:r w:rsidRPr="0025241A">
        <w:rPr>
          <w:rFonts w:eastAsia="Arial Unicode MS" w:cs="Arial Unicode MS"/>
          <w:sz w:val="28"/>
          <w:szCs w:val="28"/>
          <w:u w:color="000000"/>
          <w:bdr w:val="nil"/>
          <w:lang w:val="en-US"/>
        </w:rPr>
        <w:tab/>
      </w:r>
    </w:p>
    <w:p w14:paraId="2DFBF3E4" w14:textId="77777777" w:rsidR="00BE42A0" w:rsidRPr="0025241A" w:rsidRDefault="00BE42A0" w:rsidP="0025241A">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p>
    <w:p w14:paraId="35C82DB2" w14:textId="77777777" w:rsidR="00BE42A0" w:rsidRPr="0025241A" w:rsidRDefault="00BE42A0" w:rsidP="006F749C">
      <w:pPr>
        <w:numPr>
          <w:ilvl w:val="0"/>
          <w:numId w:val="145"/>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lastRenderedPageBreak/>
        <w:t xml:space="preserve">By borrowing in order to finance its spending, the government can alter the mix of goods purchased by its population to include more public goods and fewer private goods. </w:t>
      </w:r>
    </w:p>
    <w:p w14:paraId="5B8DE486" w14:textId="77777777" w:rsidR="00BE42A0" w:rsidRPr="0025241A" w:rsidRDefault="00BE42A0" w:rsidP="0025241A">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6D84C0DE" w14:textId="77777777" w:rsidR="0025241A" w:rsidRPr="0025241A" w:rsidRDefault="00BE42A0" w:rsidP="006F749C">
      <w:pPr>
        <w:numPr>
          <w:ilvl w:val="0"/>
          <w:numId w:val="145"/>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sz w:val="28"/>
          <w:szCs w:val="28"/>
          <w:lang w:val="en-GB"/>
        </w:rPr>
      </w:pPr>
      <w:r w:rsidRPr="0025241A">
        <w:rPr>
          <w:rFonts w:eastAsia="Arial Unicode MS" w:cs="Arial Unicode MS"/>
          <w:sz w:val="28"/>
          <w:szCs w:val="28"/>
          <w:u w:color="000000"/>
          <w:bdr w:val="nil"/>
          <w:lang w:val="en-US"/>
        </w:rPr>
        <w:t>National Bank of Ukraine purchases of government securities issued to finance a deficit can create inflation because they cause the money supply to grow.</w:t>
      </w:r>
      <w:r w:rsidRPr="0025241A">
        <w:rPr>
          <w:sz w:val="28"/>
          <w:szCs w:val="28"/>
          <w:lang w:val="en-GB"/>
        </w:rPr>
        <w:t xml:space="preserve"> </w:t>
      </w:r>
      <w:r w:rsidRPr="0025241A">
        <w:rPr>
          <w:sz w:val="28"/>
          <w:szCs w:val="28"/>
          <w:lang w:val="en-GB"/>
        </w:rPr>
        <w:tab/>
      </w:r>
    </w:p>
    <w:p w14:paraId="18E7FCD6" w14:textId="77777777" w:rsidR="00BE42A0" w:rsidRPr="00BE42A0" w:rsidRDefault="00BE42A0" w:rsidP="0025241A">
      <w:pPr>
        <w:pStyle w:val="end2"/>
      </w:pPr>
      <w:r w:rsidRPr="00BE42A0">
        <w:t>Computation problems</w:t>
      </w:r>
      <w:r w:rsidRPr="00BE42A0">
        <w:tab/>
      </w:r>
      <w:r w:rsidRPr="00BE42A0">
        <w:tab/>
      </w:r>
      <w:r w:rsidRPr="00BE42A0">
        <w:tab/>
      </w:r>
    </w:p>
    <w:p w14:paraId="16DB5EB5" w14:textId="77777777" w:rsidR="00BE42A0" w:rsidRPr="0025241A" w:rsidRDefault="00BE42A0" w:rsidP="006F749C">
      <w:pPr>
        <w:numPr>
          <w:ilvl w:val="0"/>
          <w:numId w:val="146"/>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25241A">
        <w:rPr>
          <w:rFonts w:eastAsia="Arial Unicode MS" w:cs="Arial Unicode MS"/>
          <w:sz w:val="28"/>
          <w:szCs w:val="28"/>
          <w:u w:color="000000"/>
          <w:bdr w:val="nil"/>
          <w:lang w:val="en-US"/>
        </w:rPr>
        <w:t>Using</w:t>
      </w:r>
      <w:r w:rsidR="00924BFC">
        <w:rPr>
          <w:rFonts w:eastAsia="Arial Unicode MS" w:cs="Arial Unicode MS"/>
          <w:sz w:val="28"/>
          <w:szCs w:val="28"/>
          <w:u w:color="000000"/>
          <w:bdr w:val="nil"/>
          <w:lang w:val="en-US"/>
        </w:rPr>
        <w:t xml:space="preserve"> the</w:t>
      </w:r>
      <w:r w:rsidRPr="0025241A">
        <w:rPr>
          <w:rFonts w:eastAsia="Arial Unicode MS" w:cs="Arial Unicode MS"/>
          <w:sz w:val="28"/>
          <w:szCs w:val="28"/>
          <w:u w:color="000000"/>
          <w:bdr w:val="nil"/>
          <w:lang w:val="en-US"/>
        </w:rPr>
        <w:t xml:space="preserve"> data </w:t>
      </w:r>
      <w:r w:rsidR="00924BFC">
        <w:rPr>
          <w:rFonts w:eastAsia="Arial Unicode MS" w:cs="Arial Unicode MS"/>
          <w:sz w:val="28"/>
          <w:szCs w:val="28"/>
          <w:u w:color="000000"/>
          <w:bdr w:val="nil"/>
          <w:lang w:val="en-US"/>
        </w:rPr>
        <w:t xml:space="preserve">shown </w:t>
      </w:r>
      <w:r w:rsidR="0025241A" w:rsidRPr="0025241A">
        <w:rPr>
          <w:rFonts w:eastAsia="Arial Unicode MS" w:cs="Arial Unicode MS"/>
          <w:sz w:val="28"/>
          <w:szCs w:val="28"/>
          <w:u w:color="000000"/>
          <w:bdr w:val="nil"/>
          <w:lang w:val="en-US"/>
        </w:rPr>
        <w:t>below</w:t>
      </w:r>
      <w:r w:rsidRPr="0025241A">
        <w:rPr>
          <w:rFonts w:eastAsia="Arial Unicode MS" w:cs="Arial Unicode MS"/>
          <w:sz w:val="28"/>
          <w:szCs w:val="28"/>
          <w:u w:color="000000"/>
          <w:bdr w:val="nil"/>
          <w:lang w:val="en-US"/>
        </w:rPr>
        <w:t>, calculate the level of budget centralization</w:t>
      </w:r>
      <w:r w:rsidR="0025241A">
        <w:rPr>
          <w:rFonts w:eastAsia="Arial Unicode MS" w:cs="Arial Unicode MS"/>
          <w:sz w:val="28"/>
          <w:szCs w:val="28"/>
          <w:u w:color="000000"/>
          <w:bdr w:val="nil"/>
          <w:lang w:val="en-US"/>
        </w:rPr>
        <w:t xml:space="preserve"> of Ukraine</w:t>
      </w:r>
      <w:r w:rsidRPr="0025241A">
        <w:rPr>
          <w:rFonts w:eastAsia="Arial Unicode MS" w:cs="Arial Unicode MS"/>
          <w:sz w:val="28"/>
          <w:szCs w:val="28"/>
          <w:u w:color="000000"/>
          <w:bdr w:val="nil"/>
          <w:lang w:val="en-US"/>
        </w:rPr>
        <w:t xml:space="preserve">. What conclusions can you make? </w:t>
      </w:r>
    </w:p>
    <w:p w14:paraId="78CD0BBC" w14:textId="77777777" w:rsidR="0025241A" w:rsidRPr="0025241A" w:rsidRDefault="0025241A" w:rsidP="00924BFC">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tbl>
      <w:tblPr>
        <w:tblStyle w:val="Table3"/>
        <w:tblW w:w="9072" w:type="dxa"/>
        <w:tblInd w:w="3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513"/>
        <w:gridCol w:w="1559"/>
      </w:tblGrid>
      <w:tr w:rsidR="003C51B1" w:rsidRPr="0025241A" w14:paraId="332973C8" w14:textId="77777777" w:rsidTr="0025241A">
        <w:tc>
          <w:tcPr>
            <w:tcW w:w="7513" w:type="dxa"/>
            <w:shd w:val="clear" w:color="auto" w:fill="D9D9D9" w:themeFill="background1" w:themeFillShade="D9"/>
            <w:tcMar>
              <w:top w:w="28" w:type="dxa"/>
              <w:left w:w="100" w:type="dxa"/>
              <w:bottom w:w="28" w:type="dxa"/>
              <w:right w:w="100" w:type="dxa"/>
            </w:tcMar>
          </w:tcPr>
          <w:p w14:paraId="6D481E29" w14:textId="77777777" w:rsidR="003C51B1" w:rsidRPr="0025241A" w:rsidRDefault="003C51B1" w:rsidP="00924BFC">
            <w:pPr>
              <w:widowControl w:val="0"/>
              <w:spacing w:line="240" w:lineRule="atLeast"/>
              <w:jc w:val="center"/>
              <w:rPr>
                <w:rFonts w:ascii="Garamond" w:hAnsi="Garamond"/>
                <w:sz w:val="28"/>
                <w:szCs w:val="28"/>
                <w:lang w:val="en-US"/>
              </w:rPr>
            </w:pPr>
          </w:p>
        </w:tc>
        <w:tc>
          <w:tcPr>
            <w:tcW w:w="1559" w:type="dxa"/>
            <w:shd w:val="clear" w:color="auto" w:fill="D9D9D9" w:themeFill="background1" w:themeFillShade="D9"/>
            <w:tcMar>
              <w:top w:w="28" w:type="dxa"/>
              <w:left w:w="100" w:type="dxa"/>
              <w:bottom w:w="28" w:type="dxa"/>
              <w:right w:w="100" w:type="dxa"/>
            </w:tcMar>
          </w:tcPr>
          <w:p w14:paraId="02B9F645" w14:textId="77777777" w:rsidR="003C51B1" w:rsidRPr="0025241A" w:rsidRDefault="000504EE" w:rsidP="00924BFC">
            <w:pPr>
              <w:widowControl w:val="0"/>
              <w:spacing w:line="240" w:lineRule="atLeast"/>
              <w:jc w:val="center"/>
              <w:rPr>
                <w:rFonts w:ascii="Garamond" w:hAnsi="Garamond"/>
                <w:sz w:val="28"/>
                <w:szCs w:val="28"/>
                <w:lang w:val="en-US"/>
              </w:rPr>
            </w:pPr>
            <w:r>
              <w:rPr>
                <w:rFonts w:ascii="Garamond" w:hAnsi="Garamond" w:cs="Times New Roman"/>
                <w:sz w:val="28"/>
                <w:szCs w:val="28"/>
                <w:lang w:val="en-US"/>
              </w:rPr>
              <w:t>M</w:t>
            </w:r>
            <w:r w:rsidR="003C51B1" w:rsidRPr="0025241A">
              <w:rPr>
                <w:rFonts w:ascii="Garamond" w:hAnsi="Garamond" w:cs="Times New Roman"/>
                <w:sz w:val="28"/>
                <w:szCs w:val="28"/>
                <w:lang w:val="en-US"/>
              </w:rPr>
              <w:t>illion hryvnias</w:t>
            </w:r>
          </w:p>
        </w:tc>
      </w:tr>
      <w:tr w:rsidR="003C51B1" w:rsidRPr="0025241A" w14:paraId="50635507" w14:textId="77777777" w:rsidTr="0025241A">
        <w:tc>
          <w:tcPr>
            <w:tcW w:w="7513" w:type="dxa"/>
            <w:tcMar>
              <w:top w:w="28" w:type="dxa"/>
              <w:left w:w="100" w:type="dxa"/>
              <w:bottom w:w="28" w:type="dxa"/>
              <w:right w:w="100" w:type="dxa"/>
            </w:tcMar>
          </w:tcPr>
          <w:p w14:paraId="584B9AC5" w14:textId="77777777" w:rsidR="003C51B1" w:rsidRPr="0025241A" w:rsidRDefault="003C51B1" w:rsidP="00924BFC">
            <w:pPr>
              <w:widowControl w:val="0"/>
              <w:spacing w:line="240" w:lineRule="atLeast"/>
              <w:rPr>
                <w:rFonts w:ascii="Garamond" w:hAnsi="Garamond"/>
                <w:sz w:val="28"/>
                <w:szCs w:val="28"/>
                <w:lang w:val="en-US"/>
              </w:rPr>
            </w:pPr>
            <w:r w:rsidRPr="0025241A">
              <w:rPr>
                <w:rFonts w:ascii="Garamond" w:hAnsi="Garamond" w:cs="Times New Roman"/>
                <w:sz w:val="28"/>
                <w:szCs w:val="28"/>
                <w:lang w:val="en-US"/>
              </w:rPr>
              <w:t>The gross value of production goods and services of all sectors in the economy</w:t>
            </w:r>
          </w:p>
        </w:tc>
        <w:tc>
          <w:tcPr>
            <w:tcW w:w="1559" w:type="dxa"/>
            <w:tcMar>
              <w:top w:w="28" w:type="dxa"/>
              <w:left w:w="100" w:type="dxa"/>
              <w:bottom w:w="28" w:type="dxa"/>
              <w:right w:w="100" w:type="dxa"/>
            </w:tcMar>
          </w:tcPr>
          <w:p w14:paraId="677D639C" w14:textId="77777777" w:rsidR="003C51B1" w:rsidRPr="0025241A" w:rsidRDefault="003C51B1" w:rsidP="00924BFC">
            <w:pPr>
              <w:widowControl w:val="0"/>
              <w:spacing w:line="240" w:lineRule="atLeast"/>
              <w:jc w:val="center"/>
              <w:rPr>
                <w:rFonts w:ascii="Garamond" w:hAnsi="Garamond"/>
                <w:sz w:val="28"/>
                <w:szCs w:val="28"/>
                <w:lang w:val="en-US"/>
              </w:rPr>
            </w:pPr>
            <w:r w:rsidRPr="0025241A">
              <w:rPr>
                <w:rFonts w:ascii="Garamond" w:hAnsi="Garamond" w:cs="Times New Roman"/>
                <w:sz w:val="28"/>
                <w:szCs w:val="28"/>
                <w:lang w:val="en-US"/>
              </w:rPr>
              <w:t>1999.6</w:t>
            </w:r>
          </w:p>
        </w:tc>
      </w:tr>
      <w:tr w:rsidR="003C51B1" w:rsidRPr="0025241A" w14:paraId="75110B44" w14:textId="77777777" w:rsidTr="0025241A">
        <w:tc>
          <w:tcPr>
            <w:tcW w:w="7513" w:type="dxa"/>
            <w:tcMar>
              <w:top w:w="28" w:type="dxa"/>
              <w:left w:w="100" w:type="dxa"/>
              <w:bottom w:w="28" w:type="dxa"/>
              <w:right w:w="100" w:type="dxa"/>
            </w:tcMar>
          </w:tcPr>
          <w:p w14:paraId="0DC1C2F7" w14:textId="77777777" w:rsidR="003C51B1" w:rsidRPr="0025241A" w:rsidRDefault="003C51B1" w:rsidP="00924BFC">
            <w:pPr>
              <w:widowControl w:val="0"/>
              <w:spacing w:line="240" w:lineRule="atLeast"/>
              <w:rPr>
                <w:rFonts w:ascii="Garamond" w:hAnsi="Garamond"/>
                <w:sz w:val="28"/>
                <w:szCs w:val="28"/>
                <w:lang w:val="en-US"/>
              </w:rPr>
            </w:pPr>
            <w:r w:rsidRPr="0025241A">
              <w:rPr>
                <w:rFonts w:ascii="Garamond" w:hAnsi="Garamond" w:cs="Times New Roman"/>
                <w:sz w:val="28"/>
                <w:szCs w:val="28"/>
                <w:lang w:val="en-US"/>
              </w:rPr>
              <w:t>Indirect tax</w:t>
            </w:r>
          </w:p>
        </w:tc>
        <w:tc>
          <w:tcPr>
            <w:tcW w:w="1559" w:type="dxa"/>
            <w:tcMar>
              <w:top w:w="28" w:type="dxa"/>
              <w:left w:w="100" w:type="dxa"/>
              <w:bottom w:w="28" w:type="dxa"/>
              <w:right w:w="100" w:type="dxa"/>
            </w:tcMar>
          </w:tcPr>
          <w:p w14:paraId="5D6133E7" w14:textId="77777777" w:rsidR="003C51B1" w:rsidRPr="0025241A" w:rsidRDefault="003C51B1" w:rsidP="00924BFC">
            <w:pPr>
              <w:widowControl w:val="0"/>
              <w:spacing w:line="240" w:lineRule="atLeast"/>
              <w:jc w:val="center"/>
              <w:rPr>
                <w:rFonts w:ascii="Garamond" w:hAnsi="Garamond"/>
                <w:sz w:val="28"/>
                <w:szCs w:val="28"/>
                <w:lang w:val="en-US"/>
              </w:rPr>
            </w:pPr>
            <w:r w:rsidRPr="0025241A">
              <w:rPr>
                <w:rFonts w:ascii="Garamond" w:hAnsi="Garamond" w:cs="Times New Roman"/>
                <w:sz w:val="28"/>
                <w:szCs w:val="28"/>
                <w:lang w:val="en-US"/>
              </w:rPr>
              <w:t>120.0</w:t>
            </w:r>
          </w:p>
        </w:tc>
      </w:tr>
      <w:tr w:rsidR="003C51B1" w:rsidRPr="0025241A" w14:paraId="1F3AF720" w14:textId="77777777" w:rsidTr="0025241A">
        <w:tc>
          <w:tcPr>
            <w:tcW w:w="7513" w:type="dxa"/>
            <w:tcMar>
              <w:top w:w="28" w:type="dxa"/>
              <w:left w:w="100" w:type="dxa"/>
              <w:bottom w:w="28" w:type="dxa"/>
              <w:right w:w="100" w:type="dxa"/>
            </w:tcMar>
          </w:tcPr>
          <w:p w14:paraId="29EA348D" w14:textId="77777777" w:rsidR="003C51B1" w:rsidRPr="0025241A" w:rsidRDefault="003C51B1" w:rsidP="00924BFC">
            <w:pPr>
              <w:widowControl w:val="0"/>
              <w:spacing w:line="240" w:lineRule="atLeast"/>
              <w:rPr>
                <w:rFonts w:ascii="Garamond" w:hAnsi="Garamond"/>
                <w:sz w:val="28"/>
                <w:szCs w:val="28"/>
                <w:lang w:val="en-US"/>
              </w:rPr>
            </w:pPr>
            <w:r w:rsidRPr="0025241A">
              <w:rPr>
                <w:rFonts w:ascii="Garamond" w:hAnsi="Garamond" w:cs="Times New Roman"/>
                <w:sz w:val="28"/>
                <w:szCs w:val="28"/>
                <w:lang w:val="en-US"/>
              </w:rPr>
              <w:t>Subsidies</w:t>
            </w:r>
          </w:p>
        </w:tc>
        <w:tc>
          <w:tcPr>
            <w:tcW w:w="1559" w:type="dxa"/>
            <w:tcMar>
              <w:top w:w="28" w:type="dxa"/>
              <w:left w:w="100" w:type="dxa"/>
              <w:bottom w:w="28" w:type="dxa"/>
              <w:right w:w="100" w:type="dxa"/>
            </w:tcMar>
          </w:tcPr>
          <w:p w14:paraId="18EEE103" w14:textId="77777777" w:rsidR="003C51B1" w:rsidRPr="0025241A" w:rsidRDefault="003C51B1" w:rsidP="00924BFC">
            <w:pPr>
              <w:widowControl w:val="0"/>
              <w:spacing w:line="240" w:lineRule="atLeast"/>
              <w:jc w:val="center"/>
              <w:rPr>
                <w:rFonts w:ascii="Garamond" w:hAnsi="Garamond"/>
                <w:sz w:val="28"/>
                <w:szCs w:val="28"/>
                <w:lang w:val="en-US"/>
              </w:rPr>
            </w:pPr>
            <w:r w:rsidRPr="0025241A">
              <w:rPr>
                <w:rFonts w:ascii="Garamond" w:hAnsi="Garamond" w:cs="Times New Roman"/>
                <w:sz w:val="28"/>
                <w:szCs w:val="28"/>
                <w:lang w:val="en-US"/>
              </w:rPr>
              <w:t>3.2</w:t>
            </w:r>
          </w:p>
        </w:tc>
      </w:tr>
      <w:tr w:rsidR="003C51B1" w:rsidRPr="0025241A" w14:paraId="2D6DBA5B" w14:textId="77777777" w:rsidTr="0025241A">
        <w:tc>
          <w:tcPr>
            <w:tcW w:w="7513" w:type="dxa"/>
            <w:tcMar>
              <w:top w:w="28" w:type="dxa"/>
              <w:left w:w="100" w:type="dxa"/>
              <w:bottom w:w="28" w:type="dxa"/>
              <w:right w:w="100" w:type="dxa"/>
            </w:tcMar>
          </w:tcPr>
          <w:p w14:paraId="34274198" w14:textId="77777777" w:rsidR="003C51B1" w:rsidRPr="0025241A" w:rsidRDefault="003C51B1" w:rsidP="00924BFC">
            <w:pPr>
              <w:widowControl w:val="0"/>
              <w:spacing w:line="240" w:lineRule="atLeast"/>
              <w:rPr>
                <w:rFonts w:ascii="Garamond" w:hAnsi="Garamond"/>
                <w:sz w:val="28"/>
                <w:szCs w:val="28"/>
                <w:lang w:val="en-US"/>
              </w:rPr>
            </w:pPr>
            <w:r w:rsidRPr="0025241A">
              <w:rPr>
                <w:rFonts w:ascii="Garamond" w:hAnsi="Garamond" w:cs="Times New Roman"/>
                <w:sz w:val="28"/>
                <w:szCs w:val="28"/>
                <w:lang w:val="en-US"/>
              </w:rPr>
              <w:t>Intermediate consumption</w:t>
            </w:r>
          </w:p>
        </w:tc>
        <w:tc>
          <w:tcPr>
            <w:tcW w:w="1559" w:type="dxa"/>
            <w:tcMar>
              <w:top w:w="28" w:type="dxa"/>
              <w:left w:w="100" w:type="dxa"/>
              <w:bottom w:w="28" w:type="dxa"/>
              <w:right w:w="100" w:type="dxa"/>
            </w:tcMar>
          </w:tcPr>
          <w:p w14:paraId="610C3C2F" w14:textId="77777777" w:rsidR="003C51B1" w:rsidRPr="0025241A" w:rsidRDefault="003C51B1" w:rsidP="00924BFC">
            <w:pPr>
              <w:widowControl w:val="0"/>
              <w:spacing w:line="240" w:lineRule="atLeast"/>
              <w:jc w:val="center"/>
              <w:rPr>
                <w:rFonts w:ascii="Garamond" w:hAnsi="Garamond"/>
                <w:sz w:val="28"/>
                <w:szCs w:val="28"/>
                <w:lang w:val="en-US"/>
              </w:rPr>
            </w:pPr>
            <w:r w:rsidRPr="0025241A">
              <w:rPr>
                <w:rFonts w:ascii="Garamond" w:hAnsi="Garamond" w:cs="Times New Roman"/>
                <w:sz w:val="28"/>
                <w:szCs w:val="28"/>
                <w:lang w:val="en-US"/>
              </w:rPr>
              <w:t>1359.7</w:t>
            </w:r>
          </w:p>
        </w:tc>
      </w:tr>
      <w:tr w:rsidR="003C51B1" w:rsidRPr="0025241A" w14:paraId="53F5F9B8" w14:textId="77777777" w:rsidTr="0025241A">
        <w:tc>
          <w:tcPr>
            <w:tcW w:w="7513" w:type="dxa"/>
            <w:tcMar>
              <w:top w:w="28" w:type="dxa"/>
              <w:left w:w="100" w:type="dxa"/>
              <w:bottom w:w="28" w:type="dxa"/>
              <w:right w:w="100" w:type="dxa"/>
            </w:tcMar>
          </w:tcPr>
          <w:p w14:paraId="65930262" w14:textId="77777777" w:rsidR="003C51B1" w:rsidRPr="0025241A" w:rsidRDefault="003C51B1" w:rsidP="00924BFC">
            <w:pPr>
              <w:widowControl w:val="0"/>
              <w:spacing w:line="240" w:lineRule="atLeast"/>
              <w:rPr>
                <w:rFonts w:ascii="Garamond" w:hAnsi="Garamond"/>
                <w:sz w:val="28"/>
                <w:szCs w:val="28"/>
                <w:lang w:val="en-US"/>
              </w:rPr>
            </w:pPr>
            <w:r w:rsidRPr="0025241A">
              <w:rPr>
                <w:rFonts w:ascii="Garamond" w:hAnsi="Garamond" w:cs="Times New Roman"/>
                <w:sz w:val="28"/>
                <w:szCs w:val="28"/>
                <w:lang w:val="en-US"/>
              </w:rPr>
              <w:t>Consolidated budget revenues</w:t>
            </w:r>
          </w:p>
        </w:tc>
        <w:tc>
          <w:tcPr>
            <w:tcW w:w="1559" w:type="dxa"/>
            <w:tcMar>
              <w:top w:w="28" w:type="dxa"/>
              <w:left w:w="100" w:type="dxa"/>
              <w:bottom w:w="28" w:type="dxa"/>
              <w:right w:w="100" w:type="dxa"/>
            </w:tcMar>
          </w:tcPr>
          <w:p w14:paraId="53CF54D3" w14:textId="77777777" w:rsidR="003C51B1" w:rsidRPr="0025241A" w:rsidRDefault="003C51B1" w:rsidP="00924BFC">
            <w:pPr>
              <w:widowControl w:val="0"/>
              <w:spacing w:line="240" w:lineRule="atLeast"/>
              <w:jc w:val="center"/>
              <w:rPr>
                <w:rFonts w:ascii="Garamond" w:hAnsi="Garamond"/>
                <w:sz w:val="28"/>
                <w:szCs w:val="28"/>
                <w:lang w:val="en-US"/>
              </w:rPr>
            </w:pPr>
            <w:r w:rsidRPr="0025241A">
              <w:rPr>
                <w:rFonts w:ascii="Garamond" w:hAnsi="Garamond" w:cs="Times New Roman"/>
                <w:sz w:val="28"/>
                <w:szCs w:val="28"/>
                <w:lang w:val="en-US"/>
              </w:rPr>
              <w:t>254.3</w:t>
            </w:r>
          </w:p>
        </w:tc>
      </w:tr>
    </w:tbl>
    <w:p w14:paraId="1E79E43C" w14:textId="77777777" w:rsidR="00BE42A0" w:rsidRPr="0025241A" w:rsidRDefault="00BE42A0" w:rsidP="00924BFC">
      <w:pPr>
        <w:spacing w:line="240" w:lineRule="atLeast"/>
        <w:ind w:firstLine="360"/>
        <w:jc w:val="both"/>
        <w:rPr>
          <w:sz w:val="28"/>
          <w:szCs w:val="28"/>
          <w:lang w:val="en-GB"/>
        </w:rPr>
      </w:pPr>
    </w:p>
    <w:p w14:paraId="453583D9" w14:textId="77777777" w:rsidR="00BE42A0" w:rsidRPr="0025241A" w:rsidRDefault="00BE42A0" w:rsidP="00924BFC">
      <w:pPr>
        <w:spacing w:line="240" w:lineRule="atLeast"/>
        <w:ind w:firstLine="360"/>
        <w:jc w:val="both"/>
        <w:rPr>
          <w:b/>
          <w:sz w:val="28"/>
          <w:szCs w:val="28"/>
          <w:lang w:val="en-GB"/>
        </w:rPr>
      </w:pPr>
      <w:r w:rsidRPr="0025241A">
        <w:rPr>
          <w:b/>
          <w:sz w:val="28"/>
          <w:szCs w:val="28"/>
          <w:lang w:val="en-GB"/>
        </w:rPr>
        <w:t>Notes:</w:t>
      </w:r>
      <w:r w:rsidRPr="0025241A">
        <w:rPr>
          <w:b/>
          <w:sz w:val="28"/>
          <w:szCs w:val="28"/>
          <w:lang w:val="en-GB"/>
        </w:rPr>
        <w:tab/>
      </w:r>
      <w:r w:rsidRPr="0025241A">
        <w:rPr>
          <w:b/>
          <w:sz w:val="28"/>
          <w:szCs w:val="28"/>
          <w:lang w:val="en-GB"/>
        </w:rPr>
        <w:tab/>
      </w:r>
      <w:r w:rsidRPr="0025241A">
        <w:rPr>
          <w:b/>
          <w:sz w:val="28"/>
          <w:szCs w:val="28"/>
          <w:lang w:val="en-GB"/>
        </w:rPr>
        <w:tab/>
      </w:r>
    </w:p>
    <w:p w14:paraId="3110028F" w14:textId="77777777" w:rsidR="00BE42A0" w:rsidRPr="0025241A" w:rsidRDefault="00BE42A0" w:rsidP="00924BFC">
      <w:pPr>
        <w:spacing w:line="240" w:lineRule="atLeast"/>
        <w:ind w:firstLine="360"/>
        <w:jc w:val="both"/>
        <w:rPr>
          <w:sz w:val="28"/>
          <w:szCs w:val="28"/>
          <w:lang w:val="en-GB"/>
        </w:rPr>
      </w:pPr>
      <w:r w:rsidRPr="0025241A">
        <w:rPr>
          <w:sz w:val="28"/>
          <w:szCs w:val="28"/>
          <w:lang w:val="en-GB"/>
        </w:rPr>
        <w:t xml:space="preserve">The level of budget centralization could be calculated as the percentage of consolidated budget revenues from </w:t>
      </w:r>
      <w:r w:rsidR="00A31DAC">
        <w:rPr>
          <w:sz w:val="28"/>
          <w:szCs w:val="28"/>
          <w:lang w:val="en-GB"/>
        </w:rPr>
        <w:t>g</w:t>
      </w:r>
      <w:r w:rsidRPr="0025241A">
        <w:rPr>
          <w:sz w:val="28"/>
          <w:szCs w:val="28"/>
          <w:lang w:val="en-GB"/>
        </w:rPr>
        <w:t xml:space="preserve">ross </w:t>
      </w:r>
      <w:r w:rsidR="00A31DAC">
        <w:rPr>
          <w:sz w:val="28"/>
          <w:szCs w:val="28"/>
          <w:lang w:val="en-GB"/>
        </w:rPr>
        <w:t>d</w:t>
      </w:r>
      <w:r w:rsidRPr="0025241A">
        <w:rPr>
          <w:sz w:val="28"/>
          <w:szCs w:val="28"/>
          <w:lang w:val="en-GB"/>
        </w:rPr>
        <w:t xml:space="preserve">omestic </w:t>
      </w:r>
      <w:r w:rsidR="00A31DAC">
        <w:rPr>
          <w:sz w:val="28"/>
          <w:szCs w:val="28"/>
          <w:lang w:val="en-GB"/>
        </w:rPr>
        <w:t>p</w:t>
      </w:r>
      <w:r w:rsidRPr="0025241A">
        <w:rPr>
          <w:sz w:val="28"/>
          <w:szCs w:val="28"/>
          <w:lang w:val="en-GB"/>
        </w:rPr>
        <w:t>roduct (GDP).</w:t>
      </w:r>
    </w:p>
    <w:p w14:paraId="4E3F02E9" w14:textId="77777777" w:rsidR="00BE42A0" w:rsidRPr="0025241A" w:rsidRDefault="00BE42A0" w:rsidP="00924BFC">
      <w:pPr>
        <w:spacing w:line="240" w:lineRule="atLeast"/>
        <w:ind w:firstLine="360"/>
        <w:jc w:val="both"/>
        <w:rPr>
          <w:sz w:val="28"/>
          <w:szCs w:val="28"/>
          <w:lang w:val="en-GB"/>
        </w:rPr>
      </w:pPr>
      <w:r w:rsidRPr="0025241A">
        <w:rPr>
          <w:sz w:val="28"/>
          <w:szCs w:val="28"/>
          <w:lang w:val="en-GB"/>
        </w:rPr>
        <w:t>GDP at producer price could be calculated as indirect tax minus subsidies in GDP at factor cost. GDP at factor cost could be calculated by subtracting each sector's intermediate goods and services to produce the goods sold (each sector's intermediate consumption) from a gross output. Gross output could be calculated by summing the value of sales of final goods and services produced by each of the productive sectors of the economy.</w:t>
      </w:r>
    </w:p>
    <w:p w14:paraId="625F921D" w14:textId="77777777" w:rsidR="00BE42A0" w:rsidRPr="0025241A" w:rsidRDefault="00BE42A0" w:rsidP="00924BFC">
      <w:pPr>
        <w:spacing w:line="240" w:lineRule="atLeast"/>
        <w:ind w:firstLine="360"/>
        <w:jc w:val="both"/>
        <w:rPr>
          <w:sz w:val="28"/>
          <w:szCs w:val="28"/>
          <w:lang w:val="en-GB"/>
        </w:rPr>
      </w:pPr>
      <w:r w:rsidRPr="0025241A">
        <w:rPr>
          <w:sz w:val="28"/>
          <w:szCs w:val="28"/>
          <w:lang w:val="en-GB"/>
        </w:rPr>
        <w:t>The results of the calculations can determine the identity of the country to the model of financial relationships: (i) American if the level of centralization is in the range of 25</w:t>
      </w:r>
      <w:r w:rsidR="000504EE">
        <w:rPr>
          <w:b/>
          <w:lang w:val="en-US"/>
        </w:rPr>
        <w:t>–</w:t>
      </w:r>
      <w:r w:rsidRPr="0025241A">
        <w:rPr>
          <w:sz w:val="28"/>
          <w:szCs w:val="28"/>
          <w:lang w:val="en-GB"/>
        </w:rPr>
        <w:t>30</w:t>
      </w:r>
      <w:r w:rsidR="000504EE">
        <w:rPr>
          <w:sz w:val="28"/>
          <w:szCs w:val="28"/>
          <w:lang w:val="en-GB"/>
        </w:rPr>
        <w:t xml:space="preserve"> </w:t>
      </w:r>
      <w:r w:rsidRPr="0025241A">
        <w:rPr>
          <w:sz w:val="28"/>
          <w:szCs w:val="28"/>
          <w:lang w:val="en-GB"/>
        </w:rPr>
        <w:t xml:space="preserve">%; (ii) Scandinavian, if the level of centralization </w:t>
      </w:r>
      <w:r w:rsidR="000504EE">
        <w:rPr>
          <w:sz w:val="28"/>
          <w:szCs w:val="28"/>
          <w:lang w:val="en-GB"/>
        </w:rPr>
        <w:t xml:space="preserve">is </w:t>
      </w:r>
      <w:r w:rsidRPr="0025241A">
        <w:rPr>
          <w:sz w:val="28"/>
          <w:szCs w:val="28"/>
          <w:lang w:val="en-GB"/>
        </w:rPr>
        <w:t>up to 60</w:t>
      </w:r>
      <w:r w:rsidR="000504EE">
        <w:rPr>
          <w:sz w:val="28"/>
          <w:szCs w:val="28"/>
          <w:lang w:val="en-GB"/>
        </w:rPr>
        <w:t xml:space="preserve"> </w:t>
      </w:r>
      <w:r w:rsidRPr="0025241A">
        <w:rPr>
          <w:sz w:val="28"/>
          <w:szCs w:val="28"/>
          <w:lang w:val="en-GB"/>
        </w:rPr>
        <w:t>%; or (iii) Western, if the level of centralization</w:t>
      </w:r>
      <w:r w:rsidR="000504EE">
        <w:rPr>
          <w:sz w:val="28"/>
          <w:szCs w:val="28"/>
          <w:lang w:val="en-GB"/>
        </w:rPr>
        <w:t xml:space="preserve"> is</w:t>
      </w:r>
      <w:r w:rsidRPr="0025241A">
        <w:rPr>
          <w:sz w:val="28"/>
          <w:szCs w:val="28"/>
          <w:lang w:val="en-GB"/>
        </w:rPr>
        <w:t xml:space="preserve"> between 35</w:t>
      </w:r>
      <w:r w:rsidR="000504EE">
        <w:rPr>
          <w:b/>
          <w:lang w:val="en-US"/>
        </w:rPr>
        <w:t>–</w:t>
      </w:r>
      <w:r w:rsidRPr="0025241A">
        <w:rPr>
          <w:sz w:val="28"/>
          <w:szCs w:val="28"/>
          <w:lang w:val="en-GB"/>
        </w:rPr>
        <w:t>45</w:t>
      </w:r>
      <w:r w:rsidR="000504EE">
        <w:rPr>
          <w:sz w:val="28"/>
          <w:szCs w:val="28"/>
          <w:lang w:val="en-GB"/>
        </w:rPr>
        <w:t xml:space="preserve"> </w:t>
      </w:r>
      <w:r w:rsidRPr="0025241A">
        <w:rPr>
          <w:sz w:val="28"/>
          <w:szCs w:val="28"/>
          <w:lang w:val="en-GB"/>
        </w:rPr>
        <w:t>%.</w:t>
      </w:r>
    </w:p>
    <w:p w14:paraId="07754AD7" w14:textId="77777777" w:rsidR="00BE42A0" w:rsidRPr="0025241A" w:rsidRDefault="00BE42A0" w:rsidP="00924BFC">
      <w:pPr>
        <w:spacing w:line="240" w:lineRule="atLeast"/>
        <w:ind w:firstLine="360"/>
        <w:jc w:val="both"/>
        <w:rPr>
          <w:color w:val="FF0000"/>
          <w:sz w:val="28"/>
          <w:szCs w:val="28"/>
          <w:lang w:val="en-GB"/>
        </w:rPr>
      </w:pPr>
      <w:r w:rsidRPr="0025241A">
        <w:rPr>
          <w:color w:val="FF0000"/>
          <w:sz w:val="28"/>
          <w:szCs w:val="28"/>
          <w:lang w:val="en-GB"/>
        </w:rPr>
        <w:tab/>
      </w:r>
    </w:p>
    <w:p w14:paraId="39C4C796" w14:textId="77777777" w:rsidR="00161FB2" w:rsidRPr="0025241A" w:rsidRDefault="00161FB2" w:rsidP="006F749C">
      <w:pPr>
        <w:numPr>
          <w:ilvl w:val="0"/>
          <w:numId w:val="146"/>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color w:val="auto"/>
          <w:sz w:val="28"/>
          <w:szCs w:val="28"/>
          <w:u w:color="000000"/>
          <w:bdr w:val="nil"/>
          <w:lang w:val="en-US"/>
        </w:rPr>
      </w:pPr>
      <w:r w:rsidRPr="0025241A">
        <w:rPr>
          <w:rFonts w:eastAsia="Arial Unicode MS" w:cs="Arial Unicode MS"/>
          <w:sz w:val="28"/>
          <w:szCs w:val="28"/>
          <w:u w:color="000000"/>
          <w:bdr w:val="nil"/>
          <w:lang w:val="en-US"/>
        </w:rPr>
        <w:t>Based on open statistical re</w:t>
      </w:r>
      <w:r w:rsidR="000504EE">
        <w:rPr>
          <w:rFonts w:eastAsia="Arial Unicode MS" w:cs="Arial Unicode MS"/>
          <w:sz w:val="28"/>
          <w:szCs w:val="28"/>
          <w:u w:color="000000"/>
          <w:bdr w:val="nil"/>
          <w:lang w:val="en-US"/>
        </w:rPr>
        <w:t xml:space="preserve">sources of IMF, the World Bank </w:t>
      </w:r>
      <w:r w:rsidRPr="0025241A">
        <w:rPr>
          <w:rFonts w:eastAsia="Arial Unicode MS" w:cs="Arial Unicode MS"/>
          <w:sz w:val="28"/>
          <w:szCs w:val="28"/>
          <w:u w:color="000000"/>
          <w:bdr w:val="nil"/>
          <w:lang w:val="en-US"/>
        </w:rPr>
        <w:t xml:space="preserve">and others define the redistribution GDP's model in Ukraine and other countries. Find out what countries are more centralized than others are. Make conclusions. The characteristics should be presented in the </w:t>
      </w:r>
      <w:r w:rsidR="00B17A60">
        <w:rPr>
          <w:rFonts w:eastAsia="Arial Unicode MS" w:cs="Arial Unicode MS"/>
          <w:sz w:val="28"/>
          <w:szCs w:val="28"/>
          <w:u w:color="000000"/>
          <w:bdr w:val="nil"/>
          <w:lang w:val="en-US"/>
        </w:rPr>
        <w:t>box below</w:t>
      </w:r>
      <w:r w:rsidRPr="0025241A">
        <w:rPr>
          <w:rFonts w:eastAsia="Arial Unicode MS" w:cs="Arial Unicode MS"/>
          <w:sz w:val="28"/>
          <w:szCs w:val="28"/>
          <w:u w:color="000000"/>
          <w:bdr w:val="nil"/>
          <w:lang w:val="en-US"/>
        </w:rPr>
        <w:t xml:space="preserve"> and consist of country name, its GDP</w:t>
      </w:r>
      <w:r w:rsidR="000504EE">
        <w:rPr>
          <w:rFonts w:eastAsia="Arial Unicode MS" w:cs="Arial Unicode MS"/>
          <w:sz w:val="28"/>
          <w:szCs w:val="28"/>
          <w:u w:color="000000"/>
          <w:bdr w:val="nil"/>
          <w:lang w:val="en-US"/>
        </w:rPr>
        <w:t>,</w:t>
      </w:r>
      <w:r w:rsidRPr="0025241A">
        <w:rPr>
          <w:rFonts w:eastAsia="Arial Unicode MS" w:cs="Arial Unicode MS"/>
          <w:sz w:val="28"/>
          <w:szCs w:val="28"/>
          <w:u w:color="000000"/>
          <w:bdr w:val="nil"/>
          <w:lang w:val="en-US"/>
        </w:rPr>
        <w:t xml:space="preserve"> and </w:t>
      </w:r>
      <w:r w:rsidR="00A31DAC">
        <w:rPr>
          <w:rFonts w:eastAsia="Arial Unicode MS" w:cs="Arial Unicode MS"/>
          <w:sz w:val="28"/>
          <w:szCs w:val="28"/>
          <w:u w:color="000000"/>
          <w:bdr w:val="nil"/>
          <w:lang w:val="en-US"/>
        </w:rPr>
        <w:t>b</w:t>
      </w:r>
      <w:r w:rsidRPr="0025241A">
        <w:rPr>
          <w:rFonts w:eastAsia="Arial Unicode MS" w:cs="Arial Unicode MS"/>
          <w:sz w:val="28"/>
          <w:szCs w:val="28"/>
          <w:u w:color="000000"/>
          <w:bdr w:val="nil"/>
          <w:lang w:val="en-US"/>
        </w:rPr>
        <w:t>udget volumes.</w:t>
      </w:r>
    </w:p>
    <w:p w14:paraId="4D29A925" w14:textId="77777777" w:rsidR="0025241A" w:rsidRPr="0025241A" w:rsidRDefault="0025241A" w:rsidP="00924BFC">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color w:val="auto"/>
          <w:sz w:val="28"/>
          <w:szCs w:val="28"/>
          <w:u w:color="000000"/>
          <w:bdr w:val="nil"/>
          <w:lang w:val="en-US"/>
        </w:rPr>
      </w:pPr>
    </w:p>
    <w:p w14:paraId="524AE09C" w14:textId="77777777" w:rsidR="000504EE" w:rsidRDefault="000504EE" w:rsidP="00924BFC">
      <w:pPr>
        <w:spacing w:line="240" w:lineRule="atLeast"/>
        <w:ind w:left="717"/>
        <w:contextualSpacing/>
        <w:jc w:val="center"/>
        <w:rPr>
          <w:rFonts w:eastAsiaTheme="minorHAnsi"/>
          <w:b/>
          <w:color w:val="auto"/>
          <w:sz w:val="28"/>
          <w:szCs w:val="28"/>
          <w:lang w:val="en-US"/>
        </w:rPr>
      </w:pPr>
    </w:p>
    <w:p w14:paraId="1D97974B" w14:textId="77777777" w:rsidR="00161FB2" w:rsidRPr="0025241A" w:rsidRDefault="00161FB2" w:rsidP="00924BFC">
      <w:pPr>
        <w:spacing w:line="240" w:lineRule="atLeast"/>
        <w:ind w:left="717"/>
        <w:contextualSpacing/>
        <w:jc w:val="center"/>
        <w:rPr>
          <w:rFonts w:eastAsiaTheme="minorHAnsi"/>
          <w:b/>
          <w:color w:val="auto"/>
          <w:sz w:val="28"/>
          <w:szCs w:val="28"/>
          <w:lang w:val="en-US"/>
        </w:rPr>
      </w:pPr>
      <w:r w:rsidRPr="0025241A">
        <w:rPr>
          <w:rFonts w:eastAsiaTheme="minorHAnsi"/>
          <w:b/>
          <w:color w:val="auto"/>
          <w:sz w:val="28"/>
          <w:szCs w:val="28"/>
          <w:lang w:val="en-US"/>
        </w:rPr>
        <w:lastRenderedPageBreak/>
        <w:t>Comparison of country’s</w:t>
      </w:r>
      <w:r w:rsidRPr="0025241A">
        <w:rPr>
          <w:rFonts w:eastAsiaTheme="minorHAnsi"/>
          <w:b/>
          <w:color w:val="auto"/>
          <w:sz w:val="28"/>
          <w:szCs w:val="28"/>
          <w:lang w:val="en-US" w:eastAsia="en-US"/>
        </w:rPr>
        <w:t xml:space="preserve"> budget centralization</w:t>
      </w:r>
      <w:r w:rsidR="0025241A">
        <w:rPr>
          <w:rFonts w:eastAsiaTheme="minorHAnsi"/>
          <w:b/>
          <w:color w:val="auto"/>
          <w:sz w:val="28"/>
          <w:szCs w:val="28"/>
          <w:lang w:val="en-US"/>
        </w:rPr>
        <w:t xml:space="preserve"> in</w:t>
      </w:r>
      <w:r w:rsidRPr="0025241A">
        <w:rPr>
          <w:rFonts w:eastAsiaTheme="minorHAnsi"/>
          <w:b/>
          <w:color w:val="auto"/>
          <w:sz w:val="28"/>
          <w:szCs w:val="28"/>
          <w:lang w:val="en-US"/>
        </w:rPr>
        <w:t xml:space="preserve"> 2015  </w:t>
      </w:r>
    </w:p>
    <w:tbl>
      <w:tblPr>
        <w:tblStyle w:val="TableGrid"/>
        <w:tblW w:w="4810" w:type="pct"/>
        <w:tblInd w:w="357" w:type="dxa"/>
        <w:tblLayout w:type="fixed"/>
        <w:tblLook w:val="04A0" w:firstRow="1" w:lastRow="0" w:firstColumn="1" w:lastColumn="0" w:noHBand="0" w:noVBand="1"/>
      </w:tblPr>
      <w:tblGrid>
        <w:gridCol w:w="3401"/>
        <w:gridCol w:w="605"/>
        <w:gridCol w:w="568"/>
        <w:gridCol w:w="570"/>
        <w:gridCol w:w="568"/>
        <w:gridCol w:w="566"/>
        <w:gridCol w:w="563"/>
        <w:gridCol w:w="529"/>
        <w:gridCol w:w="1882"/>
      </w:tblGrid>
      <w:tr w:rsidR="002D6C8B" w:rsidRPr="0025241A" w14:paraId="051FFBC9" w14:textId="77777777" w:rsidTr="002D6C8B">
        <w:trPr>
          <w:trHeight w:val="20"/>
        </w:trPr>
        <w:tc>
          <w:tcPr>
            <w:tcW w:w="1838" w:type="pct"/>
            <w:vMerge w:val="restart"/>
            <w:shd w:val="clear" w:color="auto" w:fill="D9D9D9" w:themeFill="background1" w:themeFillShade="D9"/>
            <w:vAlign w:val="center"/>
          </w:tcPr>
          <w:p w14:paraId="5B93CAD2" w14:textId="77777777" w:rsidR="00161FB2" w:rsidRPr="0025241A" w:rsidRDefault="00161FB2" w:rsidP="00924BFC">
            <w:pPr>
              <w:spacing w:line="240" w:lineRule="atLeast"/>
              <w:jc w:val="center"/>
              <w:rPr>
                <w:color w:val="auto"/>
                <w:sz w:val="28"/>
                <w:szCs w:val="28"/>
                <w:lang w:val="en-US"/>
              </w:rPr>
            </w:pPr>
            <w:r w:rsidRPr="0025241A">
              <w:rPr>
                <w:b/>
                <w:color w:val="auto"/>
                <w:sz w:val="28"/>
                <w:szCs w:val="28"/>
                <w:lang w:val="en-US"/>
              </w:rPr>
              <w:t>Indicators of financial development</w:t>
            </w:r>
          </w:p>
        </w:tc>
        <w:tc>
          <w:tcPr>
            <w:tcW w:w="2145" w:type="pct"/>
            <w:gridSpan w:val="7"/>
            <w:shd w:val="clear" w:color="auto" w:fill="D9D9D9" w:themeFill="background1" w:themeFillShade="D9"/>
            <w:vAlign w:val="center"/>
          </w:tcPr>
          <w:p w14:paraId="4FD8CB6E" w14:textId="77777777" w:rsidR="00161FB2" w:rsidRPr="0025241A" w:rsidRDefault="00161FB2" w:rsidP="00924BFC">
            <w:pPr>
              <w:spacing w:line="240" w:lineRule="atLeast"/>
              <w:jc w:val="center"/>
              <w:rPr>
                <w:b/>
                <w:color w:val="auto"/>
                <w:sz w:val="28"/>
                <w:szCs w:val="28"/>
                <w:lang w:val="en-US"/>
              </w:rPr>
            </w:pPr>
            <w:r w:rsidRPr="0025241A">
              <w:rPr>
                <w:b/>
                <w:color w:val="auto"/>
                <w:sz w:val="28"/>
                <w:szCs w:val="28"/>
                <w:lang w:val="en-US"/>
              </w:rPr>
              <w:t>Country</w:t>
            </w:r>
          </w:p>
        </w:tc>
        <w:tc>
          <w:tcPr>
            <w:tcW w:w="1017" w:type="pct"/>
            <w:vMerge w:val="restart"/>
            <w:shd w:val="clear" w:color="auto" w:fill="D9D9D9" w:themeFill="background1" w:themeFillShade="D9"/>
            <w:vAlign w:val="center"/>
          </w:tcPr>
          <w:p w14:paraId="4B011F70" w14:textId="77777777" w:rsidR="00161FB2" w:rsidRPr="0025241A" w:rsidRDefault="00161FB2" w:rsidP="00924BFC">
            <w:pPr>
              <w:spacing w:line="240" w:lineRule="atLeast"/>
              <w:jc w:val="center"/>
              <w:rPr>
                <w:color w:val="auto"/>
                <w:sz w:val="28"/>
                <w:szCs w:val="28"/>
                <w:lang w:val="en-US"/>
              </w:rPr>
            </w:pPr>
            <w:r w:rsidRPr="0025241A">
              <w:rPr>
                <w:b/>
                <w:color w:val="auto"/>
                <w:sz w:val="28"/>
                <w:szCs w:val="28"/>
                <w:lang w:val="en-US"/>
              </w:rPr>
              <w:t>Results’ interpretation</w:t>
            </w:r>
            <w:r w:rsidRPr="0025241A">
              <w:rPr>
                <w:b/>
                <w:color w:val="auto"/>
                <w:sz w:val="28"/>
                <w:szCs w:val="28"/>
                <w:lang w:val="uk-UA"/>
              </w:rPr>
              <w:t xml:space="preserve"> </w:t>
            </w:r>
          </w:p>
        </w:tc>
      </w:tr>
      <w:tr w:rsidR="002D6C8B" w:rsidRPr="0025241A" w14:paraId="07F2AE68" w14:textId="77777777" w:rsidTr="002D6C8B">
        <w:trPr>
          <w:cantSplit/>
          <w:trHeight w:val="2162"/>
        </w:trPr>
        <w:tc>
          <w:tcPr>
            <w:tcW w:w="1838" w:type="pct"/>
            <w:vMerge/>
          </w:tcPr>
          <w:p w14:paraId="370AF74E" w14:textId="77777777" w:rsidR="00161FB2" w:rsidRPr="0025241A" w:rsidRDefault="00161FB2" w:rsidP="00924BFC">
            <w:pPr>
              <w:spacing w:line="240" w:lineRule="atLeast"/>
              <w:jc w:val="center"/>
              <w:rPr>
                <w:b/>
                <w:color w:val="auto"/>
                <w:sz w:val="28"/>
                <w:szCs w:val="28"/>
                <w:lang w:val="en-US"/>
              </w:rPr>
            </w:pPr>
          </w:p>
        </w:tc>
        <w:tc>
          <w:tcPr>
            <w:tcW w:w="327" w:type="pct"/>
            <w:shd w:val="clear" w:color="auto" w:fill="D9D9D9" w:themeFill="background1" w:themeFillShade="D9"/>
            <w:textDirection w:val="btLr"/>
            <w:vAlign w:val="center"/>
          </w:tcPr>
          <w:p w14:paraId="3ABE4866" w14:textId="77777777" w:rsidR="00161FB2" w:rsidRPr="0025241A" w:rsidRDefault="00161FB2" w:rsidP="00924BFC">
            <w:pPr>
              <w:spacing w:line="240" w:lineRule="atLeast"/>
              <w:ind w:left="113" w:right="113"/>
              <w:jc w:val="center"/>
              <w:rPr>
                <w:b/>
                <w:color w:val="auto"/>
                <w:sz w:val="28"/>
                <w:szCs w:val="28"/>
                <w:lang w:val="en-US"/>
              </w:rPr>
            </w:pPr>
            <w:r w:rsidRPr="0025241A">
              <w:rPr>
                <w:b/>
                <w:color w:val="auto"/>
                <w:sz w:val="28"/>
                <w:szCs w:val="28"/>
                <w:lang w:val="en-US"/>
              </w:rPr>
              <w:t>Ukraine</w:t>
            </w:r>
          </w:p>
        </w:tc>
        <w:tc>
          <w:tcPr>
            <w:tcW w:w="307" w:type="pct"/>
            <w:shd w:val="clear" w:color="auto" w:fill="D9D9D9" w:themeFill="background1" w:themeFillShade="D9"/>
            <w:textDirection w:val="btLr"/>
            <w:vAlign w:val="center"/>
          </w:tcPr>
          <w:p w14:paraId="30EC3B76" w14:textId="77777777" w:rsidR="00161FB2" w:rsidRPr="0025241A" w:rsidRDefault="00161FB2" w:rsidP="00924BFC">
            <w:pPr>
              <w:spacing w:line="240" w:lineRule="atLeast"/>
              <w:ind w:left="113" w:right="113"/>
              <w:jc w:val="center"/>
              <w:rPr>
                <w:b/>
                <w:color w:val="auto"/>
                <w:sz w:val="28"/>
                <w:szCs w:val="28"/>
                <w:lang w:val="en-US"/>
              </w:rPr>
            </w:pPr>
            <w:r w:rsidRPr="0025241A">
              <w:rPr>
                <w:b/>
                <w:color w:val="auto"/>
                <w:sz w:val="28"/>
                <w:szCs w:val="28"/>
                <w:lang w:val="en-US"/>
              </w:rPr>
              <w:t>Russia</w:t>
            </w:r>
          </w:p>
        </w:tc>
        <w:tc>
          <w:tcPr>
            <w:tcW w:w="308" w:type="pct"/>
            <w:shd w:val="clear" w:color="auto" w:fill="D9D9D9" w:themeFill="background1" w:themeFillShade="D9"/>
            <w:textDirection w:val="btLr"/>
            <w:vAlign w:val="center"/>
          </w:tcPr>
          <w:p w14:paraId="71B1DF80" w14:textId="77777777" w:rsidR="00161FB2" w:rsidRPr="0025241A" w:rsidRDefault="00161FB2" w:rsidP="00924BFC">
            <w:pPr>
              <w:spacing w:line="240" w:lineRule="atLeast"/>
              <w:ind w:left="113" w:right="113"/>
              <w:jc w:val="center"/>
              <w:rPr>
                <w:b/>
                <w:color w:val="auto"/>
                <w:sz w:val="28"/>
                <w:szCs w:val="28"/>
                <w:lang w:val="en-US"/>
              </w:rPr>
            </w:pPr>
            <w:r w:rsidRPr="0025241A">
              <w:rPr>
                <w:b/>
                <w:color w:val="auto"/>
                <w:sz w:val="28"/>
                <w:szCs w:val="28"/>
                <w:lang w:val="en-US"/>
              </w:rPr>
              <w:t>Poland</w:t>
            </w:r>
          </w:p>
        </w:tc>
        <w:tc>
          <w:tcPr>
            <w:tcW w:w="307" w:type="pct"/>
            <w:shd w:val="clear" w:color="auto" w:fill="D9D9D9" w:themeFill="background1" w:themeFillShade="D9"/>
            <w:textDirection w:val="btLr"/>
            <w:vAlign w:val="center"/>
          </w:tcPr>
          <w:p w14:paraId="4FD83633" w14:textId="77777777" w:rsidR="00161FB2" w:rsidRPr="0025241A" w:rsidRDefault="00161FB2" w:rsidP="00924BFC">
            <w:pPr>
              <w:spacing w:line="240" w:lineRule="atLeast"/>
              <w:ind w:left="113" w:right="113"/>
              <w:jc w:val="center"/>
              <w:rPr>
                <w:b/>
                <w:color w:val="auto"/>
                <w:sz w:val="28"/>
                <w:szCs w:val="28"/>
                <w:lang w:val="en-US"/>
              </w:rPr>
            </w:pPr>
            <w:r w:rsidRPr="0025241A">
              <w:rPr>
                <w:b/>
                <w:color w:val="auto"/>
                <w:sz w:val="28"/>
                <w:szCs w:val="28"/>
                <w:lang w:val="en-US"/>
              </w:rPr>
              <w:t>Germany</w:t>
            </w:r>
          </w:p>
        </w:tc>
        <w:tc>
          <w:tcPr>
            <w:tcW w:w="306" w:type="pct"/>
            <w:shd w:val="clear" w:color="auto" w:fill="D9D9D9" w:themeFill="background1" w:themeFillShade="D9"/>
            <w:textDirection w:val="btLr"/>
            <w:vAlign w:val="center"/>
          </w:tcPr>
          <w:p w14:paraId="34A41061" w14:textId="77777777" w:rsidR="00161FB2" w:rsidRPr="0025241A" w:rsidRDefault="00161FB2" w:rsidP="00924BFC">
            <w:pPr>
              <w:spacing w:line="240" w:lineRule="atLeast"/>
              <w:ind w:left="113" w:right="113"/>
              <w:jc w:val="center"/>
              <w:rPr>
                <w:b/>
                <w:color w:val="auto"/>
                <w:sz w:val="28"/>
                <w:szCs w:val="28"/>
                <w:lang w:val="en-US"/>
              </w:rPr>
            </w:pPr>
            <w:r w:rsidRPr="0025241A">
              <w:rPr>
                <w:b/>
                <w:color w:val="auto"/>
                <w:sz w:val="28"/>
                <w:szCs w:val="28"/>
                <w:lang w:val="en-US"/>
              </w:rPr>
              <w:t>USA</w:t>
            </w:r>
          </w:p>
        </w:tc>
        <w:tc>
          <w:tcPr>
            <w:tcW w:w="304" w:type="pct"/>
            <w:shd w:val="clear" w:color="auto" w:fill="D9D9D9" w:themeFill="background1" w:themeFillShade="D9"/>
            <w:textDirection w:val="btLr"/>
            <w:vAlign w:val="center"/>
          </w:tcPr>
          <w:p w14:paraId="15152884" w14:textId="77777777" w:rsidR="00161FB2" w:rsidRPr="0025241A" w:rsidRDefault="00161FB2" w:rsidP="00924BFC">
            <w:pPr>
              <w:spacing w:line="240" w:lineRule="atLeast"/>
              <w:ind w:left="113" w:right="113"/>
              <w:jc w:val="center"/>
              <w:rPr>
                <w:b/>
                <w:color w:val="auto"/>
                <w:sz w:val="28"/>
                <w:szCs w:val="28"/>
                <w:lang w:val="en-US"/>
              </w:rPr>
            </w:pPr>
            <w:r w:rsidRPr="0025241A">
              <w:rPr>
                <w:b/>
                <w:color w:val="auto"/>
                <w:sz w:val="28"/>
                <w:szCs w:val="28"/>
                <w:lang w:val="en-US"/>
              </w:rPr>
              <w:t>United Kingdom</w:t>
            </w:r>
          </w:p>
        </w:tc>
        <w:tc>
          <w:tcPr>
            <w:tcW w:w="285" w:type="pct"/>
            <w:shd w:val="clear" w:color="auto" w:fill="D9D9D9" w:themeFill="background1" w:themeFillShade="D9"/>
            <w:textDirection w:val="btLr"/>
            <w:vAlign w:val="center"/>
          </w:tcPr>
          <w:p w14:paraId="67C00A2C" w14:textId="77777777" w:rsidR="00161FB2" w:rsidRPr="0025241A" w:rsidRDefault="00161FB2" w:rsidP="00924BFC">
            <w:pPr>
              <w:spacing w:line="240" w:lineRule="atLeast"/>
              <w:ind w:left="113" w:right="113"/>
              <w:jc w:val="center"/>
              <w:rPr>
                <w:b/>
                <w:color w:val="auto"/>
                <w:sz w:val="28"/>
                <w:szCs w:val="28"/>
                <w:lang w:val="en-US"/>
              </w:rPr>
            </w:pPr>
            <w:r w:rsidRPr="0025241A">
              <w:rPr>
                <w:b/>
                <w:color w:val="auto"/>
                <w:sz w:val="28"/>
                <w:szCs w:val="28"/>
                <w:lang w:val="en-US"/>
              </w:rPr>
              <w:t>Japan</w:t>
            </w:r>
          </w:p>
        </w:tc>
        <w:tc>
          <w:tcPr>
            <w:tcW w:w="1017" w:type="pct"/>
            <w:vMerge/>
          </w:tcPr>
          <w:p w14:paraId="4D5318FE" w14:textId="77777777" w:rsidR="00161FB2" w:rsidRPr="0025241A" w:rsidRDefault="00161FB2" w:rsidP="00924BFC">
            <w:pPr>
              <w:spacing w:line="240" w:lineRule="atLeast"/>
              <w:jc w:val="center"/>
              <w:rPr>
                <w:b/>
                <w:color w:val="auto"/>
                <w:sz w:val="28"/>
                <w:szCs w:val="28"/>
                <w:lang w:val="en-GB"/>
              </w:rPr>
            </w:pPr>
          </w:p>
        </w:tc>
      </w:tr>
      <w:tr w:rsidR="002D6C8B" w:rsidRPr="0025241A" w14:paraId="082654BE" w14:textId="77777777" w:rsidTr="002D6C8B">
        <w:trPr>
          <w:trHeight w:val="20"/>
        </w:trPr>
        <w:tc>
          <w:tcPr>
            <w:tcW w:w="1838" w:type="pct"/>
          </w:tcPr>
          <w:p w14:paraId="04196F00" w14:textId="77777777" w:rsidR="00161FB2" w:rsidRPr="0025241A" w:rsidRDefault="00161FB2" w:rsidP="00A31DAC">
            <w:pPr>
              <w:spacing w:line="240" w:lineRule="atLeast"/>
              <w:rPr>
                <w:color w:val="auto"/>
                <w:sz w:val="28"/>
                <w:szCs w:val="28"/>
                <w:lang w:val="en-US"/>
              </w:rPr>
            </w:pPr>
            <w:r w:rsidRPr="0025241A">
              <w:rPr>
                <w:color w:val="auto"/>
                <w:sz w:val="28"/>
                <w:szCs w:val="28"/>
                <w:lang w:val="en-US"/>
              </w:rPr>
              <w:t>GDP, USD</w:t>
            </w:r>
            <w:r w:rsidR="00A31DAC">
              <w:rPr>
                <w:color w:val="auto"/>
                <w:sz w:val="28"/>
                <w:szCs w:val="28"/>
                <w:lang w:val="en-US"/>
              </w:rPr>
              <w:t xml:space="preserve"> bn</w:t>
            </w:r>
          </w:p>
        </w:tc>
        <w:tc>
          <w:tcPr>
            <w:tcW w:w="327" w:type="pct"/>
          </w:tcPr>
          <w:p w14:paraId="5EC414B6" w14:textId="77777777" w:rsidR="00161FB2" w:rsidRPr="0025241A" w:rsidRDefault="00161FB2" w:rsidP="00924BFC">
            <w:pPr>
              <w:spacing w:line="240" w:lineRule="atLeast"/>
              <w:jc w:val="center"/>
              <w:rPr>
                <w:b/>
                <w:color w:val="auto"/>
                <w:sz w:val="28"/>
                <w:szCs w:val="28"/>
                <w:lang w:val="en-US"/>
              </w:rPr>
            </w:pPr>
          </w:p>
        </w:tc>
        <w:tc>
          <w:tcPr>
            <w:tcW w:w="307" w:type="pct"/>
          </w:tcPr>
          <w:p w14:paraId="235B6F6C" w14:textId="77777777" w:rsidR="00161FB2" w:rsidRPr="0025241A" w:rsidRDefault="00161FB2" w:rsidP="00924BFC">
            <w:pPr>
              <w:spacing w:line="240" w:lineRule="atLeast"/>
              <w:jc w:val="center"/>
              <w:rPr>
                <w:b/>
                <w:color w:val="auto"/>
                <w:sz w:val="28"/>
                <w:szCs w:val="28"/>
                <w:lang w:val="en-US"/>
              </w:rPr>
            </w:pPr>
          </w:p>
        </w:tc>
        <w:tc>
          <w:tcPr>
            <w:tcW w:w="308" w:type="pct"/>
          </w:tcPr>
          <w:p w14:paraId="05CE4BE5" w14:textId="77777777" w:rsidR="00161FB2" w:rsidRPr="0025241A" w:rsidRDefault="00161FB2" w:rsidP="00924BFC">
            <w:pPr>
              <w:spacing w:line="240" w:lineRule="atLeast"/>
              <w:jc w:val="center"/>
              <w:rPr>
                <w:b/>
                <w:color w:val="auto"/>
                <w:sz w:val="28"/>
                <w:szCs w:val="28"/>
                <w:lang w:val="en-US"/>
              </w:rPr>
            </w:pPr>
          </w:p>
        </w:tc>
        <w:tc>
          <w:tcPr>
            <w:tcW w:w="307" w:type="pct"/>
          </w:tcPr>
          <w:p w14:paraId="56423282" w14:textId="77777777" w:rsidR="00161FB2" w:rsidRPr="0025241A" w:rsidRDefault="00161FB2" w:rsidP="00924BFC">
            <w:pPr>
              <w:spacing w:line="240" w:lineRule="atLeast"/>
              <w:jc w:val="center"/>
              <w:rPr>
                <w:b/>
                <w:color w:val="auto"/>
                <w:sz w:val="28"/>
                <w:szCs w:val="28"/>
                <w:lang w:val="en-US"/>
              </w:rPr>
            </w:pPr>
          </w:p>
        </w:tc>
        <w:tc>
          <w:tcPr>
            <w:tcW w:w="306" w:type="pct"/>
          </w:tcPr>
          <w:p w14:paraId="44988669" w14:textId="77777777" w:rsidR="00161FB2" w:rsidRPr="0025241A" w:rsidRDefault="00161FB2" w:rsidP="00924BFC">
            <w:pPr>
              <w:spacing w:line="240" w:lineRule="atLeast"/>
              <w:jc w:val="center"/>
              <w:rPr>
                <w:color w:val="auto"/>
                <w:sz w:val="28"/>
                <w:szCs w:val="28"/>
                <w:lang w:val="en-US"/>
              </w:rPr>
            </w:pPr>
          </w:p>
        </w:tc>
        <w:tc>
          <w:tcPr>
            <w:tcW w:w="304" w:type="pct"/>
          </w:tcPr>
          <w:p w14:paraId="2A69342D" w14:textId="77777777" w:rsidR="00161FB2" w:rsidRPr="0025241A" w:rsidRDefault="00161FB2" w:rsidP="00924BFC">
            <w:pPr>
              <w:spacing w:line="240" w:lineRule="atLeast"/>
              <w:jc w:val="center"/>
              <w:rPr>
                <w:b/>
                <w:color w:val="auto"/>
                <w:sz w:val="28"/>
                <w:szCs w:val="28"/>
                <w:lang w:val="en-US"/>
              </w:rPr>
            </w:pPr>
          </w:p>
        </w:tc>
        <w:tc>
          <w:tcPr>
            <w:tcW w:w="285" w:type="pct"/>
          </w:tcPr>
          <w:p w14:paraId="21036782" w14:textId="77777777" w:rsidR="00161FB2" w:rsidRPr="0025241A" w:rsidRDefault="00161FB2" w:rsidP="00924BFC">
            <w:pPr>
              <w:spacing w:line="240" w:lineRule="atLeast"/>
              <w:jc w:val="center"/>
              <w:rPr>
                <w:color w:val="auto"/>
                <w:sz w:val="28"/>
                <w:szCs w:val="28"/>
                <w:lang w:val="en-US"/>
              </w:rPr>
            </w:pPr>
          </w:p>
        </w:tc>
        <w:tc>
          <w:tcPr>
            <w:tcW w:w="1017" w:type="pct"/>
          </w:tcPr>
          <w:p w14:paraId="1AA6B2CE" w14:textId="77777777" w:rsidR="00161FB2" w:rsidRPr="0025241A" w:rsidRDefault="00161FB2" w:rsidP="00924BFC">
            <w:pPr>
              <w:spacing w:line="240" w:lineRule="atLeast"/>
              <w:jc w:val="center"/>
              <w:rPr>
                <w:color w:val="auto"/>
                <w:sz w:val="28"/>
                <w:szCs w:val="28"/>
                <w:lang w:val="en-US"/>
              </w:rPr>
            </w:pPr>
          </w:p>
        </w:tc>
      </w:tr>
      <w:tr w:rsidR="002D6C8B" w:rsidRPr="0025241A" w14:paraId="6DC19FED" w14:textId="77777777" w:rsidTr="002D6C8B">
        <w:trPr>
          <w:trHeight w:val="20"/>
        </w:trPr>
        <w:tc>
          <w:tcPr>
            <w:tcW w:w="1838" w:type="pct"/>
          </w:tcPr>
          <w:p w14:paraId="418DB093" w14:textId="77777777" w:rsidR="00161FB2" w:rsidRPr="0025241A" w:rsidRDefault="00161FB2" w:rsidP="00A31DAC">
            <w:pPr>
              <w:spacing w:line="240" w:lineRule="atLeast"/>
              <w:rPr>
                <w:color w:val="auto"/>
                <w:sz w:val="28"/>
                <w:szCs w:val="28"/>
                <w:lang w:val="en-US"/>
              </w:rPr>
            </w:pPr>
            <w:r w:rsidRPr="0025241A">
              <w:rPr>
                <w:color w:val="auto"/>
                <w:sz w:val="28"/>
                <w:szCs w:val="28"/>
                <w:lang w:val="en-US"/>
              </w:rPr>
              <w:t>The state budget, USD</w:t>
            </w:r>
            <w:r w:rsidR="00A31DAC">
              <w:rPr>
                <w:color w:val="auto"/>
                <w:sz w:val="28"/>
                <w:szCs w:val="28"/>
                <w:lang w:val="en-US"/>
              </w:rPr>
              <w:t xml:space="preserve"> bn</w:t>
            </w:r>
          </w:p>
        </w:tc>
        <w:tc>
          <w:tcPr>
            <w:tcW w:w="327" w:type="pct"/>
          </w:tcPr>
          <w:p w14:paraId="73BBD00A" w14:textId="77777777" w:rsidR="00161FB2" w:rsidRPr="0025241A" w:rsidRDefault="00161FB2" w:rsidP="00924BFC">
            <w:pPr>
              <w:spacing w:line="240" w:lineRule="atLeast"/>
              <w:jc w:val="center"/>
              <w:rPr>
                <w:b/>
                <w:color w:val="auto"/>
                <w:sz w:val="28"/>
                <w:szCs w:val="28"/>
                <w:lang w:val="en-US"/>
              </w:rPr>
            </w:pPr>
          </w:p>
        </w:tc>
        <w:tc>
          <w:tcPr>
            <w:tcW w:w="307" w:type="pct"/>
          </w:tcPr>
          <w:p w14:paraId="07290B45" w14:textId="77777777" w:rsidR="00161FB2" w:rsidRPr="0025241A" w:rsidRDefault="00161FB2" w:rsidP="00924BFC">
            <w:pPr>
              <w:spacing w:line="240" w:lineRule="atLeast"/>
              <w:jc w:val="center"/>
              <w:rPr>
                <w:b/>
                <w:color w:val="auto"/>
                <w:sz w:val="28"/>
                <w:szCs w:val="28"/>
                <w:lang w:val="en-US"/>
              </w:rPr>
            </w:pPr>
          </w:p>
        </w:tc>
        <w:tc>
          <w:tcPr>
            <w:tcW w:w="308" w:type="pct"/>
          </w:tcPr>
          <w:p w14:paraId="4CA1FE4D" w14:textId="77777777" w:rsidR="00161FB2" w:rsidRPr="0025241A" w:rsidRDefault="00161FB2" w:rsidP="00924BFC">
            <w:pPr>
              <w:spacing w:line="240" w:lineRule="atLeast"/>
              <w:jc w:val="center"/>
              <w:rPr>
                <w:b/>
                <w:color w:val="auto"/>
                <w:sz w:val="28"/>
                <w:szCs w:val="28"/>
                <w:lang w:val="en-US"/>
              </w:rPr>
            </w:pPr>
          </w:p>
        </w:tc>
        <w:tc>
          <w:tcPr>
            <w:tcW w:w="307" w:type="pct"/>
          </w:tcPr>
          <w:p w14:paraId="7DA5BE90" w14:textId="77777777" w:rsidR="00161FB2" w:rsidRPr="0025241A" w:rsidRDefault="00161FB2" w:rsidP="00924BFC">
            <w:pPr>
              <w:spacing w:line="240" w:lineRule="atLeast"/>
              <w:jc w:val="center"/>
              <w:rPr>
                <w:b/>
                <w:color w:val="auto"/>
                <w:sz w:val="28"/>
                <w:szCs w:val="28"/>
                <w:lang w:val="en-US"/>
              </w:rPr>
            </w:pPr>
          </w:p>
        </w:tc>
        <w:tc>
          <w:tcPr>
            <w:tcW w:w="306" w:type="pct"/>
          </w:tcPr>
          <w:p w14:paraId="5A8C9E69" w14:textId="77777777" w:rsidR="00161FB2" w:rsidRPr="0025241A" w:rsidRDefault="00161FB2" w:rsidP="00924BFC">
            <w:pPr>
              <w:spacing w:line="240" w:lineRule="atLeast"/>
              <w:jc w:val="center"/>
              <w:rPr>
                <w:color w:val="auto"/>
                <w:sz w:val="28"/>
                <w:szCs w:val="28"/>
                <w:lang w:val="en-US"/>
              </w:rPr>
            </w:pPr>
          </w:p>
        </w:tc>
        <w:tc>
          <w:tcPr>
            <w:tcW w:w="304" w:type="pct"/>
          </w:tcPr>
          <w:p w14:paraId="5FA604F9" w14:textId="77777777" w:rsidR="00161FB2" w:rsidRPr="0025241A" w:rsidRDefault="00161FB2" w:rsidP="00924BFC">
            <w:pPr>
              <w:spacing w:line="240" w:lineRule="atLeast"/>
              <w:jc w:val="center"/>
              <w:rPr>
                <w:b/>
                <w:color w:val="auto"/>
                <w:sz w:val="28"/>
                <w:szCs w:val="28"/>
                <w:lang w:val="en-US"/>
              </w:rPr>
            </w:pPr>
          </w:p>
        </w:tc>
        <w:tc>
          <w:tcPr>
            <w:tcW w:w="285" w:type="pct"/>
          </w:tcPr>
          <w:p w14:paraId="7F19B4B2" w14:textId="77777777" w:rsidR="00161FB2" w:rsidRPr="0025241A" w:rsidRDefault="00161FB2" w:rsidP="00924BFC">
            <w:pPr>
              <w:spacing w:line="240" w:lineRule="atLeast"/>
              <w:jc w:val="center"/>
              <w:rPr>
                <w:color w:val="auto"/>
                <w:sz w:val="28"/>
                <w:szCs w:val="28"/>
                <w:lang w:val="en-US"/>
              </w:rPr>
            </w:pPr>
          </w:p>
        </w:tc>
        <w:tc>
          <w:tcPr>
            <w:tcW w:w="1017" w:type="pct"/>
          </w:tcPr>
          <w:p w14:paraId="1836149E" w14:textId="77777777" w:rsidR="00161FB2" w:rsidRPr="0025241A" w:rsidRDefault="00161FB2" w:rsidP="00924BFC">
            <w:pPr>
              <w:spacing w:line="240" w:lineRule="atLeast"/>
              <w:jc w:val="center"/>
              <w:rPr>
                <w:color w:val="auto"/>
                <w:sz w:val="28"/>
                <w:szCs w:val="28"/>
                <w:lang w:val="en-US"/>
              </w:rPr>
            </w:pPr>
          </w:p>
        </w:tc>
      </w:tr>
      <w:tr w:rsidR="002D6C8B" w:rsidRPr="0025241A" w14:paraId="1D9FE884" w14:textId="77777777" w:rsidTr="002D6C8B">
        <w:trPr>
          <w:trHeight w:val="20"/>
        </w:trPr>
        <w:tc>
          <w:tcPr>
            <w:tcW w:w="1838" w:type="pct"/>
          </w:tcPr>
          <w:p w14:paraId="38213F95" w14:textId="77777777" w:rsidR="00161FB2" w:rsidRPr="0025241A" w:rsidRDefault="00161FB2" w:rsidP="00924BFC">
            <w:pPr>
              <w:spacing w:line="240" w:lineRule="atLeast"/>
              <w:rPr>
                <w:color w:val="auto"/>
                <w:sz w:val="28"/>
                <w:szCs w:val="28"/>
                <w:lang w:val="en-US"/>
              </w:rPr>
            </w:pPr>
            <w:r w:rsidRPr="0025241A">
              <w:rPr>
                <w:color w:val="auto"/>
                <w:sz w:val="28"/>
                <w:szCs w:val="28"/>
                <w:lang w:val="en-US"/>
              </w:rPr>
              <w:t>The level of budget centralization, %</w:t>
            </w:r>
          </w:p>
        </w:tc>
        <w:tc>
          <w:tcPr>
            <w:tcW w:w="327" w:type="pct"/>
          </w:tcPr>
          <w:p w14:paraId="6E9113F6" w14:textId="77777777" w:rsidR="00161FB2" w:rsidRPr="0025241A" w:rsidRDefault="00161FB2" w:rsidP="00924BFC">
            <w:pPr>
              <w:spacing w:line="240" w:lineRule="atLeast"/>
              <w:jc w:val="center"/>
              <w:rPr>
                <w:b/>
                <w:color w:val="auto"/>
                <w:sz w:val="28"/>
                <w:szCs w:val="28"/>
                <w:lang w:val="en-US"/>
              </w:rPr>
            </w:pPr>
          </w:p>
        </w:tc>
        <w:tc>
          <w:tcPr>
            <w:tcW w:w="307" w:type="pct"/>
          </w:tcPr>
          <w:p w14:paraId="4EB7C698" w14:textId="77777777" w:rsidR="00161FB2" w:rsidRPr="0025241A" w:rsidRDefault="00161FB2" w:rsidP="00924BFC">
            <w:pPr>
              <w:spacing w:line="240" w:lineRule="atLeast"/>
              <w:jc w:val="center"/>
              <w:rPr>
                <w:b/>
                <w:color w:val="auto"/>
                <w:sz w:val="28"/>
                <w:szCs w:val="28"/>
                <w:lang w:val="en-US"/>
              </w:rPr>
            </w:pPr>
          </w:p>
        </w:tc>
        <w:tc>
          <w:tcPr>
            <w:tcW w:w="308" w:type="pct"/>
          </w:tcPr>
          <w:p w14:paraId="7B4A8337" w14:textId="77777777" w:rsidR="00161FB2" w:rsidRPr="0025241A" w:rsidRDefault="00161FB2" w:rsidP="00924BFC">
            <w:pPr>
              <w:spacing w:line="240" w:lineRule="atLeast"/>
              <w:jc w:val="center"/>
              <w:rPr>
                <w:b/>
                <w:color w:val="auto"/>
                <w:sz w:val="28"/>
                <w:szCs w:val="28"/>
                <w:lang w:val="en-US"/>
              </w:rPr>
            </w:pPr>
          </w:p>
        </w:tc>
        <w:tc>
          <w:tcPr>
            <w:tcW w:w="307" w:type="pct"/>
          </w:tcPr>
          <w:p w14:paraId="7498D88D" w14:textId="77777777" w:rsidR="00161FB2" w:rsidRPr="0025241A" w:rsidRDefault="00161FB2" w:rsidP="00924BFC">
            <w:pPr>
              <w:spacing w:line="240" w:lineRule="atLeast"/>
              <w:jc w:val="center"/>
              <w:rPr>
                <w:b/>
                <w:color w:val="auto"/>
                <w:sz w:val="28"/>
                <w:szCs w:val="28"/>
                <w:lang w:val="en-US"/>
              </w:rPr>
            </w:pPr>
          </w:p>
        </w:tc>
        <w:tc>
          <w:tcPr>
            <w:tcW w:w="306" w:type="pct"/>
          </w:tcPr>
          <w:p w14:paraId="26B897EE" w14:textId="77777777" w:rsidR="00161FB2" w:rsidRPr="0025241A" w:rsidRDefault="00161FB2" w:rsidP="00924BFC">
            <w:pPr>
              <w:spacing w:line="240" w:lineRule="atLeast"/>
              <w:jc w:val="center"/>
              <w:rPr>
                <w:color w:val="auto"/>
                <w:sz w:val="28"/>
                <w:szCs w:val="28"/>
                <w:lang w:val="en-US"/>
              </w:rPr>
            </w:pPr>
          </w:p>
        </w:tc>
        <w:tc>
          <w:tcPr>
            <w:tcW w:w="304" w:type="pct"/>
          </w:tcPr>
          <w:p w14:paraId="12A93EEF" w14:textId="77777777" w:rsidR="00161FB2" w:rsidRPr="0025241A" w:rsidRDefault="00161FB2" w:rsidP="00924BFC">
            <w:pPr>
              <w:spacing w:line="240" w:lineRule="atLeast"/>
              <w:jc w:val="center"/>
              <w:rPr>
                <w:b/>
                <w:color w:val="auto"/>
                <w:sz w:val="28"/>
                <w:szCs w:val="28"/>
                <w:lang w:val="en-US"/>
              </w:rPr>
            </w:pPr>
          </w:p>
        </w:tc>
        <w:tc>
          <w:tcPr>
            <w:tcW w:w="285" w:type="pct"/>
          </w:tcPr>
          <w:p w14:paraId="01E01684" w14:textId="77777777" w:rsidR="00161FB2" w:rsidRPr="0025241A" w:rsidRDefault="00161FB2" w:rsidP="00924BFC">
            <w:pPr>
              <w:spacing w:line="240" w:lineRule="atLeast"/>
              <w:jc w:val="center"/>
              <w:rPr>
                <w:color w:val="auto"/>
                <w:sz w:val="28"/>
                <w:szCs w:val="28"/>
                <w:lang w:val="en-US"/>
              </w:rPr>
            </w:pPr>
          </w:p>
        </w:tc>
        <w:tc>
          <w:tcPr>
            <w:tcW w:w="1017" w:type="pct"/>
          </w:tcPr>
          <w:p w14:paraId="0CCC8891" w14:textId="77777777" w:rsidR="00161FB2" w:rsidRPr="0025241A" w:rsidRDefault="00161FB2" w:rsidP="00924BFC">
            <w:pPr>
              <w:spacing w:line="240" w:lineRule="atLeast"/>
              <w:jc w:val="center"/>
              <w:rPr>
                <w:color w:val="auto"/>
                <w:sz w:val="28"/>
                <w:szCs w:val="28"/>
                <w:lang w:val="en-US"/>
              </w:rPr>
            </w:pPr>
          </w:p>
        </w:tc>
      </w:tr>
    </w:tbl>
    <w:p w14:paraId="1AA7BF27" w14:textId="77777777" w:rsidR="00161FB2" w:rsidRPr="0025241A" w:rsidRDefault="00161FB2" w:rsidP="00924BFC">
      <w:pPr>
        <w:spacing w:line="240" w:lineRule="atLeast"/>
        <w:ind w:firstLine="360"/>
        <w:jc w:val="both"/>
        <w:rPr>
          <w:color w:val="FF0000"/>
          <w:sz w:val="28"/>
          <w:szCs w:val="28"/>
          <w:lang w:val="en-GB"/>
        </w:rPr>
      </w:pPr>
    </w:p>
    <w:p w14:paraId="305CF008" w14:textId="77777777" w:rsidR="00BE42A0" w:rsidRDefault="00BE42A0" w:rsidP="006F749C">
      <w:pPr>
        <w:numPr>
          <w:ilvl w:val="0"/>
          <w:numId w:val="146"/>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924BFC">
        <w:rPr>
          <w:rFonts w:eastAsia="Arial Unicode MS" w:cs="Arial Unicode MS"/>
          <w:sz w:val="28"/>
          <w:szCs w:val="28"/>
          <w:u w:color="000000"/>
          <w:bdr w:val="nil"/>
          <w:lang w:val="en-US"/>
        </w:rPr>
        <w:t xml:space="preserve">Using </w:t>
      </w:r>
      <w:r w:rsidR="00924BFC">
        <w:rPr>
          <w:rFonts w:eastAsia="Arial Unicode MS" w:cs="Arial Unicode MS"/>
          <w:sz w:val="28"/>
          <w:szCs w:val="28"/>
          <w:u w:color="000000"/>
          <w:bdr w:val="nil"/>
          <w:lang w:val="en-US"/>
        </w:rPr>
        <w:t xml:space="preserve">the </w:t>
      </w:r>
      <w:r w:rsidRPr="00924BFC">
        <w:rPr>
          <w:rFonts w:eastAsia="Arial Unicode MS" w:cs="Arial Unicode MS"/>
          <w:sz w:val="28"/>
          <w:szCs w:val="28"/>
          <w:u w:color="000000"/>
          <w:bdr w:val="nil"/>
          <w:lang w:val="en-US"/>
        </w:rPr>
        <w:t>data</w:t>
      </w:r>
      <w:r w:rsidR="00924BFC">
        <w:rPr>
          <w:rFonts w:eastAsia="Arial Unicode MS" w:cs="Arial Unicode MS"/>
          <w:sz w:val="28"/>
          <w:szCs w:val="28"/>
          <w:u w:color="000000"/>
          <w:bdr w:val="nil"/>
          <w:lang w:val="en-US"/>
        </w:rPr>
        <w:t xml:space="preserve"> shown</w:t>
      </w:r>
      <w:r w:rsidRPr="00924BFC">
        <w:rPr>
          <w:rFonts w:eastAsia="Arial Unicode MS" w:cs="Arial Unicode MS"/>
          <w:sz w:val="28"/>
          <w:szCs w:val="28"/>
          <w:u w:color="000000"/>
          <w:bdr w:val="nil"/>
          <w:lang w:val="en-US"/>
        </w:rPr>
        <w:t xml:space="preserve"> </w:t>
      </w:r>
      <w:r w:rsidR="00924BFC">
        <w:rPr>
          <w:rFonts w:eastAsia="Arial Unicode MS" w:cs="Arial Unicode MS"/>
          <w:sz w:val="28"/>
          <w:szCs w:val="28"/>
          <w:u w:color="000000"/>
          <w:bdr w:val="nil"/>
          <w:lang w:val="en-US"/>
        </w:rPr>
        <w:t>below</w:t>
      </w:r>
      <w:r w:rsidRPr="00924BFC">
        <w:rPr>
          <w:rFonts w:eastAsia="Arial Unicode MS" w:cs="Arial Unicode MS"/>
          <w:sz w:val="28"/>
          <w:szCs w:val="28"/>
          <w:u w:color="000000"/>
          <w:bdr w:val="nil"/>
          <w:lang w:val="en-US"/>
        </w:rPr>
        <w:t>, determine a number of budget expenses and the amount of budget financing.</w:t>
      </w:r>
    </w:p>
    <w:p w14:paraId="78712F38" w14:textId="77777777" w:rsidR="00924BFC" w:rsidRPr="00924BFC" w:rsidRDefault="00924BFC" w:rsidP="00924BFC">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tbl>
      <w:tblPr>
        <w:tblStyle w:val="Table4"/>
        <w:tblW w:w="6805" w:type="dxa"/>
        <w:tblInd w:w="3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29"/>
        <w:gridCol w:w="1276"/>
      </w:tblGrid>
      <w:tr w:rsidR="003C51B1" w:rsidRPr="00924BFC" w14:paraId="19F886AB" w14:textId="77777777" w:rsidTr="00924BFC">
        <w:tc>
          <w:tcPr>
            <w:tcW w:w="5529" w:type="dxa"/>
            <w:shd w:val="clear" w:color="auto" w:fill="D9D9D9" w:themeFill="background1" w:themeFillShade="D9"/>
            <w:tcMar>
              <w:top w:w="0" w:type="dxa"/>
              <w:left w:w="100" w:type="dxa"/>
              <w:bottom w:w="28" w:type="dxa"/>
              <w:right w:w="100" w:type="dxa"/>
            </w:tcMar>
          </w:tcPr>
          <w:p w14:paraId="292D6467" w14:textId="77777777" w:rsidR="003C51B1" w:rsidRPr="00924BFC" w:rsidRDefault="003C51B1" w:rsidP="00924BFC">
            <w:pPr>
              <w:widowControl w:val="0"/>
              <w:spacing w:line="240" w:lineRule="atLeast"/>
              <w:rPr>
                <w:rFonts w:ascii="Garamond" w:hAnsi="Garamond"/>
                <w:sz w:val="28"/>
                <w:szCs w:val="28"/>
                <w:lang w:val="en-US"/>
              </w:rPr>
            </w:pPr>
          </w:p>
        </w:tc>
        <w:tc>
          <w:tcPr>
            <w:tcW w:w="1276" w:type="dxa"/>
            <w:shd w:val="clear" w:color="auto" w:fill="D9D9D9" w:themeFill="background1" w:themeFillShade="D9"/>
            <w:tcMar>
              <w:top w:w="0" w:type="dxa"/>
              <w:left w:w="100" w:type="dxa"/>
              <w:bottom w:w="28" w:type="dxa"/>
              <w:right w:w="100" w:type="dxa"/>
            </w:tcMar>
          </w:tcPr>
          <w:p w14:paraId="4D71989C" w14:textId="77777777" w:rsidR="003C51B1" w:rsidRPr="00924BFC" w:rsidRDefault="000504EE" w:rsidP="000504EE">
            <w:pPr>
              <w:widowControl w:val="0"/>
              <w:spacing w:line="240" w:lineRule="atLeast"/>
              <w:jc w:val="center"/>
              <w:rPr>
                <w:rFonts w:ascii="Garamond" w:hAnsi="Garamond"/>
                <w:sz w:val="28"/>
                <w:szCs w:val="28"/>
                <w:lang w:val="en-US"/>
              </w:rPr>
            </w:pPr>
            <w:r>
              <w:rPr>
                <w:rFonts w:ascii="Garamond" w:hAnsi="Garamond" w:cs="Times New Roman"/>
                <w:sz w:val="28"/>
                <w:szCs w:val="28"/>
                <w:lang w:val="en-US"/>
              </w:rPr>
              <w:t>M</w:t>
            </w:r>
            <w:r w:rsidR="003C51B1" w:rsidRPr="00924BFC">
              <w:rPr>
                <w:rFonts w:ascii="Garamond" w:hAnsi="Garamond" w:cs="Times New Roman"/>
                <w:sz w:val="28"/>
                <w:szCs w:val="28"/>
                <w:lang w:val="en-US"/>
              </w:rPr>
              <w:t>illion hryv</w:t>
            </w:r>
            <w:r w:rsidRPr="00924BFC">
              <w:rPr>
                <w:rFonts w:ascii="Garamond" w:hAnsi="Garamond" w:cs="Times New Roman"/>
                <w:sz w:val="28"/>
                <w:szCs w:val="28"/>
                <w:lang w:val="en-US"/>
              </w:rPr>
              <w:t>n</w:t>
            </w:r>
            <w:r w:rsidR="003C51B1" w:rsidRPr="00924BFC">
              <w:rPr>
                <w:rFonts w:ascii="Garamond" w:hAnsi="Garamond" w:cs="Times New Roman"/>
                <w:sz w:val="28"/>
                <w:szCs w:val="28"/>
                <w:lang w:val="en-US"/>
              </w:rPr>
              <w:t>ias</w:t>
            </w:r>
          </w:p>
        </w:tc>
      </w:tr>
      <w:tr w:rsidR="003C51B1" w:rsidRPr="00924BFC" w14:paraId="6EA716B3" w14:textId="77777777" w:rsidTr="00924BFC">
        <w:tc>
          <w:tcPr>
            <w:tcW w:w="5529" w:type="dxa"/>
            <w:tcMar>
              <w:top w:w="0" w:type="dxa"/>
              <w:left w:w="100" w:type="dxa"/>
              <w:bottom w:w="28" w:type="dxa"/>
              <w:right w:w="100" w:type="dxa"/>
            </w:tcMar>
          </w:tcPr>
          <w:p w14:paraId="6E531A78"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Issuing loans from the budget</w:t>
            </w:r>
          </w:p>
        </w:tc>
        <w:tc>
          <w:tcPr>
            <w:tcW w:w="1276" w:type="dxa"/>
            <w:tcMar>
              <w:top w:w="0" w:type="dxa"/>
              <w:left w:w="100" w:type="dxa"/>
              <w:bottom w:w="28" w:type="dxa"/>
              <w:right w:w="100" w:type="dxa"/>
            </w:tcMar>
          </w:tcPr>
          <w:p w14:paraId="052B7152"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13.2</w:t>
            </w:r>
          </w:p>
        </w:tc>
      </w:tr>
      <w:tr w:rsidR="003C51B1" w:rsidRPr="00924BFC" w14:paraId="48FD9096" w14:textId="77777777" w:rsidTr="00924BFC">
        <w:tc>
          <w:tcPr>
            <w:tcW w:w="5529" w:type="dxa"/>
            <w:tcMar>
              <w:top w:w="0" w:type="dxa"/>
              <w:left w:w="100" w:type="dxa"/>
              <w:bottom w:w="28" w:type="dxa"/>
              <w:right w:w="100" w:type="dxa"/>
            </w:tcMar>
          </w:tcPr>
          <w:p w14:paraId="1B1ECEE9"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Repayment of loan to the budget</w:t>
            </w:r>
          </w:p>
        </w:tc>
        <w:tc>
          <w:tcPr>
            <w:tcW w:w="1276" w:type="dxa"/>
            <w:tcMar>
              <w:top w:w="0" w:type="dxa"/>
              <w:left w:w="100" w:type="dxa"/>
              <w:bottom w:w="28" w:type="dxa"/>
              <w:right w:w="100" w:type="dxa"/>
            </w:tcMar>
          </w:tcPr>
          <w:p w14:paraId="07F47A1E"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11.3</w:t>
            </w:r>
          </w:p>
        </w:tc>
      </w:tr>
      <w:tr w:rsidR="003C51B1" w:rsidRPr="00924BFC" w14:paraId="0742E288" w14:textId="77777777" w:rsidTr="00924BFC">
        <w:tc>
          <w:tcPr>
            <w:tcW w:w="5529" w:type="dxa"/>
            <w:tcMar>
              <w:top w:w="0" w:type="dxa"/>
              <w:left w:w="100" w:type="dxa"/>
              <w:bottom w:w="28" w:type="dxa"/>
              <w:right w:w="100" w:type="dxa"/>
            </w:tcMar>
          </w:tcPr>
          <w:p w14:paraId="42A0B378"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Internal borrowings</w:t>
            </w:r>
          </w:p>
        </w:tc>
        <w:tc>
          <w:tcPr>
            <w:tcW w:w="1276" w:type="dxa"/>
            <w:tcMar>
              <w:top w:w="0" w:type="dxa"/>
              <w:left w:w="100" w:type="dxa"/>
              <w:bottom w:w="28" w:type="dxa"/>
              <w:right w:w="100" w:type="dxa"/>
            </w:tcMar>
          </w:tcPr>
          <w:p w14:paraId="2A11C86E"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69.7</w:t>
            </w:r>
          </w:p>
        </w:tc>
      </w:tr>
      <w:tr w:rsidR="003C51B1" w:rsidRPr="00924BFC" w14:paraId="6C394ECB" w14:textId="77777777" w:rsidTr="00924BFC">
        <w:tc>
          <w:tcPr>
            <w:tcW w:w="5529" w:type="dxa"/>
            <w:tcMar>
              <w:top w:w="0" w:type="dxa"/>
              <w:left w:w="100" w:type="dxa"/>
              <w:bottom w:w="28" w:type="dxa"/>
              <w:right w:w="100" w:type="dxa"/>
            </w:tcMar>
          </w:tcPr>
          <w:p w14:paraId="2BF92238"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Repayment of domestic debt liabilities</w:t>
            </w:r>
          </w:p>
        </w:tc>
        <w:tc>
          <w:tcPr>
            <w:tcW w:w="1276" w:type="dxa"/>
            <w:tcMar>
              <w:top w:w="0" w:type="dxa"/>
              <w:left w:w="100" w:type="dxa"/>
              <w:bottom w:w="28" w:type="dxa"/>
              <w:right w:w="100" w:type="dxa"/>
            </w:tcMar>
          </w:tcPr>
          <w:p w14:paraId="0FA29BA2"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21.3</w:t>
            </w:r>
          </w:p>
        </w:tc>
      </w:tr>
      <w:tr w:rsidR="003C51B1" w:rsidRPr="00924BFC" w14:paraId="059708FE" w14:textId="77777777" w:rsidTr="00924BFC">
        <w:tc>
          <w:tcPr>
            <w:tcW w:w="5529" w:type="dxa"/>
            <w:tcMar>
              <w:top w:w="0" w:type="dxa"/>
              <w:left w:w="100" w:type="dxa"/>
              <w:bottom w:w="28" w:type="dxa"/>
              <w:right w:w="100" w:type="dxa"/>
            </w:tcMar>
          </w:tcPr>
          <w:p w14:paraId="6D90C3BF"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Repayment of external debt liabilities</w:t>
            </w:r>
          </w:p>
        </w:tc>
        <w:tc>
          <w:tcPr>
            <w:tcW w:w="1276" w:type="dxa"/>
            <w:tcMar>
              <w:top w:w="0" w:type="dxa"/>
              <w:left w:w="100" w:type="dxa"/>
              <w:bottom w:w="28" w:type="dxa"/>
              <w:right w:w="100" w:type="dxa"/>
            </w:tcMar>
          </w:tcPr>
          <w:p w14:paraId="65B255EB"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16.9</w:t>
            </w:r>
          </w:p>
        </w:tc>
      </w:tr>
      <w:tr w:rsidR="003C51B1" w:rsidRPr="00924BFC" w14:paraId="747B644B" w14:textId="77777777" w:rsidTr="00924BFC">
        <w:tc>
          <w:tcPr>
            <w:tcW w:w="5529" w:type="dxa"/>
            <w:tcMar>
              <w:top w:w="0" w:type="dxa"/>
              <w:left w:w="100" w:type="dxa"/>
              <w:bottom w:w="28" w:type="dxa"/>
              <w:right w:w="100" w:type="dxa"/>
            </w:tcMar>
          </w:tcPr>
          <w:p w14:paraId="0E40ABFA"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Depositing budget funds</w:t>
            </w:r>
          </w:p>
        </w:tc>
        <w:tc>
          <w:tcPr>
            <w:tcW w:w="1276" w:type="dxa"/>
            <w:tcMar>
              <w:top w:w="0" w:type="dxa"/>
              <w:left w:w="100" w:type="dxa"/>
              <w:bottom w:w="28" w:type="dxa"/>
              <w:right w:w="100" w:type="dxa"/>
            </w:tcMar>
          </w:tcPr>
          <w:p w14:paraId="62125608"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6.9</w:t>
            </w:r>
          </w:p>
        </w:tc>
      </w:tr>
      <w:tr w:rsidR="003C51B1" w:rsidRPr="00924BFC" w14:paraId="63119E58" w14:textId="77777777" w:rsidTr="00924BFC">
        <w:tc>
          <w:tcPr>
            <w:tcW w:w="5529" w:type="dxa"/>
            <w:tcMar>
              <w:top w:w="0" w:type="dxa"/>
              <w:left w:w="100" w:type="dxa"/>
              <w:bottom w:w="28" w:type="dxa"/>
              <w:right w:w="100" w:type="dxa"/>
            </w:tcMar>
          </w:tcPr>
          <w:p w14:paraId="3CC386F5"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Purchase of securities</w:t>
            </w:r>
          </w:p>
        </w:tc>
        <w:tc>
          <w:tcPr>
            <w:tcW w:w="1276" w:type="dxa"/>
            <w:tcMar>
              <w:top w:w="0" w:type="dxa"/>
              <w:left w:w="100" w:type="dxa"/>
              <w:bottom w:w="28" w:type="dxa"/>
              <w:right w:w="100" w:type="dxa"/>
            </w:tcMar>
          </w:tcPr>
          <w:p w14:paraId="341D4CA1"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4.2</w:t>
            </w:r>
          </w:p>
        </w:tc>
      </w:tr>
      <w:tr w:rsidR="003C51B1" w:rsidRPr="00924BFC" w14:paraId="3B1850F0" w14:textId="77777777" w:rsidTr="00924BFC">
        <w:tc>
          <w:tcPr>
            <w:tcW w:w="5529" w:type="dxa"/>
            <w:tcMar>
              <w:top w:w="0" w:type="dxa"/>
              <w:left w:w="100" w:type="dxa"/>
              <w:bottom w:w="28" w:type="dxa"/>
              <w:right w:w="100" w:type="dxa"/>
            </w:tcMar>
          </w:tcPr>
          <w:p w14:paraId="35F4785A"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Return of budget funds from deposits</w:t>
            </w:r>
          </w:p>
        </w:tc>
        <w:tc>
          <w:tcPr>
            <w:tcW w:w="1276" w:type="dxa"/>
            <w:tcMar>
              <w:top w:w="0" w:type="dxa"/>
              <w:left w:w="100" w:type="dxa"/>
              <w:bottom w:w="28" w:type="dxa"/>
              <w:right w:w="100" w:type="dxa"/>
            </w:tcMar>
          </w:tcPr>
          <w:p w14:paraId="7EB9DB20"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3.2</w:t>
            </w:r>
          </w:p>
        </w:tc>
      </w:tr>
      <w:tr w:rsidR="003C51B1" w:rsidRPr="00924BFC" w14:paraId="0C45B0DF" w14:textId="77777777" w:rsidTr="00924BFC">
        <w:tc>
          <w:tcPr>
            <w:tcW w:w="5529" w:type="dxa"/>
            <w:tcMar>
              <w:top w:w="0" w:type="dxa"/>
              <w:left w:w="100" w:type="dxa"/>
              <w:bottom w:w="28" w:type="dxa"/>
              <w:right w:w="100" w:type="dxa"/>
            </w:tcMar>
          </w:tcPr>
          <w:p w14:paraId="2EE5D9D6"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 xml:space="preserve">Revenue from the sale/redemption of securities </w:t>
            </w:r>
          </w:p>
        </w:tc>
        <w:tc>
          <w:tcPr>
            <w:tcW w:w="1276" w:type="dxa"/>
            <w:tcMar>
              <w:top w:w="0" w:type="dxa"/>
              <w:left w:w="100" w:type="dxa"/>
              <w:bottom w:w="28" w:type="dxa"/>
              <w:right w:w="100" w:type="dxa"/>
            </w:tcMar>
          </w:tcPr>
          <w:p w14:paraId="42E2A7A1"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3.9</w:t>
            </w:r>
          </w:p>
        </w:tc>
      </w:tr>
      <w:tr w:rsidR="003C51B1" w:rsidRPr="00924BFC" w14:paraId="2CD75578" w14:textId="77777777" w:rsidTr="00924BFC">
        <w:tc>
          <w:tcPr>
            <w:tcW w:w="5529" w:type="dxa"/>
            <w:tcMar>
              <w:top w:w="0" w:type="dxa"/>
              <w:left w:w="100" w:type="dxa"/>
              <w:bottom w:w="28" w:type="dxa"/>
              <w:right w:w="100" w:type="dxa"/>
            </w:tcMar>
          </w:tcPr>
          <w:p w14:paraId="689F0545"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 xml:space="preserve">Budget expenditures </w:t>
            </w:r>
          </w:p>
        </w:tc>
        <w:tc>
          <w:tcPr>
            <w:tcW w:w="1276" w:type="dxa"/>
            <w:tcMar>
              <w:top w:w="0" w:type="dxa"/>
              <w:left w:w="100" w:type="dxa"/>
              <w:bottom w:w="28" w:type="dxa"/>
              <w:right w:w="100" w:type="dxa"/>
            </w:tcMar>
          </w:tcPr>
          <w:p w14:paraId="379A12FD"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360.9</w:t>
            </w:r>
          </w:p>
        </w:tc>
      </w:tr>
    </w:tbl>
    <w:p w14:paraId="5BF6A31A" w14:textId="77777777" w:rsidR="00BE42A0" w:rsidRPr="0025241A" w:rsidRDefault="00BE42A0" w:rsidP="00924BFC">
      <w:pPr>
        <w:spacing w:line="240" w:lineRule="atLeast"/>
        <w:ind w:firstLine="360"/>
        <w:jc w:val="both"/>
        <w:rPr>
          <w:sz w:val="28"/>
          <w:szCs w:val="28"/>
          <w:lang w:val="en-GB"/>
        </w:rPr>
      </w:pPr>
    </w:p>
    <w:p w14:paraId="1FDBF35D" w14:textId="77777777" w:rsidR="00924BFC" w:rsidRPr="00924BFC" w:rsidRDefault="00924BFC" w:rsidP="006F749C">
      <w:pPr>
        <w:numPr>
          <w:ilvl w:val="0"/>
          <w:numId w:val="146"/>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924BFC">
        <w:rPr>
          <w:rFonts w:eastAsia="Arial Unicode MS" w:cs="Arial Unicode MS"/>
          <w:sz w:val="28"/>
          <w:szCs w:val="28"/>
          <w:u w:color="000000"/>
          <w:bdr w:val="nil"/>
          <w:lang w:val="en-US"/>
        </w:rPr>
        <w:t xml:space="preserve">Based on </w:t>
      </w:r>
      <w:r>
        <w:rPr>
          <w:rFonts w:eastAsia="Arial Unicode MS" w:cs="Arial Unicode MS"/>
          <w:sz w:val="28"/>
          <w:szCs w:val="28"/>
          <w:u w:color="000000"/>
          <w:bdr w:val="nil"/>
          <w:lang w:val="en-US"/>
        </w:rPr>
        <w:t xml:space="preserve">the </w:t>
      </w:r>
      <w:r w:rsidR="000504EE">
        <w:rPr>
          <w:rFonts w:eastAsia="Arial Unicode MS" w:cs="Arial Unicode MS"/>
          <w:sz w:val="28"/>
          <w:szCs w:val="28"/>
          <w:u w:color="000000"/>
          <w:bdr w:val="nil"/>
          <w:lang w:val="en-US"/>
        </w:rPr>
        <w:t>data presented below, calculate</w:t>
      </w:r>
    </w:p>
    <w:p w14:paraId="5414053C" w14:textId="77777777" w:rsidR="00924BFC" w:rsidRPr="0025241A" w:rsidRDefault="00924BFC" w:rsidP="00924BFC">
      <w:pPr>
        <w:spacing w:line="240" w:lineRule="atLeast"/>
        <w:ind w:firstLine="360"/>
        <w:jc w:val="both"/>
        <w:rPr>
          <w:sz w:val="28"/>
          <w:szCs w:val="28"/>
          <w:lang w:val="en-GB"/>
        </w:rPr>
      </w:pPr>
      <w:r w:rsidRPr="0025241A">
        <w:rPr>
          <w:sz w:val="28"/>
          <w:szCs w:val="28"/>
          <w:lang w:val="en-GB"/>
        </w:rPr>
        <w:t>a) the amount of annual budget revenues;</w:t>
      </w:r>
    </w:p>
    <w:p w14:paraId="1F19AF75" w14:textId="77777777" w:rsidR="00924BFC" w:rsidRPr="0025241A" w:rsidRDefault="00924BFC" w:rsidP="00924BFC">
      <w:pPr>
        <w:spacing w:line="240" w:lineRule="atLeast"/>
        <w:ind w:firstLine="360"/>
        <w:jc w:val="both"/>
        <w:rPr>
          <w:sz w:val="28"/>
          <w:szCs w:val="28"/>
          <w:lang w:val="en-GB"/>
        </w:rPr>
      </w:pPr>
      <w:r w:rsidRPr="0025241A">
        <w:rPr>
          <w:sz w:val="28"/>
          <w:szCs w:val="28"/>
          <w:lang w:val="en-GB"/>
        </w:rPr>
        <w:t>b) the amount of annual budget expenditures;</w:t>
      </w:r>
    </w:p>
    <w:p w14:paraId="376CDB1E" w14:textId="77777777" w:rsidR="00924BFC" w:rsidRPr="0025241A" w:rsidRDefault="00924BFC" w:rsidP="00924BFC">
      <w:pPr>
        <w:spacing w:line="240" w:lineRule="atLeast"/>
        <w:ind w:firstLine="360"/>
        <w:jc w:val="both"/>
        <w:rPr>
          <w:sz w:val="28"/>
          <w:szCs w:val="28"/>
          <w:lang w:val="en-GB"/>
        </w:rPr>
      </w:pPr>
      <w:r w:rsidRPr="0025241A">
        <w:rPr>
          <w:sz w:val="28"/>
          <w:szCs w:val="28"/>
          <w:lang w:val="en-GB"/>
        </w:rPr>
        <w:t xml:space="preserve">c) level of budget centralization; </w:t>
      </w:r>
    </w:p>
    <w:p w14:paraId="661EEFE7" w14:textId="77777777" w:rsidR="00924BFC" w:rsidRDefault="00924BFC" w:rsidP="00924BFC">
      <w:pPr>
        <w:spacing w:line="240" w:lineRule="atLeast"/>
        <w:ind w:firstLine="360"/>
        <w:jc w:val="both"/>
        <w:rPr>
          <w:sz w:val="28"/>
          <w:szCs w:val="28"/>
          <w:lang w:val="en-GB"/>
        </w:rPr>
      </w:pPr>
      <w:r w:rsidRPr="0025241A">
        <w:rPr>
          <w:sz w:val="28"/>
          <w:szCs w:val="28"/>
          <w:lang w:val="en-GB"/>
        </w:rPr>
        <w:t>d) other budget deficit ratios that can be calculated.</w:t>
      </w:r>
    </w:p>
    <w:p w14:paraId="4BE6613C" w14:textId="77777777" w:rsidR="00B17A60" w:rsidRDefault="00B17A60" w:rsidP="00924BFC">
      <w:pPr>
        <w:spacing w:line="240" w:lineRule="atLeast"/>
        <w:ind w:firstLine="360"/>
        <w:jc w:val="both"/>
        <w:rPr>
          <w:sz w:val="28"/>
          <w:szCs w:val="28"/>
          <w:lang w:val="en-GB"/>
        </w:rPr>
      </w:pPr>
    </w:p>
    <w:tbl>
      <w:tblPr>
        <w:tblStyle w:val="Table7"/>
        <w:tblW w:w="8080" w:type="dxa"/>
        <w:tblInd w:w="3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46"/>
        <w:gridCol w:w="1134"/>
      </w:tblGrid>
      <w:tr w:rsidR="00924BFC" w:rsidRPr="00924BFC" w14:paraId="4F683E38" w14:textId="77777777" w:rsidTr="004A1B27">
        <w:tc>
          <w:tcPr>
            <w:tcW w:w="6946" w:type="dxa"/>
            <w:shd w:val="clear" w:color="auto" w:fill="D9D9D9" w:themeFill="background1" w:themeFillShade="D9"/>
            <w:tcMar>
              <w:top w:w="0" w:type="dxa"/>
              <w:left w:w="100" w:type="dxa"/>
              <w:bottom w:w="0" w:type="dxa"/>
              <w:right w:w="100" w:type="dxa"/>
            </w:tcMar>
          </w:tcPr>
          <w:p w14:paraId="602D1F59" w14:textId="77777777" w:rsidR="00924BFC" w:rsidRPr="00924BFC" w:rsidRDefault="00924BFC" w:rsidP="004A1B27">
            <w:pPr>
              <w:widowControl w:val="0"/>
              <w:spacing w:line="240" w:lineRule="atLeast"/>
              <w:rPr>
                <w:rFonts w:ascii="Garamond" w:hAnsi="Garamond"/>
                <w:sz w:val="28"/>
                <w:szCs w:val="28"/>
                <w:lang w:val="en-US"/>
              </w:rPr>
            </w:pPr>
          </w:p>
        </w:tc>
        <w:tc>
          <w:tcPr>
            <w:tcW w:w="1134" w:type="dxa"/>
            <w:shd w:val="clear" w:color="auto" w:fill="D9D9D9" w:themeFill="background1" w:themeFillShade="D9"/>
            <w:tcMar>
              <w:top w:w="0" w:type="dxa"/>
              <w:left w:w="100" w:type="dxa"/>
              <w:bottom w:w="0" w:type="dxa"/>
              <w:right w:w="100" w:type="dxa"/>
            </w:tcMar>
          </w:tcPr>
          <w:p w14:paraId="3E189065" w14:textId="77777777" w:rsidR="00924BFC" w:rsidRPr="00924BFC" w:rsidRDefault="00924BFC" w:rsidP="004A1B27">
            <w:pPr>
              <w:widowControl w:val="0"/>
              <w:spacing w:line="240" w:lineRule="atLeast"/>
              <w:jc w:val="center"/>
              <w:rPr>
                <w:rFonts w:ascii="Garamond" w:hAnsi="Garamond"/>
                <w:sz w:val="28"/>
                <w:szCs w:val="28"/>
                <w:lang w:val="en-US"/>
              </w:rPr>
            </w:pPr>
            <w:r>
              <w:rPr>
                <w:rFonts w:ascii="Garamond" w:hAnsi="Garamond"/>
                <w:sz w:val="28"/>
                <w:szCs w:val="28"/>
                <w:lang w:val="en-US"/>
              </w:rPr>
              <w:t>2014</w:t>
            </w:r>
          </w:p>
        </w:tc>
      </w:tr>
      <w:tr w:rsidR="00924BFC" w:rsidRPr="00924BFC" w14:paraId="5D292387" w14:textId="77777777" w:rsidTr="004A1B27">
        <w:tc>
          <w:tcPr>
            <w:tcW w:w="6946" w:type="dxa"/>
            <w:tcMar>
              <w:top w:w="0" w:type="dxa"/>
              <w:left w:w="100" w:type="dxa"/>
              <w:bottom w:w="0" w:type="dxa"/>
              <w:right w:w="100" w:type="dxa"/>
            </w:tcMar>
          </w:tcPr>
          <w:p w14:paraId="6D27C7C7" w14:textId="77777777" w:rsidR="00924BFC" w:rsidRPr="00924BFC" w:rsidRDefault="000504EE" w:rsidP="00A31DAC">
            <w:pPr>
              <w:widowControl w:val="0"/>
              <w:spacing w:line="240" w:lineRule="atLeast"/>
              <w:rPr>
                <w:rFonts w:ascii="Garamond" w:hAnsi="Garamond"/>
                <w:sz w:val="28"/>
                <w:szCs w:val="28"/>
                <w:lang w:val="en-US"/>
              </w:rPr>
            </w:pPr>
            <w:r>
              <w:rPr>
                <w:rFonts w:ascii="Garamond" w:hAnsi="Garamond" w:cs="Times New Roman"/>
                <w:sz w:val="28"/>
                <w:szCs w:val="28"/>
                <w:lang w:val="en-US"/>
              </w:rPr>
              <w:t>Gross domestic product, m</w:t>
            </w:r>
            <w:r w:rsidR="00A31DAC">
              <w:rPr>
                <w:rFonts w:ascii="Garamond" w:hAnsi="Garamond" w:cs="Times New Roman"/>
                <w:sz w:val="28"/>
                <w:szCs w:val="28"/>
                <w:lang w:val="en-US"/>
              </w:rPr>
              <w:t>illion</w:t>
            </w:r>
            <w:r w:rsidR="00924BFC" w:rsidRPr="00924BFC">
              <w:rPr>
                <w:rFonts w:ascii="Garamond" w:hAnsi="Garamond" w:cs="Times New Roman"/>
                <w:sz w:val="28"/>
                <w:szCs w:val="28"/>
                <w:lang w:val="en-US"/>
              </w:rPr>
              <w:t xml:space="preserve"> </w:t>
            </w:r>
            <w:r>
              <w:rPr>
                <w:rFonts w:ascii="Garamond" w:hAnsi="Garamond" w:cs="Times New Roman"/>
                <w:sz w:val="28"/>
                <w:szCs w:val="28"/>
                <w:lang w:val="en-US"/>
              </w:rPr>
              <w:t>h</w:t>
            </w:r>
            <w:r w:rsidR="00924BFC" w:rsidRPr="00924BFC">
              <w:rPr>
                <w:rFonts w:ascii="Garamond" w:hAnsi="Garamond" w:cs="Times New Roman"/>
                <w:sz w:val="28"/>
                <w:szCs w:val="28"/>
                <w:lang w:val="en-US"/>
              </w:rPr>
              <w:t>ryvn</w:t>
            </w:r>
            <w:r>
              <w:rPr>
                <w:rFonts w:ascii="Garamond" w:hAnsi="Garamond" w:cs="Times New Roman"/>
                <w:sz w:val="28"/>
                <w:szCs w:val="28"/>
                <w:lang w:val="en-US"/>
              </w:rPr>
              <w:t>i</w:t>
            </w:r>
            <w:r w:rsidR="00924BFC" w:rsidRPr="00924BFC">
              <w:rPr>
                <w:rFonts w:ascii="Garamond" w:hAnsi="Garamond" w:cs="Times New Roman"/>
                <w:sz w:val="28"/>
                <w:szCs w:val="28"/>
                <w:lang w:val="en-US"/>
              </w:rPr>
              <w:t>as</w:t>
            </w:r>
          </w:p>
        </w:tc>
        <w:tc>
          <w:tcPr>
            <w:tcW w:w="1134" w:type="dxa"/>
            <w:tcMar>
              <w:top w:w="0" w:type="dxa"/>
              <w:left w:w="100" w:type="dxa"/>
              <w:bottom w:w="0" w:type="dxa"/>
              <w:right w:w="100" w:type="dxa"/>
            </w:tcMar>
          </w:tcPr>
          <w:p w14:paraId="2A280A8A" w14:textId="77777777" w:rsidR="00924BFC" w:rsidRPr="00924BFC" w:rsidRDefault="00924BFC" w:rsidP="004A1B27">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900,0</w:t>
            </w:r>
          </w:p>
        </w:tc>
      </w:tr>
      <w:tr w:rsidR="00924BFC" w:rsidRPr="00924BFC" w14:paraId="795DA406" w14:textId="77777777" w:rsidTr="004A1B27">
        <w:tc>
          <w:tcPr>
            <w:tcW w:w="6946" w:type="dxa"/>
            <w:tcMar>
              <w:top w:w="0" w:type="dxa"/>
              <w:left w:w="100" w:type="dxa"/>
              <w:bottom w:w="0" w:type="dxa"/>
              <w:right w:w="100" w:type="dxa"/>
            </w:tcMar>
          </w:tcPr>
          <w:p w14:paraId="0E44D241" w14:textId="77777777" w:rsidR="00924BFC" w:rsidRPr="00924BFC" w:rsidRDefault="00924BFC" w:rsidP="004A1B27">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Relative ratio of budget deficit, calculated by revenues, %</w:t>
            </w:r>
          </w:p>
        </w:tc>
        <w:tc>
          <w:tcPr>
            <w:tcW w:w="1134" w:type="dxa"/>
            <w:tcMar>
              <w:top w:w="0" w:type="dxa"/>
              <w:left w:w="100" w:type="dxa"/>
              <w:bottom w:w="0" w:type="dxa"/>
              <w:right w:w="100" w:type="dxa"/>
            </w:tcMar>
          </w:tcPr>
          <w:p w14:paraId="0142C3C9" w14:textId="77777777" w:rsidR="00924BFC" w:rsidRPr="00924BFC" w:rsidRDefault="00924BFC" w:rsidP="004A1B27">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1,00</w:t>
            </w:r>
          </w:p>
        </w:tc>
      </w:tr>
      <w:tr w:rsidR="00924BFC" w:rsidRPr="00924BFC" w14:paraId="1A0EB07F" w14:textId="77777777" w:rsidTr="004A1B27">
        <w:tc>
          <w:tcPr>
            <w:tcW w:w="6946" w:type="dxa"/>
            <w:tcMar>
              <w:top w:w="0" w:type="dxa"/>
              <w:left w:w="100" w:type="dxa"/>
              <w:bottom w:w="0" w:type="dxa"/>
              <w:right w:w="100" w:type="dxa"/>
            </w:tcMar>
          </w:tcPr>
          <w:p w14:paraId="186A6841" w14:textId="77777777" w:rsidR="00924BFC" w:rsidRPr="00924BFC" w:rsidRDefault="00924BFC" w:rsidP="00A31DA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The deficit of national budget, m</w:t>
            </w:r>
            <w:r w:rsidR="00A31DAC">
              <w:rPr>
                <w:rFonts w:ascii="Garamond" w:hAnsi="Garamond" w:cs="Times New Roman"/>
                <w:sz w:val="28"/>
                <w:szCs w:val="28"/>
                <w:lang w:val="en-US"/>
              </w:rPr>
              <w:t>illion</w:t>
            </w:r>
            <w:r w:rsidR="000504EE">
              <w:rPr>
                <w:rFonts w:ascii="Garamond" w:hAnsi="Garamond" w:cs="Times New Roman"/>
                <w:sz w:val="28"/>
                <w:szCs w:val="28"/>
                <w:lang w:val="en-US"/>
              </w:rPr>
              <w:t xml:space="preserve"> h</w:t>
            </w:r>
            <w:r w:rsidRPr="00924BFC">
              <w:rPr>
                <w:rFonts w:ascii="Garamond" w:hAnsi="Garamond" w:cs="Times New Roman"/>
                <w:sz w:val="28"/>
                <w:szCs w:val="28"/>
                <w:lang w:val="en-US"/>
              </w:rPr>
              <w:t>ryvn</w:t>
            </w:r>
            <w:r w:rsidR="000504EE">
              <w:rPr>
                <w:rFonts w:ascii="Garamond" w:hAnsi="Garamond" w:cs="Times New Roman"/>
                <w:sz w:val="28"/>
                <w:szCs w:val="28"/>
                <w:lang w:val="en-US"/>
              </w:rPr>
              <w:t>i</w:t>
            </w:r>
            <w:r w:rsidRPr="00924BFC">
              <w:rPr>
                <w:rFonts w:ascii="Garamond" w:hAnsi="Garamond" w:cs="Times New Roman"/>
                <w:sz w:val="28"/>
                <w:szCs w:val="28"/>
                <w:lang w:val="en-US"/>
              </w:rPr>
              <w:t>as</w:t>
            </w:r>
          </w:p>
        </w:tc>
        <w:tc>
          <w:tcPr>
            <w:tcW w:w="1134" w:type="dxa"/>
            <w:tcMar>
              <w:top w:w="0" w:type="dxa"/>
              <w:left w:w="100" w:type="dxa"/>
              <w:bottom w:w="0" w:type="dxa"/>
              <w:right w:w="100" w:type="dxa"/>
            </w:tcMar>
          </w:tcPr>
          <w:p w14:paraId="452E3E09" w14:textId="77777777" w:rsidR="00924BFC" w:rsidRPr="00924BFC" w:rsidRDefault="00924BFC" w:rsidP="004A1B27">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90,0</w:t>
            </w:r>
          </w:p>
        </w:tc>
      </w:tr>
    </w:tbl>
    <w:p w14:paraId="4095A7B7" w14:textId="77777777" w:rsidR="00BE42A0" w:rsidRPr="00924BFC" w:rsidRDefault="00BE42A0" w:rsidP="006F749C">
      <w:pPr>
        <w:numPr>
          <w:ilvl w:val="0"/>
          <w:numId w:val="146"/>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924BFC">
        <w:rPr>
          <w:rFonts w:eastAsia="Arial Unicode MS" w:cs="Arial Unicode MS"/>
          <w:sz w:val="28"/>
          <w:szCs w:val="28"/>
          <w:u w:color="000000"/>
          <w:bdr w:val="nil"/>
          <w:lang w:val="en-US"/>
        </w:rPr>
        <w:t xml:space="preserve">Using </w:t>
      </w:r>
      <w:r w:rsidR="00924BFC">
        <w:rPr>
          <w:rFonts w:eastAsia="Arial Unicode MS" w:cs="Arial Unicode MS"/>
          <w:sz w:val="28"/>
          <w:szCs w:val="28"/>
          <w:u w:color="000000"/>
          <w:bdr w:val="nil"/>
          <w:lang w:val="en-US"/>
        </w:rPr>
        <w:t xml:space="preserve">the </w:t>
      </w:r>
      <w:r w:rsidRPr="00924BFC">
        <w:rPr>
          <w:rFonts w:eastAsia="Arial Unicode MS" w:cs="Arial Unicode MS"/>
          <w:sz w:val="28"/>
          <w:szCs w:val="28"/>
          <w:u w:color="000000"/>
          <w:bdr w:val="nil"/>
          <w:lang w:val="en-US"/>
        </w:rPr>
        <w:t xml:space="preserve">data </w:t>
      </w:r>
      <w:r w:rsidR="00924BFC">
        <w:rPr>
          <w:rFonts w:eastAsia="Arial Unicode MS" w:cs="Arial Unicode MS"/>
          <w:sz w:val="28"/>
          <w:szCs w:val="28"/>
          <w:u w:color="000000"/>
          <w:bdr w:val="nil"/>
          <w:lang w:val="en-US"/>
        </w:rPr>
        <w:t>shown below</w:t>
      </w:r>
      <w:r w:rsidRPr="00924BFC">
        <w:rPr>
          <w:rFonts w:eastAsia="Arial Unicode MS" w:cs="Arial Unicode MS"/>
          <w:sz w:val="28"/>
          <w:szCs w:val="28"/>
          <w:u w:color="000000"/>
          <w:bdr w:val="nil"/>
          <w:lang w:val="en-US"/>
        </w:rPr>
        <w:t xml:space="preserve">, determine </w:t>
      </w:r>
      <w:r w:rsidR="000504EE">
        <w:rPr>
          <w:rFonts w:eastAsia="Arial Unicode MS" w:cs="Arial Unicode MS"/>
          <w:sz w:val="28"/>
          <w:szCs w:val="28"/>
          <w:u w:color="000000"/>
          <w:bdr w:val="nil"/>
          <w:lang w:val="en-US"/>
        </w:rPr>
        <w:t>the</w:t>
      </w:r>
      <w:r w:rsidRPr="00924BFC">
        <w:rPr>
          <w:rFonts w:eastAsia="Arial Unicode MS" w:cs="Arial Unicode MS"/>
          <w:sz w:val="28"/>
          <w:szCs w:val="28"/>
          <w:u w:color="000000"/>
          <w:bdr w:val="nil"/>
          <w:lang w:val="en-US"/>
        </w:rPr>
        <w:t xml:space="preserve"> number of budget receipts and the amount of budget financing.</w:t>
      </w:r>
    </w:p>
    <w:p w14:paraId="484FFE6F" w14:textId="77777777" w:rsidR="00BE42A0" w:rsidRPr="0025241A" w:rsidRDefault="00BE42A0" w:rsidP="00924BFC">
      <w:pPr>
        <w:spacing w:line="240" w:lineRule="atLeast"/>
        <w:ind w:firstLine="360"/>
        <w:jc w:val="both"/>
        <w:rPr>
          <w:sz w:val="28"/>
          <w:szCs w:val="28"/>
          <w:lang w:val="en-GB"/>
        </w:rPr>
      </w:pPr>
    </w:p>
    <w:tbl>
      <w:tblPr>
        <w:tblStyle w:val="Table5"/>
        <w:tblW w:w="6804" w:type="dxa"/>
        <w:tblInd w:w="3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28"/>
        <w:gridCol w:w="1276"/>
      </w:tblGrid>
      <w:tr w:rsidR="003C51B1" w:rsidRPr="00924BFC" w14:paraId="3405D5B0" w14:textId="77777777" w:rsidTr="00924BFC">
        <w:tc>
          <w:tcPr>
            <w:tcW w:w="5528" w:type="dxa"/>
            <w:shd w:val="clear" w:color="auto" w:fill="D9D9D9" w:themeFill="background1" w:themeFillShade="D9"/>
            <w:tcMar>
              <w:top w:w="0" w:type="dxa"/>
              <w:left w:w="100" w:type="dxa"/>
              <w:bottom w:w="0" w:type="dxa"/>
              <w:right w:w="100" w:type="dxa"/>
            </w:tcMar>
          </w:tcPr>
          <w:p w14:paraId="3FE0B1D4" w14:textId="77777777" w:rsidR="003C51B1" w:rsidRPr="00924BFC" w:rsidRDefault="003C51B1" w:rsidP="00924BFC">
            <w:pPr>
              <w:widowControl w:val="0"/>
              <w:spacing w:line="240" w:lineRule="atLeast"/>
              <w:rPr>
                <w:rFonts w:ascii="Garamond" w:hAnsi="Garamond"/>
                <w:sz w:val="28"/>
                <w:szCs w:val="28"/>
                <w:lang w:val="en-US"/>
              </w:rPr>
            </w:pPr>
          </w:p>
        </w:tc>
        <w:tc>
          <w:tcPr>
            <w:tcW w:w="1276" w:type="dxa"/>
            <w:shd w:val="clear" w:color="auto" w:fill="D9D9D9" w:themeFill="background1" w:themeFillShade="D9"/>
            <w:tcMar>
              <w:top w:w="0" w:type="dxa"/>
              <w:left w:w="100" w:type="dxa"/>
              <w:bottom w:w="0" w:type="dxa"/>
              <w:right w:w="100" w:type="dxa"/>
            </w:tcMar>
          </w:tcPr>
          <w:p w14:paraId="2A12F320" w14:textId="77777777" w:rsidR="003C51B1" w:rsidRPr="00924BFC" w:rsidRDefault="00A31DAC" w:rsidP="000504EE">
            <w:pPr>
              <w:widowControl w:val="0"/>
              <w:spacing w:line="240" w:lineRule="atLeast"/>
              <w:jc w:val="center"/>
              <w:rPr>
                <w:rFonts w:ascii="Garamond" w:hAnsi="Garamond"/>
                <w:sz w:val="28"/>
                <w:szCs w:val="28"/>
                <w:lang w:val="en-US"/>
              </w:rPr>
            </w:pPr>
            <w:r>
              <w:rPr>
                <w:rFonts w:ascii="Garamond" w:hAnsi="Garamond" w:cs="Times New Roman"/>
                <w:sz w:val="28"/>
                <w:szCs w:val="28"/>
                <w:lang w:val="en-US"/>
              </w:rPr>
              <w:t>M</w:t>
            </w:r>
            <w:r w:rsidR="003C51B1" w:rsidRPr="00924BFC">
              <w:rPr>
                <w:rFonts w:ascii="Garamond" w:hAnsi="Garamond" w:cs="Times New Roman"/>
                <w:sz w:val="28"/>
                <w:szCs w:val="28"/>
                <w:lang w:val="en-US"/>
              </w:rPr>
              <w:t>illion hryv</w:t>
            </w:r>
            <w:r w:rsidR="000504EE" w:rsidRPr="00924BFC">
              <w:rPr>
                <w:rFonts w:ascii="Garamond" w:hAnsi="Garamond" w:cs="Times New Roman"/>
                <w:sz w:val="28"/>
                <w:szCs w:val="28"/>
                <w:lang w:val="en-US"/>
              </w:rPr>
              <w:t>n</w:t>
            </w:r>
            <w:r w:rsidR="003C51B1" w:rsidRPr="00924BFC">
              <w:rPr>
                <w:rFonts w:ascii="Garamond" w:hAnsi="Garamond" w:cs="Times New Roman"/>
                <w:sz w:val="28"/>
                <w:szCs w:val="28"/>
                <w:lang w:val="en-US"/>
              </w:rPr>
              <w:t>ias</w:t>
            </w:r>
          </w:p>
        </w:tc>
      </w:tr>
      <w:tr w:rsidR="003C51B1" w:rsidRPr="00924BFC" w14:paraId="0A7D9449" w14:textId="77777777" w:rsidTr="00924BFC">
        <w:tc>
          <w:tcPr>
            <w:tcW w:w="5528" w:type="dxa"/>
            <w:tcMar>
              <w:top w:w="0" w:type="dxa"/>
              <w:left w:w="100" w:type="dxa"/>
              <w:bottom w:w="0" w:type="dxa"/>
              <w:right w:w="100" w:type="dxa"/>
            </w:tcMar>
          </w:tcPr>
          <w:p w14:paraId="5EE38A37"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Budget revenues</w:t>
            </w:r>
          </w:p>
        </w:tc>
        <w:tc>
          <w:tcPr>
            <w:tcW w:w="1276" w:type="dxa"/>
            <w:tcMar>
              <w:top w:w="0" w:type="dxa"/>
              <w:left w:w="100" w:type="dxa"/>
              <w:bottom w:w="0" w:type="dxa"/>
              <w:right w:w="100" w:type="dxa"/>
            </w:tcMar>
          </w:tcPr>
          <w:p w14:paraId="5A3A528B"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320.6</w:t>
            </w:r>
          </w:p>
        </w:tc>
      </w:tr>
      <w:tr w:rsidR="003C51B1" w:rsidRPr="00924BFC" w14:paraId="15B6A0EA" w14:textId="77777777" w:rsidTr="00924BFC">
        <w:tc>
          <w:tcPr>
            <w:tcW w:w="5528" w:type="dxa"/>
            <w:tcMar>
              <w:top w:w="0" w:type="dxa"/>
              <w:left w:w="100" w:type="dxa"/>
              <w:bottom w:w="0" w:type="dxa"/>
              <w:right w:w="100" w:type="dxa"/>
            </w:tcMar>
          </w:tcPr>
          <w:p w14:paraId="0EAE7CAE"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Repayment of loan to the budget</w:t>
            </w:r>
          </w:p>
        </w:tc>
        <w:tc>
          <w:tcPr>
            <w:tcW w:w="1276" w:type="dxa"/>
            <w:tcMar>
              <w:top w:w="0" w:type="dxa"/>
              <w:left w:w="100" w:type="dxa"/>
              <w:bottom w:w="0" w:type="dxa"/>
              <w:right w:w="100" w:type="dxa"/>
            </w:tcMar>
          </w:tcPr>
          <w:p w14:paraId="56F1CF9D"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9.2</w:t>
            </w:r>
          </w:p>
        </w:tc>
      </w:tr>
      <w:tr w:rsidR="003C51B1" w:rsidRPr="00924BFC" w14:paraId="05C3A243" w14:textId="77777777" w:rsidTr="00924BFC">
        <w:tc>
          <w:tcPr>
            <w:tcW w:w="5528" w:type="dxa"/>
            <w:tcMar>
              <w:top w:w="0" w:type="dxa"/>
              <w:left w:w="100" w:type="dxa"/>
              <w:bottom w:w="0" w:type="dxa"/>
              <w:right w:w="100" w:type="dxa"/>
            </w:tcMar>
          </w:tcPr>
          <w:p w14:paraId="1A47F38C"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Issuing loans from the budget</w:t>
            </w:r>
          </w:p>
        </w:tc>
        <w:tc>
          <w:tcPr>
            <w:tcW w:w="1276" w:type="dxa"/>
            <w:tcMar>
              <w:top w:w="0" w:type="dxa"/>
              <w:left w:w="100" w:type="dxa"/>
              <w:bottom w:w="0" w:type="dxa"/>
              <w:right w:w="100" w:type="dxa"/>
            </w:tcMar>
          </w:tcPr>
          <w:p w14:paraId="555700B9"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6.9</w:t>
            </w:r>
          </w:p>
        </w:tc>
      </w:tr>
      <w:tr w:rsidR="003C51B1" w:rsidRPr="00924BFC" w14:paraId="1E481400" w14:textId="77777777" w:rsidTr="00924BFC">
        <w:tc>
          <w:tcPr>
            <w:tcW w:w="5528" w:type="dxa"/>
            <w:tcMar>
              <w:top w:w="0" w:type="dxa"/>
              <w:left w:w="100" w:type="dxa"/>
              <w:bottom w:w="0" w:type="dxa"/>
              <w:right w:w="100" w:type="dxa"/>
            </w:tcMar>
          </w:tcPr>
          <w:p w14:paraId="3D348AC7"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Return of budget funds from deposits</w:t>
            </w:r>
          </w:p>
        </w:tc>
        <w:tc>
          <w:tcPr>
            <w:tcW w:w="1276" w:type="dxa"/>
            <w:tcMar>
              <w:top w:w="0" w:type="dxa"/>
              <w:left w:w="100" w:type="dxa"/>
              <w:bottom w:w="0" w:type="dxa"/>
              <w:right w:w="100" w:type="dxa"/>
            </w:tcMar>
          </w:tcPr>
          <w:p w14:paraId="23BCD51A"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3.2</w:t>
            </w:r>
          </w:p>
        </w:tc>
      </w:tr>
      <w:tr w:rsidR="003C51B1" w:rsidRPr="00924BFC" w14:paraId="321683C6" w14:textId="77777777" w:rsidTr="00924BFC">
        <w:tc>
          <w:tcPr>
            <w:tcW w:w="5528" w:type="dxa"/>
            <w:tcMar>
              <w:top w:w="0" w:type="dxa"/>
              <w:left w:w="100" w:type="dxa"/>
              <w:bottom w:w="0" w:type="dxa"/>
              <w:right w:w="100" w:type="dxa"/>
            </w:tcMar>
          </w:tcPr>
          <w:p w14:paraId="4E33F766"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Repayment of external debt liabilities</w:t>
            </w:r>
          </w:p>
        </w:tc>
        <w:tc>
          <w:tcPr>
            <w:tcW w:w="1276" w:type="dxa"/>
            <w:tcMar>
              <w:top w:w="0" w:type="dxa"/>
              <w:left w:w="100" w:type="dxa"/>
              <w:bottom w:w="0" w:type="dxa"/>
              <w:right w:w="100" w:type="dxa"/>
            </w:tcMar>
          </w:tcPr>
          <w:p w14:paraId="3AA6F51F"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18.2</w:t>
            </w:r>
          </w:p>
        </w:tc>
      </w:tr>
      <w:tr w:rsidR="003C51B1" w:rsidRPr="00924BFC" w14:paraId="53BB660B" w14:textId="77777777" w:rsidTr="00924BFC">
        <w:tc>
          <w:tcPr>
            <w:tcW w:w="5528" w:type="dxa"/>
            <w:tcMar>
              <w:top w:w="0" w:type="dxa"/>
              <w:left w:w="100" w:type="dxa"/>
              <w:bottom w:w="0" w:type="dxa"/>
              <w:right w:w="100" w:type="dxa"/>
            </w:tcMar>
          </w:tcPr>
          <w:p w14:paraId="24CA10C8"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Internal borrowings</w:t>
            </w:r>
          </w:p>
        </w:tc>
        <w:tc>
          <w:tcPr>
            <w:tcW w:w="1276" w:type="dxa"/>
            <w:tcMar>
              <w:top w:w="0" w:type="dxa"/>
              <w:left w:w="100" w:type="dxa"/>
              <w:bottom w:w="0" w:type="dxa"/>
              <w:right w:w="100" w:type="dxa"/>
            </w:tcMar>
          </w:tcPr>
          <w:p w14:paraId="76F297ED"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49.6</w:t>
            </w:r>
          </w:p>
        </w:tc>
      </w:tr>
      <w:tr w:rsidR="003C51B1" w:rsidRPr="00924BFC" w14:paraId="1ADBDC3F" w14:textId="77777777" w:rsidTr="00924BFC">
        <w:tc>
          <w:tcPr>
            <w:tcW w:w="5528" w:type="dxa"/>
            <w:tcMar>
              <w:top w:w="0" w:type="dxa"/>
              <w:left w:w="100" w:type="dxa"/>
              <w:bottom w:w="0" w:type="dxa"/>
              <w:right w:w="100" w:type="dxa"/>
            </w:tcMar>
          </w:tcPr>
          <w:p w14:paraId="57469314"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External borrowings</w:t>
            </w:r>
          </w:p>
        </w:tc>
        <w:tc>
          <w:tcPr>
            <w:tcW w:w="1276" w:type="dxa"/>
            <w:tcMar>
              <w:top w:w="0" w:type="dxa"/>
              <w:left w:w="100" w:type="dxa"/>
              <w:bottom w:w="0" w:type="dxa"/>
              <w:right w:w="100" w:type="dxa"/>
            </w:tcMar>
          </w:tcPr>
          <w:p w14:paraId="4985535C"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12.2</w:t>
            </w:r>
          </w:p>
        </w:tc>
      </w:tr>
      <w:tr w:rsidR="003C51B1" w:rsidRPr="00924BFC" w14:paraId="0340B7A7" w14:textId="77777777" w:rsidTr="00924BFC">
        <w:tc>
          <w:tcPr>
            <w:tcW w:w="5528" w:type="dxa"/>
            <w:tcMar>
              <w:top w:w="0" w:type="dxa"/>
              <w:left w:w="100" w:type="dxa"/>
              <w:bottom w:w="0" w:type="dxa"/>
              <w:right w:w="100" w:type="dxa"/>
            </w:tcMar>
          </w:tcPr>
          <w:p w14:paraId="7F9D1EF8"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Depositing budget funds</w:t>
            </w:r>
          </w:p>
        </w:tc>
        <w:tc>
          <w:tcPr>
            <w:tcW w:w="1276" w:type="dxa"/>
            <w:tcMar>
              <w:top w:w="0" w:type="dxa"/>
              <w:left w:w="100" w:type="dxa"/>
              <w:bottom w:w="0" w:type="dxa"/>
              <w:right w:w="100" w:type="dxa"/>
            </w:tcMar>
          </w:tcPr>
          <w:p w14:paraId="49BA183D"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1.2</w:t>
            </w:r>
          </w:p>
        </w:tc>
      </w:tr>
      <w:tr w:rsidR="003C51B1" w:rsidRPr="00924BFC" w14:paraId="3F2FC510" w14:textId="77777777" w:rsidTr="00924BFC">
        <w:tc>
          <w:tcPr>
            <w:tcW w:w="5528" w:type="dxa"/>
            <w:tcMar>
              <w:top w:w="0" w:type="dxa"/>
              <w:left w:w="100" w:type="dxa"/>
              <w:bottom w:w="0" w:type="dxa"/>
              <w:right w:w="100" w:type="dxa"/>
            </w:tcMar>
          </w:tcPr>
          <w:p w14:paraId="64D22CD3"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Purchase of securities</w:t>
            </w:r>
          </w:p>
        </w:tc>
        <w:tc>
          <w:tcPr>
            <w:tcW w:w="1276" w:type="dxa"/>
            <w:tcMar>
              <w:top w:w="0" w:type="dxa"/>
              <w:left w:w="100" w:type="dxa"/>
              <w:bottom w:w="0" w:type="dxa"/>
              <w:right w:w="100" w:type="dxa"/>
            </w:tcMar>
          </w:tcPr>
          <w:p w14:paraId="6E0E8C78"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6.3</w:t>
            </w:r>
          </w:p>
        </w:tc>
      </w:tr>
      <w:tr w:rsidR="003C51B1" w:rsidRPr="00924BFC" w14:paraId="1597E9C9" w14:textId="77777777" w:rsidTr="00924BFC">
        <w:tc>
          <w:tcPr>
            <w:tcW w:w="5528" w:type="dxa"/>
            <w:tcMar>
              <w:top w:w="0" w:type="dxa"/>
              <w:left w:w="100" w:type="dxa"/>
              <w:bottom w:w="0" w:type="dxa"/>
              <w:right w:w="100" w:type="dxa"/>
            </w:tcMar>
          </w:tcPr>
          <w:p w14:paraId="26A7DF31"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 xml:space="preserve">Revenue from the sale/redemption of securities </w:t>
            </w:r>
          </w:p>
        </w:tc>
        <w:tc>
          <w:tcPr>
            <w:tcW w:w="1276" w:type="dxa"/>
            <w:tcMar>
              <w:top w:w="0" w:type="dxa"/>
              <w:left w:w="100" w:type="dxa"/>
              <w:bottom w:w="0" w:type="dxa"/>
              <w:right w:w="100" w:type="dxa"/>
            </w:tcMar>
          </w:tcPr>
          <w:p w14:paraId="112A0F41"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6.6</w:t>
            </w:r>
          </w:p>
        </w:tc>
      </w:tr>
    </w:tbl>
    <w:p w14:paraId="7FF08E32" w14:textId="77777777" w:rsidR="00BE42A0" w:rsidRPr="0025241A" w:rsidRDefault="00BE42A0" w:rsidP="00924BFC">
      <w:pPr>
        <w:spacing w:line="240" w:lineRule="atLeast"/>
        <w:ind w:firstLine="360"/>
        <w:jc w:val="both"/>
        <w:rPr>
          <w:sz w:val="28"/>
          <w:szCs w:val="28"/>
          <w:lang w:val="en-GB"/>
        </w:rPr>
      </w:pPr>
    </w:p>
    <w:p w14:paraId="4A8C0D9F" w14:textId="77777777" w:rsidR="00BE42A0" w:rsidRPr="00924BFC" w:rsidRDefault="00BE42A0" w:rsidP="006F749C">
      <w:pPr>
        <w:numPr>
          <w:ilvl w:val="0"/>
          <w:numId w:val="146"/>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924BFC">
        <w:rPr>
          <w:rFonts w:eastAsia="Arial Unicode MS" w:cs="Arial Unicode MS"/>
          <w:sz w:val="28"/>
          <w:szCs w:val="28"/>
          <w:u w:color="000000"/>
          <w:bdr w:val="nil"/>
          <w:lang w:val="en-US"/>
        </w:rPr>
        <w:t xml:space="preserve">Using data about </w:t>
      </w:r>
      <w:r w:rsidR="000504EE">
        <w:rPr>
          <w:rFonts w:eastAsia="Arial Unicode MS" w:cs="Arial Unicode MS"/>
          <w:sz w:val="28"/>
          <w:szCs w:val="28"/>
          <w:u w:color="000000"/>
          <w:bdr w:val="nil"/>
          <w:lang w:val="en-US"/>
        </w:rPr>
        <w:t>s</w:t>
      </w:r>
      <w:r w:rsidRPr="00924BFC">
        <w:rPr>
          <w:rFonts w:eastAsia="Arial Unicode MS" w:cs="Arial Unicode MS"/>
          <w:sz w:val="28"/>
          <w:szCs w:val="28"/>
          <w:u w:color="000000"/>
          <w:bdr w:val="nil"/>
          <w:lang w:val="en-US"/>
        </w:rPr>
        <w:t xml:space="preserve">tate budget financing of Ukraine by type of debt tool, evaluate sources and structure of budget financing in the context of general and special funds. </w:t>
      </w:r>
      <w:r w:rsidR="000504EE">
        <w:rPr>
          <w:rFonts w:eastAsia="Arial Unicode MS" w:cs="Arial Unicode MS"/>
          <w:sz w:val="28"/>
          <w:szCs w:val="28"/>
          <w:u w:color="000000"/>
          <w:bdr w:val="nil"/>
          <w:lang w:val="en-US"/>
        </w:rPr>
        <w:t>Present r</w:t>
      </w:r>
      <w:r w:rsidR="000504EE" w:rsidRPr="00924BFC">
        <w:rPr>
          <w:rFonts w:eastAsia="Arial Unicode MS" w:cs="Arial Unicode MS"/>
          <w:sz w:val="28"/>
          <w:szCs w:val="28"/>
          <w:u w:color="000000"/>
          <w:bdr w:val="nil"/>
          <w:lang w:val="en-US"/>
        </w:rPr>
        <w:t>esults</w:t>
      </w:r>
      <w:r w:rsidRPr="00924BFC">
        <w:rPr>
          <w:rFonts w:eastAsia="Arial Unicode MS" w:cs="Arial Unicode MS"/>
          <w:sz w:val="28"/>
          <w:szCs w:val="28"/>
          <w:u w:color="000000"/>
          <w:bdr w:val="nil"/>
          <w:lang w:val="en-US"/>
        </w:rPr>
        <w:t xml:space="preserve"> using the following </w:t>
      </w:r>
      <w:r w:rsidR="00924BFC">
        <w:rPr>
          <w:rFonts w:eastAsia="Arial Unicode MS" w:cs="Arial Unicode MS"/>
          <w:sz w:val="28"/>
          <w:szCs w:val="28"/>
          <w:u w:color="000000"/>
          <w:bdr w:val="nil"/>
          <w:lang w:val="en-US"/>
        </w:rPr>
        <w:t>form</w:t>
      </w:r>
      <w:r w:rsidRPr="00924BFC">
        <w:rPr>
          <w:rFonts w:eastAsia="Arial Unicode MS" w:cs="Arial Unicode MS"/>
          <w:sz w:val="28"/>
          <w:szCs w:val="28"/>
          <w:u w:color="000000"/>
          <w:bdr w:val="nil"/>
          <w:lang w:val="en-US"/>
        </w:rPr>
        <w:t xml:space="preserve">: </w:t>
      </w:r>
    </w:p>
    <w:p w14:paraId="79F37788" w14:textId="77777777" w:rsidR="003C51B1" w:rsidRPr="0025241A" w:rsidRDefault="00BE42A0" w:rsidP="00924BFC">
      <w:pPr>
        <w:spacing w:line="240" w:lineRule="atLeast"/>
        <w:ind w:firstLine="360"/>
        <w:jc w:val="both"/>
        <w:rPr>
          <w:sz w:val="28"/>
          <w:szCs w:val="28"/>
          <w:lang w:val="en-GB"/>
        </w:rPr>
      </w:pPr>
      <w:r w:rsidRPr="0025241A">
        <w:rPr>
          <w:sz w:val="28"/>
          <w:szCs w:val="28"/>
          <w:lang w:val="en-GB"/>
        </w:rPr>
        <w:tab/>
      </w:r>
    </w:p>
    <w:tbl>
      <w:tblPr>
        <w:tblStyle w:val="Table6"/>
        <w:tblW w:w="9072" w:type="dxa"/>
        <w:tblInd w:w="3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93"/>
        <w:gridCol w:w="1108"/>
        <w:gridCol w:w="1160"/>
        <w:gridCol w:w="1134"/>
        <w:gridCol w:w="851"/>
        <w:gridCol w:w="1134"/>
        <w:gridCol w:w="992"/>
      </w:tblGrid>
      <w:tr w:rsidR="003C51B1" w:rsidRPr="00924BFC" w14:paraId="089129D2" w14:textId="77777777" w:rsidTr="00924BFC">
        <w:trPr>
          <w:trHeight w:val="440"/>
        </w:trPr>
        <w:tc>
          <w:tcPr>
            <w:tcW w:w="2693" w:type="dxa"/>
            <w:vMerge w:val="restart"/>
            <w:shd w:val="clear" w:color="auto" w:fill="D9D9D9" w:themeFill="background1" w:themeFillShade="D9"/>
            <w:tcMar>
              <w:top w:w="0" w:type="dxa"/>
              <w:left w:w="100" w:type="dxa"/>
              <w:bottom w:w="0" w:type="dxa"/>
              <w:right w:w="100" w:type="dxa"/>
            </w:tcMar>
            <w:vAlign w:val="center"/>
          </w:tcPr>
          <w:p w14:paraId="0C3D9665" w14:textId="77777777" w:rsidR="003C51B1" w:rsidRPr="00924BFC" w:rsidRDefault="003C51B1" w:rsidP="00924BFC">
            <w:pPr>
              <w:widowControl w:val="0"/>
              <w:spacing w:line="240" w:lineRule="atLeast"/>
              <w:jc w:val="center"/>
              <w:rPr>
                <w:rFonts w:ascii="Garamond" w:hAnsi="Garamond"/>
                <w:b/>
                <w:sz w:val="28"/>
                <w:szCs w:val="28"/>
                <w:lang w:val="en-US"/>
              </w:rPr>
            </w:pPr>
          </w:p>
        </w:tc>
        <w:tc>
          <w:tcPr>
            <w:tcW w:w="2268" w:type="dxa"/>
            <w:gridSpan w:val="2"/>
            <w:vMerge w:val="restart"/>
            <w:shd w:val="clear" w:color="auto" w:fill="D9D9D9" w:themeFill="background1" w:themeFillShade="D9"/>
            <w:tcMar>
              <w:top w:w="0" w:type="dxa"/>
              <w:left w:w="100" w:type="dxa"/>
              <w:bottom w:w="0" w:type="dxa"/>
              <w:right w:w="100" w:type="dxa"/>
            </w:tcMar>
            <w:vAlign w:val="center"/>
          </w:tcPr>
          <w:p w14:paraId="31BF4914"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Total</w:t>
            </w:r>
          </w:p>
        </w:tc>
        <w:tc>
          <w:tcPr>
            <w:tcW w:w="4111" w:type="dxa"/>
            <w:gridSpan w:val="4"/>
            <w:shd w:val="clear" w:color="auto" w:fill="D9D9D9" w:themeFill="background1" w:themeFillShade="D9"/>
            <w:tcMar>
              <w:top w:w="0" w:type="dxa"/>
              <w:left w:w="100" w:type="dxa"/>
              <w:bottom w:w="0" w:type="dxa"/>
              <w:right w:w="100" w:type="dxa"/>
            </w:tcMar>
            <w:vAlign w:val="center"/>
          </w:tcPr>
          <w:p w14:paraId="12635A70" w14:textId="77777777" w:rsidR="003C51B1" w:rsidRPr="00924BFC" w:rsidRDefault="000504EE" w:rsidP="000504EE">
            <w:pPr>
              <w:widowControl w:val="0"/>
              <w:spacing w:line="240" w:lineRule="atLeast"/>
              <w:jc w:val="center"/>
              <w:rPr>
                <w:rFonts w:ascii="Garamond" w:hAnsi="Garamond"/>
                <w:sz w:val="28"/>
                <w:szCs w:val="28"/>
                <w:lang w:val="en-US"/>
              </w:rPr>
            </w:pPr>
            <w:r>
              <w:rPr>
                <w:rFonts w:ascii="Garamond" w:hAnsi="Garamond" w:cs="Times New Roman"/>
                <w:sz w:val="28"/>
                <w:szCs w:val="28"/>
                <w:lang w:val="en-US"/>
              </w:rPr>
              <w:t>I</w:t>
            </w:r>
            <w:r w:rsidR="003C51B1" w:rsidRPr="00924BFC">
              <w:rPr>
                <w:rFonts w:ascii="Garamond" w:hAnsi="Garamond" w:cs="Times New Roman"/>
                <w:sz w:val="28"/>
                <w:szCs w:val="28"/>
                <w:lang w:val="en-US"/>
              </w:rPr>
              <w:t>ncluding</w:t>
            </w:r>
          </w:p>
        </w:tc>
      </w:tr>
      <w:tr w:rsidR="003C51B1" w:rsidRPr="00924BFC" w14:paraId="0D0B6151" w14:textId="77777777" w:rsidTr="00924BFC">
        <w:trPr>
          <w:trHeight w:val="440"/>
        </w:trPr>
        <w:tc>
          <w:tcPr>
            <w:tcW w:w="2693" w:type="dxa"/>
            <w:vMerge/>
            <w:shd w:val="clear" w:color="auto" w:fill="D9D9D9" w:themeFill="background1" w:themeFillShade="D9"/>
            <w:tcMar>
              <w:top w:w="0" w:type="dxa"/>
              <w:left w:w="100" w:type="dxa"/>
              <w:bottom w:w="0" w:type="dxa"/>
              <w:right w:w="100" w:type="dxa"/>
            </w:tcMar>
            <w:vAlign w:val="center"/>
          </w:tcPr>
          <w:p w14:paraId="43FE1A6E" w14:textId="77777777" w:rsidR="003C51B1" w:rsidRPr="00924BFC" w:rsidRDefault="003C51B1" w:rsidP="00924BFC">
            <w:pPr>
              <w:widowControl w:val="0"/>
              <w:spacing w:line="240" w:lineRule="atLeast"/>
              <w:jc w:val="center"/>
              <w:rPr>
                <w:rFonts w:ascii="Garamond" w:hAnsi="Garamond"/>
                <w:b/>
                <w:sz w:val="28"/>
                <w:szCs w:val="28"/>
                <w:lang w:val="en-US"/>
              </w:rPr>
            </w:pPr>
          </w:p>
        </w:tc>
        <w:tc>
          <w:tcPr>
            <w:tcW w:w="2268" w:type="dxa"/>
            <w:gridSpan w:val="2"/>
            <w:vMerge/>
            <w:shd w:val="clear" w:color="auto" w:fill="D9D9D9" w:themeFill="background1" w:themeFillShade="D9"/>
            <w:tcMar>
              <w:top w:w="0" w:type="dxa"/>
              <w:left w:w="100" w:type="dxa"/>
              <w:bottom w:w="0" w:type="dxa"/>
              <w:right w:w="100" w:type="dxa"/>
            </w:tcMar>
            <w:vAlign w:val="center"/>
          </w:tcPr>
          <w:p w14:paraId="0648D032"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985" w:type="dxa"/>
            <w:gridSpan w:val="2"/>
            <w:shd w:val="clear" w:color="auto" w:fill="D9D9D9" w:themeFill="background1" w:themeFillShade="D9"/>
            <w:tcMar>
              <w:top w:w="0" w:type="dxa"/>
              <w:left w:w="100" w:type="dxa"/>
              <w:bottom w:w="0" w:type="dxa"/>
              <w:right w:w="100" w:type="dxa"/>
            </w:tcMar>
            <w:vAlign w:val="center"/>
          </w:tcPr>
          <w:p w14:paraId="3267C6A9"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general fund</w:t>
            </w:r>
          </w:p>
        </w:tc>
        <w:tc>
          <w:tcPr>
            <w:tcW w:w="2126" w:type="dxa"/>
            <w:gridSpan w:val="2"/>
            <w:shd w:val="clear" w:color="auto" w:fill="D9D9D9" w:themeFill="background1" w:themeFillShade="D9"/>
            <w:tcMar>
              <w:top w:w="0" w:type="dxa"/>
              <w:left w:w="100" w:type="dxa"/>
              <w:bottom w:w="0" w:type="dxa"/>
              <w:right w:w="100" w:type="dxa"/>
            </w:tcMar>
            <w:vAlign w:val="center"/>
          </w:tcPr>
          <w:p w14:paraId="523D1996"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special fund</w:t>
            </w:r>
          </w:p>
        </w:tc>
      </w:tr>
      <w:tr w:rsidR="003C51B1" w:rsidRPr="00924BFC" w14:paraId="7DD0AE83" w14:textId="77777777" w:rsidTr="00924BFC">
        <w:trPr>
          <w:trHeight w:val="440"/>
        </w:trPr>
        <w:tc>
          <w:tcPr>
            <w:tcW w:w="2693" w:type="dxa"/>
            <w:vMerge/>
            <w:shd w:val="clear" w:color="auto" w:fill="D9D9D9" w:themeFill="background1" w:themeFillShade="D9"/>
            <w:tcMar>
              <w:top w:w="0" w:type="dxa"/>
              <w:left w:w="100" w:type="dxa"/>
              <w:bottom w:w="0" w:type="dxa"/>
              <w:right w:w="100" w:type="dxa"/>
            </w:tcMar>
            <w:vAlign w:val="center"/>
          </w:tcPr>
          <w:p w14:paraId="08A12164" w14:textId="77777777" w:rsidR="003C51B1" w:rsidRPr="00924BFC" w:rsidRDefault="003C51B1" w:rsidP="00924BFC">
            <w:pPr>
              <w:widowControl w:val="0"/>
              <w:spacing w:line="240" w:lineRule="atLeast"/>
              <w:jc w:val="center"/>
              <w:rPr>
                <w:rFonts w:ascii="Garamond" w:hAnsi="Garamond"/>
                <w:b/>
                <w:sz w:val="28"/>
                <w:szCs w:val="28"/>
                <w:lang w:val="en-US"/>
              </w:rPr>
            </w:pPr>
          </w:p>
        </w:tc>
        <w:tc>
          <w:tcPr>
            <w:tcW w:w="1108" w:type="dxa"/>
            <w:shd w:val="clear" w:color="auto" w:fill="D9D9D9" w:themeFill="background1" w:themeFillShade="D9"/>
            <w:tcMar>
              <w:top w:w="0" w:type="dxa"/>
              <w:left w:w="100" w:type="dxa"/>
              <w:bottom w:w="0" w:type="dxa"/>
              <w:right w:w="100" w:type="dxa"/>
            </w:tcMar>
            <w:vAlign w:val="center"/>
          </w:tcPr>
          <w:p w14:paraId="288ABF50" w14:textId="77777777" w:rsidR="003C51B1" w:rsidRPr="00924BFC" w:rsidRDefault="000504EE"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THSD</w:t>
            </w:r>
            <w:r w:rsidR="003C51B1" w:rsidRPr="00924BFC">
              <w:rPr>
                <w:rFonts w:ascii="Garamond" w:hAnsi="Garamond" w:cs="Times New Roman"/>
                <w:sz w:val="28"/>
                <w:szCs w:val="28"/>
                <w:lang w:val="en-US"/>
              </w:rPr>
              <w:t xml:space="preserve"> UAH</w:t>
            </w:r>
          </w:p>
        </w:tc>
        <w:tc>
          <w:tcPr>
            <w:tcW w:w="1160" w:type="dxa"/>
            <w:shd w:val="clear" w:color="auto" w:fill="D9D9D9" w:themeFill="background1" w:themeFillShade="D9"/>
            <w:tcMar>
              <w:top w:w="0" w:type="dxa"/>
              <w:left w:w="100" w:type="dxa"/>
              <w:bottom w:w="0" w:type="dxa"/>
              <w:right w:w="100" w:type="dxa"/>
            </w:tcMar>
            <w:vAlign w:val="center"/>
          </w:tcPr>
          <w:p w14:paraId="6DDA2C90"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w:t>
            </w:r>
          </w:p>
        </w:tc>
        <w:tc>
          <w:tcPr>
            <w:tcW w:w="1134" w:type="dxa"/>
            <w:shd w:val="clear" w:color="auto" w:fill="D9D9D9" w:themeFill="background1" w:themeFillShade="D9"/>
            <w:tcMar>
              <w:top w:w="0" w:type="dxa"/>
              <w:left w:w="100" w:type="dxa"/>
              <w:bottom w:w="0" w:type="dxa"/>
              <w:right w:w="100" w:type="dxa"/>
            </w:tcMar>
            <w:vAlign w:val="center"/>
          </w:tcPr>
          <w:p w14:paraId="65EC7B9C" w14:textId="77777777" w:rsidR="003C51B1" w:rsidRPr="00924BFC" w:rsidRDefault="000504EE"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 xml:space="preserve">THSD </w:t>
            </w:r>
            <w:r w:rsidR="003C51B1" w:rsidRPr="00924BFC">
              <w:rPr>
                <w:rFonts w:ascii="Garamond" w:hAnsi="Garamond" w:cs="Times New Roman"/>
                <w:sz w:val="28"/>
                <w:szCs w:val="28"/>
                <w:lang w:val="en-US"/>
              </w:rPr>
              <w:t>UAH</w:t>
            </w:r>
          </w:p>
        </w:tc>
        <w:tc>
          <w:tcPr>
            <w:tcW w:w="851" w:type="dxa"/>
            <w:shd w:val="clear" w:color="auto" w:fill="D9D9D9" w:themeFill="background1" w:themeFillShade="D9"/>
            <w:tcMar>
              <w:top w:w="0" w:type="dxa"/>
              <w:left w:w="100" w:type="dxa"/>
              <w:bottom w:w="0" w:type="dxa"/>
              <w:right w:w="100" w:type="dxa"/>
            </w:tcMar>
            <w:vAlign w:val="center"/>
          </w:tcPr>
          <w:p w14:paraId="3C4EEDB5"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w:t>
            </w:r>
          </w:p>
        </w:tc>
        <w:tc>
          <w:tcPr>
            <w:tcW w:w="1134" w:type="dxa"/>
            <w:shd w:val="clear" w:color="auto" w:fill="D9D9D9" w:themeFill="background1" w:themeFillShade="D9"/>
            <w:tcMar>
              <w:top w:w="0" w:type="dxa"/>
              <w:left w:w="100" w:type="dxa"/>
              <w:bottom w:w="0" w:type="dxa"/>
              <w:right w:w="100" w:type="dxa"/>
            </w:tcMar>
            <w:vAlign w:val="center"/>
          </w:tcPr>
          <w:p w14:paraId="3B021105" w14:textId="77777777" w:rsidR="003C51B1" w:rsidRPr="00924BFC" w:rsidRDefault="000504EE"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 xml:space="preserve">THSD </w:t>
            </w:r>
            <w:r w:rsidR="003C51B1" w:rsidRPr="00924BFC">
              <w:rPr>
                <w:rFonts w:ascii="Garamond" w:hAnsi="Garamond" w:cs="Times New Roman"/>
                <w:sz w:val="28"/>
                <w:szCs w:val="28"/>
                <w:lang w:val="en-US"/>
              </w:rPr>
              <w:t>UAH</w:t>
            </w:r>
          </w:p>
        </w:tc>
        <w:tc>
          <w:tcPr>
            <w:tcW w:w="992" w:type="dxa"/>
            <w:shd w:val="clear" w:color="auto" w:fill="D9D9D9" w:themeFill="background1" w:themeFillShade="D9"/>
            <w:tcMar>
              <w:top w:w="0" w:type="dxa"/>
              <w:left w:w="100" w:type="dxa"/>
              <w:bottom w:w="0" w:type="dxa"/>
              <w:right w:w="100" w:type="dxa"/>
            </w:tcMar>
            <w:vAlign w:val="center"/>
          </w:tcPr>
          <w:p w14:paraId="5953C59B" w14:textId="77777777" w:rsidR="003C51B1" w:rsidRPr="00924BFC" w:rsidRDefault="003C51B1" w:rsidP="00924BFC">
            <w:pPr>
              <w:widowControl w:val="0"/>
              <w:spacing w:line="240" w:lineRule="atLeast"/>
              <w:jc w:val="center"/>
              <w:rPr>
                <w:rFonts w:ascii="Garamond" w:hAnsi="Garamond"/>
                <w:sz w:val="28"/>
                <w:szCs w:val="28"/>
                <w:lang w:val="en-US"/>
              </w:rPr>
            </w:pPr>
            <w:r w:rsidRPr="00924BFC">
              <w:rPr>
                <w:rFonts w:ascii="Garamond" w:hAnsi="Garamond" w:cs="Times New Roman"/>
                <w:sz w:val="28"/>
                <w:szCs w:val="28"/>
                <w:lang w:val="en-US"/>
              </w:rPr>
              <w:t>%</w:t>
            </w:r>
          </w:p>
        </w:tc>
      </w:tr>
      <w:tr w:rsidR="003C51B1" w:rsidRPr="00924BFC" w14:paraId="7E41A634" w14:textId="77777777" w:rsidTr="00924BFC">
        <w:tc>
          <w:tcPr>
            <w:tcW w:w="2693" w:type="dxa"/>
            <w:tcMar>
              <w:top w:w="0" w:type="dxa"/>
              <w:left w:w="100" w:type="dxa"/>
              <w:bottom w:w="0" w:type="dxa"/>
              <w:right w:w="100" w:type="dxa"/>
            </w:tcMar>
          </w:tcPr>
          <w:p w14:paraId="49C3C44F" w14:textId="77777777" w:rsidR="003C51B1" w:rsidRPr="00924BFC" w:rsidRDefault="003C51B1" w:rsidP="00924BFC">
            <w:pPr>
              <w:widowControl w:val="0"/>
              <w:spacing w:line="240" w:lineRule="atLeast"/>
              <w:rPr>
                <w:rFonts w:ascii="Garamond" w:hAnsi="Garamond"/>
                <w:b/>
                <w:sz w:val="28"/>
                <w:szCs w:val="28"/>
                <w:lang w:val="en-US"/>
              </w:rPr>
            </w:pPr>
            <w:r w:rsidRPr="00924BFC">
              <w:rPr>
                <w:rFonts w:ascii="Garamond" w:hAnsi="Garamond" w:cs="Times New Roman"/>
                <w:b/>
                <w:sz w:val="28"/>
                <w:szCs w:val="28"/>
                <w:lang w:val="en-US"/>
              </w:rPr>
              <w:t>Total financing</w:t>
            </w:r>
          </w:p>
        </w:tc>
        <w:tc>
          <w:tcPr>
            <w:tcW w:w="1108" w:type="dxa"/>
            <w:tcMar>
              <w:top w:w="0" w:type="dxa"/>
              <w:left w:w="100" w:type="dxa"/>
              <w:bottom w:w="0" w:type="dxa"/>
              <w:right w:w="100" w:type="dxa"/>
            </w:tcMar>
          </w:tcPr>
          <w:p w14:paraId="764EFA1D" w14:textId="77777777" w:rsidR="003C51B1" w:rsidRPr="00924BFC" w:rsidRDefault="003C51B1" w:rsidP="00924BFC">
            <w:pPr>
              <w:widowControl w:val="0"/>
              <w:spacing w:line="240" w:lineRule="atLeast"/>
              <w:jc w:val="center"/>
              <w:rPr>
                <w:rFonts w:ascii="Garamond" w:hAnsi="Garamond"/>
                <w:b/>
                <w:sz w:val="28"/>
                <w:szCs w:val="28"/>
                <w:lang w:val="en-US"/>
              </w:rPr>
            </w:pPr>
          </w:p>
        </w:tc>
        <w:tc>
          <w:tcPr>
            <w:tcW w:w="1160" w:type="dxa"/>
            <w:tcMar>
              <w:top w:w="0" w:type="dxa"/>
              <w:left w:w="100" w:type="dxa"/>
              <w:bottom w:w="0" w:type="dxa"/>
              <w:right w:w="100" w:type="dxa"/>
            </w:tcMar>
          </w:tcPr>
          <w:p w14:paraId="4EDE2E8F" w14:textId="77777777" w:rsidR="003C51B1" w:rsidRPr="00924BFC" w:rsidRDefault="003C51B1" w:rsidP="00924BFC">
            <w:pPr>
              <w:widowControl w:val="0"/>
              <w:spacing w:line="240" w:lineRule="atLeast"/>
              <w:jc w:val="center"/>
              <w:rPr>
                <w:rFonts w:ascii="Garamond" w:hAnsi="Garamond"/>
                <w:b/>
                <w:sz w:val="28"/>
                <w:szCs w:val="28"/>
                <w:lang w:val="en-US"/>
              </w:rPr>
            </w:pPr>
            <w:r w:rsidRPr="00924BFC">
              <w:rPr>
                <w:rFonts w:ascii="Garamond" w:hAnsi="Garamond" w:cs="Times New Roman"/>
                <w:b/>
                <w:sz w:val="28"/>
                <w:szCs w:val="28"/>
                <w:lang w:val="en-US"/>
              </w:rPr>
              <w:t>100.0</w:t>
            </w:r>
          </w:p>
        </w:tc>
        <w:tc>
          <w:tcPr>
            <w:tcW w:w="1134" w:type="dxa"/>
            <w:tcMar>
              <w:top w:w="0" w:type="dxa"/>
              <w:left w:w="100" w:type="dxa"/>
              <w:bottom w:w="0" w:type="dxa"/>
              <w:right w:w="100" w:type="dxa"/>
            </w:tcMar>
          </w:tcPr>
          <w:p w14:paraId="3CACFFBD" w14:textId="77777777" w:rsidR="003C51B1" w:rsidRPr="00924BFC" w:rsidRDefault="003C51B1" w:rsidP="00924BFC">
            <w:pPr>
              <w:widowControl w:val="0"/>
              <w:spacing w:line="240" w:lineRule="atLeast"/>
              <w:jc w:val="center"/>
              <w:rPr>
                <w:rFonts w:ascii="Garamond" w:hAnsi="Garamond"/>
                <w:b/>
                <w:sz w:val="28"/>
                <w:szCs w:val="28"/>
                <w:lang w:val="en-US"/>
              </w:rPr>
            </w:pPr>
          </w:p>
        </w:tc>
        <w:tc>
          <w:tcPr>
            <w:tcW w:w="851" w:type="dxa"/>
            <w:tcMar>
              <w:top w:w="0" w:type="dxa"/>
              <w:left w:w="100" w:type="dxa"/>
              <w:bottom w:w="0" w:type="dxa"/>
              <w:right w:w="100" w:type="dxa"/>
            </w:tcMar>
          </w:tcPr>
          <w:p w14:paraId="53DBBCB1" w14:textId="77777777" w:rsidR="003C51B1" w:rsidRPr="00924BFC" w:rsidRDefault="003C51B1" w:rsidP="00924BFC">
            <w:pPr>
              <w:widowControl w:val="0"/>
              <w:spacing w:line="240" w:lineRule="atLeast"/>
              <w:jc w:val="center"/>
              <w:rPr>
                <w:rFonts w:ascii="Garamond" w:hAnsi="Garamond"/>
                <w:b/>
                <w:sz w:val="28"/>
                <w:szCs w:val="28"/>
                <w:lang w:val="en-US"/>
              </w:rPr>
            </w:pPr>
            <w:r w:rsidRPr="00924BFC">
              <w:rPr>
                <w:rFonts w:ascii="Garamond" w:hAnsi="Garamond" w:cs="Times New Roman"/>
                <w:b/>
                <w:sz w:val="28"/>
                <w:szCs w:val="28"/>
                <w:lang w:val="en-US"/>
              </w:rPr>
              <w:t>100.0</w:t>
            </w:r>
          </w:p>
        </w:tc>
        <w:tc>
          <w:tcPr>
            <w:tcW w:w="1134" w:type="dxa"/>
            <w:tcMar>
              <w:top w:w="0" w:type="dxa"/>
              <w:left w:w="100" w:type="dxa"/>
              <w:bottom w:w="0" w:type="dxa"/>
              <w:right w:w="100" w:type="dxa"/>
            </w:tcMar>
          </w:tcPr>
          <w:p w14:paraId="2FE2B3A2" w14:textId="77777777" w:rsidR="003C51B1" w:rsidRPr="00924BFC" w:rsidRDefault="003C51B1" w:rsidP="00924BFC">
            <w:pPr>
              <w:widowControl w:val="0"/>
              <w:spacing w:line="240" w:lineRule="atLeast"/>
              <w:jc w:val="center"/>
              <w:rPr>
                <w:rFonts w:ascii="Garamond" w:hAnsi="Garamond"/>
                <w:b/>
                <w:sz w:val="28"/>
                <w:szCs w:val="28"/>
                <w:lang w:val="en-US"/>
              </w:rPr>
            </w:pPr>
          </w:p>
        </w:tc>
        <w:tc>
          <w:tcPr>
            <w:tcW w:w="992" w:type="dxa"/>
            <w:tcMar>
              <w:top w:w="0" w:type="dxa"/>
              <w:left w:w="100" w:type="dxa"/>
              <w:bottom w:w="0" w:type="dxa"/>
              <w:right w:w="100" w:type="dxa"/>
            </w:tcMar>
          </w:tcPr>
          <w:p w14:paraId="271225D2" w14:textId="77777777" w:rsidR="003C51B1" w:rsidRPr="00924BFC" w:rsidRDefault="003C51B1" w:rsidP="00924BFC">
            <w:pPr>
              <w:widowControl w:val="0"/>
              <w:spacing w:line="240" w:lineRule="atLeast"/>
              <w:jc w:val="center"/>
              <w:rPr>
                <w:rFonts w:ascii="Garamond" w:hAnsi="Garamond"/>
                <w:b/>
                <w:sz w:val="28"/>
                <w:szCs w:val="28"/>
                <w:lang w:val="en-US"/>
              </w:rPr>
            </w:pPr>
            <w:r w:rsidRPr="00924BFC">
              <w:rPr>
                <w:rFonts w:ascii="Garamond" w:hAnsi="Garamond" w:cs="Times New Roman"/>
                <w:b/>
                <w:sz w:val="28"/>
                <w:szCs w:val="28"/>
                <w:lang w:val="en-US"/>
              </w:rPr>
              <w:t>100.0</w:t>
            </w:r>
          </w:p>
        </w:tc>
      </w:tr>
      <w:tr w:rsidR="003C51B1" w:rsidRPr="00924BFC" w14:paraId="6B70D637" w14:textId="77777777" w:rsidTr="00924BFC">
        <w:tc>
          <w:tcPr>
            <w:tcW w:w="2693" w:type="dxa"/>
            <w:tcMar>
              <w:top w:w="0" w:type="dxa"/>
              <w:left w:w="100" w:type="dxa"/>
              <w:bottom w:w="0" w:type="dxa"/>
              <w:right w:w="100" w:type="dxa"/>
            </w:tcMar>
          </w:tcPr>
          <w:p w14:paraId="37920C95"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Financing by debt operation</w:t>
            </w:r>
          </w:p>
        </w:tc>
        <w:tc>
          <w:tcPr>
            <w:tcW w:w="1108" w:type="dxa"/>
            <w:tcMar>
              <w:top w:w="0" w:type="dxa"/>
              <w:left w:w="100" w:type="dxa"/>
              <w:bottom w:w="0" w:type="dxa"/>
              <w:right w:w="100" w:type="dxa"/>
            </w:tcMar>
          </w:tcPr>
          <w:p w14:paraId="78F974FC"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160" w:type="dxa"/>
            <w:tcMar>
              <w:top w:w="0" w:type="dxa"/>
              <w:left w:w="100" w:type="dxa"/>
              <w:bottom w:w="0" w:type="dxa"/>
              <w:right w:w="100" w:type="dxa"/>
            </w:tcMar>
          </w:tcPr>
          <w:p w14:paraId="1509E4FB"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134" w:type="dxa"/>
            <w:tcMar>
              <w:top w:w="0" w:type="dxa"/>
              <w:left w:w="100" w:type="dxa"/>
              <w:bottom w:w="0" w:type="dxa"/>
              <w:right w:w="100" w:type="dxa"/>
            </w:tcMar>
          </w:tcPr>
          <w:p w14:paraId="37A22735" w14:textId="77777777" w:rsidR="003C51B1" w:rsidRPr="00924BFC" w:rsidRDefault="003C51B1" w:rsidP="00924BFC">
            <w:pPr>
              <w:widowControl w:val="0"/>
              <w:spacing w:line="240" w:lineRule="atLeast"/>
              <w:jc w:val="center"/>
              <w:rPr>
                <w:rFonts w:ascii="Garamond" w:hAnsi="Garamond"/>
                <w:sz w:val="28"/>
                <w:szCs w:val="28"/>
                <w:lang w:val="en-US"/>
              </w:rPr>
            </w:pPr>
          </w:p>
        </w:tc>
        <w:tc>
          <w:tcPr>
            <w:tcW w:w="851" w:type="dxa"/>
            <w:tcMar>
              <w:top w:w="0" w:type="dxa"/>
              <w:left w:w="100" w:type="dxa"/>
              <w:bottom w:w="0" w:type="dxa"/>
              <w:right w:w="100" w:type="dxa"/>
            </w:tcMar>
          </w:tcPr>
          <w:p w14:paraId="62C6F4AB"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134" w:type="dxa"/>
            <w:tcMar>
              <w:top w:w="0" w:type="dxa"/>
              <w:left w:w="100" w:type="dxa"/>
              <w:bottom w:w="0" w:type="dxa"/>
              <w:right w:w="100" w:type="dxa"/>
            </w:tcMar>
          </w:tcPr>
          <w:p w14:paraId="05A52ADA" w14:textId="77777777" w:rsidR="003C51B1" w:rsidRPr="00924BFC" w:rsidRDefault="003C51B1" w:rsidP="00924BFC">
            <w:pPr>
              <w:widowControl w:val="0"/>
              <w:spacing w:line="240" w:lineRule="atLeast"/>
              <w:jc w:val="center"/>
              <w:rPr>
                <w:rFonts w:ascii="Garamond" w:hAnsi="Garamond"/>
                <w:sz w:val="28"/>
                <w:szCs w:val="28"/>
                <w:lang w:val="en-US"/>
              </w:rPr>
            </w:pPr>
          </w:p>
        </w:tc>
        <w:tc>
          <w:tcPr>
            <w:tcW w:w="992" w:type="dxa"/>
            <w:tcMar>
              <w:top w:w="0" w:type="dxa"/>
              <w:left w:w="100" w:type="dxa"/>
              <w:bottom w:w="0" w:type="dxa"/>
              <w:right w:w="100" w:type="dxa"/>
            </w:tcMar>
          </w:tcPr>
          <w:p w14:paraId="2C69A1CC" w14:textId="77777777" w:rsidR="003C51B1" w:rsidRPr="00924BFC" w:rsidRDefault="003C51B1" w:rsidP="00924BFC">
            <w:pPr>
              <w:widowControl w:val="0"/>
              <w:spacing w:line="240" w:lineRule="atLeast"/>
              <w:jc w:val="center"/>
              <w:rPr>
                <w:rFonts w:ascii="Garamond" w:hAnsi="Garamond"/>
                <w:sz w:val="28"/>
                <w:szCs w:val="28"/>
                <w:lang w:val="en-US"/>
              </w:rPr>
            </w:pPr>
          </w:p>
        </w:tc>
      </w:tr>
      <w:tr w:rsidR="003C51B1" w:rsidRPr="00924BFC" w14:paraId="635CE3CA" w14:textId="77777777" w:rsidTr="00924BFC">
        <w:tc>
          <w:tcPr>
            <w:tcW w:w="2693" w:type="dxa"/>
            <w:tcMar>
              <w:top w:w="0" w:type="dxa"/>
              <w:left w:w="100" w:type="dxa"/>
              <w:bottom w:w="0" w:type="dxa"/>
              <w:right w:w="100" w:type="dxa"/>
            </w:tcMar>
          </w:tcPr>
          <w:p w14:paraId="62D6E447"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Financing from state property privatization proceeds</w:t>
            </w:r>
          </w:p>
        </w:tc>
        <w:tc>
          <w:tcPr>
            <w:tcW w:w="1108" w:type="dxa"/>
            <w:tcMar>
              <w:top w:w="0" w:type="dxa"/>
              <w:left w:w="100" w:type="dxa"/>
              <w:bottom w:w="0" w:type="dxa"/>
              <w:right w:w="100" w:type="dxa"/>
            </w:tcMar>
          </w:tcPr>
          <w:p w14:paraId="69007200"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160" w:type="dxa"/>
            <w:tcMar>
              <w:top w:w="0" w:type="dxa"/>
              <w:left w:w="100" w:type="dxa"/>
              <w:bottom w:w="0" w:type="dxa"/>
              <w:right w:w="100" w:type="dxa"/>
            </w:tcMar>
          </w:tcPr>
          <w:p w14:paraId="51224DA7"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134" w:type="dxa"/>
            <w:tcMar>
              <w:top w:w="0" w:type="dxa"/>
              <w:left w:w="100" w:type="dxa"/>
              <w:bottom w:w="0" w:type="dxa"/>
              <w:right w:w="100" w:type="dxa"/>
            </w:tcMar>
          </w:tcPr>
          <w:p w14:paraId="2C09EFD6" w14:textId="77777777" w:rsidR="003C51B1" w:rsidRPr="00924BFC" w:rsidRDefault="003C51B1" w:rsidP="00924BFC">
            <w:pPr>
              <w:widowControl w:val="0"/>
              <w:spacing w:line="240" w:lineRule="atLeast"/>
              <w:jc w:val="center"/>
              <w:rPr>
                <w:rFonts w:ascii="Garamond" w:hAnsi="Garamond"/>
                <w:sz w:val="28"/>
                <w:szCs w:val="28"/>
                <w:lang w:val="en-US"/>
              </w:rPr>
            </w:pPr>
          </w:p>
        </w:tc>
        <w:tc>
          <w:tcPr>
            <w:tcW w:w="851" w:type="dxa"/>
            <w:tcMar>
              <w:top w:w="0" w:type="dxa"/>
              <w:left w:w="100" w:type="dxa"/>
              <w:bottom w:w="0" w:type="dxa"/>
              <w:right w:w="100" w:type="dxa"/>
            </w:tcMar>
          </w:tcPr>
          <w:p w14:paraId="1442BB5D"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134" w:type="dxa"/>
            <w:tcMar>
              <w:top w:w="0" w:type="dxa"/>
              <w:left w:w="100" w:type="dxa"/>
              <w:bottom w:w="0" w:type="dxa"/>
              <w:right w:w="100" w:type="dxa"/>
            </w:tcMar>
          </w:tcPr>
          <w:p w14:paraId="5F1A915C" w14:textId="77777777" w:rsidR="003C51B1" w:rsidRPr="00924BFC" w:rsidRDefault="003C51B1" w:rsidP="00924BFC">
            <w:pPr>
              <w:widowControl w:val="0"/>
              <w:spacing w:line="240" w:lineRule="atLeast"/>
              <w:jc w:val="center"/>
              <w:rPr>
                <w:rFonts w:ascii="Garamond" w:hAnsi="Garamond"/>
                <w:sz w:val="28"/>
                <w:szCs w:val="28"/>
                <w:lang w:val="en-US"/>
              </w:rPr>
            </w:pPr>
          </w:p>
        </w:tc>
        <w:tc>
          <w:tcPr>
            <w:tcW w:w="992" w:type="dxa"/>
            <w:tcMar>
              <w:top w:w="0" w:type="dxa"/>
              <w:left w:w="100" w:type="dxa"/>
              <w:bottom w:w="0" w:type="dxa"/>
              <w:right w:w="100" w:type="dxa"/>
            </w:tcMar>
          </w:tcPr>
          <w:p w14:paraId="19476791" w14:textId="77777777" w:rsidR="003C51B1" w:rsidRPr="00924BFC" w:rsidRDefault="003C51B1" w:rsidP="00924BFC">
            <w:pPr>
              <w:widowControl w:val="0"/>
              <w:spacing w:line="240" w:lineRule="atLeast"/>
              <w:jc w:val="center"/>
              <w:rPr>
                <w:rFonts w:ascii="Garamond" w:hAnsi="Garamond"/>
                <w:sz w:val="28"/>
                <w:szCs w:val="28"/>
                <w:lang w:val="en-US"/>
              </w:rPr>
            </w:pPr>
          </w:p>
        </w:tc>
      </w:tr>
      <w:tr w:rsidR="003C51B1" w:rsidRPr="00924BFC" w14:paraId="4624F83A" w14:textId="77777777" w:rsidTr="00924BFC">
        <w:tc>
          <w:tcPr>
            <w:tcW w:w="2693" w:type="dxa"/>
            <w:tcMar>
              <w:top w:w="0" w:type="dxa"/>
              <w:left w:w="100" w:type="dxa"/>
              <w:bottom w:w="0" w:type="dxa"/>
              <w:right w:w="100" w:type="dxa"/>
            </w:tcMar>
          </w:tcPr>
          <w:p w14:paraId="7D9BAC79" w14:textId="77777777" w:rsidR="003C51B1" w:rsidRPr="00924BFC" w:rsidRDefault="003C51B1" w:rsidP="00924BFC">
            <w:pPr>
              <w:widowControl w:val="0"/>
              <w:spacing w:line="240" w:lineRule="atLeast"/>
              <w:rPr>
                <w:rFonts w:ascii="Garamond" w:hAnsi="Garamond"/>
                <w:sz w:val="28"/>
                <w:szCs w:val="28"/>
                <w:lang w:val="en-US"/>
              </w:rPr>
            </w:pPr>
            <w:r w:rsidRPr="00924BFC">
              <w:rPr>
                <w:rFonts w:ascii="Garamond" w:hAnsi="Garamond" w:cs="Times New Roman"/>
                <w:sz w:val="28"/>
                <w:szCs w:val="28"/>
                <w:lang w:val="en-US"/>
              </w:rPr>
              <w:t>Financing from active transactions</w:t>
            </w:r>
          </w:p>
        </w:tc>
        <w:tc>
          <w:tcPr>
            <w:tcW w:w="1108" w:type="dxa"/>
            <w:tcMar>
              <w:top w:w="0" w:type="dxa"/>
              <w:left w:w="100" w:type="dxa"/>
              <w:bottom w:w="0" w:type="dxa"/>
              <w:right w:w="100" w:type="dxa"/>
            </w:tcMar>
          </w:tcPr>
          <w:p w14:paraId="583493F8"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160" w:type="dxa"/>
            <w:tcMar>
              <w:top w:w="0" w:type="dxa"/>
              <w:left w:w="100" w:type="dxa"/>
              <w:bottom w:w="0" w:type="dxa"/>
              <w:right w:w="100" w:type="dxa"/>
            </w:tcMar>
          </w:tcPr>
          <w:p w14:paraId="741D6E3A"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134" w:type="dxa"/>
            <w:tcMar>
              <w:top w:w="0" w:type="dxa"/>
              <w:left w:w="100" w:type="dxa"/>
              <w:bottom w:w="0" w:type="dxa"/>
              <w:right w:w="100" w:type="dxa"/>
            </w:tcMar>
          </w:tcPr>
          <w:p w14:paraId="281A9ECF" w14:textId="77777777" w:rsidR="003C51B1" w:rsidRPr="00924BFC" w:rsidRDefault="003C51B1" w:rsidP="00924BFC">
            <w:pPr>
              <w:widowControl w:val="0"/>
              <w:spacing w:line="240" w:lineRule="atLeast"/>
              <w:jc w:val="center"/>
              <w:rPr>
                <w:rFonts w:ascii="Garamond" w:hAnsi="Garamond"/>
                <w:sz w:val="28"/>
                <w:szCs w:val="28"/>
                <w:lang w:val="en-US"/>
              </w:rPr>
            </w:pPr>
          </w:p>
        </w:tc>
        <w:tc>
          <w:tcPr>
            <w:tcW w:w="851" w:type="dxa"/>
            <w:tcMar>
              <w:top w:w="0" w:type="dxa"/>
              <w:left w:w="100" w:type="dxa"/>
              <w:bottom w:w="0" w:type="dxa"/>
              <w:right w:w="100" w:type="dxa"/>
            </w:tcMar>
          </w:tcPr>
          <w:p w14:paraId="204B28B8" w14:textId="77777777" w:rsidR="003C51B1" w:rsidRPr="00924BFC" w:rsidRDefault="003C51B1" w:rsidP="00924BFC">
            <w:pPr>
              <w:widowControl w:val="0"/>
              <w:spacing w:line="240" w:lineRule="atLeast"/>
              <w:jc w:val="center"/>
              <w:rPr>
                <w:rFonts w:ascii="Garamond" w:hAnsi="Garamond"/>
                <w:sz w:val="28"/>
                <w:szCs w:val="28"/>
                <w:lang w:val="en-US"/>
              </w:rPr>
            </w:pPr>
          </w:p>
        </w:tc>
        <w:tc>
          <w:tcPr>
            <w:tcW w:w="1134" w:type="dxa"/>
            <w:tcMar>
              <w:top w:w="0" w:type="dxa"/>
              <w:left w:w="100" w:type="dxa"/>
              <w:bottom w:w="0" w:type="dxa"/>
              <w:right w:w="100" w:type="dxa"/>
            </w:tcMar>
          </w:tcPr>
          <w:p w14:paraId="7E65D330" w14:textId="77777777" w:rsidR="003C51B1" w:rsidRPr="00924BFC" w:rsidRDefault="003C51B1" w:rsidP="00924BFC">
            <w:pPr>
              <w:widowControl w:val="0"/>
              <w:spacing w:line="240" w:lineRule="atLeast"/>
              <w:jc w:val="center"/>
              <w:rPr>
                <w:rFonts w:ascii="Garamond" w:hAnsi="Garamond"/>
                <w:sz w:val="28"/>
                <w:szCs w:val="28"/>
                <w:lang w:val="en-US"/>
              </w:rPr>
            </w:pPr>
          </w:p>
        </w:tc>
        <w:tc>
          <w:tcPr>
            <w:tcW w:w="992" w:type="dxa"/>
            <w:tcMar>
              <w:top w:w="0" w:type="dxa"/>
              <w:left w:w="100" w:type="dxa"/>
              <w:bottom w:w="0" w:type="dxa"/>
              <w:right w:w="100" w:type="dxa"/>
            </w:tcMar>
          </w:tcPr>
          <w:p w14:paraId="2363C90F" w14:textId="77777777" w:rsidR="003C51B1" w:rsidRPr="00924BFC" w:rsidRDefault="003C51B1" w:rsidP="00924BFC">
            <w:pPr>
              <w:widowControl w:val="0"/>
              <w:spacing w:line="240" w:lineRule="atLeast"/>
              <w:jc w:val="center"/>
              <w:rPr>
                <w:rFonts w:ascii="Garamond" w:hAnsi="Garamond"/>
                <w:sz w:val="28"/>
                <w:szCs w:val="28"/>
                <w:lang w:val="en-US"/>
              </w:rPr>
            </w:pPr>
          </w:p>
        </w:tc>
      </w:tr>
    </w:tbl>
    <w:p w14:paraId="13539041" w14:textId="77777777" w:rsidR="00BE42A0" w:rsidRPr="0025241A" w:rsidRDefault="00BE42A0" w:rsidP="00924BFC">
      <w:pPr>
        <w:spacing w:line="240" w:lineRule="atLeast"/>
        <w:ind w:firstLine="360"/>
        <w:jc w:val="both"/>
        <w:rPr>
          <w:sz w:val="28"/>
          <w:szCs w:val="28"/>
          <w:lang w:val="en-GB"/>
        </w:rPr>
      </w:pPr>
      <w:r w:rsidRPr="0025241A">
        <w:rPr>
          <w:sz w:val="28"/>
          <w:szCs w:val="28"/>
          <w:lang w:val="en-GB"/>
        </w:rPr>
        <w:tab/>
      </w:r>
      <w:r w:rsidRPr="0025241A">
        <w:rPr>
          <w:sz w:val="28"/>
          <w:szCs w:val="28"/>
          <w:lang w:val="en-GB"/>
        </w:rPr>
        <w:tab/>
      </w:r>
      <w:r w:rsidRPr="0025241A">
        <w:rPr>
          <w:sz w:val="28"/>
          <w:szCs w:val="28"/>
          <w:lang w:val="en-GB"/>
        </w:rPr>
        <w:tab/>
      </w:r>
    </w:p>
    <w:p w14:paraId="07D1D686" w14:textId="77777777" w:rsidR="00BE42A0" w:rsidRPr="0025241A" w:rsidRDefault="00BE42A0" w:rsidP="00BE42A0">
      <w:pPr>
        <w:spacing w:line="312" w:lineRule="auto"/>
        <w:ind w:firstLine="360"/>
        <w:jc w:val="both"/>
        <w:rPr>
          <w:sz w:val="28"/>
          <w:szCs w:val="28"/>
          <w:lang w:val="en-GB"/>
        </w:rPr>
      </w:pPr>
      <w:r w:rsidRPr="0025241A">
        <w:rPr>
          <w:sz w:val="28"/>
          <w:szCs w:val="28"/>
          <w:lang w:val="en-GB"/>
        </w:rPr>
        <w:tab/>
      </w:r>
      <w:r w:rsidRPr="0025241A">
        <w:rPr>
          <w:sz w:val="28"/>
          <w:szCs w:val="28"/>
          <w:lang w:val="en-GB"/>
        </w:rPr>
        <w:tab/>
      </w:r>
    </w:p>
    <w:p w14:paraId="181F7C0B" w14:textId="77777777" w:rsidR="00BE42A0" w:rsidRPr="00BE42A0" w:rsidRDefault="00BE42A0" w:rsidP="00BE42A0">
      <w:pPr>
        <w:spacing w:line="312" w:lineRule="auto"/>
        <w:ind w:firstLine="360"/>
        <w:jc w:val="both"/>
        <w:rPr>
          <w:lang w:val="en-GB"/>
        </w:rPr>
      </w:pPr>
      <w:r w:rsidRPr="00BE42A0">
        <w:rPr>
          <w:lang w:val="en-GB"/>
        </w:rPr>
        <w:tab/>
      </w:r>
      <w:r w:rsidRPr="00BE42A0">
        <w:rPr>
          <w:lang w:val="en-GB"/>
        </w:rPr>
        <w:tab/>
      </w:r>
      <w:r w:rsidRPr="00BE42A0">
        <w:rPr>
          <w:lang w:val="en-GB"/>
        </w:rPr>
        <w:tab/>
      </w:r>
      <w:r w:rsidRPr="00BE42A0">
        <w:rPr>
          <w:lang w:val="en-GB"/>
        </w:rPr>
        <w:tab/>
      </w:r>
    </w:p>
    <w:p w14:paraId="0AE66FAA" w14:textId="77777777" w:rsidR="00BE42A0" w:rsidRPr="00BE42A0" w:rsidRDefault="00BE42A0" w:rsidP="00BE42A0">
      <w:pPr>
        <w:spacing w:line="312" w:lineRule="auto"/>
        <w:ind w:firstLine="709"/>
        <w:rPr>
          <w:rFonts w:asciiTheme="minorHAnsi" w:eastAsiaTheme="minorHAnsi" w:hAnsiTheme="minorHAnsi" w:cstheme="minorBidi"/>
          <w:lang w:val="en-GB" w:eastAsia="en-US"/>
        </w:rPr>
      </w:pPr>
    </w:p>
    <w:p w14:paraId="4556930A" w14:textId="77777777" w:rsidR="00BE42A0" w:rsidRPr="00BE42A0" w:rsidRDefault="00BE42A0" w:rsidP="00BE42A0">
      <w:pPr>
        <w:spacing w:after="240" w:line="240" w:lineRule="atLeast"/>
        <w:ind w:firstLine="360"/>
        <w:jc w:val="both"/>
        <w:rPr>
          <w:lang w:val="en-GB"/>
        </w:rPr>
      </w:pPr>
    </w:p>
    <w:p w14:paraId="2553CF03" w14:textId="77777777" w:rsidR="00BE42A0" w:rsidRPr="00BE42A0" w:rsidRDefault="00BE42A0" w:rsidP="00BE42A0">
      <w:pPr>
        <w:ind w:firstLine="709"/>
        <w:rPr>
          <w:rFonts w:asciiTheme="minorHAnsi" w:eastAsiaTheme="minorHAnsi" w:hAnsiTheme="minorHAnsi" w:cstheme="minorBidi"/>
          <w:lang w:val="en-GB" w:eastAsia="en-US"/>
        </w:rPr>
      </w:pPr>
    </w:p>
    <w:p w14:paraId="1B395A8B" w14:textId="77777777" w:rsidR="003C51B1" w:rsidRDefault="00BE42A0" w:rsidP="00924BFC">
      <w:pPr>
        <w:pBdr>
          <w:top w:val="nil"/>
          <w:left w:val="nil"/>
          <w:bottom w:val="nil"/>
          <w:right w:val="nil"/>
          <w:between w:val="nil"/>
          <w:bar w:val="nil"/>
        </w:pBdr>
        <w:spacing w:after="200"/>
        <w:ind w:left="357" w:firstLine="360"/>
        <w:jc w:val="center"/>
        <w:rPr>
          <w:rFonts w:eastAsia="Garamond"/>
          <w:b/>
          <w:bCs/>
          <w:caps/>
          <w:spacing w:val="20"/>
          <w:kern w:val="16"/>
          <w:u w:color="000000"/>
          <w:bdr w:val="nil"/>
          <w:lang w:val="en-US"/>
        </w:rPr>
      </w:pPr>
      <w:r w:rsidRPr="00BE42A0">
        <w:rPr>
          <w:rFonts w:eastAsia="Garamond"/>
          <w:b/>
          <w:bCs/>
          <w:u w:color="000000"/>
          <w:bdr w:val="nil"/>
          <w:lang w:val="en-US"/>
        </w:rPr>
        <w:br/>
      </w:r>
    </w:p>
    <w:p w14:paraId="02533FAC" w14:textId="77777777" w:rsidR="003C51B1" w:rsidRPr="003E1ECE" w:rsidRDefault="003C51B1" w:rsidP="004A1B27">
      <w:pPr>
        <w:pStyle w:val="eng"/>
        <w:rPr>
          <w:rFonts w:eastAsia="Times New Roman Bold" w:cs="Times New Roman Bold"/>
        </w:rPr>
      </w:pPr>
      <w:r w:rsidRPr="003E1ECE">
        <w:lastRenderedPageBreak/>
        <w:t>Chapter 6</w:t>
      </w:r>
      <w:r w:rsidR="00A31DAC">
        <w:rPr>
          <w:lang w:val="en-US"/>
        </w:rPr>
        <w:t>:</w:t>
      </w:r>
      <w:r w:rsidRPr="003E1ECE">
        <w:t xml:space="preserve"> </w:t>
      </w:r>
    </w:p>
    <w:p w14:paraId="4EBE4D4D" w14:textId="77777777" w:rsidR="003C51B1" w:rsidRPr="003E1ECE" w:rsidRDefault="003C51B1" w:rsidP="004A1B27">
      <w:pPr>
        <w:pStyle w:val="eng"/>
        <w:rPr>
          <w:rFonts w:eastAsia="Times New Roman Bold" w:cs="Times New Roman Bold"/>
        </w:rPr>
      </w:pPr>
      <w:r w:rsidRPr="003E1ECE">
        <w:rPr>
          <w:lang w:val="da-DK"/>
        </w:rPr>
        <w:t>Household finance</w:t>
      </w:r>
    </w:p>
    <w:p w14:paraId="75A85611" w14:textId="77777777" w:rsidR="003C51B1" w:rsidRPr="004A1B27" w:rsidRDefault="003C51B1" w:rsidP="004A1B27">
      <w:pPr>
        <w:pStyle w:val="end2"/>
        <w:rPr>
          <w:rFonts w:eastAsia="Times New Roman Bold" w:cs="Times New Roman Bold"/>
        </w:rPr>
      </w:pPr>
      <w:r w:rsidRPr="003E1ECE">
        <w:t>summary</w:t>
      </w:r>
    </w:p>
    <w:p w14:paraId="55FACBE0" w14:textId="77777777" w:rsidR="003C51B1" w:rsidRPr="004A1B27" w:rsidRDefault="003C51B1" w:rsidP="007031BC">
      <w:pPr>
        <w:spacing w:line="312" w:lineRule="auto"/>
        <w:ind w:firstLine="709"/>
        <w:contextualSpacing/>
        <w:jc w:val="both"/>
        <w:rPr>
          <w:sz w:val="28"/>
          <w:lang w:val="en-US" w:bidi="ru-RU"/>
        </w:rPr>
      </w:pPr>
      <w:r w:rsidRPr="004A1B27">
        <w:rPr>
          <w:b/>
          <w:sz w:val="28"/>
          <w:lang w:val="en-US" w:bidi="ru-RU"/>
        </w:rPr>
        <w:t>Household</w:t>
      </w:r>
      <w:r w:rsidRPr="004A1B27">
        <w:rPr>
          <w:sz w:val="28"/>
          <w:lang w:val="en-US" w:bidi="ru-RU"/>
        </w:rPr>
        <w:t xml:space="preserve"> is an institutional component of the country economic system. Household is the basic unit of analysis in social science research</w:t>
      </w:r>
      <w:r w:rsidR="00451DE3">
        <w:rPr>
          <w:sz w:val="28"/>
          <w:lang w:val="en-US" w:bidi="ru-RU"/>
        </w:rPr>
        <w:t xml:space="preserve"> and in</w:t>
      </w:r>
      <w:r w:rsidRPr="004A1B27">
        <w:rPr>
          <w:sz w:val="28"/>
          <w:lang w:val="en-US" w:bidi="ru-RU"/>
        </w:rPr>
        <w:t xml:space="preserve"> many micr</w:t>
      </w:r>
      <w:r w:rsidR="00451DE3">
        <w:rPr>
          <w:sz w:val="28"/>
          <w:lang w:val="en-US" w:bidi="ru-RU"/>
        </w:rPr>
        <w:t>oeconomic and government models;</w:t>
      </w:r>
      <w:r w:rsidRPr="004A1B27">
        <w:rPr>
          <w:sz w:val="28"/>
          <w:lang w:val="en-US" w:bidi="ru-RU"/>
        </w:rPr>
        <w:t xml:space="preserve"> </w:t>
      </w:r>
      <w:r w:rsidR="00451DE3">
        <w:rPr>
          <w:sz w:val="28"/>
          <w:lang w:val="en-US" w:bidi="ru-RU"/>
        </w:rPr>
        <w:t>it</w:t>
      </w:r>
      <w:r w:rsidRPr="004A1B27">
        <w:rPr>
          <w:sz w:val="28"/>
          <w:lang w:val="en-US" w:bidi="ru-RU"/>
        </w:rPr>
        <w:t xml:space="preserve"> is important to the fields of economics and inheritance. According to the System of National Accounts</w:t>
      </w:r>
      <w:r w:rsidR="00451DE3">
        <w:rPr>
          <w:sz w:val="28"/>
          <w:lang w:val="en-US" w:bidi="ru-RU"/>
        </w:rPr>
        <w:t>,</w:t>
      </w:r>
      <w:r w:rsidRPr="004A1B27">
        <w:rPr>
          <w:sz w:val="28"/>
          <w:lang w:val="en-US" w:bidi="ru-RU"/>
        </w:rPr>
        <w:t xml:space="preserve"> household </w:t>
      </w:r>
      <w:r w:rsidR="00451DE3">
        <w:rPr>
          <w:sz w:val="28"/>
          <w:lang w:val="en-US" w:bidi="ru-RU"/>
        </w:rPr>
        <w:t xml:space="preserve">is </w:t>
      </w:r>
      <w:r w:rsidRPr="004A1B27">
        <w:rPr>
          <w:sz w:val="28"/>
          <w:lang w:val="en-US" w:bidi="ru-RU"/>
        </w:rPr>
        <w:t>consider</w:t>
      </w:r>
      <w:r w:rsidR="00451DE3">
        <w:rPr>
          <w:sz w:val="28"/>
          <w:lang w:val="en-US" w:bidi="ru-RU"/>
        </w:rPr>
        <w:t>ed</w:t>
      </w:r>
      <w:r w:rsidRPr="004A1B27">
        <w:rPr>
          <w:sz w:val="28"/>
          <w:lang w:val="en-US" w:bidi="ru-RU"/>
        </w:rPr>
        <w:t xml:space="preserve"> as individuals in </w:t>
      </w:r>
      <w:r w:rsidR="00451DE3">
        <w:rPr>
          <w:sz w:val="28"/>
          <w:lang w:val="en-US" w:bidi="ru-RU"/>
        </w:rPr>
        <w:t>the country’s economic system that may</w:t>
      </w:r>
      <w:r w:rsidRPr="004A1B27">
        <w:rPr>
          <w:sz w:val="28"/>
          <w:lang w:val="en-US" w:bidi="ru-RU"/>
        </w:rPr>
        <w:t xml:space="preserve"> consist of a single person or </w:t>
      </w:r>
      <w:r w:rsidR="00451DE3">
        <w:rPr>
          <w:sz w:val="28"/>
          <w:lang w:val="en-US" w:bidi="ru-RU"/>
        </w:rPr>
        <w:t xml:space="preserve">a </w:t>
      </w:r>
      <w:r w:rsidRPr="004A1B27">
        <w:rPr>
          <w:sz w:val="28"/>
          <w:lang w:val="en-US" w:bidi="ru-RU"/>
        </w:rPr>
        <w:t>group of people (not necessarily family) and</w:t>
      </w:r>
      <w:r w:rsidR="00451DE3">
        <w:rPr>
          <w:sz w:val="28"/>
          <w:lang w:val="en-US" w:bidi="ru-RU"/>
        </w:rPr>
        <w:t xml:space="preserve"> be</w:t>
      </w:r>
      <w:r w:rsidRPr="004A1B27">
        <w:rPr>
          <w:sz w:val="28"/>
          <w:lang w:val="en-US" w:bidi="ru-RU"/>
        </w:rPr>
        <w:t xml:space="preserve"> united by a common budget. </w:t>
      </w:r>
      <w:r w:rsidRPr="00764FEA">
        <w:rPr>
          <w:b/>
          <w:sz w:val="28"/>
          <w:lang w:val="en-US" w:bidi="ru-RU"/>
        </w:rPr>
        <w:t>Household</w:t>
      </w:r>
      <w:r w:rsidRPr="004A1B27">
        <w:rPr>
          <w:sz w:val="28"/>
          <w:lang w:val="en-US" w:bidi="ru-RU"/>
        </w:rPr>
        <w:t xml:space="preserve"> that consists of one or more people </w:t>
      </w:r>
      <w:r w:rsidR="00451DE3">
        <w:rPr>
          <w:sz w:val="28"/>
          <w:lang w:val="en-US" w:bidi="ru-RU"/>
        </w:rPr>
        <w:t>living</w:t>
      </w:r>
      <w:r w:rsidRPr="004A1B27">
        <w:rPr>
          <w:sz w:val="28"/>
          <w:lang w:val="en-US" w:bidi="ru-RU"/>
        </w:rPr>
        <w:t xml:space="preserve"> under one roof (in the same dwelling) or occupying a separate housing unit, have either direct access to the outside or a separate cooking facility. A </w:t>
      </w:r>
      <w:r w:rsidRPr="00764FEA">
        <w:rPr>
          <w:b/>
          <w:sz w:val="28"/>
          <w:lang w:val="en-US" w:bidi="ru-RU"/>
        </w:rPr>
        <w:t>single dwelling</w:t>
      </w:r>
      <w:r w:rsidRPr="004A1B27">
        <w:rPr>
          <w:sz w:val="28"/>
          <w:lang w:val="en-US" w:bidi="ru-RU"/>
        </w:rPr>
        <w:t xml:space="preserve"> </w:t>
      </w:r>
      <w:r w:rsidR="00451DE3">
        <w:rPr>
          <w:sz w:val="28"/>
          <w:lang w:val="en-US" w:bidi="ru-RU"/>
        </w:rPr>
        <w:t>may</w:t>
      </w:r>
      <w:r w:rsidRPr="004A1B27">
        <w:rPr>
          <w:sz w:val="28"/>
          <w:lang w:val="en-US" w:bidi="ru-RU"/>
        </w:rPr>
        <w:t xml:space="preserve"> contain multiple households if either meals or living space are not shared. </w:t>
      </w:r>
      <w:r w:rsidR="00966FB0" w:rsidRPr="004A1B27">
        <w:rPr>
          <w:sz w:val="28"/>
          <w:lang w:val="en-US" w:bidi="ru-RU"/>
        </w:rPr>
        <w:t xml:space="preserve">Household </w:t>
      </w:r>
      <w:r w:rsidR="00451DE3">
        <w:rPr>
          <w:sz w:val="28"/>
          <w:lang w:val="en-US" w:bidi="ru-RU"/>
        </w:rPr>
        <w:t>may</w:t>
      </w:r>
      <w:r w:rsidR="00966FB0" w:rsidRPr="004A1B27">
        <w:rPr>
          <w:sz w:val="28"/>
          <w:lang w:val="en-US" w:bidi="ru-RU"/>
        </w:rPr>
        <w:t xml:space="preserve"> be located in a housing unit or in a set of collective living quarters</w:t>
      </w:r>
      <w:r w:rsidR="00451DE3">
        <w:rPr>
          <w:sz w:val="28"/>
          <w:lang w:val="en-US" w:bidi="ru-RU"/>
        </w:rPr>
        <w:t>,</w:t>
      </w:r>
      <w:r w:rsidR="00966FB0" w:rsidRPr="004A1B27">
        <w:rPr>
          <w:sz w:val="28"/>
          <w:lang w:val="en-US" w:bidi="ru-RU"/>
        </w:rPr>
        <w:t xml:space="preserve"> such as a boarding house, a hotel or a camp, or may comprise the administrative personnel in an institution. The household </w:t>
      </w:r>
      <w:r w:rsidR="00451DE3">
        <w:rPr>
          <w:sz w:val="28"/>
          <w:lang w:val="en-US" w:bidi="ru-RU"/>
        </w:rPr>
        <w:t>can</w:t>
      </w:r>
      <w:r w:rsidR="00966FB0" w:rsidRPr="004A1B27">
        <w:rPr>
          <w:sz w:val="28"/>
          <w:lang w:val="en-US" w:bidi="ru-RU"/>
        </w:rPr>
        <w:t xml:space="preserve"> also be homeless.</w:t>
      </w:r>
      <w:r w:rsidR="00D0069E">
        <w:rPr>
          <w:sz w:val="28"/>
          <w:lang w:val="en-US" w:bidi="ru-RU"/>
        </w:rPr>
        <w:t xml:space="preserve"> </w:t>
      </w:r>
      <w:r w:rsidRPr="004A1B27">
        <w:rPr>
          <w:sz w:val="28"/>
          <w:lang w:val="en-US" w:bidi="ru-RU"/>
        </w:rPr>
        <w:t xml:space="preserve">Household as an institutional component of the country economic system </w:t>
      </w:r>
      <w:r w:rsidR="00451DE3">
        <w:rPr>
          <w:sz w:val="28"/>
          <w:lang w:val="en-US" w:bidi="ru-RU"/>
        </w:rPr>
        <w:t xml:space="preserve">is </w:t>
      </w:r>
      <w:r w:rsidRPr="004A1B27">
        <w:rPr>
          <w:sz w:val="28"/>
          <w:lang w:val="en-US" w:bidi="ru-RU"/>
        </w:rPr>
        <w:t xml:space="preserve">endowed with the following features: (i) possession of labor or capital resources; (ii) autonomy in economic decision-making; </w:t>
      </w:r>
      <w:r w:rsidR="00451DE3">
        <w:rPr>
          <w:sz w:val="28"/>
          <w:lang w:val="en-US" w:bidi="ru-RU"/>
        </w:rPr>
        <w:t xml:space="preserve">and </w:t>
      </w:r>
      <w:r w:rsidRPr="004A1B27">
        <w:rPr>
          <w:sz w:val="28"/>
          <w:lang w:val="en-US" w:bidi="ru-RU"/>
        </w:rPr>
        <w:t>(iii) maximum needs satisfaction.</w:t>
      </w:r>
    </w:p>
    <w:p w14:paraId="116C3A67" w14:textId="77777777" w:rsidR="003C51B1" w:rsidRPr="004A1B27" w:rsidRDefault="003C51B1" w:rsidP="007031BC">
      <w:pPr>
        <w:spacing w:line="312" w:lineRule="auto"/>
        <w:ind w:firstLine="709"/>
        <w:contextualSpacing/>
        <w:jc w:val="both"/>
        <w:rPr>
          <w:sz w:val="28"/>
          <w:lang w:val="en-US" w:bidi="ru-RU"/>
        </w:rPr>
      </w:pPr>
      <w:r w:rsidRPr="004A1B27">
        <w:rPr>
          <w:sz w:val="28"/>
          <w:lang w:val="en-US" w:bidi="ru-RU"/>
        </w:rPr>
        <w:t xml:space="preserve">There are two broad </w:t>
      </w:r>
      <w:r w:rsidRPr="00764FEA">
        <w:rPr>
          <w:b/>
          <w:sz w:val="28"/>
          <w:lang w:val="en-US" w:bidi="ru-RU"/>
        </w:rPr>
        <w:t>types of households</w:t>
      </w:r>
      <w:r w:rsidRPr="004A1B27">
        <w:rPr>
          <w:sz w:val="28"/>
          <w:lang w:val="en-US" w:bidi="ru-RU"/>
        </w:rPr>
        <w:t>: (i) family-based households</w:t>
      </w:r>
      <w:r w:rsidR="00451DE3">
        <w:rPr>
          <w:sz w:val="28"/>
          <w:lang w:val="en-US" w:bidi="ru-RU"/>
        </w:rPr>
        <w:t xml:space="preserve"> and </w:t>
      </w:r>
      <w:r w:rsidRPr="004A1B27">
        <w:rPr>
          <w:sz w:val="28"/>
          <w:lang w:val="en-US" w:bidi="ru-RU"/>
        </w:rPr>
        <w:t xml:space="preserve">(ii) nonfamily-based households. Within the </w:t>
      </w:r>
      <w:r w:rsidRPr="00764FEA">
        <w:rPr>
          <w:b/>
          <w:sz w:val="28"/>
          <w:lang w:val="en-US" w:bidi="ru-RU"/>
        </w:rPr>
        <w:t>family-based households</w:t>
      </w:r>
      <w:r w:rsidRPr="004A1B27">
        <w:rPr>
          <w:sz w:val="28"/>
          <w:lang w:val="en-US" w:bidi="ru-RU"/>
        </w:rPr>
        <w:t xml:space="preserve">, couple-based households refer to those with a married head and </w:t>
      </w:r>
      <w:r w:rsidR="00451DE3">
        <w:rPr>
          <w:sz w:val="28"/>
          <w:lang w:val="en-US" w:bidi="ru-RU"/>
        </w:rPr>
        <w:t xml:space="preserve">a </w:t>
      </w:r>
      <w:r w:rsidRPr="004A1B27">
        <w:rPr>
          <w:sz w:val="28"/>
          <w:lang w:val="en-US" w:bidi="ru-RU"/>
        </w:rPr>
        <w:t xml:space="preserve">spouse in the household. </w:t>
      </w:r>
      <w:r w:rsidRPr="00764FEA">
        <w:rPr>
          <w:b/>
          <w:sz w:val="28"/>
          <w:lang w:val="en-US" w:bidi="ru-RU"/>
        </w:rPr>
        <w:t>Other family-based households refer</w:t>
      </w:r>
      <w:r w:rsidRPr="004A1B27">
        <w:rPr>
          <w:sz w:val="28"/>
          <w:lang w:val="en-US" w:bidi="ru-RU"/>
        </w:rPr>
        <w:t xml:space="preserve"> to those without a married head and</w:t>
      </w:r>
      <w:r w:rsidR="00451DE3">
        <w:rPr>
          <w:sz w:val="28"/>
          <w:lang w:val="en-US" w:bidi="ru-RU"/>
        </w:rPr>
        <w:t xml:space="preserve"> a</w:t>
      </w:r>
      <w:r w:rsidRPr="004A1B27">
        <w:rPr>
          <w:sz w:val="28"/>
          <w:lang w:val="en-US" w:bidi="ru-RU"/>
        </w:rPr>
        <w:t xml:space="preserve"> spouse in the household, e.g.</w:t>
      </w:r>
      <w:r w:rsidR="00451DE3">
        <w:rPr>
          <w:sz w:val="28"/>
          <w:lang w:val="en-US" w:bidi="ru-RU"/>
        </w:rPr>
        <w:t>,</w:t>
      </w:r>
      <w:r w:rsidRPr="004A1B27">
        <w:rPr>
          <w:sz w:val="28"/>
          <w:lang w:val="en-US" w:bidi="ru-RU"/>
        </w:rPr>
        <w:t xml:space="preserve"> lone parent households.</w:t>
      </w:r>
    </w:p>
    <w:p w14:paraId="000935B9" w14:textId="77777777" w:rsidR="003C51B1" w:rsidRPr="004A1B27" w:rsidRDefault="003C51B1" w:rsidP="007031BC">
      <w:pPr>
        <w:spacing w:line="312" w:lineRule="auto"/>
        <w:ind w:firstLine="709"/>
        <w:contextualSpacing/>
        <w:jc w:val="both"/>
        <w:rPr>
          <w:sz w:val="28"/>
          <w:lang w:val="en-US" w:bidi="ru-RU"/>
        </w:rPr>
      </w:pPr>
      <w:r w:rsidRPr="004A1B27">
        <w:rPr>
          <w:sz w:val="28"/>
          <w:lang w:val="en-US" w:bidi="ru-RU"/>
        </w:rPr>
        <w:t>Households and families are basic units of analysis in demography; terms “household” and “family” are often identified, however, in the overwhelming majority of cases</w:t>
      </w:r>
      <w:r w:rsidR="00451DE3">
        <w:rPr>
          <w:sz w:val="28"/>
          <w:lang w:val="en-US" w:bidi="ru-RU"/>
        </w:rPr>
        <w:t>,</w:t>
      </w:r>
      <w:r w:rsidRPr="004A1B27">
        <w:rPr>
          <w:sz w:val="28"/>
          <w:lang w:val="en-US" w:bidi="ru-RU"/>
        </w:rPr>
        <w:t xml:space="preserve"> it is not quite correct. The concept of household fits better to financial science. Household includes</w:t>
      </w:r>
      <w:r w:rsidR="00451DE3">
        <w:rPr>
          <w:sz w:val="28"/>
          <w:lang w:val="en-US" w:bidi="ru-RU"/>
        </w:rPr>
        <w:t>,</w:t>
      </w:r>
      <w:r w:rsidRPr="004A1B27">
        <w:rPr>
          <w:sz w:val="28"/>
          <w:lang w:val="en-US" w:bidi="ru-RU"/>
        </w:rPr>
        <w:t xml:space="preserve"> but</w:t>
      </w:r>
      <w:r w:rsidR="00451DE3">
        <w:rPr>
          <w:sz w:val="28"/>
          <w:lang w:val="en-US" w:bidi="ru-RU"/>
        </w:rPr>
        <w:t xml:space="preserve"> is</w:t>
      </w:r>
      <w:r w:rsidRPr="004A1B27">
        <w:rPr>
          <w:sz w:val="28"/>
          <w:lang w:val="en-US" w:bidi="ru-RU"/>
        </w:rPr>
        <w:t xml:space="preserve"> not limited to the family</w:t>
      </w:r>
      <w:r w:rsidR="00451DE3">
        <w:rPr>
          <w:sz w:val="28"/>
          <w:lang w:val="en-US" w:bidi="ru-RU"/>
        </w:rPr>
        <w:t>;</w:t>
      </w:r>
      <w:r w:rsidRPr="004A1B27">
        <w:rPr>
          <w:sz w:val="28"/>
          <w:lang w:val="en-US" w:bidi="ru-RU"/>
        </w:rPr>
        <w:t xml:space="preserve"> </w:t>
      </w:r>
      <w:r w:rsidR="00451DE3">
        <w:rPr>
          <w:sz w:val="28"/>
          <w:lang w:val="en-US" w:bidi="ru-RU"/>
        </w:rPr>
        <w:t>it rather</w:t>
      </w:r>
      <w:r w:rsidRPr="004A1B27">
        <w:rPr>
          <w:sz w:val="28"/>
          <w:lang w:val="en-US" w:bidi="ru-RU"/>
        </w:rPr>
        <w:t xml:space="preserve"> describes economic and financial relations within the group of people bound by certain obligations established legally or contractually. The concept of household is based on </w:t>
      </w:r>
      <w:r w:rsidRPr="004A1B27">
        <w:rPr>
          <w:sz w:val="28"/>
          <w:lang w:val="en-US" w:bidi="ru-RU"/>
        </w:rPr>
        <w:lastRenderedPageBreak/>
        <w:t xml:space="preserve">the arrangements made by persons, individually or in groups, for providing themselves with food or other </w:t>
      </w:r>
      <w:r w:rsidR="004A1B27">
        <w:rPr>
          <w:sz w:val="28"/>
          <w:lang w:val="en-US" w:bidi="ru-RU"/>
        </w:rPr>
        <w:t>essential</w:t>
      </w:r>
      <w:r w:rsidR="004A1B27" w:rsidRPr="004A1B27">
        <w:rPr>
          <w:sz w:val="28"/>
          <w:lang w:val="en-US" w:bidi="ru-RU"/>
        </w:rPr>
        <w:t>s</w:t>
      </w:r>
      <w:r w:rsidRPr="004A1B27">
        <w:rPr>
          <w:sz w:val="28"/>
          <w:lang w:val="en-US" w:bidi="ru-RU"/>
        </w:rPr>
        <w:t xml:space="preserve"> for living. </w:t>
      </w:r>
    </w:p>
    <w:p w14:paraId="7C5EA570" w14:textId="77777777" w:rsidR="003C51B1" w:rsidRPr="004A1B27" w:rsidRDefault="003C51B1" w:rsidP="007031BC">
      <w:pPr>
        <w:spacing w:line="312" w:lineRule="auto"/>
        <w:ind w:firstLine="709"/>
        <w:contextualSpacing/>
        <w:jc w:val="both"/>
        <w:rPr>
          <w:sz w:val="28"/>
          <w:lang w:val="en-US" w:bidi="ru-RU"/>
        </w:rPr>
      </w:pPr>
      <w:r w:rsidRPr="004A1B27">
        <w:rPr>
          <w:sz w:val="28"/>
          <w:lang w:val="en-US" w:bidi="ru-RU"/>
        </w:rPr>
        <w:t xml:space="preserve">Under the U.S. Census Bureau definition, </w:t>
      </w:r>
      <w:r w:rsidRPr="00764FEA">
        <w:rPr>
          <w:b/>
          <w:sz w:val="28"/>
          <w:lang w:val="en-US" w:bidi="ru-RU"/>
        </w:rPr>
        <w:t>family households</w:t>
      </w:r>
      <w:r w:rsidRPr="004A1B27">
        <w:rPr>
          <w:sz w:val="28"/>
          <w:lang w:val="en-US" w:bidi="ru-RU"/>
        </w:rPr>
        <w:t xml:space="preserve"> are two or more individuals who are related by birth, marriage, or adoption, although they also may include other unrelated people. In other words, members of a household related by blood or law constitute a family. </w:t>
      </w:r>
      <w:r w:rsidRPr="00764FEA">
        <w:rPr>
          <w:b/>
          <w:sz w:val="28"/>
          <w:lang w:val="en-US" w:bidi="ru-RU"/>
        </w:rPr>
        <w:t>Nonfamily households</w:t>
      </w:r>
      <w:r w:rsidRPr="004A1B27">
        <w:rPr>
          <w:sz w:val="28"/>
          <w:lang w:val="en-US" w:bidi="ru-RU"/>
        </w:rPr>
        <w:t xml:space="preserve"> could be viewed as people who live alone or who share their residence with unrelated individuals.</w:t>
      </w:r>
    </w:p>
    <w:p w14:paraId="55FDB279" w14:textId="77777777" w:rsidR="003C51B1" w:rsidRPr="004A1B27" w:rsidRDefault="003C51B1" w:rsidP="007031BC">
      <w:pPr>
        <w:spacing w:line="312" w:lineRule="auto"/>
        <w:ind w:firstLine="709"/>
        <w:contextualSpacing/>
        <w:jc w:val="both"/>
        <w:rPr>
          <w:sz w:val="28"/>
          <w:lang w:val="en-US" w:bidi="ru-RU"/>
        </w:rPr>
      </w:pPr>
      <w:r w:rsidRPr="004A1B27">
        <w:rPr>
          <w:sz w:val="28"/>
          <w:lang w:val="en-US" w:bidi="ru-RU"/>
        </w:rPr>
        <w:t xml:space="preserve">Based on </w:t>
      </w:r>
      <w:r w:rsidRPr="00764FEA">
        <w:rPr>
          <w:b/>
          <w:sz w:val="28"/>
          <w:lang w:val="en-US" w:bidi="ru-RU"/>
        </w:rPr>
        <w:t>household size</w:t>
      </w:r>
      <w:r w:rsidRPr="004A1B27">
        <w:rPr>
          <w:sz w:val="28"/>
          <w:lang w:val="en-US" w:bidi="ru-RU"/>
        </w:rPr>
        <w:t xml:space="preserve">, it could be either (a) a one-person household, or (b) a multi-person household. </w:t>
      </w:r>
      <w:r w:rsidR="00451DE3">
        <w:rPr>
          <w:b/>
          <w:sz w:val="28"/>
          <w:lang w:val="en-US" w:bidi="ru-RU"/>
        </w:rPr>
        <w:t>A o</w:t>
      </w:r>
      <w:r w:rsidRPr="00764FEA">
        <w:rPr>
          <w:b/>
          <w:sz w:val="28"/>
          <w:lang w:val="en-US" w:bidi="ru-RU"/>
        </w:rPr>
        <w:t>ne-person household</w:t>
      </w:r>
      <w:r w:rsidRPr="004A1B27">
        <w:rPr>
          <w:sz w:val="28"/>
          <w:lang w:val="en-US" w:bidi="ru-RU"/>
        </w:rPr>
        <w:t xml:space="preserve"> equates to a person who serves the needs of his/her own in food, cloth, accommodation or other </w:t>
      </w:r>
      <w:r w:rsidR="00764FEA">
        <w:rPr>
          <w:sz w:val="28"/>
          <w:lang w:val="en-US" w:bidi="ru-RU"/>
        </w:rPr>
        <w:t>essential</w:t>
      </w:r>
      <w:r w:rsidRPr="004A1B27">
        <w:rPr>
          <w:sz w:val="28"/>
          <w:lang w:val="en-US" w:bidi="ru-RU"/>
        </w:rPr>
        <w:t xml:space="preserve">s for living without combining with any other person to form part of a multi-person household. </w:t>
      </w:r>
      <w:r w:rsidR="00451DE3">
        <w:rPr>
          <w:b/>
          <w:sz w:val="28"/>
          <w:lang w:val="en-US" w:bidi="ru-RU"/>
        </w:rPr>
        <w:t>A m</w:t>
      </w:r>
      <w:r w:rsidRPr="00764FEA">
        <w:rPr>
          <w:b/>
          <w:sz w:val="28"/>
          <w:lang w:val="en-US" w:bidi="ru-RU"/>
        </w:rPr>
        <w:t>ulti-person household</w:t>
      </w:r>
      <w:r w:rsidRPr="004A1B27">
        <w:rPr>
          <w:sz w:val="28"/>
          <w:lang w:val="en-US" w:bidi="ru-RU"/>
        </w:rPr>
        <w:t xml:space="preserve"> considers a group of two or more persons living together and mak</w:t>
      </w:r>
      <w:r w:rsidR="00451DE3">
        <w:rPr>
          <w:sz w:val="28"/>
          <w:lang w:val="en-US" w:bidi="ru-RU"/>
        </w:rPr>
        <w:t>ing</w:t>
      </w:r>
      <w:r w:rsidRPr="004A1B27">
        <w:rPr>
          <w:sz w:val="28"/>
          <w:lang w:val="en-US" w:bidi="ru-RU"/>
        </w:rPr>
        <w:t xml:space="preserve"> common provision for food, cloth, accommodation or other </w:t>
      </w:r>
      <w:r w:rsidR="00764FEA">
        <w:rPr>
          <w:sz w:val="28"/>
          <w:lang w:val="en-US" w:bidi="ru-RU"/>
        </w:rPr>
        <w:t>essential</w:t>
      </w:r>
      <w:r w:rsidRPr="004A1B27">
        <w:rPr>
          <w:sz w:val="28"/>
          <w:lang w:val="en-US" w:bidi="ru-RU"/>
        </w:rPr>
        <w:t xml:space="preserve">s for living. A household that consists of the group of people </w:t>
      </w:r>
      <w:r w:rsidR="00451DE3">
        <w:rPr>
          <w:sz w:val="28"/>
          <w:lang w:val="en-US" w:bidi="ru-RU"/>
        </w:rPr>
        <w:t>may</w:t>
      </w:r>
      <w:r w:rsidRPr="004A1B27">
        <w:rPr>
          <w:sz w:val="28"/>
          <w:lang w:val="en-US" w:bidi="ru-RU"/>
        </w:rPr>
        <w:t xml:space="preserve"> pool their incomes and, to a greater or lesser extent, have a common budget. They </w:t>
      </w:r>
      <w:r w:rsidR="00451DE3">
        <w:rPr>
          <w:sz w:val="28"/>
          <w:lang w:val="en-US" w:bidi="ru-RU"/>
        </w:rPr>
        <w:t>can</w:t>
      </w:r>
      <w:r w:rsidRPr="004A1B27">
        <w:rPr>
          <w:sz w:val="28"/>
          <w:lang w:val="en-US" w:bidi="ru-RU"/>
        </w:rPr>
        <w:t xml:space="preserve"> be related, unrelated or constitute a combination of persons both related and unrelated.</w:t>
      </w:r>
      <w:r w:rsidR="00966FB0" w:rsidRPr="00966FB0">
        <w:rPr>
          <w:sz w:val="28"/>
          <w:lang w:val="en-US" w:bidi="ru-RU"/>
        </w:rPr>
        <w:t xml:space="preserve"> </w:t>
      </w:r>
      <w:r w:rsidRPr="00764FEA">
        <w:rPr>
          <w:b/>
          <w:sz w:val="28"/>
          <w:lang w:val="en-US" w:bidi="ru-RU"/>
        </w:rPr>
        <w:t>According to a census</w:t>
      </w:r>
      <w:r w:rsidRPr="004A1B27">
        <w:rPr>
          <w:sz w:val="28"/>
          <w:lang w:val="en-US" w:bidi="ru-RU"/>
        </w:rPr>
        <w:t>, household c</w:t>
      </w:r>
      <w:r w:rsidR="00451DE3">
        <w:rPr>
          <w:sz w:val="28"/>
          <w:lang w:val="en-US" w:bidi="ru-RU"/>
        </w:rPr>
        <w:t>an</w:t>
      </w:r>
      <w:r w:rsidRPr="004A1B27">
        <w:rPr>
          <w:sz w:val="28"/>
          <w:lang w:val="en-US" w:bidi="ru-RU"/>
        </w:rPr>
        <w:t xml:space="preserve"> be: (i) one–person household; (ii) nuclear household; (iii) extended household; (iv) composite household;</w:t>
      </w:r>
      <w:r w:rsidR="00451DE3">
        <w:rPr>
          <w:sz w:val="28"/>
          <w:lang w:val="en-US" w:bidi="ru-RU"/>
        </w:rPr>
        <w:t xml:space="preserve"> and</w:t>
      </w:r>
      <w:r w:rsidRPr="004A1B27">
        <w:rPr>
          <w:sz w:val="28"/>
          <w:lang w:val="en-US" w:bidi="ru-RU"/>
        </w:rPr>
        <w:t xml:space="preserve"> (v) other/unknown.  </w:t>
      </w:r>
    </w:p>
    <w:p w14:paraId="00B4ABF2" w14:textId="77777777" w:rsidR="003C51B1" w:rsidRPr="004A1B27" w:rsidRDefault="003C51B1" w:rsidP="007031BC">
      <w:pPr>
        <w:spacing w:line="312" w:lineRule="auto"/>
        <w:ind w:firstLine="709"/>
        <w:contextualSpacing/>
        <w:jc w:val="both"/>
        <w:rPr>
          <w:sz w:val="28"/>
          <w:lang w:val="en-US" w:bidi="ru-RU"/>
        </w:rPr>
      </w:pPr>
      <w:r w:rsidRPr="004A1B27">
        <w:rPr>
          <w:sz w:val="28"/>
          <w:lang w:val="en-US" w:bidi="ru-RU"/>
        </w:rPr>
        <w:t>The main characteristic</w:t>
      </w:r>
      <w:r w:rsidR="00451DE3">
        <w:rPr>
          <w:sz w:val="28"/>
          <w:lang w:val="en-US" w:bidi="ru-RU"/>
        </w:rPr>
        <w:t>s</w:t>
      </w:r>
      <w:r w:rsidRPr="004A1B27">
        <w:rPr>
          <w:sz w:val="28"/>
          <w:lang w:val="en-US" w:bidi="ru-RU"/>
        </w:rPr>
        <w:t xml:space="preserve"> of the Ukrain</w:t>
      </w:r>
      <w:r w:rsidR="00451DE3">
        <w:rPr>
          <w:sz w:val="28"/>
          <w:lang w:val="en-US" w:bidi="ru-RU"/>
        </w:rPr>
        <w:t>ian</w:t>
      </w:r>
      <w:r w:rsidRPr="004A1B27">
        <w:rPr>
          <w:sz w:val="28"/>
          <w:lang w:val="en-US" w:bidi="ru-RU"/>
        </w:rPr>
        <w:t xml:space="preserve"> sector households during 2010</w:t>
      </w:r>
      <w:r w:rsidR="00451DE3" w:rsidRPr="004A1B27">
        <w:rPr>
          <w:sz w:val="28"/>
          <w:lang w:val="en-US" w:bidi="ru-RU"/>
        </w:rPr>
        <w:t>–</w:t>
      </w:r>
      <w:r w:rsidRPr="004A1B27">
        <w:rPr>
          <w:sz w:val="28"/>
          <w:lang w:val="en-US" w:bidi="ru-RU"/>
        </w:rPr>
        <w:t xml:space="preserve">2014 </w:t>
      </w:r>
      <w:r w:rsidR="00451DE3">
        <w:rPr>
          <w:sz w:val="28"/>
          <w:lang w:val="en-US" w:bidi="ru-RU"/>
        </w:rPr>
        <w:t xml:space="preserve">are </w:t>
      </w:r>
      <w:r w:rsidRPr="004A1B27">
        <w:rPr>
          <w:sz w:val="28"/>
          <w:lang w:val="en-US" w:bidi="ru-RU"/>
        </w:rPr>
        <w:t xml:space="preserve">shown in </w:t>
      </w:r>
      <w:r w:rsidR="00451DE3">
        <w:rPr>
          <w:sz w:val="28"/>
          <w:lang w:val="en-US" w:bidi="ru-RU"/>
        </w:rPr>
        <w:t>T</w:t>
      </w:r>
      <w:r w:rsidRPr="004A1B27">
        <w:rPr>
          <w:sz w:val="28"/>
          <w:lang w:val="en-US" w:bidi="ru-RU"/>
        </w:rPr>
        <w:t xml:space="preserve">able 6.1. </w:t>
      </w:r>
    </w:p>
    <w:p w14:paraId="2E350A2E" w14:textId="77777777" w:rsidR="00D0069E" w:rsidRDefault="00D0069E" w:rsidP="007031BC">
      <w:pPr>
        <w:spacing w:line="312" w:lineRule="auto"/>
        <w:ind w:firstLine="709"/>
        <w:contextualSpacing/>
        <w:jc w:val="right"/>
        <w:rPr>
          <w:b/>
          <w:sz w:val="28"/>
          <w:lang w:val="en-US" w:bidi="ru-RU"/>
        </w:rPr>
      </w:pPr>
    </w:p>
    <w:p w14:paraId="43D44115" w14:textId="77777777" w:rsidR="00B965A2" w:rsidRPr="00764FEA" w:rsidRDefault="00B965A2" w:rsidP="00E82249">
      <w:pPr>
        <w:spacing w:line="312" w:lineRule="auto"/>
        <w:contextualSpacing/>
        <w:jc w:val="both"/>
        <w:rPr>
          <w:b/>
          <w:sz w:val="28"/>
          <w:lang w:val="en-US" w:bidi="ru-RU"/>
        </w:rPr>
      </w:pPr>
      <w:r w:rsidRPr="00764FEA">
        <w:rPr>
          <w:b/>
          <w:sz w:val="28"/>
          <w:lang w:val="en-US" w:bidi="ru-RU"/>
        </w:rPr>
        <w:t>Table 6.1</w:t>
      </w:r>
      <w:r w:rsidR="007031BC">
        <w:rPr>
          <w:b/>
          <w:sz w:val="28"/>
          <w:lang w:val="en-US" w:bidi="ru-RU"/>
        </w:rPr>
        <w:t xml:space="preserve"> </w:t>
      </w:r>
      <w:r w:rsidR="007031BC" w:rsidRPr="007031BC">
        <w:rPr>
          <w:b/>
          <w:szCs w:val="28"/>
          <w:lang w:val="en-US"/>
        </w:rPr>
        <w:t xml:space="preserve">– </w:t>
      </w:r>
      <w:r w:rsidR="00391E69" w:rsidRPr="007031BC">
        <w:rPr>
          <w:b/>
          <w:sz w:val="28"/>
          <w:lang w:val="en-US" w:bidi="ru-RU"/>
        </w:rPr>
        <w:t>C</w:t>
      </w:r>
      <w:r w:rsidRPr="007031BC">
        <w:rPr>
          <w:b/>
          <w:sz w:val="28"/>
          <w:lang w:val="en-US" w:bidi="ru-RU"/>
        </w:rPr>
        <w:t>haracteristics</w:t>
      </w:r>
      <w:r w:rsidR="00391E69">
        <w:rPr>
          <w:b/>
          <w:sz w:val="28"/>
          <w:lang w:val="en-US" w:bidi="ru-RU"/>
        </w:rPr>
        <w:t xml:space="preserve"> of h</w:t>
      </w:r>
      <w:r w:rsidR="00391E69" w:rsidRPr="00391E69">
        <w:rPr>
          <w:b/>
          <w:sz w:val="28"/>
          <w:lang w:val="en-US" w:bidi="ru-RU"/>
        </w:rPr>
        <w:t>ouseholds</w:t>
      </w:r>
      <w:r w:rsidR="00391E69">
        <w:rPr>
          <w:b/>
          <w:sz w:val="28"/>
          <w:lang w:val="en-US" w:bidi="ru-RU"/>
        </w:rPr>
        <w:t xml:space="preserve"> </w:t>
      </w:r>
      <w:r w:rsidRPr="00764FEA">
        <w:rPr>
          <w:b/>
          <w:sz w:val="28"/>
          <w:lang w:val="en-US" w:bidi="ru-RU"/>
        </w:rPr>
        <w:t>in Ukraine</w:t>
      </w:r>
    </w:p>
    <w:tbl>
      <w:tblPr>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698"/>
        <w:gridCol w:w="709"/>
        <w:gridCol w:w="709"/>
        <w:gridCol w:w="850"/>
        <w:gridCol w:w="724"/>
        <w:gridCol w:w="765"/>
      </w:tblGrid>
      <w:tr w:rsidR="00B965A2" w:rsidRPr="00764FEA" w14:paraId="7AFE9F57" w14:textId="77777777" w:rsidTr="00730075">
        <w:trPr>
          <w:trHeight w:val="305"/>
        </w:trPr>
        <w:tc>
          <w:tcPr>
            <w:tcW w:w="5698" w:type="dxa"/>
            <w:vMerge w:val="restart"/>
            <w:tcBorders>
              <w:top w:val="single" w:sz="6" w:space="0" w:color="000000"/>
              <w:left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40D194B7" w14:textId="77777777" w:rsidR="00B965A2" w:rsidRPr="00764FEA" w:rsidRDefault="00B965A2" w:rsidP="00730075">
            <w:pPr>
              <w:pBdr>
                <w:top w:val="nil"/>
                <w:left w:val="nil"/>
                <w:bottom w:val="nil"/>
                <w:right w:val="nil"/>
                <w:between w:val="nil"/>
                <w:bar w:val="nil"/>
              </w:pBdr>
              <w:contextualSpacing/>
              <w:jc w:val="center"/>
              <w:rPr>
                <w:lang w:val="en-US" w:bidi="ru-RU"/>
              </w:rPr>
            </w:pPr>
            <w:r w:rsidRPr="00764FEA">
              <w:rPr>
                <w:b/>
                <w:sz w:val="28"/>
                <w:lang w:val="en-US" w:bidi="ru-RU"/>
              </w:rPr>
              <w:t xml:space="preserve"> </w:t>
            </w:r>
            <w:r w:rsidRPr="00764FEA">
              <w:rPr>
                <w:lang w:val="en-US" w:bidi="ru-RU"/>
              </w:rPr>
              <w:t xml:space="preserve"> </w:t>
            </w:r>
          </w:p>
        </w:tc>
        <w:tc>
          <w:tcPr>
            <w:tcW w:w="3757" w:type="dxa"/>
            <w:gridSpan w:val="5"/>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4342F6B0" w14:textId="77777777" w:rsidR="00B965A2" w:rsidRPr="00764FEA" w:rsidRDefault="00B965A2" w:rsidP="00730075">
            <w:pPr>
              <w:pBdr>
                <w:top w:val="nil"/>
                <w:left w:val="nil"/>
                <w:bottom w:val="nil"/>
                <w:right w:val="nil"/>
                <w:between w:val="nil"/>
                <w:bar w:val="nil"/>
              </w:pBdr>
              <w:contextualSpacing/>
              <w:jc w:val="center"/>
              <w:rPr>
                <w:sz w:val="28"/>
                <w:lang w:val="en-US" w:bidi="ru-RU"/>
              </w:rPr>
            </w:pPr>
            <w:r w:rsidRPr="00764FEA">
              <w:rPr>
                <w:sz w:val="28"/>
                <w:lang w:val="en-US" w:bidi="ru-RU"/>
              </w:rPr>
              <w:t>Year</w:t>
            </w:r>
          </w:p>
        </w:tc>
      </w:tr>
      <w:tr w:rsidR="00B965A2" w:rsidRPr="00764FEA" w14:paraId="0FCDCE0C" w14:textId="77777777" w:rsidTr="00730075">
        <w:trPr>
          <w:trHeight w:val="305"/>
        </w:trPr>
        <w:tc>
          <w:tcPr>
            <w:tcW w:w="5698" w:type="dxa"/>
            <w:vMerge/>
            <w:tcBorders>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1533D1E8" w14:textId="77777777" w:rsidR="00B965A2" w:rsidRPr="00764FEA" w:rsidRDefault="00B965A2" w:rsidP="00730075">
            <w:pPr>
              <w:pBdr>
                <w:top w:val="nil"/>
                <w:left w:val="nil"/>
                <w:bottom w:val="nil"/>
                <w:right w:val="nil"/>
                <w:between w:val="nil"/>
                <w:bar w:val="nil"/>
              </w:pBdr>
              <w:contextualSpacing/>
              <w:jc w:val="center"/>
              <w:rPr>
                <w:lang w:val="en-US" w:bidi="ru-RU"/>
              </w:rPr>
            </w:pPr>
          </w:p>
        </w:tc>
        <w:tc>
          <w:tcPr>
            <w:tcW w:w="70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00086A28" w14:textId="77777777" w:rsidR="00B965A2" w:rsidRPr="00764FEA" w:rsidRDefault="00B965A2" w:rsidP="00730075">
            <w:pPr>
              <w:pBdr>
                <w:top w:val="nil"/>
                <w:left w:val="nil"/>
                <w:bottom w:val="nil"/>
                <w:right w:val="nil"/>
                <w:between w:val="nil"/>
                <w:bar w:val="nil"/>
              </w:pBdr>
              <w:contextualSpacing/>
              <w:jc w:val="center"/>
              <w:rPr>
                <w:sz w:val="28"/>
                <w:lang w:val="en-US" w:bidi="ru-RU"/>
              </w:rPr>
            </w:pPr>
            <w:r w:rsidRPr="00764FEA">
              <w:rPr>
                <w:sz w:val="28"/>
                <w:lang w:val="en-US" w:bidi="ru-RU"/>
              </w:rPr>
              <w:t>2010</w:t>
            </w:r>
          </w:p>
        </w:tc>
        <w:tc>
          <w:tcPr>
            <w:tcW w:w="70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5DDD2ED6" w14:textId="77777777" w:rsidR="00B965A2" w:rsidRPr="00764FEA" w:rsidRDefault="00B965A2" w:rsidP="00730075">
            <w:pPr>
              <w:pBdr>
                <w:top w:val="nil"/>
                <w:left w:val="nil"/>
                <w:bottom w:val="nil"/>
                <w:right w:val="nil"/>
                <w:between w:val="nil"/>
                <w:bar w:val="nil"/>
              </w:pBdr>
              <w:contextualSpacing/>
              <w:jc w:val="center"/>
              <w:rPr>
                <w:sz w:val="28"/>
                <w:lang w:val="en-US" w:bidi="ru-RU"/>
              </w:rPr>
            </w:pPr>
            <w:r w:rsidRPr="00764FEA">
              <w:rPr>
                <w:sz w:val="28"/>
                <w:lang w:val="en-US" w:bidi="ru-RU"/>
              </w:rPr>
              <w:t>2011</w:t>
            </w:r>
          </w:p>
        </w:tc>
        <w:tc>
          <w:tcPr>
            <w:tcW w:w="85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095AAB54" w14:textId="77777777" w:rsidR="00B965A2" w:rsidRPr="00764FEA" w:rsidRDefault="00B965A2" w:rsidP="00730075">
            <w:pPr>
              <w:pBdr>
                <w:top w:val="nil"/>
                <w:left w:val="nil"/>
                <w:bottom w:val="nil"/>
                <w:right w:val="nil"/>
                <w:between w:val="nil"/>
                <w:bar w:val="nil"/>
              </w:pBdr>
              <w:contextualSpacing/>
              <w:jc w:val="center"/>
              <w:rPr>
                <w:sz w:val="28"/>
                <w:lang w:val="en-US" w:bidi="ru-RU"/>
              </w:rPr>
            </w:pPr>
            <w:r w:rsidRPr="00764FEA">
              <w:rPr>
                <w:sz w:val="28"/>
                <w:lang w:val="en-US" w:bidi="ru-RU"/>
              </w:rPr>
              <w:t>2012</w:t>
            </w:r>
          </w:p>
        </w:tc>
        <w:tc>
          <w:tcPr>
            <w:tcW w:w="72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766B5F9F" w14:textId="77777777" w:rsidR="00B965A2" w:rsidRPr="00764FEA" w:rsidRDefault="00B965A2" w:rsidP="00730075">
            <w:pPr>
              <w:pBdr>
                <w:top w:val="nil"/>
                <w:left w:val="nil"/>
                <w:bottom w:val="nil"/>
                <w:right w:val="nil"/>
                <w:between w:val="nil"/>
                <w:bar w:val="nil"/>
              </w:pBdr>
              <w:contextualSpacing/>
              <w:jc w:val="center"/>
              <w:rPr>
                <w:sz w:val="28"/>
                <w:lang w:val="en-US" w:bidi="ru-RU"/>
              </w:rPr>
            </w:pPr>
            <w:r w:rsidRPr="00764FEA">
              <w:rPr>
                <w:sz w:val="28"/>
                <w:lang w:val="en-US" w:bidi="ru-RU"/>
              </w:rPr>
              <w:t>2013</w:t>
            </w:r>
          </w:p>
        </w:tc>
        <w:tc>
          <w:tcPr>
            <w:tcW w:w="76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10405A1D" w14:textId="77777777" w:rsidR="00B965A2" w:rsidRPr="00764FEA" w:rsidRDefault="00B965A2" w:rsidP="00730075">
            <w:pPr>
              <w:pBdr>
                <w:top w:val="nil"/>
                <w:left w:val="nil"/>
                <w:bottom w:val="nil"/>
                <w:right w:val="nil"/>
                <w:between w:val="nil"/>
                <w:bar w:val="nil"/>
              </w:pBdr>
              <w:contextualSpacing/>
              <w:jc w:val="center"/>
              <w:rPr>
                <w:sz w:val="28"/>
                <w:lang w:val="en-US" w:bidi="ru-RU"/>
              </w:rPr>
            </w:pPr>
            <w:r w:rsidRPr="00764FEA">
              <w:rPr>
                <w:sz w:val="28"/>
                <w:lang w:val="en-US" w:bidi="ru-RU"/>
              </w:rPr>
              <w:t>2014</w:t>
            </w:r>
          </w:p>
        </w:tc>
      </w:tr>
      <w:tr w:rsidR="00B965A2" w:rsidRPr="00764FEA" w14:paraId="5F0E3E32" w14:textId="77777777" w:rsidTr="00730075">
        <w:trPr>
          <w:trHeight w:val="280"/>
        </w:trPr>
        <w:tc>
          <w:tcPr>
            <w:tcW w:w="5698"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65666F16"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en-US"/>
              </w:rPr>
              <w:t xml:space="preserve">Average size of </w:t>
            </w:r>
            <w:r w:rsidR="00451DE3">
              <w:rPr>
                <w:rFonts w:ascii="Garamond" w:hAnsi="Garamond"/>
                <w:sz w:val="28"/>
                <w:szCs w:val="28"/>
                <w:lang w:val="en-US"/>
              </w:rPr>
              <w:t xml:space="preserve">a </w:t>
            </w:r>
            <w:r w:rsidRPr="00764FEA">
              <w:rPr>
                <w:rFonts w:ascii="Garamond" w:hAnsi="Garamond"/>
                <w:sz w:val="28"/>
                <w:szCs w:val="28"/>
                <w:lang w:val="en-US"/>
              </w:rPr>
              <w:t>household, persons</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5C078D5"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59</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3E8550D" w14:textId="77777777" w:rsidR="00B965A2" w:rsidRPr="00764FEA" w:rsidRDefault="00B965A2" w:rsidP="00E82249">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59</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313AD1C" w14:textId="77777777" w:rsidR="00B965A2" w:rsidRPr="00764FEA" w:rsidRDefault="00B965A2" w:rsidP="00E82249">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58</w:t>
            </w:r>
          </w:p>
        </w:tc>
        <w:tc>
          <w:tcPr>
            <w:tcW w:w="724"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4E4FFC4" w14:textId="77777777" w:rsidR="00B965A2" w:rsidRPr="00764FEA" w:rsidRDefault="00B965A2" w:rsidP="00E82249">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58</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034A797" w14:textId="77777777" w:rsidR="00B965A2" w:rsidRPr="00764FEA" w:rsidRDefault="00B965A2" w:rsidP="00E82249">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58</w:t>
            </w:r>
          </w:p>
        </w:tc>
      </w:tr>
      <w:tr w:rsidR="00B965A2" w:rsidRPr="00764FEA" w14:paraId="3FC114DD" w14:textId="77777777" w:rsidTr="00730075">
        <w:trPr>
          <w:trHeight w:val="228"/>
        </w:trPr>
        <w:tc>
          <w:tcPr>
            <w:tcW w:w="5698"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4074E50C"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en-US"/>
              </w:rPr>
              <w:t xml:space="preserve">Average size of </w:t>
            </w:r>
            <w:r w:rsidR="00451DE3">
              <w:rPr>
                <w:rFonts w:ascii="Garamond" w:hAnsi="Garamond"/>
                <w:sz w:val="28"/>
                <w:szCs w:val="28"/>
                <w:lang w:val="en-US"/>
              </w:rPr>
              <w:t xml:space="preserve">a </w:t>
            </w:r>
            <w:r w:rsidRPr="00764FEA">
              <w:rPr>
                <w:rFonts w:ascii="Garamond" w:hAnsi="Garamond"/>
                <w:sz w:val="28"/>
                <w:szCs w:val="28"/>
                <w:lang w:val="en-US"/>
              </w:rPr>
              <w:t>household per conventional adult, persons</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F83D1E0"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12</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F177A61"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11</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2BECCAF"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11</w:t>
            </w:r>
          </w:p>
        </w:tc>
        <w:tc>
          <w:tcPr>
            <w:tcW w:w="724"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CBF0934"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11</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7D0C923"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E82249">
              <w:rPr>
                <w:rFonts w:ascii="Garamond" w:hAnsi="Garamond"/>
                <w:sz w:val="28"/>
                <w:szCs w:val="28"/>
                <w:shd w:val="clear" w:color="auto" w:fill="FFFFFF"/>
              </w:rPr>
              <w:t>.</w:t>
            </w:r>
            <w:r w:rsidRPr="00764FEA">
              <w:rPr>
                <w:rFonts w:ascii="Garamond" w:hAnsi="Garamond"/>
                <w:sz w:val="28"/>
                <w:szCs w:val="28"/>
                <w:shd w:val="clear" w:color="auto" w:fill="FFFFFF"/>
              </w:rPr>
              <w:t>10</w:t>
            </w:r>
          </w:p>
        </w:tc>
      </w:tr>
      <w:tr w:rsidR="00B965A2" w:rsidRPr="00764FEA" w14:paraId="52509C0C" w14:textId="77777777" w:rsidTr="00730075">
        <w:trPr>
          <w:trHeight w:val="307"/>
        </w:trPr>
        <w:tc>
          <w:tcPr>
            <w:tcW w:w="9455" w:type="dxa"/>
            <w:gridSpan w:val="6"/>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6D4A3142" w14:textId="77777777" w:rsidR="00B965A2" w:rsidRPr="00B965A2" w:rsidRDefault="00B965A2" w:rsidP="00520F9B">
            <w:pPr>
              <w:pStyle w:val="a4"/>
              <w:spacing w:line="240" w:lineRule="auto"/>
              <w:rPr>
                <w:rFonts w:ascii="Garamond" w:hAnsi="Garamond"/>
                <w:b/>
                <w:sz w:val="28"/>
                <w:szCs w:val="28"/>
              </w:rPr>
            </w:pPr>
            <w:r>
              <w:rPr>
                <w:rFonts w:ascii="Garamond" w:hAnsi="Garamond"/>
                <w:b/>
                <w:sz w:val="28"/>
                <w:szCs w:val="28"/>
                <w:lang w:val="en-US"/>
              </w:rPr>
              <w:t>Share of h</w:t>
            </w:r>
            <w:r w:rsidRPr="00B965A2">
              <w:rPr>
                <w:rFonts w:ascii="Garamond" w:hAnsi="Garamond"/>
                <w:b/>
                <w:sz w:val="28"/>
                <w:szCs w:val="28"/>
                <w:lang w:val="en-US"/>
              </w:rPr>
              <w:t xml:space="preserve">ouseholds, </w:t>
            </w:r>
            <w:r w:rsidR="00451DE3">
              <w:rPr>
                <w:rFonts w:ascii="Garamond" w:hAnsi="Garamond"/>
                <w:b/>
                <w:sz w:val="28"/>
                <w:szCs w:val="28"/>
                <w:lang w:val="en-US"/>
              </w:rPr>
              <w:t>according to the</w:t>
            </w:r>
            <w:r w:rsidRPr="00B965A2">
              <w:rPr>
                <w:rFonts w:ascii="Garamond" w:hAnsi="Garamond"/>
                <w:b/>
                <w:sz w:val="28"/>
                <w:szCs w:val="28"/>
                <w:lang w:val="en-US"/>
              </w:rPr>
              <w:t xml:space="preserve"> number of persons </w:t>
            </w:r>
            <w:r w:rsidR="00520F9B">
              <w:rPr>
                <w:rFonts w:ascii="Garamond" w:hAnsi="Garamond"/>
                <w:b/>
                <w:sz w:val="28"/>
                <w:szCs w:val="28"/>
                <w:lang w:val="en-US"/>
              </w:rPr>
              <w:t>in household</w:t>
            </w:r>
            <w:r>
              <w:rPr>
                <w:rFonts w:ascii="Garamond" w:hAnsi="Garamond"/>
                <w:b/>
                <w:sz w:val="28"/>
                <w:szCs w:val="28"/>
                <w:lang w:val="en-US"/>
              </w:rPr>
              <w:t>(%)</w:t>
            </w:r>
          </w:p>
        </w:tc>
      </w:tr>
      <w:tr w:rsidR="00B965A2" w:rsidRPr="00764FEA" w14:paraId="420C2C05" w14:textId="77777777" w:rsidTr="00730075">
        <w:trPr>
          <w:trHeight w:val="305"/>
        </w:trPr>
        <w:tc>
          <w:tcPr>
            <w:tcW w:w="5698"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797F67ED"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it-IT"/>
              </w:rPr>
              <w:t>one person</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7C2DAB2"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23</w:t>
            </w:r>
            <w:r w:rsidR="00520F9B">
              <w:rPr>
                <w:rFonts w:ascii="Garamond" w:hAnsi="Garamond"/>
                <w:sz w:val="28"/>
                <w:szCs w:val="28"/>
                <w:shd w:val="clear" w:color="auto" w:fill="FFFFFF"/>
              </w:rPr>
              <w:t>.</w:t>
            </w:r>
            <w:r w:rsidRPr="00764FEA">
              <w:rPr>
                <w:rFonts w:ascii="Garamond" w:hAnsi="Garamond"/>
                <w:sz w:val="28"/>
                <w:szCs w:val="28"/>
                <w:shd w:val="clear" w:color="auto" w:fill="FFFFFF"/>
              </w:rPr>
              <w:t>4</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94CB235"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23</w:t>
            </w:r>
            <w:r w:rsidR="00520F9B">
              <w:rPr>
                <w:rFonts w:ascii="Garamond" w:hAnsi="Garamond"/>
                <w:sz w:val="28"/>
                <w:szCs w:val="28"/>
                <w:shd w:val="clear" w:color="auto" w:fill="FFFFFF"/>
              </w:rPr>
              <w:t>.</w:t>
            </w:r>
            <w:r w:rsidRPr="00764FEA">
              <w:rPr>
                <w:rFonts w:ascii="Garamond" w:hAnsi="Garamond"/>
                <w:sz w:val="28"/>
                <w:szCs w:val="28"/>
                <w:shd w:val="clear" w:color="auto" w:fill="FFFFFF"/>
              </w:rPr>
              <w:t>6</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E5D8967"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22</w:t>
            </w:r>
            <w:r w:rsidR="00520F9B">
              <w:rPr>
                <w:rFonts w:ascii="Garamond" w:hAnsi="Garamond"/>
                <w:sz w:val="28"/>
                <w:szCs w:val="28"/>
                <w:shd w:val="clear" w:color="auto" w:fill="FFFFFF"/>
              </w:rPr>
              <w:t>.</w:t>
            </w:r>
            <w:r w:rsidRPr="00764FEA">
              <w:rPr>
                <w:rFonts w:ascii="Garamond" w:hAnsi="Garamond"/>
                <w:sz w:val="28"/>
                <w:szCs w:val="28"/>
                <w:shd w:val="clear" w:color="auto" w:fill="FFFFFF"/>
              </w:rPr>
              <w:t>4</w:t>
            </w:r>
          </w:p>
        </w:tc>
        <w:tc>
          <w:tcPr>
            <w:tcW w:w="724"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56CE858"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22</w:t>
            </w:r>
            <w:r w:rsidR="00520F9B">
              <w:rPr>
                <w:rFonts w:ascii="Garamond" w:hAnsi="Garamond"/>
                <w:sz w:val="28"/>
                <w:szCs w:val="28"/>
                <w:shd w:val="clear" w:color="auto" w:fill="FFFFFF"/>
              </w:rPr>
              <w:t>.</w:t>
            </w:r>
            <w:r w:rsidRPr="00764FEA">
              <w:rPr>
                <w:rFonts w:ascii="Garamond" w:hAnsi="Garamond"/>
                <w:sz w:val="28"/>
                <w:szCs w:val="28"/>
                <w:shd w:val="clear" w:color="auto" w:fill="FFFFFF"/>
              </w:rPr>
              <w:t>6</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E1A4D17"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22</w:t>
            </w:r>
            <w:r w:rsidR="00520F9B">
              <w:rPr>
                <w:rFonts w:ascii="Garamond" w:hAnsi="Garamond"/>
                <w:sz w:val="28"/>
                <w:szCs w:val="28"/>
                <w:shd w:val="clear" w:color="auto" w:fill="FFFFFF"/>
              </w:rPr>
              <w:t>.</w:t>
            </w:r>
            <w:r w:rsidRPr="00764FEA">
              <w:rPr>
                <w:rFonts w:ascii="Garamond" w:hAnsi="Garamond"/>
                <w:sz w:val="28"/>
                <w:szCs w:val="28"/>
                <w:shd w:val="clear" w:color="auto" w:fill="FFFFFF"/>
              </w:rPr>
              <w:t>8</w:t>
            </w:r>
          </w:p>
        </w:tc>
      </w:tr>
      <w:tr w:rsidR="00B965A2" w:rsidRPr="00764FEA" w14:paraId="24B95259" w14:textId="77777777" w:rsidTr="00730075">
        <w:trPr>
          <w:trHeight w:val="305"/>
        </w:trPr>
        <w:tc>
          <w:tcPr>
            <w:tcW w:w="5698"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68018C4A"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rPr>
              <w:t>two persons</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E6FCFDF"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28</w:t>
            </w:r>
            <w:r w:rsidR="00520F9B">
              <w:rPr>
                <w:rFonts w:ascii="Garamond" w:hAnsi="Garamond"/>
                <w:sz w:val="28"/>
                <w:szCs w:val="28"/>
                <w:shd w:val="clear" w:color="auto" w:fill="FFFFFF"/>
              </w:rPr>
              <w:t>.</w:t>
            </w:r>
            <w:r w:rsidRPr="00764FEA">
              <w:rPr>
                <w:rFonts w:ascii="Garamond" w:hAnsi="Garamond"/>
                <w:sz w:val="28"/>
                <w:szCs w:val="28"/>
                <w:shd w:val="clear" w:color="auto" w:fill="FFFFFF"/>
              </w:rPr>
              <w:t>3</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2866173"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27</w:t>
            </w:r>
            <w:r w:rsidR="00520F9B">
              <w:rPr>
                <w:rFonts w:ascii="Garamond" w:hAnsi="Garamond"/>
                <w:sz w:val="28"/>
                <w:szCs w:val="28"/>
                <w:shd w:val="clear" w:color="auto" w:fill="FFFFFF"/>
              </w:rPr>
              <w:t>.</w:t>
            </w:r>
            <w:r w:rsidRPr="00764FEA">
              <w:rPr>
                <w:rFonts w:ascii="Garamond" w:hAnsi="Garamond"/>
                <w:sz w:val="28"/>
                <w:szCs w:val="28"/>
                <w:shd w:val="clear" w:color="auto" w:fill="FFFFFF"/>
              </w:rPr>
              <w:t>9</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8553E89"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30</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c>
          <w:tcPr>
            <w:tcW w:w="724"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94CEBBB"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29</w:t>
            </w:r>
            <w:r w:rsidR="00520F9B">
              <w:rPr>
                <w:rFonts w:ascii="Garamond" w:hAnsi="Garamond"/>
                <w:sz w:val="28"/>
                <w:szCs w:val="28"/>
                <w:shd w:val="clear" w:color="auto" w:fill="FFFFFF"/>
              </w:rPr>
              <w:t>.</w:t>
            </w:r>
            <w:r w:rsidRPr="00764FEA">
              <w:rPr>
                <w:rFonts w:ascii="Garamond" w:hAnsi="Garamond"/>
                <w:sz w:val="28"/>
                <w:szCs w:val="28"/>
                <w:shd w:val="clear" w:color="auto" w:fill="FFFFFF"/>
              </w:rPr>
              <w:t>1</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6FC363B"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29</w:t>
            </w:r>
            <w:r w:rsidR="00520F9B">
              <w:rPr>
                <w:rFonts w:ascii="Garamond" w:hAnsi="Garamond"/>
                <w:sz w:val="28"/>
                <w:szCs w:val="28"/>
                <w:shd w:val="clear" w:color="auto" w:fill="FFFFFF"/>
              </w:rPr>
              <w:t>.</w:t>
            </w:r>
            <w:r w:rsidRPr="00764FEA">
              <w:rPr>
                <w:rFonts w:ascii="Garamond" w:hAnsi="Garamond"/>
                <w:sz w:val="28"/>
                <w:szCs w:val="28"/>
                <w:shd w:val="clear" w:color="auto" w:fill="FFFFFF"/>
              </w:rPr>
              <w:t>6</w:t>
            </w:r>
          </w:p>
        </w:tc>
      </w:tr>
      <w:tr w:rsidR="00B965A2" w:rsidRPr="00764FEA" w14:paraId="6B1CF9FE" w14:textId="77777777" w:rsidTr="00730075">
        <w:trPr>
          <w:trHeight w:val="305"/>
        </w:trPr>
        <w:tc>
          <w:tcPr>
            <w:tcW w:w="5698"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7498DCCC"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en-US"/>
              </w:rPr>
              <w:t>three persons</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75B6E5B"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25</w:t>
            </w:r>
            <w:r w:rsidR="00520F9B">
              <w:rPr>
                <w:rFonts w:ascii="Garamond" w:hAnsi="Garamond"/>
                <w:sz w:val="28"/>
                <w:szCs w:val="28"/>
                <w:shd w:val="clear" w:color="auto" w:fill="FFFFFF"/>
              </w:rPr>
              <w:t>.</w:t>
            </w:r>
            <w:r w:rsidRPr="00764FEA">
              <w:rPr>
                <w:rFonts w:ascii="Garamond" w:hAnsi="Garamond"/>
                <w:sz w:val="28"/>
                <w:szCs w:val="28"/>
                <w:shd w:val="clear" w:color="auto" w:fill="FFFFFF"/>
              </w:rPr>
              <w:t>5</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9A55047"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25</w:t>
            </w:r>
            <w:r w:rsidR="00520F9B">
              <w:rPr>
                <w:rFonts w:ascii="Garamond" w:hAnsi="Garamond"/>
                <w:sz w:val="28"/>
                <w:szCs w:val="28"/>
                <w:shd w:val="clear" w:color="auto" w:fill="FFFFFF"/>
              </w:rPr>
              <w:t>.</w:t>
            </w:r>
            <w:r w:rsidRPr="00764FEA">
              <w:rPr>
                <w:rFonts w:ascii="Garamond" w:hAnsi="Garamond"/>
                <w:sz w:val="28"/>
                <w:szCs w:val="28"/>
                <w:shd w:val="clear" w:color="auto" w:fill="FFFFFF"/>
              </w:rPr>
              <w:t>8</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605AEF9"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25</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c>
          <w:tcPr>
            <w:tcW w:w="724"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31677F9"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26</w:t>
            </w:r>
            <w:r w:rsidR="00520F9B">
              <w:rPr>
                <w:rFonts w:ascii="Garamond" w:hAnsi="Garamond"/>
                <w:sz w:val="28"/>
                <w:szCs w:val="28"/>
                <w:shd w:val="clear" w:color="auto" w:fill="FFFFFF"/>
              </w:rPr>
              <w:t>.</w:t>
            </w:r>
            <w:r w:rsidRPr="00764FEA">
              <w:rPr>
                <w:rFonts w:ascii="Garamond" w:hAnsi="Garamond"/>
                <w:sz w:val="28"/>
                <w:szCs w:val="28"/>
                <w:shd w:val="clear" w:color="auto" w:fill="FFFFFF"/>
              </w:rPr>
              <w:t>9</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0056C6B"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25</w:t>
            </w:r>
            <w:r w:rsidR="00520F9B">
              <w:rPr>
                <w:rFonts w:ascii="Garamond" w:hAnsi="Garamond"/>
                <w:sz w:val="28"/>
                <w:szCs w:val="28"/>
                <w:shd w:val="clear" w:color="auto" w:fill="FFFFFF"/>
              </w:rPr>
              <w:t>.</w:t>
            </w:r>
            <w:r w:rsidRPr="00764FEA">
              <w:rPr>
                <w:rFonts w:ascii="Garamond" w:hAnsi="Garamond"/>
                <w:sz w:val="28"/>
                <w:szCs w:val="28"/>
                <w:shd w:val="clear" w:color="auto" w:fill="FFFFFF"/>
              </w:rPr>
              <w:t>3</w:t>
            </w:r>
          </w:p>
        </w:tc>
      </w:tr>
      <w:tr w:rsidR="00B965A2" w:rsidRPr="00764FEA" w14:paraId="7E4CF6CC" w14:textId="77777777" w:rsidTr="00730075">
        <w:trPr>
          <w:trHeight w:val="305"/>
        </w:trPr>
        <w:tc>
          <w:tcPr>
            <w:tcW w:w="5698"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51AF7D29"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en-US"/>
              </w:rPr>
              <w:t>four persons and more</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4616722" w14:textId="77777777" w:rsidR="00B965A2" w:rsidRPr="00764FEA" w:rsidRDefault="00520F9B" w:rsidP="00730075">
            <w:pPr>
              <w:pStyle w:val="a4"/>
              <w:spacing w:line="240" w:lineRule="auto"/>
              <w:jc w:val="center"/>
              <w:rPr>
                <w:rFonts w:ascii="Garamond" w:hAnsi="Garamond"/>
                <w:sz w:val="28"/>
                <w:szCs w:val="28"/>
              </w:rPr>
            </w:pPr>
            <w:r>
              <w:rPr>
                <w:rFonts w:ascii="Garamond" w:hAnsi="Garamond"/>
                <w:sz w:val="28"/>
                <w:szCs w:val="28"/>
                <w:shd w:val="clear" w:color="auto" w:fill="FFFFFF"/>
              </w:rPr>
              <w:t>22.</w:t>
            </w:r>
            <w:r w:rsidR="00B965A2" w:rsidRPr="00764FEA">
              <w:rPr>
                <w:rFonts w:ascii="Garamond" w:hAnsi="Garamond"/>
                <w:sz w:val="28"/>
                <w:szCs w:val="28"/>
                <w:shd w:val="clear" w:color="auto" w:fill="FFFFFF"/>
              </w:rPr>
              <w:t>8</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7BE6A01"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22</w:t>
            </w:r>
            <w:r w:rsidR="00520F9B">
              <w:rPr>
                <w:rFonts w:ascii="Garamond" w:hAnsi="Garamond"/>
                <w:sz w:val="28"/>
                <w:szCs w:val="28"/>
                <w:shd w:val="clear" w:color="auto" w:fill="FFFFFF"/>
              </w:rPr>
              <w:t>.</w:t>
            </w:r>
            <w:r w:rsidRPr="00764FEA">
              <w:rPr>
                <w:rFonts w:ascii="Garamond" w:hAnsi="Garamond"/>
                <w:sz w:val="28"/>
                <w:szCs w:val="28"/>
                <w:shd w:val="clear" w:color="auto" w:fill="FFFFFF"/>
              </w:rPr>
              <w:t>7</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EF57C5C"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22</w:t>
            </w:r>
            <w:r w:rsidR="00520F9B">
              <w:rPr>
                <w:rFonts w:ascii="Garamond" w:hAnsi="Garamond"/>
                <w:sz w:val="28"/>
                <w:szCs w:val="28"/>
                <w:shd w:val="clear" w:color="auto" w:fill="FFFFFF"/>
              </w:rPr>
              <w:t>.</w:t>
            </w:r>
            <w:r w:rsidRPr="00764FEA">
              <w:rPr>
                <w:rFonts w:ascii="Garamond" w:hAnsi="Garamond"/>
                <w:sz w:val="28"/>
                <w:szCs w:val="28"/>
                <w:shd w:val="clear" w:color="auto" w:fill="FFFFFF"/>
              </w:rPr>
              <w:t>6</w:t>
            </w:r>
          </w:p>
        </w:tc>
        <w:tc>
          <w:tcPr>
            <w:tcW w:w="724"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AB0A0A6"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21</w:t>
            </w:r>
            <w:r w:rsidR="00520F9B">
              <w:rPr>
                <w:rFonts w:ascii="Garamond" w:hAnsi="Garamond"/>
                <w:sz w:val="28"/>
                <w:szCs w:val="28"/>
                <w:shd w:val="clear" w:color="auto" w:fill="FFFFFF"/>
              </w:rPr>
              <w:t>.</w:t>
            </w:r>
            <w:r w:rsidRPr="00764FEA">
              <w:rPr>
                <w:rFonts w:ascii="Garamond" w:hAnsi="Garamond"/>
                <w:sz w:val="28"/>
                <w:szCs w:val="28"/>
                <w:shd w:val="clear" w:color="auto" w:fill="FFFFFF"/>
              </w:rPr>
              <w:t>4</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50FE83A"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22</w:t>
            </w:r>
            <w:r w:rsidR="00520F9B">
              <w:rPr>
                <w:rFonts w:ascii="Garamond" w:hAnsi="Garamond"/>
                <w:sz w:val="28"/>
                <w:szCs w:val="28"/>
                <w:shd w:val="clear" w:color="auto" w:fill="FFFFFF"/>
              </w:rPr>
              <w:t>.</w:t>
            </w:r>
            <w:r w:rsidRPr="00764FEA">
              <w:rPr>
                <w:rFonts w:ascii="Garamond" w:hAnsi="Garamond"/>
                <w:sz w:val="28"/>
                <w:szCs w:val="28"/>
                <w:shd w:val="clear" w:color="auto" w:fill="FFFFFF"/>
              </w:rPr>
              <w:t>3</w:t>
            </w:r>
          </w:p>
        </w:tc>
      </w:tr>
      <w:tr w:rsidR="00B965A2" w:rsidRPr="00764FEA" w14:paraId="6B8E3297" w14:textId="77777777" w:rsidTr="00730075">
        <w:trPr>
          <w:trHeight w:val="425"/>
        </w:trPr>
        <w:tc>
          <w:tcPr>
            <w:tcW w:w="5698"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69A4E85E"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en-US"/>
              </w:rPr>
              <w:t>Share of households with children under 18 years old (%)</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6734C84"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37</w:t>
            </w:r>
            <w:r w:rsidR="00520F9B">
              <w:rPr>
                <w:rFonts w:ascii="Garamond" w:hAnsi="Garamond"/>
                <w:sz w:val="28"/>
                <w:szCs w:val="28"/>
                <w:shd w:val="clear" w:color="auto" w:fill="FFFFFF"/>
              </w:rPr>
              <w:t>.</w:t>
            </w:r>
            <w:r w:rsidRPr="00764FEA">
              <w:rPr>
                <w:rFonts w:ascii="Garamond" w:hAnsi="Garamond"/>
                <w:sz w:val="28"/>
                <w:szCs w:val="28"/>
                <w:shd w:val="clear" w:color="auto" w:fill="FFFFFF"/>
              </w:rPr>
              <w:t>9</w:t>
            </w:r>
          </w:p>
        </w:tc>
        <w:tc>
          <w:tcPr>
            <w:tcW w:w="709"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04B5326"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38</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c>
          <w:tcPr>
            <w:tcW w:w="850"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4C1A190"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38</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c>
          <w:tcPr>
            <w:tcW w:w="724"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35FD31A"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38</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E32525A"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38</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r>
      <w:tr w:rsidR="00B965A2" w:rsidRPr="00764FEA" w14:paraId="304B2D05" w14:textId="77777777" w:rsidTr="00730075">
        <w:trPr>
          <w:trHeight w:val="231"/>
        </w:trPr>
        <w:tc>
          <w:tcPr>
            <w:tcW w:w="5698"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4937BA46"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en-US"/>
              </w:rPr>
              <w:t xml:space="preserve">Share of households without </w:t>
            </w:r>
            <w:r w:rsidRPr="00764FEA">
              <w:rPr>
                <w:rFonts w:ascii="Garamond" w:hAnsi="Garamond"/>
                <w:sz w:val="28"/>
                <w:szCs w:val="28"/>
              </w:rPr>
              <w:t>сhildren (%)</w:t>
            </w:r>
          </w:p>
        </w:tc>
        <w:tc>
          <w:tcPr>
            <w:tcW w:w="709" w:type="dxa"/>
            <w:tcBorders>
              <w:top w:val="single" w:sz="6" w:space="0" w:color="000000"/>
              <w:left w:val="single" w:sz="6" w:space="0" w:color="000000"/>
              <w:bottom w:val="single" w:sz="8" w:space="0" w:color="000000"/>
              <w:right w:val="single" w:sz="6" w:space="0" w:color="000000"/>
            </w:tcBorders>
            <w:shd w:val="clear" w:color="auto" w:fill="FFFFFF"/>
            <w:tcMar>
              <w:top w:w="0" w:type="dxa"/>
              <w:left w:w="28" w:type="dxa"/>
              <w:bottom w:w="0" w:type="dxa"/>
              <w:right w:w="28" w:type="dxa"/>
            </w:tcMar>
            <w:vAlign w:val="bottom"/>
          </w:tcPr>
          <w:p w14:paraId="79F1ED29"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62</w:t>
            </w:r>
            <w:r w:rsidR="00520F9B">
              <w:rPr>
                <w:rFonts w:ascii="Garamond" w:hAnsi="Garamond"/>
                <w:sz w:val="28"/>
                <w:szCs w:val="28"/>
                <w:shd w:val="clear" w:color="auto" w:fill="FFFFFF"/>
              </w:rPr>
              <w:t>.</w:t>
            </w:r>
            <w:r w:rsidRPr="00764FEA">
              <w:rPr>
                <w:rFonts w:ascii="Garamond" w:hAnsi="Garamond"/>
                <w:sz w:val="28"/>
                <w:szCs w:val="28"/>
                <w:shd w:val="clear" w:color="auto" w:fill="FFFFFF"/>
              </w:rPr>
              <w:t>1</w:t>
            </w:r>
          </w:p>
        </w:tc>
        <w:tc>
          <w:tcPr>
            <w:tcW w:w="709" w:type="dxa"/>
            <w:tcBorders>
              <w:top w:val="single" w:sz="6" w:space="0" w:color="000000"/>
              <w:left w:val="single" w:sz="6" w:space="0" w:color="000000"/>
              <w:bottom w:val="single" w:sz="8" w:space="0" w:color="000000"/>
              <w:right w:val="single" w:sz="6" w:space="0" w:color="000000"/>
            </w:tcBorders>
            <w:shd w:val="clear" w:color="auto" w:fill="FFFFFF"/>
            <w:tcMar>
              <w:top w:w="0" w:type="dxa"/>
              <w:left w:w="28" w:type="dxa"/>
              <w:bottom w:w="0" w:type="dxa"/>
              <w:right w:w="28" w:type="dxa"/>
            </w:tcMar>
            <w:vAlign w:val="bottom"/>
          </w:tcPr>
          <w:p w14:paraId="51244703"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62</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c>
          <w:tcPr>
            <w:tcW w:w="850" w:type="dxa"/>
            <w:tcBorders>
              <w:top w:val="single" w:sz="6" w:space="0" w:color="000000"/>
              <w:left w:val="single" w:sz="6" w:space="0" w:color="000000"/>
              <w:bottom w:val="single" w:sz="8" w:space="0" w:color="000000"/>
              <w:right w:val="single" w:sz="6" w:space="0" w:color="000000"/>
            </w:tcBorders>
            <w:shd w:val="clear" w:color="auto" w:fill="FFFFFF"/>
            <w:tcMar>
              <w:top w:w="0" w:type="dxa"/>
              <w:left w:w="28" w:type="dxa"/>
              <w:bottom w:w="0" w:type="dxa"/>
              <w:right w:w="28" w:type="dxa"/>
            </w:tcMar>
            <w:vAlign w:val="bottom"/>
          </w:tcPr>
          <w:p w14:paraId="77C5275C"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62</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c>
          <w:tcPr>
            <w:tcW w:w="724" w:type="dxa"/>
            <w:tcBorders>
              <w:top w:val="single" w:sz="6" w:space="0" w:color="000000"/>
              <w:left w:val="single" w:sz="6" w:space="0" w:color="000000"/>
              <w:bottom w:val="single" w:sz="8" w:space="0" w:color="000000"/>
              <w:right w:val="single" w:sz="6" w:space="0" w:color="000000"/>
            </w:tcBorders>
            <w:shd w:val="clear" w:color="auto" w:fill="FFFFFF"/>
            <w:tcMar>
              <w:top w:w="0" w:type="dxa"/>
              <w:left w:w="28" w:type="dxa"/>
              <w:bottom w:w="0" w:type="dxa"/>
              <w:right w:w="28" w:type="dxa"/>
            </w:tcMar>
            <w:vAlign w:val="bottom"/>
          </w:tcPr>
          <w:p w14:paraId="6183FC7D"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62</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c>
          <w:tcPr>
            <w:tcW w:w="765" w:type="dxa"/>
            <w:tcBorders>
              <w:top w:val="single" w:sz="6" w:space="0" w:color="000000"/>
              <w:left w:val="single" w:sz="6" w:space="0" w:color="000000"/>
              <w:bottom w:val="single" w:sz="8" w:space="0" w:color="000000"/>
              <w:right w:val="single" w:sz="6" w:space="0" w:color="000000"/>
            </w:tcBorders>
            <w:shd w:val="clear" w:color="auto" w:fill="FFFFFF"/>
            <w:tcMar>
              <w:top w:w="0" w:type="dxa"/>
              <w:left w:w="28" w:type="dxa"/>
              <w:bottom w:w="0" w:type="dxa"/>
              <w:right w:w="28" w:type="dxa"/>
            </w:tcMar>
            <w:vAlign w:val="bottom"/>
          </w:tcPr>
          <w:p w14:paraId="1F7A4238"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62</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r>
    </w:tbl>
    <w:p w14:paraId="4F0AE804" w14:textId="77777777" w:rsidR="007031BC" w:rsidRDefault="007031BC">
      <w:pPr>
        <w:rPr>
          <w:lang w:val="en-US"/>
        </w:rPr>
      </w:pPr>
    </w:p>
    <w:p w14:paraId="7073BB11" w14:textId="77777777" w:rsidR="007031BC" w:rsidRDefault="007031BC">
      <w:pPr>
        <w:rPr>
          <w:lang w:val="en-US"/>
        </w:rPr>
      </w:pPr>
    </w:p>
    <w:tbl>
      <w:tblPr>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656"/>
        <w:gridCol w:w="42"/>
        <w:gridCol w:w="667"/>
        <w:gridCol w:w="42"/>
        <w:gridCol w:w="667"/>
        <w:gridCol w:w="42"/>
        <w:gridCol w:w="808"/>
        <w:gridCol w:w="42"/>
        <w:gridCol w:w="724"/>
        <w:gridCol w:w="765"/>
      </w:tblGrid>
      <w:tr w:rsidR="007031BC" w:rsidRPr="00764FEA" w14:paraId="7B1ABC29" w14:textId="77777777" w:rsidTr="007031BC">
        <w:trPr>
          <w:trHeight w:val="305"/>
        </w:trPr>
        <w:tc>
          <w:tcPr>
            <w:tcW w:w="9455" w:type="dxa"/>
            <w:gridSpan w:val="10"/>
            <w:tcBorders>
              <w:top w:val="nil"/>
              <w:left w:val="nil"/>
              <w:right w:val="nil"/>
            </w:tcBorders>
            <w:shd w:val="clear" w:color="auto" w:fill="FFFFFF" w:themeFill="background1"/>
            <w:tcMar>
              <w:top w:w="0" w:type="dxa"/>
              <w:left w:w="28" w:type="dxa"/>
              <w:bottom w:w="0" w:type="dxa"/>
              <w:right w:w="28" w:type="dxa"/>
            </w:tcMar>
          </w:tcPr>
          <w:p w14:paraId="22DC5E4F" w14:textId="77777777" w:rsidR="007031BC" w:rsidRPr="00764FEA" w:rsidRDefault="007031BC" w:rsidP="007031BC">
            <w:pPr>
              <w:pBdr>
                <w:top w:val="nil"/>
                <w:left w:val="nil"/>
                <w:bottom w:val="nil"/>
                <w:right w:val="nil"/>
                <w:between w:val="nil"/>
                <w:bar w:val="nil"/>
              </w:pBdr>
              <w:contextualSpacing/>
              <w:rPr>
                <w:sz w:val="28"/>
                <w:lang w:val="en-US" w:bidi="ru-RU"/>
              </w:rPr>
            </w:pPr>
            <w:r>
              <w:rPr>
                <w:sz w:val="28"/>
                <w:lang w:val="en-US" w:bidi="ru-RU"/>
              </w:rPr>
              <w:lastRenderedPageBreak/>
              <w:t xml:space="preserve">Continuation of Table 6.1 </w:t>
            </w:r>
          </w:p>
        </w:tc>
      </w:tr>
      <w:tr w:rsidR="007031BC" w:rsidRPr="00764FEA" w14:paraId="781EF4EB" w14:textId="77777777" w:rsidTr="007031BC">
        <w:trPr>
          <w:trHeight w:val="305"/>
        </w:trPr>
        <w:tc>
          <w:tcPr>
            <w:tcW w:w="5698" w:type="dxa"/>
            <w:gridSpan w:val="2"/>
            <w:vMerge w:val="restart"/>
            <w:tcBorders>
              <w:top w:val="single" w:sz="6" w:space="0" w:color="000000"/>
              <w:left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4BB16B54" w14:textId="77777777" w:rsidR="007031BC" w:rsidRPr="00764FEA" w:rsidRDefault="007031BC" w:rsidP="007031BC">
            <w:pPr>
              <w:pBdr>
                <w:top w:val="nil"/>
                <w:left w:val="nil"/>
                <w:bottom w:val="nil"/>
                <w:right w:val="nil"/>
                <w:between w:val="nil"/>
                <w:bar w:val="nil"/>
              </w:pBdr>
              <w:contextualSpacing/>
              <w:jc w:val="center"/>
              <w:rPr>
                <w:lang w:val="en-US" w:bidi="ru-RU"/>
              </w:rPr>
            </w:pPr>
            <w:r w:rsidRPr="00764FEA">
              <w:rPr>
                <w:b/>
                <w:sz w:val="28"/>
                <w:lang w:val="en-US" w:bidi="ru-RU"/>
              </w:rPr>
              <w:t xml:space="preserve"> </w:t>
            </w:r>
            <w:r w:rsidRPr="00764FEA">
              <w:rPr>
                <w:lang w:val="en-US" w:bidi="ru-RU"/>
              </w:rPr>
              <w:t xml:space="preserve"> </w:t>
            </w:r>
          </w:p>
        </w:tc>
        <w:tc>
          <w:tcPr>
            <w:tcW w:w="3757" w:type="dxa"/>
            <w:gridSpan w:val="8"/>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706F47B6" w14:textId="77777777" w:rsidR="007031BC" w:rsidRPr="00764FEA" w:rsidRDefault="007031BC" w:rsidP="007031BC">
            <w:pPr>
              <w:pBdr>
                <w:top w:val="nil"/>
                <w:left w:val="nil"/>
                <w:bottom w:val="nil"/>
                <w:right w:val="nil"/>
                <w:between w:val="nil"/>
                <w:bar w:val="nil"/>
              </w:pBdr>
              <w:contextualSpacing/>
              <w:jc w:val="center"/>
              <w:rPr>
                <w:sz w:val="28"/>
                <w:lang w:val="en-US" w:bidi="ru-RU"/>
              </w:rPr>
            </w:pPr>
            <w:r w:rsidRPr="00764FEA">
              <w:rPr>
                <w:sz w:val="28"/>
                <w:lang w:val="en-US" w:bidi="ru-RU"/>
              </w:rPr>
              <w:t>Year</w:t>
            </w:r>
          </w:p>
        </w:tc>
      </w:tr>
      <w:tr w:rsidR="007031BC" w:rsidRPr="00764FEA" w14:paraId="3E06282F" w14:textId="77777777" w:rsidTr="007031BC">
        <w:trPr>
          <w:trHeight w:val="305"/>
        </w:trPr>
        <w:tc>
          <w:tcPr>
            <w:tcW w:w="5698" w:type="dxa"/>
            <w:gridSpan w:val="2"/>
            <w:vMerge/>
            <w:tcBorders>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56A6D979" w14:textId="77777777" w:rsidR="007031BC" w:rsidRPr="00764FEA" w:rsidRDefault="007031BC" w:rsidP="007031BC">
            <w:pPr>
              <w:pBdr>
                <w:top w:val="nil"/>
                <w:left w:val="nil"/>
                <w:bottom w:val="nil"/>
                <w:right w:val="nil"/>
                <w:between w:val="nil"/>
                <w:bar w:val="nil"/>
              </w:pBdr>
              <w:contextualSpacing/>
              <w:jc w:val="center"/>
              <w:rPr>
                <w:lang w:val="en-US" w:bidi="ru-RU"/>
              </w:rPr>
            </w:pPr>
          </w:p>
        </w:tc>
        <w:tc>
          <w:tcPr>
            <w:tcW w:w="709"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59F1EBC5" w14:textId="77777777" w:rsidR="007031BC" w:rsidRPr="00764FEA" w:rsidRDefault="007031BC" w:rsidP="007031BC">
            <w:pPr>
              <w:pBdr>
                <w:top w:val="nil"/>
                <w:left w:val="nil"/>
                <w:bottom w:val="nil"/>
                <w:right w:val="nil"/>
                <w:between w:val="nil"/>
                <w:bar w:val="nil"/>
              </w:pBdr>
              <w:contextualSpacing/>
              <w:jc w:val="center"/>
              <w:rPr>
                <w:sz w:val="28"/>
                <w:lang w:val="en-US" w:bidi="ru-RU"/>
              </w:rPr>
            </w:pPr>
            <w:r w:rsidRPr="00764FEA">
              <w:rPr>
                <w:sz w:val="28"/>
                <w:lang w:val="en-US" w:bidi="ru-RU"/>
              </w:rPr>
              <w:t>2010</w:t>
            </w:r>
          </w:p>
        </w:tc>
        <w:tc>
          <w:tcPr>
            <w:tcW w:w="709"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30EEC53A" w14:textId="77777777" w:rsidR="007031BC" w:rsidRPr="00764FEA" w:rsidRDefault="007031BC" w:rsidP="007031BC">
            <w:pPr>
              <w:pBdr>
                <w:top w:val="nil"/>
                <w:left w:val="nil"/>
                <w:bottom w:val="nil"/>
                <w:right w:val="nil"/>
                <w:between w:val="nil"/>
                <w:bar w:val="nil"/>
              </w:pBdr>
              <w:contextualSpacing/>
              <w:jc w:val="center"/>
              <w:rPr>
                <w:sz w:val="28"/>
                <w:lang w:val="en-US" w:bidi="ru-RU"/>
              </w:rPr>
            </w:pPr>
            <w:r w:rsidRPr="00764FEA">
              <w:rPr>
                <w:sz w:val="28"/>
                <w:lang w:val="en-US" w:bidi="ru-RU"/>
              </w:rPr>
              <w:t>2011</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531101AF" w14:textId="77777777" w:rsidR="007031BC" w:rsidRPr="00764FEA" w:rsidRDefault="007031BC" w:rsidP="007031BC">
            <w:pPr>
              <w:pBdr>
                <w:top w:val="nil"/>
                <w:left w:val="nil"/>
                <w:bottom w:val="nil"/>
                <w:right w:val="nil"/>
                <w:between w:val="nil"/>
                <w:bar w:val="nil"/>
              </w:pBdr>
              <w:contextualSpacing/>
              <w:jc w:val="center"/>
              <w:rPr>
                <w:sz w:val="28"/>
                <w:lang w:val="en-US" w:bidi="ru-RU"/>
              </w:rPr>
            </w:pPr>
            <w:r w:rsidRPr="00764FEA">
              <w:rPr>
                <w:sz w:val="28"/>
                <w:lang w:val="en-US" w:bidi="ru-RU"/>
              </w:rPr>
              <w:t>2012</w:t>
            </w:r>
          </w:p>
        </w:tc>
        <w:tc>
          <w:tcPr>
            <w:tcW w:w="72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4E7A7894" w14:textId="77777777" w:rsidR="007031BC" w:rsidRPr="00764FEA" w:rsidRDefault="007031BC" w:rsidP="007031BC">
            <w:pPr>
              <w:pBdr>
                <w:top w:val="nil"/>
                <w:left w:val="nil"/>
                <w:bottom w:val="nil"/>
                <w:right w:val="nil"/>
                <w:between w:val="nil"/>
                <w:bar w:val="nil"/>
              </w:pBdr>
              <w:contextualSpacing/>
              <w:jc w:val="center"/>
              <w:rPr>
                <w:sz w:val="28"/>
                <w:lang w:val="en-US" w:bidi="ru-RU"/>
              </w:rPr>
            </w:pPr>
            <w:r w:rsidRPr="00764FEA">
              <w:rPr>
                <w:sz w:val="28"/>
                <w:lang w:val="en-US" w:bidi="ru-RU"/>
              </w:rPr>
              <w:t>2013</w:t>
            </w:r>
          </w:p>
        </w:tc>
        <w:tc>
          <w:tcPr>
            <w:tcW w:w="76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4B70B615" w14:textId="77777777" w:rsidR="007031BC" w:rsidRPr="00764FEA" w:rsidRDefault="007031BC" w:rsidP="007031BC">
            <w:pPr>
              <w:pBdr>
                <w:top w:val="nil"/>
                <w:left w:val="nil"/>
                <w:bottom w:val="nil"/>
                <w:right w:val="nil"/>
                <w:between w:val="nil"/>
                <w:bar w:val="nil"/>
              </w:pBdr>
              <w:contextualSpacing/>
              <w:jc w:val="center"/>
              <w:rPr>
                <w:sz w:val="28"/>
                <w:lang w:val="en-US" w:bidi="ru-RU"/>
              </w:rPr>
            </w:pPr>
            <w:r w:rsidRPr="00764FEA">
              <w:rPr>
                <w:sz w:val="28"/>
                <w:lang w:val="en-US" w:bidi="ru-RU"/>
              </w:rPr>
              <w:t>2014</w:t>
            </w:r>
          </w:p>
        </w:tc>
      </w:tr>
      <w:tr w:rsidR="00B965A2" w:rsidRPr="00764FEA" w14:paraId="7A406E74" w14:textId="77777777" w:rsidTr="00730075">
        <w:trPr>
          <w:trHeight w:val="73"/>
        </w:trPr>
        <w:tc>
          <w:tcPr>
            <w:tcW w:w="9455" w:type="dxa"/>
            <w:gridSpan w:val="10"/>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0D4063C7" w14:textId="77777777" w:rsidR="00B965A2" w:rsidRPr="00764FEA" w:rsidRDefault="00B965A2" w:rsidP="00520F9B">
            <w:pPr>
              <w:pStyle w:val="a4"/>
              <w:spacing w:line="240" w:lineRule="auto"/>
              <w:rPr>
                <w:rFonts w:ascii="Garamond" w:hAnsi="Garamond"/>
                <w:sz w:val="28"/>
                <w:szCs w:val="28"/>
              </w:rPr>
            </w:pPr>
            <w:r w:rsidRPr="00B965A2">
              <w:rPr>
                <w:rFonts w:ascii="Garamond" w:hAnsi="Garamond"/>
                <w:b/>
                <w:sz w:val="28"/>
                <w:szCs w:val="28"/>
                <w:lang w:val="en-US"/>
              </w:rPr>
              <w:t xml:space="preserve">Households with children, </w:t>
            </w:r>
            <w:r w:rsidR="00451DE3">
              <w:rPr>
                <w:rFonts w:ascii="Garamond" w:hAnsi="Garamond"/>
                <w:b/>
                <w:sz w:val="28"/>
                <w:szCs w:val="28"/>
                <w:lang w:val="en-US"/>
              </w:rPr>
              <w:t>according to the</w:t>
            </w:r>
            <w:r w:rsidRPr="00B965A2">
              <w:rPr>
                <w:rFonts w:ascii="Garamond" w:hAnsi="Garamond"/>
                <w:b/>
                <w:sz w:val="28"/>
                <w:szCs w:val="28"/>
                <w:lang w:val="en-US"/>
              </w:rPr>
              <w:t xml:space="preserve"> number of children </w:t>
            </w:r>
            <w:r w:rsidR="00520F9B">
              <w:rPr>
                <w:rFonts w:ascii="Garamond" w:hAnsi="Garamond"/>
                <w:b/>
                <w:sz w:val="28"/>
                <w:szCs w:val="28"/>
                <w:lang w:val="en-US"/>
              </w:rPr>
              <w:t>in household </w:t>
            </w:r>
            <w:r w:rsidR="00520F9B" w:rsidRPr="00B965A2">
              <w:rPr>
                <w:rFonts w:ascii="Garamond" w:hAnsi="Garamond"/>
                <w:b/>
                <w:sz w:val="28"/>
                <w:szCs w:val="28"/>
                <w:lang w:val="en-US"/>
              </w:rPr>
              <w:t>(%)</w:t>
            </w:r>
            <w:r w:rsidRPr="00764FEA">
              <w:rPr>
                <w:rFonts w:ascii="Garamond" w:hAnsi="Garamond"/>
                <w:sz w:val="28"/>
                <w:szCs w:val="28"/>
                <w:shd w:val="clear" w:color="auto" w:fill="FFFFFF"/>
              </w:rPr>
              <w:t xml:space="preserve"> </w:t>
            </w:r>
          </w:p>
        </w:tc>
      </w:tr>
      <w:tr w:rsidR="00B965A2" w:rsidRPr="00764FEA" w14:paraId="7EEF7328" w14:textId="77777777" w:rsidTr="00730075">
        <w:trPr>
          <w:trHeight w:val="305"/>
        </w:trPr>
        <w:tc>
          <w:tcPr>
            <w:tcW w:w="5656"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14DA5BF1"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it-IT"/>
              </w:rPr>
              <w:t>one child</w:t>
            </w:r>
          </w:p>
        </w:tc>
        <w:tc>
          <w:tcPr>
            <w:tcW w:w="7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805F383"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73</w:t>
            </w:r>
            <w:r w:rsidR="00520F9B">
              <w:rPr>
                <w:rFonts w:ascii="Garamond" w:hAnsi="Garamond"/>
                <w:sz w:val="28"/>
                <w:szCs w:val="28"/>
                <w:shd w:val="clear" w:color="auto" w:fill="FFFFFF"/>
              </w:rPr>
              <w:t>.</w:t>
            </w:r>
            <w:r w:rsidRPr="00764FEA">
              <w:rPr>
                <w:rFonts w:ascii="Garamond" w:hAnsi="Garamond"/>
                <w:sz w:val="28"/>
                <w:szCs w:val="28"/>
                <w:shd w:val="clear" w:color="auto" w:fill="FFFFFF"/>
              </w:rPr>
              <w:t>6</w:t>
            </w:r>
          </w:p>
        </w:tc>
        <w:tc>
          <w:tcPr>
            <w:tcW w:w="7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75B9C97"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74</w:t>
            </w:r>
            <w:r w:rsidR="00520F9B">
              <w:rPr>
                <w:rFonts w:ascii="Garamond" w:hAnsi="Garamond"/>
                <w:sz w:val="28"/>
                <w:szCs w:val="28"/>
                <w:shd w:val="clear" w:color="auto" w:fill="FFFFFF"/>
              </w:rPr>
              <w:t>.</w:t>
            </w:r>
            <w:r w:rsidRPr="00764FEA">
              <w:rPr>
                <w:rFonts w:ascii="Garamond" w:hAnsi="Garamond"/>
                <w:sz w:val="28"/>
                <w:szCs w:val="28"/>
                <w:shd w:val="clear" w:color="auto" w:fill="FFFFFF"/>
              </w:rPr>
              <w:t>9</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09328F1"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75</w:t>
            </w:r>
            <w:r w:rsidR="00520F9B">
              <w:rPr>
                <w:rFonts w:ascii="Garamond" w:hAnsi="Garamond"/>
                <w:sz w:val="28"/>
                <w:szCs w:val="28"/>
                <w:shd w:val="clear" w:color="auto" w:fill="FFFFFF"/>
              </w:rPr>
              <w:t>.</w:t>
            </w:r>
            <w:r w:rsidRPr="00764FEA">
              <w:rPr>
                <w:rFonts w:ascii="Garamond" w:hAnsi="Garamond"/>
                <w:sz w:val="28"/>
                <w:szCs w:val="28"/>
                <w:shd w:val="clear" w:color="auto" w:fill="FFFFFF"/>
              </w:rPr>
              <w:t>6</w:t>
            </w:r>
          </w:p>
        </w:tc>
        <w:tc>
          <w:tcPr>
            <w:tcW w:w="766"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8968875"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75</w:t>
            </w:r>
            <w:r w:rsidR="00520F9B">
              <w:rPr>
                <w:rFonts w:ascii="Garamond" w:hAnsi="Garamond"/>
                <w:sz w:val="28"/>
                <w:szCs w:val="28"/>
                <w:shd w:val="clear" w:color="auto" w:fill="FFFFFF"/>
              </w:rPr>
              <w:t>.</w:t>
            </w:r>
            <w:r w:rsidRPr="00764FEA">
              <w:rPr>
                <w:rFonts w:ascii="Garamond" w:hAnsi="Garamond"/>
                <w:sz w:val="28"/>
                <w:szCs w:val="28"/>
                <w:shd w:val="clear" w:color="auto" w:fill="FFFFFF"/>
              </w:rPr>
              <w:t>4</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1FDC15B"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73</w:t>
            </w:r>
            <w:r w:rsidR="00520F9B">
              <w:rPr>
                <w:rFonts w:ascii="Garamond" w:hAnsi="Garamond"/>
                <w:sz w:val="28"/>
                <w:szCs w:val="28"/>
                <w:shd w:val="clear" w:color="auto" w:fill="FFFFFF"/>
              </w:rPr>
              <w:t>.</w:t>
            </w:r>
            <w:r w:rsidRPr="00764FEA">
              <w:rPr>
                <w:rFonts w:ascii="Garamond" w:hAnsi="Garamond"/>
                <w:sz w:val="28"/>
                <w:szCs w:val="28"/>
                <w:shd w:val="clear" w:color="auto" w:fill="FFFFFF"/>
              </w:rPr>
              <w:t>6</w:t>
            </w:r>
          </w:p>
        </w:tc>
      </w:tr>
      <w:tr w:rsidR="00B965A2" w:rsidRPr="00764FEA" w14:paraId="21251394" w14:textId="77777777" w:rsidTr="00730075">
        <w:trPr>
          <w:trHeight w:val="305"/>
        </w:trPr>
        <w:tc>
          <w:tcPr>
            <w:tcW w:w="5656"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4321C117"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en-US"/>
              </w:rPr>
              <w:t>two children</w:t>
            </w:r>
          </w:p>
        </w:tc>
        <w:tc>
          <w:tcPr>
            <w:tcW w:w="7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0F96DFE"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23</w:t>
            </w:r>
            <w:r w:rsidR="00520F9B">
              <w:rPr>
                <w:rFonts w:ascii="Garamond" w:hAnsi="Garamond"/>
                <w:sz w:val="28"/>
                <w:szCs w:val="28"/>
                <w:shd w:val="clear" w:color="auto" w:fill="FFFFFF"/>
              </w:rPr>
              <w:t>.</w:t>
            </w:r>
            <w:r w:rsidRPr="00764FEA">
              <w:rPr>
                <w:rFonts w:ascii="Garamond" w:hAnsi="Garamond"/>
                <w:sz w:val="28"/>
                <w:szCs w:val="28"/>
                <w:shd w:val="clear" w:color="auto" w:fill="FFFFFF"/>
              </w:rPr>
              <w:t>4</w:t>
            </w:r>
          </w:p>
        </w:tc>
        <w:tc>
          <w:tcPr>
            <w:tcW w:w="7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BFD6C8E"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22</w:t>
            </w:r>
            <w:r w:rsidR="00520F9B">
              <w:rPr>
                <w:rFonts w:ascii="Garamond" w:hAnsi="Garamond"/>
                <w:sz w:val="28"/>
                <w:szCs w:val="28"/>
                <w:shd w:val="clear" w:color="auto" w:fill="FFFFFF"/>
              </w:rPr>
              <w:t>.</w:t>
            </w:r>
            <w:r w:rsidRPr="00764FEA">
              <w:rPr>
                <w:rFonts w:ascii="Garamond" w:hAnsi="Garamond"/>
                <w:sz w:val="28"/>
                <w:szCs w:val="28"/>
                <w:shd w:val="clear" w:color="auto" w:fill="FFFFFF"/>
              </w:rPr>
              <w:t>5</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43A8823"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21</w:t>
            </w:r>
            <w:r w:rsidR="00520F9B">
              <w:rPr>
                <w:rFonts w:ascii="Garamond" w:hAnsi="Garamond"/>
                <w:sz w:val="28"/>
                <w:szCs w:val="28"/>
                <w:shd w:val="clear" w:color="auto" w:fill="FFFFFF"/>
              </w:rPr>
              <w:t>.</w:t>
            </w:r>
            <w:r w:rsidRPr="00764FEA">
              <w:rPr>
                <w:rFonts w:ascii="Garamond" w:hAnsi="Garamond"/>
                <w:sz w:val="28"/>
                <w:szCs w:val="28"/>
                <w:shd w:val="clear" w:color="auto" w:fill="FFFFFF"/>
              </w:rPr>
              <w:t>8</w:t>
            </w:r>
          </w:p>
        </w:tc>
        <w:tc>
          <w:tcPr>
            <w:tcW w:w="766"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4857205"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22</w:t>
            </w:r>
            <w:r w:rsidR="00520F9B">
              <w:rPr>
                <w:rFonts w:ascii="Garamond" w:hAnsi="Garamond"/>
                <w:sz w:val="28"/>
                <w:szCs w:val="28"/>
                <w:shd w:val="clear" w:color="auto" w:fill="FFFFFF"/>
              </w:rPr>
              <w:t>.</w:t>
            </w:r>
            <w:r w:rsidRPr="00764FEA">
              <w:rPr>
                <w:rFonts w:ascii="Garamond" w:hAnsi="Garamond"/>
                <w:sz w:val="28"/>
                <w:szCs w:val="28"/>
                <w:shd w:val="clear" w:color="auto" w:fill="FFFFFF"/>
              </w:rPr>
              <w:t>4</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E73F258"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23</w:t>
            </w:r>
            <w:r w:rsidR="00520F9B">
              <w:rPr>
                <w:rFonts w:ascii="Garamond" w:hAnsi="Garamond"/>
                <w:sz w:val="28"/>
                <w:szCs w:val="28"/>
                <w:shd w:val="clear" w:color="auto" w:fill="FFFFFF"/>
              </w:rPr>
              <w:t>.</w:t>
            </w:r>
            <w:r w:rsidRPr="00764FEA">
              <w:rPr>
                <w:rFonts w:ascii="Garamond" w:hAnsi="Garamond"/>
                <w:sz w:val="28"/>
                <w:szCs w:val="28"/>
                <w:shd w:val="clear" w:color="auto" w:fill="FFFFFF"/>
              </w:rPr>
              <w:t>3</w:t>
            </w:r>
          </w:p>
        </w:tc>
      </w:tr>
      <w:tr w:rsidR="00B965A2" w:rsidRPr="00764FEA" w14:paraId="47F1DFAC" w14:textId="77777777" w:rsidTr="00730075">
        <w:trPr>
          <w:trHeight w:val="305"/>
        </w:trPr>
        <w:tc>
          <w:tcPr>
            <w:tcW w:w="5656" w:type="dxa"/>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266CE70A" w14:textId="77777777" w:rsidR="00B965A2" w:rsidRPr="00764FEA" w:rsidRDefault="00B965A2" w:rsidP="00730075">
            <w:pPr>
              <w:pStyle w:val="a4"/>
              <w:spacing w:line="240" w:lineRule="auto"/>
              <w:rPr>
                <w:rFonts w:ascii="Garamond" w:hAnsi="Garamond"/>
                <w:sz w:val="28"/>
                <w:szCs w:val="28"/>
              </w:rPr>
            </w:pPr>
            <w:r w:rsidRPr="00764FEA">
              <w:rPr>
                <w:rFonts w:ascii="Garamond" w:hAnsi="Garamond"/>
                <w:sz w:val="28"/>
                <w:szCs w:val="28"/>
                <w:lang w:val="en-US"/>
              </w:rPr>
              <w:t>three children and more</w:t>
            </w:r>
          </w:p>
        </w:tc>
        <w:tc>
          <w:tcPr>
            <w:tcW w:w="7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AE82F0B"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3</w:t>
            </w:r>
            <w:r w:rsidR="00520F9B">
              <w:rPr>
                <w:rFonts w:ascii="Garamond" w:hAnsi="Garamond"/>
                <w:sz w:val="28"/>
                <w:szCs w:val="28"/>
                <w:shd w:val="clear" w:color="auto" w:fill="FFFFFF"/>
              </w:rPr>
              <w:t>.</w:t>
            </w:r>
            <w:r w:rsidRPr="00764FEA">
              <w:rPr>
                <w:rFonts w:ascii="Garamond" w:hAnsi="Garamond"/>
                <w:sz w:val="28"/>
                <w:szCs w:val="28"/>
                <w:shd w:val="clear" w:color="auto" w:fill="FFFFFF"/>
              </w:rPr>
              <w:t>0</w:t>
            </w:r>
          </w:p>
        </w:tc>
        <w:tc>
          <w:tcPr>
            <w:tcW w:w="7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8618C9D"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520F9B">
              <w:rPr>
                <w:rFonts w:ascii="Garamond" w:hAnsi="Garamond"/>
                <w:sz w:val="28"/>
                <w:szCs w:val="28"/>
                <w:shd w:val="clear" w:color="auto" w:fill="FFFFFF"/>
              </w:rPr>
              <w:t>.</w:t>
            </w:r>
            <w:r w:rsidRPr="00764FEA">
              <w:rPr>
                <w:rFonts w:ascii="Garamond" w:hAnsi="Garamond"/>
                <w:sz w:val="28"/>
                <w:szCs w:val="28"/>
                <w:shd w:val="clear" w:color="auto" w:fill="FFFFFF"/>
              </w:rPr>
              <w:t>6</w:t>
            </w:r>
          </w:p>
        </w:tc>
        <w:tc>
          <w:tcPr>
            <w:tcW w:w="850"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15C5826"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520F9B">
              <w:rPr>
                <w:rFonts w:ascii="Garamond" w:hAnsi="Garamond"/>
                <w:sz w:val="28"/>
                <w:szCs w:val="28"/>
                <w:shd w:val="clear" w:color="auto" w:fill="FFFFFF"/>
              </w:rPr>
              <w:t>.</w:t>
            </w:r>
            <w:r w:rsidRPr="00764FEA">
              <w:rPr>
                <w:rFonts w:ascii="Garamond" w:hAnsi="Garamond"/>
                <w:sz w:val="28"/>
                <w:szCs w:val="28"/>
                <w:shd w:val="clear" w:color="auto" w:fill="FFFFFF"/>
              </w:rPr>
              <w:t>6</w:t>
            </w:r>
          </w:p>
        </w:tc>
        <w:tc>
          <w:tcPr>
            <w:tcW w:w="766"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EAE800C"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2</w:t>
            </w:r>
            <w:r w:rsidR="00520F9B">
              <w:rPr>
                <w:rFonts w:ascii="Garamond" w:hAnsi="Garamond"/>
                <w:sz w:val="28"/>
                <w:szCs w:val="28"/>
                <w:shd w:val="clear" w:color="auto" w:fill="FFFFFF"/>
              </w:rPr>
              <w:t>.</w:t>
            </w:r>
            <w:r w:rsidRPr="00764FEA">
              <w:rPr>
                <w:rFonts w:ascii="Garamond" w:hAnsi="Garamond"/>
                <w:sz w:val="28"/>
                <w:szCs w:val="28"/>
                <w:shd w:val="clear" w:color="auto" w:fill="FFFFFF"/>
              </w:rPr>
              <w:t>2</w:t>
            </w:r>
          </w:p>
        </w:tc>
        <w:tc>
          <w:tcPr>
            <w:tcW w:w="765" w:type="dxa"/>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77328D2" w14:textId="77777777" w:rsidR="00B965A2" w:rsidRPr="00764FEA" w:rsidRDefault="00B965A2" w:rsidP="00730075">
            <w:pPr>
              <w:pStyle w:val="a4"/>
              <w:spacing w:line="240" w:lineRule="auto"/>
              <w:jc w:val="center"/>
              <w:rPr>
                <w:rFonts w:ascii="Garamond" w:hAnsi="Garamond"/>
                <w:sz w:val="28"/>
                <w:szCs w:val="28"/>
              </w:rPr>
            </w:pPr>
            <w:r w:rsidRPr="00764FEA">
              <w:rPr>
                <w:rFonts w:ascii="Garamond" w:hAnsi="Garamond"/>
                <w:sz w:val="28"/>
                <w:szCs w:val="28"/>
                <w:shd w:val="clear" w:color="auto" w:fill="FFFFFF"/>
              </w:rPr>
              <w:t>3</w:t>
            </w:r>
            <w:r w:rsidR="00520F9B">
              <w:rPr>
                <w:rFonts w:ascii="Garamond" w:hAnsi="Garamond"/>
                <w:sz w:val="28"/>
                <w:szCs w:val="28"/>
                <w:shd w:val="clear" w:color="auto" w:fill="FFFFFF"/>
              </w:rPr>
              <w:t>.</w:t>
            </w:r>
            <w:r w:rsidRPr="00764FEA">
              <w:rPr>
                <w:rFonts w:ascii="Garamond" w:hAnsi="Garamond"/>
                <w:sz w:val="28"/>
                <w:szCs w:val="28"/>
                <w:shd w:val="clear" w:color="auto" w:fill="FFFFFF"/>
              </w:rPr>
              <w:t>1</w:t>
            </w:r>
          </w:p>
        </w:tc>
      </w:tr>
    </w:tbl>
    <w:p w14:paraId="251EAC18" w14:textId="77777777" w:rsidR="007031BC" w:rsidRDefault="007031BC" w:rsidP="00764FEA">
      <w:pPr>
        <w:spacing w:line="312" w:lineRule="auto"/>
        <w:ind w:firstLine="357"/>
        <w:contextualSpacing/>
        <w:jc w:val="both"/>
        <w:rPr>
          <w:sz w:val="28"/>
          <w:lang w:val="en-US" w:bidi="ru-RU"/>
        </w:rPr>
      </w:pPr>
    </w:p>
    <w:p w14:paraId="24BCC9B2" w14:textId="77777777" w:rsidR="003C51B1" w:rsidRDefault="00966FB0" w:rsidP="007031BC">
      <w:pPr>
        <w:spacing w:line="312" w:lineRule="auto"/>
        <w:ind w:firstLine="709"/>
        <w:contextualSpacing/>
        <w:jc w:val="both"/>
        <w:rPr>
          <w:sz w:val="28"/>
          <w:lang w:val="en-US" w:bidi="ru-RU"/>
        </w:rPr>
      </w:pPr>
      <w:r w:rsidRPr="00966FB0">
        <w:rPr>
          <w:sz w:val="28"/>
          <w:lang w:val="en-US" w:bidi="ru-RU"/>
        </w:rPr>
        <w:t xml:space="preserve">The main characteristic of the </w:t>
      </w:r>
      <w:r w:rsidR="009A054F">
        <w:rPr>
          <w:sz w:val="28"/>
          <w:lang w:val="en-US" w:bidi="ru-RU"/>
        </w:rPr>
        <w:t>household</w:t>
      </w:r>
      <w:r w:rsidRPr="00966FB0">
        <w:rPr>
          <w:sz w:val="28"/>
          <w:lang w:val="en-US" w:bidi="ru-RU"/>
        </w:rPr>
        <w:t xml:space="preserve"> </w:t>
      </w:r>
      <w:r w:rsidR="009A054F" w:rsidRPr="00966FB0">
        <w:rPr>
          <w:sz w:val="28"/>
          <w:lang w:val="en-US" w:bidi="ru-RU"/>
        </w:rPr>
        <w:t xml:space="preserve">sector </w:t>
      </w:r>
      <w:r w:rsidRPr="00966FB0">
        <w:rPr>
          <w:sz w:val="28"/>
          <w:lang w:val="en-US" w:bidi="ru-RU"/>
        </w:rPr>
        <w:t xml:space="preserve">in </w:t>
      </w:r>
      <w:r w:rsidR="009A054F">
        <w:rPr>
          <w:sz w:val="28"/>
          <w:lang w:val="en-US" w:bidi="ru-RU"/>
        </w:rPr>
        <w:t>the</w:t>
      </w:r>
      <w:r w:rsidRPr="00966FB0">
        <w:rPr>
          <w:sz w:val="28"/>
          <w:lang w:val="en-US" w:bidi="ru-RU"/>
        </w:rPr>
        <w:t xml:space="preserve"> market economy is that this sector is the main consumer</w:t>
      </w:r>
      <w:r w:rsidR="009A054F">
        <w:rPr>
          <w:sz w:val="28"/>
          <w:lang w:val="en-US" w:bidi="ru-RU"/>
        </w:rPr>
        <w:t xml:space="preserve"> of</w:t>
      </w:r>
      <w:r w:rsidRPr="00966FB0">
        <w:rPr>
          <w:sz w:val="28"/>
          <w:lang w:val="en-US" w:bidi="ru-RU"/>
        </w:rPr>
        <w:t xml:space="preserve"> market and non-market products and services and the owner of production </w:t>
      </w:r>
      <w:r w:rsidR="009A054F" w:rsidRPr="00966FB0">
        <w:rPr>
          <w:sz w:val="28"/>
          <w:lang w:val="en-US" w:bidi="ru-RU"/>
        </w:rPr>
        <w:t xml:space="preserve">factors </w:t>
      </w:r>
      <w:r w:rsidRPr="00966FB0">
        <w:rPr>
          <w:sz w:val="28"/>
          <w:lang w:val="en-US" w:bidi="ru-RU"/>
        </w:rPr>
        <w:t xml:space="preserve">(land, labor, </w:t>
      </w:r>
      <w:r w:rsidR="009A054F">
        <w:rPr>
          <w:sz w:val="28"/>
          <w:lang w:val="en-US" w:bidi="ru-RU"/>
        </w:rPr>
        <w:t xml:space="preserve">and </w:t>
      </w:r>
      <w:r w:rsidRPr="00966FB0">
        <w:rPr>
          <w:sz w:val="28"/>
          <w:lang w:val="en-US" w:bidi="ru-RU"/>
        </w:rPr>
        <w:t>capital)</w:t>
      </w:r>
      <w:r w:rsidR="009A054F">
        <w:rPr>
          <w:sz w:val="28"/>
          <w:lang w:val="en-US" w:bidi="ru-RU"/>
        </w:rPr>
        <w:t>;</w:t>
      </w:r>
      <w:r w:rsidRPr="00966FB0">
        <w:rPr>
          <w:sz w:val="28"/>
          <w:lang w:val="en-US" w:bidi="ru-RU"/>
        </w:rPr>
        <w:t xml:space="preserve"> it generates labor supply and demand for material goods and services</w:t>
      </w:r>
      <w:r w:rsidR="009A054F">
        <w:rPr>
          <w:sz w:val="28"/>
          <w:lang w:val="en-US" w:bidi="ru-RU"/>
        </w:rPr>
        <w:t xml:space="preserve"> and</w:t>
      </w:r>
      <w:r w:rsidRPr="00966FB0">
        <w:rPr>
          <w:sz w:val="28"/>
          <w:lang w:val="en-US" w:bidi="ru-RU"/>
        </w:rPr>
        <w:t>, in return</w:t>
      </w:r>
      <w:r w:rsidR="009A054F">
        <w:rPr>
          <w:sz w:val="28"/>
          <w:lang w:val="en-US" w:bidi="ru-RU"/>
        </w:rPr>
        <w:t>, it</w:t>
      </w:r>
      <w:r w:rsidRPr="00966FB0">
        <w:rPr>
          <w:sz w:val="28"/>
          <w:lang w:val="en-US" w:bidi="ru-RU"/>
        </w:rPr>
        <w:t xml:space="preserve"> receives income, </w:t>
      </w:r>
      <w:r w:rsidR="009A054F">
        <w:rPr>
          <w:sz w:val="28"/>
          <w:lang w:val="en-US" w:bidi="ru-RU"/>
        </w:rPr>
        <w:t>part</w:t>
      </w:r>
      <w:r w:rsidRPr="00966FB0">
        <w:rPr>
          <w:sz w:val="28"/>
          <w:lang w:val="en-US" w:bidi="ru-RU"/>
        </w:rPr>
        <w:t xml:space="preserve"> of which is consumed, and the rest is stored in the form of savings or can be used as an investment).</w:t>
      </w:r>
      <w:r>
        <w:rPr>
          <w:sz w:val="28"/>
          <w:lang w:val="en-US" w:bidi="ru-RU"/>
        </w:rPr>
        <w:t xml:space="preserve"> </w:t>
      </w:r>
      <w:r w:rsidR="003C51B1" w:rsidRPr="00764FEA">
        <w:rPr>
          <w:sz w:val="28"/>
          <w:lang w:val="en-US" w:bidi="ru-RU"/>
        </w:rPr>
        <w:t xml:space="preserve">Households have the following </w:t>
      </w:r>
      <w:r w:rsidR="003C51B1" w:rsidRPr="00966FB0">
        <w:rPr>
          <w:b/>
          <w:sz w:val="28"/>
          <w:lang w:val="en-US" w:bidi="ru-RU"/>
        </w:rPr>
        <w:t>main functions</w:t>
      </w:r>
      <w:r>
        <w:rPr>
          <w:sz w:val="28"/>
          <w:lang w:val="en-US" w:bidi="ru-RU"/>
        </w:rPr>
        <w:t xml:space="preserve"> (see </w:t>
      </w:r>
      <w:r w:rsidR="009A054F">
        <w:rPr>
          <w:sz w:val="28"/>
          <w:lang w:val="en-US" w:bidi="ru-RU"/>
        </w:rPr>
        <w:t>Figure 6.1):</w:t>
      </w:r>
      <w:r w:rsidR="003C51B1" w:rsidRPr="00764FEA">
        <w:rPr>
          <w:sz w:val="28"/>
          <w:lang w:val="en-US" w:bidi="ru-RU"/>
        </w:rPr>
        <w:t xml:space="preserve">  </w:t>
      </w:r>
    </w:p>
    <w:p w14:paraId="7992753F" w14:textId="77777777" w:rsidR="00966FB0" w:rsidRPr="00764FEA" w:rsidRDefault="00966FB0" w:rsidP="00764FEA">
      <w:pPr>
        <w:spacing w:line="312" w:lineRule="auto"/>
        <w:ind w:firstLine="357"/>
        <w:contextualSpacing/>
        <w:jc w:val="both"/>
        <w:rPr>
          <w:sz w:val="28"/>
          <w:lang w:val="en-US" w:bidi="ru-RU"/>
        </w:rPr>
      </w:pPr>
      <w:r>
        <w:rPr>
          <w:noProof/>
          <w:lang w:val="ru-RU" w:eastAsia="ru-RU"/>
        </w:rPr>
        <mc:AlternateContent>
          <mc:Choice Requires="wpc">
            <w:drawing>
              <wp:inline distT="0" distB="0" distL="0" distR="0" wp14:anchorId="279D83E3" wp14:editId="60D95921">
                <wp:extent cx="5657850" cy="4968974"/>
                <wp:effectExtent l="38100" t="0" r="38100" b="22225"/>
                <wp:docPr id="276" name="Полотно 27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 name="Скругленный прямоугольник 7"/>
                        <wps:cNvSpPr/>
                        <wps:spPr>
                          <a:xfrm>
                            <a:off x="0" y="1398074"/>
                            <a:ext cx="962025" cy="381000"/>
                          </a:xfrm>
                          <a:prstGeom prst="roundRect">
                            <a:avLst/>
                          </a:prstGeom>
                          <a:solidFill>
                            <a:schemeClr val="bg1">
                              <a:lumMod val="75000"/>
                            </a:schemeClr>
                          </a:solidFill>
                          <a:ln w="9525">
                            <a:noFill/>
                          </a:ln>
                        </wps:spPr>
                        <wps:style>
                          <a:lnRef idx="2">
                            <a:schemeClr val="dk1"/>
                          </a:lnRef>
                          <a:fillRef idx="1">
                            <a:schemeClr val="lt1"/>
                          </a:fillRef>
                          <a:effectRef idx="0">
                            <a:schemeClr val="dk1"/>
                          </a:effectRef>
                          <a:fontRef idx="minor">
                            <a:schemeClr val="dk1"/>
                          </a:fontRef>
                        </wps:style>
                        <wps:txbx>
                          <w:txbxContent>
                            <w:p w14:paraId="0C35B423" w14:textId="77777777" w:rsidR="00B56753" w:rsidRPr="004B2559" w:rsidRDefault="00B56753" w:rsidP="00966FB0">
                              <w:pPr>
                                <w:jc w:val="center"/>
                                <w:rPr>
                                  <w:b/>
                                  <w:lang w:val="en-US"/>
                                </w:rPr>
                              </w:pPr>
                              <w:r w:rsidRPr="004B2559">
                                <w:rPr>
                                  <w:b/>
                                  <w:lang w:val="en-US"/>
                                </w:rPr>
                                <w:t>Business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Скругленный прямоугольник 9"/>
                        <wps:cNvSpPr/>
                        <wps:spPr>
                          <a:xfrm>
                            <a:off x="1990725" y="1398074"/>
                            <a:ext cx="1371600" cy="381000"/>
                          </a:xfrm>
                          <a:prstGeom prst="roundRect">
                            <a:avLst/>
                          </a:prstGeom>
                          <a:solidFill>
                            <a:schemeClr val="bg1">
                              <a:lumMod val="75000"/>
                            </a:schemeClr>
                          </a:solidFill>
                          <a:ln w="9525">
                            <a:noFill/>
                          </a:ln>
                        </wps:spPr>
                        <wps:style>
                          <a:lnRef idx="2">
                            <a:schemeClr val="dk1"/>
                          </a:lnRef>
                          <a:fillRef idx="1">
                            <a:schemeClr val="lt1"/>
                          </a:fillRef>
                          <a:effectRef idx="0">
                            <a:schemeClr val="dk1"/>
                          </a:effectRef>
                          <a:fontRef idx="minor">
                            <a:schemeClr val="dk1"/>
                          </a:fontRef>
                        </wps:style>
                        <wps:txbx>
                          <w:txbxContent>
                            <w:p w14:paraId="224E6A94" w14:textId="77777777" w:rsidR="00B56753" w:rsidRDefault="00B56753" w:rsidP="00966FB0">
                              <w:pPr>
                                <w:pStyle w:val="NormalWeb"/>
                                <w:spacing w:before="0" w:beforeAutospacing="0" w:after="0" w:afterAutospacing="0"/>
                                <w:jc w:val="center"/>
                              </w:pPr>
                              <w:r>
                                <w:rPr>
                                  <w:rFonts w:ascii="Garamond" w:eastAsia="Calibri" w:hAnsi="Garamond"/>
                                  <w:b/>
                                  <w:bCs/>
                                  <w:sz w:val="22"/>
                                  <w:szCs w:val="22"/>
                                  <w:lang w:val="en-US"/>
                                </w:rPr>
                                <w:t>Government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Скругленный прямоугольник 10"/>
                        <wps:cNvSpPr/>
                        <wps:spPr>
                          <a:xfrm>
                            <a:off x="4523740" y="1398074"/>
                            <a:ext cx="1134110" cy="381000"/>
                          </a:xfrm>
                          <a:prstGeom prst="roundRect">
                            <a:avLst/>
                          </a:prstGeom>
                          <a:solidFill>
                            <a:schemeClr val="bg1">
                              <a:lumMod val="75000"/>
                            </a:schemeClr>
                          </a:solidFill>
                          <a:ln w="9525">
                            <a:noFill/>
                          </a:ln>
                        </wps:spPr>
                        <wps:style>
                          <a:lnRef idx="2">
                            <a:schemeClr val="dk1"/>
                          </a:lnRef>
                          <a:fillRef idx="1">
                            <a:schemeClr val="lt1"/>
                          </a:fillRef>
                          <a:effectRef idx="0">
                            <a:schemeClr val="dk1"/>
                          </a:effectRef>
                          <a:fontRef idx="minor">
                            <a:schemeClr val="dk1"/>
                          </a:fontRef>
                        </wps:style>
                        <wps:txbx>
                          <w:txbxContent>
                            <w:p w14:paraId="113CC4B2" w14:textId="77777777" w:rsidR="00B56753" w:rsidRDefault="00B56753" w:rsidP="00966FB0">
                              <w:pPr>
                                <w:pStyle w:val="NormalWeb"/>
                                <w:spacing w:before="0" w:beforeAutospacing="0" w:after="0" w:afterAutospacing="0"/>
                                <w:jc w:val="center"/>
                              </w:pPr>
                              <w:r>
                                <w:rPr>
                                  <w:rFonts w:ascii="Garamond" w:eastAsia="Calibri" w:hAnsi="Garamond"/>
                                  <w:b/>
                                  <w:bCs/>
                                  <w:sz w:val="22"/>
                                  <w:szCs w:val="22"/>
                                  <w:lang w:val="en-US"/>
                                </w:rPr>
                                <w:t>Households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Овал 11"/>
                        <wps:cNvSpPr/>
                        <wps:spPr>
                          <a:xfrm>
                            <a:off x="2066925" y="83624"/>
                            <a:ext cx="1295400" cy="533400"/>
                          </a:xfrm>
                          <a:prstGeom prst="ellipse">
                            <a:avLst/>
                          </a:prstGeom>
                          <a:solidFill>
                            <a:schemeClr val="bg1">
                              <a:lumMod val="85000"/>
                            </a:schemeClr>
                          </a:solidFill>
                          <a:ln w="9525">
                            <a:noFill/>
                          </a:ln>
                        </wps:spPr>
                        <wps:style>
                          <a:lnRef idx="2">
                            <a:schemeClr val="dk1"/>
                          </a:lnRef>
                          <a:fillRef idx="1">
                            <a:schemeClr val="lt1"/>
                          </a:fillRef>
                          <a:effectRef idx="0">
                            <a:schemeClr val="dk1"/>
                          </a:effectRef>
                          <a:fontRef idx="minor">
                            <a:schemeClr val="dk1"/>
                          </a:fontRef>
                        </wps:style>
                        <wps:txbx>
                          <w:txbxContent>
                            <w:p w14:paraId="757C730B" w14:textId="77777777" w:rsidR="00B56753" w:rsidRPr="008A67CC" w:rsidRDefault="00B56753" w:rsidP="00966FB0">
                              <w:pPr>
                                <w:jc w:val="center"/>
                                <w:rPr>
                                  <w:lang w:val="en-US"/>
                                </w:rPr>
                              </w:pPr>
                              <w:r w:rsidRPr="008A67CC">
                                <w:rPr>
                                  <w:lang w:val="en-US"/>
                                </w:rPr>
                                <w:t>Factor markets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 name="Овал 12"/>
                        <wps:cNvSpPr/>
                        <wps:spPr>
                          <a:xfrm>
                            <a:off x="2362199" y="2119095"/>
                            <a:ext cx="666751" cy="533400"/>
                          </a:xfrm>
                          <a:prstGeom prst="ellipse">
                            <a:avLst/>
                          </a:prstGeom>
                          <a:solidFill>
                            <a:schemeClr val="bg1">
                              <a:lumMod val="85000"/>
                            </a:schemeClr>
                          </a:solidFill>
                          <a:ln w="9525">
                            <a:noFill/>
                          </a:ln>
                        </wps:spPr>
                        <wps:style>
                          <a:lnRef idx="2">
                            <a:schemeClr val="dk1"/>
                          </a:lnRef>
                          <a:fillRef idx="1">
                            <a:schemeClr val="lt1"/>
                          </a:fillRef>
                          <a:effectRef idx="0">
                            <a:schemeClr val="dk1"/>
                          </a:effectRef>
                          <a:fontRef idx="minor">
                            <a:schemeClr val="dk1"/>
                          </a:fontRef>
                        </wps:style>
                        <wps:txbx>
                          <w:txbxContent>
                            <w:p w14:paraId="08B66E8E" w14:textId="77777777" w:rsidR="00B56753" w:rsidRDefault="00B56753" w:rsidP="00966FB0">
                              <w:pPr>
                                <w:pStyle w:val="NormalWeb"/>
                                <w:spacing w:before="0" w:beforeAutospacing="0" w:after="0" w:afterAutospacing="0"/>
                                <w:jc w:val="center"/>
                              </w:pPr>
                              <w:r>
                                <w:rPr>
                                  <w:rFonts w:ascii="Garamond" w:eastAsia="Calibri" w:hAnsi="Garamond"/>
                                  <w:sz w:val="22"/>
                                  <w:szCs w:val="22"/>
                                  <w:lang w:val="en-US"/>
                                </w:rPr>
                                <w:t>Product markets</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13" name="Скругленный прямоугольник 13"/>
                        <wps:cNvSpPr/>
                        <wps:spPr>
                          <a:xfrm>
                            <a:off x="1990725" y="2939174"/>
                            <a:ext cx="1371260" cy="467700"/>
                          </a:xfrm>
                          <a:prstGeom prst="roundRect">
                            <a:avLst/>
                          </a:prstGeom>
                          <a:solidFill>
                            <a:schemeClr val="bg1">
                              <a:lumMod val="75000"/>
                            </a:schemeClr>
                          </a:solidFill>
                          <a:ln w="9525">
                            <a:noFill/>
                          </a:ln>
                        </wps:spPr>
                        <wps:style>
                          <a:lnRef idx="2">
                            <a:schemeClr val="dk1"/>
                          </a:lnRef>
                          <a:fillRef idx="1">
                            <a:schemeClr val="lt1"/>
                          </a:fillRef>
                          <a:effectRef idx="0">
                            <a:schemeClr val="dk1"/>
                          </a:effectRef>
                          <a:fontRef idx="minor">
                            <a:schemeClr val="dk1"/>
                          </a:fontRef>
                        </wps:style>
                        <wps:txbx>
                          <w:txbxContent>
                            <w:p w14:paraId="1CB3C69D" w14:textId="77777777" w:rsidR="00B56753" w:rsidRDefault="00B56753" w:rsidP="00966FB0">
                              <w:pPr>
                                <w:pStyle w:val="NormalWeb"/>
                                <w:spacing w:before="0" w:beforeAutospacing="0" w:after="0" w:afterAutospacing="0"/>
                                <w:jc w:val="center"/>
                              </w:pPr>
                              <w:r>
                                <w:rPr>
                                  <w:rFonts w:ascii="Garamond" w:eastAsia="Calibri" w:hAnsi="Garamond"/>
                                  <w:b/>
                                  <w:bCs/>
                                  <w:sz w:val="22"/>
                                  <w:szCs w:val="22"/>
                                  <w:lang w:val="en-US"/>
                                </w:rPr>
                                <w:t>Financial intermediaries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Овал 14"/>
                        <wps:cNvSpPr/>
                        <wps:spPr>
                          <a:xfrm>
                            <a:off x="2170725" y="3709555"/>
                            <a:ext cx="1295400" cy="592434"/>
                          </a:xfrm>
                          <a:prstGeom prst="ellipse">
                            <a:avLst/>
                          </a:prstGeom>
                          <a:solidFill>
                            <a:schemeClr val="bg1">
                              <a:lumMod val="85000"/>
                            </a:schemeClr>
                          </a:solidFill>
                          <a:ln w="9525">
                            <a:noFill/>
                          </a:ln>
                        </wps:spPr>
                        <wps:style>
                          <a:lnRef idx="2">
                            <a:schemeClr val="dk1"/>
                          </a:lnRef>
                          <a:fillRef idx="1">
                            <a:schemeClr val="lt1"/>
                          </a:fillRef>
                          <a:effectRef idx="0">
                            <a:schemeClr val="dk1"/>
                          </a:effectRef>
                          <a:fontRef idx="minor">
                            <a:schemeClr val="dk1"/>
                          </a:fontRef>
                        </wps:style>
                        <wps:txbx>
                          <w:txbxContent>
                            <w:p w14:paraId="5539CFC0" w14:textId="77777777" w:rsidR="00B56753" w:rsidRDefault="00B56753" w:rsidP="009A054F">
                              <w:pPr>
                                <w:pStyle w:val="NormalWeb"/>
                                <w:spacing w:before="0" w:beforeAutospacing="0" w:after="0" w:afterAutospacing="0" w:line="240" w:lineRule="atLeast"/>
                                <w:jc w:val="center"/>
                              </w:pPr>
                              <w:r>
                                <w:rPr>
                                  <w:rFonts w:ascii="Garamond" w:eastAsia="Calibri" w:hAnsi="Garamond"/>
                                  <w:sz w:val="22"/>
                                  <w:szCs w:val="22"/>
                                  <w:lang w:val="en-US"/>
                                </w:rPr>
                                <w:t>Foreign sector</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014" name="Прямая соединительная линия 1073742014"/>
                        <wps:cNvCnPr>
                          <a:stCxn id="10" idx="0"/>
                        </wps:cNvCnPr>
                        <wps:spPr>
                          <a:xfrm flipV="1">
                            <a:off x="5090795" y="274124"/>
                            <a:ext cx="0" cy="1123950"/>
                          </a:xfrm>
                          <a:prstGeom prst="line">
                            <a:avLst/>
                          </a:prstGeom>
                        </wps:spPr>
                        <wps:style>
                          <a:lnRef idx="1">
                            <a:schemeClr val="dk1"/>
                          </a:lnRef>
                          <a:fillRef idx="0">
                            <a:schemeClr val="dk1"/>
                          </a:fillRef>
                          <a:effectRef idx="0">
                            <a:schemeClr val="dk1"/>
                          </a:effectRef>
                          <a:fontRef idx="minor">
                            <a:schemeClr val="tx1"/>
                          </a:fontRef>
                        </wps:style>
                        <wps:bodyPr/>
                      </wps:wsp>
                      <wps:wsp>
                        <wps:cNvPr id="1073742015" name="Прямая соединительная линия 1073742015"/>
                        <wps:cNvCnPr/>
                        <wps:spPr>
                          <a:xfrm>
                            <a:off x="794045" y="435074"/>
                            <a:ext cx="1272880" cy="0"/>
                          </a:xfrm>
                          <a:prstGeom prst="line">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228" name="Прямая соединительная линия 228"/>
                        <wps:cNvCnPr/>
                        <wps:spPr>
                          <a:xfrm>
                            <a:off x="3361985" y="274124"/>
                            <a:ext cx="1728470" cy="0"/>
                          </a:xfrm>
                          <a:prstGeom prst="line">
                            <a:avLst/>
                          </a:prstGeom>
                          <a:ln>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229" name="Прямая соединительная линия 229"/>
                        <wps:cNvCnPr/>
                        <wps:spPr>
                          <a:xfrm flipV="1">
                            <a:off x="794045" y="454124"/>
                            <a:ext cx="0" cy="943950"/>
                          </a:xfrm>
                          <a:prstGeom prst="line">
                            <a:avLst/>
                          </a:prstGeom>
                        </wps:spPr>
                        <wps:style>
                          <a:lnRef idx="1">
                            <a:schemeClr val="dk1"/>
                          </a:lnRef>
                          <a:fillRef idx="0">
                            <a:schemeClr val="dk1"/>
                          </a:fillRef>
                          <a:effectRef idx="0">
                            <a:schemeClr val="dk1"/>
                          </a:effectRef>
                          <a:fontRef idx="minor">
                            <a:schemeClr val="tx1"/>
                          </a:fontRef>
                        </wps:style>
                        <wps:bodyPr/>
                      </wps:wsp>
                      <wps:wsp>
                        <wps:cNvPr id="230" name="Прямая соединительная линия 230"/>
                        <wps:cNvCnPr/>
                        <wps:spPr>
                          <a:xfrm flipV="1">
                            <a:off x="4869475" y="454124"/>
                            <a:ext cx="0" cy="943951"/>
                          </a:xfrm>
                          <a:prstGeom prst="line">
                            <a:avLst/>
                          </a:prstGeom>
                          <a:ln>
                            <a:prstDash val="dash"/>
                            <a:headEnd type="stealth" w="med" len="lg"/>
                          </a:ln>
                        </wps:spPr>
                        <wps:style>
                          <a:lnRef idx="1">
                            <a:schemeClr val="dk1"/>
                          </a:lnRef>
                          <a:fillRef idx="0">
                            <a:schemeClr val="dk1"/>
                          </a:fillRef>
                          <a:effectRef idx="0">
                            <a:schemeClr val="dk1"/>
                          </a:effectRef>
                          <a:fontRef idx="minor">
                            <a:schemeClr val="tx1"/>
                          </a:fontRef>
                        </wps:style>
                        <wps:bodyPr/>
                      </wps:wsp>
                      <wps:wsp>
                        <wps:cNvPr id="231" name="Прямая соединительная линия 231"/>
                        <wps:cNvCnPr/>
                        <wps:spPr>
                          <a:xfrm>
                            <a:off x="3284515" y="454124"/>
                            <a:ext cx="1584960" cy="0"/>
                          </a:xfrm>
                          <a:prstGeom prst="line">
                            <a:avLst/>
                          </a:prstGeom>
                          <a:ln>
                            <a:prstDash val="dash"/>
                            <a:headEnd type="none" w="med" len="lg"/>
                            <a:tailEnd type="none" w="med" len="lg"/>
                          </a:ln>
                        </wps:spPr>
                        <wps:style>
                          <a:lnRef idx="1">
                            <a:schemeClr val="dk1"/>
                          </a:lnRef>
                          <a:fillRef idx="0">
                            <a:schemeClr val="dk1"/>
                          </a:fillRef>
                          <a:effectRef idx="0">
                            <a:schemeClr val="dk1"/>
                          </a:effectRef>
                          <a:fontRef idx="minor">
                            <a:schemeClr val="tx1"/>
                          </a:fontRef>
                        </wps:style>
                        <wps:bodyPr/>
                      </wps:wsp>
                      <wps:wsp>
                        <wps:cNvPr id="232" name="Прямая соединительная линия 232"/>
                        <wps:cNvCnPr/>
                        <wps:spPr>
                          <a:xfrm>
                            <a:off x="3361985" y="1491079"/>
                            <a:ext cx="1161755" cy="0"/>
                          </a:xfrm>
                          <a:prstGeom prst="line">
                            <a:avLst/>
                          </a:prstGeom>
                          <a:ln>
                            <a:prstDash val="dash"/>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233" name="Прямая соединительная линия 233"/>
                        <wps:cNvCnPr/>
                        <wps:spPr>
                          <a:xfrm>
                            <a:off x="3362325" y="1657744"/>
                            <a:ext cx="1161415" cy="0"/>
                          </a:xfrm>
                          <a:prstGeom prst="line">
                            <a:avLst/>
                          </a:prstGeom>
                          <a:ln>
                            <a:prstDash val="dash"/>
                            <a:headEnd type="none" w="med" len="lg"/>
                            <a:tailEnd type="stealth" w="med" len="lg"/>
                          </a:ln>
                        </wps:spPr>
                        <wps:style>
                          <a:lnRef idx="1">
                            <a:schemeClr val="dk1"/>
                          </a:lnRef>
                          <a:fillRef idx="0">
                            <a:schemeClr val="dk1"/>
                          </a:fillRef>
                          <a:effectRef idx="0">
                            <a:schemeClr val="dk1"/>
                          </a:effectRef>
                          <a:fontRef idx="minor">
                            <a:schemeClr val="tx1"/>
                          </a:fontRef>
                        </wps:style>
                        <wps:bodyPr/>
                      </wps:wsp>
                      <wps:wsp>
                        <wps:cNvPr id="234" name="Прямая соединительная линия 234"/>
                        <wps:cNvCnPr/>
                        <wps:spPr>
                          <a:xfrm flipV="1">
                            <a:off x="4631350" y="1779074"/>
                            <a:ext cx="0" cy="50482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235" name="Прямая соединительная линия 235"/>
                        <wps:cNvCnPr/>
                        <wps:spPr>
                          <a:xfrm>
                            <a:off x="3028951" y="2300704"/>
                            <a:ext cx="1602399" cy="0"/>
                          </a:xfrm>
                          <a:prstGeom prst="line">
                            <a:avLst/>
                          </a:prstGeom>
                          <a:ln>
                            <a:prstDash val="dash"/>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236" name="Прямая соединительная линия 236"/>
                        <wps:cNvCnPr/>
                        <wps:spPr>
                          <a:xfrm>
                            <a:off x="3007361" y="2482949"/>
                            <a:ext cx="1771649" cy="0"/>
                          </a:xfrm>
                          <a:prstGeom prst="line">
                            <a:avLst/>
                          </a:prstGeom>
                          <a:ln>
                            <a:tailEnd type="none" w="med" len="lg"/>
                          </a:ln>
                        </wps:spPr>
                        <wps:style>
                          <a:lnRef idx="1">
                            <a:schemeClr val="dk1"/>
                          </a:lnRef>
                          <a:fillRef idx="0">
                            <a:schemeClr val="dk1"/>
                          </a:fillRef>
                          <a:effectRef idx="0">
                            <a:schemeClr val="dk1"/>
                          </a:effectRef>
                          <a:fontRef idx="minor">
                            <a:schemeClr val="tx1"/>
                          </a:fontRef>
                        </wps:style>
                        <wps:bodyPr/>
                      </wps:wsp>
                      <wps:wsp>
                        <wps:cNvPr id="237" name="Прямая соединительная линия 237"/>
                        <wps:cNvCnPr/>
                        <wps:spPr>
                          <a:xfrm flipV="1">
                            <a:off x="4800600" y="1757780"/>
                            <a:ext cx="0" cy="725169"/>
                          </a:xfrm>
                          <a:prstGeom prst="line">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238" name="Прямая соединительная линия 238"/>
                        <wps:cNvCnPr/>
                        <wps:spPr>
                          <a:xfrm flipV="1">
                            <a:off x="4992030" y="1779075"/>
                            <a:ext cx="0" cy="1291884"/>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239" name="Прямая соединительная линия 239"/>
                        <wps:cNvCnPr/>
                        <wps:spPr>
                          <a:xfrm flipV="1">
                            <a:off x="5182530" y="1779075"/>
                            <a:ext cx="0" cy="1485899"/>
                          </a:xfrm>
                          <a:prstGeom prst="line">
                            <a:avLst/>
                          </a:prstGeom>
                          <a:ln>
                            <a:prstDash val="dash"/>
                            <a:tailEnd type="stealth" w="med" len="lg"/>
                          </a:ln>
                        </wps:spPr>
                        <wps:style>
                          <a:lnRef idx="1">
                            <a:schemeClr val="dk1"/>
                          </a:lnRef>
                          <a:fillRef idx="0">
                            <a:schemeClr val="dk1"/>
                          </a:fillRef>
                          <a:effectRef idx="0">
                            <a:schemeClr val="dk1"/>
                          </a:effectRef>
                          <a:fontRef idx="minor">
                            <a:schemeClr val="tx1"/>
                          </a:fontRef>
                        </wps:style>
                        <wps:bodyPr/>
                      </wps:wsp>
                      <wps:wsp>
                        <wps:cNvPr id="240" name="Прямая соединительная линия 240"/>
                        <wps:cNvCnPr/>
                        <wps:spPr>
                          <a:xfrm>
                            <a:off x="3356610" y="3070959"/>
                            <a:ext cx="1635420" cy="0"/>
                          </a:xfrm>
                          <a:prstGeom prst="line">
                            <a:avLst/>
                          </a:prstGeom>
                          <a:ln>
                            <a:prstDash val="dash"/>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241" name="Прямая соединительная линия 241"/>
                        <wps:cNvCnPr/>
                        <wps:spPr>
                          <a:xfrm>
                            <a:off x="3362325" y="3264974"/>
                            <a:ext cx="1820205" cy="0"/>
                          </a:xfrm>
                          <a:prstGeom prst="line">
                            <a:avLst/>
                          </a:prstGeom>
                          <a:ln>
                            <a:prstDash val="dash"/>
                            <a:headEnd type="none" w="med" len="lg"/>
                            <a:tailEnd type="none" w="med" len="lg"/>
                          </a:ln>
                        </wps:spPr>
                        <wps:style>
                          <a:lnRef idx="1">
                            <a:schemeClr val="dk1"/>
                          </a:lnRef>
                          <a:fillRef idx="0">
                            <a:schemeClr val="dk1"/>
                          </a:fillRef>
                          <a:effectRef idx="0">
                            <a:schemeClr val="dk1"/>
                          </a:effectRef>
                          <a:fontRef idx="minor">
                            <a:schemeClr val="tx1"/>
                          </a:fontRef>
                        </wps:style>
                        <wps:bodyPr/>
                      </wps:wsp>
                      <wps:wsp>
                        <wps:cNvPr id="242" name="Прямая соединительная линия 242"/>
                        <wps:cNvCnPr/>
                        <wps:spPr>
                          <a:xfrm flipV="1">
                            <a:off x="5371760" y="1779074"/>
                            <a:ext cx="0" cy="215265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243" name="Прямая соединительная линия 243"/>
                        <wps:cNvCnPr/>
                        <wps:spPr>
                          <a:xfrm>
                            <a:off x="3464220" y="3931724"/>
                            <a:ext cx="1897380" cy="0"/>
                          </a:xfrm>
                          <a:prstGeom prst="line">
                            <a:avLst/>
                          </a:prstGeom>
                          <a:ln>
                            <a:prstDash val="dash"/>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244" name="Прямая соединительная линия 244"/>
                        <wps:cNvCnPr/>
                        <wps:spPr>
                          <a:xfrm>
                            <a:off x="3466125" y="4081879"/>
                            <a:ext cx="2095500" cy="0"/>
                          </a:xfrm>
                          <a:prstGeom prst="line">
                            <a:avLst/>
                          </a:prstGeom>
                          <a:ln>
                            <a:tailEnd type="none" w="med" len="lg"/>
                          </a:ln>
                        </wps:spPr>
                        <wps:style>
                          <a:lnRef idx="1">
                            <a:schemeClr val="dk1"/>
                          </a:lnRef>
                          <a:fillRef idx="0">
                            <a:schemeClr val="dk1"/>
                          </a:fillRef>
                          <a:effectRef idx="0">
                            <a:schemeClr val="dk1"/>
                          </a:effectRef>
                          <a:fontRef idx="minor">
                            <a:schemeClr val="tx1"/>
                          </a:fontRef>
                        </wps:style>
                        <wps:bodyPr/>
                      </wps:wsp>
                      <wps:wsp>
                        <wps:cNvPr id="245" name="Прямая соединительная линия 245"/>
                        <wps:cNvCnPr/>
                        <wps:spPr>
                          <a:xfrm flipV="1">
                            <a:off x="5561625" y="1757781"/>
                            <a:ext cx="0" cy="2324098"/>
                          </a:xfrm>
                          <a:prstGeom prst="line">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246" name="Прямая соединительная линия 246"/>
                        <wps:cNvCnPr/>
                        <wps:spPr>
                          <a:xfrm flipV="1">
                            <a:off x="2542200" y="1757486"/>
                            <a:ext cx="0" cy="361609"/>
                          </a:xfrm>
                          <a:prstGeom prst="line">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247" name="Прямая соединительная линия 247"/>
                        <wps:cNvCnPr/>
                        <wps:spPr>
                          <a:xfrm flipV="1">
                            <a:off x="2750480" y="1779074"/>
                            <a:ext cx="0" cy="361315"/>
                          </a:xfrm>
                          <a:prstGeom prst="line">
                            <a:avLst/>
                          </a:prstGeom>
                          <a:ln>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248" name="Прямая соединительная линия 248"/>
                        <wps:cNvCnPr/>
                        <wps:spPr>
                          <a:xfrm flipV="1">
                            <a:off x="2092280" y="1781570"/>
                            <a:ext cx="0" cy="1160098"/>
                          </a:xfrm>
                          <a:prstGeom prst="line">
                            <a:avLst/>
                          </a:prstGeom>
                          <a:ln>
                            <a:prstDash val="dash"/>
                            <a:headEnd type="none" w="med" len="lg"/>
                            <a:tailEnd type="stealth" w="med" len="lg"/>
                          </a:ln>
                        </wps:spPr>
                        <wps:style>
                          <a:lnRef idx="1">
                            <a:schemeClr val="dk1"/>
                          </a:lnRef>
                          <a:fillRef idx="0">
                            <a:schemeClr val="dk1"/>
                          </a:fillRef>
                          <a:effectRef idx="0">
                            <a:schemeClr val="dk1"/>
                          </a:effectRef>
                          <a:fontRef idx="minor">
                            <a:schemeClr val="tx1"/>
                          </a:fontRef>
                        </wps:style>
                        <wps:bodyPr/>
                      </wps:wsp>
                      <wps:wsp>
                        <wps:cNvPr id="249" name="Прямая соединительная линия 249"/>
                        <wps:cNvCnPr/>
                        <wps:spPr>
                          <a:xfrm flipV="1">
                            <a:off x="3284516" y="1782158"/>
                            <a:ext cx="0" cy="1159510"/>
                          </a:xfrm>
                          <a:prstGeom prst="line">
                            <a:avLst/>
                          </a:prstGeom>
                          <a:ln>
                            <a:prstDash val="dash"/>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250" name="Скругленный прямоугольник 250"/>
                        <wps:cNvSpPr/>
                        <wps:spPr>
                          <a:xfrm>
                            <a:off x="2119925" y="4587974"/>
                            <a:ext cx="1295400" cy="381000"/>
                          </a:xfrm>
                          <a:prstGeom prst="roundRect">
                            <a:avLst/>
                          </a:prstGeom>
                          <a:solidFill>
                            <a:schemeClr val="bg1">
                              <a:lumMod val="75000"/>
                            </a:schemeClr>
                          </a:solidFill>
                          <a:ln w="9525">
                            <a:noFill/>
                          </a:ln>
                        </wps:spPr>
                        <wps:style>
                          <a:lnRef idx="2">
                            <a:schemeClr val="dk1"/>
                          </a:lnRef>
                          <a:fillRef idx="1">
                            <a:schemeClr val="lt1"/>
                          </a:fillRef>
                          <a:effectRef idx="0">
                            <a:schemeClr val="dk1"/>
                          </a:effectRef>
                          <a:fontRef idx="minor">
                            <a:schemeClr val="dk1"/>
                          </a:fontRef>
                        </wps:style>
                        <wps:txbx>
                          <w:txbxContent>
                            <w:p w14:paraId="32884035" w14:textId="77777777" w:rsidR="00B56753" w:rsidRDefault="00B56753" w:rsidP="00966FB0">
                              <w:pPr>
                                <w:pStyle w:val="NormalWeb"/>
                                <w:spacing w:before="0" w:beforeAutospacing="0" w:after="0" w:afterAutospacing="0"/>
                                <w:jc w:val="center"/>
                              </w:pPr>
                              <w:r>
                                <w:rPr>
                                  <w:rFonts w:ascii="Garamond" w:eastAsia="Calibri" w:hAnsi="Garamond"/>
                                  <w:b/>
                                  <w:bCs/>
                                  <w:sz w:val="22"/>
                                  <w:szCs w:val="22"/>
                                  <w:lang w:val="en-US"/>
                                </w:rPr>
                                <w:t>Rest of the world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1" name="Прямая соединительная линия 251"/>
                        <wps:cNvCnPr/>
                        <wps:spPr>
                          <a:xfrm flipV="1">
                            <a:off x="2721905" y="4302224"/>
                            <a:ext cx="0" cy="285750"/>
                          </a:xfrm>
                          <a:prstGeom prst="line">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252" name="Прямая соединительная линия 252"/>
                        <wps:cNvCnPr/>
                        <wps:spPr>
                          <a:xfrm flipV="1">
                            <a:off x="2930185" y="4302224"/>
                            <a:ext cx="0" cy="285751"/>
                          </a:xfrm>
                          <a:prstGeom prst="line">
                            <a:avLst/>
                          </a:prstGeom>
                          <a:ln>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253" name="Прямая соединительная линия 253"/>
                        <wps:cNvCnPr/>
                        <wps:spPr>
                          <a:xfrm flipV="1">
                            <a:off x="676275" y="274124"/>
                            <a:ext cx="0" cy="1104560"/>
                          </a:xfrm>
                          <a:prstGeom prst="line">
                            <a:avLst/>
                          </a:prstGeom>
                          <a:ln>
                            <a:prstDash val="dash"/>
                            <a:headEnd type="stealth" w="med" len="lg"/>
                          </a:ln>
                        </wps:spPr>
                        <wps:style>
                          <a:lnRef idx="1">
                            <a:schemeClr val="dk1"/>
                          </a:lnRef>
                          <a:fillRef idx="0">
                            <a:schemeClr val="dk1"/>
                          </a:fillRef>
                          <a:effectRef idx="0">
                            <a:schemeClr val="dk1"/>
                          </a:effectRef>
                          <a:fontRef idx="minor">
                            <a:schemeClr val="tx1"/>
                          </a:fontRef>
                        </wps:style>
                        <wps:bodyPr/>
                      </wps:wsp>
                      <wps:wsp>
                        <wps:cNvPr id="37" name="Прямая соединительная линия 37"/>
                        <wps:cNvCnPr/>
                        <wps:spPr>
                          <a:xfrm>
                            <a:off x="676275" y="274119"/>
                            <a:ext cx="1443650" cy="0"/>
                          </a:xfrm>
                          <a:prstGeom prst="line">
                            <a:avLst/>
                          </a:prstGeom>
                          <a:ln>
                            <a:prstDash val="dash"/>
                            <a:headEnd type="none" w="med" len="lg"/>
                            <a:tailEnd type="none" w="med" len="lg"/>
                          </a:ln>
                        </wps:spPr>
                        <wps:style>
                          <a:lnRef idx="1">
                            <a:schemeClr val="dk1"/>
                          </a:lnRef>
                          <a:fillRef idx="0">
                            <a:schemeClr val="dk1"/>
                          </a:fillRef>
                          <a:effectRef idx="0">
                            <a:schemeClr val="dk1"/>
                          </a:effectRef>
                          <a:fontRef idx="minor">
                            <a:schemeClr val="tx1"/>
                          </a:fontRef>
                        </wps:style>
                        <wps:bodyPr/>
                      </wps:wsp>
                      <wps:wsp>
                        <wps:cNvPr id="46" name="Прямая соединительная линия 46"/>
                        <wps:cNvCnPr/>
                        <wps:spPr>
                          <a:xfrm>
                            <a:off x="957875" y="1504414"/>
                            <a:ext cx="975700" cy="0"/>
                          </a:xfrm>
                          <a:prstGeom prst="line">
                            <a:avLst/>
                          </a:prstGeom>
                          <a:ln>
                            <a:prstDash val="dash"/>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47" name="Прямая соединительная линия 47"/>
                        <wps:cNvCnPr/>
                        <wps:spPr>
                          <a:xfrm>
                            <a:off x="962025" y="1657744"/>
                            <a:ext cx="1028700" cy="0"/>
                          </a:xfrm>
                          <a:prstGeom prst="line">
                            <a:avLst/>
                          </a:prstGeom>
                          <a:ln>
                            <a:prstDash val="dash"/>
                            <a:headEnd type="none" w="med" len="lg"/>
                            <a:tailEnd type="stealth" w="med" len="lg"/>
                          </a:ln>
                        </wps:spPr>
                        <wps:style>
                          <a:lnRef idx="1">
                            <a:schemeClr val="dk1"/>
                          </a:lnRef>
                          <a:fillRef idx="0">
                            <a:schemeClr val="dk1"/>
                          </a:fillRef>
                          <a:effectRef idx="0">
                            <a:schemeClr val="dk1"/>
                          </a:effectRef>
                          <a:fontRef idx="minor">
                            <a:schemeClr val="tx1"/>
                          </a:fontRef>
                        </wps:style>
                        <wps:bodyPr/>
                      </wps:wsp>
                      <wps:wsp>
                        <wps:cNvPr id="48" name="Прямая соединительная линия 48"/>
                        <wps:cNvCnPr/>
                        <wps:spPr>
                          <a:xfrm>
                            <a:off x="866480" y="2310230"/>
                            <a:ext cx="1495719" cy="0"/>
                          </a:xfrm>
                          <a:prstGeom prst="line">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49" name="Прямая соединительная линия 49"/>
                        <wps:cNvCnPr/>
                        <wps:spPr>
                          <a:xfrm flipV="1">
                            <a:off x="866480" y="1781570"/>
                            <a:ext cx="0" cy="528659"/>
                          </a:xfrm>
                          <a:prstGeom prst="line">
                            <a:avLst/>
                          </a:prstGeom>
                          <a:ln>
                            <a:tailEnd type="none" w="med" len="lg"/>
                          </a:ln>
                        </wps:spPr>
                        <wps:style>
                          <a:lnRef idx="1">
                            <a:schemeClr val="dk1"/>
                          </a:lnRef>
                          <a:fillRef idx="0">
                            <a:schemeClr val="dk1"/>
                          </a:fillRef>
                          <a:effectRef idx="0">
                            <a:schemeClr val="dk1"/>
                          </a:effectRef>
                          <a:fontRef idx="minor">
                            <a:schemeClr val="tx1"/>
                          </a:fontRef>
                        </wps:style>
                        <wps:bodyPr/>
                      </wps:wsp>
                      <wps:wsp>
                        <wps:cNvPr id="50" name="Прямая соединительная линия 50"/>
                        <wps:cNvCnPr/>
                        <wps:spPr>
                          <a:xfrm>
                            <a:off x="676275" y="2482949"/>
                            <a:ext cx="1719875" cy="0"/>
                          </a:xfrm>
                          <a:prstGeom prst="line">
                            <a:avLst/>
                          </a:prstGeom>
                          <a:ln>
                            <a:prstDash val="dash"/>
                            <a:headEnd type="none" w="med" len="lg"/>
                            <a:tailEnd type="none" w="med" len="lg"/>
                          </a:ln>
                        </wps:spPr>
                        <wps:style>
                          <a:lnRef idx="1">
                            <a:schemeClr val="dk1"/>
                          </a:lnRef>
                          <a:fillRef idx="0">
                            <a:schemeClr val="dk1"/>
                          </a:fillRef>
                          <a:effectRef idx="0">
                            <a:schemeClr val="dk1"/>
                          </a:effectRef>
                          <a:fontRef idx="minor">
                            <a:schemeClr val="tx1"/>
                          </a:fontRef>
                        </wps:style>
                        <wps:bodyPr/>
                      </wps:wsp>
                      <wps:wsp>
                        <wps:cNvPr id="51" name="Прямая соединительная линия 51"/>
                        <wps:cNvCnPr/>
                        <wps:spPr>
                          <a:xfrm flipV="1">
                            <a:off x="676275" y="1781570"/>
                            <a:ext cx="0" cy="701380"/>
                          </a:xfrm>
                          <a:prstGeom prst="line">
                            <a:avLst/>
                          </a:prstGeom>
                          <a:ln>
                            <a:prstDash val="dash"/>
                            <a:tailEnd type="stealth" w="med" len="lg"/>
                          </a:ln>
                        </wps:spPr>
                        <wps:style>
                          <a:lnRef idx="1">
                            <a:schemeClr val="dk1"/>
                          </a:lnRef>
                          <a:fillRef idx="0">
                            <a:schemeClr val="dk1"/>
                          </a:fillRef>
                          <a:effectRef idx="0">
                            <a:schemeClr val="dk1"/>
                          </a:effectRef>
                          <a:fontRef idx="minor">
                            <a:schemeClr val="tx1"/>
                          </a:fontRef>
                        </wps:style>
                        <wps:bodyPr/>
                      </wps:wsp>
                      <wps:wsp>
                        <wps:cNvPr id="52" name="Прямая соединительная линия 52"/>
                        <wps:cNvCnPr/>
                        <wps:spPr>
                          <a:xfrm flipV="1">
                            <a:off x="484800" y="3069985"/>
                            <a:ext cx="1505925" cy="974"/>
                          </a:xfrm>
                          <a:prstGeom prst="line">
                            <a:avLst/>
                          </a:prstGeom>
                          <a:ln>
                            <a:prstDash val="dash"/>
                            <a:headEnd type="none" w="med" len="lg"/>
                            <a:tailEnd type="none" w="med" len="lg"/>
                          </a:ln>
                        </wps:spPr>
                        <wps:style>
                          <a:lnRef idx="1">
                            <a:schemeClr val="dk1"/>
                          </a:lnRef>
                          <a:fillRef idx="0">
                            <a:schemeClr val="dk1"/>
                          </a:fillRef>
                          <a:effectRef idx="0">
                            <a:schemeClr val="dk1"/>
                          </a:effectRef>
                          <a:fontRef idx="minor">
                            <a:schemeClr val="tx1"/>
                          </a:fontRef>
                        </wps:style>
                        <wps:bodyPr/>
                      </wps:wsp>
                      <wps:wsp>
                        <wps:cNvPr id="53" name="Прямая соединительная линия 53"/>
                        <wps:cNvCnPr/>
                        <wps:spPr>
                          <a:xfrm>
                            <a:off x="342560" y="3254814"/>
                            <a:ext cx="1648165" cy="1"/>
                          </a:xfrm>
                          <a:prstGeom prst="line">
                            <a:avLst/>
                          </a:prstGeom>
                          <a:ln>
                            <a:prstDash val="dash"/>
                            <a:headEnd type="none" w="med" len="lg"/>
                            <a:tailEnd type="stealth" w="med" len="lg"/>
                          </a:ln>
                        </wps:spPr>
                        <wps:style>
                          <a:lnRef idx="1">
                            <a:schemeClr val="dk1"/>
                          </a:lnRef>
                          <a:fillRef idx="0">
                            <a:schemeClr val="dk1"/>
                          </a:fillRef>
                          <a:effectRef idx="0">
                            <a:schemeClr val="dk1"/>
                          </a:effectRef>
                          <a:fontRef idx="minor">
                            <a:schemeClr val="tx1"/>
                          </a:fontRef>
                        </wps:style>
                        <wps:bodyPr/>
                      </wps:wsp>
                      <wps:wsp>
                        <wps:cNvPr id="54" name="Прямая соединительная линия 54"/>
                        <wps:cNvCnPr/>
                        <wps:spPr>
                          <a:xfrm flipV="1">
                            <a:off x="342560" y="1781570"/>
                            <a:ext cx="0" cy="1473879"/>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55" name="Прямая соединительная линия 55"/>
                        <wps:cNvCnPr/>
                        <wps:spPr>
                          <a:xfrm flipV="1">
                            <a:off x="484800" y="1757781"/>
                            <a:ext cx="0" cy="1312203"/>
                          </a:xfrm>
                          <a:prstGeom prst="line">
                            <a:avLst/>
                          </a:prstGeom>
                          <a:ln>
                            <a:prstDash val="dash"/>
                            <a:tailEnd type="stealth" w="med" len="lg"/>
                          </a:ln>
                        </wps:spPr>
                        <wps:style>
                          <a:lnRef idx="1">
                            <a:schemeClr val="dk1"/>
                          </a:lnRef>
                          <a:fillRef idx="0">
                            <a:schemeClr val="dk1"/>
                          </a:fillRef>
                          <a:effectRef idx="0">
                            <a:schemeClr val="dk1"/>
                          </a:effectRef>
                          <a:fontRef idx="minor">
                            <a:schemeClr val="tx1"/>
                          </a:fontRef>
                        </wps:style>
                        <wps:bodyPr/>
                      </wps:wsp>
                      <wps:wsp>
                        <wps:cNvPr id="56" name="Прямая соединительная линия 56"/>
                        <wps:cNvCnPr/>
                        <wps:spPr>
                          <a:xfrm>
                            <a:off x="188255" y="3931724"/>
                            <a:ext cx="1982470" cy="0"/>
                          </a:xfrm>
                          <a:prstGeom prst="line">
                            <a:avLst/>
                          </a:prstGeom>
                          <a:ln>
                            <a:tailEnd type="stealth" w="med" len="lg"/>
                          </a:ln>
                        </wps:spPr>
                        <wps:style>
                          <a:lnRef idx="1">
                            <a:schemeClr val="dk1"/>
                          </a:lnRef>
                          <a:fillRef idx="0">
                            <a:schemeClr val="dk1"/>
                          </a:fillRef>
                          <a:effectRef idx="0">
                            <a:schemeClr val="dk1"/>
                          </a:effectRef>
                          <a:fontRef idx="minor">
                            <a:schemeClr val="tx1"/>
                          </a:fontRef>
                        </wps:style>
                        <wps:bodyPr/>
                      </wps:wsp>
                      <wps:wsp>
                        <wps:cNvPr id="57" name="Прямая соединительная линия 57"/>
                        <wps:cNvCnPr/>
                        <wps:spPr>
                          <a:xfrm flipV="1">
                            <a:off x="188255" y="1758415"/>
                            <a:ext cx="0" cy="2173309"/>
                          </a:xfrm>
                          <a:prstGeom prst="line">
                            <a:avLst/>
                          </a:prstGeom>
                          <a:ln>
                            <a:tailEnd type="none" w="med" len="lg"/>
                          </a:ln>
                        </wps:spPr>
                        <wps:style>
                          <a:lnRef idx="1">
                            <a:schemeClr val="dk1"/>
                          </a:lnRef>
                          <a:fillRef idx="0">
                            <a:schemeClr val="dk1"/>
                          </a:fillRef>
                          <a:effectRef idx="0">
                            <a:schemeClr val="dk1"/>
                          </a:effectRef>
                          <a:fontRef idx="minor">
                            <a:schemeClr val="tx1"/>
                          </a:fontRef>
                        </wps:style>
                        <wps:bodyPr/>
                      </wps:wsp>
                      <wps:wsp>
                        <wps:cNvPr id="58" name="Прямая соединительная линия 58"/>
                        <wps:cNvCnPr/>
                        <wps:spPr>
                          <a:xfrm>
                            <a:off x="54905" y="4111724"/>
                            <a:ext cx="2115820" cy="0"/>
                          </a:xfrm>
                          <a:prstGeom prst="line">
                            <a:avLst/>
                          </a:prstGeom>
                          <a:ln>
                            <a:prstDash val="dash"/>
                            <a:headEnd type="none" w="med" len="lg"/>
                            <a:tailEnd type="none" w="med" len="lg"/>
                          </a:ln>
                        </wps:spPr>
                        <wps:style>
                          <a:lnRef idx="1">
                            <a:schemeClr val="dk1"/>
                          </a:lnRef>
                          <a:fillRef idx="0">
                            <a:schemeClr val="dk1"/>
                          </a:fillRef>
                          <a:effectRef idx="0">
                            <a:schemeClr val="dk1"/>
                          </a:effectRef>
                          <a:fontRef idx="minor">
                            <a:schemeClr val="tx1"/>
                          </a:fontRef>
                        </wps:style>
                        <wps:bodyPr/>
                      </wps:wsp>
                      <wps:wsp>
                        <wps:cNvPr id="59" name="Прямая соединительная линия 59"/>
                        <wps:cNvCnPr/>
                        <wps:spPr>
                          <a:xfrm flipV="1">
                            <a:off x="54905" y="1757486"/>
                            <a:ext cx="0" cy="2354238"/>
                          </a:xfrm>
                          <a:prstGeom prst="line">
                            <a:avLst/>
                          </a:prstGeom>
                          <a:ln>
                            <a:prstDash val="dash"/>
                            <a:tailEnd type="stealth" w="med" len="lg"/>
                          </a:ln>
                        </wps:spPr>
                        <wps:style>
                          <a:lnRef idx="1">
                            <a:schemeClr val="dk1"/>
                          </a:lnRef>
                          <a:fillRef idx="0">
                            <a:schemeClr val="dk1"/>
                          </a:fillRef>
                          <a:effectRef idx="0">
                            <a:schemeClr val="dk1"/>
                          </a:effectRef>
                          <a:fontRef idx="minor">
                            <a:schemeClr val="tx1"/>
                          </a:fontRef>
                        </wps:style>
                        <wps:bodyPr/>
                      </wps:wsp>
                      <wps:wsp>
                        <wps:cNvPr id="60" name="Поле 60"/>
                        <wps:cNvSpPr txBox="1"/>
                        <wps:spPr>
                          <a:xfrm>
                            <a:off x="3570605" y="521774"/>
                            <a:ext cx="1208405" cy="228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E3ECF5" w14:textId="77777777" w:rsidR="00B56753" w:rsidRDefault="00B56753" w:rsidP="00966FB0">
                              <w:pPr>
                                <w:spacing w:line="180" w:lineRule="auto"/>
                                <w:jc w:val="center"/>
                                <w:rPr>
                                  <w:sz w:val="20"/>
                                  <w:szCs w:val="20"/>
                                  <w:lang w:val="en-US"/>
                                </w:rPr>
                              </w:pPr>
                              <w:r w:rsidRPr="00316FE9">
                                <w:rPr>
                                  <w:sz w:val="20"/>
                                  <w:szCs w:val="20"/>
                                  <w:lang w:val="en-US"/>
                                </w:rPr>
                                <w:t>Personal income</w:t>
                              </w:r>
                              <w:r>
                                <w:rPr>
                                  <w:sz w:val="20"/>
                                  <w:szCs w:val="20"/>
                                  <w:lang w:val="en-US"/>
                                </w:rPr>
                                <w:t> </w:t>
                              </w:r>
                            </w:p>
                            <w:p w14:paraId="2B063AC9" w14:textId="77777777" w:rsidR="00B56753" w:rsidRPr="00316FE9" w:rsidRDefault="00B56753" w:rsidP="00966FB0">
                              <w:pPr>
                                <w:spacing w:line="180" w:lineRule="auto"/>
                                <w:jc w:val="center"/>
                                <w:rPr>
                                  <w:sz w:val="20"/>
                                  <w:szCs w:val="20"/>
                                  <w:lang w:val="en-US"/>
                                </w:rPr>
                              </w:pPr>
                              <w:r w:rsidRPr="00316FE9">
                                <w:rPr>
                                  <w:sz w:val="20"/>
                                  <w:szCs w:val="20"/>
                                  <w:lang w:val="en-US"/>
                                </w:rPr>
                                <w:t>(</w:t>
                              </w:r>
                              <w:r>
                                <w:rPr>
                                  <w:sz w:val="20"/>
                                  <w:szCs w:val="20"/>
                                  <w:lang w:val="en-US"/>
                                </w:rPr>
                                <w:t>W</w:t>
                              </w:r>
                              <w:r w:rsidRPr="00316FE9">
                                <w:rPr>
                                  <w:sz w:val="20"/>
                                  <w:szCs w:val="20"/>
                                  <w:lang w:val="en-US"/>
                                </w:rPr>
                                <w:t>ages, salaries, etc</w:t>
                              </w:r>
                              <w:r>
                                <w:rPr>
                                  <w:sz w:val="20"/>
                                  <w:szCs w:val="20"/>
                                  <w:lang w:val="en-US"/>
                                </w:rPr>
                                <w:t>.</w:t>
                              </w:r>
                              <w:r w:rsidRPr="00316FE9">
                                <w:rPr>
                                  <w:sz w:val="20"/>
                                  <w:szCs w:val="20"/>
                                  <w:lang w:val="en-U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61" name="Поле 59"/>
                        <wps:cNvSpPr txBox="1"/>
                        <wps:spPr>
                          <a:xfrm>
                            <a:off x="3942375" y="35999"/>
                            <a:ext cx="1049655" cy="237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160AAD2"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 xml:space="preserve">Production factors </w:t>
                              </w:r>
                            </w:p>
                            <w:p w14:paraId="7485FAF3"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(Physical input)</w:t>
                              </w:r>
                            </w:p>
                          </w:txbxContent>
                        </wps:txbx>
                        <wps:bodyPr rot="0" spcFirstLastPara="0" vert="horz" wrap="square" lIns="0" tIns="0" rIns="0" bIns="0" numCol="1" spcCol="0" rtlCol="0" fromWordArt="0" anchor="t" anchorCtr="0" forceAA="0" compatLnSpc="1">
                          <a:prstTxWarp prst="textNoShape">
                            <a:avLst/>
                          </a:prstTxWarp>
                          <a:noAutofit/>
                        </wps:bodyPr>
                      </wps:wsp>
                      <wps:wsp>
                        <wps:cNvPr id="62" name="Поле 59"/>
                        <wps:cNvSpPr txBox="1"/>
                        <wps:spPr>
                          <a:xfrm>
                            <a:off x="3570605" y="1252951"/>
                            <a:ext cx="782320" cy="22860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2AC810" w14:textId="77777777" w:rsidR="00B56753" w:rsidRDefault="00B56753" w:rsidP="00966FB0">
                              <w:pPr>
                                <w:pStyle w:val="NormalWeb"/>
                                <w:spacing w:before="0" w:beforeAutospacing="0" w:after="0" w:afterAutospacing="0" w:line="180" w:lineRule="auto"/>
                                <w:ind w:firstLine="142"/>
                                <w:jc w:val="center"/>
                              </w:pPr>
                              <w:r>
                                <w:rPr>
                                  <w:rFonts w:ascii="Garamond" w:eastAsia="Calibri" w:hAnsi="Garamond"/>
                                  <w:sz w:val="20"/>
                                  <w:szCs w:val="20"/>
                                  <w:lang w:val="en-US"/>
                                </w:rPr>
                                <w:t>Taxes and borrowing</w:t>
                              </w:r>
                            </w:p>
                          </w:txbxContent>
                        </wps:txbx>
                        <wps:bodyPr rot="0" spcFirstLastPara="0" vert="horz" wrap="square" lIns="0" tIns="0" rIns="0" bIns="0" numCol="1" spcCol="0" rtlCol="0" fromWordArt="0" anchor="t" anchorCtr="0" forceAA="0" compatLnSpc="1">
                          <a:prstTxWarp prst="textNoShape">
                            <a:avLst/>
                          </a:prstTxWarp>
                          <a:noAutofit/>
                        </wps:bodyPr>
                      </wps:wsp>
                      <wps:wsp>
                        <wps:cNvPr id="63" name="Поле 59"/>
                        <wps:cNvSpPr txBox="1"/>
                        <wps:spPr>
                          <a:xfrm>
                            <a:off x="3356610" y="1675819"/>
                            <a:ext cx="1108075" cy="237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3C50BD3" w14:textId="77777777" w:rsidR="00B56753" w:rsidRDefault="00B56753" w:rsidP="00966FB0">
                              <w:pPr>
                                <w:pStyle w:val="NormalWeb"/>
                                <w:spacing w:before="0" w:beforeAutospacing="0" w:after="0" w:afterAutospacing="0" w:line="180" w:lineRule="auto"/>
                                <w:ind w:firstLine="142"/>
                                <w:jc w:val="center"/>
                              </w:pPr>
                              <w:r>
                                <w:rPr>
                                  <w:rFonts w:ascii="Garamond" w:eastAsia="Calibri" w:hAnsi="Garamond"/>
                                  <w:sz w:val="20"/>
                                  <w:szCs w:val="20"/>
                                  <w:lang w:val="en-US"/>
                                </w:rPr>
                                <w:t>Transfer payments, wages, salaries, etc.</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16" name="Поле 59"/>
                        <wps:cNvSpPr txBox="1"/>
                        <wps:spPr>
                          <a:xfrm>
                            <a:off x="3284516" y="1961569"/>
                            <a:ext cx="1297010" cy="32232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FF02A66" w14:textId="77777777" w:rsidR="00B56753" w:rsidRDefault="00B56753" w:rsidP="00966FB0">
                              <w:pPr>
                                <w:pStyle w:val="NormalWeb"/>
                                <w:spacing w:before="0" w:beforeAutospacing="0" w:after="0" w:afterAutospacing="0" w:line="180" w:lineRule="auto"/>
                                <w:ind w:firstLine="142"/>
                                <w:jc w:val="center"/>
                              </w:pPr>
                              <w:r>
                                <w:rPr>
                                  <w:rFonts w:ascii="Garamond" w:eastAsia="Calibri" w:hAnsi="Garamond"/>
                                  <w:sz w:val="20"/>
                                  <w:szCs w:val="20"/>
                                  <w:lang w:val="en-US"/>
                                </w:rPr>
                                <w:t>Household purchases on domestic products (consumption)</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17" name="Поле 59"/>
                        <wps:cNvSpPr txBox="1"/>
                        <wps:spPr>
                          <a:xfrm>
                            <a:off x="3704590" y="2534042"/>
                            <a:ext cx="1116625" cy="118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66040E4" w14:textId="77777777" w:rsidR="00B56753" w:rsidRDefault="00B56753" w:rsidP="00966FB0">
                              <w:pPr>
                                <w:pStyle w:val="NormalWeb"/>
                                <w:spacing w:before="0" w:beforeAutospacing="0" w:after="0" w:afterAutospacing="0" w:line="180" w:lineRule="auto"/>
                                <w:ind w:firstLine="144"/>
                                <w:jc w:val="center"/>
                              </w:pPr>
                              <w:r>
                                <w:rPr>
                                  <w:rFonts w:ascii="Garamond" w:eastAsia="Calibri" w:hAnsi="Garamond"/>
                                  <w:sz w:val="20"/>
                                  <w:szCs w:val="20"/>
                                  <w:lang w:val="en-US"/>
                                </w:rPr>
                                <w:t>Goods and services</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18" name="Поле 59"/>
                        <wps:cNvSpPr txBox="1"/>
                        <wps:spPr>
                          <a:xfrm>
                            <a:off x="3705225" y="2939174"/>
                            <a:ext cx="1228725" cy="1308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BD24A2D"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Savings and repayments</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19" name="Поле 59"/>
                        <wps:cNvSpPr txBox="1"/>
                        <wps:spPr>
                          <a:xfrm>
                            <a:off x="3734730" y="3349724"/>
                            <a:ext cx="1228725" cy="1308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56F986B"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Loans and withdrawals</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20" name="Поле 59"/>
                        <wps:cNvSpPr txBox="1"/>
                        <wps:spPr>
                          <a:xfrm>
                            <a:off x="3570605" y="3617399"/>
                            <a:ext cx="1687195" cy="228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17972E" w14:textId="77777777" w:rsidR="00B56753" w:rsidRDefault="00B56753" w:rsidP="00966FB0">
                              <w:pPr>
                                <w:pStyle w:val="NormalWeb"/>
                                <w:spacing w:before="0" w:beforeAutospacing="0" w:after="0" w:afterAutospacing="0" w:line="180" w:lineRule="auto"/>
                                <w:jc w:val="center"/>
                              </w:pPr>
                              <w:r w:rsidRPr="00111464">
                                <w:rPr>
                                  <w:rFonts w:ascii="Garamond" w:eastAsia="Calibri" w:hAnsi="Garamond"/>
                                  <w:sz w:val="20"/>
                                  <w:szCs w:val="20"/>
                                  <w:lang w:val="en-US"/>
                                </w:rPr>
                                <w:t xml:space="preserve">Household purchases on </w:t>
                              </w:r>
                              <w:r>
                                <w:rPr>
                                  <w:rFonts w:ascii="Garamond" w:eastAsia="Calibri" w:hAnsi="Garamond"/>
                                  <w:sz w:val="20"/>
                                  <w:szCs w:val="20"/>
                                  <w:lang w:val="en-US"/>
                                </w:rPr>
                                <w:t>import</w:t>
                              </w:r>
                              <w:r w:rsidRPr="00111464">
                                <w:rPr>
                                  <w:rFonts w:ascii="Garamond" w:eastAsia="Calibri" w:hAnsi="Garamond"/>
                                  <w:sz w:val="20"/>
                                  <w:szCs w:val="20"/>
                                  <w:lang w:val="en-US"/>
                                </w:rPr>
                                <w:t xml:space="preserve"> products</w:t>
                              </w:r>
                              <w:r>
                                <w:rPr>
                                  <w:rFonts w:ascii="Garamond" w:eastAsia="Calibri" w:hAnsi="Garamond"/>
                                  <w:sz w:val="20"/>
                                  <w:szCs w:val="20"/>
                                  <w:lang w:val="en-US"/>
                                </w:rPr>
                                <w:t xml:space="preserve"> (consumption)</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21" name="Поле 59"/>
                        <wps:cNvSpPr txBox="1"/>
                        <wps:spPr>
                          <a:xfrm>
                            <a:off x="4068445" y="4130774"/>
                            <a:ext cx="923585" cy="2283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37EF9FC" w14:textId="77777777" w:rsidR="00B56753" w:rsidRDefault="00B56753" w:rsidP="00966FB0">
                              <w:pPr>
                                <w:pStyle w:val="NormalWeb"/>
                                <w:spacing w:before="0" w:beforeAutospacing="0" w:after="0" w:afterAutospacing="0" w:line="180" w:lineRule="auto"/>
                                <w:ind w:firstLine="144"/>
                                <w:jc w:val="center"/>
                              </w:pPr>
                              <w:r>
                                <w:rPr>
                                  <w:rFonts w:ascii="Garamond" w:eastAsia="Calibri" w:hAnsi="Garamond"/>
                                  <w:sz w:val="20"/>
                                  <w:szCs w:val="20"/>
                                  <w:lang w:val="en-US"/>
                                </w:rPr>
                                <w:t>Imported goods and services</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22" name="Поле 59"/>
                        <wps:cNvSpPr txBox="1"/>
                        <wps:spPr>
                          <a:xfrm>
                            <a:off x="962025" y="513519"/>
                            <a:ext cx="1049655" cy="1797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27E7B36"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Physical input</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23" name="Поле 59"/>
                        <wps:cNvSpPr txBox="1"/>
                        <wps:spPr>
                          <a:xfrm>
                            <a:off x="822325" y="83623"/>
                            <a:ext cx="1049655" cy="1311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281C088"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Factor purchases</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24" name="Поле 59"/>
                        <wps:cNvSpPr txBox="1"/>
                        <wps:spPr>
                          <a:xfrm>
                            <a:off x="1037250" y="1684369"/>
                            <a:ext cx="782320" cy="228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43D5795" w14:textId="77777777" w:rsidR="00B56753" w:rsidRDefault="00B56753" w:rsidP="00966FB0">
                              <w:pPr>
                                <w:pStyle w:val="NormalWeb"/>
                                <w:spacing w:before="0" w:beforeAutospacing="0" w:after="0" w:afterAutospacing="0" w:line="180" w:lineRule="auto"/>
                                <w:ind w:firstLine="144"/>
                                <w:jc w:val="center"/>
                              </w:pPr>
                              <w:r>
                                <w:rPr>
                                  <w:rFonts w:ascii="Garamond" w:eastAsia="Calibri" w:hAnsi="Garamond"/>
                                  <w:sz w:val="20"/>
                                  <w:szCs w:val="20"/>
                                  <w:lang w:val="en-US"/>
                                </w:rPr>
                                <w:t>Taxes and borrowing</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73742025" name="Поле 59"/>
                        <wps:cNvSpPr txBox="1"/>
                        <wps:spPr>
                          <a:xfrm>
                            <a:off x="1105535" y="1346637"/>
                            <a:ext cx="828040" cy="11586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3934038"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Expenditures</w:t>
                              </w:r>
                            </w:p>
                          </w:txbxContent>
                        </wps:txbx>
                        <wps:bodyPr rot="0" spcFirstLastPara="0" vert="horz" wrap="square" lIns="0" tIns="0" rIns="0" bIns="0" numCol="1" spcCol="0" rtlCol="0" fromWordArt="0" anchor="t" anchorCtr="0" forceAA="0" compatLnSpc="1">
                          <a:prstTxWarp prst="textNoShape">
                            <a:avLst/>
                          </a:prstTxWarp>
                          <a:noAutofit/>
                        </wps:bodyPr>
                      </wps:wsp>
                      <wps:wsp>
                        <wps:cNvPr id="256" name="Поле 59"/>
                        <wps:cNvSpPr txBox="1"/>
                        <wps:spPr>
                          <a:xfrm>
                            <a:off x="962025" y="2165745"/>
                            <a:ext cx="1116330" cy="1416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BAEFBD6" w14:textId="77777777" w:rsidR="00B56753" w:rsidRDefault="00B56753" w:rsidP="00966FB0">
                              <w:pPr>
                                <w:pStyle w:val="NormalWeb"/>
                                <w:spacing w:before="0" w:beforeAutospacing="0" w:after="0" w:afterAutospacing="0" w:line="180" w:lineRule="auto"/>
                                <w:ind w:firstLine="144"/>
                                <w:jc w:val="center"/>
                              </w:pPr>
                              <w:r>
                                <w:rPr>
                                  <w:rFonts w:ascii="Garamond" w:eastAsia="Calibri" w:hAnsi="Garamond"/>
                                  <w:sz w:val="20"/>
                                  <w:szCs w:val="20"/>
                                  <w:lang w:val="en-US"/>
                                </w:rPr>
                                <w:t>Goods and services</w:t>
                              </w:r>
                            </w:p>
                          </w:txbxContent>
                        </wps:txbx>
                        <wps:bodyPr rot="0" spcFirstLastPara="0" vert="horz" wrap="square" lIns="0" tIns="0" rIns="0" bIns="0" numCol="1" spcCol="0" rtlCol="0" fromWordArt="0" anchor="t" anchorCtr="0" forceAA="0" compatLnSpc="1">
                          <a:prstTxWarp prst="textNoShape">
                            <a:avLst/>
                          </a:prstTxWarp>
                          <a:noAutofit/>
                        </wps:bodyPr>
                      </wps:wsp>
                      <wps:wsp>
                        <wps:cNvPr id="260" name="Поле 59"/>
                        <wps:cNvSpPr txBox="1"/>
                        <wps:spPr>
                          <a:xfrm>
                            <a:off x="822325" y="2510550"/>
                            <a:ext cx="1208405" cy="1419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0BBA2F"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Company income </w:t>
                              </w:r>
                            </w:p>
                          </w:txbxContent>
                        </wps:txbx>
                        <wps:bodyPr rot="0" spcFirstLastPara="0" vert="horz" wrap="square" lIns="0" tIns="0" rIns="0" bIns="0" numCol="1" spcCol="0" rtlCol="0" fromWordArt="0" anchor="t" anchorCtr="0" forceAA="0" compatLnSpc="1">
                          <a:prstTxWarp prst="textNoShape">
                            <a:avLst/>
                          </a:prstTxWarp>
                          <a:noAutofit/>
                        </wps:bodyPr>
                      </wps:wsp>
                      <wps:wsp>
                        <wps:cNvPr id="261" name="Поле 59"/>
                        <wps:cNvSpPr txBox="1"/>
                        <wps:spPr>
                          <a:xfrm>
                            <a:off x="542880" y="3284614"/>
                            <a:ext cx="1228725" cy="1308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AF6931A"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Savings and repayments</w:t>
                              </w:r>
                            </w:p>
                          </w:txbxContent>
                        </wps:txbx>
                        <wps:bodyPr rot="0" spcFirstLastPara="0" vert="horz" wrap="square" lIns="0" tIns="0" rIns="0" bIns="0" numCol="1" spcCol="0" rtlCol="0" fromWordArt="0" anchor="t" anchorCtr="0" forceAA="0" compatLnSpc="1">
                          <a:prstTxWarp prst="textNoShape">
                            <a:avLst/>
                          </a:prstTxWarp>
                          <a:noAutofit/>
                        </wps:bodyPr>
                      </wps:wsp>
                      <wps:wsp>
                        <wps:cNvPr id="262" name="Поле 59"/>
                        <wps:cNvSpPr txBox="1"/>
                        <wps:spPr>
                          <a:xfrm>
                            <a:off x="590845" y="2879484"/>
                            <a:ext cx="1228725" cy="1308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FB4376"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Loans and withdrawals</w:t>
                              </w:r>
                            </w:p>
                          </w:txbxContent>
                        </wps:txbx>
                        <wps:bodyPr rot="0" spcFirstLastPara="0" vert="horz" wrap="square" lIns="0" tIns="0" rIns="0" bIns="0" numCol="1" spcCol="0" rtlCol="0" fromWordArt="0" anchor="t" anchorCtr="0" forceAA="0" compatLnSpc="1">
                          <a:prstTxWarp prst="textNoShape">
                            <a:avLst/>
                          </a:prstTxWarp>
                          <a:noAutofit/>
                        </wps:bodyPr>
                      </wps:wsp>
                      <wps:wsp>
                        <wps:cNvPr id="263" name="Поле 59"/>
                        <wps:cNvSpPr txBox="1"/>
                        <wps:spPr>
                          <a:xfrm>
                            <a:off x="409575" y="4197450"/>
                            <a:ext cx="1189990" cy="239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5256047" w14:textId="77777777" w:rsidR="00B56753" w:rsidRDefault="00B56753" w:rsidP="00966FB0">
                              <w:pPr>
                                <w:pStyle w:val="NormalWeb"/>
                                <w:spacing w:before="0" w:beforeAutospacing="0" w:after="0" w:afterAutospacing="0" w:line="180" w:lineRule="auto"/>
                                <w:ind w:firstLine="144"/>
                                <w:jc w:val="center"/>
                              </w:pPr>
                              <w:r>
                                <w:rPr>
                                  <w:rFonts w:ascii="Garamond" w:eastAsia="Calibri" w:hAnsi="Garamond"/>
                                  <w:sz w:val="20"/>
                                  <w:szCs w:val="20"/>
                                  <w:lang w:val="en-US"/>
                                </w:rPr>
                                <w:t>Exports and foreign investment income</w:t>
                              </w:r>
                            </w:p>
                          </w:txbxContent>
                        </wps:txbx>
                        <wps:bodyPr rot="0" spcFirstLastPara="0" vert="horz" wrap="square" lIns="0" tIns="0" rIns="0" bIns="0" numCol="1" spcCol="0" rtlCol="0" fromWordArt="0" anchor="t" anchorCtr="0" forceAA="0" compatLnSpc="1">
                          <a:prstTxWarp prst="textNoShape">
                            <a:avLst/>
                          </a:prstTxWarp>
                          <a:noAutofit/>
                        </wps:bodyPr>
                      </wps:wsp>
                      <wps:wsp>
                        <wps:cNvPr id="264" name="Поле 59"/>
                        <wps:cNvSpPr txBox="1"/>
                        <wps:spPr>
                          <a:xfrm>
                            <a:off x="342560" y="3768824"/>
                            <a:ext cx="1524001" cy="1416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2095ACC"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Goods and services exports</w:t>
                              </w:r>
                            </w:p>
                          </w:txbxContent>
                        </wps:txbx>
                        <wps:bodyPr rot="0" spcFirstLastPara="0" vert="horz" wrap="square" lIns="0" tIns="0" rIns="0" bIns="0" numCol="1" spcCol="0" rtlCol="0" fromWordArt="0" anchor="t" anchorCtr="0" forceAA="0" compatLnSpc="1">
                          <a:prstTxWarp prst="textNoShape">
                            <a:avLst/>
                          </a:prstTxWarp>
                          <a:noAutofit/>
                        </wps:bodyPr>
                      </wps:wsp>
                      <wps:wsp>
                        <wps:cNvPr id="266" name="Прямая соединительная линия 266"/>
                        <wps:cNvCnPr/>
                        <wps:spPr>
                          <a:xfrm flipV="1">
                            <a:off x="405720" y="1037412"/>
                            <a:ext cx="0" cy="360680"/>
                          </a:xfrm>
                          <a:prstGeom prst="line">
                            <a:avLst/>
                          </a:prstGeom>
                          <a:ln>
                            <a:headEnd type="stealth" w="med" len="lg"/>
                            <a:tailEnd type="none" w="med" len="lg"/>
                          </a:ln>
                        </wps:spPr>
                        <wps:style>
                          <a:lnRef idx="1">
                            <a:schemeClr val="dk1"/>
                          </a:lnRef>
                          <a:fillRef idx="0">
                            <a:schemeClr val="dk1"/>
                          </a:fillRef>
                          <a:effectRef idx="0">
                            <a:schemeClr val="dk1"/>
                          </a:effectRef>
                          <a:fontRef idx="minor">
                            <a:schemeClr val="tx1"/>
                          </a:fontRef>
                        </wps:style>
                        <wps:bodyPr/>
                      </wps:wsp>
                      <wps:wsp>
                        <wps:cNvPr id="267" name="Прямая соединительная линия 267"/>
                        <wps:cNvCnPr/>
                        <wps:spPr>
                          <a:xfrm flipH="1">
                            <a:off x="142195" y="1037411"/>
                            <a:ext cx="263525" cy="0"/>
                          </a:xfrm>
                          <a:prstGeom prst="line">
                            <a:avLst/>
                          </a:prstGeom>
                          <a:ln>
                            <a:headEnd type="none" w="med" len="lg"/>
                            <a:tailEnd type="none" w="med" len="lg"/>
                          </a:ln>
                        </wps:spPr>
                        <wps:style>
                          <a:lnRef idx="1">
                            <a:schemeClr val="dk1"/>
                          </a:lnRef>
                          <a:fillRef idx="0">
                            <a:schemeClr val="dk1"/>
                          </a:fillRef>
                          <a:effectRef idx="0">
                            <a:schemeClr val="dk1"/>
                          </a:effectRef>
                          <a:fontRef idx="minor">
                            <a:schemeClr val="tx1"/>
                          </a:fontRef>
                        </wps:style>
                        <wps:bodyPr/>
                      </wps:wsp>
                      <wps:wsp>
                        <wps:cNvPr id="268" name="Поле 59"/>
                        <wps:cNvSpPr txBox="1"/>
                        <wps:spPr>
                          <a:xfrm>
                            <a:off x="11339" y="435047"/>
                            <a:ext cx="579506" cy="57028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F2EA4E"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Imported inputs and semi-finished goods</w:t>
                              </w:r>
                            </w:p>
                          </w:txbxContent>
                        </wps:txbx>
                        <wps:bodyPr rot="0" spcFirstLastPara="0" vert="horz" wrap="square" lIns="0" tIns="0" rIns="0" bIns="0" numCol="1" spcCol="0" rtlCol="0" fromWordArt="0" anchor="t" anchorCtr="0" forceAA="0" compatLnSpc="1">
                          <a:prstTxWarp prst="textNoShape">
                            <a:avLst/>
                          </a:prstTxWarp>
                          <a:noAutofit/>
                        </wps:bodyPr>
                      </wps:wsp>
                      <wps:wsp>
                        <wps:cNvPr id="269" name="Поле 59"/>
                        <wps:cNvSpPr txBox="1"/>
                        <wps:spPr>
                          <a:xfrm>
                            <a:off x="2154510" y="2664786"/>
                            <a:ext cx="955719" cy="22703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E63331"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Government taxes and borrowing</w:t>
                              </w:r>
                            </w:p>
                          </w:txbxContent>
                        </wps:txbx>
                        <wps:bodyPr rot="0" spcFirstLastPara="0" vert="horz" wrap="square" lIns="0" tIns="0" rIns="0" bIns="0" numCol="1" spcCol="0" rtlCol="0" fromWordArt="0" anchor="t" anchorCtr="0" forceAA="0" compatLnSpc="1">
                          <a:prstTxWarp prst="textNoShape">
                            <a:avLst/>
                          </a:prstTxWarp>
                          <a:noAutofit/>
                        </wps:bodyPr>
                      </wps:wsp>
                      <wps:wsp>
                        <wps:cNvPr id="272" name="Поле 59"/>
                        <wps:cNvSpPr txBox="1"/>
                        <wps:spPr>
                          <a:xfrm>
                            <a:off x="3356610" y="2652582"/>
                            <a:ext cx="1108075" cy="2391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996397" w14:textId="77777777" w:rsidR="00B56753" w:rsidRDefault="00B56753" w:rsidP="00966FB0">
                              <w:pPr>
                                <w:pStyle w:val="NormalWeb"/>
                                <w:spacing w:before="0" w:beforeAutospacing="0" w:after="0" w:afterAutospacing="0" w:line="180" w:lineRule="auto"/>
                                <w:jc w:val="center"/>
                              </w:pPr>
                              <w:r>
                                <w:rPr>
                                  <w:rFonts w:ascii="Garamond" w:eastAsia="Calibri" w:hAnsi="Garamond"/>
                                  <w:sz w:val="20"/>
                                  <w:szCs w:val="20"/>
                                  <w:lang w:val="en-US"/>
                                </w:rPr>
                                <w:t>Government savings and repayments</w:t>
                              </w:r>
                            </w:p>
                          </w:txbxContent>
                        </wps:txbx>
                        <wps:bodyPr rot="0" spcFirstLastPara="0" vert="horz" wrap="square" lIns="0" tIns="0" rIns="0" bIns="0" numCol="1" spcCol="0" rtlCol="0" fromWordArt="0" anchor="t" anchorCtr="0" forceAA="0" compatLnSpc="1">
                          <a:prstTxWarp prst="textNoShape">
                            <a:avLst/>
                          </a:prstTxWarp>
                          <a:noAutofit/>
                        </wps:bodyPr>
                      </wps:wsp>
                      <wps:wsp>
                        <wps:cNvPr id="273" name="Поле 59"/>
                        <wps:cNvSpPr txBox="1"/>
                        <wps:spPr>
                          <a:xfrm>
                            <a:off x="3809321" y="4436373"/>
                            <a:ext cx="822030" cy="53231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25F9CDF" w14:textId="77777777" w:rsidR="00B56753" w:rsidRPr="008F30F7" w:rsidRDefault="00B56753" w:rsidP="00966FB0">
                              <w:pPr>
                                <w:pStyle w:val="NormalWeb"/>
                                <w:spacing w:before="0" w:beforeAutospacing="0" w:after="0" w:afterAutospacing="0" w:line="180" w:lineRule="auto"/>
                                <w:rPr>
                                  <w:rFonts w:ascii="Garamond" w:eastAsia="Calibri" w:hAnsi="Garamond"/>
                                  <w:b/>
                                  <w:sz w:val="20"/>
                                  <w:szCs w:val="20"/>
                                  <w:lang w:val="en-US"/>
                                </w:rPr>
                              </w:pPr>
                              <w:r w:rsidRPr="008F30F7">
                                <w:rPr>
                                  <w:rFonts w:ascii="Garamond" w:eastAsia="Calibri" w:hAnsi="Garamond"/>
                                  <w:b/>
                                  <w:sz w:val="20"/>
                                  <w:szCs w:val="20"/>
                                  <w:lang w:val="en-US"/>
                                </w:rPr>
                                <w:t>Notes:</w:t>
                              </w:r>
                            </w:p>
                            <w:p w14:paraId="4911CF82" w14:textId="77777777" w:rsidR="00B56753" w:rsidRDefault="00B56753" w:rsidP="00966FB0">
                              <w:pPr>
                                <w:pStyle w:val="NormalWeb"/>
                                <w:spacing w:before="0" w:beforeAutospacing="0" w:after="0" w:afterAutospacing="0" w:line="180" w:lineRule="auto"/>
                                <w:rPr>
                                  <w:rFonts w:ascii="Garamond" w:eastAsia="Calibri" w:hAnsi="Garamond"/>
                                  <w:sz w:val="20"/>
                                  <w:szCs w:val="20"/>
                                  <w:lang w:val="en-US"/>
                                </w:rPr>
                              </w:pPr>
                            </w:p>
                            <w:p w14:paraId="4B52866B" w14:textId="77777777" w:rsidR="00B56753" w:rsidRDefault="00B56753" w:rsidP="00966FB0">
                              <w:pPr>
                                <w:pStyle w:val="NormalWeb"/>
                                <w:spacing w:before="0" w:beforeAutospacing="0" w:after="0" w:afterAutospacing="0" w:line="180" w:lineRule="auto"/>
                                <w:rPr>
                                  <w:rFonts w:ascii="Garamond" w:eastAsia="Calibri" w:hAnsi="Garamond"/>
                                  <w:sz w:val="20"/>
                                  <w:szCs w:val="20"/>
                                  <w:lang w:val="en-US"/>
                                </w:rPr>
                              </w:pPr>
                              <w:r w:rsidRPr="008F30F7">
                                <w:rPr>
                                  <w:rFonts w:ascii="Garamond" w:eastAsia="Calibri" w:hAnsi="Garamond"/>
                                  <w:sz w:val="20"/>
                                  <w:szCs w:val="20"/>
                                  <w:lang w:val="en-US"/>
                                </w:rPr>
                                <w:t>Financial flows</w:t>
                              </w:r>
                            </w:p>
                            <w:p w14:paraId="37FB88B2" w14:textId="77777777" w:rsidR="00B56753" w:rsidRDefault="00B56753" w:rsidP="00966FB0">
                              <w:pPr>
                                <w:pStyle w:val="NormalWeb"/>
                                <w:spacing w:before="0" w:beforeAutospacing="0" w:after="0" w:afterAutospacing="0" w:line="180" w:lineRule="auto"/>
                                <w:rPr>
                                  <w:rFonts w:ascii="Garamond" w:eastAsia="Calibri" w:hAnsi="Garamond"/>
                                  <w:sz w:val="20"/>
                                  <w:szCs w:val="20"/>
                                  <w:lang w:val="en-US"/>
                                </w:rPr>
                              </w:pPr>
                            </w:p>
                            <w:p w14:paraId="47B7D5A0" w14:textId="77777777" w:rsidR="00B56753" w:rsidRPr="008F30F7" w:rsidRDefault="00B56753" w:rsidP="00966FB0">
                              <w:pPr>
                                <w:pStyle w:val="NormalWeb"/>
                                <w:spacing w:before="0" w:beforeAutospacing="0" w:after="0" w:afterAutospacing="0" w:line="180" w:lineRule="auto"/>
                                <w:rPr>
                                  <w:rFonts w:ascii="Garamond" w:eastAsia="Calibri" w:hAnsi="Garamond"/>
                                  <w:sz w:val="20"/>
                                  <w:szCs w:val="20"/>
                                  <w:lang w:val="en-US"/>
                                </w:rPr>
                              </w:pPr>
                              <w:r>
                                <w:rPr>
                                  <w:rFonts w:ascii="Garamond" w:eastAsia="Calibri" w:hAnsi="Garamond"/>
                                  <w:sz w:val="20"/>
                                  <w:szCs w:val="20"/>
                                  <w:lang w:val="en-US"/>
                                </w:rPr>
                                <w:t>Capital flows</w:t>
                              </w:r>
                            </w:p>
                          </w:txbxContent>
                        </wps:txbx>
                        <wps:bodyPr rot="0" spcFirstLastPara="0" vert="horz" wrap="square" lIns="0" tIns="0" rIns="0" bIns="0" numCol="1" spcCol="0" rtlCol="0" fromWordArt="0" anchor="t" anchorCtr="0" forceAA="0" compatLnSpc="1">
                          <a:prstTxWarp prst="textNoShape">
                            <a:avLst/>
                          </a:prstTxWarp>
                          <a:noAutofit/>
                        </wps:bodyPr>
                      </wps:wsp>
                      <wps:wsp>
                        <wps:cNvPr id="274" name="Прямая соединительная линия 274"/>
                        <wps:cNvCnPr/>
                        <wps:spPr>
                          <a:xfrm>
                            <a:off x="4673260" y="4685139"/>
                            <a:ext cx="584540" cy="0"/>
                          </a:xfrm>
                          <a:prstGeom prst="line">
                            <a:avLst/>
                          </a:prstGeom>
                          <a:ln>
                            <a:prstDash val="dash"/>
                            <a:headEnd type="none" w="med" len="lg"/>
                            <a:tailEnd type="stealth" w="med" len="lg"/>
                          </a:ln>
                        </wps:spPr>
                        <wps:style>
                          <a:lnRef idx="1">
                            <a:schemeClr val="dk1"/>
                          </a:lnRef>
                          <a:fillRef idx="0">
                            <a:schemeClr val="dk1"/>
                          </a:fillRef>
                          <a:effectRef idx="0">
                            <a:schemeClr val="dk1"/>
                          </a:effectRef>
                          <a:fontRef idx="minor">
                            <a:schemeClr val="tx1"/>
                          </a:fontRef>
                        </wps:style>
                        <wps:bodyPr/>
                      </wps:wsp>
                      <wps:wsp>
                        <wps:cNvPr id="275" name="Прямая соединительная линия 275"/>
                        <wps:cNvCnPr/>
                        <wps:spPr>
                          <a:xfrm>
                            <a:off x="4673260" y="4865030"/>
                            <a:ext cx="584200" cy="0"/>
                          </a:xfrm>
                          <a:prstGeom prst="line">
                            <a:avLst/>
                          </a:prstGeom>
                          <a:ln>
                            <a:prstDash val="solid"/>
                            <a:headEnd type="none" w="med" len="lg"/>
                            <a:tailEnd type="stealth" w="med" len="lg"/>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276" o:spid="_x0000_s1060" editas="canvas" style="width:445.5pt;height:391.25pt;mso-position-horizontal-relative:char;mso-position-vertical-relative:line" coordsize="56578,49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">
                <v:shape id="_x0000_s1061" type="#_x0000_t75" style="position:absolute;width:56578;height:49688;visibility:visible;mso-wrap-style:square">
                  <v:fill o:detectmouseclick="t"/>
                  <v:path o:connecttype="none"/>
                </v:shape>
                <v:roundrect id="Скругленный прямоугольник 7" o:spid="_x0000_s1062" style="position:absolute;top:13980;width:9620;height:38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7LV8QA&#10;AADaAAAADwAAAGRycy9kb3ducmV2LnhtbESPQWvCQBSE74L/YXlCL6Vu9FBL6iaImrYHodT6Ax7Z&#10;ZzaYfRuza0z767tCweMwM98wy3ywjeip87VjBbNpAoK4dLrmSsHhu3h6AeEDssbGMSn4IQ95Nh4t&#10;MdXuyl/U70MlIoR9igpMCG0qpS8NWfRT1xJH7+g6iyHKrpK6w2uE20bOk+RZWqw5LhhsaW2oPO0v&#10;VsFvT4/ldvG+OZhV8XnG3Yze6kKph8mwegURaAj38H/7QytYwO1KvAE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uy1fEAAAA2gAAAA8AAAAAAAAAAAAAAAAAmAIAAGRycy9k&#10;b3ducmV2LnhtbFBLBQYAAAAABAAEAPUAAACJAwAAAAA=&#10;" fillcolor="#bfbfbf [2412]" stroked="f">
                  <v:textbox>
                    <w:txbxContent>
                      <w:p w:rsidR="00B56753" w:rsidRPr="004B2559" w:rsidRDefault="00B56753" w:rsidP="00966FB0">
                        <w:pPr>
                          <w:jc w:val="center"/>
                          <w:rPr>
                            <w:b/>
                            <w:lang w:val="en-US"/>
                          </w:rPr>
                        </w:pPr>
                        <w:r w:rsidRPr="004B2559">
                          <w:rPr>
                            <w:b/>
                            <w:lang w:val="en-US"/>
                          </w:rPr>
                          <w:t>Business</w:t>
                        </w:r>
                      </w:p>
                    </w:txbxContent>
                  </v:textbox>
                </v:roundrect>
                <v:roundrect id="Скругленный прямоугольник 9" o:spid="_x0000_s1063" style="position:absolute;left:19907;top:13980;width:13716;height:38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36vsQA&#10;AADaAAAADwAAAGRycy9kb3ducmV2LnhtbESPQWvCQBSE74X+h+UVvBTd6EFrdBVpm+qhUBr9AY/s&#10;MxvMvk2z2xj99a5Q6HGYmW+Y5bq3teio9ZVjBeNRAoK4cLriUsFhnw1fQPiArLF2TAou5GG9enxY&#10;Yqrdmb+py0MpIoR9igpMCE0qpS8MWfQj1xBH7+haiyHKtpS6xXOE21pOkmQqLVYcFww29GqoOOW/&#10;VsG1o+fifbZ9O5hN9vWDn2P6qDKlBk/9ZgEiUB/+w3/tnVYwh/uVeAP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9+r7EAAAA2gAAAA8AAAAAAAAAAAAAAAAAmAIAAGRycy9k&#10;b3ducmV2LnhtbFBLBQYAAAAABAAEAPUAAACJAwAAAAA=&#10;" fillcolor="#bfbfbf [2412]" stroked="f">
                  <v:textbox>
                    <w:txbxContent>
                      <w:p w:rsidR="00B56753" w:rsidRDefault="00B56753" w:rsidP="00966FB0">
                        <w:pPr>
                          <w:pStyle w:val="afc"/>
                          <w:spacing w:before="0" w:beforeAutospacing="0" w:after="0" w:afterAutospacing="0"/>
                          <w:jc w:val="center"/>
                        </w:pPr>
                        <w:r>
                          <w:rPr>
                            <w:rFonts w:ascii="Garamond" w:eastAsia="Calibri" w:hAnsi="Garamond"/>
                            <w:b/>
                            <w:bCs/>
                            <w:sz w:val="22"/>
                            <w:szCs w:val="22"/>
                            <w:lang w:val="en-US"/>
                          </w:rPr>
                          <w:t>Government</w:t>
                        </w:r>
                      </w:p>
                    </w:txbxContent>
                  </v:textbox>
                </v:roundrect>
                <v:roundrect id="Скругленный прямоугольник 10" o:spid="_x0000_s1064" style="position:absolute;left:45237;top:13980;width:11341;height:38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o7asUA&#10;AADbAAAADwAAAGRycy9kb3ducmV2LnhtbESPQU/DMAyF75P4D5GRuEws3Q4MlabTNChwQEKM/QCr&#10;MU1F43RN1hV+PT4g7WbrPb/3udhMvlMjDbENbGC5yEAR18G23Bg4fFa396BiQrbYBSYDPxRhU17N&#10;CsxtOPMHjfvUKAnhmKMBl1Kfax1rRx7jIvTEon2FwWOSdWi0HfAs4b7Tqyy70x5blgaHPe0c1d/7&#10;kzfwO9K8flq/PB7ctno/4tuSntvKmJvrafsAKtGULub/61cr+EIvv8gAuv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ujtqxQAAANsAAAAPAAAAAAAAAAAAAAAAAJgCAABkcnMv&#10;ZG93bnJldi54bWxQSwUGAAAAAAQABAD1AAAAigMAAAAA&#10;" fillcolor="#bfbfbf [2412]" stroked="f">
                  <v:textbox>
                    <w:txbxContent>
                      <w:p w:rsidR="00B56753" w:rsidRDefault="00B56753" w:rsidP="00966FB0">
                        <w:pPr>
                          <w:pStyle w:val="afc"/>
                          <w:spacing w:before="0" w:beforeAutospacing="0" w:after="0" w:afterAutospacing="0"/>
                          <w:jc w:val="center"/>
                        </w:pPr>
                        <w:r>
                          <w:rPr>
                            <w:rFonts w:ascii="Garamond" w:eastAsia="Calibri" w:hAnsi="Garamond"/>
                            <w:b/>
                            <w:bCs/>
                            <w:sz w:val="22"/>
                            <w:szCs w:val="22"/>
                            <w:lang w:val="en-US"/>
                          </w:rPr>
                          <w:t>Households</w:t>
                        </w:r>
                      </w:p>
                    </w:txbxContent>
                  </v:textbox>
                </v:roundrect>
                <v:oval id="Овал 11" o:spid="_x0000_s1065" style="position:absolute;left:20669;top:836;width:12954;height:5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vat8AA&#10;AADbAAAADwAAAGRycy9kb3ducmV2LnhtbERPTYvCMBC9C/sfwix407SLiFSjLAtbBUWxiuehGdti&#10;MylN1OqvNwsL3ubxPme26EwtbtS6yrKCeBiBIM6trrhQcDz8DiYgnEfWWFsmBQ9ysJh/9GaYaHvn&#10;Pd0yX4gQwi5BBaX3TSKly0sy6Ia2IQ7c2bYGfYBtIXWL9xBuavkVRWNpsOLQUGJDPyXll+xqFOyK&#10;9fiUXrcbvXm6yj2WRo9MqlT/s/uegvDU+bf4373SYX4Mf7+EA+T8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evat8AAAADbAAAADwAAAAAAAAAAAAAAAACYAgAAZHJzL2Rvd25y&#10;ZXYueG1sUEsFBgAAAAAEAAQA9QAAAIUDAAAAAA==&#10;" fillcolor="#d8d8d8 [2732]" stroked="f">
                  <v:textbox inset="0,0,0,0">
                    <w:txbxContent>
                      <w:p w:rsidR="00B56753" w:rsidRPr="008A67CC" w:rsidRDefault="00B56753" w:rsidP="00966FB0">
                        <w:pPr>
                          <w:jc w:val="center"/>
                          <w:rPr>
                            <w:lang w:val="en-US"/>
                          </w:rPr>
                        </w:pPr>
                        <w:r w:rsidRPr="008A67CC">
                          <w:rPr>
                            <w:lang w:val="en-US"/>
                          </w:rPr>
                          <w:t>Factor markets</w:t>
                        </w:r>
                      </w:p>
                    </w:txbxContent>
                  </v:textbox>
                </v:oval>
                <v:oval id="Овал 12" o:spid="_x0000_s1066" style="position:absolute;left:23621;top:21190;width:6668;height:5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lEwMIA&#10;AADbAAAADwAAAGRycy9kb3ducmV2LnhtbERPTWvCQBC9C/6HZQq9mU2lSInZBBG0hUpLo3gesmMS&#10;zM6G7CbG/vpuodDbPN7npPlkWjFS7xrLCp6iGARxaXXDlYLTcbd4AeE8ssbWMim4k4M8m89STLS9&#10;8ReNha9ECGGXoILa+y6R0pU1GXSR7YgDd7G9QR9gX0nd4y2Em1Yu43glDTYcGmrsaFtTeS0Go+Cz&#10;el+d98PHQR++XePur0Y/m71Sjw/TZg3C0+T/xX/uNx3mL+H3l3C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OUTAwgAAANsAAAAPAAAAAAAAAAAAAAAAAJgCAABkcnMvZG93&#10;bnJldi54bWxQSwUGAAAAAAQABAD1AAAAhwMAAAAA&#10;" fillcolor="#d8d8d8 [2732]" stroked="f">
                  <v:textbox inset="0,0,0,0">
                    <w:txbxContent>
                      <w:p w:rsidR="00B56753" w:rsidRDefault="00B56753" w:rsidP="00966FB0">
                        <w:pPr>
                          <w:pStyle w:val="afc"/>
                          <w:spacing w:before="0" w:beforeAutospacing="0" w:after="0" w:afterAutospacing="0"/>
                          <w:jc w:val="center"/>
                        </w:pPr>
                        <w:r>
                          <w:rPr>
                            <w:rFonts w:ascii="Garamond" w:eastAsia="Calibri" w:hAnsi="Garamond"/>
                            <w:sz w:val="22"/>
                            <w:szCs w:val="22"/>
                            <w:lang w:val="en-US"/>
                          </w:rPr>
                          <w:t>Product markets</w:t>
                        </w:r>
                      </w:p>
                    </w:txbxContent>
                  </v:textbox>
                </v:oval>
                <v:roundrect id="Скругленный прямоугольник 13" o:spid="_x0000_s1067" style="position:absolute;left:19907;top:29391;width:13712;height:46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ilHcMA&#10;AADbAAAADwAAAGRycy9kb3ducmV2LnhtbERP22rCQBB9F/yHZYS+SN3YQi3RVUSN7YMgXj5gyE6z&#10;odnZmF1j2q/vFgTf5nCuM1t0thItNb50rGA8SkAQ506XXCg4n7LndxA+IGusHJOCH/KwmPd7M0y1&#10;u/GB2mMoRAxhn6ICE0KdSulzQxb9yNXEkftyjcUQYVNI3eAthttKviTJm7RYcmwwWNPKUP59vFoF&#10;vy0N883kY302y2x/wd2YtmWm1NOgW05BBOrCQ3x3f+o4/xX+f4kHy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2ilHcMAAADbAAAADwAAAAAAAAAAAAAAAACYAgAAZHJzL2Rv&#10;d25yZXYueG1sUEsFBgAAAAAEAAQA9QAAAIgDAAAAAA==&#10;" fillcolor="#bfbfbf [2412]" stroked="f">
                  <v:textbox>
                    <w:txbxContent>
                      <w:p w:rsidR="00B56753" w:rsidRDefault="00B56753" w:rsidP="00966FB0">
                        <w:pPr>
                          <w:pStyle w:val="afc"/>
                          <w:spacing w:before="0" w:beforeAutospacing="0" w:after="0" w:afterAutospacing="0"/>
                          <w:jc w:val="center"/>
                        </w:pPr>
                        <w:r>
                          <w:rPr>
                            <w:rFonts w:ascii="Garamond" w:eastAsia="Calibri" w:hAnsi="Garamond"/>
                            <w:b/>
                            <w:bCs/>
                            <w:sz w:val="22"/>
                            <w:szCs w:val="22"/>
                            <w:lang w:val="en-US"/>
                          </w:rPr>
                          <w:t>Financial intermediaries</w:t>
                        </w:r>
                      </w:p>
                    </w:txbxContent>
                  </v:textbox>
                </v:roundrect>
                <v:oval id="Овал 14" o:spid="_x0000_s1068" style="position:absolute;left:21707;top:37095;width:12954;height:59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xyMIA&#10;AADbAAAADwAAAGRycy9kb3ducmV2LnhtbERPS2sCMRC+C/6HMAVvNVtRkdUotaVQRAUfF2/DZtxd&#10;uplsN+ka/fVGKHibj+85s0UwlWipcaVlBW/9BARxZnXJuYLj4et1AsJ5ZI2VZVJwJQeLebczw1Tb&#10;C++o3ftcxBB2KSoovK9TKV1WkEHXtzVx5M62MegjbHKpG7zEcFPJQZKMpcGSY0OBNX0UlP3s/4yC&#10;QLffrRwN5OdpFcJqnW2Oy9Yr1XsJ71MQnoJ/iv/d3zrOH8Ljl3iAn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j/HIwgAAANsAAAAPAAAAAAAAAAAAAAAAAJgCAABkcnMvZG93&#10;bnJldi54bWxQSwUGAAAAAAQABAD1AAAAhwMAAAAA&#10;" fillcolor="#d8d8d8 [2732]" stroked="f">
                  <v:textbox>
                    <w:txbxContent>
                      <w:p w:rsidR="00B56753" w:rsidRDefault="00B56753" w:rsidP="009A054F">
                        <w:pPr>
                          <w:pStyle w:val="afc"/>
                          <w:spacing w:before="0" w:beforeAutospacing="0" w:after="0" w:afterAutospacing="0" w:line="240" w:lineRule="atLeast"/>
                          <w:jc w:val="center"/>
                        </w:pPr>
                        <w:r>
                          <w:rPr>
                            <w:rFonts w:ascii="Garamond" w:eastAsia="Calibri" w:hAnsi="Garamond"/>
                            <w:sz w:val="22"/>
                            <w:szCs w:val="22"/>
                            <w:lang w:val="en-US"/>
                          </w:rPr>
                          <w:t>Foreign sector</w:t>
                        </w:r>
                      </w:p>
                    </w:txbxContent>
                  </v:textbox>
                </v:oval>
                <v:line id="Прямая соединительная линия 1073742014" o:spid="_x0000_s1069" style="position:absolute;flip:y;visibility:visible;mso-wrap-style:square" from="50907,2741" to="50907,13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vlcgAAADjAAAADwAAAGRycy9kb3ducmV2LnhtbERPS2sCMRC+C/0PYYTeNNGKW7ZGKYIg&#10;ikVte+ht2Mw+cDNZNtHd/vumIHic7z2LVW9rcaPWV441TMYKBHHmTMWFhq/PzegVhA/IBmvHpOGX&#10;PKyWT4MFpsZ1fKLbORQihrBPUUMZQpNK6bOSLPqxa4gjl7vWYohnW0jTYhfDbS2nSs2lxYpjQ4kN&#10;rUvKLuer1ZD7a7P++TYhT3aH0yHfFx/YHbV+HvbvbyAC9eEhvru3Js5XyUsym6rJDP5/igDI5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0dvlcgAAADjAAAADwAAAAAA&#10;AAAAAAAAAAChAgAAZHJzL2Rvd25yZXYueG1sUEsFBgAAAAAEAAQA+QAAAJYDAAAAAA==&#10;" strokecolor="black [3040]"/>
                <v:line id="Прямая соединительная линия 1073742015" o:spid="_x0000_s1070" style="position:absolute;visibility:visible;mso-wrap-style:square" from="7940,4350" to="20669,4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Hk9ccAAADjAAAADwAAAGRycy9kb3ducmV2LnhtbERPX2vCMBB/H/gdwgm+zUTnVumM0glj&#10;wl60Tny9NWdbbC6liVq//TIY7PF+/2+x6m0jrtT52rGGyViBIC6cqbnU8LV/f5yD8AHZYOOYNNzJ&#10;w2o5eFhgatyNd3TNQyliCPsUNVQhtKmUvqjIoh+7ljhyJ9dZDPHsSmk6vMVw28ipUi/SYs2xocKW&#10;1hUV5/xiNeC32q4/j8d89vEWkv2OMnXItlqPhn32CiJQH/7Ff+6NifNV8pTMpmryDL8/RQDk8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EeT1xwAAAOMAAAAPAAAAAAAA&#10;AAAAAAAAAKECAABkcnMvZG93bnJldi54bWxQSwUGAAAAAAQABAD5AAAAlQMAAAAA&#10;" strokecolor="black [3040]">
                  <v:stroke endarrow="classic" endarrowlength="long"/>
                </v:line>
                <v:line id="Прямая соединительная линия 228" o:spid="_x0000_s1071" style="position:absolute;visibility:visible;mso-wrap-style:square" from="33619,2741" to="50904,27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dipMIAAADcAAAADwAAAGRycy9kb3ducmV2LnhtbERPTYvCMBC9C/sfwix4s6k9qFuNIguL&#10;HjysuhS8jc3YFptJaWJb//3mIHh8vO/VZjC16Kh1lWUF0ygGQZxbXXGh4O/8M1mAcB5ZY22ZFDzJ&#10;wWb9MVphqm3PR+pOvhAhhF2KCkrvm1RKl5dk0EW2IQ7czbYGfYBtIXWLfQg3tUzieCYNVhwaSmzo&#10;u6T8fnoYBV95Vsy7HvF2ee6Oh13Wz7Lrr1Ljz2G7BOFp8G/xy73XCpIkrA1nwhGQ6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edipMIAAADcAAAADwAAAAAAAAAAAAAA&#10;AAChAgAAZHJzL2Rvd25yZXYueG1sUEsFBgAAAAAEAAQA+QAAAJADAAAAAA==&#10;" strokecolor="black [3040]">
                  <v:stroke startarrow="classic" startarrowlength="long" endarrowlength="long"/>
                </v:line>
                <v:line id="Прямая соединительная линия 229" o:spid="_x0000_s1072" style="position:absolute;flip:y;visibility:visible;mso-wrap-style:square" from="7940,4541" to="7940,13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4N28YAAADcAAAADwAAAGRycy9kb3ducmV2LnhtbESPT2vCQBTE7wW/w/KE3pqNOdQ2dRUR&#10;BGlJaaI99PbIvvyh2bchu5r47buC0OMwM79hVpvJdOJCg2stK1hEMQji0uqWawWn4/7pBYTzyBo7&#10;y6TgSg4269nDClNtR87pUvhaBAi7FBU03veplK5syKCLbE8cvMoOBn2QQy31gGOAm04mcfwsDbYc&#10;FhrsaddQ+VucjYLKnfvdz7f21fI9y7Pqo/7E8Uupx/m0fQPhafL/4Xv7oBUkySvczoQjIN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I+DdvGAAAA3AAAAA8AAAAAAAAA&#10;AAAAAAAAoQIAAGRycy9kb3ducmV2LnhtbFBLBQYAAAAABAAEAPkAAACUAwAAAAA=&#10;" strokecolor="black [3040]"/>
                <v:line id="Прямая соединительная линия 230" o:spid="_x0000_s1073" style="position:absolute;flip:y;visibility:visible;mso-wrap-style:square" from="48694,4541" to="48694,13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JLQ8AAAADcAAAADwAAAGRycy9kb3ducmV2LnhtbERPu27CMBTdkfgH6yJ1A4eHqijEQZQK&#10;0RXo0u0qviQR8XVqmyT8PR4qdTw673w3mlb05HxjWcFykYAgLq1uuFLwfT3OUxA+IGtsLZOCJ3nY&#10;FdNJjpm2A5+pv4RKxBD2GSqoQ+gyKX1Zk0G/sB1x5G7WGQwRukpqh0MMN61cJcm7NNhwbKixo0NN&#10;5f3yMApSt/w9tbb6HM/rH/w4uk2Kp41Sb7NxvwURaAz/4j/3l1awWsf58Uw8ArJ4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OiS0PAAAAA3AAAAA8AAAAAAAAAAAAAAAAA&#10;oQIAAGRycy9kb3ducmV2LnhtbFBLBQYAAAAABAAEAPkAAACOAwAAAAA=&#10;" strokecolor="black [3040]">
                  <v:stroke dashstyle="dash" startarrow="classic" startarrowlength="long"/>
                </v:line>
                <v:line id="Прямая соединительная линия 231" o:spid="_x0000_s1074" style="position:absolute;visibility:visible;mso-wrap-style:square" from="32845,4541" to="48694,45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w6icYAAADcAAAADwAAAGRycy9kb3ducmV2LnhtbESP3WrCQBSE7wXfYTmCN1I3sVQkdSO2&#10;WOpFETV9gNPsyQ9mz4bsVqNP3y0IXg4z8w2zXPWmEWfqXG1ZQTyNQBDnVtdcKvjOPp4WIJxH1thY&#10;JgVXcrBKh4MlJtpe+EDnoy9FgLBLUEHlfZtI6fKKDLqpbYmDV9jOoA+yK6Xu8BLgppGzKJpLgzWH&#10;hQpbeq8oPx1/jQLf68+i+XLx2w/t9lc9ub1sskyp8ahfv4Lw1PtH+N7eagWz5xj+z4QjIN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C8OonGAAAA3AAAAA8AAAAAAAAA&#10;AAAAAAAAoQIAAGRycy9kb3ducmV2LnhtbFBLBQYAAAAABAAEAPkAAACUAwAAAAA=&#10;" strokecolor="black [3040]">
                  <v:stroke dashstyle="dash" startarrowlength="long" endarrowlength="long"/>
                </v:line>
                <v:line id="Прямая соединительная линия 232" o:spid="_x0000_s1075" style="position:absolute;visibility:visible;mso-wrap-style:square" from="33619,14910" to="45237,14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vB8cAAADcAAAADwAAAGRycy9kb3ducmV2LnhtbESPX2vCQBDE3wv9DscWfCnm0ghFohcp&#10;hYooQv2D+rjmtklobi/mTo3fvlcQfBxm5zc740lnanGh1lWWFbxFMQji3OqKCwXbzVd/CMJ5ZI21&#10;ZVJwIweT7PlpjKm2V17RZe0LESDsUlRQet+kUrq8JIMusg1x8H5sa9AH2RZSt3gNcFPLJI7fpcGK&#10;Q0OJDX2WlP+uzya88Z3L42YxvC0Pg930RPP94nW6V6r30n2MQHjq/OP4np5pBckggf8xgQAy+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9D+8HxwAAANwAAAAPAAAAAAAA&#10;AAAAAAAAAKECAABkcnMvZG93bnJldi54bWxQSwUGAAAAAAQABAD5AAAAlQMAAAAA&#10;" strokecolor="black [3040]">
                  <v:stroke dashstyle="dash" startarrow="classic" startarrowlength="long" endarrowlength="long"/>
                </v:line>
                <v:line id="Прямая соединительная линия 233" o:spid="_x0000_s1076" style="position:absolute;visibility:visible;mso-wrap-style:square" from="33623,16577" to="45237,16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df68QAAADcAAAADwAAAGRycy9kb3ducmV2LnhtbESPUWvCQBCE3wX/w7FC38xFpUWipxRB&#10;KBRLa0Xwbcmtl9DcXsytmv77XqHQx2FmvmGW69436kZdrAMbmGQ5KOIy2JqdgcPndjwHFQXZYhOY&#10;DHxThPVqOFhiYcOdP+i2F6cShGOBBiqRttA6lhV5jFloiZN3Dp1HSbJz2nZ4T3Df6GmeP2mPNaeF&#10;ClvaVFR+7a/ewC6vpT0ivr69+6sTZx93F38y5mHUPy9ACfXyH/5rv1gD09kMfs+kI6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p1/rxAAAANwAAAAPAAAAAAAAAAAA&#10;AAAAAKECAABkcnMvZG93bnJldi54bWxQSwUGAAAAAAQABAD5AAAAkgMAAAAA&#10;" strokecolor="black [3040]">
                  <v:stroke dashstyle="dash" startarrowlength="long" endarrow="classic" endarrowlength="long"/>
                </v:line>
                <v:line id="Прямая соединительная линия 234" o:spid="_x0000_s1077" style="position:absolute;flip:y;visibility:visible;mso-wrap-style:square" from="46313,17790" to="46313,22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d/zr8AAADcAAAADwAAAGRycy9kb3ducmV2LnhtbESPzQrCMBCE74LvEFbwpqk/iFSjqCAI&#10;Xvx7gKXZNsVmU5qo9e2NIHgcZuYbZrlubSWe1PjSsYLRMAFBnDldcqHgdt0P5iB8QNZYOSYFb/Kw&#10;XnU7S0y1e/GZnpdQiAhhn6ICE0KdSukzQxb90NXE0ctdYzFE2RRSN/iKcFvJcZLMpMWS44LBmnaG&#10;svvlYRWcttcbtv4wydzD5TY/Fqbkk1L9XrtZgAjUhn/41z5oBePJFL5n4h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Sd/zr8AAADcAAAADwAAAAAAAAAAAAAAAACh&#10;AgAAZHJzL2Rvd25yZXYueG1sUEsFBgAAAAAEAAQA+QAAAI0DAAAAAA==&#10;" strokecolor="black [3040]">
                  <v:stroke dashstyle="dash"/>
                </v:line>
                <v:line id="Прямая соединительная линия 235" o:spid="_x0000_s1078" style="position:absolute;visibility:visible;mso-wrap-style:square" from="30289,23007" to="46313,23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Z3c8gAAADcAAAADwAAAGRycy9kb3ducmV2LnhtbESPX2vCQBDE3wW/w7EFX6S5VKmEmFNE&#10;qJRKwT+l9nHNbZNgbi/mrhq/fa9Q8HGYnd/sZPPO1OJCrassK3iKYhDEudUVFwo+9i+PCQjnkTXW&#10;lknBjRzMZ/1ehqm2V97SZecLESDsUlRQet+kUrq8JIMusg1x8L5ta9AH2RZSt3gNcFPLURxPpMGK&#10;Q0OJDS1Lyk+7HxPe2OTyuF8nt/ev8efqTG+H9XB1UGrw0C2mIDx1/n78n37VCkbjZ/gbEwggZ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uZ3c8gAAADcAAAADwAAAAAA&#10;AAAAAAAAAAChAgAAZHJzL2Rvd25yZXYueG1sUEsFBgAAAAAEAAQA+QAAAJYDAAAAAA==&#10;" strokecolor="black [3040]">
                  <v:stroke dashstyle="dash" startarrow="classic" startarrowlength="long" endarrowlength="long"/>
                </v:line>
                <v:line id="Прямая соединительная линия 236" o:spid="_x0000_s1079" style="position:absolute;visibility:visible;mso-wrap-style:square" from="30073,24829" to="47790,24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n5i8UAAADcAAAADwAAAGRycy9kb3ducmV2LnhtbESPT2vCQBTE74V+h+UVvNVNDYY2ukqp&#10;ioon/1y8PbLPbGz2bciuGr+9KxR6HGbmN8x42tlaXKn1lWMFH/0EBHHhdMWlgsN+8f4JwgdkjbVj&#10;UnAnD9PJ68sYc+1uvKXrLpQiQtjnqMCE0ORS+sKQRd93DXH0Tq61GKJsS6lbvEW4reUgSTJpseK4&#10;YLChH0PF7+5iFezX2VezKYYmOeI8XQ3P5zpdzpTqvXXfIxCBuvAf/muvtIJBmsHzTDwCcvI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mn5i8UAAADcAAAADwAAAAAAAAAA&#10;AAAAAAChAgAAZHJzL2Rvd25yZXYueG1sUEsFBgAAAAAEAAQA+QAAAJMDAAAAAA==&#10;" strokecolor="black [3040]">
                  <v:stroke endarrowlength="long"/>
                </v:line>
                <v:line id="Прямая соединительная линия 237" o:spid="_x0000_s1080" style="position:absolute;flip:y;visibility:visible;mso-wrap-style:square" from="48006,17577" to="48006,24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GpVcMAAADcAAAADwAAAGRycy9kb3ducmV2LnhtbESPQWvCQBSE74X+h+UVeqsbFdISXUUK&#10;op602ou3R/aZBLNvw+6rxn/fFQSPw8x8w0znvWvVhUJsPBsYDjJQxKW3DVcGfg/Ljy9QUZAttp7J&#10;wI0izGevL1MsrL/yD132UqkE4ViggVqkK7SOZU0O48B3xMk7+eBQkgyVtgGvCe5aPcqyXDtsOC3U&#10;2NF3TeV5/+cMHENzYtlulrfdapvnC295sxZj3t/6xQSUUC/P8KO9tgZG40+4n0lHQ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UBqVXDAAAA3AAAAA8AAAAAAAAAAAAA&#10;AAAAoQIAAGRycy9kb3ducmV2LnhtbFBLBQYAAAAABAAEAPkAAACRAwAAAAA=&#10;" strokecolor="black [3040]">
                  <v:stroke endarrow="classic" endarrowlength="long"/>
                </v:line>
                <v:line id="Прямая соединительная линия 238" o:spid="_x0000_s1081" style="position:absolute;flip:y;visibility:visible;mso-wrap-style:square" from="49920,17790" to="49920,307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p1y7sAAADcAAAADwAAAGRycy9kb3ducmV2LnhtbERPSwrCMBDdC94hjOBOUxVEqrGoIAhu&#10;/B1gaKZNsZmUJtV6e7MQXD7ef5P1thYvan3lWMFsmoAgzp2uuFTwuB8nKxA+IGusHZOCD3nItsPB&#10;BlPt3nyl1y2UIoawT1GBCaFJpfS5IYt+6hriyBWutRgibEupW3zHcFvLeZIspcWKY4PBhg6G8uet&#10;swou+/sDe39a5K5zhS3Opan4otR41O/WIAL14S/+uU9awXwR18Yz8QjI7Rc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AwanXLuwAAANwAAAAPAAAAAAAAAAAAAAAAAKECAABk&#10;cnMvZG93bnJldi54bWxQSwUGAAAAAAQABAD5AAAAiQMAAAAA&#10;" strokecolor="black [3040]">
                  <v:stroke dashstyle="dash"/>
                </v:line>
                <v:line id="Прямая соединительная линия 239" o:spid="_x0000_s1082" style="position:absolute;flip:y;visibility:visible;mso-wrap-style:square" from="51825,17790" to="51825,326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6JMQAAADcAAAADwAAAGRycy9kb3ducmV2LnhtbESPQUvDQBSE74L/YXmCN7uxRbExm2ID&#10;RY+2UXp9zT6z0ezbkLdt4793BcHjMDPfMMVq8r060ShdYAO3swwUcRNsx62Bt3pz8wBKIrLFPjAZ&#10;+CaBVXl5UWBuw5m3dNrFViUIS44GXIxDrrU0jjzKLAzEyfsIo8eY5NhqO+I5wX2v51l2rz12nBYc&#10;DlQ5ar52R29gs3+uBF/d+/4o1eHzrna4lq0x11fT0yOoSFP8D/+1X6yB+WIJv2fSEdD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4HokxAAAANwAAAAPAAAAAAAAAAAA&#10;AAAAAKECAABkcnMvZG93bnJldi54bWxQSwUGAAAAAAQABAD5AAAAkgMAAAAA&#10;" strokecolor="black [3040]">
                  <v:stroke dashstyle="dash" endarrow="classic" endarrowlength="long"/>
                </v:line>
                <v:line id="Прямая соединительная линия 240" o:spid="_x0000_s1083" style="position:absolute;visibility:visible;mso-wrap-style:square" from="33566,30709" to="49920,307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nlscAAADcAAAADwAAAGRycy9kb3ducmV2LnhtbESPwWrCQBCG7wXfYRnBS9GNVkSiqxSh&#10;IorQaqkep9lpEpqdTbOrxrfvHAo9Dv/833wzX7auUldqQunZwHCQgCLOvC05N/B+fOlPQYWIbLHy&#10;TAbuFGC56DzMMbX+xm90PcRcCYRDigaKGOtU65AV5DAMfE0s2ZdvHEYZm1zbBm8Cd5UeJclEOyxZ&#10;LhRY06qg7PtwcaLxmunP425635+fPtY/tD3tHtcnY3rd9nkGKlIb/5f/2htrYDQWfXlGCK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6l6eWxwAAANwAAAAPAAAAAAAA&#10;AAAAAAAAAKECAABkcnMvZG93bnJldi54bWxQSwUGAAAAAAQABAD5AAAAlQMAAAAA&#10;" strokecolor="black [3040]">
                  <v:stroke dashstyle="dash" startarrow="classic" startarrowlength="long" endarrowlength="long"/>
                </v:line>
                <v:line id="Прямая соединительная линия 241" o:spid="_x0000_s1084" style="position:absolute;visibility:visible;mso-wrap-style:square" from="33623,32649" to="51825,326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pJ9MYAAADcAAAADwAAAGRycy9kb3ducmV2LnhtbESP3WrCQBSE7wXfYTmCN1I3kVYkdSO2&#10;WOpFETV9gNPsyQ9mz4bsVqNP3y0IXg4z8w2zXPWmEWfqXG1ZQTyNQBDnVtdcKvjOPp4WIJxH1thY&#10;JgVXcrBKh4MlJtpe+EDnoy9FgLBLUEHlfZtI6fKKDLqpbYmDV9jOoA+yK6Xu8BLgppGzKJpLgzWH&#10;hQpbeq8oPx1/jQLf68+i+XLx2w/t9lc9ub1sskyp8ahfv4Lw1PtH+N7eagWz5xj+z4QjIN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6SfTGAAAA3AAAAA8AAAAAAAAA&#10;AAAAAAAAoQIAAGRycy9kb3ducmV2LnhtbFBLBQYAAAAABAAEAPkAAACUAwAAAAA=&#10;" strokecolor="black [3040]">
                  <v:stroke dashstyle="dash" startarrowlength="long" endarrowlength="long"/>
                </v:line>
                <v:line id="Прямая соединительная линия 242" o:spid="_x0000_s1085" style="position:absolute;flip:y;visibility:visible;mso-wrap-style:square" from="53717,17790" to="53717,39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xXMAAAADcAAAADwAAAGRycy9kb3ducmV2LnhtbESP0YrCMBRE34X9h3AXfNN0q4hUo6yC&#10;IPii1g+4NLdNsbkpTdT690YQfBxm5gyzXPe2EXfqfO1Ywd84AUFcOF1zpeCS70ZzED4ga2wck4In&#10;eVivfgZLzLR78Inu51CJCGGfoQITQptJ6QtDFv3YtcTRK11nMUTZVVJ3+Ihw28g0SWbSYs1xwWBL&#10;W0PF9XyzCo6b/IK9308Kd3OlLQ+Vqfmo1PC3/1+ACNSHb/jT3msF6TSF95l4BOTq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mEMVzAAAAA3AAAAA8AAAAAAAAAAAAAAAAA&#10;oQIAAGRycy9kb3ducmV2LnhtbFBLBQYAAAAABAAEAPkAAACOAwAAAAA=&#10;" strokecolor="black [3040]">
                  <v:stroke dashstyle="dash"/>
                </v:line>
                <v:line id="Прямая соединительная линия 243" o:spid="_x0000_s1086" style="position:absolute;visibility:visible;mso-wrap-style:square" from="34642,39317" to="53616,39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U54cgAAADcAAAADwAAAGRycy9kb3ducmV2LnhtbESPX2vCQBDE3wW/w7EFX6S5VIuEmFNE&#10;qJRKwT+l9nHNbZNgbi/mrhq/fa9Q8HGYnd/sZPPO1OJCrassK3iKYhDEudUVFwo+9i+PCQjnkTXW&#10;lknBjRzMZ/1ehqm2V97SZecLESDsUlRQet+kUrq8JIMusg1x8L5ta9AH2RZSt3gNcFPLURxPpMGK&#10;Q0OJDS1Lyk+7HxPe2OTyuF8nt/ev8efqTG+H9XB1UGrw0C2mIDx1/n78n37VCkbPY/gbEwggZ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kU54cgAAADcAAAADwAAAAAA&#10;AAAAAAAAAAChAgAAZHJzL2Rvd25yZXYueG1sUEsFBgAAAAAEAAQA+QAAAJYDAAAAAA==&#10;" strokecolor="black [3040]">
                  <v:stroke dashstyle="dash" startarrow="classic" startarrowlength="long" endarrowlength="long"/>
                </v:line>
                <v:line id="Прямая соединительная линия 244" o:spid="_x0000_s1087" style="position:absolute;visibility:visible;mso-wrap-style:square" from="34661,40818" to="55616,40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GxGsYAAADcAAAADwAAAGRycy9kb3ducmV2LnhtbESPzW7CMBCE70h9B2srcSNO+ROkMagq&#10;rQrqqcCF2yrexqHxOordkL49roTEcTQz32jydW9r0VHrK8cKnpIUBHHhdMWlguPhfbQA4QOyxtox&#10;KfgjD+vVwyDHTLsLf1G3D6WIEPYZKjAhNJmUvjBk0SeuIY7et2sthijbUuoWLxFuazlO07m0WHFc&#10;MNjQq6HiZ/9rFRx282XzWcxMesK3yXZ2PteTj41Sw8f+5RlEoD7cw7f2VisYT6fwfyYeAbm6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XxsRrGAAAA3AAAAA8AAAAAAAAA&#10;AAAAAAAAoQIAAGRycy9kb3ducmV2LnhtbFBLBQYAAAAABAAEAPkAAACUAwAAAAA=&#10;" strokecolor="black [3040]">
                  <v:stroke endarrowlength="long"/>
                </v:line>
                <v:line id="Прямая соединительная линия 245" o:spid="_x0000_s1088" style="position:absolute;flip:y;visibility:visible;mso-wrap-style:square" from="55616,17577" to="55616,40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nhxMMAAADcAAAADwAAAGRycy9kb3ducmV2LnhtbESPQWvCQBSE74X+h+UVeqsbRUOJriIF&#10;UU9a7cXbI/tMgtm3YfdV47/vCkKPw8x8w8wWvWvVlUJsPBsYDjJQxKW3DVcGfo6rj09QUZAttp7J&#10;wJ0iLOavLzMsrL/xN10PUqkE4ViggVqkK7SOZU0O48B3xMk7++BQkgyVtgFvCe5aPcqyXDtsOC3U&#10;2NFXTeXl8OsMnEJzZtltV/f9epfnS295uxFj3t/65RSUUC//4Wd7Yw2MxhN4nElHQ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Z4cTDAAAA3AAAAA8AAAAAAAAAAAAA&#10;AAAAoQIAAGRycy9kb3ducmV2LnhtbFBLBQYAAAAABAAEAPkAAACRAwAAAAA=&#10;" strokecolor="black [3040]">
                  <v:stroke endarrow="classic" endarrowlength="long"/>
                </v:line>
                <v:line id="Прямая соединительная линия 246" o:spid="_x0000_s1089" style="position:absolute;flip:y;visibility:visible;mso-wrap-style:square" from="25422,17574" to="25422,21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t/s8MAAADcAAAADwAAAGRycy9kb3ducmV2LnhtbESPT2vCQBTE7wW/w/IEb3WjlCDRVaQg&#10;6sn65+LtkX0modm3YfdV47d3C4Ueh5n5DbNY9a5Vdwqx8WxgMs5AEZfeNlwZuJw37zNQUZAttp7J&#10;wJMirJaDtwUW1j/4SPeTVCpBOBZooBbpCq1jWZPDOPYdcfJuPjiUJEOlbcBHgrtWT7Ms1w4bTgs1&#10;dvRZU/l9+nEGrqG5sRz2m+fX9pDna295vxNjRsN+PQcl1Mt/+K+9swamHzn8nklHQC9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Lf7PDAAAA3AAAAA8AAAAAAAAAAAAA&#10;AAAAoQIAAGRycy9kb3ducmV2LnhtbFBLBQYAAAAABAAEAPkAAACRAwAAAAA=&#10;" strokecolor="black [3040]">
                  <v:stroke endarrow="classic" endarrowlength="long"/>
                </v:line>
                <v:line id="Прямая соединительная линия 247" o:spid="_x0000_s1090" style="position:absolute;flip:y;visibility:visible;mso-wrap-style:square" from="27504,17790" to="27504,21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XxqcYAAADcAAAADwAAAGRycy9kb3ducmV2LnhtbESP3WrCQBSE74W+w3IKvdONUqxEVymF&#10;YpFSGn9A7w7ZYxLMng27W5P69K4geDnMzDfMbNGZWpzJ+cqyguEgAUGcW11xoWC7+exPQPiArLG2&#10;TAr+ycNi/tSbYaptyxmd16EQEcI+RQVlCE0qpc9LMugHtiGO3tE6gyFKV0jtsI1wU8tRkoylwYrj&#10;QokNfZSUn9Z/RsEq241/96vh/vD9c8laNMvlxbFSL8/d+xREoC48wvf2l1Ywen2D25l4BOT8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1F8anGAAAA3AAAAA8AAAAAAAAA&#10;AAAAAAAAoQIAAGRycy9kb3ducmV2LnhtbFBLBQYAAAAABAAEAPkAAACUAwAAAAA=&#10;" strokecolor="black [3040]">
                  <v:stroke startarrow="classic" startarrowlength="long" endarrowlength="long"/>
                </v:line>
                <v:line id="Прямая соединительная линия 248" o:spid="_x0000_s1091" style="position:absolute;flip:y;visibility:visible;mso-wrap-style:square" from="20922,17815" to="20922,29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myO8EAAADcAAAADwAAAGRycy9kb3ducmV2LnhtbERPz2vCMBS+C/4P4Q1209QiUmpTGQPB&#10;04bd3K6P5tmWNS+hyWz1rzcHwePH97vYTaYXFxp8Z1nBapmAIK6t7rhR8P21X2QgfEDW2FsmBVfy&#10;sCvnswJzbUc+0qUKjYgh7HNU0Ibgcil93ZJBv7SOOHJnOxgMEQ6N1AOOMdz0Mk2SjTTYcWxo0dF7&#10;S/Vf9W8UfNzWxo2nz9PvfiS3qbM+TX9WSr2+TG9bEIGm8BQ/3AetIF3HtfFMPAKyv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SbI7wQAAANwAAAAPAAAAAAAAAAAAAAAA&#10;AKECAABkcnMvZG93bnJldi54bWxQSwUGAAAAAAQABAD5AAAAjwMAAAAA&#10;" strokecolor="black [3040]">
                  <v:stroke dashstyle="dash" startarrowlength="long" endarrow="classic" endarrowlength="long"/>
                </v:line>
                <v:line id="Прямая соединительная линия 249" o:spid="_x0000_s1092" style="position:absolute;flip:y;visibility:visible;mso-wrap-style:square" from="32845,17821" to="32845,29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EAI8cAAADcAAAADwAAAGRycy9kb3ducmV2LnhtbESPQWvCQBSE7wX/w/KEXopulBJrzEaC&#10;RZDSi7EHvT2yr0lo9m3IrjH213cLhR6HmfmGSbejacVAvWssK1jMIxDEpdUNVwo+TvvZCwjnkTW2&#10;lknBnRxss8lDiom2Nz7SUPhKBAi7BBXU3neJlK6syaCb2444eJ+2N+iD7Cupe7wFuGnlMopiabDh&#10;sFBjR7uayq/iahTExdP+Oz+/FXHcvF+6xVCt1q+5Uo/TMd+A8DT6//Bf+6AVLJ/X8HsmHAGZ/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IQAjxwAAANwAAAAPAAAAAAAA&#10;AAAAAAAAAKECAABkcnMvZG93bnJldi54bWxQSwUGAAAAAAQABAD5AAAAlQMAAAAA&#10;" strokecolor="black [3040]">
                  <v:stroke dashstyle="dash" startarrow="classic" startarrowlength="long" endarrowlength="long"/>
                </v:line>
                <v:roundrect id="Скругленный прямоугольник 250" o:spid="_x0000_s1093" style="position:absolute;left:21199;top:45879;width:12954;height:38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91mcMA&#10;AADcAAAADwAAAGRycy9kb3ducmV2LnhtbERP3WrCMBS+H/gO4QjejDVVcI7aKOJWtwtB/HmAQ3PW&#10;lDUntYm129MvF4Ndfnz/+Xqwjeip87VjBdMkBUFcOl1zpeByLp5eQPiArLFxTAq+ycN6NXrIMdPu&#10;zkfqT6ESMYR9hgpMCG0mpS8NWfSJa4kj9+k6iyHCrpK6w3sMt42cpemztFhzbDDY0tZQ+XW6WQU/&#10;PT2Wb4v314vZFIcr7qe0qwulJuNhswQRaAj/4j/3h1Ywm8f58Uw8An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91mcMAAADcAAAADwAAAAAAAAAAAAAAAACYAgAAZHJzL2Rv&#10;d25yZXYueG1sUEsFBgAAAAAEAAQA9QAAAIgDAAAAAA==&#10;" fillcolor="#bfbfbf [2412]" stroked="f">
                  <v:textbox>
                    <w:txbxContent>
                      <w:p w:rsidR="00B56753" w:rsidRDefault="00B56753" w:rsidP="00966FB0">
                        <w:pPr>
                          <w:pStyle w:val="afc"/>
                          <w:spacing w:before="0" w:beforeAutospacing="0" w:after="0" w:afterAutospacing="0"/>
                          <w:jc w:val="center"/>
                        </w:pPr>
                        <w:r>
                          <w:rPr>
                            <w:rFonts w:ascii="Garamond" w:eastAsia="Calibri" w:hAnsi="Garamond"/>
                            <w:b/>
                            <w:bCs/>
                            <w:sz w:val="22"/>
                            <w:szCs w:val="22"/>
                            <w:lang w:val="en-US"/>
                          </w:rPr>
                          <w:t>Rest of the world</w:t>
                        </w:r>
                      </w:p>
                    </w:txbxContent>
                  </v:textbox>
                </v:roundrect>
                <v:line id="Прямая соединительная линия 251" o:spid="_x0000_s1094" style="position:absolute;flip:y;visibility:visible;mso-wrap-style:square" from="27219,43022" to="27219,45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txGsMAAADcAAAADwAAAGRycy9kb3ducmV2LnhtbESPT2vCQBTE74V+h+UJvdWNgkGiq4gg&#10;1ZP/euntkX0mwezbsPvU+O27QqHHYWZ+w8yXvWvVnUJsPBsYDTNQxKW3DVcGvs+bzymoKMgWW89k&#10;4EkRlov3tzkW1j/4SPeTVCpBOBZooBbpCq1jWZPDOPQdcfIuPjiUJEOlbcBHgrtWj7Ms1w4bTgs1&#10;drSuqbyebs7AT2guLPvd5nn42uf5ylvebcWYj0G/moES6uU//NfeWgPjyQheZ9IR0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h7cRrDAAAA3AAAAA8AAAAAAAAAAAAA&#10;AAAAoQIAAGRycy9kb3ducmV2LnhtbFBLBQYAAAAABAAEAPkAAACRAwAAAAA=&#10;" strokecolor="black [3040]">
                  <v:stroke endarrow="classic" endarrowlength="long"/>
                </v:line>
                <v:line id="Прямая соединительная линия 252" o:spid="_x0000_s1095" style="position:absolute;flip:y;visibility:visible;mso-wrap-style:square" from="29301,43022" to="29301,45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vE7MYAAADcAAAADwAAAGRycy9kb3ducmV2LnhtbESPQWvCQBSE7wX/w/KE3pqNgYqkrlIE&#10;UaRIY1uwt0f2NQnNvg27q0n99W5B8DjMzDfMfDmYVpzJ+caygkmSgiAurW64UvD5sX6agfABWWNr&#10;mRT8kYflYvQwx1zbngs6H0IlIoR9jgrqELpcSl/WZNAntiOO3o91BkOUrpLaYR/hppVZmk6lwYbj&#10;Qo0drWoqfw8no2BXfE3fj7vJ8fttfyl6NJvNxbFSj+Ph9QVEoCHcw7f2VivInjP4PxOPgFx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jrxOzGAAAA3AAAAA8AAAAAAAAA&#10;AAAAAAAAoQIAAGRycy9kb3ducmV2LnhtbFBLBQYAAAAABAAEAPkAAACUAwAAAAA=&#10;" strokecolor="black [3040]">
                  <v:stroke startarrow="classic" startarrowlength="long" endarrowlength="long"/>
                </v:line>
                <v:line id="Прямая соединительная линия 253" o:spid="_x0000_s1096" style="position:absolute;flip:y;visibility:visible;mso-wrap-style:square" from="6762,2741" to="6762,137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8wlMIAAADcAAAADwAAAGRycy9kb3ducmV2LnhtbESPT4vCMBTE78J+h/AWvGnqv6VUo6yK&#10;6NW6F2+P5tkWm5duErV++82C4HGYmd8wi1VnGnEn52vLCkbDBARxYXXNpYKf026QgvABWWNjmRQ8&#10;ycNq+dFbYKbtg490z0MpIoR9hgqqENpMSl9UZNAPbUscvYt1BkOUrpTa4SPCTSPHSfIlDdYcFyps&#10;aVNRcc1vRkHqRr/7xpbb7jg543rnpinup0r1P7vvOYhAXXiHX+2DVjCeTeD/TDwCcv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q8wlMIAAADcAAAADwAAAAAAAAAAAAAA&#10;AAChAgAAZHJzL2Rvd25yZXYueG1sUEsFBgAAAAAEAAQA+QAAAJADAAAAAA==&#10;" strokecolor="black [3040]">
                  <v:stroke dashstyle="dash" startarrow="classic" startarrowlength="long"/>
                </v:line>
                <v:line id="Прямая соединительная линия 37" o:spid="_x0000_s1097" style="position:absolute;visibility:visible;mso-wrap-style:square" from="6762,2741" to="21199,27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lxcUAAADbAAAADwAAAGRycy9kb3ducmV2LnhtbESP0WrCQBRE3wX/YblCX4purFQlukpb&#10;FH0QaRM/4Jq9JqHZuyG7avTr3ULBx2FmzjDzZWsqcaHGlZYVDAcRCOLM6pJzBYd03Z+CcB5ZY2WZ&#10;FNzIwXLR7cwx1vbKP3RJfC4ChF2MCgrv61hKlxVk0A1sTRy8k20M+iCbXOoGrwFuKvkWRWNpsOSw&#10;UGBNXwVlv8nZKPCt3pyqnRt+Hmn/fdOv9/dVmir10ms/ZiA8tf4Z/m9vtYLRBP6+hB8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f/lxcUAAADbAAAADwAAAAAAAAAA&#10;AAAAAAChAgAAZHJzL2Rvd25yZXYueG1sUEsFBgAAAAAEAAQA+QAAAJMDAAAAAA==&#10;" strokecolor="black [3040]">
                  <v:stroke dashstyle="dash" startarrowlength="long" endarrowlength="long"/>
                </v:line>
                <v:line id="Прямая соединительная линия 46" o:spid="_x0000_s1098" style="position:absolute;visibility:visible;mso-wrap-style:square" from="9578,15044" to="19335,150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eN0cYAAADbAAAADwAAAGRycy9kb3ducmV2LnhtbESPX2vCQBDE3wW/w7GCL1IvWhGJniKC&#10;UiqCf0r1cc2tSTC3F3NXjd++VxD6OMzOb3Yms9oU4k6Vyy0r6HUjEMSJ1TmnCr4Oy7cRCOeRNRaW&#10;ScGTHMymzcYEY20fvKP73qciQNjFqCDzvoyldElGBl3XlsTBu9jKoA+ySqWu8BHgppD9KBpKgzmH&#10;hgxLWmSUXPc/JryxTeT5sB49N6f379WNPo/rzuqoVLtVz8cgPNX+//iV/tAKBkP42xIAIK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5HjdHGAAAA2wAAAA8AAAAAAAAA&#10;AAAAAAAAoQIAAGRycy9kb3ducmV2LnhtbFBLBQYAAAAABAAEAPkAAACUAwAAAAA=&#10;" strokecolor="black [3040]">
                  <v:stroke dashstyle="dash" startarrow="classic" startarrowlength="long" endarrowlength="long"/>
                </v:line>
                <v:line id="Прямая соединительная линия 47" o:spid="_x0000_s1099" style="position:absolute;visibility:visible;mso-wrap-style:square" from="9620,16577" to="19907,16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38WMMAAADbAAAADwAAAGRycy9kb3ducmV2LnhtbESPUWsCMRCE3wX/Q1ihb5praW05jSJC&#10;oVAUtUXwbbmsuaOXzfWy6vXfN4Lg4zAz3zDTeedrdaY2VoENPI4yUMRFsBU7A99f78M3UFGQLdaB&#10;ycAfRZjP+r0p5jZceEvnnTiVIBxzNFCKNLnWsSjJYxyFhjh5x9B6lCRbp22LlwT3tX7KsrH2WHFa&#10;KLGhZUnFz+7kDayySpo94ud6409OnH1Z/fqDMQ+DbjEBJdTJPXxrf1gDz69w/ZJ+gJ7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t/FjDAAAA2wAAAA8AAAAAAAAAAAAA&#10;AAAAoQIAAGRycy9kb3ducmV2LnhtbFBLBQYAAAAABAAEAPkAAACRAwAAAAA=&#10;" strokecolor="black [3040]">
                  <v:stroke dashstyle="dash" startarrowlength="long" endarrow="classic" endarrowlength="long"/>
                </v:line>
                <v:line id="Прямая соединительная линия 48" o:spid="_x0000_s1100" style="position:absolute;visibility:visible;mso-wrap-style:square" from="8664,23102" to="23621,231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8MFMAAAADbAAAADwAAAGRycy9kb3ducmV2LnhtbERPTYvCMBC9L/gfwgje1kSRVapRqrC4&#10;sBetitexGdtiMylNVrv/3hwEj4/3vVh1thZ3an3lWMNoqEAQ585UXGg4Hr4/ZyB8QDZYOyYN/+Rh&#10;tex9LDAx7sF7umehEDGEfYIayhCaREqfl2TRD11DHLmray2GCNtCmhYfMdzWcqzUl7RYcWwosaFN&#10;Sfkt+7Ma8KJ2m9/zOZts12F62FOqTulO60G/S+cgAnXhLX65f4yGSRwbv8QfIJ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ZvDBTAAAAA2wAAAA8AAAAAAAAAAAAAAAAA&#10;oQIAAGRycy9kb3ducmV2LnhtbFBLBQYAAAAABAAEAPkAAACOAwAAAAA=&#10;" strokecolor="black [3040]">
                  <v:stroke endarrow="classic" endarrowlength="long"/>
                </v:line>
                <v:line id="Прямая соединительная линия 49" o:spid="_x0000_s1101" style="position:absolute;flip:y;visibility:visible;mso-wrap-style:square" from="8664,17815" to="8664,231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Y/3cUAAADbAAAADwAAAGRycy9kb3ducmV2LnhtbESP3WoCMRSE7wu+QzhCb6RmLVLrdqNI&#10;aaEKCq5Cbw+bsz+YnKybVNe3bwpCL4eZ+YbJlr014kKdbxwrmIwTEMSF0w1XCo6Hz6dXED4gazSO&#10;ScGNPCwXg4cMU+2uvKdLHioRIexTVFCH0KZS+qImi37sWuLola6zGKLsKqk7vEa4NfI5SV6kxYbj&#10;Qo0tvddUnPIfq2B3pvXoPJuXxm6/p5u1NpuP20Spx2G/egMRqA//4Xv7SyuYzuHvS/wBcvE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dY/3cUAAADbAAAADwAAAAAAAAAA&#10;AAAAAAChAgAAZHJzL2Rvd25yZXYueG1sUEsFBgAAAAAEAAQA+QAAAJMDAAAAAA==&#10;" strokecolor="black [3040]">
                  <v:stroke endarrowlength="long"/>
                </v:line>
                <v:line id="Прямая соединительная линия 50" o:spid="_x0000_s1102" style="position:absolute;visibility:visible;mso-wrap-style:square" from="6762,24829" to="23961,24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mYEcAAAADbAAAADwAAAGRycy9kb3ducmV2LnhtbERPzYrCMBC+C75DGMGLrKmCIl2jqCh6&#10;EFG7DzDbjG2xmZQmavXpzUHw+PH9T+eNKcWdaldYVjDoRyCIU6sLzhT8JZufCQjnkTWWlknBkxzM&#10;Z+3WFGNtH3yi+9lnIoSwi1FB7n0VS+nSnAy6vq2IA3extUEfYJ1JXeMjhJtSDqNoLA0WHBpyrGiV&#10;U3o934wC3+jtpdy7wfKfDsen7r1G6yRRqttpFr8gPDX+K/64d1rBKKwPX8IPkLM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fJmBHAAAAA2wAAAA8AAAAAAAAAAAAAAAAA&#10;oQIAAGRycy9kb3ducmV2LnhtbFBLBQYAAAAABAAEAPkAAACOAwAAAAA=&#10;" strokecolor="black [3040]">
                  <v:stroke dashstyle="dash" startarrowlength="long" endarrowlength="long"/>
                </v:line>
                <v:line id="Прямая соединительная линия 51" o:spid="_x0000_s1103" style="position:absolute;flip:y;visibility:visible;mso-wrap-style:square" from="6762,17815" to="6762,24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UqF8IAAADbAAAADwAAAGRycy9kb3ducmV2LnhtbESPX2vCQBDE34V+h2MLvunFgkVST2kD&#10;Uh/9V3zd5ra5aG4vZE+N375XKPg4zMxvmPmy9426Uid1YAOTcQaKuAy25srAYb8azUBJRLbYBCYD&#10;dxJYLp4Gc8xtuPGWrrtYqQRhydGAi7HNtZbSkUcZh5Y4eT+h8xiT7CptO7wluG/0S5a9ao81pwWH&#10;LRWOyvPu4g2sjp+F4MZ9HS9SfJ+me4cfsjVm+Ny/v4GK1MdH+L+9tgamE/j7kn6AXv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wUqF8IAAADbAAAADwAAAAAAAAAAAAAA&#10;AAChAgAAZHJzL2Rvd25yZXYueG1sUEsFBgAAAAAEAAQA+QAAAJADAAAAAA==&#10;" strokecolor="black [3040]">
                  <v:stroke dashstyle="dash" endarrow="classic" endarrowlength="long"/>
                </v:line>
                <v:line id="Прямая соединительная линия 52" o:spid="_x0000_s1104" style="position:absolute;flip:y;visibility:visible;mso-wrap-style:square" from="4848,30699" to="19907,307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8IZsAAAADbAAAADwAAAGRycy9kb3ducmV2LnhtbESPQavCMBCE74L/IazgTVNFy6MaRUVB&#10;xIt9HjwuzdoWm01potZ/bwTB4zAz3zDzZWsq8aDGlZYVjIYRCOLM6pJzBef/3eAPhPPIGivLpOBF&#10;DpaLbmeOibZPPtEj9bkIEHYJKii8rxMpXVaQQTe0NXHwrrYx6INscqkbfAa4qeQ4imJpsOSwUGBN&#10;m4KyW3o3Ciq63bevemLW8e7oDzrej9L8olS/165mIDy1/hf+tvdawXQMny/hB8jFG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O/CGbAAAAA2wAAAA8AAAAAAAAAAAAAAAAA&#10;oQIAAGRycy9kb3ducmV2LnhtbFBLBQYAAAAABAAEAPkAAACOAwAAAAA=&#10;" strokecolor="black [3040]">
                  <v:stroke dashstyle="dash" startarrowlength="long" endarrowlength="long"/>
                </v:line>
                <v:line id="Прямая соединительная линия 53" o:spid="_x0000_s1105" style="position:absolute;visibility:visible;mso-wrap-style:square" from="3425,32548" to="19907,325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9shsMAAADbAAAADwAAAGRycy9kb3ducmV2LnhtbESPX2sCMRDE34V+h7CFvmlOiyJXo0hB&#10;EMRS/yD0bblsc0cvm+tl1eu3bwTBx2FmfsPMFp2v1YXaWAU2MBxkoIiLYCt2Bo6HVX8KKgqyxTow&#10;GfijCIv5U2+GuQ1X3tFlL04lCMccDZQiTa51LEryGAehIU7ed2g9SpKt07bFa4L7Wo+ybKI9VpwW&#10;SmzovaTiZ3/2BrZZJc0JcfPx6c9OnB1vf/2XMS/P3fINlFAnj/C9vbYGxq9w+5J+gJ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PbIbDAAAA2wAAAA8AAAAAAAAAAAAA&#10;AAAAoQIAAGRycy9kb3ducmV2LnhtbFBLBQYAAAAABAAEAPkAAACRAwAAAAA=&#10;" strokecolor="black [3040]">
                  <v:stroke dashstyle="dash" startarrowlength="long" endarrow="classic" endarrowlength="long"/>
                </v:line>
                <v:line id="Прямая соединительная линия 54" o:spid="_x0000_s1106" style="position:absolute;flip:y;visibility:visible;mso-wrap-style:square" from="3425,17815" to="3425,325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CdlL8AAADbAAAADwAAAGRycy9kb3ducmV2LnhtbESP3arCMBCE7w/4DmEF746pv0g1igqC&#10;4I1/D7A026bYbEoTtb69EQQvh5n5hlmsWluJBzW+dKxg0E9AEGdOl1wouF52/zMQPiBrrByTghd5&#10;WC07fwtMtXvyiR7nUIgIYZ+iAhNCnUrpM0MWfd/VxNHLXWMxRNkUUjf4jHBbyWGSTKXFkuOCwZq2&#10;hrLb+W4VHDeXK7Z+P8rc3eU2PxSm5KNSvW67noMI1IZf+NveawWTMXy+xB8gl2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MCdlL8AAADbAAAADwAAAAAAAAAAAAAAAACh&#10;AgAAZHJzL2Rvd25yZXYueG1sUEsFBgAAAAAEAAQA+QAAAI0DAAAAAA==&#10;" strokecolor="black [3040]">
                  <v:stroke dashstyle="dash"/>
                </v:line>
                <v:line id="Прямая соединительная линия 55" o:spid="_x0000_s1107" style="position:absolute;flip:y;visibility:visible;mso-wrap-style:square" from="4848,17577" to="4848,30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4sFMIAAADbAAAADwAAAGRycy9kb3ducmV2LnhtbESPQWvCQBSE74X+h+UVeqsbCykSXUUD&#10;0h6rtnh9Zp/ZaPZtyFs1/ffdQsHjMDPfMLPF4Ft1pV6awAbGowwUcRVsw7WBr936ZQJKIrLFNjAZ&#10;+CGBxfzxYYaFDTfe0HUba5UgLAUacDF2hdZSOfIoo9ARJ+8Yeo8xyb7WtsdbgvtWv2bZm/bYcFpw&#10;2FHpqDpvL97Aev9eCn667/1FysMp3zlcycaY56dhOQUVaYj38H/7wxrIc/j7kn6Anv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D4sFMIAAADbAAAADwAAAAAAAAAAAAAA&#10;AAChAgAAZHJzL2Rvd25yZXYueG1sUEsFBgAAAAAEAAQA+QAAAJADAAAAAA==&#10;" strokecolor="black [3040]">
                  <v:stroke dashstyle="dash" endarrow="classic" endarrowlength="long"/>
                </v:line>
                <v:line id="Прямая соединительная линия 56" o:spid="_x0000_s1108" style="position:absolute;visibility:visible;mso-wrap-style:square" from="1882,39317" to="21707,39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WrIMMAAADbAAAADwAAAGRycy9kb3ducmV2LnhtbESPQWvCQBSE74L/YXmCN91VWiupq0Sh&#10;KHjRaPH6mn1Ngtm3Ibtq+u/dQqHHYWa+YRarztbiTq2vHGuYjBUI4tyZigsN59PHaA7CB2SDtWPS&#10;8EMeVst+b4GJcQ8+0j0LhYgQ9glqKENoEil9XpJFP3YNcfS+XWsxRNkW0rT4iHBby6lSM2mx4rhQ&#10;YkObkvJrdrMa8EsdNvvLJXvZrsPb6Uip+kwPWg8HXfoOIlAX/sN/7Z3R8DqD3y/xB8jl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1lqyDDAAAA2wAAAA8AAAAAAAAAAAAA&#10;AAAAoQIAAGRycy9kb3ducmV2LnhtbFBLBQYAAAAABAAEAPkAAACRAwAAAAA=&#10;" strokecolor="black [3040]">
                  <v:stroke endarrow="classic" endarrowlength="long"/>
                </v:line>
                <v:line id="Прямая соединительная линия 57" o:spid="_x0000_s1109" style="position:absolute;flip:y;visibility:visible;mso-wrap-style:square" from="1882,17584" to="1882,39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yY6cYAAADbAAAADwAAAGRycy9kb3ducmV2LnhtbESPW2sCMRSE34X+h3AKfSndrGK9rEYp&#10;UkGFCtVCXw+bsxeanKybqOu/bwoFH4eZ+YaZLztrxIVaXztW0E9SEMS50zWXCr6O65cJCB+QNRrH&#10;pOBGHpaLh94cM+2u/EmXQyhFhLDPUEEVQpNJ6fOKLPrENcTRK1xrMUTZllK3eI1wa+QgTUfSYs1x&#10;ocKGVhXlP4ezVbA/0fb5NJ4Wxn58D3dbbXbvt75ST4/d2wxEoC7cw//tjVbwOo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7cmOnGAAAA2wAAAA8AAAAAAAAA&#10;AAAAAAAAoQIAAGRycy9kb3ducmV2LnhtbFBLBQYAAAAABAAEAPkAAACUAwAAAAA=&#10;" strokecolor="black [3040]">
                  <v:stroke endarrowlength="long"/>
                </v:line>
                <v:line id="Прямая соединительная линия 58" o:spid="_x0000_s1110" style="position:absolute;visibility:visible;mso-wrap-style:square" from="549,41117" to="21707,41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UF8AAAADbAAAADwAAAGRycy9kb3ducmV2LnhtbERPzYrCMBC+C75DGMGLrKmCIl2jqCh6&#10;EFG7DzDbjG2xmZQmavXpzUHw+PH9T+eNKcWdaldYVjDoRyCIU6sLzhT8JZufCQjnkTWWlknBkxzM&#10;Z+3WFGNtH3yi+9lnIoSwi1FB7n0VS+nSnAy6vq2IA3extUEfYJ1JXeMjhJtSDqNoLA0WHBpyrGiV&#10;U3o934wC3+jtpdy7wfKfDsen7r1G6yRRqttpFr8gPDX+K/64d1rBKIwNX8IPkLM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m/lBfAAAAA2wAAAA8AAAAAAAAAAAAAAAAA&#10;oQIAAGRycy9kb3ducmV2LnhtbFBLBQYAAAAABAAEAPkAAACOAwAAAAA=&#10;" strokecolor="black [3040]">
                  <v:stroke dashstyle="dash" startarrowlength="long" endarrowlength="long"/>
                </v:line>
                <v:line id="Прямая соединительная линия 59" o:spid="_x0000_s1111" style="position:absolute;flip:y;visibility:visible;mso-wrap-style:square" from="549,17574" to="549,41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MmEcIAAADbAAAADwAAAGRycy9kb3ducmV2LnhtbESPQWvCQBSE74X+h+UVvNVNC5Y2ukob&#10;ED1WrXh9Zp/ZaPZtyFs1/vtuoeBxmJlvmMms9426UCd1YAMvwwwUcRlszZWBn838+R2URGSLTWAy&#10;cCOB2fTxYYK5DVde0WUdK5UgLDkacDG2udZSOvIow9ASJ+8QOo8xya7StsNrgvtGv2bZm/ZYc1pw&#10;2FLhqDytz97AfLcoBL/ddneWYn8cbRx+ycqYwVP/OQYVqY/38H97aQ2MPuDvS/oBevo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XMmEcIAAADbAAAADwAAAAAAAAAAAAAA&#10;AAChAgAAZHJzL2Rvd25yZXYueG1sUEsFBgAAAAAEAAQA+QAAAJADAAAAAA==&#10;" strokecolor="black [3040]">
                  <v:stroke dashstyle="dash" endarrow="classic" endarrowlength="long"/>
                </v:line>
                <v:shape id="Поле 60" o:spid="_x0000_s1112" type="#_x0000_t202" style="position:absolute;left:35706;top:5217;width:12084;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YkN8IA&#10;AADbAAAADwAAAGRycy9kb3ducmV2LnhtbERPS0/CQBC+m/AfNkPiTbZ4IKayEAOYcEBFHgnexu7Y&#10;NnRnm92h1H/PHkw8fvne03nvGtVRiLVnA+NRBoq48Lbm0sBh//rwBCoKssXGMxn4pQjz2eBuirn1&#10;V/6kbielSiEcczRQibS51rGoyGEc+ZY4cT8+OJQEQ6ltwGsKd41+zLKJdlhzaqiwpUVFxXl3cQaa&#10;Uwyb70y+umX5JtsPfTmuxu/G3A/7l2dQQr38i//ca2tgktanL+kH6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liQ3wgAAANsAAAAPAAAAAAAAAAAAAAAAAJgCAABkcnMvZG93&#10;bnJldi54bWxQSwUGAAAAAAQABAD1AAAAhwMAAAAA&#10;" filled="f" stroked="f" strokeweight=".5pt">
                  <v:textbox inset="0,0,0,0">
                    <w:txbxContent>
                      <w:p w:rsidR="00B56753" w:rsidRDefault="00B56753" w:rsidP="00966FB0">
                        <w:pPr>
                          <w:spacing w:line="180" w:lineRule="auto"/>
                          <w:jc w:val="center"/>
                          <w:rPr>
                            <w:sz w:val="20"/>
                            <w:szCs w:val="20"/>
                            <w:lang w:val="en-US"/>
                          </w:rPr>
                        </w:pPr>
                        <w:r w:rsidRPr="00316FE9">
                          <w:rPr>
                            <w:sz w:val="20"/>
                            <w:szCs w:val="20"/>
                            <w:lang w:val="en-US"/>
                          </w:rPr>
                          <w:t>Personal income</w:t>
                        </w:r>
                        <w:r>
                          <w:rPr>
                            <w:sz w:val="20"/>
                            <w:szCs w:val="20"/>
                            <w:lang w:val="en-US"/>
                          </w:rPr>
                          <w:t> </w:t>
                        </w:r>
                      </w:p>
                      <w:p w:rsidR="00B56753" w:rsidRPr="00316FE9" w:rsidRDefault="00B56753" w:rsidP="00966FB0">
                        <w:pPr>
                          <w:spacing w:line="180" w:lineRule="auto"/>
                          <w:jc w:val="center"/>
                          <w:rPr>
                            <w:sz w:val="20"/>
                            <w:szCs w:val="20"/>
                            <w:lang w:val="en-US"/>
                          </w:rPr>
                        </w:pPr>
                        <w:r w:rsidRPr="00316FE9">
                          <w:rPr>
                            <w:sz w:val="20"/>
                            <w:szCs w:val="20"/>
                            <w:lang w:val="en-US"/>
                          </w:rPr>
                          <w:t>(</w:t>
                        </w:r>
                        <w:r>
                          <w:rPr>
                            <w:sz w:val="20"/>
                            <w:szCs w:val="20"/>
                            <w:lang w:val="en-US"/>
                          </w:rPr>
                          <w:t>W</w:t>
                        </w:r>
                        <w:r w:rsidRPr="00316FE9">
                          <w:rPr>
                            <w:sz w:val="20"/>
                            <w:szCs w:val="20"/>
                            <w:lang w:val="en-US"/>
                          </w:rPr>
                          <w:t>ages, salaries, etc</w:t>
                        </w:r>
                        <w:r>
                          <w:rPr>
                            <w:sz w:val="20"/>
                            <w:szCs w:val="20"/>
                            <w:lang w:val="en-US"/>
                          </w:rPr>
                          <w:t>.</w:t>
                        </w:r>
                        <w:r w:rsidRPr="00316FE9">
                          <w:rPr>
                            <w:sz w:val="20"/>
                            <w:szCs w:val="20"/>
                            <w:lang w:val="en-US"/>
                          </w:rPr>
                          <w:t>)</w:t>
                        </w:r>
                      </w:p>
                    </w:txbxContent>
                  </v:textbox>
                </v:shape>
                <v:shape id="Поле 59" o:spid="_x0000_s1113" type="#_x0000_t202" style="position:absolute;left:39423;top:359;width:10497;height:2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qBrMUA&#10;AADbAAAADwAAAGRycy9kb3ducmV2LnhtbESPS2vDMBCE74X+B7GF3hrZPYTiRAmlD8ghfeQFyW1j&#10;bW1Ta2WkjeP++6pQyHGYmW+Y6XxwreopxMazgXyUgSIuvW24MrDdvN49gIqCbLH1TAZ+KMJ8dn01&#10;xcL6M6+oX0ulEoRjgQZqka7QOpY1OYwj3xEn78sHh5JkqLQNeE5w1+r7LBtrhw2nhRo7eqqp/F6f&#10;nIF2H8PymMmhf67e5PNDn3Yv+bsxtzfD4wSU0CCX8H97YQ2Mc/j7kn6An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2oGsxQAAANsAAAAPAAAAAAAAAAAAAAAAAJgCAABkcnMv&#10;ZG93bnJldi54bWxQSwUGAAAAAAQABAD1AAAAigM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 xml:space="preserve">Production factors </w:t>
                        </w:r>
                      </w:p>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(Physical input)</w:t>
                        </w:r>
                      </w:p>
                    </w:txbxContent>
                  </v:textbox>
                </v:shape>
                <v:shape id="Поле 59" o:spid="_x0000_s1114" type="#_x0000_t202" style="position:absolute;left:35706;top:12529;width:7823;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gf28UA&#10;AADbAAAADwAAAGRycy9kb3ducmV2LnhtbESPQWvCQBSE7wX/w/KE3upGD1JSVylVoYe2VttCe3vN&#10;vibB7Nuw+4zx37tCweMwM98ws0XvGtVRiLVnA+NRBoq48Lbm0sDnx/ruHlQUZIuNZzJwogiL+eBm&#10;hrn1R95St5NSJQjHHA1UIm2udSwqchhHviVO3p8PDiXJUGob8JjgrtGTLJtqhzWnhQpbeqqo2O8O&#10;zkDzHcPLbyY/3bJ8lfeNPnytxm/G3A77xwdQQr1cw//tZ2tgOoHLl/QD9PwM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CB/bxQAAANsAAAAPAAAAAAAAAAAAAAAAAJgCAABkcnMv&#10;ZG93bnJldi54bWxQSwUGAAAAAAQABAD1AAAAigMAAAAA&#10;" filled="f" stroked="f" strokeweight=".5pt">
                  <v:textbox inset="0,0,0,0">
                    <w:txbxContent>
                      <w:p w:rsidR="00B56753" w:rsidRDefault="00B56753" w:rsidP="00966FB0">
                        <w:pPr>
                          <w:pStyle w:val="afc"/>
                          <w:spacing w:before="0" w:beforeAutospacing="0" w:after="0" w:afterAutospacing="0" w:line="180" w:lineRule="auto"/>
                          <w:ind w:firstLine="142"/>
                          <w:jc w:val="center"/>
                        </w:pPr>
                        <w:r>
                          <w:rPr>
                            <w:rFonts w:ascii="Garamond" w:eastAsia="Calibri" w:hAnsi="Garamond"/>
                            <w:sz w:val="20"/>
                            <w:szCs w:val="20"/>
                            <w:lang w:val="en-US"/>
                          </w:rPr>
                          <w:t>Taxes and borrowing</w:t>
                        </w:r>
                      </w:p>
                    </w:txbxContent>
                  </v:textbox>
                </v:shape>
                <v:shape id="Поле 59" o:spid="_x0000_s1115" type="#_x0000_t202" style="position:absolute;left:33566;top:16758;width:11080;height:2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S6QMUA&#10;AADbAAAADwAAAGRycy9kb3ducmV2LnhtbESPX2vCQBDE3wv9DscKfasXK0hJPUVsCz70n9pCfVtz&#10;axKa2wt3a4zf3isU+jjMzG+Y6bx3jeooxNqzgdEwA0VceFtzaeBz+3x7DyoKssXGMxk4U4T57Ppq&#10;irn1J15Tt5FSJQjHHA1UIm2udSwqchiHviVO3sEHh5JkKLUNeEpw1+i7LJtohzWnhQpbWlZU/GyO&#10;zkDzHcPLPpNd91i+yse7Pn49jd6MuRn0iwdQQr38h//aK2tgMobfL+kH6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RLpAxQAAANsAAAAPAAAAAAAAAAAAAAAAAJgCAABkcnMv&#10;ZG93bnJldi54bWxQSwUGAAAAAAQABAD1AAAAigMAAAAA&#10;" filled="f" stroked="f" strokeweight=".5pt">
                  <v:textbox inset="0,0,0,0">
                    <w:txbxContent>
                      <w:p w:rsidR="00B56753" w:rsidRDefault="00B56753" w:rsidP="00966FB0">
                        <w:pPr>
                          <w:pStyle w:val="afc"/>
                          <w:spacing w:before="0" w:beforeAutospacing="0" w:after="0" w:afterAutospacing="0" w:line="180" w:lineRule="auto"/>
                          <w:ind w:firstLine="142"/>
                          <w:jc w:val="center"/>
                        </w:pPr>
                        <w:r>
                          <w:rPr>
                            <w:rFonts w:ascii="Garamond" w:eastAsia="Calibri" w:hAnsi="Garamond"/>
                            <w:sz w:val="20"/>
                            <w:szCs w:val="20"/>
                            <w:lang w:val="en-US"/>
                          </w:rPr>
                          <w:t>Transfer payments, wages, salaries, etc.</w:t>
                        </w:r>
                      </w:p>
                    </w:txbxContent>
                  </v:textbox>
                </v:shape>
                <v:shape id="Поле 59" o:spid="_x0000_s1116" type="#_x0000_t202" style="position:absolute;left:32845;top:19615;width:12970;height:3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xO3MgA&#10;AADjAAAADwAAAGRycy9kb3ducmV2LnhtbERPS0sDMRC+C/6HMII3m2yVVtamRXyAB59tBb2Nm3F3&#10;cTNZkul2/fdGEDzO957FavSdGiimNrCFYmJAEVfBtVxb2G5uT85BJUF22AUmC9+UYLU8PFhg6cKe&#10;X2hYS61yCKcSLTQifal1qhrymCahJ87cZ4geJZ+x1i7iPof7Tk+NmWmPLeeGBnu6aqj6Wu+8he4t&#10;xfsPI+/Ddf0gz09693pTPFp7fDReXoASGuVf/Oe+c3m+mZ/Oz6ammMHvTxkAv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93E7cyAAAAOMAAAAPAAAAAAAAAAAAAAAAAJgCAABk&#10;cnMvZG93bnJldi54bWxQSwUGAAAAAAQABAD1AAAAjQMAAAAA&#10;" filled="f" stroked="f" strokeweight=".5pt">
                  <v:textbox inset="0,0,0,0">
                    <w:txbxContent>
                      <w:p w:rsidR="00B56753" w:rsidRDefault="00B56753" w:rsidP="00966FB0">
                        <w:pPr>
                          <w:pStyle w:val="afc"/>
                          <w:spacing w:before="0" w:beforeAutospacing="0" w:after="0" w:afterAutospacing="0" w:line="180" w:lineRule="auto"/>
                          <w:ind w:firstLine="142"/>
                          <w:jc w:val="center"/>
                        </w:pPr>
                        <w:r>
                          <w:rPr>
                            <w:rFonts w:ascii="Garamond" w:eastAsia="Calibri" w:hAnsi="Garamond"/>
                            <w:sz w:val="20"/>
                            <w:szCs w:val="20"/>
                            <w:lang w:val="en-US"/>
                          </w:rPr>
                          <w:t>Household purchases on domestic products (consumption)</w:t>
                        </w:r>
                      </w:p>
                    </w:txbxContent>
                  </v:textbox>
                </v:shape>
                <v:shape id="Поле 59" o:spid="_x0000_s1117" type="#_x0000_t202" style="position:absolute;left:37045;top:25340;width:11167;height:1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DrR8gA&#10;AADjAAAADwAAAGRycy9kb3ducmV2LnhtbERPS0vEMBC+C/6HMII3N+kqVupmF/EBHnTVVUFvYzO2&#10;xWZSktlu/fdGEDzO957FavK9GimmLrCFYmZAEdfBddxYeHm+OToDlQTZYR+YLHxTgtVyf2+BlQs7&#10;fqJxI43KIZwqtNCKDJXWqW7JY5qFgThznyF6lHzGRruIuxzuez035lR77Dg3tDjQZUv112brLfRv&#10;Kd59GHkfr5p7eXzQ29frYm3t4cF0cQ5KaJJ/8Z/71uX5pjwuT+amKOH3pwyAX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kOtHyAAAAOMAAAAPAAAAAAAAAAAAAAAAAJgCAABk&#10;cnMvZG93bnJldi54bWxQSwUGAAAAAAQABAD1AAAAjQMAAAAA&#10;" filled="f" stroked="f" strokeweight=".5pt">
                  <v:textbox inset="0,0,0,0">
                    <w:txbxContent>
                      <w:p w:rsidR="00B56753" w:rsidRDefault="00B56753" w:rsidP="00966FB0">
                        <w:pPr>
                          <w:pStyle w:val="afc"/>
                          <w:spacing w:before="0" w:beforeAutospacing="0" w:after="0" w:afterAutospacing="0" w:line="180" w:lineRule="auto"/>
                          <w:ind w:firstLine="144"/>
                          <w:jc w:val="center"/>
                        </w:pPr>
                        <w:r>
                          <w:rPr>
                            <w:rFonts w:ascii="Garamond" w:eastAsia="Calibri" w:hAnsi="Garamond"/>
                            <w:sz w:val="20"/>
                            <w:szCs w:val="20"/>
                            <w:lang w:val="en-US"/>
                          </w:rPr>
                          <w:t>Goods and services</w:t>
                        </w:r>
                      </w:p>
                    </w:txbxContent>
                  </v:textbox>
                </v:shape>
                <v:shape id="Поле 59" o:spid="_x0000_s1118" type="#_x0000_t202" style="position:absolute;left:37052;top:29391;width:12287;height:13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Savings and repayments</w:t>
                        </w:r>
                      </w:p>
                    </w:txbxContent>
                  </v:textbox>
                </v:shape>
                <v:shape id="Поле 59" o:spid="_x0000_s1119" type="#_x0000_t202" style="position:absolute;left:37347;top:33497;width:12287;height:13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ParskA&#10;AADjAAAADwAAAGRycy9kb3ducmV2LnhtbERPS0sDMRC+C/6HMII3m2wVW9emRXyAB1+tCnobN+Pu&#10;4mayJNPt+u+NIHic7z2L1eg7NVBMbWALxcSAIq6Ca7m28PJ8czQHlQTZYReYLHxTgtVyf2+BpQs7&#10;XtOwkVrlEE4lWmhE+lLrVDXkMU1CT5y5zxA9Sj5jrV3EXQ73nZ4ac6o9tpwbGuzpsqHqa7P1Frq3&#10;FO8+jLwPV/W9PD3q7et18WDt4cF4cQ5KaJR/8Z/71uX5ZnY8O5ma4gx+f8oA6OU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EParskAAADjAAAADwAAAAAAAAAAAAAAAACYAgAA&#10;ZHJzL2Rvd25yZXYueG1sUEsFBgAAAAAEAAQA9QAAAI4DA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Loans and withdrawals</w:t>
                        </w:r>
                      </w:p>
                    </w:txbxContent>
                  </v:textbox>
                </v:shape>
                <v:shape id="Поле 59" o:spid="_x0000_s1120" type="#_x0000_t202" style="position:absolute;left:35706;top:36173;width:1687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" filled="f" stroked="f" strokeweight=".5pt">
                  <v:textbox inset="0,0,0,0">
                    <w:txbxContent>
                      <w:p w:rsidR="00B56753" w:rsidRDefault="00B56753" w:rsidP="00966FB0">
                        <w:pPr>
                          <w:pStyle w:val="afc"/>
                          <w:spacing w:before="0" w:beforeAutospacing="0" w:after="0" w:afterAutospacing="0" w:line="180" w:lineRule="auto"/>
                          <w:jc w:val="center"/>
                        </w:pPr>
                        <w:r w:rsidRPr="00111464">
                          <w:rPr>
                            <w:rFonts w:ascii="Garamond" w:eastAsia="Calibri" w:hAnsi="Garamond"/>
                            <w:sz w:val="20"/>
                            <w:szCs w:val="20"/>
                            <w:lang w:val="en-US"/>
                          </w:rPr>
                          <w:t xml:space="preserve">Household purchases on </w:t>
                        </w:r>
                        <w:r>
                          <w:rPr>
                            <w:rFonts w:ascii="Garamond" w:eastAsia="Calibri" w:hAnsi="Garamond"/>
                            <w:sz w:val="20"/>
                            <w:szCs w:val="20"/>
                            <w:lang w:val="en-US"/>
                          </w:rPr>
                          <w:t>import</w:t>
                        </w:r>
                        <w:r w:rsidRPr="00111464">
                          <w:rPr>
                            <w:rFonts w:ascii="Garamond" w:eastAsia="Calibri" w:hAnsi="Garamond"/>
                            <w:sz w:val="20"/>
                            <w:szCs w:val="20"/>
                            <w:lang w:val="en-US"/>
                          </w:rPr>
                          <w:t xml:space="preserve"> products</w:t>
                        </w:r>
                        <w:r>
                          <w:rPr>
                            <w:rFonts w:ascii="Garamond" w:eastAsia="Calibri" w:hAnsi="Garamond"/>
                            <w:sz w:val="20"/>
                            <w:szCs w:val="20"/>
                            <w:lang w:val="en-US"/>
                          </w:rPr>
                          <w:t xml:space="preserve"> (consumption)</w:t>
                        </w:r>
                      </w:p>
                    </w:txbxContent>
                  </v:textbox>
                </v:shape>
                <v:shape id="Поле 59" o:spid="_x0000_s1121" type="#_x0000_t202" style="position:absolute;left:40684;top:41307;width:9236;height:2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kcFcgA&#10;AADjAAAADwAAAGRycy9kb3ducmV2LnhtbERPS0vEMBC+C/6HMII3N2kVV+pmF/EBHnTVVUFvYzO2&#10;xWZSktlu/fdGEDzO957FavK9GimmLrCFYmZAEdfBddxYeHm+OToDlQTZYR+YLHxTgtVyf2+BlQs7&#10;fqJxI43KIZwqtNCKDJXWqW7JY5qFgThznyF6lHzGRruIuxzue10ac6o9dpwbWhzosqX6a7P1Fvq3&#10;FO8+jLyPV829PD7o7et1sbb28GC6OAclNMm/+M996/J8Mz+en5SmLOD3pwyAX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8WRwVyAAAAOMAAAAPAAAAAAAAAAAAAAAAAJgCAABk&#10;cnMvZG93bnJldi54bWxQSwUGAAAAAAQABAD1AAAAjQMAAAAA&#10;" filled="f" stroked="f" strokeweight=".5pt">
                  <v:textbox inset="0,0,0,0">
                    <w:txbxContent>
                      <w:p w:rsidR="00B56753" w:rsidRDefault="00B56753" w:rsidP="00966FB0">
                        <w:pPr>
                          <w:pStyle w:val="afc"/>
                          <w:spacing w:before="0" w:beforeAutospacing="0" w:after="0" w:afterAutospacing="0" w:line="180" w:lineRule="auto"/>
                          <w:ind w:firstLine="144"/>
                          <w:jc w:val="center"/>
                        </w:pPr>
                        <w:r>
                          <w:rPr>
                            <w:rFonts w:ascii="Garamond" w:eastAsia="Calibri" w:hAnsi="Garamond"/>
                            <w:sz w:val="20"/>
                            <w:szCs w:val="20"/>
                            <w:lang w:val="en-US"/>
                          </w:rPr>
                          <w:t>Imported goods and services</w:t>
                        </w:r>
                      </w:p>
                    </w:txbxContent>
                  </v:textbox>
                </v:shape>
                <v:shape id="Поле 59" o:spid="_x0000_s1122" type="#_x0000_t202" style="position:absolute;left:9620;top:5135;width:10496;height:17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uCYsgA&#10;AADjAAAADwAAAGRycy9kb3ducmV2LnhtbERPS0sDMRC+C/6HMII3m3QVW9amRXyAB63aKuht3Iy7&#10;i5vJkky36783guBxvvcsVqPv1EAxtYEtTCcGFHEVXMu1hZft7ckcVBJkh11gsvBNCVbLw4MFli7s&#10;+ZmGjdQqh3Aq0UIj0pdap6ohj2kSeuLMfYboUfIZa+0i7nO473RhzLn22HJuaLCnq4aqr83OW+je&#10;Urz/MPI+XNcP8vSod68307W1x0fj5QUooVH+xX/uO5fnm9np7KwwRQG/P2UA9PI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i4JiyAAAAOMAAAAPAAAAAAAAAAAAAAAAAJgCAABk&#10;cnMvZG93bnJldi54bWxQSwUGAAAAAAQABAD1AAAAjQM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Physical input</w:t>
                        </w:r>
                      </w:p>
                    </w:txbxContent>
                  </v:textbox>
                </v:shape>
                <v:shape id="Поле 59" o:spid="_x0000_s1123" type="#_x0000_t202" style="position:absolute;left:8223;top:836;width:1049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cn+cgA&#10;AADjAAAADwAAAGRycy9kb3ducmV2LnhtbERPS0sDMRC+C/6HMII3m3QrVtamRXyAB59tBb2Nm3F3&#10;cTNZkul2/fdGEDzO957FavSdGiimNrCF6cSAIq6Ca7m2sN3cnpyDSoLssAtMFr4pwWp5eLDA0oU9&#10;v9CwllrlEE4lWmhE+lLrVDXkMU1CT5y5zxA9Sj5jrV3EfQ73nS6MOdMeW84NDfZ01VD1td55C91b&#10;ivcfRt6H6/pBnp/07vVm+mjt8dF4eQFKaJR/8Z/7zuX5Zj6bnxammMHvTxkAv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jxyf5yAAAAOMAAAAPAAAAAAAAAAAAAAAAAJgCAABk&#10;cnMvZG93bnJldi54bWxQSwUGAAAAAAQABAD1AAAAjQM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Factor purchases</w:t>
                        </w:r>
                      </w:p>
                    </w:txbxContent>
                  </v:textbox>
                </v:shape>
                <v:shape id="Поле 59" o:spid="_x0000_s1124" type="#_x0000_t202" style="position:absolute;left:10372;top:16843;width:7823;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6/jcgA&#10;AADjAAAADwAAAGRycy9kb3ducmV2LnhtbERPS0sDMRC+C/6HMII3m3QtVtamRXyAB59tBb2Nm3F3&#10;cTNZkul2/fdGEDzO957FavSdGiimNrCF6cSAIq6Ca7m2sN3cnpyDSoLssAtMFr4pwWp5eLDA0oU9&#10;v9CwllrlEE4lWmhE+lLrVDXkMU1CT5y5zxA9Sj5jrV3EfQ73nS6MOdMeW84NDfZ01VD1td55C91b&#10;ivcfRt6H6/pBnp/07vVm+mjt8dF4eQFKaJR/8Z/7zuX5Zn46nxWmmMHvTxkAv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Lr+NyAAAAOMAAAAPAAAAAAAAAAAAAAAAAJgCAABk&#10;cnMvZG93bnJldi54bWxQSwUGAAAAAAQABAD1AAAAjQMAAAAA&#10;" filled="f" stroked="f" strokeweight=".5pt">
                  <v:textbox inset="0,0,0,0">
                    <w:txbxContent>
                      <w:p w:rsidR="00B56753" w:rsidRDefault="00B56753" w:rsidP="00966FB0">
                        <w:pPr>
                          <w:pStyle w:val="afc"/>
                          <w:spacing w:before="0" w:beforeAutospacing="0" w:after="0" w:afterAutospacing="0" w:line="180" w:lineRule="auto"/>
                          <w:ind w:firstLine="144"/>
                          <w:jc w:val="center"/>
                        </w:pPr>
                        <w:r>
                          <w:rPr>
                            <w:rFonts w:ascii="Garamond" w:eastAsia="Calibri" w:hAnsi="Garamond"/>
                            <w:sz w:val="20"/>
                            <w:szCs w:val="20"/>
                            <w:lang w:val="en-US"/>
                          </w:rPr>
                          <w:t>Taxes and borrowing</w:t>
                        </w:r>
                      </w:p>
                    </w:txbxContent>
                  </v:textbox>
                </v:shape>
                <v:shape id="Поле 59" o:spid="_x0000_s1125" type="#_x0000_t202" style="position:absolute;left:11055;top:13466;width:8280;height:1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IaFskA&#10;AADjAAAADwAAAGRycy9kb3ducmV2LnhtbERPS0sDMRC+C/6HMII3m3R9tKxNi/gAD75aFfQ2bsbd&#10;xc1kSabb9d8bQfA433sWq9F3aqCY2sAWphMDirgKruXawsvzzdEcVBJkh11gsvBNCVbL/b0Fli7s&#10;eE3DRmqVQziVaKER6UutU9WQxzQJPXHmPkP0KPmMtXYRdzncd7ow5kx7bDk3NNjTZUPV12brLXRv&#10;Kd59GHkfrup7eXrU29fr6YO1hwfjxTkooVH+xX/uW5fnm9nx7KQwxSn8/pQB0M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2IaFskAAADjAAAADwAAAAAAAAAAAAAAAACYAgAA&#10;ZHJzL2Rvd25yZXYueG1sUEsFBgAAAAAEAAQA9QAAAI4DA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Expenditures</w:t>
                        </w:r>
                      </w:p>
                    </w:txbxContent>
                  </v:textbox>
                </v:shape>
                <v:shape id="Поле 59" o:spid="_x0000_s1126" type="#_x0000_t202" style="position:absolute;left:9620;top:21657;width:11163;height:1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K+pccA&#10;AADcAAAADwAAAGRycy9kb3ducmV2LnhtbESPX0vDQBDE3wt+h2OFvrWXFiwSey3iH/ChrTW2oG9r&#10;bk2Cub1wt03jt/cEwcdhZn7DLNeDa1VPITaeDcymGSji0tuGKwOH18fJNagoyBZbz2TgmyKsVxej&#10;JebWn/mF+kIqlSAcczRQi3S51rGsyWGc+o44eZ8+OJQkQ6VtwHOCu1bPs2yhHTacFmrs6K6m8qs4&#10;OQPtWwybj0ze+/tqK/tnfTo+zHbGjC+H2xtQQoP8h//aT9bA/GoBv2fSEd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SvqXHAAAA3AAAAA8AAAAAAAAAAAAAAAAAmAIAAGRy&#10;cy9kb3ducmV2LnhtbFBLBQYAAAAABAAEAPUAAACMAwAAAAA=&#10;" filled="f" stroked="f" strokeweight=".5pt">
                  <v:textbox inset="0,0,0,0">
                    <w:txbxContent>
                      <w:p w:rsidR="00B56753" w:rsidRDefault="00B56753" w:rsidP="00966FB0">
                        <w:pPr>
                          <w:pStyle w:val="afc"/>
                          <w:spacing w:before="0" w:beforeAutospacing="0" w:after="0" w:afterAutospacing="0" w:line="180" w:lineRule="auto"/>
                          <w:ind w:firstLine="144"/>
                          <w:jc w:val="center"/>
                        </w:pPr>
                        <w:r>
                          <w:rPr>
                            <w:rFonts w:ascii="Garamond" w:eastAsia="Calibri" w:hAnsi="Garamond"/>
                            <w:sz w:val="20"/>
                            <w:szCs w:val="20"/>
                            <w:lang w:val="en-US"/>
                          </w:rPr>
                          <w:t>Goods and services</w:t>
                        </w:r>
                      </w:p>
                    </w:txbxContent>
                  </v:textbox>
                </v:shape>
                <v:shape id="Поле 59" o:spid="_x0000_s1127" type="#_x0000_t202" style="position:absolute;left:8223;top:25105;width:12084;height:1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tJ98MA&#10;AADcAAAADwAAAGRycy9kb3ducmV2LnhtbERPS0/CQBC+m/AfNmPCTbZwIKawEIOacADloYnexu7Q&#10;NnRnm92h1H/PHkw8fvne82XvGtVRiLVnA+NRBoq48Lbm0sDH8fXhEVQUZIuNZzLwSxGWi8HdHHPr&#10;r7yn7iClSiEcczRQibS51rGoyGEc+ZY4cScfHEqCodQ24DWFu0ZPsmyqHdacGipsaVVRcT5cnIHm&#10;K4bNTybf3XO5ld27vny+jN+MGd73TzNQQr38i//ca2tgMk3z05l0BP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ptJ98MAAADcAAAADwAAAAAAAAAAAAAAAACYAgAAZHJzL2Rv&#10;d25yZXYueG1sUEsFBgAAAAAEAAQA9QAAAIgDA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Company income </w:t>
                        </w:r>
                      </w:p>
                    </w:txbxContent>
                  </v:textbox>
                </v:shape>
                <v:shape id="Поле 59" o:spid="_x0000_s1128" type="#_x0000_t202" style="position:absolute;left:5428;top:32846;width:12288;height:13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fsbMcA&#10;AADcAAAADwAAAGRycy9kb3ducmV2LnhtbESPS2vDMBCE74X+B7GF3BrZOYTiRgmhD8gh6SNNILlt&#10;rK1taq2MtHHcf18VCj0OM/MNM1sMrlU9hdh4NpCPM1DEpbcNVwZ2H8+3d6CiIFtsPZOBb4qwmF9f&#10;zbCw/sLv1G+lUgnCsUADtUhXaB3LmhzGse+Ik/fpg0NJMlTaBrwkuGv1JMum2mHDaaHGjh5qKr+2&#10;Z2egPcSwPmVy7B+rjby96vP+KX8xZnQzLO9BCQ3yH/5rr6yByTSH3zPpCOj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nX7GzHAAAA3AAAAA8AAAAAAAAAAAAAAAAAmAIAAGRy&#10;cy9kb3ducmV2LnhtbFBLBQYAAAAABAAEAPUAAACMAw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Savings and repayments</w:t>
                        </w:r>
                      </w:p>
                    </w:txbxContent>
                  </v:textbox>
                </v:shape>
                <v:shape id="Поле 59" o:spid="_x0000_s1129" type="#_x0000_t202" style="position:absolute;left:5908;top:28794;width:12287;height:13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VyG8cA&#10;AADcAAAADwAAAGRycy9kb3ducmV2LnhtbESPS2vDMBCE74X+B7GF3Bo5PoTiRgmhD8gh6SNNILlt&#10;rK1taq2MtHHcf18VCj0OM/MNM1sMrlU9hdh4NjAZZ6CIS28brgzsPp5v70BFQbbYeiYD3xRhMb++&#10;mmFh/YXfqd9KpRKEY4EGapGu0DqWNTmMY98RJ+/TB4eSZKi0DXhJcNfqPMum2mHDaaHGjh5qKr+2&#10;Z2egPcSwPmVy7B+rjby96vP+afJizOhmWN6DEhrkP/zXXlkD+TSH3zPpCOj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FchvHAAAA3AAAAA8AAAAAAAAAAAAAAAAAmAIAAGRy&#10;cy9kb3ducmV2LnhtbFBLBQYAAAAABAAEAPUAAACMAw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Loans and withdrawals</w:t>
                        </w:r>
                      </w:p>
                    </w:txbxContent>
                  </v:textbox>
                </v:shape>
                <v:shape id="Поле 59" o:spid="_x0000_s1130" type="#_x0000_t202" style="position:absolute;left:4095;top:41974;width:11900;height:2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nXgMcA&#10;AADcAAAADwAAAGRycy9kb3ducmV2LnhtbESPX0vDQBDE3wt+h2OFvrWXVigSey3iH/ChrTW2oG9r&#10;bk2Cub1wt03jt/cEwcdhZn7DLNeDa1VPITaeDcymGSji0tuGKwOH18fJNagoyBZbz2TgmyKsVxej&#10;JebWn/mF+kIqlSAcczRQi3S51rGsyWGc+o44eZ8+OJQkQ6VtwHOCu1bPs2yhHTacFmrs6K6m8qs4&#10;OQPtWwybj0ze+/tqK/tnfTo+zHbGjC+H2xtQQoP8h//aT9bAfHEFv2fSEd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J14DHAAAA3AAAAA8AAAAAAAAAAAAAAAAAmAIAAGRy&#10;cy9kb3ducmV2LnhtbFBLBQYAAAAABAAEAPUAAACMAwAAAAA=&#10;" filled="f" stroked="f" strokeweight=".5pt">
                  <v:textbox inset="0,0,0,0">
                    <w:txbxContent>
                      <w:p w:rsidR="00B56753" w:rsidRDefault="00B56753" w:rsidP="00966FB0">
                        <w:pPr>
                          <w:pStyle w:val="afc"/>
                          <w:spacing w:before="0" w:beforeAutospacing="0" w:after="0" w:afterAutospacing="0" w:line="180" w:lineRule="auto"/>
                          <w:ind w:firstLine="144"/>
                          <w:jc w:val="center"/>
                        </w:pPr>
                        <w:r>
                          <w:rPr>
                            <w:rFonts w:ascii="Garamond" w:eastAsia="Calibri" w:hAnsi="Garamond"/>
                            <w:sz w:val="20"/>
                            <w:szCs w:val="20"/>
                            <w:lang w:val="en-US"/>
                          </w:rPr>
                          <w:t>Exports and foreign investment income</w:t>
                        </w:r>
                      </w:p>
                    </w:txbxContent>
                  </v:textbox>
                </v:shape>
                <v:shape id="Поле 59" o:spid="_x0000_s1131" type="#_x0000_t202" style="position:absolute;left:3425;top:37688;width:15240;height:1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BP9McA&#10;AADcAAAADwAAAGRycy9kb3ducmV2LnhtbESPX0vDQBDE3wt+h2OFvrWXFikSey3iH/ChrTW2oG9r&#10;bk2Cub1wt03jt/cEwcdhZn7DLNeDa1VPITaeDcymGSji0tuGKwOH18fJNagoyBZbz2TgmyKsVxej&#10;JebWn/mF+kIqlSAcczRQi3S51rGsyWGc+o44eZ8+OJQkQ6VtwHOCu1bPs2yhHTacFmrs6K6m8qs4&#10;OQPtWwybj0ze+/tqK/tnfTo+zHbGjC+H2xtQQoP8h//aT9bAfHEFv2fSEd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gT/THAAAA3AAAAA8AAAAAAAAAAAAAAAAAmAIAAGRy&#10;cy9kb3ducmV2LnhtbFBLBQYAAAAABAAEAPUAAACMAw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Goods and services exports</w:t>
                        </w:r>
                      </w:p>
                    </w:txbxContent>
                  </v:textbox>
                </v:shape>
                <v:line id="Прямая соединительная линия 266" o:spid="_x0000_s1132" style="position:absolute;flip:y;visibility:visible;mso-wrap-style:square" from="4057,10374" to="4057,13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wIUsUAAADcAAAADwAAAGRycy9kb3ducmV2LnhtbESPQWvCQBSE70L/w/IKvelGD0FSVxFB&#10;FCnFqAV7e2Rfk2D2bdhdTeqv7xYEj8PMfMPMFr1pxI2cry0rGI8SEMSF1TWXCk7H9XAKwgdkjY1l&#10;UvBLHhbzl8EMM207zul2CKWIEPYZKqhCaDMpfVGRQT+yLXH0fqwzGKJ0pdQOuwg3jZwkSSoN1hwX&#10;KmxpVVFxOVyNgl3+le7Pu/H5++PznndoNpu7Y6XeXvvlO4hAfXiGH+2tVjBJU/g/E4+A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bwIUsUAAADcAAAADwAAAAAAAAAA&#10;AAAAAAChAgAAZHJzL2Rvd25yZXYueG1sUEsFBgAAAAAEAAQA+QAAAJMDAAAAAA==&#10;" strokecolor="black [3040]">
                  <v:stroke startarrow="classic" startarrowlength="long" endarrowlength="long"/>
                </v:line>
                <v:line id="Прямая соединительная линия 267" o:spid="_x0000_s1133" style="position:absolute;flip:x;visibility:visible;mso-wrap-style:square" from="1421,10374" to="4057,10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dCQcYAAADcAAAADwAAAGRycy9kb3ducmV2LnhtbESPQWvCQBSE7wX/w/KE3upGD9rGrKKW&#10;lh5KoVHw+pJ9JsHs2yW7TeK/7xYKHoeZ+YbJtqNpRU+dbywrmM8SEMSl1Q1XCk7Ht6dnED4ga2wt&#10;k4IbedhuJg8ZptoO/E19HioRIexTVFCH4FIpfVmTQT+zjjh6F9sZDFF2ldQdDhFuWrlIkqU02HBc&#10;qNHRoabymv8YBYN0n++nw3GXu5fz1+tqX/S3tlDqcTru1iACjeEe/m9/aAWL5Qr+zsQjID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HQkHGAAAA3AAAAA8AAAAAAAAA&#10;AAAAAAAAoQIAAGRycy9kb3ducmV2LnhtbFBLBQYAAAAABAAEAPkAAACUAwAAAAA=&#10;" strokecolor="black [3040]">
                  <v:stroke startarrowlength="long" endarrowlength="long"/>
                </v:line>
                <v:shape id="Поле 59" o:spid="_x0000_s1134" type="#_x0000_t202" style="position:absolute;left:113;top:4350;width:5795;height:5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1F8cMA&#10;AADcAAAADwAAAGRycy9kb3ducmV2LnhtbERPS0/CQBC+m/AfNmPCTbZwIKawEIOacADloYnexu7Q&#10;NnRnm92h1H/PHkw8fvne82XvGtVRiLVnA+NRBoq48Lbm0sDH8fXhEVQUZIuNZzLwSxGWi8HdHHPr&#10;r7yn7iClSiEcczRQibS51rGoyGEc+ZY4cScfHEqCodQ24DWFu0ZPsmyqHdacGipsaVVRcT5cnIHm&#10;K4bNTybf3XO5ld27vny+jN+MGd73TzNQQr38i//ca2tgMk1r05l0BP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1F8cMAAADcAAAADwAAAAAAAAAAAAAAAACYAgAAZHJzL2Rv&#10;d25yZXYueG1sUEsFBgAAAAAEAAQA9QAAAIgDA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Imported inputs and semi-finished goods</w:t>
                        </w:r>
                      </w:p>
                    </w:txbxContent>
                  </v:textbox>
                </v:shape>
                <v:shape id="Поле 59" o:spid="_x0000_s1135" type="#_x0000_t202" style="position:absolute;left:21545;top:26647;width:9557;height:2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HgascA&#10;AADcAAAADwAAAGRycy9kb3ducmV2LnhtbESPT2vCQBTE74V+h+UVvNWNHqRNXUWsgof+sVahvb1m&#10;X5PQ7Nuw+4zx27uFQo/DzPyGmc5716iOQqw9GxgNM1DEhbc1lwb27+vbO1BRkC02nsnAmSLMZ9dX&#10;U8ytP/EbdTspVYJwzNFAJdLmWseiIodx6Fvi5H374FCSDKW2AU8J7ho9zrKJdlhzWqiwpWVFxc/u&#10;6Aw0HzE8fWXy2T2Wz7J91cfDavRizOCmXzyAEurlP/zX3lgD48k9/J5JR0DP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h4GrHAAAA3AAAAA8AAAAAAAAAAAAAAAAAmAIAAGRy&#10;cy9kb3ducmV2LnhtbFBLBQYAAAAABAAEAPUAAACMAw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Government taxes and borrowing</w:t>
                        </w:r>
                      </w:p>
                    </w:txbxContent>
                  </v:textbox>
                </v:shape>
                <v:shape id="Поле 59" o:spid="_x0000_s1136" type="#_x0000_t202" style="position:absolute;left:33566;top:26525;width:11080;height:2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zkxsYA&#10;AADcAAAADwAAAGRycy9kb3ducmV2LnhtbESPS2vDMBCE74X+B7GF3Bo5PqTBiRJCH9BDn2kC6W1r&#10;bWxTa2WkjeP++6oQ6HGYmW+YxWpwreopxMazgck4A0VcettwZWD78XA9AxUF2WLrmQz8UITV8vJi&#10;gYX1J36nfiOVShCOBRqoRbpC61jW5DCOfUecvIMPDiXJUGkb8JTgrtV5lk21w4bTQo0d3dZUfm+O&#10;zkC7j+HpK5PP/q56lrdXfdzdT16MGV0N6zkooUH+w+f2ozWQ3+TwdyYdAb3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zkxsYAAADcAAAADwAAAAAAAAAAAAAAAACYAgAAZHJz&#10;L2Rvd25yZXYueG1sUEsFBgAAAAAEAAQA9QAAAIsDAAAAAA==&#10;" filled="f" stroked="f" strokeweight=".5pt">
                  <v:textbox inset="0,0,0,0">
                    <w:txbxContent>
                      <w:p w:rsidR="00B56753" w:rsidRDefault="00B56753" w:rsidP="00966FB0">
                        <w:pPr>
                          <w:pStyle w:val="afc"/>
                          <w:spacing w:before="0" w:beforeAutospacing="0" w:after="0" w:afterAutospacing="0" w:line="180" w:lineRule="auto"/>
                          <w:jc w:val="center"/>
                        </w:pPr>
                        <w:r>
                          <w:rPr>
                            <w:rFonts w:ascii="Garamond" w:eastAsia="Calibri" w:hAnsi="Garamond"/>
                            <w:sz w:val="20"/>
                            <w:szCs w:val="20"/>
                            <w:lang w:val="en-US"/>
                          </w:rPr>
                          <w:t>Government savings and repayments</w:t>
                        </w:r>
                      </w:p>
                    </w:txbxContent>
                  </v:textbox>
                </v:shape>
                <v:shape id="Поле 59" o:spid="_x0000_s1137" type="#_x0000_t202" style="position:absolute;left:38093;top:44363;width:8220;height:5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BBXccA&#10;AADcAAAADwAAAGRycy9kb3ducmV2LnhtbESPQUvDQBSE74X+h+UJvbWbtqAldlukKnhQW9sKentm&#10;n0kw+zbsvqbx37uC4HGYmW+Y5bp3jeooxNqzgekkA0VceFtzaeB4uB8vQEVBtth4JgPfFGG9Gg6W&#10;mFt/5hfq9lKqBOGYo4FKpM21jkVFDuPEt8TJ+/TBoSQZSm0DnhPcNXqWZZfaYc1pocKWNhUVX/uT&#10;M9C8xfD4kcl7d1s+yW6rT69302djRhf9zTUooV7+w3/tB2tgdjWH3zPpCO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QQV3HAAAA3AAAAA8AAAAAAAAAAAAAAAAAmAIAAGRy&#10;cy9kb3ducmV2LnhtbFBLBQYAAAAABAAEAPUAAACMAwAAAAA=&#10;" filled="f" stroked="f" strokeweight=".5pt">
                  <v:textbox inset="0,0,0,0">
                    <w:txbxContent>
                      <w:p w:rsidR="00B56753" w:rsidRPr="008F30F7" w:rsidRDefault="00B56753" w:rsidP="00966FB0">
                        <w:pPr>
                          <w:pStyle w:val="afc"/>
                          <w:spacing w:before="0" w:beforeAutospacing="0" w:after="0" w:afterAutospacing="0" w:line="180" w:lineRule="auto"/>
                          <w:rPr>
                            <w:rFonts w:ascii="Garamond" w:eastAsia="Calibri" w:hAnsi="Garamond"/>
                            <w:b/>
                            <w:sz w:val="20"/>
                            <w:szCs w:val="20"/>
                            <w:lang w:val="en-US"/>
                          </w:rPr>
                        </w:pPr>
                        <w:r w:rsidRPr="008F30F7">
                          <w:rPr>
                            <w:rFonts w:ascii="Garamond" w:eastAsia="Calibri" w:hAnsi="Garamond"/>
                            <w:b/>
                            <w:sz w:val="20"/>
                            <w:szCs w:val="20"/>
                            <w:lang w:val="en-US"/>
                          </w:rPr>
                          <w:t>Notes:</w:t>
                        </w:r>
                      </w:p>
                      <w:p w:rsidR="00B56753" w:rsidRDefault="00B56753" w:rsidP="00966FB0">
                        <w:pPr>
                          <w:pStyle w:val="afc"/>
                          <w:spacing w:before="0" w:beforeAutospacing="0" w:after="0" w:afterAutospacing="0" w:line="180" w:lineRule="auto"/>
                          <w:rPr>
                            <w:rFonts w:ascii="Garamond" w:eastAsia="Calibri" w:hAnsi="Garamond"/>
                            <w:sz w:val="20"/>
                            <w:szCs w:val="20"/>
                            <w:lang w:val="en-US"/>
                          </w:rPr>
                        </w:pPr>
                      </w:p>
                      <w:p w:rsidR="00B56753" w:rsidRDefault="00B56753" w:rsidP="00966FB0">
                        <w:pPr>
                          <w:pStyle w:val="afc"/>
                          <w:spacing w:before="0" w:beforeAutospacing="0" w:after="0" w:afterAutospacing="0" w:line="180" w:lineRule="auto"/>
                          <w:rPr>
                            <w:rFonts w:ascii="Garamond" w:eastAsia="Calibri" w:hAnsi="Garamond"/>
                            <w:sz w:val="20"/>
                            <w:szCs w:val="20"/>
                            <w:lang w:val="en-US"/>
                          </w:rPr>
                        </w:pPr>
                        <w:r w:rsidRPr="008F30F7">
                          <w:rPr>
                            <w:rFonts w:ascii="Garamond" w:eastAsia="Calibri" w:hAnsi="Garamond"/>
                            <w:sz w:val="20"/>
                            <w:szCs w:val="20"/>
                            <w:lang w:val="en-US"/>
                          </w:rPr>
                          <w:t>Financial flows</w:t>
                        </w:r>
                      </w:p>
                      <w:p w:rsidR="00B56753" w:rsidRDefault="00B56753" w:rsidP="00966FB0">
                        <w:pPr>
                          <w:pStyle w:val="afc"/>
                          <w:spacing w:before="0" w:beforeAutospacing="0" w:after="0" w:afterAutospacing="0" w:line="180" w:lineRule="auto"/>
                          <w:rPr>
                            <w:rFonts w:ascii="Garamond" w:eastAsia="Calibri" w:hAnsi="Garamond"/>
                            <w:sz w:val="20"/>
                            <w:szCs w:val="20"/>
                            <w:lang w:val="en-US"/>
                          </w:rPr>
                        </w:pPr>
                      </w:p>
                      <w:p w:rsidR="00B56753" w:rsidRPr="008F30F7" w:rsidRDefault="00B56753" w:rsidP="00966FB0">
                        <w:pPr>
                          <w:pStyle w:val="afc"/>
                          <w:spacing w:before="0" w:beforeAutospacing="0" w:after="0" w:afterAutospacing="0" w:line="180" w:lineRule="auto"/>
                          <w:rPr>
                            <w:rFonts w:ascii="Garamond" w:eastAsia="Calibri" w:hAnsi="Garamond"/>
                            <w:sz w:val="20"/>
                            <w:szCs w:val="20"/>
                            <w:lang w:val="en-US"/>
                          </w:rPr>
                        </w:pPr>
                        <w:r>
                          <w:rPr>
                            <w:rFonts w:ascii="Garamond" w:eastAsia="Calibri" w:hAnsi="Garamond"/>
                            <w:sz w:val="20"/>
                            <w:szCs w:val="20"/>
                            <w:lang w:val="en-US"/>
                          </w:rPr>
                          <w:t>Capital flows</w:t>
                        </w:r>
                      </w:p>
                    </w:txbxContent>
                  </v:textbox>
                </v:shape>
                <v:line id="Прямая соединительная линия 274" o:spid="_x0000_s1138" style="position:absolute;visibility:visible;mso-wrap-style:square" from="46732,46851" to="52578,468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R+X8QAAADcAAAADwAAAGRycy9kb3ducmV2LnhtbESPUWsCMRCE3wv9D2EF32pO0VpOoxSh&#10;UBBLtaXg23JZc4eXzXlZ9fz3plDo4zAz3zDzZedrdaE2VoENDAcZKOIi2Iqdge+vt6cXUFGQLdaB&#10;ycCNIiwXjw9zzG248pYuO3EqQTjmaKAUaXKtY1GSxzgIDXHyDqH1KEm2TtsWrwnuaz3KsmftseK0&#10;UGJDq5KK4+7sDWyySpofxPXHpz87cXayOfm9Mf1e9zoDJdTJf/iv/W4NjKZj+D2Tjo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JH5fxAAAANwAAAAPAAAAAAAAAAAA&#10;AAAAAKECAABkcnMvZG93bnJldi54bWxQSwUGAAAAAAQABAD5AAAAkgMAAAAA&#10;" strokecolor="black [3040]">
                  <v:stroke dashstyle="dash" startarrowlength="long" endarrow="classic" endarrowlength="long"/>
                </v:line>
                <v:line id="Прямая соединительная линия 275" o:spid="_x0000_s1139" style="position:absolute;visibility:visible;mso-wrap-style:square" from="46732,48650" to="52574,486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Y7R8YAAADcAAAADwAAAGRycy9kb3ducmV2LnhtbESPQWvCQBSE74L/YXlCb7qpTaNEVykt&#10;RQ+9mCri7ZF9Jttm34bsVuO/dwuFHoeZ+YZZrnvbiAt13jhW8DhJQBCXThuuFOw/38dzED4ga2wc&#10;k4IbeVivhoMl5tpdeUeXIlQiQtjnqKAOoc2l9GVNFv3EtcTRO7vOYoiyq6Tu8BrhtpHTJMmkRcNx&#10;ocaWXmsqv4sfq+BjY1Jv2qo5HWb7NDt+Hefl25NSD6P+ZQEiUB/+w3/trVYwnT3D75l4BOTq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JGO0fGAAAA3AAAAA8AAAAAAAAA&#10;AAAAAAAAoQIAAGRycy9kb3ducmV2LnhtbFBLBQYAAAAABAAEAPkAAACUAwAAAAA=&#10;" strokecolor="black [3040]">
                  <v:stroke startarrowlength="long" endarrow="classic" endarrowlength="long"/>
                </v:line>
                <w10:anchorlock/>
              </v:group>
            </w:pict>
          </mc:Fallback>
        </mc:AlternateContent>
      </w:r>
    </w:p>
    <w:p w14:paraId="02A8EBF3" w14:textId="77777777" w:rsidR="00966FB0" w:rsidRPr="00520F9B" w:rsidRDefault="00966FB0" w:rsidP="00520F9B">
      <w:pPr>
        <w:spacing w:line="312" w:lineRule="auto"/>
        <w:ind w:firstLine="357"/>
        <w:contextualSpacing/>
        <w:jc w:val="center"/>
        <w:rPr>
          <w:sz w:val="32"/>
          <w:lang w:val="en-US" w:bidi="ru-RU"/>
        </w:rPr>
      </w:pPr>
      <w:r w:rsidRPr="00966FB0">
        <w:rPr>
          <w:b/>
          <w:sz w:val="28"/>
          <w:lang w:val="en-US"/>
        </w:rPr>
        <w:t>Figure 6.1</w:t>
      </w:r>
      <w:r w:rsidR="007031BC">
        <w:rPr>
          <w:b/>
          <w:sz w:val="28"/>
          <w:lang w:val="en-US"/>
        </w:rPr>
        <w:t xml:space="preserve"> –</w:t>
      </w:r>
      <w:r w:rsidRPr="00966FB0">
        <w:rPr>
          <w:b/>
          <w:sz w:val="28"/>
          <w:lang w:val="en-US"/>
        </w:rPr>
        <w:t xml:space="preserve"> Role of household finance</w:t>
      </w:r>
    </w:p>
    <w:p w14:paraId="257078B5" w14:textId="77777777" w:rsidR="003C51B1" w:rsidRPr="00764FEA" w:rsidRDefault="003C51B1" w:rsidP="007031BC">
      <w:pPr>
        <w:spacing w:line="312" w:lineRule="auto"/>
        <w:ind w:firstLine="709"/>
        <w:contextualSpacing/>
        <w:jc w:val="both"/>
        <w:rPr>
          <w:sz w:val="28"/>
          <w:lang w:val="en-US" w:bidi="ru-RU"/>
        </w:rPr>
      </w:pPr>
      <w:r w:rsidRPr="00764FEA">
        <w:rPr>
          <w:sz w:val="28"/>
          <w:lang w:val="en-US" w:bidi="ru-RU"/>
        </w:rPr>
        <w:lastRenderedPageBreak/>
        <w:t xml:space="preserve">The primary economic function of households is to </w:t>
      </w:r>
      <w:r w:rsidRPr="00966FB0">
        <w:rPr>
          <w:b/>
          <w:sz w:val="28"/>
          <w:lang w:val="en-US" w:bidi="ru-RU"/>
        </w:rPr>
        <w:t>supply domestic firms with needed factors of production</w:t>
      </w:r>
      <w:r w:rsidRPr="00764FEA">
        <w:rPr>
          <w:sz w:val="28"/>
          <w:lang w:val="en-US" w:bidi="ru-RU"/>
        </w:rPr>
        <w:t xml:space="preserve"> </w:t>
      </w:r>
      <w:r w:rsidR="009A054F">
        <w:rPr>
          <w:sz w:val="28"/>
          <w:lang w:val="en-US" w:bidi="ru-RU"/>
        </w:rPr>
        <w:t xml:space="preserve">– </w:t>
      </w:r>
      <w:r w:rsidRPr="00764FEA">
        <w:rPr>
          <w:sz w:val="28"/>
          <w:lang w:val="en-US" w:bidi="ru-RU"/>
        </w:rPr>
        <w:t>human capital, real capital, enterprise</w:t>
      </w:r>
      <w:r w:rsidR="009A054F">
        <w:rPr>
          <w:sz w:val="28"/>
          <w:lang w:val="en-US" w:bidi="ru-RU"/>
        </w:rPr>
        <w:t>,</w:t>
      </w:r>
      <w:r w:rsidRPr="00764FEA">
        <w:rPr>
          <w:sz w:val="28"/>
          <w:lang w:val="en-US" w:bidi="ru-RU"/>
        </w:rPr>
        <w:t xml:space="preserve"> and other resources. The factors are supplied by factor owners in return for a reward. According to the Theory of Household Production</w:t>
      </w:r>
      <w:r w:rsidR="009A054F">
        <w:rPr>
          <w:sz w:val="28"/>
          <w:lang w:val="en-US" w:bidi="ru-RU"/>
        </w:rPr>
        <w:t>,</w:t>
      </w:r>
      <w:r w:rsidRPr="00764FEA">
        <w:rPr>
          <w:sz w:val="28"/>
          <w:lang w:val="en-US" w:bidi="ru-RU"/>
        </w:rPr>
        <w:t xml:space="preserve"> households also act as </w:t>
      </w:r>
      <w:r w:rsidRPr="00966FB0">
        <w:rPr>
          <w:b/>
          <w:sz w:val="28"/>
          <w:lang w:val="en-US" w:bidi="ru-RU"/>
        </w:rPr>
        <w:t>producers of goods and services</w:t>
      </w:r>
      <w:r w:rsidR="009A054F">
        <w:rPr>
          <w:sz w:val="28"/>
          <w:lang w:val="en-US" w:bidi="ru-RU"/>
        </w:rPr>
        <w:t xml:space="preserve"> (agricultural products, repair</w:t>
      </w:r>
      <w:r w:rsidRPr="00764FEA">
        <w:rPr>
          <w:sz w:val="28"/>
          <w:lang w:val="en-US" w:bidi="ru-RU"/>
        </w:rPr>
        <w:t xml:space="preserve"> and other services, </w:t>
      </w:r>
      <w:r w:rsidR="009A054F">
        <w:rPr>
          <w:sz w:val="28"/>
          <w:lang w:val="en-US" w:bidi="ru-RU"/>
        </w:rPr>
        <w:t xml:space="preserve">and </w:t>
      </w:r>
      <w:r w:rsidRPr="00764FEA">
        <w:rPr>
          <w:sz w:val="28"/>
          <w:lang w:val="en-US" w:bidi="ru-RU"/>
        </w:rPr>
        <w:t>family business</w:t>
      </w:r>
      <w:r w:rsidR="009A054F">
        <w:rPr>
          <w:sz w:val="28"/>
          <w:lang w:val="en-US" w:bidi="ru-RU"/>
        </w:rPr>
        <w:t>es</w:t>
      </w:r>
      <w:r w:rsidRPr="00764FEA">
        <w:rPr>
          <w:sz w:val="28"/>
          <w:lang w:val="en-US" w:bidi="ru-RU"/>
        </w:rPr>
        <w:t>) using their own labor and capital. In many cases the market and the household are in direct competition, produ</w:t>
      </w:r>
      <w:r w:rsidR="00966FB0">
        <w:rPr>
          <w:sz w:val="28"/>
          <w:lang w:val="en-US" w:bidi="ru-RU"/>
        </w:rPr>
        <w:t>cing identical or similar goods/</w:t>
      </w:r>
      <w:r w:rsidRPr="00764FEA">
        <w:rPr>
          <w:sz w:val="28"/>
          <w:lang w:val="en-US" w:bidi="ru-RU"/>
        </w:rPr>
        <w:t xml:space="preserve">services. </w:t>
      </w:r>
      <w:r w:rsidRPr="00966FB0">
        <w:rPr>
          <w:b/>
          <w:sz w:val="28"/>
          <w:lang w:val="en-US" w:bidi="ru-RU"/>
        </w:rPr>
        <w:t>Consumption function</w:t>
      </w:r>
      <w:r w:rsidRPr="00764FEA">
        <w:rPr>
          <w:sz w:val="28"/>
          <w:lang w:val="en-US" w:bidi="ru-RU"/>
        </w:rPr>
        <w:t xml:space="preserve"> arises from the fact that households are main consumers of goods and services in the market. Consumption theory is often predicated on the idea of diminishing marginal utility. However household consumption</w:t>
      </w:r>
      <w:r w:rsidR="009A054F">
        <w:rPr>
          <w:sz w:val="28"/>
          <w:lang w:val="en-US" w:bidi="ru-RU"/>
        </w:rPr>
        <w:t xml:space="preserve"> is</w:t>
      </w:r>
      <w:r w:rsidRPr="00764FEA">
        <w:rPr>
          <w:sz w:val="28"/>
          <w:lang w:val="en-US" w:bidi="ru-RU"/>
        </w:rPr>
        <w:t xml:space="preserve"> influenced by different factors, such as income, wealth, expectations about the level and riskiness of future income or wealth, attitude toward risk, interest rates, age, education, family size, </w:t>
      </w:r>
      <w:r w:rsidR="009A054F">
        <w:rPr>
          <w:sz w:val="28"/>
          <w:lang w:val="en-US" w:bidi="ru-RU"/>
        </w:rPr>
        <w:t xml:space="preserve">and </w:t>
      </w:r>
      <w:r w:rsidRPr="00764FEA">
        <w:rPr>
          <w:sz w:val="28"/>
          <w:lang w:val="en-US" w:bidi="ru-RU"/>
        </w:rPr>
        <w:t>consumer’s preferences.</w:t>
      </w:r>
      <w:r w:rsidR="00966FB0">
        <w:rPr>
          <w:sz w:val="28"/>
          <w:lang w:val="en-US" w:bidi="ru-RU"/>
        </w:rPr>
        <w:t xml:space="preserve"> </w:t>
      </w:r>
      <w:r w:rsidRPr="00764FEA">
        <w:rPr>
          <w:sz w:val="28"/>
          <w:lang w:val="en-US" w:bidi="ru-RU"/>
        </w:rPr>
        <w:t xml:space="preserve">The part of households income that is not spent on current consumption remains saved. The relationship between income and savings reflect in </w:t>
      </w:r>
      <w:r w:rsidRPr="00966FB0">
        <w:rPr>
          <w:b/>
          <w:sz w:val="28"/>
          <w:lang w:val="en-US" w:bidi="ru-RU"/>
        </w:rPr>
        <w:t>saving (investing) function of households</w:t>
      </w:r>
      <w:r w:rsidRPr="00764FEA">
        <w:rPr>
          <w:sz w:val="28"/>
          <w:lang w:val="en-US" w:bidi="ru-RU"/>
        </w:rPr>
        <w:t xml:space="preserve">. </w:t>
      </w:r>
    </w:p>
    <w:p w14:paraId="66D390C5" w14:textId="77777777" w:rsidR="003C51B1" w:rsidRPr="00764FEA" w:rsidRDefault="003C51B1" w:rsidP="007031BC">
      <w:pPr>
        <w:spacing w:line="312" w:lineRule="auto"/>
        <w:ind w:firstLine="709"/>
        <w:contextualSpacing/>
        <w:jc w:val="both"/>
        <w:rPr>
          <w:sz w:val="28"/>
          <w:lang w:val="en-US" w:bidi="ru-RU"/>
        </w:rPr>
      </w:pPr>
      <w:r w:rsidRPr="00764FEA">
        <w:rPr>
          <w:sz w:val="28"/>
          <w:lang w:val="en-US" w:bidi="ru-RU"/>
        </w:rPr>
        <w:t xml:space="preserve">Household finance refers to the management of money and financial decisions for a person or family including budgeting, investments, retirement planning, and investments. Households make their own decisions about their own sources of income, necessity and ways to generate funds, their size, and use. Household finance has many special features that give the field its character and organized on the basis of </w:t>
      </w:r>
      <w:r w:rsidR="009A054F">
        <w:rPr>
          <w:sz w:val="28"/>
          <w:lang w:val="en-US" w:bidi="ru-RU"/>
        </w:rPr>
        <w:t xml:space="preserve">the </w:t>
      </w:r>
      <w:r w:rsidRPr="00764FEA">
        <w:rPr>
          <w:sz w:val="28"/>
          <w:lang w:val="en-US" w:bidi="ru-RU"/>
        </w:rPr>
        <w:t xml:space="preserve">following </w:t>
      </w:r>
      <w:r w:rsidRPr="00966FB0">
        <w:rPr>
          <w:b/>
          <w:sz w:val="28"/>
          <w:lang w:val="en-US" w:bidi="ru-RU"/>
        </w:rPr>
        <w:t>principles</w:t>
      </w:r>
      <w:r w:rsidRPr="00764FEA">
        <w:rPr>
          <w:sz w:val="28"/>
          <w:lang w:val="en-US" w:bidi="ru-RU"/>
        </w:rPr>
        <w:t>:</w:t>
      </w:r>
    </w:p>
    <w:p w14:paraId="5D65BE51" w14:textId="77777777" w:rsidR="003C51B1" w:rsidRPr="00966FB0" w:rsidRDefault="003C51B1" w:rsidP="006F749C">
      <w:pPr>
        <w:pStyle w:val="ListParagraph"/>
        <w:numPr>
          <w:ilvl w:val="0"/>
          <w:numId w:val="147"/>
        </w:numPr>
        <w:spacing w:after="0" w:line="312" w:lineRule="auto"/>
        <w:ind w:left="709" w:firstLine="0"/>
        <w:jc w:val="both"/>
        <w:rPr>
          <w:rFonts w:ascii="Garamond" w:eastAsia="Times New Roman" w:hAnsi="Garamond"/>
          <w:lang w:val="en-US" w:bidi="ru-RU"/>
        </w:rPr>
      </w:pPr>
      <w:r w:rsidRPr="00966FB0">
        <w:rPr>
          <w:rFonts w:ascii="Garamond" w:hAnsi="Garamond"/>
          <w:lang w:val="en-US" w:bidi="ru-RU"/>
        </w:rPr>
        <w:t>the principle of full independence;</w:t>
      </w:r>
    </w:p>
    <w:p w14:paraId="234300B8" w14:textId="77777777" w:rsidR="003C51B1" w:rsidRPr="00966FB0" w:rsidRDefault="003C51B1" w:rsidP="006F749C">
      <w:pPr>
        <w:pStyle w:val="ListParagraph"/>
        <w:numPr>
          <w:ilvl w:val="0"/>
          <w:numId w:val="147"/>
        </w:numPr>
        <w:spacing w:after="0" w:line="312" w:lineRule="auto"/>
        <w:ind w:left="709" w:firstLine="0"/>
        <w:jc w:val="both"/>
        <w:rPr>
          <w:rFonts w:ascii="Garamond" w:eastAsia="Times New Roman" w:hAnsi="Garamond"/>
          <w:lang w:val="en-US" w:bidi="ru-RU"/>
        </w:rPr>
      </w:pPr>
      <w:r w:rsidRPr="00966FB0">
        <w:rPr>
          <w:rFonts w:ascii="Garamond" w:hAnsi="Garamond"/>
          <w:lang w:val="en-US" w:bidi="ru-RU"/>
        </w:rPr>
        <w:t>financial self-sufficiency in the reproduction process;</w:t>
      </w:r>
    </w:p>
    <w:p w14:paraId="5C7F5DC5" w14:textId="77777777" w:rsidR="003C51B1" w:rsidRPr="00966FB0" w:rsidRDefault="003C51B1" w:rsidP="006F749C">
      <w:pPr>
        <w:pStyle w:val="ListParagraph"/>
        <w:numPr>
          <w:ilvl w:val="0"/>
          <w:numId w:val="147"/>
        </w:numPr>
        <w:spacing w:after="0" w:line="312" w:lineRule="auto"/>
        <w:ind w:left="709" w:firstLine="0"/>
        <w:jc w:val="both"/>
        <w:rPr>
          <w:rFonts w:ascii="Garamond" w:eastAsia="Times New Roman" w:hAnsi="Garamond"/>
          <w:lang w:val="en-US" w:bidi="ru-RU"/>
        </w:rPr>
      </w:pPr>
      <w:r w:rsidRPr="00966FB0">
        <w:rPr>
          <w:rFonts w:ascii="Garamond" w:hAnsi="Garamond"/>
          <w:lang w:val="en-US" w:bidi="ru-RU"/>
        </w:rPr>
        <w:t>financial planning of household budgets;</w:t>
      </w:r>
    </w:p>
    <w:p w14:paraId="1D3D40FC" w14:textId="77777777" w:rsidR="003C51B1" w:rsidRPr="00966FB0" w:rsidRDefault="003C51B1" w:rsidP="006F749C">
      <w:pPr>
        <w:pStyle w:val="ListParagraph"/>
        <w:numPr>
          <w:ilvl w:val="0"/>
          <w:numId w:val="147"/>
        </w:numPr>
        <w:spacing w:after="0" w:line="312" w:lineRule="auto"/>
        <w:ind w:left="709" w:firstLine="0"/>
        <w:jc w:val="both"/>
        <w:rPr>
          <w:rFonts w:ascii="Garamond" w:eastAsia="Times New Roman" w:hAnsi="Garamond"/>
          <w:lang w:val="en-US" w:bidi="ru-RU"/>
        </w:rPr>
      </w:pPr>
      <w:r w:rsidRPr="00966FB0">
        <w:rPr>
          <w:rFonts w:ascii="Garamond" w:hAnsi="Garamond"/>
          <w:lang w:val="en-US" w:bidi="ru-RU"/>
        </w:rPr>
        <w:t>division of financial resources on equity and borrowed funds;</w:t>
      </w:r>
    </w:p>
    <w:p w14:paraId="51F2C509" w14:textId="77777777" w:rsidR="003C51B1" w:rsidRPr="00966FB0" w:rsidRDefault="003C51B1" w:rsidP="006F749C">
      <w:pPr>
        <w:pStyle w:val="ListParagraph"/>
        <w:numPr>
          <w:ilvl w:val="0"/>
          <w:numId w:val="147"/>
        </w:numPr>
        <w:spacing w:after="0" w:line="312" w:lineRule="auto"/>
        <w:ind w:left="709" w:firstLine="0"/>
        <w:jc w:val="both"/>
        <w:rPr>
          <w:rFonts w:ascii="Garamond" w:eastAsia="Times New Roman" w:hAnsi="Garamond"/>
          <w:lang w:val="en-US" w:bidi="ru-RU"/>
        </w:rPr>
      </w:pPr>
      <w:r w:rsidRPr="00966FB0">
        <w:rPr>
          <w:rFonts w:ascii="Garamond" w:hAnsi="Garamond"/>
          <w:lang w:val="en-US" w:bidi="ru-RU"/>
        </w:rPr>
        <w:t>differentiation of main and investment activity;</w:t>
      </w:r>
    </w:p>
    <w:p w14:paraId="697DBAAA" w14:textId="77777777" w:rsidR="003C51B1" w:rsidRPr="00966FB0" w:rsidRDefault="003C51B1" w:rsidP="006F749C">
      <w:pPr>
        <w:pStyle w:val="ListParagraph"/>
        <w:numPr>
          <w:ilvl w:val="0"/>
          <w:numId w:val="147"/>
        </w:numPr>
        <w:spacing w:after="0" w:line="312" w:lineRule="auto"/>
        <w:ind w:left="709" w:firstLine="0"/>
        <w:jc w:val="both"/>
        <w:rPr>
          <w:rFonts w:ascii="Garamond" w:eastAsia="Times New Roman" w:hAnsi="Garamond"/>
          <w:lang w:val="en-US" w:bidi="ru-RU"/>
        </w:rPr>
      </w:pPr>
      <w:r w:rsidRPr="00966FB0">
        <w:rPr>
          <w:rFonts w:ascii="Garamond" w:hAnsi="Garamond"/>
          <w:lang w:val="en-US" w:bidi="ru-RU"/>
        </w:rPr>
        <w:t>the principle of material interest;</w:t>
      </w:r>
    </w:p>
    <w:p w14:paraId="176F0824" w14:textId="77777777" w:rsidR="003C51B1" w:rsidRPr="00966FB0" w:rsidRDefault="003C51B1" w:rsidP="006F749C">
      <w:pPr>
        <w:pStyle w:val="ListParagraph"/>
        <w:numPr>
          <w:ilvl w:val="0"/>
          <w:numId w:val="147"/>
        </w:numPr>
        <w:spacing w:after="0" w:line="312" w:lineRule="auto"/>
        <w:ind w:left="709" w:firstLine="0"/>
        <w:jc w:val="both"/>
        <w:rPr>
          <w:rFonts w:ascii="Garamond" w:eastAsia="Times New Roman" w:hAnsi="Garamond"/>
          <w:lang w:val="en-US" w:bidi="ru-RU"/>
        </w:rPr>
      </w:pPr>
      <w:r w:rsidRPr="00966FB0">
        <w:rPr>
          <w:rFonts w:ascii="Garamond" w:hAnsi="Garamond"/>
          <w:lang w:val="en-US" w:bidi="ru-RU"/>
        </w:rPr>
        <w:t>internal financial discipline;</w:t>
      </w:r>
    </w:p>
    <w:p w14:paraId="199814A3" w14:textId="77777777" w:rsidR="003C51B1" w:rsidRPr="00966FB0" w:rsidRDefault="003C51B1" w:rsidP="006F749C">
      <w:pPr>
        <w:pStyle w:val="ListParagraph"/>
        <w:numPr>
          <w:ilvl w:val="0"/>
          <w:numId w:val="147"/>
        </w:numPr>
        <w:spacing w:after="0" w:line="312" w:lineRule="auto"/>
        <w:ind w:left="709" w:firstLine="0"/>
        <w:jc w:val="both"/>
        <w:rPr>
          <w:rFonts w:ascii="Garamond" w:eastAsia="Times New Roman" w:hAnsi="Garamond"/>
          <w:lang w:val="en-US" w:bidi="ru-RU"/>
        </w:rPr>
      </w:pPr>
      <w:r w:rsidRPr="00966FB0">
        <w:rPr>
          <w:rFonts w:ascii="Garamond" w:hAnsi="Garamond"/>
          <w:lang w:val="en-US" w:bidi="ru-RU"/>
        </w:rPr>
        <w:t>formation of reserve funds.</w:t>
      </w:r>
    </w:p>
    <w:p w14:paraId="7A5C7698" w14:textId="77777777" w:rsidR="003C51B1" w:rsidRPr="00764FEA" w:rsidRDefault="003C51B1" w:rsidP="007031BC">
      <w:pPr>
        <w:spacing w:line="312" w:lineRule="auto"/>
        <w:ind w:firstLine="709"/>
        <w:contextualSpacing/>
        <w:jc w:val="both"/>
        <w:rPr>
          <w:sz w:val="28"/>
          <w:lang w:val="en-US" w:bidi="ru-RU"/>
        </w:rPr>
      </w:pPr>
      <w:r w:rsidRPr="00966FB0">
        <w:rPr>
          <w:b/>
          <w:sz w:val="28"/>
          <w:lang w:val="en-US" w:bidi="ru-RU"/>
        </w:rPr>
        <w:t>Specificity of household finances</w:t>
      </w:r>
      <w:r w:rsidRPr="00764FEA">
        <w:rPr>
          <w:sz w:val="28"/>
          <w:lang w:val="en-US" w:bidi="ru-RU"/>
        </w:rPr>
        <w:t xml:space="preserve"> is that this area of financial relations </w:t>
      </w:r>
      <w:r w:rsidR="009A054F">
        <w:rPr>
          <w:sz w:val="28"/>
          <w:lang w:val="en-US" w:bidi="ru-RU"/>
        </w:rPr>
        <w:t xml:space="preserve">is </w:t>
      </w:r>
      <w:r w:rsidRPr="00764FEA">
        <w:rPr>
          <w:sz w:val="28"/>
          <w:lang w:val="en-US" w:bidi="ru-RU"/>
        </w:rPr>
        <w:t xml:space="preserve">indirectly affected by the state, using various methods of tax and budget (fiscal) policy. </w:t>
      </w:r>
      <w:r w:rsidRPr="00966FB0">
        <w:rPr>
          <w:b/>
          <w:sz w:val="28"/>
          <w:lang w:val="en-US" w:bidi="ru-RU"/>
        </w:rPr>
        <w:t>Socio-economic nature of household finances</w:t>
      </w:r>
      <w:r w:rsidRPr="00764FEA">
        <w:rPr>
          <w:sz w:val="28"/>
          <w:lang w:val="en-US" w:bidi="ru-RU"/>
        </w:rPr>
        <w:t xml:space="preserve"> is manifested in connection with their </w:t>
      </w:r>
      <w:r w:rsidRPr="00966FB0">
        <w:rPr>
          <w:b/>
          <w:sz w:val="28"/>
          <w:lang w:val="en-US" w:bidi="ru-RU"/>
        </w:rPr>
        <w:t>functions</w:t>
      </w:r>
      <w:r w:rsidRPr="00764FEA">
        <w:rPr>
          <w:sz w:val="28"/>
          <w:lang w:val="en-US" w:bidi="ru-RU"/>
        </w:rPr>
        <w:t>: (i) formation of resources; (ii) distribution; (iii) playback; (iv) regulation; (v) investment; (vi) consolidation;</w:t>
      </w:r>
      <w:r w:rsidR="009A054F">
        <w:rPr>
          <w:sz w:val="28"/>
          <w:lang w:val="en-US" w:bidi="ru-RU"/>
        </w:rPr>
        <w:t xml:space="preserve"> and</w:t>
      </w:r>
      <w:r w:rsidRPr="00764FEA">
        <w:rPr>
          <w:sz w:val="28"/>
          <w:lang w:val="en-US" w:bidi="ru-RU"/>
        </w:rPr>
        <w:t xml:space="preserve"> (vii) control. </w:t>
      </w:r>
    </w:p>
    <w:p w14:paraId="483EAD10" w14:textId="77777777" w:rsidR="003C51B1" w:rsidRPr="00764FEA" w:rsidRDefault="003C51B1" w:rsidP="007031BC">
      <w:pPr>
        <w:spacing w:line="312" w:lineRule="auto"/>
        <w:ind w:firstLine="709"/>
        <w:contextualSpacing/>
        <w:jc w:val="both"/>
        <w:rPr>
          <w:sz w:val="28"/>
          <w:lang w:val="en-US" w:bidi="ru-RU"/>
        </w:rPr>
      </w:pPr>
      <w:r w:rsidRPr="00966FB0">
        <w:rPr>
          <w:b/>
          <w:sz w:val="28"/>
          <w:lang w:val="en-US" w:bidi="ru-RU"/>
        </w:rPr>
        <w:lastRenderedPageBreak/>
        <w:t>Evaluation of the households' financial resources</w:t>
      </w:r>
      <w:r w:rsidRPr="00764FEA">
        <w:rPr>
          <w:sz w:val="28"/>
          <w:lang w:val="en-US" w:bidi="ru-RU"/>
        </w:rPr>
        <w:t xml:space="preserve"> is conducted through </w:t>
      </w:r>
      <w:r w:rsidR="009A054F" w:rsidRPr="00764FEA">
        <w:rPr>
          <w:sz w:val="28"/>
          <w:lang w:val="en-US" w:bidi="ru-RU"/>
        </w:rPr>
        <w:t>analysis</w:t>
      </w:r>
      <w:r w:rsidRPr="00764FEA">
        <w:rPr>
          <w:sz w:val="28"/>
          <w:lang w:val="en-US" w:bidi="ru-RU"/>
        </w:rPr>
        <w:t xml:space="preserve"> of material living standards indicators</w:t>
      </w:r>
      <w:r w:rsidR="009A054F">
        <w:rPr>
          <w:sz w:val="28"/>
          <w:lang w:val="en-US" w:bidi="ru-RU"/>
        </w:rPr>
        <w:t xml:space="preserve"> and</w:t>
      </w:r>
      <w:r w:rsidRPr="00764FEA">
        <w:rPr>
          <w:sz w:val="28"/>
          <w:lang w:val="en-US" w:bidi="ru-RU"/>
        </w:rPr>
        <w:t xml:space="preserve"> an assessment</w:t>
      </w:r>
      <w:r w:rsidR="009A054F">
        <w:rPr>
          <w:sz w:val="28"/>
          <w:lang w:val="en-US" w:bidi="ru-RU"/>
        </w:rPr>
        <w:t xml:space="preserve"> of</w:t>
      </w:r>
      <w:r w:rsidRPr="00764FEA">
        <w:rPr>
          <w:sz w:val="28"/>
          <w:lang w:val="en-US" w:bidi="ru-RU"/>
        </w:rPr>
        <w:t xml:space="preserve"> the financial condition and general well-being. </w:t>
      </w:r>
    </w:p>
    <w:p w14:paraId="278224CB" w14:textId="77777777" w:rsidR="003C51B1" w:rsidRPr="00966FB0" w:rsidRDefault="003C51B1" w:rsidP="007031BC">
      <w:pPr>
        <w:spacing w:line="312" w:lineRule="auto"/>
        <w:ind w:firstLine="709"/>
        <w:contextualSpacing/>
        <w:jc w:val="both"/>
        <w:rPr>
          <w:rFonts w:eastAsia="Calibri"/>
          <w:sz w:val="28"/>
          <w:lang w:val="en-US" w:bidi="ru-RU"/>
        </w:rPr>
      </w:pPr>
      <w:r w:rsidRPr="00764FEA">
        <w:rPr>
          <w:sz w:val="28"/>
          <w:lang w:val="en-US" w:bidi="ru-RU"/>
        </w:rPr>
        <w:t xml:space="preserve">The latest financial research studies consider that </w:t>
      </w:r>
      <w:r w:rsidRPr="00966FB0">
        <w:rPr>
          <w:b/>
          <w:sz w:val="28"/>
          <w:lang w:val="en-US" w:bidi="ru-RU"/>
        </w:rPr>
        <w:t xml:space="preserve">well-being </w:t>
      </w:r>
      <w:r w:rsidRPr="00764FEA">
        <w:rPr>
          <w:sz w:val="28"/>
          <w:lang w:val="en-US" w:bidi="ru-RU"/>
        </w:rPr>
        <w:t xml:space="preserve">consists of more than a simple measure of material circumstances. </w:t>
      </w:r>
      <w:r w:rsidR="00966FB0" w:rsidRPr="00764FEA">
        <w:rPr>
          <w:sz w:val="28"/>
          <w:lang w:val="en-US" w:bidi="ru-RU"/>
        </w:rPr>
        <w:t>Organization</w:t>
      </w:r>
      <w:r w:rsidR="009A054F">
        <w:rPr>
          <w:sz w:val="28"/>
          <w:lang w:val="en-US" w:bidi="ru-RU"/>
        </w:rPr>
        <w:t xml:space="preserve"> for Economic Co</w:t>
      </w:r>
      <w:r w:rsidRPr="00764FEA">
        <w:rPr>
          <w:sz w:val="28"/>
          <w:lang w:val="en-US" w:bidi="ru-RU"/>
        </w:rPr>
        <w:t>operation and Development (OECD)</w:t>
      </w:r>
      <w:r w:rsidR="009A054F">
        <w:rPr>
          <w:sz w:val="28"/>
          <w:lang w:val="en-US" w:bidi="ru-RU"/>
        </w:rPr>
        <w:t>,</w:t>
      </w:r>
      <w:r w:rsidRPr="00764FEA">
        <w:rPr>
          <w:sz w:val="28"/>
          <w:lang w:val="en-US" w:bidi="ru-RU"/>
        </w:rPr>
        <w:t xml:space="preserve"> in 2011 report</w:t>
      </w:r>
      <w:r w:rsidR="009A054F">
        <w:rPr>
          <w:sz w:val="28"/>
          <w:lang w:val="en-US" w:bidi="ru-RU"/>
        </w:rPr>
        <w:t>,</w:t>
      </w:r>
      <w:r w:rsidRPr="00764FEA">
        <w:rPr>
          <w:sz w:val="28"/>
          <w:lang w:val="en-US" w:bidi="ru-RU"/>
        </w:rPr>
        <w:t xml:space="preserve"> states that since </w:t>
      </w:r>
      <w:r w:rsidRPr="00966FB0">
        <w:rPr>
          <w:b/>
          <w:sz w:val="28"/>
          <w:lang w:val="en-US" w:bidi="ru-RU"/>
        </w:rPr>
        <w:t>well-being</w:t>
      </w:r>
      <w:r w:rsidRPr="00764FEA">
        <w:rPr>
          <w:sz w:val="28"/>
          <w:lang w:val="en-US" w:bidi="ru-RU"/>
        </w:rPr>
        <w:t xml:space="preserve"> is a complex concept that consist of a large number of determinants that are strongly</w:t>
      </w:r>
      <w:r w:rsidR="009A054F">
        <w:rPr>
          <w:sz w:val="28"/>
          <w:lang w:val="en-US" w:bidi="ru-RU"/>
        </w:rPr>
        <w:t xml:space="preserve"> correlated with each other; it</w:t>
      </w:r>
      <w:r w:rsidRPr="00764FEA">
        <w:rPr>
          <w:sz w:val="28"/>
          <w:lang w:val="en-US" w:bidi="ru-RU"/>
        </w:rPr>
        <w:t>s assessing should be made with a comprehensive framework that allows identification</w:t>
      </w:r>
      <w:r w:rsidR="009A054F">
        <w:rPr>
          <w:sz w:val="28"/>
          <w:lang w:val="en-US" w:bidi="ru-RU"/>
        </w:rPr>
        <w:t xml:space="preserve"> of</w:t>
      </w:r>
      <w:r w:rsidRPr="00764FEA">
        <w:rPr>
          <w:sz w:val="28"/>
          <w:lang w:val="en-US" w:bidi="ru-RU"/>
        </w:rPr>
        <w:t xml:space="preserve"> how interrelations of well-being com</w:t>
      </w:r>
      <w:r w:rsidR="009A054F">
        <w:rPr>
          <w:sz w:val="28"/>
          <w:lang w:val="en-US" w:bidi="ru-RU"/>
        </w:rPr>
        <w:t>ponents shape</w:t>
      </w:r>
      <w:r w:rsidRPr="00764FEA">
        <w:rPr>
          <w:sz w:val="28"/>
          <w:lang w:val="en-US" w:bidi="ru-RU"/>
        </w:rPr>
        <w:t xml:space="preserve"> household</w:t>
      </w:r>
      <w:r w:rsidR="009A054F" w:rsidRPr="00764FEA">
        <w:rPr>
          <w:sz w:val="28"/>
          <w:lang w:val="en-US" w:bidi="ru-RU"/>
        </w:rPr>
        <w:t>s</w:t>
      </w:r>
      <w:r w:rsidRPr="00764FEA">
        <w:rPr>
          <w:sz w:val="28"/>
          <w:lang w:val="en-US" w:bidi="ru-RU"/>
        </w:rPr>
        <w:t>’ lives. The OECD’s Better Life Initiative</w:t>
      </w:r>
      <w:r w:rsidR="009A054F">
        <w:rPr>
          <w:sz w:val="28"/>
          <w:lang w:val="en-US" w:bidi="ru-RU"/>
        </w:rPr>
        <w:t>,</w:t>
      </w:r>
      <w:r w:rsidRPr="00764FEA">
        <w:rPr>
          <w:sz w:val="28"/>
          <w:lang w:val="en-US" w:bidi="ru-RU"/>
        </w:rPr>
        <w:t xml:space="preserve"> based on multi-dimensional approach</w:t>
      </w:r>
      <w:r w:rsidR="009A054F">
        <w:rPr>
          <w:sz w:val="28"/>
          <w:lang w:val="en-US" w:bidi="ru-RU"/>
        </w:rPr>
        <w:t>,</w:t>
      </w:r>
      <w:r w:rsidRPr="00764FEA">
        <w:rPr>
          <w:sz w:val="28"/>
          <w:lang w:val="en-US" w:bidi="ru-RU"/>
        </w:rPr>
        <w:t xml:space="preserve"> determinates </w:t>
      </w:r>
      <w:r w:rsidRPr="00966FB0">
        <w:rPr>
          <w:b/>
          <w:sz w:val="28"/>
          <w:lang w:val="en-US" w:bidi="ru-RU"/>
        </w:rPr>
        <w:t>three main components for understanding and measuring household’s well-being</w:t>
      </w:r>
      <w:r w:rsidRPr="00764FEA">
        <w:rPr>
          <w:sz w:val="28"/>
          <w:lang w:val="en-US" w:bidi="ru-RU"/>
        </w:rPr>
        <w:t xml:space="preserve">: </w:t>
      </w:r>
      <w:r w:rsidR="00E861B3">
        <w:rPr>
          <w:sz w:val="28"/>
          <w:lang w:val="en-US" w:bidi="ru-RU"/>
        </w:rPr>
        <w:t xml:space="preserve">(i) </w:t>
      </w:r>
      <w:r w:rsidRPr="00966FB0">
        <w:rPr>
          <w:rFonts w:eastAsia="Calibri"/>
          <w:sz w:val="28"/>
          <w:lang w:val="en-US" w:bidi="ru-RU"/>
        </w:rPr>
        <w:t>economic well-being (also referred as material living conditions), which explains household’s consumption possibilities and their command over resources;</w:t>
      </w:r>
      <w:r w:rsidR="00E861B3">
        <w:rPr>
          <w:rFonts w:eastAsia="Calibri"/>
          <w:sz w:val="28"/>
          <w:lang w:val="en-US" w:bidi="ru-RU"/>
        </w:rPr>
        <w:t xml:space="preserve"> (ii) </w:t>
      </w:r>
      <w:r w:rsidRPr="00966FB0">
        <w:rPr>
          <w:rFonts w:eastAsia="Calibri"/>
          <w:sz w:val="28"/>
          <w:lang w:val="en-US" w:bidi="ru-RU"/>
        </w:rPr>
        <w:t>the quality of life, which is reflected in non-financial attributes of individuals that shape their</w:t>
      </w:r>
      <w:r w:rsidR="009A054F">
        <w:rPr>
          <w:rFonts w:eastAsia="Calibri"/>
          <w:sz w:val="28"/>
          <w:lang w:val="en-US" w:bidi="ru-RU"/>
        </w:rPr>
        <w:t xml:space="preserve"> opportunities and life chances</w:t>
      </w:r>
      <w:r w:rsidRPr="00966FB0">
        <w:rPr>
          <w:rFonts w:eastAsia="Calibri"/>
          <w:sz w:val="28"/>
          <w:lang w:val="en-US" w:bidi="ru-RU"/>
        </w:rPr>
        <w:t xml:space="preserve"> and has intrinsic value under different cultures and contexts;</w:t>
      </w:r>
      <w:r w:rsidR="00E861B3">
        <w:rPr>
          <w:rFonts w:eastAsia="Calibri"/>
          <w:sz w:val="28"/>
          <w:lang w:val="en-US" w:bidi="ru-RU"/>
        </w:rPr>
        <w:t xml:space="preserve"> (iii) </w:t>
      </w:r>
      <w:r w:rsidRPr="00966FB0">
        <w:rPr>
          <w:rFonts w:eastAsia="Calibri"/>
          <w:sz w:val="28"/>
          <w:lang w:val="en-US" w:bidi="ru-RU"/>
        </w:rPr>
        <w:t xml:space="preserve">sustainability of the socio-economic and natural systems where households live and work. </w:t>
      </w:r>
    </w:p>
    <w:p w14:paraId="46CA3B64" w14:textId="77777777" w:rsidR="003C51B1" w:rsidRPr="00966FB0" w:rsidRDefault="003C51B1" w:rsidP="007031BC">
      <w:pPr>
        <w:spacing w:line="312" w:lineRule="auto"/>
        <w:ind w:firstLine="709"/>
        <w:contextualSpacing/>
        <w:jc w:val="both"/>
        <w:rPr>
          <w:sz w:val="28"/>
          <w:lang w:val="en-US" w:bidi="ru-RU"/>
        </w:rPr>
      </w:pPr>
      <w:r w:rsidRPr="00966FB0">
        <w:rPr>
          <w:sz w:val="28"/>
          <w:lang w:val="en-US" w:bidi="ru-RU"/>
        </w:rPr>
        <w:t xml:space="preserve">The </w:t>
      </w:r>
      <w:r w:rsidRPr="00E861B3">
        <w:rPr>
          <w:b/>
          <w:sz w:val="28"/>
          <w:lang w:val="en-US" w:bidi="ru-RU"/>
        </w:rPr>
        <w:t>traditional and most common measures</w:t>
      </w:r>
      <w:r w:rsidRPr="00966FB0">
        <w:rPr>
          <w:sz w:val="28"/>
          <w:lang w:val="en-US" w:bidi="ru-RU"/>
        </w:rPr>
        <w:t xml:space="preserve"> of a household’s economic well-being are financial resources available to the household</w:t>
      </w:r>
      <w:r w:rsidR="009A054F">
        <w:rPr>
          <w:sz w:val="28"/>
          <w:lang w:val="en-US" w:bidi="ru-RU"/>
        </w:rPr>
        <w:t xml:space="preserve"> and</w:t>
      </w:r>
      <w:r w:rsidRPr="00966FB0">
        <w:rPr>
          <w:sz w:val="28"/>
          <w:lang w:val="en-US" w:bidi="ru-RU"/>
        </w:rPr>
        <w:t xml:space="preserve"> expressed in </w:t>
      </w:r>
      <w:r w:rsidRPr="00E861B3">
        <w:rPr>
          <w:b/>
          <w:sz w:val="28"/>
          <w:lang w:val="en-US" w:bidi="ru-RU"/>
        </w:rPr>
        <w:t>income</w:t>
      </w:r>
      <w:r w:rsidRPr="00966FB0">
        <w:rPr>
          <w:sz w:val="28"/>
          <w:lang w:val="en-US" w:bidi="ru-RU"/>
        </w:rPr>
        <w:t xml:space="preserve"> and </w:t>
      </w:r>
      <w:r w:rsidRPr="00E861B3">
        <w:rPr>
          <w:b/>
          <w:sz w:val="28"/>
          <w:lang w:val="en-US" w:bidi="ru-RU"/>
        </w:rPr>
        <w:t>wealth</w:t>
      </w:r>
      <w:r w:rsidRPr="00966FB0">
        <w:rPr>
          <w:sz w:val="28"/>
          <w:lang w:val="en-US" w:bidi="ru-RU"/>
        </w:rPr>
        <w:t xml:space="preserve">. An </w:t>
      </w:r>
      <w:r w:rsidRPr="00E861B3">
        <w:rPr>
          <w:b/>
          <w:sz w:val="28"/>
          <w:lang w:val="en-US" w:bidi="ru-RU"/>
        </w:rPr>
        <w:t>alternative measure</w:t>
      </w:r>
      <w:r w:rsidRPr="00966FB0">
        <w:rPr>
          <w:sz w:val="28"/>
          <w:lang w:val="en-US" w:bidi="ru-RU"/>
        </w:rPr>
        <w:t xml:space="preserve">, indicating the current standard of living enjoyed by a household, is the </w:t>
      </w:r>
      <w:r w:rsidRPr="00E861B3">
        <w:rPr>
          <w:b/>
          <w:sz w:val="28"/>
          <w:lang w:val="en-US" w:bidi="ru-RU"/>
        </w:rPr>
        <w:t>household’s consumption</w:t>
      </w:r>
      <w:r w:rsidRPr="00966FB0">
        <w:rPr>
          <w:sz w:val="28"/>
          <w:lang w:val="en-US" w:bidi="ru-RU"/>
        </w:rPr>
        <w:t xml:space="preserve"> of goods and services. </w:t>
      </w:r>
    </w:p>
    <w:p w14:paraId="57553548" w14:textId="77777777" w:rsidR="003C51B1" w:rsidRDefault="009A054F" w:rsidP="007031BC">
      <w:pPr>
        <w:spacing w:line="312" w:lineRule="auto"/>
        <w:ind w:firstLine="709"/>
        <w:contextualSpacing/>
        <w:jc w:val="both"/>
        <w:rPr>
          <w:sz w:val="28"/>
          <w:lang w:val="en-US" w:bidi="ru-RU"/>
        </w:rPr>
      </w:pPr>
      <w:r>
        <w:rPr>
          <w:sz w:val="28"/>
          <w:lang w:val="en-US" w:bidi="ru-RU"/>
        </w:rPr>
        <w:t>Table 6.2 shows</w:t>
      </w:r>
      <w:r w:rsidR="003C51B1" w:rsidRPr="00966FB0">
        <w:rPr>
          <w:sz w:val="28"/>
          <w:lang w:val="en-US" w:bidi="ru-RU"/>
        </w:rPr>
        <w:t xml:space="preserve"> the differentiation of household living standards in Ukraine using the measure of economic well-being for the period 2010</w:t>
      </w:r>
      <w:r>
        <w:rPr>
          <w:sz w:val="28"/>
          <w:lang w:val="en-US" w:bidi="ru-RU"/>
        </w:rPr>
        <w:t>–</w:t>
      </w:r>
      <w:r w:rsidR="003C51B1" w:rsidRPr="00966FB0">
        <w:rPr>
          <w:sz w:val="28"/>
          <w:lang w:val="en-US" w:bidi="ru-RU"/>
        </w:rPr>
        <w:t>2014.</w:t>
      </w:r>
    </w:p>
    <w:p w14:paraId="7AE9EFB5" w14:textId="77777777" w:rsidR="00E723D8" w:rsidRPr="00E861B3" w:rsidRDefault="00E723D8" w:rsidP="00E723D8">
      <w:pPr>
        <w:spacing w:line="312" w:lineRule="auto"/>
        <w:ind w:firstLine="709"/>
        <w:contextualSpacing/>
        <w:jc w:val="both"/>
        <w:rPr>
          <w:sz w:val="28"/>
          <w:lang w:val="en-US" w:bidi="ru-RU"/>
        </w:rPr>
      </w:pPr>
      <w:r w:rsidRPr="00E861B3">
        <w:rPr>
          <w:b/>
          <w:sz w:val="28"/>
          <w:lang w:val="en-US" w:bidi="ru-RU"/>
        </w:rPr>
        <w:t>Subsistence minimum</w:t>
      </w:r>
      <w:r w:rsidRPr="00E861B3">
        <w:rPr>
          <w:sz w:val="28"/>
          <w:lang w:val="en-US" w:bidi="ru-RU"/>
        </w:rPr>
        <w:t xml:space="preserve"> (also referred as</w:t>
      </w:r>
      <w:r>
        <w:rPr>
          <w:sz w:val="28"/>
          <w:lang w:val="en-US" w:bidi="ru-RU"/>
        </w:rPr>
        <w:t xml:space="preserve"> a</w:t>
      </w:r>
      <w:r w:rsidRPr="00E861B3">
        <w:rPr>
          <w:sz w:val="28"/>
          <w:lang w:val="en-US" w:bidi="ru-RU"/>
        </w:rPr>
        <w:t xml:space="preserve"> </w:t>
      </w:r>
      <w:r w:rsidRPr="00E861B3">
        <w:rPr>
          <w:b/>
          <w:sz w:val="28"/>
          <w:lang w:val="en-US" w:bidi="ru-RU"/>
        </w:rPr>
        <w:t>living wage</w:t>
      </w:r>
      <w:r w:rsidRPr="00E861B3">
        <w:rPr>
          <w:sz w:val="28"/>
          <w:lang w:val="en-US" w:bidi="ru-RU"/>
        </w:rPr>
        <w:t>) is an important parameter in assessing the household</w:t>
      </w:r>
      <w:r>
        <w:rPr>
          <w:sz w:val="28"/>
          <w:lang w:val="en-US" w:bidi="ru-RU"/>
        </w:rPr>
        <w:t>’s</w:t>
      </w:r>
      <w:r w:rsidRPr="00E861B3">
        <w:rPr>
          <w:sz w:val="28"/>
          <w:lang w:val="en-US" w:bidi="ru-RU"/>
        </w:rPr>
        <w:t xml:space="preserve"> financial resources and their financial condition</w:t>
      </w:r>
      <w:r>
        <w:rPr>
          <w:sz w:val="28"/>
          <w:lang w:val="en-US" w:bidi="ru-RU"/>
        </w:rPr>
        <w:t>s</w:t>
      </w:r>
      <w:r w:rsidR="00520F9B">
        <w:rPr>
          <w:sz w:val="28"/>
          <w:lang w:val="en-US" w:bidi="ru-RU"/>
        </w:rPr>
        <w:t xml:space="preserve"> because it serves</w:t>
      </w:r>
      <w:r w:rsidRPr="00E861B3">
        <w:rPr>
          <w:sz w:val="28"/>
          <w:lang w:val="en-US" w:bidi="ru-RU"/>
        </w:rPr>
        <w:t xml:space="preserve"> as a basic social standard measure that reflects the minimal set of products and services that individual should receive for physiological, spiritual and social needs. Subsistence minimum also could be viewed as the lowest level of income for the unemployed household member. Subsistence minimum </w:t>
      </w:r>
      <w:r>
        <w:rPr>
          <w:sz w:val="28"/>
          <w:lang w:val="en-US" w:bidi="ru-RU"/>
        </w:rPr>
        <w:t>fixed</w:t>
      </w:r>
      <w:r w:rsidRPr="00E861B3">
        <w:rPr>
          <w:sz w:val="28"/>
          <w:lang w:val="en-US" w:bidi="ru-RU"/>
        </w:rPr>
        <w:t xml:space="preserve"> by the government is a tool of direct impact on the size of </w:t>
      </w:r>
      <w:r>
        <w:rPr>
          <w:sz w:val="28"/>
          <w:lang w:val="en-US" w:bidi="ru-RU"/>
        </w:rPr>
        <w:t xml:space="preserve">the </w:t>
      </w:r>
      <w:r w:rsidRPr="00E861B3">
        <w:rPr>
          <w:sz w:val="28"/>
          <w:lang w:val="en-US" w:bidi="ru-RU"/>
        </w:rPr>
        <w:t>household</w:t>
      </w:r>
      <w:r>
        <w:rPr>
          <w:sz w:val="28"/>
          <w:lang w:val="en-US" w:bidi="ru-RU"/>
        </w:rPr>
        <w:t>’s financial resources</w:t>
      </w:r>
      <w:r w:rsidRPr="00E861B3">
        <w:rPr>
          <w:sz w:val="28"/>
          <w:lang w:val="en-US" w:bidi="ru-RU"/>
        </w:rPr>
        <w:t xml:space="preserve"> since it is used as a basis for the minimum wage, old-age</w:t>
      </w:r>
      <w:r>
        <w:rPr>
          <w:sz w:val="28"/>
          <w:lang w:val="en-US" w:bidi="ru-RU"/>
        </w:rPr>
        <w:t xml:space="preserve"> security</w:t>
      </w:r>
      <w:r w:rsidRPr="00E861B3">
        <w:rPr>
          <w:sz w:val="28"/>
          <w:lang w:val="en-US" w:bidi="ru-RU"/>
        </w:rPr>
        <w:t xml:space="preserve"> pensions, various social transfers, </w:t>
      </w:r>
      <w:r>
        <w:rPr>
          <w:sz w:val="28"/>
          <w:lang w:val="en-US" w:bidi="ru-RU"/>
        </w:rPr>
        <w:t>the value of</w:t>
      </w:r>
      <w:r w:rsidRPr="00E861B3">
        <w:rPr>
          <w:sz w:val="28"/>
          <w:lang w:val="en-US" w:bidi="ru-RU"/>
        </w:rPr>
        <w:t xml:space="preserve"> income </w:t>
      </w:r>
      <w:r>
        <w:rPr>
          <w:sz w:val="28"/>
          <w:lang w:val="en-US" w:bidi="ru-RU"/>
        </w:rPr>
        <w:t>t</w:t>
      </w:r>
      <w:r w:rsidRPr="00E861B3">
        <w:rPr>
          <w:sz w:val="28"/>
          <w:lang w:val="en-US" w:bidi="ru-RU"/>
        </w:rPr>
        <w:t>axes and the possible spending</w:t>
      </w:r>
      <w:r>
        <w:rPr>
          <w:sz w:val="28"/>
          <w:lang w:val="en-US" w:bidi="ru-RU"/>
        </w:rPr>
        <w:t xml:space="preserve"> pattern</w:t>
      </w:r>
      <w:r w:rsidRPr="00E861B3">
        <w:rPr>
          <w:sz w:val="28"/>
          <w:lang w:val="en-US" w:bidi="ru-RU"/>
        </w:rPr>
        <w:t>, as well as the formation of additional pension fund provided</w:t>
      </w:r>
      <w:r>
        <w:rPr>
          <w:sz w:val="28"/>
          <w:lang w:val="en-US" w:bidi="ru-RU"/>
        </w:rPr>
        <w:t xml:space="preserve"> the</w:t>
      </w:r>
      <w:r w:rsidRPr="00E861B3">
        <w:rPr>
          <w:sz w:val="28"/>
          <w:lang w:val="en-US" w:bidi="ru-RU"/>
        </w:rPr>
        <w:t xml:space="preserve"> state guarantees a certain level of minimum pensions. </w:t>
      </w:r>
    </w:p>
    <w:p w14:paraId="7B9DE9D0" w14:textId="77777777" w:rsidR="003C51B1" w:rsidRPr="00520F9B" w:rsidRDefault="003C51B1" w:rsidP="00520F9B">
      <w:pPr>
        <w:spacing w:line="312" w:lineRule="auto"/>
        <w:contextualSpacing/>
        <w:rPr>
          <w:b/>
          <w:sz w:val="28"/>
          <w:vertAlign w:val="superscript"/>
          <w:lang w:val="en-US" w:bidi="ru-RU"/>
        </w:rPr>
      </w:pPr>
      <w:r w:rsidRPr="00E861B3">
        <w:rPr>
          <w:b/>
          <w:sz w:val="28"/>
          <w:lang w:val="en-US" w:bidi="ru-RU"/>
        </w:rPr>
        <w:lastRenderedPageBreak/>
        <w:t>Table 6.2</w:t>
      </w:r>
      <w:r w:rsidR="007031BC">
        <w:rPr>
          <w:b/>
          <w:sz w:val="28"/>
          <w:lang w:val="en-US" w:bidi="ru-RU"/>
        </w:rPr>
        <w:t xml:space="preserve"> – </w:t>
      </w:r>
      <w:r w:rsidRPr="00E861B3">
        <w:rPr>
          <w:b/>
          <w:sz w:val="28"/>
          <w:lang w:val="en-US" w:bidi="ru-RU"/>
        </w:rPr>
        <w:t>Differentiation of household living standards in Ukraine</w:t>
      </w:r>
      <w:r w:rsidR="00520F9B">
        <w:rPr>
          <w:b/>
          <w:sz w:val="28"/>
          <w:vertAlign w:val="superscript"/>
          <w:lang w:val="en-US" w:bidi="ru-RU"/>
        </w:rPr>
        <w:t>1,2</w:t>
      </w:r>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378"/>
        <w:gridCol w:w="707"/>
        <w:gridCol w:w="849"/>
        <w:gridCol w:w="851"/>
        <w:gridCol w:w="849"/>
        <w:gridCol w:w="823"/>
      </w:tblGrid>
      <w:tr w:rsidR="00E861B3" w:rsidRPr="003E1ECE" w14:paraId="3DEC737C" w14:textId="77777777" w:rsidTr="00E861B3">
        <w:trPr>
          <w:trHeight w:val="305"/>
        </w:trPr>
        <w:tc>
          <w:tcPr>
            <w:tcW w:w="2843" w:type="pct"/>
            <w:vMerge w:val="restart"/>
            <w:tcBorders>
              <w:top w:val="single" w:sz="6" w:space="0" w:color="000000"/>
              <w:left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741FC287" w14:textId="77777777" w:rsidR="00E861B3" w:rsidRPr="00E861B3" w:rsidRDefault="00E861B3" w:rsidP="00E861B3">
            <w:pPr>
              <w:contextualSpacing/>
              <w:jc w:val="center"/>
              <w:rPr>
                <w:sz w:val="28"/>
                <w:lang w:val="en-US" w:bidi="ru-RU"/>
              </w:rPr>
            </w:pPr>
          </w:p>
        </w:tc>
        <w:tc>
          <w:tcPr>
            <w:tcW w:w="2157" w:type="pct"/>
            <w:gridSpan w:val="5"/>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vAlign w:val="center"/>
          </w:tcPr>
          <w:p w14:paraId="01769987" w14:textId="77777777" w:rsidR="00E861B3" w:rsidRPr="00E861B3" w:rsidRDefault="00E861B3" w:rsidP="00E861B3">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E861B3">
              <w:rPr>
                <w:rFonts w:ascii="Garamond" w:eastAsia="Times New Roman" w:hAnsi="Garamond" w:cs="Times New Roman"/>
                <w:sz w:val="28"/>
                <w:szCs w:val="24"/>
                <w:bdr w:val="none" w:sz="0" w:space="0" w:color="auto"/>
                <w:lang w:val="en-US" w:bidi="ru-RU"/>
              </w:rPr>
              <w:t>Year</w:t>
            </w:r>
          </w:p>
        </w:tc>
      </w:tr>
      <w:tr w:rsidR="00E861B3" w:rsidRPr="003E1ECE" w14:paraId="00707176" w14:textId="77777777" w:rsidTr="00E861B3">
        <w:trPr>
          <w:trHeight w:val="305"/>
        </w:trPr>
        <w:tc>
          <w:tcPr>
            <w:tcW w:w="2843" w:type="pct"/>
            <w:vMerge/>
            <w:tcBorders>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331732AB" w14:textId="77777777" w:rsidR="00E861B3" w:rsidRPr="00E861B3" w:rsidRDefault="00E861B3" w:rsidP="00E861B3">
            <w:pPr>
              <w:contextualSpacing/>
              <w:jc w:val="center"/>
              <w:rPr>
                <w:sz w:val="28"/>
                <w:lang w:val="en-US" w:bidi="ru-RU"/>
              </w:rPr>
            </w:pPr>
          </w:p>
        </w:tc>
        <w:tc>
          <w:tcPr>
            <w:tcW w:w="374"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vAlign w:val="center"/>
          </w:tcPr>
          <w:p w14:paraId="1BFF882A" w14:textId="77777777" w:rsidR="00E861B3" w:rsidRPr="00E861B3" w:rsidRDefault="00E861B3" w:rsidP="00E861B3">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E861B3">
              <w:rPr>
                <w:rFonts w:ascii="Garamond" w:eastAsia="Times New Roman" w:hAnsi="Garamond" w:cs="Times New Roman"/>
                <w:sz w:val="28"/>
                <w:szCs w:val="24"/>
                <w:bdr w:val="none" w:sz="0" w:space="0" w:color="auto"/>
                <w:lang w:val="en-US" w:bidi="ru-RU"/>
              </w:rPr>
              <w:t>2010</w:t>
            </w:r>
          </w:p>
        </w:tc>
        <w:tc>
          <w:tcPr>
            <w:tcW w:w="449"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vAlign w:val="center"/>
          </w:tcPr>
          <w:p w14:paraId="35177605" w14:textId="77777777" w:rsidR="00E861B3" w:rsidRPr="00E861B3" w:rsidRDefault="00E861B3" w:rsidP="00E861B3">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E861B3">
              <w:rPr>
                <w:rFonts w:ascii="Garamond" w:eastAsia="Times New Roman" w:hAnsi="Garamond" w:cs="Times New Roman"/>
                <w:sz w:val="28"/>
                <w:szCs w:val="24"/>
                <w:bdr w:val="none" w:sz="0" w:space="0" w:color="auto"/>
                <w:lang w:val="en-US" w:bidi="ru-RU"/>
              </w:rPr>
              <w:t>2011</w:t>
            </w:r>
          </w:p>
        </w:tc>
        <w:tc>
          <w:tcPr>
            <w:tcW w:w="450"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vAlign w:val="center"/>
          </w:tcPr>
          <w:p w14:paraId="60177196" w14:textId="77777777" w:rsidR="00E861B3" w:rsidRPr="00E861B3" w:rsidRDefault="00E861B3" w:rsidP="00E861B3">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E861B3">
              <w:rPr>
                <w:rFonts w:ascii="Garamond" w:eastAsia="Times New Roman" w:hAnsi="Garamond" w:cs="Times New Roman"/>
                <w:sz w:val="28"/>
                <w:szCs w:val="24"/>
                <w:bdr w:val="none" w:sz="0" w:space="0" w:color="auto"/>
                <w:lang w:val="en-US" w:bidi="ru-RU"/>
              </w:rPr>
              <w:t>2012</w:t>
            </w:r>
          </w:p>
        </w:tc>
        <w:tc>
          <w:tcPr>
            <w:tcW w:w="449"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vAlign w:val="center"/>
          </w:tcPr>
          <w:p w14:paraId="7E6D642D" w14:textId="77777777" w:rsidR="00E861B3" w:rsidRPr="00E861B3" w:rsidRDefault="00E861B3" w:rsidP="00E861B3">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E861B3">
              <w:rPr>
                <w:rFonts w:ascii="Garamond" w:eastAsia="Times New Roman" w:hAnsi="Garamond" w:cs="Times New Roman"/>
                <w:sz w:val="28"/>
                <w:szCs w:val="24"/>
                <w:bdr w:val="none" w:sz="0" w:space="0" w:color="auto"/>
                <w:lang w:val="en-US" w:bidi="ru-RU"/>
              </w:rPr>
              <w:t>2013</w:t>
            </w:r>
          </w:p>
        </w:tc>
        <w:tc>
          <w:tcPr>
            <w:tcW w:w="435"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vAlign w:val="center"/>
          </w:tcPr>
          <w:p w14:paraId="45A906A3" w14:textId="77777777" w:rsidR="00E861B3" w:rsidRPr="00E861B3" w:rsidRDefault="00E861B3" w:rsidP="00520F9B">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E861B3">
              <w:rPr>
                <w:rFonts w:ascii="Garamond" w:eastAsia="Times New Roman" w:hAnsi="Garamond" w:cs="Times New Roman"/>
                <w:sz w:val="28"/>
                <w:szCs w:val="24"/>
                <w:bdr w:val="none" w:sz="0" w:space="0" w:color="auto"/>
                <w:lang w:val="en-US" w:bidi="ru-RU"/>
              </w:rPr>
              <w:t>2014</w:t>
            </w:r>
            <w:r w:rsidR="00520F9B">
              <w:rPr>
                <w:rFonts w:ascii="Garamond" w:eastAsia="Times New Roman" w:hAnsi="Garamond" w:cs="Times New Roman"/>
                <w:sz w:val="28"/>
                <w:szCs w:val="24"/>
                <w:bdr w:val="none" w:sz="0" w:space="0" w:color="auto"/>
                <w:vertAlign w:val="superscript"/>
                <w:lang w:val="en-US" w:bidi="ru-RU"/>
              </w:rPr>
              <w:t>3</w:t>
            </w:r>
          </w:p>
        </w:tc>
      </w:tr>
      <w:tr w:rsidR="00E861B3" w:rsidRPr="003E1ECE" w14:paraId="3F7C4493" w14:textId="77777777" w:rsidTr="00E861B3">
        <w:trPr>
          <w:trHeight w:val="108"/>
        </w:trPr>
        <w:tc>
          <w:tcPr>
            <w:tcW w:w="2843"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74BD71F6" w14:textId="77777777" w:rsidR="003C51B1" w:rsidRPr="003E1ECE" w:rsidRDefault="003C51B1" w:rsidP="00E861B3">
            <w:pPr>
              <w:pStyle w:val="a4"/>
              <w:spacing w:line="240" w:lineRule="atLeast"/>
              <w:rPr>
                <w:rFonts w:ascii="Garamond" w:hAnsi="Garamond"/>
                <w:sz w:val="28"/>
                <w:szCs w:val="28"/>
              </w:rPr>
            </w:pPr>
            <w:r w:rsidRPr="003E1ECE">
              <w:rPr>
                <w:rFonts w:ascii="Garamond" w:hAnsi="Garamond"/>
                <w:sz w:val="28"/>
                <w:szCs w:val="28"/>
                <w:lang w:val="en-US"/>
              </w:rPr>
              <w:t xml:space="preserve">Population with </w:t>
            </w:r>
            <w:r w:rsidR="00E861B3" w:rsidRPr="003E1ECE">
              <w:rPr>
                <w:rFonts w:ascii="Garamond" w:hAnsi="Garamond"/>
                <w:sz w:val="28"/>
                <w:szCs w:val="28"/>
                <w:lang w:val="en-US"/>
              </w:rPr>
              <w:t>equalized</w:t>
            </w:r>
            <w:r w:rsidRPr="003E1ECE">
              <w:rPr>
                <w:rFonts w:ascii="Garamond" w:hAnsi="Garamond"/>
                <w:sz w:val="28"/>
                <w:szCs w:val="28"/>
                <w:lang w:val="en-US"/>
              </w:rPr>
              <w:t xml:space="preserve"> total income under subsistence minimum:</w:t>
            </w:r>
          </w:p>
        </w:tc>
        <w:tc>
          <w:tcPr>
            <w:tcW w:w="374"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2C9F01E"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 xml:space="preserve"> </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80D769B"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 xml:space="preserve"> </w:t>
            </w:r>
          </w:p>
        </w:tc>
        <w:tc>
          <w:tcPr>
            <w:tcW w:w="450"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78BEBA0"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 xml:space="preserve"> </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DDB58BA"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 xml:space="preserve"> </w:t>
            </w:r>
          </w:p>
        </w:tc>
        <w:tc>
          <w:tcPr>
            <w:tcW w:w="435"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2E7BE4B"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 xml:space="preserve"> </w:t>
            </w:r>
          </w:p>
        </w:tc>
      </w:tr>
      <w:tr w:rsidR="00E861B3" w:rsidRPr="003E1ECE" w14:paraId="75A9A4E3" w14:textId="77777777" w:rsidTr="00E861B3">
        <w:trPr>
          <w:trHeight w:val="78"/>
        </w:trPr>
        <w:tc>
          <w:tcPr>
            <w:tcW w:w="2843"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1D5F8283" w14:textId="77777777" w:rsidR="003C51B1" w:rsidRPr="003E1ECE" w:rsidRDefault="003C51B1" w:rsidP="0002207F">
            <w:pPr>
              <w:pStyle w:val="a4"/>
              <w:spacing w:line="240" w:lineRule="atLeast"/>
              <w:ind w:left="220"/>
              <w:rPr>
                <w:rFonts w:ascii="Garamond" w:hAnsi="Garamond"/>
                <w:sz w:val="28"/>
                <w:szCs w:val="28"/>
              </w:rPr>
            </w:pPr>
            <w:r w:rsidRPr="003E1ECE">
              <w:rPr>
                <w:rFonts w:ascii="Garamond" w:hAnsi="Garamond"/>
                <w:sz w:val="28"/>
                <w:szCs w:val="28"/>
                <w:lang w:val="en-US"/>
              </w:rPr>
              <w:t>million-</w:t>
            </w:r>
            <w:r w:rsidR="0002207F">
              <w:rPr>
                <w:rFonts w:ascii="Garamond" w:hAnsi="Garamond"/>
                <w:sz w:val="28"/>
                <w:szCs w:val="28"/>
                <w:lang w:val="en-US"/>
              </w:rPr>
              <w:t>people</w:t>
            </w:r>
          </w:p>
        </w:tc>
        <w:tc>
          <w:tcPr>
            <w:tcW w:w="374"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41E9D86"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6</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58E17E3"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2</w:t>
            </w:r>
          </w:p>
        </w:tc>
        <w:tc>
          <w:tcPr>
            <w:tcW w:w="450"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7374332"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8</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E19A5F0"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5</w:t>
            </w:r>
          </w:p>
        </w:tc>
        <w:tc>
          <w:tcPr>
            <w:tcW w:w="435"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8FFBAAF"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2</w:t>
            </w:r>
          </w:p>
        </w:tc>
      </w:tr>
      <w:tr w:rsidR="00E861B3" w:rsidRPr="003E1ECE" w14:paraId="44DEFD8C" w14:textId="77777777" w:rsidTr="00E861B3">
        <w:trPr>
          <w:trHeight w:val="78"/>
        </w:trPr>
        <w:tc>
          <w:tcPr>
            <w:tcW w:w="2843"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08278617" w14:textId="77777777" w:rsidR="003C51B1" w:rsidRPr="003E1ECE" w:rsidRDefault="0002207F" w:rsidP="0002207F">
            <w:pPr>
              <w:pStyle w:val="a4"/>
              <w:spacing w:line="240" w:lineRule="atLeast"/>
              <w:ind w:left="220"/>
              <w:rPr>
                <w:rFonts w:ascii="Garamond" w:hAnsi="Garamond"/>
                <w:sz w:val="28"/>
                <w:szCs w:val="28"/>
              </w:rPr>
            </w:pPr>
            <w:r>
              <w:rPr>
                <w:rFonts w:ascii="Garamond" w:hAnsi="Garamond"/>
                <w:sz w:val="28"/>
                <w:szCs w:val="28"/>
                <w:lang w:val="en-US"/>
              </w:rPr>
              <w:t>in percent to</w:t>
            </w:r>
            <w:r w:rsidR="003C51B1" w:rsidRPr="003E1ECE">
              <w:rPr>
                <w:rFonts w:ascii="Garamond" w:hAnsi="Garamond"/>
                <w:sz w:val="28"/>
                <w:szCs w:val="28"/>
                <w:lang w:val="en-US"/>
              </w:rPr>
              <w:t xml:space="preserve"> the total population</w:t>
            </w:r>
          </w:p>
        </w:tc>
        <w:tc>
          <w:tcPr>
            <w:tcW w:w="374"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F4FC9F0"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8</w:t>
            </w:r>
            <w:r w:rsidR="00520F9B">
              <w:rPr>
                <w:rFonts w:ascii="Garamond" w:hAnsi="Garamond"/>
                <w:sz w:val="28"/>
                <w:szCs w:val="28"/>
                <w:shd w:val="clear" w:color="auto" w:fill="FFFFFF"/>
              </w:rPr>
              <w:t>.</w:t>
            </w:r>
            <w:r w:rsidRPr="003E1ECE">
              <w:rPr>
                <w:rFonts w:ascii="Garamond" w:hAnsi="Garamond"/>
                <w:sz w:val="28"/>
                <w:szCs w:val="28"/>
                <w:shd w:val="clear" w:color="auto" w:fill="FFFFFF"/>
              </w:rPr>
              <w:t>6</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302F51F"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7</w:t>
            </w:r>
            <w:r w:rsidR="00520F9B">
              <w:rPr>
                <w:rFonts w:ascii="Garamond" w:hAnsi="Garamond"/>
                <w:sz w:val="28"/>
                <w:szCs w:val="28"/>
                <w:shd w:val="clear" w:color="auto" w:fill="FFFFFF"/>
              </w:rPr>
              <w:t>.</w:t>
            </w:r>
            <w:r w:rsidRPr="003E1ECE">
              <w:rPr>
                <w:rFonts w:ascii="Garamond" w:hAnsi="Garamond"/>
                <w:sz w:val="28"/>
                <w:szCs w:val="28"/>
                <w:shd w:val="clear" w:color="auto" w:fill="FFFFFF"/>
              </w:rPr>
              <w:t>8</w:t>
            </w:r>
          </w:p>
        </w:tc>
        <w:tc>
          <w:tcPr>
            <w:tcW w:w="450"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382868C"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9</w:t>
            </w:r>
            <w:r w:rsidR="00520F9B">
              <w:rPr>
                <w:rFonts w:ascii="Garamond" w:hAnsi="Garamond"/>
                <w:sz w:val="28"/>
                <w:szCs w:val="28"/>
                <w:shd w:val="clear" w:color="auto" w:fill="FFFFFF"/>
              </w:rPr>
              <w:t>.</w:t>
            </w:r>
            <w:r w:rsidRPr="003E1ECE">
              <w:rPr>
                <w:rFonts w:ascii="Garamond" w:hAnsi="Garamond"/>
                <w:sz w:val="28"/>
                <w:szCs w:val="28"/>
                <w:shd w:val="clear" w:color="auto" w:fill="FFFFFF"/>
              </w:rPr>
              <w:t>0</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1706BFF"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8</w:t>
            </w:r>
            <w:r w:rsidR="00520F9B">
              <w:rPr>
                <w:rFonts w:ascii="Garamond" w:hAnsi="Garamond"/>
                <w:sz w:val="28"/>
                <w:szCs w:val="28"/>
                <w:shd w:val="clear" w:color="auto" w:fill="FFFFFF"/>
              </w:rPr>
              <w:t>.</w:t>
            </w:r>
            <w:r w:rsidRPr="003E1ECE">
              <w:rPr>
                <w:rFonts w:ascii="Garamond" w:hAnsi="Garamond"/>
                <w:sz w:val="28"/>
                <w:szCs w:val="28"/>
                <w:shd w:val="clear" w:color="auto" w:fill="FFFFFF"/>
              </w:rPr>
              <w:t>3</w:t>
            </w:r>
          </w:p>
        </w:tc>
        <w:tc>
          <w:tcPr>
            <w:tcW w:w="435"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0EBE5E3"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8</w:t>
            </w:r>
            <w:r w:rsidR="00520F9B">
              <w:rPr>
                <w:rFonts w:ascii="Garamond" w:hAnsi="Garamond"/>
                <w:sz w:val="28"/>
                <w:szCs w:val="28"/>
                <w:shd w:val="clear" w:color="auto" w:fill="FFFFFF"/>
              </w:rPr>
              <w:t>.</w:t>
            </w:r>
            <w:r w:rsidRPr="003E1ECE">
              <w:rPr>
                <w:rFonts w:ascii="Garamond" w:hAnsi="Garamond"/>
                <w:sz w:val="28"/>
                <w:szCs w:val="28"/>
                <w:shd w:val="clear" w:color="auto" w:fill="FFFFFF"/>
              </w:rPr>
              <w:t>6</w:t>
            </w:r>
          </w:p>
        </w:tc>
      </w:tr>
      <w:tr w:rsidR="00E861B3" w:rsidRPr="003E1ECE" w14:paraId="00BEBA3C" w14:textId="77777777" w:rsidTr="00E861B3">
        <w:trPr>
          <w:trHeight w:val="84"/>
        </w:trPr>
        <w:tc>
          <w:tcPr>
            <w:tcW w:w="2843"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39B1B3A9" w14:textId="77777777" w:rsidR="003C51B1" w:rsidRPr="003E1ECE" w:rsidRDefault="003C51B1" w:rsidP="00E861B3">
            <w:pPr>
              <w:pStyle w:val="a4"/>
              <w:spacing w:line="240" w:lineRule="atLeast"/>
              <w:rPr>
                <w:rFonts w:ascii="Garamond" w:hAnsi="Garamond"/>
                <w:sz w:val="28"/>
                <w:szCs w:val="28"/>
              </w:rPr>
            </w:pPr>
            <w:r w:rsidRPr="003E1ECE">
              <w:rPr>
                <w:rFonts w:ascii="Garamond" w:hAnsi="Garamond"/>
                <w:sz w:val="28"/>
                <w:szCs w:val="28"/>
                <w:u w:val="single"/>
                <w:lang w:val="en-US"/>
              </w:rPr>
              <w:t>For information:</w:t>
            </w:r>
            <w:r w:rsidRPr="003E1ECE">
              <w:rPr>
                <w:rFonts w:ascii="Garamond" w:hAnsi="Garamond"/>
                <w:sz w:val="28"/>
                <w:szCs w:val="28"/>
                <w:lang w:val="en-US"/>
              </w:rPr>
              <w:t xml:space="preserve"> size of subsistence minimum (per one person, monthly  average, UAH)</w:t>
            </w:r>
          </w:p>
        </w:tc>
        <w:tc>
          <w:tcPr>
            <w:tcW w:w="374"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1461F07"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843</w:t>
            </w:r>
            <w:r w:rsidR="00520F9B">
              <w:rPr>
                <w:rFonts w:ascii="Garamond" w:hAnsi="Garamond"/>
                <w:sz w:val="28"/>
                <w:szCs w:val="28"/>
                <w:shd w:val="clear" w:color="auto" w:fill="FFFFFF"/>
              </w:rPr>
              <w:t>.</w:t>
            </w:r>
            <w:r w:rsidRPr="003E1ECE">
              <w:rPr>
                <w:rFonts w:ascii="Garamond" w:hAnsi="Garamond"/>
                <w:sz w:val="28"/>
                <w:szCs w:val="28"/>
                <w:shd w:val="clear" w:color="auto" w:fill="FFFFFF"/>
              </w:rPr>
              <w:t>2</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A213812"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914</w:t>
            </w:r>
            <w:r w:rsidR="00520F9B">
              <w:rPr>
                <w:rFonts w:ascii="Garamond" w:hAnsi="Garamond"/>
                <w:sz w:val="28"/>
                <w:szCs w:val="28"/>
                <w:shd w:val="clear" w:color="auto" w:fill="FFFFFF"/>
              </w:rPr>
              <w:t>.</w:t>
            </w:r>
            <w:r w:rsidRPr="003E1ECE">
              <w:rPr>
                <w:rFonts w:ascii="Garamond" w:hAnsi="Garamond"/>
                <w:sz w:val="28"/>
                <w:szCs w:val="28"/>
                <w:shd w:val="clear" w:color="auto" w:fill="FFFFFF"/>
              </w:rPr>
              <w:t>1</w:t>
            </w:r>
          </w:p>
        </w:tc>
        <w:tc>
          <w:tcPr>
            <w:tcW w:w="450"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770CD00"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1042</w:t>
            </w:r>
            <w:r w:rsidR="00520F9B">
              <w:rPr>
                <w:rFonts w:ascii="Garamond" w:hAnsi="Garamond"/>
                <w:sz w:val="28"/>
                <w:szCs w:val="28"/>
                <w:shd w:val="clear" w:color="auto" w:fill="FFFFFF"/>
              </w:rPr>
              <w:t>.</w:t>
            </w:r>
            <w:r w:rsidRPr="003E1ECE">
              <w:rPr>
                <w:rFonts w:ascii="Garamond" w:hAnsi="Garamond"/>
                <w:sz w:val="28"/>
                <w:szCs w:val="28"/>
                <w:shd w:val="clear" w:color="auto" w:fill="FFFFFF"/>
              </w:rPr>
              <w:t>4</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D755743"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1113</w:t>
            </w:r>
            <w:r w:rsidR="00520F9B">
              <w:rPr>
                <w:rFonts w:ascii="Garamond" w:hAnsi="Garamond"/>
                <w:sz w:val="28"/>
                <w:szCs w:val="28"/>
                <w:shd w:val="clear" w:color="auto" w:fill="FFFFFF"/>
              </w:rPr>
              <w:t>.</w:t>
            </w:r>
            <w:r w:rsidRPr="003E1ECE">
              <w:rPr>
                <w:rFonts w:ascii="Garamond" w:hAnsi="Garamond"/>
                <w:sz w:val="28"/>
                <w:szCs w:val="28"/>
                <w:shd w:val="clear" w:color="auto" w:fill="FFFFFF"/>
              </w:rPr>
              <w:t>7</w:t>
            </w:r>
          </w:p>
        </w:tc>
        <w:tc>
          <w:tcPr>
            <w:tcW w:w="435"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9A16C26"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1176</w:t>
            </w:r>
            <w:r w:rsidR="00520F9B">
              <w:rPr>
                <w:rFonts w:ascii="Garamond" w:hAnsi="Garamond"/>
                <w:sz w:val="28"/>
                <w:szCs w:val="28"/>
                <w:shd w:val="clear" w:color="auto" w:fill="FFFFFF"/>
              </w:rPr>
              <w:t>.</w:t>
            </w:r>
            <w:r w:rsidRPr="003E1ECE">
              <w:rPr>
                <w:rFonts w:ascii="Garamond" w:hAnsi="Garamond"/>
                <w:sz w:val="28"/>
                <w:szCs w:val="28"/>
                <w:shd w:val="clear" w:color="auto" w:fill="FFFFFF"/>
              </w:rPr>
              <w:t>0</w:t>
            </w:r>
          </w:p>
        </w:tc>
      </w:tr>
      <w:tr w:rsidR="00E861B3" w:rsidRPr="003E1ECE" w14:paraId="47D3DAF3" w14:textId="77777777" w:rsidTr="00E861B3">
        <w:trPr>
          <w:trHeight w:val="78"/>
        </w:trPr>
        <w:tc>
          <w:tcPr>
            <w:tcW w:w="2843"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2FFB4DC4" w14:textId="77777777" w:rsidR="003C51B1" w:rsidRPr="003E1ECE" w:rsidRDefault="003C51B1" w:rsidP="00E861B3">
            <w:pPr>
              <w:pStyle w:val="a4"/>
              <w:spacing w:line="240" w:lineRule="atLeast"/>
              <w:rPr>
                <w:rFonts w:ascii="Garamond" w:hAnsi="Garamond"/>
                <w:sz w:val="28"/>
                <w:szCs w:val="28"/>
              </w:rPr>
            </w:pPr>
            <w:r w:rsidRPr="003E1ECE">
              <w:rPr>
                <w:rFonts w:ascii="Garamond" w:hAnsi="Garamond"/>
                <w:sz w:val="28"/>
                <w:szCs w:val="28"/>
                <w:lang w:val="en-US"/>
              </w:rPr>
              <w:t>Quintile ratio for population total income, times</w:t>
            </w:r>
          </w:p>
        </w:tc>
        <w:tc>
          <w:tcPr>
            <w:tcW w:w="374"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6E313FF"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1</w:t>
            </w:r>
            <w:r w:rsidR="00520F9B">
              <w:rPr>
                <w:rFonts w:ascii="Garamond" w:hAnsi="Garamond"/>
                <w:sz w:val="28"/>
                <w:szCs w:val="28"/>
                <w:shd w:val="clear" w:color="auto" w:fill="FFFFFF"/>
              </w:rPr>
              <w:t>.</w:t>
            </w:r>
            <w:r w:rsidRPr="003E1ECE">
              <w:rPr>
                <w:rFonts w:ascii="Garamond" w:hAnsi="Garamond"/>
                <w:sz w:val="28"/>
                <w:szCs w:val="28"/>
                <w:shd w:val="clear" w:color="auto" w:fill="FFFFFF"/>
              </w:rPr>
              <w:t>9</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0830107"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1</w:t>
            </w:r>
            <w:r w:rsidR="00520F9B">
              <w:rPr>
                <w:rFonts w:ascii="Garamond" w:hAnsi="Garamond"/>
                <w:sz w:val="28"/>
                <w:szCs w:val="28"/>
                <w:shd w:val="clear" w:color="auto" w:fill="FFFFFF"/>
              </w:rPr>
              <w:t>.</w:t>
            </w:r>
            <w:r w:rsidRPr="003E1ECE">
              <w:rPr>
                <w:rFonts w:ascii="Garamond" w:hAnsi="Garamond"/>
                <w:sz w:val="28"/>
                <w:szCs w:val="28"/>
                <w:shd w:val="clear" w:color="auto" w:fill="FFFFFF"/>
              </w:rPr>
              <w:t>9</w:t>
            </w:r>
          </w:p>
        </w:tc>
        <w:tc>
          <w:tcPr>
            <w:tcW w:w="450"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CCB548B"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1</w:t>
            </w:r>
            <w:r w:rsidR="00520F9B">
              <w:rPr>
                <w:rFonts w:ascii="Garamond" w:hAnsi="Garamond"/>
                <w:sz w:val="28"/>
                <w:szCs w:val="28"/>
                <w:shd w:val="clear" w:color="auto" w:fill="FFFFFF"/>
              </w:rPr>
              <w:t>.</w:t>
            </w:r>
            <w:r w:rsidRPr="003E1ECE">
              <w:rPr>
                <w:rFonts w:ascii="Garamond" w:hAnsi="Garamond"/>
                <w:sz w:val="28"/>
                <w:szCs w:val="28"/>
                <w:shd w:val="clear" w:color="auto" w:fill="FFFFFF"/>
              </w:rPr>
              <w:t>9</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F771AA8"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1</w:t>
            </w:r>
            <w:r w:rsidR="00520F9B">
              <w:rPr>
                <w:rFonts w:ascii="Garamond" w:hAnsi="Garamond"/>
                <w:sz w:val="28"/>
                <w:szCs w:val="28"/>
                <w:shd w:val="clear" w:color="auto" w:fill="FFFFFF"/>
              </w:rPr>
              <w:t>.</w:t>
            </w:r>
            <w:r w:rsidRPr="003E1ECE">
              <w:rPr>
                <w:rFonts w:ascii="Garamond" w:hAnsi="Garamond"/>
                <w:sz w:val="28"/>
                <w:szCs w:val="28"/>
                <w:shd w:val="clear" w:color="auto" w:fill="FFFFFF"/>
              </w:rPr>
              <w:t>9</w:t>
            </w:r>
          </w:p>
        </w:tc>
        <w:tc>
          <w:tcPr>
            <w:tcW w:w="435"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74687C8"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1</w:t>
            </w:r>
            <w:r w:rsidR="00520F9B">
              <w:rPr>
                <w:rFonts w:ascii="Garamond" w:hAnsi="Garamond"/>
                <w:sz w:val="28"/>
                <w:szCs w:val="28"/>
                <w:shd w:val="clear" w:color="auto" w:fill="FFFFFF"/>
              </w:rPr>
              <w:t>.</w:t>
            </w:r>
            <w:r w:rsidRPr="003E1ECE">
              <w:rPr>
                <w:rFonts w:ascii="Garamond" w:hAnsi="Garamond"/>
                <w:sz w:val="28"/>
                <w:szCs w:val="28"/>
                <w:shd w:val="clear" w:color="auto" w:fill="FFFFFF"/>
              </w:rPr>
              <w:t>9</w:t>
            </w:r>
          </w:p>
        </w:tc>
      </w:tr>
      <w:tr w:rsidR="00E861B3" w:rsidRPr="003E1ECE" w14:paraId="3E169270" w14:textId="77777777" w:rsidTr="00E861B3">
        <w:trPr>
          <w:trHeight w:val="240"/>
        </w:trPr>
        <w:tc>
          <w:tcPr>
            <w:tcW w:w="2843"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25836735" w14:textId="77777777" w:rsidR="003C51B1" w:rsidRPr="003E1ECE" w:rsidRDefault="003C51B1" w:rsidP="00E861B3">
            <w:pPr>
              <w:pStyle w:val="a4"/>
              <w:spacing w:line="240" w:lineRule="atLeast"/>
              <w:rPr>
                <w:rFonts w:ascii="Garamond" w:hAnsi="Garamond"/>
                <w:sz w:val="28"/>
                <w:szCs w:val="28"/>
              </w:rPr>
            </w:pPr>
            <w:r w:rsidRPr="003E1ECE">
              <w:rPr>
                <w:rFonts w:ascii="Garamond" w:hAnsi="Garamond"/>
                <w:sz w:val="28"/>
                <w:szCs w:val="28"/>
                <w:lang w:val="en-US"/>
              </w:rPr>
              <w:t>Quintile ratio for funds (by total income), times</w:t>
            </w:r>
          </w:p>
        </w:tc>
        <w:tc>
          <w:tcPr>
            <w:tcW w:w="374"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D1B284E"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5</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5E6202F"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4</w:t>
            </w:r>
          </w:p>
        </w:tc>
        <w:tc>
          <w:tcPr>
            <w:tcW w:w="450"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86DA1D5"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2</w:t>
            </w:r>
          </w:p>
        </w:tc>
        <w:tc>
          <w:tcPr>
            <w:tcW w:w="449"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0E664C3"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3</w:t>
            </w:r>
          </w:p>
        </w:tc>
        <w:tc>
          <w:tcPr>
            <w:tcW w:w="435" w:type="pct"/>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1B45466" w14:textId="77777777" w:rsidR="003C51B1" w:rsidRPr="003E1ECE" w:rsidRDefault="003C51B1" w:rsidP="00E861B3">
            <w:pPr>
              <w:pStyle w:val="a4"/>
              <w:spacing w:line="240" w:lineRule="atLeast"/>
              <w:jc w:val="center"/>
              <w:rPr>
                <w:rFonts w:ascii="Garamond" w:hAnsi="Garamond"/>
                <w:sz w:val="28"/>
                <w:szCs w:val="28"/>
              </w:rPr>
            </w:pPr>
            <w:r w:rsidRPr="003E1ECE">
              <w:rPr>
                <w:rFonts w:ascii="Garamond" w:hAnsi="Garamond"/>
                <w:sz w:val="28"/>
                <w:szCs w:val="28"/>
                <w:shd w:val="clear" w:color="auto" w:fill="FFFFFF"/>
              </w:rPr>
              <w:t>3</w:t>
            </w:r>
            <w:r w:rsidR="00520F9B">
              <w:rPr>
                <w:rFonts w:ascii="Garamond" w:hAnsi="Garamond"/>
                <w:sz w:val="28"/>
                <w:szCs w:val="28"/>
                <w:shd w:val="clear" w:color="auto" w:fill="FFFFFF"/>
              </w:rPr>
              <w:t>.</w:t>
            </w:r>
            <w:r w:rsidRPr="003E1ECE">
              <w:rPr>
                <w:rFonts w:ascii="Garamond" w:hAnsi="Garamond"/>
                <w:sz w:val="28"/>
                <w:szCs w:val="28"/>
                <w:shd w:val="clear" w:color="auto" w:fill="FFFFFF"/>
              </w:rPr>
              <w:t>1</w:t>
            </w:r>
          </w:p>
        </w:tc>
      </w:tr>
      <w:tr w:rsidR="007031BC" w:rsidRPr="003E1ECE" w14:paraId="5DEFC1D8" w14:textId="77777777" w:rsidTr="007031BC">
        <w:trPr>
          <w:trHeight w:val="240"/>
        </w:trPr>
        <w:tc>
          <w:tcPr>
            <w:tcW w:w="5000" w:type="pct"/>
            <w:gridSpan w:val="6"/>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bottom"/>
          </w:tcPr>
          <w:p w14:paraId="02FCB42C" w14:textId="77777777" w:rsidR="007031BC" w:rsidRDefault="007031BC" w:rsidP="007031BC">
            <w:pPr>
              <w:pStyle w:val="a4"/>
              <w:spacing w:line="240" w:lineRule="auto"/>
              <w:rPr>
                <w:rFonts w:ascii="Garamond" w:eastAsia="Times New Roman" w:hAnsi="Garamond" w:cs="Times New Roman"/>
                <w:sz w:val="24"/>
                <w:szCs w:val="28"/>
                <w:shd w:val="clear" w:color="auto" w:fill="FFFFFF"/>
              </w:rPr>
            </w:pPr>
            <w:r w:rsidRPr="00E861B3">
              <w:rPr>
                <w:rFonts w:ascii="Garamond" w:eastAsia="Times New Roman" w:hAnsi="Garamond" w:cs="Times New Roman"/>
                <w:sz w:val="24"/>
                <w:szCs w:val="28"/>
                <w:shd w:val="clear" w:color="auto" w:fill="FFFFFF"/>
              </w:rPr>
              <w:t>Notes:</w:t>
            </w:r>
          </w:p>
          <w:p w14:paraId="3398BB86" w14:textId="77777777" w:rsidR="007031BC" w:rsidRPr="0002207F" w:rsidRDefault="00520F9B" w:rsidP="007031BC">
            <w:pPr>
              <w:pStyle w:val="a4"/>
              <w:spacing w:line="240" w:lineRule="auto"/>
              <w:rPr>
                <w:rFonts w:ascii="Garamond" w:eastAsia="Times New Roman" w:hAnsi="Garamond" w:cs="Times New Roman"/>
                <w:sz w:val="24"/>
                <w:szCs w:val="28"/>
                <w:shd w:val="clear" w:color="auto" w:fill="FFFFFF"/>
              </w:rPr>
            </w:pPr>
            <w:r>
              <w:rPr>
                <w:rFonts w:ascii="Garamond" w:hAnsi="Garamond"/>
                <w:sz w:val="24"/>
                <w:szCs w:val="28"/>
                <w:shd w:val="clear" w:color="auto" w:fill="FFFFFF"/>
                <w:vertAlign w:val="superscript"/>
                <w:lang w:val="en-US"/>
              </w:rPr>
              <w:t xml:space="preserve">1 </w:t>
            </w:r>
            <w:r w:rsidR="007031BC" w:rsidRPr="00E861B3">
              <w:rPr>
                <w:rFonts w:ascii="Garamond" w:hAnsi="Garamond"/>
                <w:sz w:val="24"/>
                <w:szCs w:val="28"/>
                <w:shd w:val="clear" w:color="auto" w:fill="FFFFFF"/>
                <w:lang w:val="en-US"/>
              </w:rPr>
              <w:t>Excluding the temporarily occupied territories</w:t>
            </w:r>
            <w:r w:rsidR="007031BC">
              <w:rPr>
                <w:rFonts w:ascii="Garamond" w:hAnsi="Garamond"/>
                <w:sz w:val="24"/>
                <w:szCs w:val="28"/>
                <w:shd w:val="clear" w:color="auto" w:fill="FFFFFF"/>
                <w:lang w:val="en-US"/>
              </w:rPr>
              <w:t xml:space="preserve"> of</w:t>
            </w:r>
            <w:r w:rsidR="007031BC" w:rsidRPr="00E861B3">
              <w:rPr>
                <w:rFonts w:ascii="Garamond" w:hAnsi="Garamond"/>
                <w:sz w:val="24"/>
                <w:szCs w:val="28"/>
                <w:shd w:val="clear" w:color="auto" w:fill="FFFFFF"/>
                <w:lang w:val="en-US"/>
              </w:rPr>
              <w:t xml:space="preserve"> the Autonomous Republic of Crimea and the city of Sevastopol.</w:t>
            </w:r>
          </w:p>
          <w:p w14:paraId="055EDEB9" w14:textId="77777777" w:rsidR="007031BC" w:rsidRPr="00E861B3" w:rsidRDefault="00520F9B" w:rsidP="007031BC">
            <w:pPr>
              <w:pStyle w:val="a4"/>
              <w:spacing w:line="240" w:lineRule="auto"/>
              <w:jc w:val="both"/>
              <w:rPr>
                <w:rFonts w:ascii="Garamond" w:eastAsia="Times New Roman" w:hAnsi="Garamond" w:cs="Times New Roman"/>
                <w:sz w:val="24"/>
                <w:szCs w:val="28"/>
                <w:shd w:val="clear" w:color="auto" w:fill="FFFFFF"/>
              </w:rPr>
            </w:pPr>
            <w:r>
              <w:rPr>
                <w:rFonts w:ascii="Garamond" w:hAnsi="Garamond"/>
                <w:sz w:val="24"/>
                <w:szCs w:val="28"/>
                <w:shd w:val="clear" w:color="auto" w:fill="FFFFFF"/>
                <w:vertAlign w:val="superscript"/>
                <w:lang w:val="en-US"/>
              </w:rPr>
              <w:t xml:space="preserve">2 </w:t>
            </w:r>
            <w:r w:rsidR="007031BC" w:rsidRPr="00E861B3">
              <w:rPr>
                <w:rFonts w:ascii="Garamond" w:hAnsi="Garamond"/>
                <w:sz w:val="24"/>
                <w:szCs w:val="28"/>
                <w:shd w:val="clear" w:color="auto" w:fill="FFFFFF"/>
                <w:lang w:val="en-US"/>
              </w:rPr>
              <w:t>Since 2011, while compiling average per capita indicators as well as indicators of the population (households) differentiation by level of material wellbeing</w:t>
            </w:r>
            <w:r w:rsidR="007031BC">
              <w:rPr>
                <w:rFonts w:ascii="Garamond" w:hAnsi="Garamond"/>
                <w:sz w:val="24"/>
                <w:szCs w:val="28"/>
                <w:shd w:val="clear" w:color="auto" w:fill="FFFFFF"/>
                <w:lang w:val="en-US"/>
              </w:rPr>
              <w:t>,</w:t>
            </w:r>
            <w:r w:rsidR="007031BC" w:rsidRPr="00E861B3">
              <w:rPr>
                <w:rFonts w:ascii="Garamond" w:hAnsi="Garamond"/>
                <w:sz w:val="24"/>
                <w:szCs w:val="28"/>
                <w:shd w:val="clear" w:color="auto" w:fill="FFFFFF"/>
                <w:lang w:val="en-US"/>
              </w:rPr>
              <w:t xml:space="preserve"> a scale of equivalency was started to be used. To ensure the comparability of time series indicators, data for  2010 have been revised taking into account the scale of equivalency.</w:t>
            </w:r>
          </w:p>
          <w:p w14:paraId="23931DED" w14:textId="77777777" w:rsidR="007031BC" w:rsidRPr="007031BC" w:rsidRDefault="00520F9B" w:rsidP="007031BC">
            <w:pPr>
              <w:pStyle w:val="a4"/>
              <w:spacing w:line="240" w:lineRule="auto"/>
              <w:rPr>
                <w:rFonts w:ascii="Garamond" w:eastAsia="Times New Roman" w:hAnsi="Garamond" w:cs="Times New Roman"/>
                <w:sz w:val="24"/>
                <w:szCs w:val="28"/>
                <w:shd w:val="clear" w:color="auto" w:fill="FFFFFF"/>
                <w:lang w:val="en-US"/>
              </w:rPr>
            </w:pPr>
            <w:r>
              <w:rPr>
                <w:rFonts w:ascii="Garamond" w:hAnsi="Garamond"/>
                <w:sz w:val="24"/>
                <w:szCs w:val="28"/>
                <w:shd w:val="clear" w:color="auto" w:fill="FFFFFF"/>
                <w:vertAlign w:val="superscript"/>
              </w:rPr>
              <w:t>3</w:t>
            </w:r>
            <w:r w:rsidR="007031BC" w:rsidRPr="00E861B3">
              <w:rPr>
                <w:rFonts w:ascii="Garamond" w:hAnsi="Garamond"/>
                <w:sz w:val="24"/>
                <w:szCs w:val="28"/>
                <w:shd w:val="clear" w:color="auto" w:fill="FFFFFF"/>
                <w:lang w:val="en-US"/>
              </w:rPr>
              <w:t xml:space="preserve"> Excluding</w:t>
            </w:r>
            <w:r w:rsidR="007031BC">
              <w:rPr>
                <w:rFonts w:ascii="Garamond" w:hAnsi="Garamond"/>
                <w:sz w:val="24"/>
                <w:szCs w:val="28"/>
                <w:shd w:val="clear" w:color="auto" w:fill="FFFFFF"/>
                <w:lang w:val="en-US"/>
              </w:rPr>
              <w:t xml:space="preserve"> a</w:t>
            </w:r>
            <w:r w:rsidR="007031BC" w:rsidRPr="00E861B3">
              <w:rPr>
                <w:rFonts w:ascii="Garamond" w:hAnsi="Garamond"/>
                <w:sz w:val="24"/>
                <w:szCs w:val="28"/>
                <w:shd w:val="clear" w:color="auto" w:fill="FFFFFF"/>
                <w:lang w:val="en-US"/>
              </w:rPr>
              <w:t xml:space="preserve"> part of th</w:t>
            </w:r>
            <w:r w:rsidR="007031BC">
              <w:rPr>
                <w:rFonts w:ascii="Garamond" w:hAnsi="Garamond"/>
                <w:sz w:val="24"/>
                <w:szCs w:val="28"/>
                <w:shd w:val="clear" w:color="auto" w:fill="FFFFFF"/>
                <w:lang w:val="en-US"/>
              </w:rPr>
              <w:t>e anti-terrorist operation zone</w:t>
            </w:r>
          </w:p>
        </w:tc>
      </w:tr>
    </w:tbl>
    <w:p w14:paraId="51EC76E0" w14:textId="77777777" w:rsidR="003C51B1" w:rsidRPr="0002207F" w:rsidRDefault="003C51B1" w:rsidP="00E861B3">
      <w:pPr>
        <w:spacing w:line="312" w:lineRule="auto"/>
        <w:ind w:firstLine="357"/>
        <w:contextualSpacing/>
        <w:jc w:val="both"/>
        <w:rPr>
          <w:sz w:val="28"/>
          <w:lang w:val="nl-NL" w:bidi="ru-RU"/>
        </w:rPr>
      </w:pPr>
    </w:p>
    <w:p w14:paraId="77994F6E" w14:textId="77777777" w:rsidR="003C51B1" w:rsidRPr="00E861B3" w:rsidRDefault="003C51B1" w:rsidP="009E48E3">
      <w:pPr>
        <w:spacing w:line="312" w:lineRule="auto"/>
        <w:ind w:firstLine="709"/>
        <w:contextualSpacing/>
        <w:jc w:val="both"/>
        <w:rPr>
          <w:sz w:val="28"/>
          <w:lang w:val="en-US" w:bidi="ru-RU"/>
        </w:rPr>
      </w:pPr>
      <w:r w:rsidRPr="00E861B3">
        <w:rPr>
          <w:sz w:val="28"/>
          <w:lang w:val="en-US" w:bidi="ru-RU"/>
        </w:rPr>
        <w:t xml:space="preserve">However, income and its components are not the best indicators of living standards, </w:t>
      </w:r>
      <w:r w:rsidR="0002207F">
        <w:rPr>
          <w:sz w:val="28"/>
          <w:lang w:val="en-US" w:bidi="ru-RU"/>
        </w:rPr>
        <w:t>though</w:t>
      </w:r>
      <w:r w:rsidRPr="00E861B3">
        <w:rPr>
          <w:sz w:val="28"/>
          <w:lang w:val="en-US" w:bidi="ru-RU"/>
        </w:rPr>
        <w:t xml:space="preserve"> it is widely used by poverty researchers and government agencies in an investigation</w:t>
      </w:r>
      <w:r w:rsidR="0002207F">
        <w:rPr>
          <w:sz w:val="28"/>
          <w:lang w:val="en-US" w:bidi="ru-RU"/>
        </w:rPr>
        <w:t xml:space="preserve"> of</w:t>
      </w:r>
      <w:r w:rsidRPr="00E861B3">
        <w:rPr>
          <w:sz w:val="28"/>
          <w:lang w:val="en-US" w:bidi="ru-RU"/>
        </w:rPr>
        <w:t xml:space="preserve"> the living standards of the poor. The </w:t>
      </w:r>
      <w:r w:rsidRPr="00E861B3">
        <w:rPr>
          <w:b/>
          <w:sz w:val="28"/>
          <w:lang w:val="en-US" w:bidi="ru-RU"/>
        </w:rPr>
        <w:t xml:space="preserve">reasons defining the widespread use of income as </w:t>
      </w:r>
      <w:r w:rsidR="0002207F">
        <w:rPr>
          <w:b/>
          <w:sz w:val="28"/>
          <w:lang w:val="en-US" w:bidi="ru-RU"/>
        </w:rPr>
        <w:t xml:space="preserve">an </w:t>
      </w:r>
      <w:r w:rsidRPr="00E861B3">
        <w:rPr>
          <w:b/>
          <w:sz w:val="28"/>
          <w:lang w:val="en-US" w:bidi="ru-RU"/>
        </w:rPr>
        <w:t>indicator of</w:t>
      </w:r>
      <w:r w:rsidR="0002207F">
        <w:rPr>
          <w:b/>
          <w:sz w:val="28"/>
          <w:lang w:val="en-US" w:bidi="ru-RU"/>
        </w:rPr>
        <w:t xml:space="preserve"> the</w:t>
      </w:r>
      <w:r w:rsidRPr="00E861B3">
        <w:rPr>
          <w:b/>
          <w:sz w:val="28"/>
          <w:lang w:val="en-US" w:bidi="ru-RU"/>
        </w:rPr>
        <w:t xml:space="preserve"> household’s economic well-being</w:t>
      </w:r>
      <w:r w:rsidRPr="00E861B3">
        <w:rPr>
          <w:sz w:val="28"/>
          <w:lang w:val="en-US" w:bidi="ru-RU"/>
        </w:rPr>
        <w:t xml:space="preserve"> are </w:t>
      </w:r>
      <w:r w:rsidR="00A8383C">
        <w:rPr>
          <w:sz w:val="28"/>
          <w:lang w:val="en-US" w:bidi="ru-RU"/>
        </w:rPr>
        <w:t xml:space="preserve">as </w:t>
      </w:r>
      <w:r w:rsidRPr="00E861B3">
        <w:rPr>
          <w:sz w:val="28"/>
          <w:lang w:val="en-US" w:bidi="ru-RU"/>
        </w:rPr>
        <w:t>follow</w:t>
      </w:r>
      <w:r w:rsidR="00A8383C">
        <w:rPr>
          <w:sz w:val="28"/>
          <w:lang w:val="en-US" w:bidi="ru-RU"/>
        </w:rPr>
        <w:t>s</w:t>
      </w:r>
      <w:r w:rsidRPr="00E861B3">
        <w:rPr>
          <w:sz w:val="28"/>
          <w:lang w:val="en-US" w:bidi="ru-RU"/>
        </w:rPr>
        <w:t xml:space="preserve">: (i) income is a financial resource that allows households to purchase things (such as food, housing, medical care, etc.) that are needed for living according to minimum customary standards (subsistence minimum that meets household’s basic needs); (ii) income is comparatively easy to define and measure. </w:t>
      </w:r>
    </w:p>
    <w:p w14:paraId="4F8929EB" w14:textId="77777777" w:rsidR="003C51B1" w:rsidRPr="00E861B3" w:rsidRDefault="003C51B1" w:rsidP="009E48E3">
      <w:pPr>
        <w:spacing w:line="312" w:lineRule="auto"/>
        <w:ind w:firstLine="709"/>
        <w:contextualSpacing/>
        <w:jc w:val="both"/>
        <w:rPr>
          <w:sz w:val="28"/>
          <w:lang w:val="en-US" w:bidi="ru-RU"/>
        </w:rPr>
      </w:pPr>
      <w:r w:rsidRPr="00E861B3">
        <w:rPr>
          <w:sz w:val="28"/>
          <w:lang w:val="en-US" w:bidi="ru-RU"/>
        </w:rPr>
        <w:t xml:space="preserve">Nevertheless, </w:t>
      </w:r>
      <w:r w:rsidRPr="00E861B3">
        <w:rPr>
          <w:b/>
          <w:sz w:val="28"/>
          <w:lang w:val="en-US" w:bidi="ru-RU"/>
        </w:rPr>
        <w:t xml:space="preserve">income as </w:t>
      </w:r>
      <w:r w:rsidR="00A8383C">
        <w:rPr>
          <w:b/>
          <w:sz w:val="28"/>
          <w:lang w:val="en-US" w:bidi="ru-RU"/>
        </w:rPr>
        <w:t xml:space="preserve">an </w:t>
      </w:r>
      <w:r w:rsidRPr="00E861B3">
        <w:rPr>
          <w:b/>
          <w:sz w:val="28"/>
          <w:lang w:val="en-US" w:bidi="ru-RU"/>
        </w:rPr>
        <w:t xml:space="preserve">indicator of </w:t>
      </w:r>
      <w:r w:rsidR="00A8383C">
        <w:rPr>
          <w:b/>
          <w:sz w:val="28"/>
          <w:lang w:val="en-US" w:bidi="ru-RU"/>
        </w:rPr>
        <w:t xml:space="preserve">the </w:t>
      </w:r>
      <w:r w:rsidRPr="00E861B3">
        <w:rPr>
          <w:b/>
          <w:sz w:val="28"/>
          <w:lang w:val="en-US" w:bidi="ru-RU"/>
        </w:rPr>
        <w:t>household’s economic well-being has some important drawbacks</w:t>
      </w:r>
      <w:r w:rsidRPr="00E861B3">
        <w:rPr>
          <w:sz w:val="28"/>
          <w:lang w:val="en-US" w:bidi="ru-RU"/>
        </w:rPr>
        <w:t>:</w:t>
      </w:r>
    </w:p>
    <w:p w14:paraId="5C19F90E" w14:textId="77777777" w:rsidR="003C51B1" w:rsidRPr="00E861B3" w:rsidRDefault="003C51B1" w:rsidP="006F749C">
      <w:pPr>
        <w:pStyle w:val="ListParagraph"/>
        <w:numPr>
          <w:ilvl w:val="0"/>
          <w:numId w:val="148"/>
        </w:numPr>
        <w:spacing w:after="0" w:line="312" w:lineRule="auto"/>
        <w:ind w:hanging="368"/>
        <w:jc w:val="both"/>
        <w:rPr>
          <w:rFonts w:ascii="Garamond" w:hAnsi="Garamond"/>
          <w:lang w:val="en-US" w:bidi="ru-RU"/>
        </w:rPr>
      </w:pPr>
      <w:r w:rsidRPr="00E861B3">
        <w:rPr>
          <w:rFonts w:ascii="Garamond" w:hAnsi="Garamond"/>
          <w:lang w:val="en-US" w:bidi="ru-RU"/>
        </w:rPr>
        <w:t>since income is usually measured over a single year, a single-year income could be overstated or understated due to illness, temporary unemployment, an unusually generous bonus, overtime work, or other reasons;</w:t>
      </w:r>
    </w:p>
    <w:p w14:paraId="6B74825F" w14:textId="77777777" w:rsidR="003C51B1" w:rsidRPr="00E861B3" w:rsidRDefault="003C51B1" w:rsidP="006F749C">
      <w:pPr>
        <w:pStyle w:val="ListParagraph"/>
        <w:numPr>
          <w:ilvl w:val="0"/>
          <w:numId w:val="148"/>
        </w:numPr>
        <w:spacing w:after="0" w:line="312" w:lineRule="auto"/>
        <w:ind w:hanging="368"/>
        <w:jc w:val="both"/>
        <w:rPr>
          <w:rFonts w:ascii="Garamond" w:hAnsi="Garamond"/>
          <w:lang w:val="en-US" w:bidi="ru-RU"/>
        </w:rPr>
      </w:pPr>
      <w:r w:rsidRPr="00E861B3">
        <w:rPr>
          <w:rFonts w:ascii="Garamond" w:hAnsi="Garamond"/>
          <w:lang w:val="en-US" w:bidi="ru-RU"/>
        </w:rPr>
        <w:t>income also include</w:t>
      </w:r>
      <w:r w:rsidR="00A8383C">
        <w:rPr>
          <w:rFonts w:ascii="Garamond" w:hAnsi="Garamond"/>
          <w:lang w:val="en-US" w:bidi="ru-RU"/>
        </w:rPr>
        <w:t>s</w:t>
      </w:r>
      <w:r w:rsidRPr="00E861B3">
        <w:rPr>
          <w:rFonts w:ascii="Garamond" w:hAnsi="Garamond"/>
          <w:lang w:val="en-US" w:bidi="ru-RU"/>
        </w:rPr>
        <w:t xml:space="preserve"> the value of government services and in-kind benefits that do not directly belong to households;</w:t>
      </w:r>
    </w:p>
    <w:p w14:paraId="6FBA731D" w14:textId="77777777" w:rsidR="003C51B1" w:rsidRPr="00E861B3" w:rsidRDefault="003C51B1" w:rsidP="006F749C">
      <w:pPr>
        <w:pStyle w:val="ListParagraph"/>
        <w:numPr>
          <w:ilvl w:val="0"/>
          <w:numId w:val="148"/>
        </w:numPr>
        <w:spacing w:after="0" w:line="312" w:lineRule="auto"/>
        <w:ind w:hanging="368"/>
        <w:jc w:val="both"/>
        <w:rPr>
          <w:rFonts w:ascii="Garamond" w:hAnsi="Garamond"/>
          <w:lang w:val="en-US" w:bidi="ru-RU"/>
        </w:rPr>
      </w:pPr>
      <w:r w:rsidRPr="00E861B3">
        <w:rPr>
          <w:rFonts w:ascii="Garamond" w:hAnsi="Garamond"/>
          <w:lang w:val="en-US" w:bidi="ru-RU"/>
        </w:rPr>
        <w:t>some households have access to credit resource</w:t>
      </w:r>
      <w:r w:rsidR="00A8383C">
        <w:rPr>
          <w:rFonts w:ascii="Garamond" w:hAnsi="Garamond"/>
          <w:lang w:val="en-US" w:bidi="ru-RU"/>
        </w:rPr>
        <w:t>s that on the one hand, enhance</w:t>
      </w:r>
      <w:r w:rsidRPr="00E861B3">
        <w:rPr>
          <w:rFonts w:ascii="Garamond" w:hAnsi="Garamond"/>
          <w:lang w:val="en-US" w:bidi="ru-RU"/>
        </w:rPr>
        <w:t xml:space="preserve"> their ability to consume (accurately reported income will </w:t>
      </w:r>
      <w:r w:rsidR="00A8383C">
        <w:rPr>
          <w:rFonts w:ascii="Garamond" w:hAnsi="Garamond"/>
          <w:lang w:val="en-US" w:bidi="ru-RU"/>
        </w:rPr>
        <w:t xml:space="preserve">understate </w:t>
      </w:r>
      <w:r w:rsidR="00A8383C">
        <w:rPr>
          <w:rFonts w:ascii="Garamond" w:hAnsi="Garamond"/>
          <w:lang w:val="en-US" w:bidi="ru-RU"/>
        </w:rPr>
        <w:lastRenderedPageBreak/>
        <w:t>financial resources)</w:t>
      </w:r>
      <w:r w:rsidRPr="00E861B3">
        <w:rPr>
          <w:rFonts w:ascii="Garamond" w:hAnsi="Garamond"/>
          <w:lang w:val="en-US" w:bidi="ru-RU"/>
        </w:rPr>
        <w:t xml:space="preserve"> and, on the other hand, debt financing reduces consumption ability;</w:t>
      </w:r>
    </w:p>
    <w:p w14:paraId="5EDF226F" w14:textId="77777777" w:rsidR="003C51B1" w:rsidRPr="00E861B3" w:rsidRDefault="003C51B1" w:rsidP="006F749C">
      <w:pPr>
        <w:pStyle w:val="ListParagraph"/>
        <w:numPr>
          <w:ilvl w:val="0"/>
          <w:numId w:val="148"/>
        </w:numPr>
        <w:spacing w:after="0" w:line="312" w:lineRule="auto"/>
        <w:ind w:hanging="368"/>
        <w:jc w:val="both"/>
        <w:rPr>
          <w:rFonts w:ascii="Garamond" w:hAnsi="Garamond"/>
          <w:lang w:val="en-US" w:bidi="ru-RU"/>
        </w:rPr>
      </w:pPr>
      <w:r w:rsidRPr="00E861B3">
        <w:rPr>
          <w:rFonts w:ascii="Garamond" w:hAnsi="Garamond"/>
          <w:lang w:val="en-US" w:bidi="ru-RU"/>
        </w:rPr>
        <w:t>low-income households tend to underreport income.</w:t>
      </w:r>
    </w:p>
    <w:p w14:paraId="3138E2C1" w14:textId="77777777" w:rsidR="003C51B1" w:rsidRPr="00E861B3" w:rsidRDefault="003C51B1" w:rsidP="009E48E3">
      <w:pPr>
        <w:spacing w:line="312" w:lineRule="auto"/>
        <w:ind w:firstLine="709"/>
        <w:contextualSpacing/>
        <w:jc w:val="both"/>
        <w:rPr>
          <w:sz w:val="28"/>
          <w:lang w:val="en-US" w:bidi="ru-RU"/>
        </w:rPr>
      </w:pPr>
      <w:r w:rsidRPr="00E861B3">
        <w:rPr>
          <w:sz w:val="28"/>
          <w:lang w:val="en-US" w:bidi="ru-RU"/>
        </w:rPr>
        <w:t>For the foregoing reasons income could be viewed as the efficient indicator of economic well-being</w:t>
      </w:r>
      <w:r w:rsidR="00A8383C">
        <w:rPr>
          <w:sz w:val="28"/>
          <w:lang w:val="en-US" w:bidi="ru-RU"/>
        </w:rPr>
        <w:t>.</w:t>
      </w:r>
      <w:r w:rsidRPr="00E861B3">
        <w:rPr>
          <w:sz w:val="28"/>
          <w:lang w:val="en-US" w:bidi="ru-RU"/>
        </w:rPr>
        <w:t xml:space="preserve"> </w:t>
      </w:r>
      <w:r w:rsidR="00A8383C">
        <w:rPr>
          <w:sz w:val="28"/>
          <w:lang w:val="en-US" w:bidi="ru-RU"/>
        </w:rPr>
        <w:t>H</w:t>
      </w:r>
      <w:r w:rsidRPr="00E861B3">
        <w:rPr>
          <w:sz w:val="28"/>
          <w:lang w:val="en-US" w:bidi="ru-RU"/>
        </w:rPr>
        <w:t>owever, it could be used effectively along with consumption expenditures or</w:t>
      </w:r>
      <w:r w:rsidR="00A8383C">
        <w:rPr>
          <w:sz w:val="28"/>
          <w:lang w:val="en-US" w:bidi="ru-RU"/>
        </w:rPr>
        <w:t>,</w:t>
      </w:r>
      <w:r w:rsidRPr="00E861B3">
        <w:rPr>
          <w:sz w:val="28"/>
          <w:lang w:val="en-US" w:bidi="ru-RU"/>
        </w:rPr>
        <w:t xml:space="preserve"> instead</w:t>
      </w:r>
      <w:r w:rsidR="00A8383C">
        <w:rPr>
          <w:sz w:val="28"/>
          <w:lang w:val="en-US" w:bidi="ru-RU"/>
        </w:rPr>
        <w:t>,</w:t>
      </w:r>
      <w:r w:rsidRPr="00E861B3">
        <w:rPr>
          <w:sz w:val="28"/>
          <w:lang w:val="en-US" w:bidi="ru-RU"/>
        </w:rPr>
        <w:t xml:space="preserve"> examine direct indicators of material well-being</w:t>
      </w:r>
      <w:r w:rsidR="00A8383C">
        <w:rPr>
          <w:sz w:val="28"/>
          <w:lang w:val="en-US" w:bidi="ru-RU"/>
        </w:rPr>
        <w:t>,</w:t>
      </w:r>
      <w:r w:rsidRPr="00E861B3">
        <w:rPr>
          <w:sz w:val="28"/>
          <w:lang w:val="en-US" w:bidi="ru-RU"/>
        </w:rPr>
        <w:t xml:space="preserve"> such as whether people have decent food, housing conditions, medical care, clothing, and transportation. </w:t>
      </w:r>
    </w:p>
    <w:p w14:paraId="6E5FC533" w14:textId="77777777" w:rsidR="003C51B1" w:rsidRDefault="003C51B1" w:rsidP="009E48E3">
      <w:pPr>
        <w:spacing w:line="312" w:lineRule="auto"/>
        <w:ind w:firstLine="709"/>
        <w:contextualSpacing/>
        <w:jc w:val="both"/>
        <w:rPr>
          <w:sz w:val="28"/>
          <w:lang w:val="en-US" w:bidi="ru-RU"/>
        </w:rPr>
      </w:pPr>
      <w:r w:rsidRPr="00E861B3">
        <w:rPr>
          <w:sz w:val="28"/>
          <w:lang w:val="en-US" w:bidi="ru-RU"/>
        </w:rPr>
        <w:t xml:space="preserve">A </w:t>
      </w:r>
      <w:r w:rsidRPr="00CB4B81">
        <w:rPr>
          <w:b/>
          <w:sz w:val="28"/>
          <w:lang w:val="en-US" w:bidi="ru-RU"/>
        </w:rPr>
        <w:t>typical household budget</w:t>
      </w:r>
      <w:r w:rsidRPr="00E861B3">
        <w:rPr>
          <w:sz w:val="28"/>
          <w:lang w:val="en-US" w:bidi="ru-RU"/>
        </w:rPr>
        <w:t xml:space="preserve"> comprises household incomes and household expenditures as presented in </w:t>
      </w:r>
      <w:r w:rsidR="00A8383C">
        <w:rPr>
          <w:sz w:val="28"/>
          <w:lang w:val="en-US" w:bidi="ru-RU"/>
        </w:rPr>
        <w:t>F</w:t>
      </w:r>
      <w:r w:rsidRPr="00E861B3">
        <w:rPr>
          <w:sz w:val="28"/>
          <w:lang w:val="en-US" w:bidi="ru-RU"/>
        </w:rPr>
        <w:t>igure 6.2.</w:t>
      </w:r>
    </w:p>
    <w:p w14:paraId="6B1D337B" w14:textId="77777777" w:rsidR="00CB4B81" w:rsidRPr="00E861B3" w:rsidRDefault="00CB4B81" w:rsidP="00CB4B81">
      <w:pPr>
        <w:spacing w:line="312" w:lineRule="auto"/>
        <w:contextualSpacing/>
        <w:jc w:val="both"/>
        <w:rPr>
          <w:sz w:val="28"/>
          <w:lang w:val="en-US" w:bidi="ru-RU"/>
        </w:rPr>
      </w:pPr>
      <w:r>
        <w:rPr>
          <w:noProof/>
          <w:sz w:val="28"/>
          <w:lang w:val="ru-RU" w:eastAsia="ru-RU"/>
        </w:rPr>
        <mc:AlternateContent>
          <mc:Choice Requires="wpc">
            <w:drawing>
              <wp:inline distT="0" distB="0" distL="0" distR="0" wp14:anchorId="0D3D33A3" wp14:editId="7FF2B639">
                <wp:extent cx="5729468" cy="3518703"/>
                <wp:effectExtent l="0" t="0" r="5080" b="5715"/>
                <wp:docPr id="277" name="Полотно 27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08" name="Скругленный прямоугольник 308"/>
                        <wps:cNvSpPr/>
                        <wps:spPr>
                          <a:xfrm>
                            <a:off x="0" y="793224"/>
                            <a:ext cx="2465193" cy="490845"/>
                          </a:xfrm>
                          <a:prstGeom prst="roundRect">
                            <a:avLst/>
                          </a:prstGeom>
                          <a:solidFill>
                            <a:sysClr val="window" lastClr="FFFFFF">
                              <a:lumMod val="75000"/>
                            </a:sysClr>
                          </a:solidFill>
                          <a:ln w="9525" cap="flat" cmpd="sng" algn="ctr">
                            <a:noFill/>
                            <a:prstDash val="solid"/>
                          </a:ln>
                          <a:effectLst/>
                        </wps:spPr>
                        <wps:style>
                          <a:lnRef idx="2">
                            <a:schemeClr val="dk1"/>
                          </a:lnRef>
                          <a:fillRef idx="1">
                            <a:schemeClr val="lt1"/>
                          </a:fillRef>
                          <a:effectRef idx="0">
                            <a:schemeClr val="dk1"/>
                          </a:effectRef>
                          <a:fontRef idx="minor">
                            <a:schemeClr val="dk1"/>
                          </a:fontRef>
                        </wps:style>
                        <wps:txbx>
                          <w:txbxContent>
                            <w:p w14:paraId="6441B975" w14:textId="77777777" w:rsidR="00B56753" w:rsidRPr="00CB4B81" w:rsidRDefault="00B56753" w:rsidP="00CB4B81">
                              <w:pPr>
                                <w:pStyle w:val="NormalWeb"/>
                                <w:spacing w:before="0" w:beforeAutospacing="0" w:after="0" w:afterAutospacing="0"/>
                                <w:jc w:val="center"/>
                                <w:rPr>
                                  <w:sz w:val="28"/>
                                </w:rPr>
                              </w:pPr>
                              <w:r w:rsidRPr="00CB4B81">
                                <w:rPr>
                                  <w:rFonts w:ascii="Garamond" w:eastAsia="Calibri" w:hAnsi="Garamond"/>
                                  <w:b/>
                                  <w:bCs/>
                                  <w:szCs w:val="22"/>
                                  <w:lang w:val="en-US"/>
                                </w:rPr>
                                <w:t>Household income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9" name="Скругленный прямоугольник 309"/>
                        <wps:cNvSpPr/>
                        <wps:spPr>
                          <a:xfrm>
                            <a:off x="3501631" y="793339"/>
                            <a:ext cx="2227339" cy="490855"/>
                          </a:xfrm>
                          <a:prstGeom prst="roundRect">
                            <a:avLst/>
                          </a:prstGeom>
                          <a:solidFill>
                            <a:sysClr val="window" lastClr="FFFFFF">
                              <a:lumMod val="75000"/>
                            </a:sysClr>
                          </a:solidFill>
                          <a:ln w="9525" cap="flat" cmpd="sng" algn="ctr">
                            <a:noFill/>
                            <a:prstDash val="solid"/>
                          </a:ln>
                          <a:effectLst/>
                        </wps:spPr>
                        <wps:style>
                          <a:lnRef idx="2">
                            <a:schemeClr val="dk1"/>
                          </a:lnRef>
                          <a:fillRef idx="1">
                            <a:schemeClr val="lt1"/>
                          </a:fillRef>
                          <a:effectRef idx="0">
                            <a:schemeClr val="dk1"/>
                          </a:effectRef>
                          <a:fontRef idx="minor">
                            <a:schemeClr val="dk1"/>
                          </a:fontRef>
                        </wps:style>
                        <wps:txbx>
                          <w:txbxContent>
                            <w:p w14:paraId="3E7F7E61" w14:textId="77777777" w:rsidR="00B56753" w:rsidRDefault="00B56753" w:rsidP="00CB4B81">
                              <w:pPr>
                                <w:pStyle w:val="NormalWeb"/>
                                <w:spacing w:before="0" w:beforeAutospacing="0" w:after="0" w:afterAutospacing="0"/>
                                <w:jc w:val="center"/>
                              </w:pPr>
                              <w:r w:rsidRPr="00CB4B81">
                                <w:rPr>
                                  <w:rFonts w:ascii="Garamond" w:eastAsia="Calibri" w:hAnsi="Garamond"/>
                                  <w:b/>
                                  <w:bCs/>
                                  <w:lang w:val="en-US"/>
                                </w:rPr>
                                <w:t>Household expenditures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1" name="Полилиния 281"/>
                        <wps:cNvSpPr/>
                        <wps:spPr>
                          <a:xfrm>
                            <a:off x="694360" y="303311"/>
                            <a:ext cx="1481301" cy="495328"/>
                          </a:xfrm>
                          <a:custGeom>
                            <a:avLst/>
                            <a:gdLst>
                              <a:gd name="connsiteX0" fmla="*/ 1504709 w 1504709"/>
                              <a:gd name="connsiteY0" fmla="*/ 20766 h 495328"/>
                              <a:gd name="connsiteX1" fmla="*/ 671331 w 1504709"/>
                              <a:gd name="connsiteY1" fmla="*/ 55490 h 495328"/>
                              <a:gd name="connsiteX2" fmla="*/ 0 w 1504709"/>
                              <a:gd name="connsiteY2" fmla="*/ 495328 h 495328"/>
                            </a:gdLst>
                            <a:ahLst/>
                            <a:cxnLst>
                              <a:cxn ang="0">
                                <a:pos x="connsiteX0" y="connsiteY0"/>
                              </a:cxn>
                              <a:cxn ang="0">
                                <a:pos x="connsiteX1" y="connsiteY1"/>
                              </a:cxn>
                              <a:cxn ang="0">
                                <a:pos x="connsiteX2" y="connsiteY2"/>
                              </a:cxn>
                            </a:cxnLst>
                            <a:rect l="l" t="t" r="r" b="b"/>
                            <a:pathLst>
                              <a:path w="1504709" h="495328">
                                <a:moveTo>
                                  <a:pt x="1504709" y="20766"/>
                                </a:moveTo>
                                <a:cubicBezTo>
                                  <a:pt x="1213412" y="-1419"/>
                                  <a:pt x="922116" y="-23604"/>
                                  <a:pt x="671331" y="55490"/>
                                </a:cubicBezTo>
                                <a:cubicBezTo>
                                  <a:pt x="420546" y="134584"/>
                                  <a:pt x="210273" y="314956"/>
                                  <a:pt x="0" y="495328"/>
                                </a:cubicBezTo>
                              </a:path>
                            </a:pathLst>
                          </a:custGeom>
                          <a:ln>
                            <a:tailEnd type="stealth" w="med" len="lg"/>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3" name="Полилиния 313"/>
                        <wps:cNvSpPr/>
                        <wps:spPr>
                          <a:xfrm flipH="1">
                            <a:off x="3501935" y="298073"/>
                            <a:ext cx="1480820" cy="495300"/>
                          </a:xfrm>
                          <a:custGeom>
                            <a:avLst/>
                            <a:gdLst>
                              <a:gd name="connsiteX0" fmla="*/ 1504709 w 1504709"/>
                              <a:gd name="connsiteY0" fmla="*/ 20766 h 495328"/>
                              <a:gd name="connsiteX1" fmla="*/ 671331 w 1504709"/>
                              <a:gd name="connsiteY1" fmla="*/ 55490 h 495328"/>
                              <a:gd name="connsiteX2" fmla="*/ 0 w 1504709"/>
                              <a:gd name="connsiteY2" fmla="*/ 495328 h 495328"/>
                            </a:gdLst>
                            <a:ahLst/>
                            <a:cxnLst>
                              <a:cxn ang="0">
                                <a:pos x="connsiteX0" y="connsiteY0"/>
                              </a:cxn>
                              <a:cxn ang="0">
                                <a:pos x="connsiteX1" y="connsiteY1"/>
                              </a:cxn>
                              <a:cxn ang="0">
                                <a:pos x="connsiteX2" y="connsiteY2"/>
                              </a:cxn>
                            </a:cxnLst>
                            <a:rect l="l" t="t" r="r" b="b"/>
                            <a:pathLst>
                              <a:path w="1504709" h="495328">
                                <a:moveTo>
                                  <a:pt x="1504709" y="20766"/>
                                </a:moveTo>
                                <a:cubicBezTo>
                                  <a:pt x="1213412" y="-1419"/>
                                  <a:pt x="922116" y="-23604"/>
                                  <a:pt x="671331" y="55490"/>
                                </a:cubicBezTo>
                                <a:cubicBezTo>
                                  <a:pt x="420546" y="134584"/>
                                  <a:pt x="210273" y="314956"/>
                                  <a:pt x="0" y="495328"/>
                                </a:cubicBezTo>
                              </a:path>
                            </a:pathLst>
                          </a:custGeom>
                          <a:noFill/>
                          <a:ln w="9525" cap="flat" cmpd="sng" algn="ctr">
                            <a:solidFill>
                              <a:sysClr val="windowText" lastClr="000000">
                                <a:shade val="95000"/>
                                <a:satMod val="105000"/>
                              </a:sysClr>
                            </a:solidFill>
                            <a:prstDash val="solid"/>
                            <a:tailEnd type="stealth" w="med" len="lg"/>
                          </a:ln>
                          <a:effectLst/>
                        </wps:spPr>
                        <wps:style>
                          <a:lnRef idx="1">
                            <a:schemeClr val="dk1"/>
                          </a:lnRef>
                          <a:fillRef idx="0">
                            <a:schemeClr val="dk1"/>
                          </a:fillRef>
                          <a:effectRef idx="0">
                            <a:schemeClr val="dk1"/>
                          </a:effectRef>
                          <a:fontRef idx="minor">
                            <a:schemeClr val="tx1"/>
                          </a:fontRef>
                        </wps:style>
                        <wps:txbx>
                          <w:txbxContent>
                            <w:p w14:paraId="37FA3FC4" w14:textId="77777777" w:rsidR="00B56753" w:rsidRDefault="00B56753" w:rsidP="00CB4B81"/>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8" name="Овал 278"/>
                        <wps:cNvSpPr/>
                        <wps:spPr>
                          <a:xfrm>
                            <a:off x="2175851" y="57872"/>
                            <a:ext cx="1423686" cy="532436"/>
                          </a:xfrm>
                          <a:prstGeom prst="ellipse">
                            <a:avLst/>
                          </a:prstGeom>
                          <a:solidFill>
                            <a:schemeClr val="bg1">
                              <a:lumMod val="85000"/>
                            </a:schemeClr>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B9D994" w14:textId="77777777" w:rsidR="00B56753" w:rsidRPr="00CB4B81" w:rsidRDefault="00B56753" w:rsidP="00CB4B81">
                              <w:pPr>
                                <w:jc w:val="center"/>
                                <w:rPr>
                                  <w:b/>
                                  <w:lang w:val="en-US"/>
                                </w:rPr>
                              </w:pPr>
                              <w:r w:rsidRPr="00CB4B81">
                                <w:rPr>
                                  <w:b/>
                                  <w:lang w:val="en-US"/>
                                </w:rPr>
                                <w:t>Household budget</w:t>
                              </w: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wps:wsp>
                        <wps:cNvPr id="282" name="Поле 282"/>
                        <wps:cNvSpPr txBox="1"/>
                        <wps:spPr>
                          <a:xfrm>
                            <a:off x="0" y="1284011"/>
                            <a:ext cx="2465407" cy="22342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688CFB5" w14:textId="77777777" w:rsidR="00B56753" w:rsidRPr="00A651CF" w:rsidRDefault="00B56753" w:rsidP="006F749C">
                              <w:pPr>
                                <w:pStyle w:val="ListParagraph"/>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S</w:t>
                              </w:r>
                              <w:r>
                                <w:rPr>
                                  <w:rFonts w:ascii="Garamond" w:hAnsi="Garamond"/>
                                  <w:sz w:val="24"/>
                                  <w:lang w:val="en-US"/>
                                </w:rPr>
                                <w:t>alaries and wages</w:t>
                              </w:r>
                            </w:p>
                            <w:p w14:paraId="69951F54" w14:textId="77777777" w:rsidR="00B56753" w:rsidRPr="00A651CF" w:rsidRDefault="00B56753" w:rsidP="006F749C">
                              <w:pPr>
                                <w:pStyle w:val="NormalWeb"/>
                                <w:numPr>
                                  <w:ilvl w:val="0"/>
                                  <w:numId w:val="150"/>
                                </w:numPr>
                                <w:spacing w:before="0" w:beforeAutospacing="0" w:after="0" w:afterAutospacing="0" w:line="240" w:lineRule="atLeast"/>
                                <w:ind w:left="142" w:hanging="147"/>
                                <w:rPr>
                                  <w:rFonts w:ascii="Garamond" w:hAnsi="Garamond"/>
                                  <w:lang w:val="en-US"/>
                                </w:rPr>
                              </w:pPr>
                              <w:r w:rsidRPr="00A651CF">
                                <w:rPr>
                                  <w:rFonts w:ascii="Garamond" w:hAnsi="Garamond"/>
                                  <w:lang w:val="en-US"/>
                                </w:rPr>
                                <w:t xml:space="preserve">Income from entrepreneurship and </w:t>
                              </w:r>
                              <w:r>
                                <w:rPr>
                                  <w:rFonts w:ascii="Garamond" w:hAnsi="Garamond"/>
                                  <w:lang w:val="en-US"/>
                                </w:rPr>
                                <w:t>self-employment</w:t>
                              </w:r>
                            </w:p>
                            <w:p w14:paraId="18DFCBC9" w14:textId="77777777" w:rsidR="00B56753" w:rsidRPr="00A651CF" w:rsidRDefault="00B56753" w:rsidP="006F749C">
                              <w:pPr>
                                <w:pStyle w:val="ListParagraph"/>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 xml:space="preserve">Property income and investment gains </w:t>
                              </w:r>
                            </w:p>
                            <w:p w14:paraId="5C999192" w14:textId="77777777" w:rsidR="00B56753" w:rsidRPr="00A651CF" w:rsidRDefault="00B56753" w:rsidP="006F749C">
                              <w:pPr>
                                <w:pStyle w:val="ListParagraph"/>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Retirement income, s</w:t>
                              </w:r>
                              <w:r>
                                <w:rPr>
                                  <w:rFonts w:ascii="Garamond" w:hAnsi="Garamond"/>
                                  <w:sz w:val="24"/>
                                  <w:lang w:val="en-US"/>
                                </w:rPr>
                                <w:t>cholarships, social assistance</w:t>
                              </w:r>
                            </w:p>
                            <w:p w14:paraId="0A7266AF" w14:textId="77777777" w:rsidR="00B56753" w:rsidRPr="00A651CF" w:rsidRDefault="00B56753" w:rsidP="006F749C">
                              <w:pPr>
                                <w:pStyle w:val="ListParagraph"/>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Value of products produce</w:t>
                              </w:r>
                              <w:r>
                                <w:rPr>
                                  <w:rFonts w:ascii="Garamond" w:hAnsi="Garamond"/>
                                  <w:sz w:val="24"/>
                                  <w:lang w:val="en-US"/>
                                </w:rPr>
                                <w:t>d in personal subsidiary plots</w:t>
                              </w:r>
                            </w:p>
                            <w:p w14:paraId="61D9F67A" w14:textId="77777777" w:rsidR="00B56753" w:rsidRPr="00A651CF" w:rsidRDefault="00B56753" w:rsidP="006F749C">
                              <w:pPr>
                                <w:pStyle w:val="NormalWeb"/>
                                <w:numPr>
                                  <w:ilvl w:val="0"/>
                                  <w:numId w:val="150"/>
                                </w:numPr>
                                <w:spacing w:before="0" w:beforeAutospacing="0" w:after="0" w:afterAutospacing="0" w:line="240" w:lineRule="atLeast"/>
                                <w:ind w:left="142" w:hanging="147"/>
                                <w:rPr>
                                  <w:rFonts w:ascii="Garamond" w:hAnsi="Garamond"/>
                                  <w:lang w:val="en-US"/>
                                </w:rPr>
                              </w:pPr>
                              <w:r w:rsidRPr="00A651CF">
                                <w:rPr>
                                  <w:rFonts w:ascii="Garamond" w:hAnsi="Garamond"/>
                                  <w:lang w:val="en-US"/>
                                </w:rPr>
                                <w:t>Near cash government transfers, other g</w:t>
                              </w:r>
                              <w:r>
                                <w:rPr>
                                  <w:rFonts w:ascii="Garamond" w:hAnsi="Garamond"/>
                                  <w:lang w:val="en-US"/>
                                </w:rPr>
                                <w:t>overnment financial assistance</w:t>
                              </w:r>
                            </w:p>
                            <w:p w14:paraId="01D19B4A" w14:textId="77777777" w:rsidR="00B56753" w:rsidRPr="00A651CF" w:rsidRDefault="00B56753" w:rsidP="006F749C">
                              <w:pPr>
                                <w:pStyle w:val="ListParagraph"/>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Value of donated</w:t>
                              </w:r>
                              <w:r>
                                <w:rPr>
                                  <w:rFonts w:ascii="Garamond" w:hAnsi="Garamond"/>
                                  <w:sz w:val="24"/>
                                  <w:lang w:val="en-US"/>
                                </w:rPr>
                                <w:t xml:space="preserve"> property</w:t>
                              </w:r>
                            </w:p>
                            <w:p w14:paraId="613F07C0" w14:textId="77777777" w:rsidR="00B56753" w:rsidRPr="00A651CF" w:rsidRDefault="00B56753" w:rsidP="006F749C">
                              <w:pPr>
                                <w:pStyle w:val="ListParagraph"/>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Sa</w:t>
                              </w:r>
                              <w:r>
                                <w:rPr>
                                  <w:rFonts w:ascii="Garamond" w:hAnsi="Garamond"/>
                                  <w:sz w:val="24"/>
                                  <w:lang w:val="en-US"/>
                                </w:rPr>
                                <w:t>vings, borrowings, repaid debts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15" name="Поле 282"/>
                        <wps:cNvSpPr txBox="1"/>
                        <wps:spPr>
                          <a:xfrm>
                            <a:off x="3501327" y="1284020"/>
                            <a:ext cx="2226820" cy="1748547"/>
                          </a:xfrm>
                          <a:prstGeom prst="rect">
                            <a:avLst/>
                          </a:prstGeom>
                          <a:solidFill>
                            <a:sysClr val="window" lastClr="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31944CE" w14:textId="77777777" w:rsidR="00B56753" w:rsidRDefault="00B56753" w:rsidP="006F749C">
                              <w:pPr>
                                <w:pStyle w:val="NormalWeb"/>
                                <w:numPr>
                                  <w:ilvl w:val="0"/>
                                  <w:numId w:val="149"/>
                                </w:numPr>
                                <w:spacing w:before="0" w:beforeAutospacing="0" w:after="0" w:afterAutospacing="0"/>
                                <w:ind w:left="142" w:hanging="153"/>
                                <w:rPr>
                                  <w:rFonts w:ascii="Garamond" w:hAnsi="Garamond"/>
                                  <w:lang w:val="en-US"/>
                                </w:rPr>
                              </w:pPr>
                              <w:r w:rsidRPr="00A651CF">
                                <w:rPr>
                                  <w:rFonts w:ascii="Garamond" w:hAnsi="Garamond"/>
                                  <w:lang w:val="en-US"/>
                                </w:rPr>
                                <w:t xml:space="preserve">Housing and related expenditures </w:t>
                              </w:r>
                            </w:p>
                            <w:p w14:paraId="3B71730B" w14:textId="77777777" w:rsidR="00B56753" w:rsidRDefault="00B56753" w:rsidP="006F749C">
                              <w:pPr>
                                <w:pStyle w:val="NormalWeb"/>
                                <w:numPr>
                                  <w:ilvl w:val="0"/>
                                  <w:numId w:val="149"/>
                                </w:numPr>
                                <w:spacing w:before="0" w:beforeAutospacing="0" w:after="0" w:afterAutospacing="0"/>
                                <w:ind w:left="142" w:hanging="153"/>
                                <w:rPr>
                                  <w:rFonts w:ascii="Garamond" w:hAnsi="Garamond"/>
                                  <w:lang w:val="en-US"/>
                                </w:rPr>
                              </w:pPr>
                              <w:r w:rsidRPr="00A651CF">
                                <w:rPr>
                                  <w:rFonts w:ascii="Garamond" w:hAnsi="Garamond"/>
                                  <w:lang w:val="en-US"/>
                                </w:rPr>
                                <w:t xml:space="preserve">Food consumed within the home </w:t>
                              </w:r>
                            </w:p>
                            <w:p w14:paraId="0A574F88" w14:textId="77777777" w:rsidR="00B56753" w:rsidRDefault="00B56753" w:rsidP="006F749C">
                              <w:pPr>
                                <w:pStyle w:val="NormalWeb"/>
                                <w:numPr>
                                  <w:ilvl w:val="0"/>
                                  <w:numId w:val="149"/>
                                </w:numPr>
                                <w:spacing w:before="0" w:beforeAutospacing="0" w:after="0" w:afterAutospacing="0"/>
                                <w:ind w:left="142" w:hanging="153"/>
                                <w:rPr>
                                  <w:rFonts w:ascii="Garamond" w:hAnsi="Garamond"/>
                                  <w:lang w:val="en-US"/>
                                </w:rPr>
                              </w:pPr>
                              <w:r>
                                <w:rPr>
                                  <w:rFonts w:ascii="Garamond" w:hAnsi="Garamond"/>
                                  <w:lang w:val="en-US"/>
                                </w:rPr>
                                <w:t>Transport</w:t>
                              </w:r>
                            </w:p>
                            <w:p w14:paraId="5292C269" w14:textId="77777777" w:rsidR="00B56753" w:rsidRDefault="00B56753" w:rsidP="006F749C">
                              <w:pPr>
                                <w:pStyle w:val="NormalWeb"/>
                                <w:numPr>
                                  <w:ilvl w:val="0"/>
                                  <w:numId w:val="149"/>
                                </w:numPr>
                                <w:spacing w:before="0" w:beforeAutospacing="0" w:after="0" w:afterAutospacing="0"/>
                                <w:ind w:left="142" w:hanging="153"/>
                                <w:rPr>
                                  <w:rFonts w:ascii="Garamond" w:hAnsi="Garamond"/>
                                  <w:lang w:val="en-US"/>
                                </w:rPr>
                              </w:pPr>
                              <w:r>
                                <w:rPr>
                                  <w:rFonts w:ascii="Garamond" w:hAnsi="Garamond"/>
                                  <w:lang w:val="en-US"/>
                                </w:rPr>
                                <w:t>Recreation and culture</w:t>
                              </w:r>
                            </w:p>
                            <w:p w14:paraId="63392436" w14:textId="77777777" w:rsidR="00B56753" w:rsidRDefault="00B56753" w:rsidP="006F749C">
                              <w:pPr>
                                <w:pStyle w:val="NormalWeb"/>
                                <w:numPr>
                                  <w:ilvl w:val="0"/>
                                  <w:numId w:val="149"/>
                                </w:numPr>
                                <w:spacing w:before="0" w:beforeAutospacing="0" w:after="0" w:afterAutospacing="0"/>
                                <w:ind w:left="142" w:hanging="153"/>
                                <w:rPr>
                                  <w:rFonts w:ascii="Garamond" w:hAnsi="Garamond"/>
                                  <w:lang w:val="en-US"/>
                                </w:rPr>
                              </w:pPr>
                              <w:r>
                                <w:rPr>
                                  <w:rFonts w:ascii="Garamond" w:hAnsi="Garamond"/>
                                  <w:lang w:val="en-US"/>
                                </w:rPr>
                                <w:t>Educational services</w:t>
                              </w:r>
                            </w:p>
                            <w:p w14:paraId="222F254E" w14:textId="77777777" w:rsidR="00B56753" w:rsidRDefault="00B56753" w:rsidP="006F749C">
                              <w:pPr>
                                <w:pStyle w:val="NormalWeb"/>
                                <w:numPr>
                                  <w:ilvl w:val="0"/>
                                  <w:numId w:val="149"/>
                                </w:numPr>
                                <w:spacing w:before="0" w:beforeAutospacing="0" w:after="0" w:afterAutospacing="0"/>
                                <w:ind w:left="142" w:hanging="153"/>
                                <w:rPr>
                                  <w:rFonts w:ascii="Garamond" w:hAnsi="Garamond"/>
                                  <w:lang w:val="en-US"/>
                                </w:rPr>
                              </w:pPr>
                              <w:r>
                                <w:rPr>
                                  <w:rFonts w:ascii="Garamond" w:hAnsi="Garamond"/>
                                  <w:lang w:val="en-US"/>
                                </w:rPr>
                                <w:t>Health</w:t>
                              </w:r>
                            </w:p>
                            <w:p w14:paraId="05B6D437" w14:textId="77777777" w:rsidR="00B56753" w:rsidRDefault="00B56753" w:rsidP="006F749C">
                              <w:pPr>
                                <w:pStyle w:val="NormalWeb"/>
                                <w:numPr>
                                  <w:ilvl w:val="0"/>
                                  <w:numId w:val="149"/>
                                </w:numPr>
                                <w:spacing w:before="0" w:beforeAutospacing="0" w:after="0" w:afterAutospacing="0"/>
                                <w:ind w:left="142" w:hanging="153"/>
                                <w:rPr>
                                  <w:rFonts w:ascii="Garamond" w:hAnsi="Garamond"/>
                                  <w:lang w:val="en-US"/>
                                </w:rPr>
                              </w:pPr>
                              <w:r>
                                <w:rPr>
                                  <w:rFonts w:ascii="Garamond" w:hAnsi="Garamond"/>
                                  <w:lang w:val="en-US"/>
                                </w:rPr>
                                <w:t>Communications</w:t>
                              </w:r>
                            </w:p>
                            <w:p w14:paraId="51F80245" w14:textId="77777777" w:rsidR="00B56753" w:rsidRDefault="00B56753" w:rsidP="006F749C">
                              <w:pPr>
                                <w:pStyle w:val="NormalWeb"/>
                                <w:numPr>
                                  <w:ilvl w:val="0"/>
                                  <w:numId w:val="149"/>
                                </w:numPr>
                                <w:spacing w:before="0" w:beforeAutospacing="0" w:after="0" w:afterAutospacing="0"/>
                                <w:ind w:left="142" w:hanging="153"/>
                              </w:pPr>
                              <w:r>
                                <w:rPr>
                                  <w:rFonts w:ascii="Garamond" w:hAnsi="Garamond"/>
                                  <w:lang w:val="en-US"/>
                                </w:rPr>
                                <w:t>Other general living expenses</w:t>
                              </w:r>
                            </w:p>
                          </w:txbxContent>
                        </wps:txbx>
                        <wps:bodyPr rot="0" spcFirstLastPara="0" vert="horz" wrap="square" lIns="36000" tIns="0" rIns="36000" bIns="0" numCol="1" spcCol="0" rtlCol="0" fromWordArt="0" anchor="t" anchorCtr="0" forceAA="0" compatLnSpc="1">
                          <a:prstTxWarp prst="textNoShape">
                            <a:avLst/>
                          </a:prstTxWarp>
                          <a:noAutofit/>
                        </wps:bodyPr>
                      </wps:wsp>
                    </wpc:wpc>
                  </a:graphicData>
                </a:graphic>
              </wp:inline>
            </w:drawing>
          </mc:Choice>
          <mc:Fallback>
            <w:pict>
              <v:group id="Полотно 277" o:spid="_x0000_s1140" editas="canvas" style="width:451.15pt;height:277.05pt;mso-position-horizontal-relative:char;mso-position-vertical-relative:line" coordsize="57289,3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">
                <v:shape id="_x0000_s1141" type="#_x0000_t75" style="position:absolute;width:57289;height:35185;visibility:visible;mso-wrap-style:square">
                  <v:fill o:detectmouseclick="t"/>
                  <v:path o:connecttype="none"/>
                </v:shape>
                <v:roundrect id="Скругленный прямоугольник 308" o:spid="_x0000_s1142" style="position:absolute;top:7932;width:24651;height:490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Ji8MA&#10;AADcAAAADwAAAGRycy9kb3ducmV2LnhtbERPy2oCMRTdF/yHcIXuatIWREejlIJUEanPlu4uk9uZ&#10;oZObcRI1/XuzEFwezns8jbYWZ2p95VjDc0+BIM6dqbjQsN/NngYgfEA2WDsmDf/kYTrpPIwxM+7C&#10;GzpvQyFSCPsMNZQhNJmUPi/Jou+5hjhxv661GBJsC2lavKRwW8sXpfrSYsWpocSG3kvK/7Ynq2E9&#10;2K02i/hxHH6uT9+N+jksv+JM68dufBuBCBTDXXxzz42GV5XWpjPpCMjJ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NJi8MAAADcAAAADwAAAAAAAAAAAAAAAACYAgAAZHJzL2Rv&#10;d25yZXYueG1sUEsFBgAAAAAEAAQA9QAAAIgDAAAAAA==&#10;" fillcolor="#bfbfbf" stroked="f">
                  <v:textbox>
                    <w:txbxContent>
                      <w:p w:rsidR="00B56753" w:rsidRPr="00CB4B81" w:rsidRDefault="00B56753" w:rsidP="00CB4B81">
                        <w:pPr>
                          <w:pStyle w:val="afc"/>
                          <w:spacing w:before="0" w:beforeAutospacing="0" w:after="0" w:afterAutospacing="0"/>
                          <w:jc w:val="center"/>
                          <w:rPr>
                            <w:sz w:val="28"/>
                          </w:rPr>
                        </w:pPr>
                        <w:r w:rsidRPr="00CB4B81">
                          <w:rPr>
                            <w:rFonts w:ascii="Garamond" w:eastAsia="Calibri" w:hAnsi="Garamond"/>
                            <w:b/>
                            <w:bCs/>
                            <w:szCs w:val="22"/>
                            <w:lang w:val="en-US"/>
                          </w:rPr>
                          <w:t>Household income</w:t>
                        </w:r>
                      </w:p>
                    </w:txbxContent>
                  </v:textbox>
                </v:roundrect>
                <v:roundrect id="Скругленный прямоугольник 309" o:spid="_x0000_s1143" style="position:absolute;left:35016;top:7933;width:22273;height:490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sEMcA&#10;AADcAAAADwAAAGRycy9kb3ducmV2LnhtbESPW2sCMRSE3wv+h3AE32pShaJbo5SCqEipl17o22Fz&#10;urt0c7Juoqb/3ghCH4eZ+YaZzKKtxYlaXznW8NBXIIhzZyouNLzv5/cjED4gG6wdk4Y/8jCbdu4m&#10;mBl35i2ddqEQCcI+Qw1lCE0mpc9Lsuj7riFO3o9rLYYk20KaFs8Jbms5UOpRWqw4LZTY0EtJ+e/u&#10;aDVsRvvX7SouDuO3zfGrUd8f688417rXjc9PIALF8B++tZdGw1CN4XomHQE5v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Pf7BDHAAAA3AAAAA8AAAAAAAAAAAAAAAAAmAIAAGRy&#10;cy9kb3ducmV2LnhtbFBLBQYAAAAABAAEAPUAAACMAwAAAAA=&#10;" fillcolor="#bfbfbf" stroked="f">
                  <v:textbox>
                    <w:txbxContent>
                      <w:p w:rsidR="00B56753" w:rsidRDefault="00B56753" w:rsidP="00CB4B81">
                        <w:pPr>
                          <w:pStyle w:val="afc"/>
                          <w:spacing w:before="0" w:beforeAutospacing="0" w:after="0" w:afterAutospacing="0"/>
                          <w:jc w:val="center"/>
                        </w:pPr>
                        <w:r w:rsidRPr="00CB4B81">
                          <w:rPr>
                            <w:rFonts w:ascii="Garamond" w:eastAsia="Calibri" w:hAnsi="Garamond"/>
                            <w:b/>
                            <w:bCs/>
                            <w:lang w:val="en-US"/>
                          </w:rPr>
                          <w:t>Household expenditures</w:t>
                        </w:r>
                      </w:p>
                    </w:txbxContent>
                  </v:textbox>
                </v:roundrect>
                <v:shape id="Полилиния 281" o:spid="_x0000_s1144" style="position:absolute;left:6943;top:3033;width:14813;height:4953;visibility:visible;mso-wrap-style:square;v-text-anchor:middle" coordsize="1504709,4953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QoxsIA&#10;AADcAAAADwAAAGRycy9kb3ducmV2LnhtbESPT4vCMBTE7wt+h/CEvSya1oNK1yiyUNiL4N/7o3nb&#10;FpuXkkRTv/1GEDwOM/MbZrUZTCfu5HxrWUE+zUAQV1a3XCs4n8rJEoQPyBo7y6TgQR4269HHCgtt&#10;Ix/ofgy1SBD2BSpoQugLKX3VkEE/tT1x8v6sMxiSdLXUDmOCm07OsmwuDbacFhrs6aeh6nq8GQXR&#10;57ft4vwVT7Hu3GW/K69zLJX6HA/bbxCBhvAOv9q/WsFsmcPzTDoCcv0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NCjGwgAAANwAAAAPAAAAAAAAAAAAAAAAAJgCAABkcnMvZG93&#10;bnJldi54bWxQSwUGAAAAAAQABAD1AAAAhwMAAAAA&#10;" path="m1504709,20766c1213412,-1419,922116,-23604,671331,55490,420546,134584,210273,314956,,495328e" filled="f" strokecolor="black [3040]">
                  <v:stroke endarrow="classic" endarrowlength="long"/>
                  <v:path arrowok="t" o:connecttype="custom" o:connectlocs="1481301,20766;660887,55490;0,495328" o:connectangles="0,0,0"/>
                </v:shape>
                <v:shape id="Полилиния 313" o:spid="_x0000_s1145" style="position:absolute;left:35019;top:2980;width:14808;height:4953;flip:x;visibility:visible;mso-wrap-style:square;v-text-anchor:middle" coordsize="1504709,49532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Wuj8MA&#10;AADcAAAADwAAAGRycy9kb3ducmV2LnhtbESPQYvCMBSE7wv+h/AEb2uq4iLVKCII3kRdEG/P5tlW&#10;m5fSxLb6640geBxm5htmtmhNIWqqXG5ZwaAfgSBOrM45VfB/WP9OQDiPrLGwTAoe5GAx7/zMMNa2&#10;4R3Ve5+KAGEXo4LM+zKW0iUZGXR9WxIH72Irgz7IKpW6wibATSGHUfQnDeYcFjIsaZVRctvfjYJN&#10;/tyu07o5Dq9nPC3HjyftmqtSvW67nILw1Ppv+NPeaAWjwQjeZ8IR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Wuj8MAAADcAAAADwAAAAAAAAAAAAAAAACYAgAAZHJzL2Rv&#10;d25yZXYueG1sUEsFBgAAAAAEAAQA9QAAAIgDAAAAAA==&#10;" adj="-11796480,,5400" path="m1504709,20766c1213412,-1419,922116,-23604,671331,55490,420546,134584,210273,314956,,495328e" filled="f">
                  <v:stroke endarrow="classic" endarrowlength="long" joinstyle="miter"/>
                  <v:formulas/>
                  <v:path arrowok="t" o:connecttype="custom" o:connectlocs="1480820,20765;660673,55487;0,495300" o:connectangles="0,0,0" textboxrect="0,0,1504709,495328"/>
                  <v:textbox>
                    <w:txbxContent>
                      <w:p w:rsidR="00B56753" w:rsidRDefault="00B56753" w:rsidP="00CB4B81"/>
                    </w:txbxContent>
                  </v:textbox>
                </v:shape>
                <v:oval id="Овал 278" o:spid="_x0000_s1146" style="position:absolute;left:21758;top:578;width:14237;height:53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XJsQA&#10;AADcAAAADwAAAGRycy9kb3ducmV2LnhtbESPwW7CMAyG75P2DpEncRvpQIKpI6BpGgjBqbDdrcZr&#10;ujZO1YRS3h4fJu1o/f4/+1ttRt+qgfpYBzbwMs1AEZfB1lwZ+Dpvn19BxYRssQ1MBm4UYbN+fFhh&#10;bsOVCxpOqVIC4ZijAZdSl2sdS0ce4zR0xJL9hN5jkrGvtO3xKnDf6lmWLbTHmuWCw44+HJXN6eKF&#10;smvmh++haIrl8bJ12fHT/1JjzORpfH8DlWhM/8t/7b01MFvKtyIjIq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1ybEAAAA3AAAAA8AAAAAAAAAAAAAAAAAmAIAAGRycy9k&#10;b3ducmV2LnhtbFBLBQYAAAAABAAEAPUAAACJAwAAAAA=&#10;" fillcolor="#d8d8d8 [2732]" stroked="f" strokeweight=".5pt">
                  <v:textbox inset="1mm,0,1mm,0">
                    <w:txbxContent>
                      <w:p w:rsidR="00B56753" w:rsidRPr="00CB4B81" w:rsidRDefault="00B56753" w:rsidP="00CB4B81">
                        <w:pPr>
                          <w:jc w:val="center"/>
                          <w:rPr>
                            <w:b/>
                            <w:lang w:val="en-US"/>
                          </w:rPr>
                        </w:pPr>
                        <w:r w:rsidRPr="00CB4B81">
                          <w:rPr>
                            <w:b/>
                            <w:lang w:val="en-US"/>
                          </w:rPr>
                          <w:t>Household budget</w:t>
                        </w:r>
                      </w:p>
                    </w:txbxContent>
                  </v:textbox>
                </v:oval>
                <v:shape id="Поле 282" o:spid="_x0000_s1147" type="#_x0000_t202" style="position:absolute;top:12840;width:24654;height:22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xhYsYA&#10;AADcAAAADwAAAGRycy9kb3ducmV2LnhtbESPQWvCQBSE7wX/w/KEXkrdNBQN0VVUEBRaRCueH9nX&#10;bGr2bZrdavTXu4VCj8PMfMNMZp2txZlaXzlW8DJIQBAXTldcKjh8rJ4zED4ga6wdk4IreZhNew8T&#10;zLW78I7O+1CKCGGfowITQpNL6QtDFv3ANcTR+3StxRBlW0rd4iXCbS3TJBlKixXHBYMNLQ0Vp/2P&#10;VZBdX9+fjsPR8avebhbmVn7z2wmVeux38zGIQF34D/+111pBmqXweyYeAT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vxhYsYAAADcAAAADwAAAAAAAAAAAAAAAACYAgAAZHJz&#10;L2Rvd25yZXYueG1sUEsFBgAAAAAEAAQA9QAAAIsDAAAAAA==&#10;" fillcolor="white [3201]" stroked="f" strokeweight=".5pt">
                  <v:textbox inset="0,0,0,0">
                    <w:txbxContent>
                      <w:p w:rsidR="00B56753" w:rsidRPr="00A651CF" w:rsidRDefault="00B56753" w:rsidP="006F749C">
                        <w:pPr>
                          <w:pStyle w:val="afb"/>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S</w:t>
                        </w:r>
                        <w:r>
                          <w:rPr>
                            <w:rFonts w:ascii="Garamond" w:hAnsi="Garamond"/>
                            <w:sz w:val="24"/>
                            <w:lang w:val="en-US"/>
                          </w:rPr>
                          <w:t>alaries and wages</w:t>
                        </w:r>
                      </w:p>
                      <w:p w:rsidR="00B56753" w:rsidRPr="00A651CF" w:rsidRDefault="00B56753" w:rsidP="006F749C">
                        <w:pPr>
                          <w:pStyle w:val="afc"/>
                          <w:numPr>
                            <w:ilvl w:val="0"/>
                            <w:numId w:val="150"/>
                          </w:numPr>
                          <w:spacing w:before="0" w:beforeAutospacing="0" w:after="0" w:afterAutospacing="0" w:line="240" w:lineRule="atLeast"/>
                          <w:ind w:left="142" w:hanging="147"/>
                          <w:rPr>
                            <w:rFonts w:ascii="Garamond" w:hAnsi="Garamond"/>
                            <w:lang w:val="en-US"/>
                          </w:rPr>
                        </w:pPr>
                        <w:r w:rsidRPr="00A651CF">
                          <w:rPr>
                            <w:rFonts w:ascii="Garamond" w:hAnsi="Garamond"/>
                            <w:lang w:val="en-US"/>
                          </w:rPr>
                          <w:t xml:space="preserve">Income from entrepreneurship and </w:t>
                        </w:r>
                        <w:r>
                          <w:rPr>
                            <w:rFonts w:ascii="Garamond" w:hAnsi="Garamond"/>
                            <w:lang w:val="en-US"/>
                          </w:rPr>
                          <w:t>self-employment</w:t>
                        </w:r>
                      </w:p>
                      <w:p w:rsidR="00B56753" w:rsidRPr="00A651CF" w:rsidRDefault="00B56753" w:rsidP="006F749C">
                        <w:pPr>
                          <w:pStyle w:val="afb"/>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 xml:space="preserve">Property income and investment gains </w:t>
                        </w:r>
                      </w:p>
                      <w:p w:rsidR="00B56753" w:rsidRPr="00A651CF" w:rsidRDefault="00B56753" w:rsidP="006F749C">
                        <w:pPr>
                          <w:pStyle w:val="afb"/>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Retirement income, s</w:t>
                        </w:r>
                        <w:r>
                          <w:rPr>
                            <w:rFonts w:ascii="Garamond" w:hAnsi="Garamond"/>
                            <w:sz w:val="24"/>
                            <w:lang w:val="en-US"/>
                          </w:rPr>
                          <w:t>cholarships, social assistance</w:t>
                        </w:r>
                      </w:p>
                      <w:p w:rsidR="00B56753" w:rsidRPr="00A651CF" w:rsidRDefault="00B56753" w:rsidP="006F749C">
                        <w:pPr>
                          <w:pStyle w:val="afb"/>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Value of products produce</w:t>
                        </w:r>
                        <w:r>
                          <w:rPr>
                            <w:rFonts w:ascii="Garamond" w:hAnsi="Garamond"/>
                            <w:sz w:val="24"/>
                            <w:lang w:val="en-US"/>
                          </w:rPr>
                          <w:t>d in personal subsidiary plots</w:t>
                        </w:r>
                      </w:p>
                      <w:p w:rsidR="00B56753" w:rsidRPr="00A651CF" w:rsidRDefault="00B56753" w:rsidP="006F749C">
                        <w:pPr>
                          <w:pStyle w:val="afc"/>
                          <w:numPr>
                            <w:ilvl w:val="0"/>
                            <w:numId w:val="150"/>
                          </w:numPr>
                          <w:spacing w:before="0" w:beforeAutospacing="0" w:after="0" w:afterAutospacing="0" w:line="240" w:lineRule="atLeast"/>
                          <w:ind w:left="142" w:hanging="147"/>
                          <w:rPr>
                            <w:rFonts w:ascii="Garamond" w:hAnsi="Garamond"/>
                            <w:lang w:val="en-US"/>
                          </w:rPr>
                        </w:pPr>
                        <w:r w:rsidRPr="00A651CF">
                          <w:rPr>
                            <w:rFonts w:ascii="Garamond" w:hAnsi="Garamond"/>
                            <w:lang w:val="en-US"/>
                          </w:rPr>
                          <w:t>Near cash government transfers, other g</w:t>
                        </w:r>
                        <w:r>
                          <w:rPr>
                            <w:rFonts w:ascii="Garamond" w:hAnsi="Garamond"/>
                            <w:lang w:val="en-US"/>
                          </w:rPr>
                          <w:t>overnment financial assistance</w:t>
                        </w:r>
                      </w:p>
                      <w:p w:rsidR="00B56753" w:rsidRPr="00A651CF" w:rsidRDefault="00B56753" w:rsidP="006F749C">
                        <w:pPr>
                          <w:pStyle w:val="afb"/>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Value of donated</w:t>
                        </w:r>
                        <w:r>
                          <w:rPr>
                            <w:rFonts w:ascii="Garamond" w:hAnsi="Garamond"/>
                            <w:sz w:val="24"/>
                            <w:lang w:val="en-US"/>
                          </w:rPr>
                          <w:t xml:space="preserve"> property</w:t>
                        </w:r>
                      </w:p>
                      <w:p w:rsidR="00B56753" w:rsidRPr="00A651CF" w:rsidRDefault="00B56753" w:rsidP="006F749C">
                        <w:pPr>
                          <w:pStyle w:val="afb"/>
                          <w:numPr>
                            <w:ilvl w:val="0"/>
                            <w:numId w:val="150"/>
                          </w:numPr>
                          <w:spacing w:after="0" w:line="240" w:lineRule="atLeast"/>
                          <w:ind w:left="142" w:hanging="147"/>
                          <w:rPr>
                            <w:rFonts w:ascii="Garamond" w:hAnsi="Garamond"/>
                            <w:sz w:val="24"/>
                            <w:lang w:val="en-US"/>
                          </w:rPr>
                        </w:pPr>
                        <w:r w:rsidRPr="00A651CF">
                          <w:rPr>
                            <w:rFonts w:ascii="Garamond" w:hAnsi="Garamond"/>
                            <w:sz w:val="24"/>
                            <w:lang w:val="en-US"/>
                          </w:rPr>
                          <w:t>Sa</w:t>
                        </w:r>
                        <w:r>
                          <w:rPr>
                            <w:rFonts w:ascii="Garamond" w:hAnsi="Garamond"/>
                            <w:sz w:val="24"/>
                            <w:lang w:val="en-US"/>
                          </w:rPr>
                          <w:t>vings, borrowings, repaid debts</w:t>
                        </w:r>
                      </w:p>
                    </w:txbxContent>
                  </v:textbox>
                </v:shape>
                <v:shape id="Поле 282" o:spid="_x0000_s1148" type="#_x0000_t202" style="position:absolute;left:35013;top:12840;width:22268;height:17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kS6MUA&#10;AADcAAAADwAAAGRycy9kb3ducmV2LnhtbESPT2vCQBTE74V+h+UVetNN1JaSuoqKotCTf8DrM/ua&#10;jWbfhuw2xm/vCkKPw8z8hhlPO1uJlhpfOlaQ9hMQxLnTJRcKDvtV7wuED8gaK8ek4EYeppPXlzFm&#10;2l15S+0uFCJC2GeowIRQZ1L63JBF33c1cfR+XWMxRNkUUjd4jXBbyUGSfEqLJccFgzUtDOWX3Z9V&#10;8OPa5XHO6elshsX+sF6MTscwUur9rZt9gwjUhf/ws73RCobpBzzOxCMgJ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KRLoxQAAANwAAAAPAAAAAAAAAAAAAAAAAJgCAABkcnMv&#10;ZG93bnJldi54bWxQSwUGAAAAAAQABAD1AAAAigMAAAAA&#10;" fillcolor="window" stroked="f" strokeweight=".5pt">
                  <v:textbox inset="1mm,0,1mm,0">
                    <w:txbxContent>
                      <w:p w:rsidR="00B56753" w:rsidRDefault="00B56753" w:rsidP="006F749C">
                        <w:pPr>
                          <w:pStyle w:val="afc"/>
                          <w:numPr>
                            <w:ilvl w:val="0"/>
                            <w:numId w:val="149"/>
                          </w:numPr>
                          <w:spacing w:before="0" w:beforeAutospacing="0" w:after="0" w:afterAutospacing="0"/>
                          <w:ind w:left="142" w:hanging="153"/>
                          <w:rPr>
                            <w:rFonts w:ascii="Garamond" w:hAnsi="Garamond"/>
                            <w:lang w:val="en-US"/>
                          </w:rPr>
                        </w:pPr>
                        <w:r w:rsidRPr="00A651CF">
                          <w:rPr>
                            <w:rFonts w:ascii="Garamond" w:hAnsi="Garamond"/>
                            <w:lang w:val="en-US"/>
                          </w:rPr>
                          <w:t xml:space="preserve">Housing and related expenditures </w:t>
                        </w:r>
                      </w:p>
                      <w:p w:rsidR="00B56753" w:rsidRDefault="00B56753" w:rsidP="006F749C">
                        <w:pPr>
                          <w:pStyle w:val="afc"/>
                          <w:numPr>
                            <w:ilvl w:val="0"/>
                            <w:numId w:val="149"/>
                          </w:numPr>
                          <w:spacing w:before="0" w:beforeAutospacing="0" w:after="0" w:afterAutospacing="0"/>
                          <w:ind w:left="142" w:hanging="153"/>
                          <w:rPr>
                            <w:rFonts w:ascii="Garamond" w:hAnsi="Garamond"/>
                            <w:lang w:val="en-US"/>
                          </w:rPr>
                        </w:pPr>
                        <w:r w:rsidRPr="00A651CF">
                          <w:rPr>
                            <w:rFonts w:ascii="Garamond" w:hAnsi="Garamond"/>
                            <w:lang w:val="en-US"/>
                          </w:rPr>
                          <w:t xml:space="preserve">Food consumed within the home </w:t>
                        </w:r>
                      </w:p>
                      <w:p w:rsidR="00B56753" w:rsidRDefault="00B56753" w:rsidP="006F749C">
                        <w:pPr>
                          <w:pStyle w:val="afc"/>
                          <w:numPr>
                            <w:ilvl w:val="0"/>
                            <w:numId w:val="149"/>
                          </w:numPr>
                          <w:spacing w:before="0" w:beforeAutospacing="0" w:after="0" w:afterAutospacing="0"/>
                          <w:ind w:left="142" w:hanging="153"/>
                          <w:rPr>
                            <w:rFonts w:ascii="Garamond" w:hAnsi="Garamond"/>
                            <w:lang w:val="en-US"/>
                          </w:rPr>
                        </w:pPr>
                        <w:r>
                          <w:rPr>
                            <w:rFonts w:ascii="Garamond" w:hAnsi="Garamond"/>
                            <w:lang w:val="en-US"/>
                          </w:rPr>
                          <w:t>Transport</w:t>
                        </w:r>
                      </w:p>
                      <w:p w:rsidR="00B56753" w:rsidRDefault="00B56753" w:rsidP="006F749C">
                        <w:pPr>
                          <w:pStyle w:val="afc"/>
                          <w:numPr>
                            <w:ilvl w:val="0"/>
                            <w:numId w:val="149"/>
                          </w:numPr>
                          <w:spacing w:before="0" w:beforeAutospacing="0" w:after="0" w:afterAutospacing="0"/>
                          <w:ind w:left="142" w:hanging="153"/>
                          <w:rPr>
                            <w:rFonts w:ascii="Garamond" w:hAnsi="Garamond"/>
                            <w:lang w:val="en-US"/>
                          </w:rPr>
                        </w:pPr>
                        <w:r>
                          <w:rPr>
                            <w:rFonts w:ascii="Garamond" w:hAnsi="Garamond"/>
                            <w:lang w:val="en-US"/>
                          </w:rPr>
                          <w:t>Recreation and culture</w:t>
                        </w:r>
                      </w:p>
                      <w:p w:rsidR="00B56753" w:rsidRDefault="00B56753" w:rsidP="006F749C">
                        <w:pPr>
                          <w:pStyle w:val="afc"/>
                          <w:numPr>
                            <w:ilvl w:val="0"/>
                            <w:numId w:val="149"/>
                          </w:numPr>
                          <w:spacing w:before="0" w:beforeAutospacing="0" w:after="0" w:afterAutospacing="0"/>
                          <w:ind w:left="142" w:hanging="153"/>
                          <w:rPr>
                            <w:rFonts w:ascii="Garamond" w:hAnsi="Garamond"/>
                            <w:lang w:val="en-US"/>
                          </w:rPr>
                        </w:pPr>
                        <w:r>
                          <w:rPr>
                            <w:rFonts w:ascii="Garamond" w:hAnsi="Garamond"/>
                            <w:lang w:val="en-US"/>
                          </w:rPr>
                          <w:t>Educational services</w:t>
                        </w:r>
                      </w:p>
                      <w:p w:rsidR="00B56753" w:rsidRDefault="00B56753" w:rsidP="006F749C">
                        <w:pPr>
                          <w:pStyle w:val="afc"/>
                          <w:numPr>
                            <w:ilvl w:val="0"/>
                            <w:numId w:val="149"/>
                          </w:numPr>
                          <w:spacing w:before="0" w:beforeAutospacing="0" w:after="0" w:afterAutospacing="0"/>
                          <w:ind w:left="142" w:hanging="153"/>
                          <w:rPr>
                            <w:rFonts w:ascii="Garamond" w:hAnsi="Garamond"/>
                            <w:lang w:val="en-US"/>
                          </w:rPr>
                        </w:pPr>
                        <w:r>
                          <w:rPr>
                            <w:rFonts w:ascii="Garamond" w:hAnsi="Garamond"/>
                            <w:lang w:val="en-US"/>
                          </w:rPr>
                          <w:t>Health</w:t>
                        </w:r>
                      </w:p>
                      <w:p w:rsidR="00B56753" w:rsidRDefault="00B56753" w:rsidP="006F749C">
                        <w:pPr>
                          <w:pStyle w:val="afc"/>
                          <w:numPr>
                            <w:ilvl w:val="0"/>
                            <w:numId w:val="149"/>
                          </w:numPr>
                          <w:spacing w:before="0" w:beforeAutospacing="0" w:after="0" w:afterAutospacing="0"/>
                          <w:ind w:left="142" w:hanging="153"/>
                          <w:rPr>
                            <w:rFonts w:ascii="Garamond" w:hAnsi="Garamond"/>
                            <w:lang w:val="en-US"/>
                          </w:rPr>
                        </w:pPr>
                        <w:r>
                          <w:rPr>
                            <w:rFonts w:ascii="Garamond" w:hAnsi="Garamond"/>
                            <w:lang w:val="en-US"/>
                          </w:rPr>
                          <w:t>Communications</w:t>
                        </w:r>
                      </w:p>
                      <w:p w:rsidR="00B56753" w:rsidRDefault="00B56753" w:rsidP="006F749C">
                        <w:pPr>
                          <w:pStyle w:val="afc"/>
                          <w:numPr>
                            <w:ilvl w:val="0"/>
                            <w:numId w:val="149"/>
                          </w:numPr>
                          <w:spacing w:before="0" w:beforeAutospacing="0" w:after="0" w:afterAutospacing="0"/>
                          <w:ind w:left="142" w:hanging="153"/>
                        </w:pPr>
                        <w:r>
                          <w:rPr>
                            <w:rFonts w:ascii="Garamond" w:hAnsi="Garamond"/>
                            <w:lang w:val="en-US"/>
                          </w:rPr>
                          <w:t>Other general living expenses</w:t>
                        </w:r>
                      </w:p>
                    </w:txbxContent>
                  </v:textbox>
                </v:shape>
                <w10:anchorlock/>
              </v:group>
            </w:pict>
          </mc:Fallback>
        </mc:AlternateContent>
      </w:r>
    </w:p>
    <w:p w14:paraId="5A4CDC8F" w14:textId="77777777" w:rsidR="003C51B1" w:rsidRPr="00A651CF" w:rsidRDefault="00A651CF" w:rsidP="009E48E3">
      <w:pPr>
        <w:pStyle w:val="a4"/>
        <w:spacing w:line="240" w:lineRule="auto"/>
        <w:ind w:firstLine="709"/>
        <w:jc w:val="center"/>
        <w:rPr>
          <w:rFonts w:ascii="Garamond" w:eastAsia="Times New Roman" w:hAnsi="Garamond" w:cs="Times New Roman"/>
          <w:b/>
          <w:sz w:val="28"/>
          <w:szCs w:val="28"/>
        </w:rPr>
      </w:pPr>
      <w:r w:rsidRPr="00A651CF">
        <w:rPr>
          <w:rFonts w:ascii="Garamond" w:eastAsia="Times New Roman" w:hAnsi="Garamond" w:cs="Times New Roman"/>
          <w:b/>
          <w:sz w:val="28"/>
          <w:szCs w:val="28"/>
        </w:rPr>
        <w:t>Figure 6.2</w:t>
      </w:r>
      <w:r w:rsidR="009E48E3">
        <w:rPr>
          <w:rFonts w:ascii="Garamond" w:eastAsia="Times New Roman" w:hAnsi="Garamond" w:cs="Times New Roman"/>
          <w:b/>
          <w:sz w:val="28"/>
          <w:szCs w:val="28"/>
        </w:rPr>
        <w:t xml:space="preserve"> –</w:t>
      </w:r>
      <w:r w:rsidRPr="00A651CF">
        <w:rPr>
          <w:rFonts w:ascii="Garamond" w:eastAsia="Times New Roman" w:hAnsi="Garamond" w:cs="Times New Roman"/>
          <w:b/>
          <w:sz w:val="28"/>
          <w:szCs w:val="28"/>
        </w:rPr>
        <w:t xml:space="preserve"> The structure of the household budget</w:t>
      </w:r>
    </w:p>
    <w:p w14:paraId="51B642EC" w14:textId="77777777" w:rsidR="003C51B1" w:rsidRPr="003E1ECE" w:rsidRDefault="003C51B1" w:rsidP="009E48E3">
      <w:pPr>
        <w:pStyle w:val="a4"/>
        <w:spacing w:line="240" w:lineRule="auto"/>
        <w:ind w:firstLine="709"/>
        <w:jc w:val="both"/>
        <w:rPr>
          <w:rFonts w:ascii="Garamond" w:eastAsia="Times New Roman" w:hAnsi="Garamond" w:cs="Times New Roman"/>
          <w:sz w:val="28"/>
          <w:szCs w:val="28"/>
        </w:rPr>
      </w:pPr>
      <w:r w:rsidRPr="003E1ECE">
        <w:rPr>
          <w:rFonts w:ascii="Garamond" w:hAnsi="Garamond"/>
          <w:sz w:val="28"/>
          <w:szCs w:val="28"/>
          <w:lang w:val="en-US"/>
        </w:rPr>
        <w:t xml:space="preserve"> </w:t>
      </w:r>
    </w:p>
    <w:p w14:paraId="583243EE" w14:textId="77777777" w:rsidR="003C51B1" w:rsidRPr="00A651CF" w:rsidRDefault="003C51B1" w:rsidP="009E48E3">
      <w:pPr>
        <w:spacing w:line="312" w:lineRule="auto"/>
        <w:ind w:firstLine="709"/>
        <w:contextualSpacing/>
        <w:jc w:val="both"/>
        <w:rPr>
          <w:sz w:val="28"/>
          <w:lang w:val="en-US" w:bidi="ru-RU"/>
        </w:rPr>
      </w:pPr>
      <w:r w:rsidRPr="00A651CF">
        <w:rPr>
          <w:b/>
          <w:sz w:val="28"/>
          <w:lang w:val="en-US" w:bidi="ru-RU"/>
        </w:rPr>
        <w:t>Household income</w:t>
      </w:r>
      <w:r w:rsidRPr="00A651CF">
        <w:rPr>
          <w:sz w:val="28"/>
          <w:lang w:val="en-US" w:bidi="ru-RU"/>
        </w:rPr>
        <w:t xml:space="preserve"> is a complex term </w:t>
      </w:r>
      <w:r w:rsidR="00A8383C">
        <w:rPr>
          <w:sz w:val="28"/>
          <w:lang w:val="en-US" w:bidi="ru-RU"/>
        </w:rPr>
        <w:t>which</w:t>
      </w:r>
      <w:r w:rsidRPr="00A651CF">
        <w:rPr>
          <w:sz w:val="28"/>
          <w:lang w:val="en-US" w:bidi="ru-RU"/>
        </w:rPr>
        <w:t xml:space="preserve"> include</w:t>
      </w:r>
      <w:r w:rsidR="00A8383C">
        <w:rPr>
          <w:sz w:val="28"/>
          <w:lang w:val="en-US" w:bidi="ru-RU"/>
        </w:rPr>
        <w:t>s</w:t>
      </w:r>
      <w:r w:rsidRPr="00A651CF">
        <w:rPr>
          <w:sz w:val="28"/>
          <w:lang w:val="en-US" w:bidi="ru-RU"/>
        </w:rPr>
        <w:t xml:space="preserve"> all sources</w:t>
      </w:r>
      <w:r w:rsidR="00A8383C">
        <w:rPr>
          <w:sz w:val="28"/>
          <w:lang w:val="en-US" w:bidi="ru-RU"/>
        </w:rPr>
        <w:t xml:space="preserve"> that refer</w:t>
      </w:r>
      <w:r w:rsidRPr="00A651CF">
        <w:rPr>
          <w:sz w:val="28"/>
          <w:lang w:val="en-US" w:bidi="ru-RU"/>
        </w:rPr>
        <w:t xml:space="preserve"> to recurrent and regular inco</w:t>
      </w:r>
      <w:r w:rsidR="00A8383C">
        <w:rPr>
          <w:sz w:val="28"/>
          <w:lang w:val="en-US" w:bidi="ru-RU"/>
        </w:rPr>
        <w:t>me from employment and business</w:t>
      </w:r>
      <w:r w:rsidRPr="00A651CF">
        <w:rPr>
          <w:sz w:val="28"/>
          <w:lang w:val="en-US" w:bidi="ru-RU"/>
        </w:rPr>
        <w:t xml:space="preserve"> as well as income from investment, rental and other sources such as pension and contributions from relatives and friends who are not staying in the same household. Household income also </w:t>
      </w:r>
      <w:r w:rsidR="00A8383C">
        <w:rPr>
          <w:sz w:val="28"/>
          <w:lang w:val="en-US" w:bidi="ru-RU"/>
        </w:rPr>
        <w:t>may</w:t>
      </w:r>
      <w:r w:rsidRPr="00A651CF">
        <w:rPr>
          <w:sz w:val="28"/>
          <w:lang w:val="en-US" w:bidi="ru-RU"/>
        </w:rPr>
        <w:t xml:space="preserve"> include regular government transfers and/or irregular receipts or one-off payments</w:t>
      </w:r>
      <w:r w:rsidR="00A8383C">
        <w:rPr>
          <w:sz w:val="28"/>
          <w:lang w:val="en-US" w:bidi="ru-RU"/>
        </w:rPr>
        <w:t>,</w:t>
      </w:r>
      <w:r w:rsidRPr="00A651CF">
        <w:rPr>
          <w:sz w:val="28"/>
          <w:lang w:val="en-US" w:bidi="ru-RU"/>
        </w:rPr>
        <w:t xml:space="preserve"> such as proceeds from a sale of properties, capital gains from trading in stocks and shares, windfalls, non-recurring insurance payouts, etc. The structure of household </w:t>
      </w:r>
      <w:r w:rsidRPr="00A651CF">
        <w:rPr>
          <w:sz w:val="28"/>
          <w:lang w:val="en-US" w:bidi="ru-RU"/>
        </w:rPr>
        <w:lastRenderedPageBreak/>
        <w:t xml:space="preserve">income in Ukraine is shown in </w:t>
      </w:r>
      <w:r w:rsidR="00A8383C">
        <w:rPr>
          <w:sz w:val="28"/>
          <w:lang w:val="en-US" w:bidi="ru-RU"/>
        </w:rPr>
        <w:t>T</w:t>
      </w:r>
      <w:r w:rsidRPr="00A651CF">
        <w:rPr>
          <w:sz w:val="28"/>
          <w:lang w:val="en-US" w:bidi="ru-RU"/>
        </w:rPr>
        <w:t>able 6.3.</w:t>
      </w:r>
      <w:r w:rsidR="00A651CF">
        <w:rPr>
          <w:sz w:val="28"/>
          <w:lang w:val="en-US" w:bidi="ru-RU"/>
        </w:rPr>
        <w:t xml:space="preserve"> </w:t>
      </w:r>
      <w:r w:rsidRPr="00A651CF">
        <w:rPr>
          <w:b/>
          <w:sz w:val="28"/>
          <w:lang w:val="en-US" w:bidi="ru-RU"/>
        </w:rPr>
        <w:t>Household income</w:t>
      </w:r>
      <w:r w:rsidRPr="00A651CF">
        <w:rPr>
          <w:sz w:val="28"/>
          <w:lang w:val="en-US" w:bidi="ru-RU"/>
        </w:rPr>
        <w:t xml:space="preserve"> received could be classified according to the following </w:t>
      </w:r>
      <w:r w:rsidRPr="00A651CF">
        <w:rPr>
          <w:b/>
          <w:sz w:val="28"/>
          <w:lang w:val="en-US" w:bidi="ru-RU"/>
        </w:rPr>
        <w:t>main sources</w:t>
      </w:r>
      <w:r w:rsidRPr="00A651CF">
        <w:rPr>
          <w:sz w:val="28"/>
          <w:lang w:val="en-US" w:bidi="ru-RU"/>
        </w:rPr>
        <w:t xml:space="preserve">: </w:t>
      </w:r>
    </w:p>
    <w:p w14:paraId="1B64E664" w14:textId="77777777" w:rsidR="003C51B1" w:rsidRPr="00A651CF" w:rsidRDefault="003C51B1" w:rsidP="009E48E3">
      <w:pPr>
        <w:spacing w:line="312" w:lineRule="auto"/>
        <w:ind w:firstLine="709"/>
        <w:contextualSpacing/>
        <w:jc w:val="both"/>
        <w:rPr>
          <w:sz w:val="28"/>
          <w:lang w:val="en-US" w:bidi="ru-RU"/>
        </w:rPr>
      </w:pPr>
      <w:r w:rsidRPr="00A651CF">
        <w:rPr>
          <w:sz w:val="28"/>
          <w:lang w:val="en-US" w:bidi="ru-RU"/>
        </w:rPr>
        <w:t xml:space="preserve">(i) </w:t>
      </w:r>
      <w:r w:rsidRPr="00A651CF">
        <w:rPr>
          <w:b/>
          <w:sz w:val="28"/>
          <w:lang w:val="en-US" w:bidi="ru-RU"/>
        </w:rPr>
        <w:t>employment income</w:t>
      </w:r>
      <w:r w:rsidRPr="00A651CF">
        <w:rPr>
          <w:sz w:val="28"/>
          <w:lang w:val="en-US" w:bidi="ru-RU"/>
        </w:rPr>
        <w:t xml:space="preserve"> received by working members of the household from employmen</w:t>
      </w:r>
      <w:r w:rsidR="00A8383C">
        <w:rPr>
          <w:sz w:val="28"/>
          <w:lang w:val="en-US" w:bidi="ru-RU"/>
        </w:rPr>
        <w:t>t before deduction for</w:t>
      </w:r>
      <w:r w:rsidRPr="00A651CF">
        <w:rPr>
          <w:sz w:val="28"/>
          <w:lang w:val="en-US" w:bidi="ru-RU"/>
        </w:rPr>
        <w:t xml:space="preserve"> tax or loan repayment. It includes the basic wage or salary, employer’s and employee’s contributions, leave allowance and overtime pay, comm</w:t>
      </w:r>
      <w:r w:rsidR="00A8383C">
        <w:rPr>
          <w:sz w:val="28"/>
          <w:lang w:val="en-US" w:bidi="ru-RU"/>
        </w:rPr>
        <w:t>issions, tips, wage supplements</w:t>
      </w:r>
      <w:r w:rsidRPr="00A651CF">
        <w:rPr>
          <w:sz w:val="28"/>
          <w:lang w:val="en-US" w:bidi="ru-RU"/>
        </w:rPr>
        <w:t xml:space="preserve"> as well as income in kind provided by the employer, e.g., food, clothing</w:t>
      </w:r>
      <w:r w:rsidR="00A8383C">
        <w:rPr>
          <w:sz w:val="28"/>
          <w:lang w:val="en-US" w:bidi="ru-RU"/>
        </w:rPr>
        <w:t>,</w:t>
      </w:r>
      <w:r w:rsidRPr="00A651CF">
        <w:rPr>
          <w:sz w:val="28"/>
          <w:lang w:val="en-US" w:bidi="ru-RU"/>
        </w:rPr>
        <w:t xml:space="preserve"> and lodging. It also includes one-twelfth of the annual bonus as well as regular income rec</w:t>
      </w:r>
      <w:r w:rsidR="00520F9B">
        <w:rPr>
          <w:sz w:val="28"/>
          <w:lang w:val="en-US" w:bidi="ru-RU"/>
        </w:rPr>
        <w:t>eived from secondary employment;</w:t>
      </w:r>
      <w:r w:rsidRPr="00A651CF">
        <w:rPr>
          <w:sz w:val="28"/>
          <w:lang w:val="en-US" w:bidi="ru-RU"/>
        </w:rPr>
        <w:t xml:space="preserve"> </w:t>
      </w:r>
    </w:p>
    <w:p w14:paraId="08E75782" w14:textId="77777777" w:rsidR="003C51B1" w:rsidRPr="00A651CF" w:rsidRDefault="003C51B1" w:rsidP="009E48E3">
      <w:pPr>
        <w:spacing w:line="312" w:lineRule="auto"/>
        <w:ind w:firstLine="709"/>
        <w:contextualSpacing/>
        <w:jc w:val="both"/>
        <w:rPr>
          <w:sz w:val="28"/>
          <w:lang w:val="en-US" w:bidi="ru-RU"/>
        </w:rPr>
      </w:pPr>
      <w:r w:rsidRPr="00A651CF">
        <w:rPr>
          <w:sz w:val="28"/>
          <w:lang w:val="en-US" w:bidi="ru-RU"/>
        </w:rPr>
        <w:t xml:space="preserve">(ii) </w:t>
      </w:r>
      <w:r w:rsidRPr="00A651CF">
        <w:rPr>
          <w:b/>
          <w:sz w:val="28"/>
          <w:lang w:val="en-US" w:bidi="ru-RU"/>
        </w:rPr>
        <w:t>business income</w:t>
      </w:r>
      <w:r w:rsidRPr="00A651CF">
        <w:rPr>
          <w:sz w:val="28"/>
          <w:lang w:val="en-US" w:bidi="ru-RU"/>
        </w:rPr>
        <w:t xml:space="preserve"> refers to the average monthly receipts or profits a person earns from business, trade or profess</w:t>
      </w:r>
      <w:r w:rsidR="00A8383C">
        <w:rPr>
          <w:sz w:val="28"/>
          <w:lang w:val="en-US" w:bidi="ru-RU"/>
        </w:rPr>
        <w:t>ion</w:t>
      </w:r>
      <w:r w:rsidRPr="00A651CF">
        <w:rPr>
          <w:sz w:val="28"/>
          <w:lang w:val="en-US" w:bidi="ru-RU"/>
        </w:rPr>
        <w:t xml:space="preserve"> after deducting all operating expenses (purchases of materials and services, rent for premises or machineries, the cost of repair of machineries and fixtures). When a person’s income is derived from a partnership, his income refers to his share of the net profit. Also included are the regular incomes received from any secondary business engagements, estimated value of goods (at a current retail price) taken from shop or farm for household’s own consumption as well as royalties received</w:t>
      </w:r>
      <w:r w:rsidR="00520F9B">
        <w:rPr>
          <w:sz w:val="28"/>
          <w:lang w:val="en-US" w:bidi="ru-RU"/>
        </w:rPr>
        <w:t>;</w:t>
      </w:r>
      <w:r w:rsidRPr="00A651CF">
        <w:rPr>
          <w:sz w:val="28"/>
          <w:lang w:val="en-US" w:bidi="ru-RU"/>
        </w:rPr>
        <w:t xml:space="preserve">         </w:t>
      </w:r>
    </w:p>
    <w:p w14:paraId="2E14CD27" w14:textId="77777777" w:rsidR="003C51B1" w:rsidRPr="00A651CF" w:rsidRDefault="003C51B1" w:rsidP="009E48E3">
      <w:pPr>
        <w:spacing w:line="312" w:lineRule="auto"/>
        <w:ind w:firstLine="709"/>
        <w:contextualSpacing/>
        <w:jc w:val="both"/>
        <w:rPr>
          <w:sz w:val="28"/>
          <w:lang w:val="en-US" w:bidi="ru-RU"/>
        </w:rPr>
      </w:pPr>
      <w:r w:rsidRPr="00A651CF">
        <w:rPr>
          <w:sz w:val="28"/>
          <w:lang w:val="en-US" w:bidi="ru-RU"/>
        </w:rPr>
        <w:t xml:space="preserve">(iii) </w:t>
      </w:r>
      <w:r w:rsidRPr="00A651CF">
        <w:rPr>
          <w:b/>
          <w:sz w:val="28"/>
          <w:lang w:val="en-US" w:bidi="ru-RU"/>
        </w:rPr>
        <w:t>rental income</w:t>
      </w:r>
      <w:r w:rsidRPr="00A651CF">
        <w:rPr>
          <w:sz w:val="28"/>
          <w:lang w:val="en-US" w:bidi="ru-RU"/>
        </w:rPr>
        <w:t xml:space="preserve"> includes the gross monthly rentals received from renting out houses, including subletting of rooms, shops or other fixed assets (e.g.</w:t>
      </w:r>
      <w:r w:rsidR="00A8383C">
        <w:rPr>
          <w:sz w:val="28"/>
          <w:lang w:val="en-US" w:bidi="ru-RU"/>
        </w:rPr>
        <w:t>,</w:t>
      </w:r>
      <w:r w:rsidRPr="00A651CF">
        <w:rPr>
          <w:sz w:val="28"/>
          <w:lang w:val="en-US" w:bidi="ru-RU"/>
        </w:rPr>
        <w:t xml:space="preserve"> equipment, machinery,</w:t>
      </w:r>
      <w:r w:rsidR="00520F9B">
        <w:rPr>
          <w:sz w:val="28"/>
          <w:lang w:val="en-US" w:bidi="ru-RU"/>
        </w:rPr>
        <w:t xml:space="preserve"> etc.);</w:t>
      </w:r>
    </w:p>
    <w:p w14:paraId="6F0F0A1C" w14:textId="77777777" w:rsidR="003C51B1" w:rsidRPr="00A651CF" w:rsidRDefault="003C51B1" w:rsidP="009E48E3">
      <w:pPr>
        <w:spacing w:line="312" w:lineRule="auto"/>
        <w:ind w:firstLine="709"/>
        <w:contextualSpacing/>
        <w:jc w:val="both"/>
        <w:rPr>
          <w:sz w:val="28"/>
          <w:lang w:val="en-US" w:bidi="ru-RU"/>
        </w:rPr>
      </w:pPr>
      <w:r w:rsidRPr="00A651CF">
        <w:rPr>
          <w:sz w:val="28"/>
          <w:lang w:val="en-US" w:bidi="ru-RU"/>
        </w:rPr>
        <w:t xml:space="preserve">(iv) </w:t>
      </w:r>
      <w:r w:rsidRPr="00A651CF">
        <w:rPr>
          <w:b/>
          <w:sz w:val="28"/>
          <w:lang w:val="en-US" w:bidi="ru-RU"/>
        </w:rPr>
        <w:t>investment income</w:t>
      </w:r>
      <w:r w:rsidRPr="00A651CF">
        <w:rPr>
          <w:sz w:val="28"/>
          <w:lang w:val="en-US" w:bidi="ru-RU"/>
        </w:rPr>
        <w:t xml:space="preserve"> includes interest income (interests received or credited for saving/fixed deposit</w:t>
      </w:r>
      <w:r w:rsidR="00A8383C">
        <w:rPr>
          <w:sz w:val="28"/>
          <w:lang w:val="en-US" w:bidi="ru-RU"/>
        </w:rPr>
        <w:t>s with banks, finance companies</w:t>
      </w:r>
      <w:r w:rsidRPr="00A651CF">
        <w:rPr>
          <w:sz w:val="28"/>
          <w:lang w:val="en-US" w:bidi="ru-RU"/>
        </w:rPr>
        <w:t xml:space="preserve"> as well as interest received from Government securities, interests on loans extended) and dividend income (amount of dividends received from stocks and shares, exchange traded funds, growth funds, and unit trusts)</w:t>
      </w:r>
      <w:r w:rsidR="00520F9B">
        <w:rPr>
          <w:sz w:val="28"/>
          <w:lang w:val="en-US" w:bidi="ru-RU"/>
        </w:rPr>
        <w:t>;</w:t>
      </w:r>
    </w:p>
    <w:p w14:paraId="2F03D62C" w14:textId="77777777" w:rsidR="003C51B1" w:rsidRPr="00A651CF" w:rsidRDefault="003C51B1" w:rsidP="009E48E3">
      <w:pPr>
        <w:spacing w:line="312" w:lineRule="auto"/>
        <w:ind w:firstLine="709"/>
        <w:contextualSpacing/>
        <w:jc w:val="both"/>
        <w:rPr>
          <w:sz w:val="28"/>
          <w:lang w:val="en-US" w:bidi="ru-RU"/>
        </w:rPr>
      </w:pPr>
      <w:r w:rsidRPr="00A651CF">
        <w:rPr>
          <w:sz w:val="28"/>
          <w:lang w:val="en-US" w:bidi="ru-RU"/>
        </w:rPr>
        <w:t xml:space="preserve">(v) </w:t>
      </w:r>
      <w:r w:rsidRPr="00A651CF">
        <w:rPr>
          <w:b/>
          <w:sz w:val="28"/>
          <w:lang w:val="en-US" w:bidi="ru-RU"/>
        </w:rPr>
        <w:t>contributions</w:t>
      </w:r>
      <w:r w:rsidRPr="00A651CF">
        <w:rPr>
          <w:sz w:val="28"/>
          <w:lang w:val="en-US" w:bidi="ru-RU"/>
        </w:rPr>
        <w:t xml:space="preserve"> include the average monthly cash contributions given by any persons who are not members of the same household. It includes alimony or regular money allowance received by the divorcee</w:t>
      </w:r>
      <w:r w:rsidR="00520F9B">
        <w:rPr>
          <w:sz w:val="28"/>
          <w:lang w:val="en-US" w:bidi="ru-RU"/>
        </w:rPr>
        <w:t>;</w:t>
      </w:r>
    </w:p>
    <w:p w14:paraId="413C3585" w14:textId="77777777" w:rsidR="003C51B1" w:rsidRPr="00A651CF" w:rsidRDefault="003C51B1" w:rsidP="009E48E3">
      <w:pPr>
        <w:spacing w:line="312" w:lineRule="auto"/>
        <w:ind w:firstLine="709"/>
        <w:contextualSpacing/>
        <w:jc w:val="both"/>
        <w:rPr>
          <w:sz w:val="28"/>
          <w:lang w:val="en-US" w:bidi="ru-RU"/>
        </w:rPr>
      </w:pPr>
      <w:r w:rsidRPr="00A651CF">
        <w:rPr>
          <w:sz w:val="28"/>
          <w:lang w:val="en-US" w:bidi="ru-RU"/>
        </w:rPr>
        <w:t xml:space="preserve">(vi) </w:t>
      </w:r>
      <w:r w:rsidRPr="00A651CF">
        <w:rPr>
          <w:b/>
          <w:sz w:val="28"/>
          <w:lang w:val="en-US" w:bidi="ru-RU"/>
        </w:rPr>
        <w:t xml:space="preserve">pension </w:t>
      </w:r>
      <w:r w:rsidRPr="00A651CF">
        <w:rPr>
          <w:sz w:val="28"/>
          <w:lang w:val="en-US" w:bidi="ru-RU"/>
        </w:rPr>
        <w:t>refers to the payment received by the retired person</w:t>
      </w:r>
      <w:r w:rsidR="00520F9B">
        <w:rPr>
          <w:sz w:val="28"/>
          <w:lang w:val="en-US" w:bidi="ru-RU"/>
        </w:rPr>
        <w:t>;</w:t>
      </w:r>
    </w:p>
    <w:p w14:paraId="3DDDF97F" w14:textId="77777777" w:rsidR="003C51B1" w:rsidRPr="00A651CF" w:rsidRDefault="003C51B1" w:rsidP="009E48E3">
      <w:pPr>
        <w:spacing w:line="312" w:lineRule="auto"/>
        <w:ind w:firstLine="709"/>
        <w:contextualSpacing/>
        <w:jc w:val="both"/>
        <w:rPr>
          <w:sz w:val="28"/>
          <w:lang w:val="en-US" w:bidi="ru-RU"/>
        </w:rPr>
      </w:pPr>
      <w:r w:rsidRPr="00A651CF">
        <w:rPr>
          <w:sz w:val="28"/>
          <w:lang w:val="en-US" w:bidi="ru-RU"/>
        </w:rPr>
        <w:t xml:space="preserve">(vii) </w:t>
      </w:r>
      <w:r w:rsidRPr="00A651CF">
        <w:rPr>
          <w:b/>
          <w:sz w:val="28"/>
          <w:lang w:val="en-US" w:bidi="ru-RU"/>
        </w:rPr>
        <w:t>social welfare grants</w:t>
      </w:r>
      <w:r w:rsidRPr="00A651CF">
        <w:rPr>
          <w:sz w:val="28"/>
          <w:lang w:val="en-US" w:bidi="ru-RU"/>
        </w:rPr>
        <w:t xml:space="preserve"> include public assistance or regular allowances received by the household or person from the government or charitable organizations</w:t>
      </w:r>
      <w:r w:rsidR="00520F9B">
        <w:rPr>
          <w:sz w:val="28"/>
          <w:lang w:val="en-US" w:bidi="ru-RU"/>
        </w:rPr>
        <w:t>;</w:t>
      </w:r>
    </w:p>
    <w:p w14:paraId="07B9503C" w14:textId="77777777" w:rsidR="003C51B1" w:rsidRPr="00A651CF" w:rsidRDefault="003C51B1" w:rsidP="009E48E3">
      <w:pPr>
        <w:spacing w:line="312" w:lineRule="auto"/>
        <w:ind w:firstLine="709"/>
        <w:contextualSpacing/>
        <w:jc w:val="both"/>
        <w:rPr>
          <w:sz w:val="28"/>
          <w:lang w:val="en-US" w:bidi="ru-RU"/>
        </w:rPr>
      </w:pPr>
      <w:r w:rsidRPr="00A651CF">
        <w:rPr>
          <w:sz w:val="28"/>
          <w:lang w:val="en-US" w:bidi="ru-RU"/>
        </w:rPr>
        <w:t xml:space="preserve">(viii) </w:t>
      </w:r>
      <w:r w:rsidRPr="00A651CF">
        <w:rPr>
          <w:b/>
          <w:sz w:val="28"/>
          <w:lang w:val="en-US" w:bidi="ru-RU"/>
        </w:rPr>
        <w:t>bursary, scholarship, and fellowship</w:t>
      </w:r>
      <w:r w:rsidRPr="00A651CF">
        <w:rPr>
          <w:sz w:val="28"/>
          <w:lang w:val="en-US" w:bidi="ru-RU"/>
        </w:rPr>
        <w:t xml:space="preserve"> refer to the average monthly grants from such awards received by students or persons for studying, training or research in educational institutions, training or research centers</w:t>
      </w:r>
      <w:r w:rsidR="00520F9B">
        <w:rPr>
          <w:sz w:val="28"/>
          <w:lang w:val="en-US" w:bidi="ru-RU"/>
        </w:rPr>
        <w:t>;</w:t>
      </w:r>
    </w:p>
    <w:p w14:paraId="6B47D221" w14:textId="77777777" w:rsidR="003C51B1" w:rsidRPr="00A651CF" w:rsidRDefault="003C51B1" w:rsidP="009E48E3">
      <w:pPr>
        <w:spacing w:line="312" w:lineRule="auto"/>
        <w:ind w:firstLine="709"/>
        <w:contextualSpacing/>
        <w:jc w:val="both"/>
        <w:rPr>
          <w:sz w:val="28"/>
          <w:lang w:val="en-US" w:bidi="ru-RU"/>
        </w:rPr>
      </w:pPr>
      <w:r w:rsidRPr="00A651CF">
        <w:rPr>
          <w:sz w:val="28"/>
          <w:lang w:val="en-US" w:bidi="ru-RU"/>
        </w:rPr>
        <w:lastRenderedPageBreak/>
        <w:t xml:space="preserve">(ix) </w:t>
      </w:r>
      <w:r w:rsidRPr="00A651CF">
        <w:rPr>
          <w:b/>
          <w:sz w:val="28"/>
          <w:lang w:val="en-US" w:bidi="ru-RU"/>
        </w:rPr>
        <w:t>regular payment from insurance policies</w:t>
      </w:r>
      <w:r w:rsidRPr="00A651CF">
        <w:rPr>
          <w:sz w:val="28"/>
          <w:lang w:val="en-US" w:bidi="ru-RU"/>
        </w:rPr>
        <w:t xml:space="preserve"> refers to the regular (income loss) compensation payout due to critical illness, disability or other conditions covered by the insurance protection policy</w:t>
      </w:r>
      <w:r w:rsidR="00520F9B">
        <w:rPr>
          <w:sz w:val="28"/>
          <w:lang w:val="en-US" w:bidi="ru-RU"/>
        </w:rPr>
        <w:t>;</w:t>
      </w:r>
    </w:p>
    <w:p w14:paraId="3D552F01" w14:textId="77777777" w:rsidR="003C51B1" w:rsidRDefault="003C51B1" w:rsidP="009E48E3">
      <w:pPr>
        <w:spacing w:line="312" w:lineRule="auto"/>
        <w:ind w:firstLine="709"/>
        <w:contextualSpacing/>
        <w:jc w:val="both"/>
        <w:rPr>
          <w:sz w:val="28"/>
          <w:lang w:val="en-US" w:bidi="ru-RU"/>
        </w:rPr>
      </w:pPr>
      <w:r w:rsidRPr="00A651CF">
        <w:rPr>
          <w:sz w:val="28"/>
          <w:lang w:val="en-US" w:bidi="ru-RU"/>
        </w:rPr>
        <w:t xml:space="preserve">(x) </w:t>
      </w:r>
      <w:r w:rsidRPr="00A651CF">
        <w:rPr>
          <w:b/>
          <w:sz w:val="28"/>
          <w:lang w:val="en-US" w:bidi="ru-RU"/>
        </w:rPr>
        <w:t>government transfers</w:t>
      </w:r>
      <w:r w:rsidRPr="00A651CF">
        <w:rPr>
          <w:sz w:val="28"/>
          <w:lang w:val="en-US" w:bidi="ru-RU"/>
        </w:rPr>
        <w:t xml:space="preserve"> refer to regular government transfers and transfers </w:t>
      </w:r>
      <w:r w:rsidR="00A8383C">
        <w:rPr>
          <w:sz w:val="28"/>
          <w:lang w:val="en-US" w:bidi="ru-RU"/>
        </w:rPr>
        <w:t xml:space="preserve">that </w:t>
      </w:r>
      <w:r w:rsidRPr="00A651CF">
        <w:rPr>
          <w:sz w:val="28"/>
          <w:lang w:val="en-US" w:bidi="ru-RU"/>
        </w:rPr>
        <w:t>are disbursed on an ad-hoc, irregular basis over a specific period</w:t>
      </w:r>
      <w:r w:rsidR="00A8383C">
        <w:rPr>
          <w:sz w:val="28"/>
          <w:lang w:val="en-US" w:bidi="ru-RU"/>
        </w:rPr>
        <w:t>,</w:t>
      </w:r>
      <w:r w:rsidRPr="00A651CF">
        <w:rPr>
          <w:sz w:val="28"/>
          <w:lang w:val="en-US" w:bidi="ru-RU"/>
        </w:rPr>
        <w:t xml:space="preserve"> or at specific life stages.  </w:t>
      </w:r>
    </w:p>
    <w:p w14:paraId="07F90C50" w14:textId="77777777" w:rsidR="00A651CF" w:rsidRDefault="00A651CF" w:rsidP="009E48E3">
      <w:pPr>
        <w:spacing w:line="312" w:lineRule="auto"/>
        <w:ind w:firstLine="709"/>
        <w:contextualSpacing/>
        <w:jc w:val="both"/>
        <w:rPr>
          <w:sz w:val="28"/>
          <w:lang w:val="en-US" w:bidi="ru-RU"/>
        </w:rPr>
      </w:pPr>
    </w:p>
    <w:p w14:paraId="785A0F75" w14:textId="77777777" w:rsidR="003C51B1" w:rsidRPr="00520F9B" w:rsidRDefault="003C51B1" w:rsidP="00520F9B">
      <w:pPr>
        <w:spacing w:line="312" w:lineRule="auto"/>
        <w:contextualSpacing/>
        <w:jc w:val="both"/>
        <w:rPr>
          <w:b/>
          <w:sz w:val="28"/>
          <w:vertAlign w:val="superscript"/>
          <w:lang w:val="en-US" w:bidi="ru-RU"/>
        </w:rPr>
      </w:pPr>
      <w:r w:rsidRPr="00A651CF">
        <w:rPr>
          <w:b/>
          <w:sz w:val="28"/>
          <w:lang w:val="en-US" w:bidi="ru-RU"/>
        </w:rPr>
        <w:t>Table 6.3</w:t>
      </w:r>
      <w:r w:rsidR="009E48E3">
        <w:rPr>
          <w:b/>
          <w:sz w:val="28"/>
          <w:lang w:val="en-US" w:bidi="ru-RU"/>
        </w:rPr>
        <w:t xml:space="preserve"> – </w:t>
      </w:r>
      <w:r w:rsidRPr="00A651CF">
        <w:rPr>
          <w:b/>
          <w:sz w:val="28"/>
          <w:lang w:val="en-US" w:bidi="ru-RU"/>
        </w:rPr>
        <w:t>Structure of total resources in Ukraine</w:t>
      </w:r>
      <w:r w:rsidR="00520F9B">
        <w:rPr>
          <w:b/>
          <w:sz w:val="28"/>
          <w:vertAlign w:val="superscript"/>
          <w:lang w:val="en-US" w:bidi="ru-RU"/>
        </w:rPr>
        <w:t>1</w:t>
      </w:r>
    </w:p>
    <w:tbl>
      <w:tblPr>
        <w:tblW w:w="0" w:type="auto"/>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5479"/>
        <w:gridCol w:w="774"/>
        <w:gridCol w:w="774"/>
        <w:gridCol w:w="774"/>
        <w:gridCol w:w="774"/>
        <w:gridCol w:w="774"/>
      </w:tblGrid>
      <w:tr w:rsidR="00A651CF" w:rsidRPr="00A651CF" w14:paraId="581C6213" w14:textId="77777777" w:rsidTr="00A651CF">
        <w:trPr>
          <w:trHeight w:val="305"/>
        </w:trPr>
        <w:tc>
          <w:tcPr>
            <w:tcW w:w="0" w:type="auto"/>
            <w:vMerge w:val="restart"/>
            <w:tcBorders>
              <w:top w:val="single" w:sz="6" w:space="0" w:color="000000"/>
              <w:left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320FF6C3" w14:textId="77777777" w:rsidR="00A651CF" w:rsidRPr="00A651CF" w:rsidRDefault="00A651CF" w:rsidP="00A651CF">
            <w:pPr>
              <w:contextualSpacing/>
              <w:jc w:val="center"/>
              <w:rPr>
                <w:sz w:val="28"/>
                <w:lang w:val="en-US" w:bidi="ru-RU"/>
              </w:rPr>
            </w:pPr>
          </w:p>
        </w:tc>
        <w:tc>
          <w:tcPr>
            <w:tcW w:w="0" w:type="auto"/>
            <w:gridSpan w:val="5"/>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297A690A" w14:textId="77777777" w:rsidR="00A651CF" w:rsidRPr="00A651CF" w:rsidRDefault="00A651CF" w:rsidP="00A651CF">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A651CF">
              <w:rPr>
                <w:rFonts w:ascii="Garamond" w:eastAsia="Times New Roman" w:hAnsi="Garamond" w:cs="Times New Roman"/>
                <w:sz w:val="28"/>
                <w:szCs w:val="24"/>
                <w:bdr w:val="none" w:sz="0" w:space="0" w:color="auto"/>
                <w:lang w:val="en-US" w:bidi="ru-RU"/>
              </w:rPr>
              <w:t>Year</w:t>
            </w:r>
          </w:p>
        </w:tc>
      </w:tr>
      <w:tr w:rsidR="00A651CF" w:rsidRPr="00A651CF" w14:paraId="5C98E279" w14:textId="77777777" w:rsidTr="00A651CF">
        <w:trPr>
          <w:trHeight w:val="305"/>
        </w:trPr>
        <w:tc>
          <w:tcPr>
            <w:tcW w:w="0" w:type="auto"/>
            <w:vMerge/>
            <w:tcBorders>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53EB4AA4" w14:textId="77777777" w:rsidR="00A651CF" w:rsidRPr="00A651CF" w:rsidRDefault="00A651CF" w:rsidP="00A651CF">
            <w:pPr>
              <w:contextualSpacing/>
              <w:jc w:val="center"/>
              <w:rPr>
                <w:sz w:val="28"/>
                <w:lang w:val="en-US" w:bidi="ru-RU"/>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049B6A52" w14:textId="77777777" w:rsidR="00A651CF" w:rsidRPr="00A651CF" w:rsidRDefault="00A651CF" w:rsidP="00A651CF">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A651CF">
              <w:rPr>
                <w:rFonts w:ascii="Garamond" w:eastAsia="Times New Roman" w:hAnsi="Garamond" w:cs="Times New Roman"/>
                <w:sz w:val="28"/>
                <w:szCs w:val="24"/>
                <w:bdr w:val="none" w:sz="0" w:space="0" w:color="auto"/>
                <w:lang w:val="en-US" w:bidi="ru-RU"/>
              </w:rPr>
              <w:t>2010</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594A7F1D" w14:textId="77777777" w:rsidR="00A651CF" w:rsidRPr="00A651CF" w:rsidRDefault="00A651CF" w:rsidP="00A651CF">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A651CF">
              <w:rPr>
                <w:rFonts w:ascii="Garamond" w:eastAsia="Times New Roman" w:hAnsi="Garamond" w:cs="Times New Roman"/>
                <w:sz w:val="28"/>
                <w:szCs w:val="24"/>
                <w:bdr w:val="none" w:sz="0" w:space="0" w:color="auto"/>
                <w:lang w:val="en-US" w:bidi="ru-RU"/>
              </w:rPr>
              <w:t>2011</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19FB65A3" w14:textId="77777777" w:rsidR="00A651CF" w:rsidRPr="00A651CF" w:rsidRDefault="00A651CF" w:rsidP="00A651CF">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A651CF">
              <w:rPr>
                <w:rFonts w:ascii="Garamond" w:eastAsia="Times New Roman" w:hAnsi="Garamond" w:cs="Times New Roman"/>
                <w:sz w:val="28"/>
                <w:szCs w:val="24"/>
                <w:bdr w:val="none" w:sz="0" w:space="0" w:color="auto"/>
                <w:lang w:val="en-US" w:bidi="ru-RU"/>
              </w:rPr>
              <w:t>2012</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5C76D97B" w14:textId="77777777" w:rsidR="00A651CF" w:rsidRPr="00A651CF" w:rsidRDefault="00A651CF" w:rsidP="00A651CF">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A651CF">
              <w:rPr>
                <w:rFonts w:ascii="Garamond" w:eastAsia="Times New Roman" w:hAnsi="Garamond" w:cs="Times New Roman"/>
                <w:sz w:val="28"/>
                <w:szCs w:val="24"/>
                <w:bdr w:val="none" w:sz="0" w:space="0" w:color="auto"/>
                <w:lang w:val="en-US" w:bidi="ru-RU"/>
              </w:rPr>
              <w:t>2013</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56823786" w14:textId="77777777" w:rsidR="00A651CF" w:rsidRPr="00A651CF" w:rsidRDefault="00A651CF" w:rsidP="00520F9B">
            <w:pPr>
              <w:pStyle w:val="a4"/>
              <w:spacing w:line="240" w:lineRule="auto"/>
              <w:contextualSpacing/>
              <w:jc w:val="center"/>
              <w:rPr>
                <w:rFonts w:ascii="Garamond" w:eastAsia="Times New Roman" w:hAnsi="Garamond" w:cs="Times New Roman"/>
                <w:sz w:val="28"/>
                <w:szCs w:val="24"/>
                <w:bdr w:val="none" w:sz="0" w:space="0" w:color="auto"/>
                <w:lang w:val="en-US" w:bidi="ru-RU"/>
              </w:rPr>
            </w:pPr>
            <w:r w:rsidRPr="00A651CF">
              <w:rPr>
                <w:rFonts w:ascii="Garamond" w:eastAsia="Times New Roman" w:hAnsi="Garamond" w:cs="Times New Roman"/>
                <w:sz w:val="28"/>
                <w:szCs w:val="24"/>
                <w:bdr w:val="none" w:sz="0" w:space="0" w:color="auto"/>
                <w:lang w:val="en-US" w:bidi="ru-RU"/>
              </w:rPr>
              <w:t>2014</w:t>
            </w:r>
            <w:r w:rsidR="00520F9B" w:rsidRPr="00520F9B">
              <w:rPr>
                <w:rFonts w:ascii="Garamond" w:eastAsia="Times New Roman" w:hAnsi="Garamond" w:cs="Times New Roman"/>
                <w:sz w:val="28"/>
                <w:szCs w:val="24"/>
                <w:bdr w:val="none" w:sz="0" w:space="0" w:color="auto"/>
                <w:vertAlign w:val="superscript"/>
                <w:lang w:val="en-US" w:bidi="ru-RU"/>
              </w:rPr>
              <w:t>2</w:t>
            </w:r>
          </w:p>
        </w:tc>
      </w:tr>
      <w:tr w:rsidR="003C51B1" w:rsidRPr="00A651CF" w14:paraId="28EAB8EA" w14:textId="77777777" w:rsidTr="00A651CF">
        <w:trPr>
          <w:trHeight w:val="444"/>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70353124"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lang w:val="en-US"/>
              </w:rPr>
              <w:t>Average monthly total resources per one household, UAH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3AB3594"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3481</w:t>
            </w:r>
            <w:r w:rsidR="00520F9B">
              <w:rPr>
                <w:rFonts w:ascii="Garamond" w:hAnsi="Garamond"/>
                <w:sz w:val="28"/>
                <w:szCs w:val="28"/>
                <w:shd w:val="clear" w:color="auto" w:fill="FFFFFF"/>
              </w:rPr>
              <w:t>.</w:t>
            </w:r>
            <w:r w:rsidRPr="00A651CF">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A334037"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3853</w:t>
            </w:r>
            <w:r w:rsidR="00520F9B">
              <w:rPr>
                <w:rFonts w:ascii="Garamond" w:hAnsi="Garamond"/>
                <w:sz w:val="28"/>
                <w:szCs w:val="28"/>
                <w:shd w:val="clear" w:color="auto" w:fill="FFFFFF"/>
              </w:rPr>
              <w:t>.</w:t>
            </w:r>
            <w:r w:rsidRPr="00A651CF">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B334277"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4144</w:t>
            </w:r>
            <w:r w:rsidR="00520F9B">
              <w:rPr>
                <w:rFonts w:ascii="Garamond" w:hAnsi="Garamond"/>
                <w:sz w:val="28"/>
                <w:szCs w:val="28"/>
                <w:shd w:val="clear" w:color="auto" w:fill="FFFFFF"/>
              </w:rPr>
              <w:t>.</w:t>
            </w:r>
            <w:r w:rsidRPr="00A651CF">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889A9D2"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4470</w:t>
            </w:r>
            <w:r w:rsidR="00520F9B">
              <w:rPr>
                <w:rFonts w:ascii="Garamond" w:hAnsi="Garamond"/>
                <w:sz w:val="28"/>
                <w:szCs w:val="28"/>
                <w:shd w:val="clear" w:color="auto" w:fill="FFFFFF"/>
              </w:rPr>
              <w:t>.</w:t>
            </w:r>
            <w:r w:rsidRPr="00A651CF">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444A7EC"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4563</w:t>
            </w:r>
            <w:r w:rsidR="00520F9B">
              <w:rPr>
                <w:rFonts w:ascii="Garamond" w:hAnsi="Garamond"/>
                <w:sz w:val="28"/>
                <w:szCs w:val="28"/>
                <w:shd w:val="clear" w:color="auto" w:fill="FFFFFF"/>
              </w:rPr>
              <w:t>.</w:t>
            </w:r>
            <w:r w:rsidRPr="00A651CF">
              <w:rPr>
                <w:rFonts w:ascii="Garamond" w:hAnsi="Garamond"/>
                <w:sz w:val="28"/>
                <w:szCs w:val="28"/>
                <w:shd w:val="clear" w:color="auto" w:fill="FFFFFF"/>
              </w:rPr>
              <w:t>3</w:t>
            </w:r>
          </w:p>
        </w:tc>
      </w:tr>
      <w:tr w:rsidR="00937690" w:rsidRPr="00A651CF" w14:paraId="4945FE15" w14:textId="77777777" w:rsidTr="00730075">
        <w:trPr>
          <w:trHeight w:val="226"/>
        </w:trPr>
        <w:tc>
          <w:tcPr>
            <w:tcW w:w="0" w:type="auto"/>
            <w:gridSpan w:val="6"/>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4FC4BAFB" w14:textId="77777777" w:rsidR="00937690" w:rsidRPr="00A651CF" w:rsidRDefault="00937690" w:rsidP="00937690">
            <w:pPr>
              <w:pStyle w:val="a4"/>
              <w:spacing w:line="240" w:lineRule="auto"/>
              <w:rPr>
                <w:rFonts w:ascii="Garamond" w:hAnsi="Garamond"/>
                <w:sz w:val="28"/>
                <w:szCs w:val="28"/>
              </w:rPr>
            </w:pPr>
            <w:r w:rsidRPr="00A651CF">
              <w:rPr>
                <w:rFonts w:ascii="Garamond" w:hAnsi="Garamond"/>
                <w:sz w:val="28"/>
                <w:szCs w:val="28"/>
                <w:lang w:val="en-US"/>
              </w:rPr>
              <w:t>Structure of household total resources</w:t>
            </w:r>
            <w:r>
              <w:rPr>
                <w:rFonts w:ascii="Garamond" w:hAnsi="Garamond"/>
                <w:sz w:val="28"/>
                <w:szCs w:val="28"/>
                <w:lang w:val="en-US"/>
              </w:rPr>
              <w:t xml:space="preserve">, </w:t>
            </w:r>
            <w:r w:rsidRPr="00A651CF">
              <w:rPr>
                <w:rFonts w:ascii="Garamond" w:hAnsi="Garamond"/>
                <w:sz w:val="28"/>
                <w:szCs w:val="28"/>
                <w:shd w:val="clear" w:color="auto" w:fill="FFFFFF"/>
              </w:rPr>
              <w:t>percent</w:t>
            </w:r>
          </w:p>
        </w:tc>
      </w:tr>
      <w:tr w:rsidR="003C51B1" w:rsidRPr="00A651CF" w14:paraId="23872634" w14:textId="77777777" w:rsidTr="00A651CF">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1D314FBC"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lang w:val="en-US"/>
              </w:rPr>
              <w:t>Cash income</w:t>
            </w:r>
            <w:r w:rsidR="00A8383C">
              <w:rPr>
                <w:rFonts w:ascii="Garamond" w:hAnsi="Garamond"/>
                <w:sz w:val="28"/>
                <w:szCs w:val="28"/>
                <w:lang w:val="en-US"/>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7CCAC8D"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89</w:t>
            </w:r>
            <w:r w:rsidR="00520F9B">
              <w:rPr>
                <w:rFonts w:ascii="Garamond" w:hAnsi="Garamond"/>
                <w:sz w:val="28"/>
                <w:szCs w:val="28"/>
                <w:shd w:val="clear" w:color="auto" w:fill="FFFFFF"/>
              </w:rPr>
              <w:t>.</w:t>
            </w:r>
            <w:r w:rsidRPr="00A651CF">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2045B1D"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88</w:t>
            </w:r>
            <w:r w:rsidR="00520F9B">
              <w:rPr>
                <w:rFonts w:ascii="Garamond" w:hAnsi="Garamond"/>
                <w:sz w:val="28"/>
                <w:szCs w:val="28"/>
                <w:shd w:val="clear" w:color="auto" w:fill="FFFFFF"/>
              </w:rPr>
              <w:t>.</w:t>
            </w:r>
            <w:r w:rsidRPr="00A651CF">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C2842BA"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91</w:t>
            </w:r>
            <w:r w:rsidR="00520F9B">
              <w:rPr>
                <w:rFonts w:ascii="Garamond" w:hAnsi="Garamond"/>
                <w:sz w:val="28"/>
                <w:szCs w:val="28"/>
                <w:shd w:val="clear" w:color="auto" w:fill="FFFFFF"/>
              </w:rPr>
              <w:t>.</w:t>
            </w:r>
            <w:r w:rsidRPr="00A651CF">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F948F37"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90</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1473349"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91</w:t>
            </w:r>
            <w:r w:rsidR="00520F9B">
              <w:rPr>
                <w:rFonts w:ascii="Garamond" w:hAnsi="Garamond"/>
                <w:sz w:val="28"/>
                <w:szCs w:val="28"/>
                <w:shd w:val="clear" w:color="auto" w:fill="FFFFFF"/>
              </w:rPr>
              <w:t>.</w:t>
            </w:r>
            <w:r w:rsidRPr="00A651CF">
              <w:rPr>
                <w:rFonts w:ascii="Garamond" w:hAnsi="Garamond"/>
                <w:sz w:val="28"/>
                <w:szCs w:val="28"/>
                <w:shd w:val="clear" w:color="auto" w:fill="FFFFFF"/>
              </w:rPr>
              <w:t>2</w:t>
            </w:r>
          </w:p>
        </w:tc>
      </w:tr>
      <w:tr w:rsidR="003C51B1" w:rsidRPr="00A651CF" w14:paraId="7632B851" w14:textId="77777777" w:rsidTr="00A651CF">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12D15297"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rPr>
              <w:t>- labor remuneration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35A2497"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47</w:t>
            </w:r>
            <w:r w:rsidR="00520F9B">
              <w:rPr>
                <w:rFonts w:ascii="Garamond" w:hAnsi="Garamond"/>
                <w:sz w:val="28"/>
                <w:szCs w:val="28"/>
                <w:shd w:val="clear" w:color="auto" w:fill="FFFFFF"/>
              </w:rPr>
              <w:t>.</w:t>
            </w:r>
            <w:r w:rsidRPr="00A651CF">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43A79C1"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48</w:t>
            </w:r>
            <w:r w:rsidR="00520F9B">
              <w:rPr>
                <w:rFonts w:ascii="Garamond" w:hAnsi="Garamond"/>
                <w:sz w:val="28"/>
                <w:szCs w:val="28"/>
                <w:shd w:val="clear" w:color="auto" w:fill="FFFFFF"/>
              </w:rPr>
              <w:t>.</w:t>
            </w:r>
            <w:r w:rsidRPr="00A651CF">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25DA87C"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50</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E156432"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50</w:t>
            </w:r>
            <w:r w:rsidR="00520F9B">
              <w:rPr>
                <w:rFonts w:ascii="Garamond" w:hAnsi="Garamond"/>
                <w:sz w:val="28"/>
                <w:szCs w:val="28"/>
                <w:shd w:val="clear" w:color="auto" w:fill="FFFFFF"/>
              </w:rPr>
              <w:t>.</w:t>
            </w:r>
            <w:r w:rsidRPr="00A651CF">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5B18471"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48</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r>
      <w:tr w:rsidR="003C51B1" w:rsidRPr="00A651CF" w14:paraId="100E16B6" w14:textId="77777777" w:rsidTr="00937690">
        <w:trPr>
          <w:trHeight w:val="651"/>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12D5F064"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lang w:val="en-US"/>
              </w:rPr>
              <w:t>- income from entrepreneurship and self-employment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473F4A3"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6</w:t>
            </w:r>
            <w:r w:rsidR="00520F9B">
              <w:rPr>
                <w:rFonts w:ascii="Garamond" w:hAnsi="Garamond"/>
                <w:sz w:val="28"/>
                <w:szCs w:val="28"/>
                <w:shd w:val="clear" w:color="auto" w:fill="FFFFFF"/>
              </w:rPr>
              <w:t>.</w:t>
            </w:r>
            <w:r w:rsidRPr="00A651CF">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F7CCF8E"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w:t>
            </w:r>
            <w:r w:rsidR="00520F9B">
              <w:rPr>
                <w:rFonts w:ascii="Garamond" w:hAnsi="Garamond"/>
                <w:sz w:val="28"/>
                <w:szCs w:val="28"/>
                <w:shd w:val="clear" w:color="auto" w:fill="FFFFFF"/>
              </w:rPr>
              <w:t>.</w:t>
            </w:r>
            <w:r w:rsidRPr="00A651CF">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2335938"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w:t>
            </w:r>
            <w:r w:rsidR="00520F9B">
              <w:rPr>
                <w:rFonts w:ascii="Garamond" w:hAnsi="Garamond"/>
                <w:sz w:val="28"/>
                <w:szCs w:val="28"/>
                <w:shd w:val="clear" w:color="auto" w:fill="FFFFFF"/>
              </w:rPr>
              <w:t>.</w:t>
            </w:r>
            <w:r w:rsidRPr="00A651CF">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6F2A2FF"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w:t>
            </w:r>
            <w:r w:rsidR="00520F9B">
              <w:rPr>
                <w:rFonts w:ascii="Garamond" w:hAnsi="Garamond"/>
                <w:sz w:val="28"/>
                <w:szCs w:val="28"/>
                <w:shd w:val="clear" w:color="auto" w:fill="FFFFFF"/>
              </w:rPr>
              <w:t>.</w:t>
            </w:r>
            <w:r w:rsidRPr="00A651CF">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563C875"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5</w:t>
            </w:r>
            <w:r w:rsidR="00520F9B">
              <w:rPr>
                <w:rFonts w:ascii="Garamond" w:hAnsi="Garamond"/>
                <w:sz w:val="28"/>
                <w:szCs w:val="28"/>
                <w:shd w:val="clear" w:color="auto" w:fill="FFFFFF"/>
              </w:rPr>
              <w:t>.</w:t>
            </w:r>
            <w:r w:rsidRPr="00A651CF">
              <w:rPr>
                <w:rFonts w:ascii="Garamond" w:hAnsi="Garamond"/>
                <w:sz w:val="28"/>
                <w:szCs w:val="28"/>
                <w:shd w:val="clear" w:color="auto" w:fill="FFFFFF"/>
              </w:rPr>
              <w:t>2</w:t>
            </w:r>
          </w:p>
        </w:tc>
      </w:tr>
      <w:tr w:rsidR="003C51B1" w:rsidRPr="00A651CF" w14:paraId="2562A2F0" w14:textId="77777777" w:rsidTr="00937690">
        <w:trPr>
          <w:trHeight w:val="277"/>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0789EE4E"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lang w:val="en-US"/>
              </w:rPr>
              <w:t>- income from sales of agricultural products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187E3ED"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w:t>
            </w:r>
            <w:r w:rsidR="00520F9B">
              <w:rPr>
                <w:rFonts w:ascii="Garamond" w:hAnsi="Garamond"/>
                <w:sz w:val="28"/>
                <w:szCs w:val="28"/>
                <w:shd w:val="clear" w:color="auto" w:fill="FFFFFF"/>
              </w:rPr>
              <w:t>.</w:t>
            </w:r>
            <w:r w:rsidRPr="00A651CF">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53FE0C6"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w:t>
            </w:r>
            <w:r w:rsidR="00520F9B">
              <w:rPr>
                <w:rFonts w:ascii="Garamond" w:hAnsi="Garamond"/>
                <w:sz w:val="28"/>
                <w:szCs w:val="28"/>
                <w:shd w:val="clear" w:color="auto" w:fill="FFFFFF"/>
              </w:rPr>
              <w:t>.</w:t>
            </w:r>
            <w:r w:rsidRPr="00A651CF">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E9EF86D"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2</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3AD480A"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2</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9B16452"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w:t>
            </w:r>
            <w:r w:rsidR="00520F9B">
              <w:rPr>
                <w:rFonts w:ascii="Garamond" w:hAnsi="Garamond"/>
                <w:sz w:val="28"/>
                <w:szCs w:val="28"/>
                <w:shd w:val="clear" w:color="auto" w:fill="FFFFFF"/>
              </w:rPr>
              <w:t>.</w:t>
            </w:r>
            <w:r w:rsidRPr="00A651CF">
              <w:rPr>
                <w:rFonts w:ascii="Garamond" w:hAnsi="Garamond"/>
                <w:sz w:val="28"/>
                <w:szCs w:val="28"/>
                <w:shd w:val="clear" w:color="auto" w:fill="FFFFFF"/>
              </w:rPr>
              <w:t>2</w:t>
            </w:r>
          </w:p>
        </w:tc>
      </w:tr>
      <w:tr w:rsidR="003C51B1" w:rsidRPr="00A651CF" w14:paraId="5BE7DA52" w14:textId="77777777" w:rsidTr="00937690">
        <w:trPr>
          <w:trHeight w:val="226"/>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5411A27C"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lang w:val="en-US"/>
              </w:rPr>
              <w:t>- cash pensions</w:t>
            </w:r>
            <w:r w:rsidR="0073132A">
              <w:rPr>
                <w:rFonts w:ascii="Garamond" w:hAnsi="Garamond"/>
                <w:sz w:val="28"/>
                <w:szCs w:val="28"/>
                <w:lang w:val="en-US"/>
              </w:rPr>
              <w:t>,</w:t>
            </w:r>
            <w:r w:rsidRPr="00A651CF">
              <w:rPr>
                <w:rFonts w:ascii="Garamond" w:hAnsi="Garamond"/>
                <w:sz w:val="28"/>
                <w:szCs w:val="28"/>
                <w:lang w:val="en-US"/>
              </w:rPr>
              <w:t xml:space="preserve"> stipends and social benefits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3934BF5"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25</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4D5D8D7"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25</w:t>
            </w:r>
            <w:r w:rsidR="00520F9B">
              <w:rPr>
                <w:rFonts w:ascii="Garamond" w:hAnsi="Garamond"/>
                <w:sz w:val="28"/>
                <w:szCs w:val="28"/>
                <w:shd w:val="clear" w:color="auto" w:fill="FFFFFF"/>
              </w:rPr>
              <w:t>.</w:t>
            </w:r>
            <w:r w:rsidRPr="00A651CF">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AEC53A0"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27</w:t>
            </w:r>
            <w:r w:rsidR="00520F9B">
              <w:rPr>
                <w:rFonts w:ascii="Garamond" w:hAnsi="Garamond"/>
                <w:sz w:val="28"/>
                <w:szCs w:val="28"/>
                <w:shd w:val="clear" w:color="auto" w:fill="FFFFFF"/>
              </w:rPr>
              <w:t>.</w:t>
            </w:r>
            <w:r w:rsidRPr="00A651CF">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750D858"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27</w:t>
            </w:r>
            <w:r w:rsidR="00520F9B">
              <w:rPr>
                <w:rFonts w:ascii="Garamond" w:hAnsi="Garamond"/>
                <w:sz w:val="28"/>
                <w:szCs w:val="28"/>
                <w:shd w:val="clear" w:color="auto" w:fill="FFFFFF"/>
              </w:rPr>
              <w:t>.</w:t>
            </w:r>
            <w:r w:rsidRPr="00A651CF">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388A326"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27</w:t>
            </w:r>
            <w:r w:rsidR="00520F9B">
              <w:rPr>
                <w:rFonts w:ascii="Garamond" w:hAnsi="Garamond"/>
                <w:sz w:val="28"/>
                <w:szCs w:val="28"/>
                <w:shd w:val="clear" w:color="auto" w:fill="FFFFFF"/>
              </w:rPr>
              <w:t>.</w:t>
            </w:r>
            <w:r w:rsidRPr="00A651CF">
              <w:rPr>
                <w:rFonts w:ascii="Garamond" w:hAnsi="Garamond"/>
                <w:sz w:val="28"/>
                <w:szCs w:val="28"/>
                <w:shd w:val="clear" w:color="auto" w:fill="FFFFFF"/>
              </w:rPr>
              <w:t>0</w:t>
            </w:r>
          </w:p>
        </w:tc>
      </w:tr>
      <w:tr w:rsidR="003C51B1" w:rsidRPr="00A651CF" w14:paraId="4AF243CC" w14:textId="77777777" w:rsidTr="00937690">
        <w:trPr>
          <w:trHeight w:val="472"/>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68AF5CD2"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lang w:val="en-US"/>
              </w:rPr>
              <w:t>- cash support from relatives</w:t>
            </w:r>
            <w:r w:rsidR="0073132A">
              <w:rPr>
                <w:rFonts w:ascii="Garamond" w:hAnsi="Garamond"/>
                <w:sz w:val="28"/>
                <w:szCs w:val="28"/>
                <w:lang w:val="en-US"/>
              </w:rPr>
              <w:t>,</w:t>
            </w:r>
            <w:r w:rsidRPr="00A651CF">
              <w:rPr>
                <w:rFonts w:ascii="Garamond" w:hAnsi="Garamond"/>
                <w:sz w:val="28"/>
                <w:szCs w:val="28"/>
                <w:lang w:val="en-US"/>
              </w:rPr>
              <w:t xml:space="preserve"> other persons, and other cash income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A88C6BF"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6</w:t>
            </w:r>
            <w:r w:rsidR="00520F9B">
              <w:rPr>
                <w:rFonts w:ascii="Garamond" w:hAnsi="Garamond"/>
                <w:sz w:val="28"/>
                <w:szCs w:val="28"/>
                <w:shd w:val="clear" w:color="auto" w:fill="FFFFFF"/>
              </w:rPr>
              <w:t>.</w:t>
            </w:r>
            <w:r w:rsidRPr="00A651CF">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C3D5AC9"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6</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8D0C336"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6</w:t>
            </w:r>
            <w:r w:rsidR="00520F9B">
              <w:rPr>
                <w:rFonts w:ascii="Garamond" w:hAnsi="Garamond"/>
                <w:sz w:val="28"/>
                <w:szCs w:val="28"/>
                <w:shd w:val="clear" w:color="auto" w:fill="FFFFFF"/>
              </w:rPr>
              <w:t>.</w:t>
            </w:r>
            <w:r w:rsidRPr="00A651CF">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BDDC190"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6</w:t>
            </w:r>
            <w:r w:rsidR="00520F9B">
              <w:rPr>
                <w:rFonts w:ascii="Garamond" w:hAnsi="Garamond"/>
                <w:sz w:val="28"/>
                <w:szCs w:val="28"/>
                <w:shd w:val="clear" w:color="auto" w:fill="FFFFFF"/>
              </w:rPr>
              <w:t>.</w:t>
            </w:r>
            <w:r w:rsidRPr="00A651CF">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5578E13"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7</w:t>
            </w:r>
            <w:r w:rsidR="00520F9B">
              <w:rPr>
                <w:rFonts w:ascii="Garamond" w:hAnsi="Garamond"/>
                <w:sz w:val="28"/>
                <w:szCs w:val="28"/>
                <w:shd w:val="clear" w:color="auto" w:fill="FFFFFF"/>
              </w:rPr>
              <w:t>.</w:t>
            </w:r>
            <w:r w:rsidRPr="00A651CF">
              <w:rPr>
                <w:rFonts w:ascii="Garamond" w:hAnsi="Garamond"/>
                <w:sz w:val="28"/>
                <w:szCs w:val="28"/>
                <w:shd w:val="clear" w:color="auto" w:fill="FFFFFF"/>
              </w:rPr>
              <w:t>0</w:t>
            </w:r>
          </w:p>
        </w:tc>
      </w:tr>
      <w:tr w:rsidR="003C51B1" w:rsidRPr="00A651CF" w14:paraId="37383211" w14:textId="77777777" w:rsidTr="00937690">
        <w:trPr>
          <w:trHeight w:val="807"/>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4B1FBB3B"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lang w:val="en-US"/>
              </w:rPr>
              <w:t>Value of consumed products that were produced at private subsistence farms or individually procured</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B5EA346"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5</w:t>
            </w:r>
            <w:r w:rsidR="00520F9B">
              <w:rPr>
                <w:rFonts w:ascii="Garamond" w:hAnsi="Garamond"/>
                <w:sz w:val="28"/>
                <w:szCs w:val="28"/>
                <w:shd w:val="clear" w:color="auto" w:fill="FFFFFF"/>
              </w:rPr>
              <w:t>.</w:t>
            </w:r>
            <w:r w:rsidRPr="00A651CF">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8AA69EE"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CAE9D76"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1DB9514"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w:t>
            </w:r>
            <w:r w:rsidR="00520F9B">
              <w:rPr>
                <w:rFonts w:ascii="Garamond" w:hAnsi="Garamond"/>
                <w:sz w:val="28"/>
                <w:szCs w:val="28"/>
                <w:shd w:val="clear" w:color="auto" w:fill="FFFFFF"/>
              </w:rPr>
              <w:t>.</w:t>
            </w:r>
            <w:r w:rsidRPr="00A651CF">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FF2F89B"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w:t>
            </w:r>
            <w:r w:rsidR="00520F9B">
              <w:rPr>
                <w:rFonts w:ascii="Garamond" w:hAnsi="Garamond"/>
                <w:sz w:val="28"/>
                <w:szCs w:val="28"/>
                <w:shd w:val="clear" w:color="auto" w:fill="FFFFFF"/>
              </w:rPr>
              <w:t>.</w:t>
            </w:r>
            <w:r w:rsidRPr="00A651CF">
              <w:rPr>
                <w:rFonts w:ascii="Garamond" w:hAnsi="Garamond"/>
                <w:sz w:val="28"/>
                <w:szCs w:val="28"/>
                <w:shd w:val="clear" w:color="auto" w:fill="FFFFFF"/>
              </w:rPr>
              <w:t>6</w:t>
            </w:r>
          </w:p>
        </w:tc>
      </w:tr>
      <w:tr w:rsidR="003C51B1" w:rsidRPr="00A651CF" w14:paraId="6CCC9297" w14:textId="77777777" w:rsidTr="00937690">
        <w:trPr>
          <w:trHeight w:val="56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01E59544"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lang w:val="en-US"/>
              </w:rPr>
              <w:t>Non-cash benefits and subsidies to pay for housing and communal utilities</w:t>
            </w:r>
            <w:r w:rsidR="0073132A">
              <w:rPr>
                <w:rFonts w:ascii="Garamond" w:hAnsi="Garamond"/>
                <w:sz w:val="28"/>
                <w:szCs w:val="28"/>
                <w:lang w:val="en-US"/>
              </w:rPr>
              <w:t>,</w:t>
            </w:r>
            <w:r w:rsidRPr="00A651CF">
              <w:rPr>
                <w:rFonts w:ascii="Garamond" w:hAnsi="Garamond"/>
                <w:sz w:val="28"/>
                <w:szCs w:val="28"/>
                <w:lang w:val="en-US"/>
              </w:rPr>
              <w:t xml:space="preserve"> electricity, </w:t>
            </w:r>
            <w:r w:rsidR="00A8383C">
              <w:rPr>
                <w:rFonts w:ascii="Garamond" w:hAnsi="Garamond"/>
                <w:sz w:val="28"/>
                <w:szCs w:val="28"/>
                <w:lang w:val="en-US"/>
              </w:rPr>
              <w:t xml:space="preserve">and </w:t>
            </w:r>
            <w:r w:rsidRPr="00A651CF">
              <w:rPr>
                <w:rFonts w:ascii="Garamond" w:hAnsi="Garamond"/>
                <w:sz w:val="28"/>
                <w:szCs w:val="28"/>
                <w:lang w:val="en-US"/>
              </w:rPr>
              <w:t>fuel</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F9BF212"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CA2885C"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25630E1"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F9DDA2A"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5C76078"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4</w:t>
            </w:r>
          </w:p>
        </w:tc>
      </w:tr>
      <w:tr w:rsidR="003C51B1" w:rsidRPr="00A651CF" w14:paraId="68C6688B" w14:textId="77777777" w:rsidTr="00937690">
        <w:trPr>
          <w:trHeight w:val="118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7F209121" w14:textId="77777777" w:rsidR="003C51B1" w:rsidRPr="00A651CF" w:rsidRDefault="003C51B1" w:rsidP="00A8383C">
            <w:pPr>
              <w:pStyle w:val="a4"/>
              <w:spacing w:line="240" w:lineRule="auto"/>
              <w:rPr>
                <w:rFonts w:ascii="Garamond" w:hAnsi="Garamond"/>
                <w:sz w:val="28"/>
                <w:szCs w:val="28"/>
              </w:rPr>
            </w:pPr>
            <w:r w:rsidRPr="00A651CF">
              <w:rPr>
                <w:rFonts w:ascii="Garamond" w:hAnsi="Garamond"/>
                <w:sz w:val="28"/>
                <w:szCs w:val="28"/>
                <w:lang w:val="en-US"/>
              </w:rPr>
              <w:t>Non-cash benefits to pay for goods and services on heal</w:t>
            </w:r>
            <w:r w:rsidR="00A8383C">
              <w:rPr>
                <w:rFonts w:ascii="Garamond" w:hAnsi="Garamond"/>
                <w:sz w:val="28"/>
                <w:szCs w:val="28"/>
                <w:lang w:val="en-US"/>
              </w:rPr>
              <w:t>th</w:t>
            </w:r>
            <w:r w:rsidRPr="00A651CF">
              <w:rPr>
                <w:rFonts w:ascii="Garamond" w:hAnsi="Garamond"/>
                <w:sz w:val="28"/>
                <w:szCs w:val="28"/>
                <w:lang w:val="en-US"/>
              </w:rPr>
              <w:t xml:space="preserve"> protection, travel services, to pay for places in recreation departments</w:t>
            </w:r>
            <w:r w:rsidR="00A8383C">
              <w:rPr>
                <w:rFonts w:ascii="Garamond" w:hAnsi="Garamond"/>
                <w:sz w:val="28"/>
                <w:szCs w:val="28"/>
                <w:lang w:val="en-US"/>
              </w:rPr>
              <w:t>,</w:t>
            </w:r>
            <w:r w:rsidRPr="00A651CF">
              <w:rPr>
                <w:rFonts w:ascii="Garamond" w:hAnsi="Garamond"/>
                <w:sz w:val="28"/>
                <w:szCs w:val="28"/>
                <w:lang w:val="en-US"/>
              </w:rPr>
              <w:t xml:space="preserve"> etc., to pay for transportation and communication services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F6C9CF2"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4CDB06E"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1F62E80"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C62A35D"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F220FD6"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0</w:t>
            </w:r>
            <w:r w:rsidR="00520F9B">
              <w:rPr>
                <w:rFonts w:ascii="Garamond" w:hAnsi="Garamond"/>
                <w:sz w:val="28"/>
                <w:szCs w:val="28"/>
                <w:shd w:val="clear" w:color="auto" w:fill="FFFFFF"/>
              </w:rPr>
              <w:t>.</w:t>
            </w:r>
            <w:r w:rsidRPr="00A651CF">
              <w:rPr>
                <w:rFonts w:ascii="Garamond" w:hAnsi="Garamond"/>
                <w:sz w:val="28"/>
                <w:szCs w:val="28"/>
                <w:shd w:val="clear" w:color="auto" w:fill="FFFFFF"/>
              </w:rPr>
              <w:t>4</w:t>
            </w:r>
          </w:p>
        </w:tc>
      </w:tr>
      <w:tr w:rsidR="003C51B1" w:rsidRPr="00A651CF" w14:paraId="500ACCDD" w14:textId="77777777" w:rsidTr="00A651CF">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1EA59A9A"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sz w:val="28"/>
                <w:szCs w:val="28"/>
                <w:lang w:val="en-US"/>
              </w:rPr>
              <w:t>Other receipts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228D452"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366277B"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5</w:t>
            </w:r>
            <w:r w:rsidR="00520F9B">
              <w:rPr>
                <w:rFonts w:ascii="Garamond" w:hAnsi="Garamond"/>
                <w:sz w:val="28"/>
                <w:szCs w:val="28"/>
                <w:shd w:val="clear" w:color="auto" w:fill="FFFFFF"/>
              </w:rPr>
              <w:t>.</w:t>
            </w:r>
            <w:r w:rsidRPr="00A651CF">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1055D6C"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w:t>
            </w:r>
            <w:r w:rsidR="00520F9B">
              <w:rPr>
                <w:rFonts w:ascii="Garamond" w:hAnsi="Garamond"/>
                <w:sz w:val="28"/>
                <w:szCs w:val="28"/>
                <w:shd w:val="clear" w:color="auto" w:fill="FFFFFF"/>
              </w:rPr>
              <w:t>.</w:t>
            </w:r>
            <w:r w:rsidRPr="00A651CF">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5DDB381"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w:t>
            </w:r>
            <w:r w:rsidR="00520F9B">
              <w:rPr>
                <w:rFonts w:ascii="Garamond" w:hAnsi="Garamond"/>
                <w:sz w:val="28"/>
                <w:szCs w:val="28"/>
                <w:shd w:val="clear" w:color="auto" w:fill="FFFFFF"/>
              </w:rPr>
              <w:t>.</w:t>
            </w:r>
            <w:r w:rsidRPr="00A651CF">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53C2957"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w:t>
            </w:r>
            <w:r w:rsidR="00520F9B">
              <w:rPr>
                <w:rFonts w:ascii="Garamond" w:hAnsi="Garamond"/>
                <w:sz w:val="28"/>
                <w:szCs w:val="28"/>
                <w:shd w:val="clear" w:color="auto" w:fill="FFFFFF"/>
              </w:rPr>
              <w:t>.</w:t>
            </w:r>
            <w:r w:rsidRPr="00A651CF">
              <w:rPr>
                <w:rFonts w:ascii="Garamond" w:hAnsi="Garamond"/>
                <w:sz w:val="28"/>
                <w:szCs w:val="28"/>
                <w:shd w:val="clear" w:color="auto" w:fill="FFFFFF"/>
              </w:rPr>
              <w:t>4</w:t>
            </w:r>
          </w:p>
        </w:tc>
      </w:tr>
      <w:tr w:rsidR="003C51B1" w:rsidRPr="00A651CF" w14:paraId="064AA739" w14:textId="77777777" w:rsidTr="00937690">
        <w:trPr>
          <w:trHeight w:val="286"/>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49622775" w14:textId="77777777" w:rsidR="003C51B1" w:rsidRPr="00A651CF" w:rsidRDefault="003C51B1" w:rsidP="003C51B1">
            <w:pPr>
              <w:pStyle w:val="a4"/>
              <w:spacing w:line="240" w:lineRule="auto"/>
              <w:rPr>
                <w:rFonts w:ascii="Garamond" w:hAnsi="Garamond"/>
                <w:sz w:val="28"/>
                <w:szCs w:val="28"/>
              </w:rPr>
            </w:pPr>
            <w:r w:rsidRPr="00A651CF">
              <w:rPr>
                <w:rFonts w:ascii="Garamond" w:hAnsi="Garamond"/>
                <w:i/>
                <w:iCs/>
                <w:sz w:val="28"/>
                <w:szCs w:val="28"/>
                <w:lang w:val="en-US"/>
              </w:rPr>
              <w:t>For information: total income, UAH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5907FEE"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3369</w:t>
            </w:r>
            <w:r w:rsidR="00520F9B">
              <w:rPr>
                <w:rFonts w:ascii="Garamond" w:hAnsi="Garamond"/>
                <w:sz w:val="28"/>
                <w:szCs w:val="28"/>
                <w:shd w:val="clear" w:color="auto" w:fill="FFFFFF"/>
              </w:rPr>
              <w:t>.</w:t>
            </w:r>
            <w:r w:rsidRPr="00A651CF">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388B1CB"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3708</w:t>
            </w:r>
            <w:r w:rsidR="00520F9B">
              <w:rPr>
                <w:rFonts w:ascii="Garamond" w:hAnsi="Garamond"/>
                <w:sz w:val="28"/>
                <w:szCs w:val="28"/>
                <w:shd w:val="clear" w:color="auto" w:fill="FFFFFF"/>
              </w:rPr>
              <w:t>.</w:t>
            </w:r>
            <w:r w:rsidRPr="00A651CF">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E19748A"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4031</w:t>
            </w:r>
            <w:r w:rsidR="00520F9B">
              <w:rPr>
                <w:rFonts w:ascii="Garamond" w:hAnsi="Garamond"/>
                <w:sz w:val="28"/>
                <w:szCs w:val="28"/>
                <w:shd w:val="clear" w:color="auto" w:fill="FFFFFF"/>
              </w:rPr>
              <w:t>.</w:t>
            </w:r>
            <w:r w:rsidRPr="00A651CF">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198AA06"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4331</w:t>
            </w:r>
            <w:r w:rsidR="00520F9B">
              <w:rPr>
                <w:rFonts w:ascii="Garamond" w:hAnsi="Garamond"/>
                <w:sz w:val="28"/>
                <w:szCs w:val="28"/>
                <w:shd w:val="clear" w:color="auto" w:fill="FFFFFF"/>
              </w:rPr>
              <w:t>.</w:t>
            </w:r>
            <w:r w:rsidRPr="00A651CF">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8BF847E" w14:textId="77777777" w:rsidR="003C51B1" w:rsidRPr="00A651CF" w:rsidRDefault="003C51B1" w:rsidP="003C51B1">
            <w:pPr>
              <w:pStyle w:val="a4"/>
              <w:spacing w:line="240" w:lineRule="auto"/>
              <w:jc w:val="center"/>
              <w:rPr>
                <w:rFonts w:ascii="Garamond" w:hAnsi="Garamond"/>
                <w:sz w:val="28"/>
                <w:szCs w:val="28"/>
              </w:rPr>
            </w:pPr>
            <w:r w:rsidRPr="00A651CF">
              <w:rPr>
                <w:rFonts w:ascii="Garamond" w:hAnsi="Garamond"/>
                <w:sz w:val="28"/>
                <w:szCs w:val="28"/>
                <w:shd w:val="clear" w:color="auto" w:fill="FFFFFF"/>
              </w:rPr>
              <w:t>4470</w:t>
            </w:r>
            <w:r w:rsidR="00520F9B">
              <w:rPr>
                <w:rFonts w:ascii="Garamond" w:hAnsi="Garamond"/>
                <w:sz w:val="28"/>
                <w:szCs w:val="28"/>
                <w:shd w:val="clear" w:color="auto" w:fill="FFFFFF"/>
              </w:rPr>
              <w:t>.</w:t>
            </w:r>
            <w:r w:rsidRPr="00A651CF">
              <w:rPr>
                <w:rFonts w:ascii="Garamond" w:hAnsi="Garamond"/>
                <w:sz w:val="28"/>
                <w:szCs w:val="28"/>
                <w:shd w:val="clear" w:color="auto" w:fill="FFFFFF"/>
              </w:rPr>
              <w:t>9</w:t>
            </w:r>
          </w:p>
        </w:tc>
      </w:tr>
      <w:tr w:rsidR="009E48E3" w:rsidRPr="00A651CF" w14:paraId="63BA7F6A" w14:textId="77777777" w:rsidTr="00EC1B39">
        <w:trPr>
          <w:trHeight w:val="286"/>
        </w:trPr>
        <w:tc>
          <w:tcPr>
            <w:tcW w:w="0" w:type="auto"/>
            <w:gridSpan w:val="6"/>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78FDFA30" w14:textId="77777777" w:rsidR="009E48E3" w:rsidRPr="00A651CF" w:rsidRDefault="009E48E3" w:rsidP="009E48E3">
            <w:pPr>
              <w:pStyle w:val="a4"/>
              <w:spacing w:line="240" w:lineRule="auto"/>
              <w:ind w:left="142"/>
              <w:jc w:val="both"/>
              <w:rPr>
                <w:rFonts w:ascii="Garamond" w:eastAsia="Times New Roman" w:hAnsi="Garamond" w:cs="Times New Roman"/>
                <w:sz w:val="24"/>
                <w:szCs w:val="28"/>
                <w:shd w:val="clear" w:color="auto" w:fill="FFFFFF"/>
              </w:rPr>
            </w:pPr>
            <w:r>
              <w:rPr>
                <w:rFonts w:ascii="Garamond" w:eastAsia="Times New Roman" w:hAnsi="Garamond" w:cs="Times New Roman"/>
                <w:sz w:val="24"/>
                <w:szCs w:val="28"/>
                <w:shd w:val="clear" w:color="auto" w:fill="FFFFFF"/>
              </w:rPr>
              <w:t>Notes:</w:t>
            </w:r>
          </w:p>
          <w:p w14:paraId="42740464" w14:textId="77777777" w:rsidR="009E48E3" w:rsidRPr="00A651CF" w:rsidRDefault="0073132A" w:rsidP="009E48E3">
            <w:pPr>
              <w:pStyle w:val="a4"/>
              <w:spacing w:line="240" w:lineRule="auto"/>
              <w:ind w:left="142"/>
              <w:jc w:val="both"/>
              <w:rPr>
                <w:rFonts w:ascii="Garamond" w:hAnsi="Garamond"/>
                <w:sz w:val="24"/>
                <w:szCs w:val="28"/>
              </w:rPr>
            </w:pPr>
            <w:r>
              <w:rPr>
                <w:rFonts w:ascii="Garamond" w:hAnsi="Garamond"/>
                <w:sz w:val="24"/>
                <w:szCs w:val="28"/>
                <w:vertAlign w:val="superscript"/>
              </w:rPr>
              <w:t xml:space="preserve">1 </w:t>
            </w:r>
            <w:r w:rsidR="009E48E3" w:rsidRPr="00A651CF">
              <w:rPr>
                <w:rFonts w:ascii="Garamond" w:hAnsi="Garamond"/>
                <w:sz w:val="24"/>
                <w:szCs w:val="28"/>
              </w:rPr>
              <w:t>Excluding the temporarily occupied territories</w:t>
            </w:r>
            <w:r w:rsidR="009E48E3">
              <w:rPr>
                <w:rFonts w:ascii="Garamond" w:hAnsi="Garamond"/>
                <w:sz w:val="24"/>
                <w:szCs w:val="28"/>
              </w:rPr>
              <w:t xml:space="preserve"> of</w:t>
            </w:r>
            <w:r w:rsidR="009E48E3" w:rsidRPr="00A651CF">
              <w:rPr>
                <w:rFonts w:ascii="Garamond" w:hAnsi="Garamond"/>
                <w:sz w:val="24"/>
                <w:szCs w:val="28"/>
              </w:rPr>
              <w:t xml:space="preserve"> the Autonomous Republic of Crimea and the city of Sevastopol.</w:t>
            </w:r>
          </w:p>
          <w:p w14:paraId="77D93B07" w14:textId="77777777" w:rsidR="009E48E3" w:rsidRPr="009E48E3" w:rsidRDefault="009E48E3" w:rsidP="009E48E3">
            <w:pPr>
              <w:pStyle w:val="a4"/>
              <w:spacing w:line="240" w:lineRule="auto"/>
              <w:ind w:left="142"/>
              <w:jc w:val="both"/>
              <w:rPr>
                <w:rFonts w:ascii="Garamond" w:eastAsia="Times New Roman" w:hAnsi="Garamond" w:cs="Times New Roman"/>
                <w:sz w:val="24"/>
                <w:szCs w:val="28"/>
                <w:shd w:val="clear" w:color="auto" w:fill="FFFFFF"/>
                <w:lang w:val="en-US"/>
              </w:rPr>
            </w:pPr>
            <w:r w:rsidRPr="00A651CF">
              <w:rPr>
                <w:rFonts w:ascii="Garamond" w:hAnsi="Garamond"/>
                <w:sz w:val="24"/>
                <w:szCs w:val="28"/>
                <w:shd w:val="clear" w:color="auto" w:fill="FFFFFF"/>
                <w:vertAlign w:val="superscript"/>
                <w:lang w:val="en-US"/>
              </w:rPr>
              <w:t xml:space="preserve">2 </w:t>
            </w:r>
            <w:r w:rsidRPr="00A651CF">
              <w:rPr>
                <w:rFonts w:ascii="Garamond" w:hAnsi="Garamond"/>
                <w:sz w:val="24"/>
                <w:szCs w:val="28"/>
                <w:shd w:val="clear" w:color="auto" w:fill="FFFFFF"/>
                <w:lang w:val="en-US"/>
              </w:rPr>
              <w:t>Excluding part of th</w:t>
            </w:r>
            <w:r>
              <w:rPr>
                <w:rFonts w:ascii="Garamond" w:hAnsi="Garamond"/>
                <w:sz w:val="24"/>
                <w:szCs w:val="28"/>
                <w:shd w:val="clear" w:color="auto" w:fill="FFFFFF"/>
                <w:lang w:val="en-US"/>
              </w:rPr>
              <w:t>e anti-terrorist operation zone</w:t>
            </w:r>
          </w:p>
        </w:tc>
      </w:tr>
    </w:tbl>
    <w:p w14:paraId="04B6F9BA" w14:textId="77777777" w:rsidR="003C51B1" w:rsidRPr="003E1ECE" w:rsidRDefault="003C51B1" w:rsidP="003C51B1">
      <w:pPr>
        <w:pStyle w:val="a4"/>
        <w:spacing w:line="240" w:lineRule="auto"/>
        <w:rPr>
          <w:rFonts w:ascii="Garamond" w:eastAsia="Times New Roman" w:hAnsi="Garamond" w:cs="Times New Roman"/>
          <w:sz w:val="28"/>
          <w:szCs w:val="28"/>
          <w:shd w:val="clear" w:color="auto" w:fill="FFFFFF"/>
        </w:rPr>
      </w:pPr>
    </w:p>
    <w:p w14:paraId="7A96FD7A" w14:textId="77777777" w:rsidR="003C51B1" w:rsidRDefault="003C51B1" w:rsidP="009E48E3">
      <w:pPr>
        <w:spacing w:line="312" w:lineRule="auto"/>
        <w:ind w:firstLine="709"/>
        <w:contextualSpacing/>
        <w:jc w:val="both"/>
        <w:rPr>
          <w:sz w:val="28"/>
          <w:lang w:val="en-US" w:bidi="ru-RU"/>
        </w:rPr>
      </w:pPr>
      <w:r w:rsidRPr="00937690">
        <w:rPr>
          <w:b/>
          <w:sz w:val="28"/>
          <w:lang w:val="en-US" w:bidi="ru-RU"/>
        </w:rPr>
        <w:t>Household expenditures</w:t>
      </w:r>
      <w:r w:rsidRPr="00937690">
        <w:rPr>
          <w:sz w:val="28"/>
          <w:lang w:val="en-US" w:bidi="ru-RU"/>
        </w:rPr>
        <w:t xml:space="preserve"> could be divided </w:t>
      </w:r>
      <w:r w:rsidR="00A8383C">
        <w:rPr>
          <w:sz w:val="28"/>
          <w:lang w:val="en-US" w:bidi="ru-RU"/>
        </w:rPr>
        <w:t>in</w:t>
      </w:r>
      <w:r w:rsidRPr="00937690">
        <w:rPr>
          <w:sz w:val="28"/>
          <w:lang w:val="en-US" w:bidi="ru-RU"/>
        </w:rPr>
        <w:t>to (i) consumption and (ii) non</w:t>
      </w:r>
      <w:r w:rsidR="00937690">
        <w:rPr>
          <w:sz w:val="28"/>
          <w:lang w:val="en-US" w:bidi="ru-RU"/>
        </w:rPr>
        <w:t>-</w:t>
      </w:r>
      <w:r w:rsidRPr="00937690">
        <w:rPr>
          <w:sz w:val="28"/>
          <w:lang w:val="en-US" w:bidi="ru-RU"/>
        </w:rPr>
        <w:t xml:space="preserve">consumption expenditures. </w:t>
      </w:r>
      <w:r w:rsidRPr="00937690">
        <w:rPr>
          <w:b/>
          <w:sz w:val="28"/>
          <w:lang w:val="en-US" w:bidi="ru-RU"/>
        </w:rPr>
        <w:t>Household consumption expenditure</w:t>
      </w:r>
      <w:r w:rsidRPr="00937690">
        <w:rPr>
          <w:sz w:val="28"/>
          <w:lang w:val="en-US" w:bidi="ru-RU"/>
        </w:rPr>
        <w:t xml:space="preserve"> is the value of </w:t>
      </w:r>
      <w:r w:rsidRPr="00937690">
        <w:rPr>
          <w:sz w:val="28"/>
          <w:lang w:val="en-US" w:bidi="ru-RU"/>
        </w:rPr>
        <w:lastRenderedPageBreak/>
        <w:t xml:space="preserve">consumer goods and services acquired, used or paid by a household for the satisfaction of the needs and wants of its members. </w:t>
      </w:r>
      <w:r w:rsidRPr="00937690">
        <w:rPr>
          <w:b/>
          <w:sz w:val="28"/>
          <w:lang w:val="en-US" w:bidi="ru-RU"/>
        </w:rPr>
        <w:t>Non-consumption expenditures</w:t>
      </w:r>
      <w:r w:rsidRPr="00937690">
        <w:rPr>
          <w:sz w:val="28"/>
          <w:lang w:val="en-US" w:bidi="ru-RU"/>
        </w:rPr>
        <w:t xml:space="preserve"> include loan repayments, income taxes</w:t>
      </w:r>
      <w:r w:rsidR="00A8383C">
        <w:rPr>
          <w:sz w:val="28"/>
          <w:lang w:val="en-US" w:bidi="ru-RU"/>
        </w:rPr>
        <w:t>,</w:t>
      </w:r>
      <w:r w:rsidRPr="00937690">
        <w:rPr>
          <w:sz w:val="28"/>
          <w:lang w:val="en-US" w:bidi="ru-RU"/>
        </w:rPr>
        <w:t xml:space="preserve"> and purchase of houses. The level and pattern of households’ expenditure provide an indication of the goods and services they consume. Depending on their profiles and the life stages they are in, households can finance their expenditure through regular income sources</w:t>
      </w:r>
      <w:r w:rsidR="00A8383C">
        <w:rPr>
          <w:sz w:val="28"/>
          <w:lang w:val="en-US" w:bidi="ru-RU"/>
        </w:rPr>
        <w:t>,</w:t>
      </w:r>
      <w:r w:rsidRPr="00937690">
        <w:rPr>
          <w:sz w:val="28"/>
          <w:lang w:val="en-US" w:bidi="ru-RU"/>
        </w:rPr>
        <w:t xml:space="preserve"> such as income from work and investment income, savings, irregular receipts</w:t>
      </w:r>
      <w:r w:rsidR="00A8383C">
        <w:rPr>
          <w:sz w:val="28"/>
          <w:lang w:val="en-US" w:bidi="ru-RU"/>
        </w:rPr>
        <w:t>,</w:t>
      </w:r>
      <w:r w:rsidRPr="00937690">
        <w:rPr>
          <w:sz w:val="28"/>
          <w:lang w:val="en-US" w:bidi="ru-RU"/>
        </w:rPr>
        <w:t xml:space="preserve"> such as capital gains, or loans, etc. </w:t>
      </w:r>
      <w:r w:rsidRPr="00937690">
        <w:rPr>
          <w:b/>
          <w:sz w:val="28"/>
          <w:lang w:val="en-US" w:bidi="ru-RU"/>
        </w:rPr>
        <w:t>Household expenses</w:t>
      </w:r>
      <w:r w:rsidRPr="00937690">
        <w:rPr>
          <w:sz w:val="28"/>
          <w:lang w:val="en-US" w:bidi="ru-RU"/>
        </w:rPr>
        <w:t xml:space="preserve"> refer to the cost of maintaining a home, such as paying the rent or the mortgage, utility bills, and groceries for the people living in the house. </w:t>
      </w:r>
    </w:p>
    <w:p w14:paraId="0D873845" w14:textId="77777777" w:rsidR="009E48E3" w:rsidRPr="00937690" w:rsidRDefault="009E48E3" w:rsidP="009E48E3">
      <w:pPr>
        <w:spacing w:line="312" w:lineRule="auto"/>
        <w:ind w:firstLine="709"/>
        <w:contextualSpacing/>
        <w:jc w:val="both"/>
        <w:rPr>
          <w:sz w:val="28"/>
          <w:lang w:val="en-US" w:bidi="ru-RU"/>
        </w:rPr>
      </w:pPr>
    </w:p>
    <w:p w14:paraId="178667CA" w14:textId="77777777" w:rsidR="003C51B1" w:rsidRPr="0073132A" w:rsidRDefault="003C51B1" w:rsidP="0073132A">
      <w:pPr>
        <w:pStyle w:val="a4"/>
        <w:spacing w:line="240" w:lineRule="auto"/>
        <w:jc w:val="both"/>
        <w:rPr>
          <w:rFonts w:ascii="Garamond" w:eastAsia="Times New Roman" w:hAnsi="Garamond" w:cs="Times New Roman"/>
          <w:b/>
          <w:sz w:val="28"/>
          <w:szCs w:val="28"/>
          <w:vertAlign w:val="superscript"/>
        </w:rPr>
      </w:pPr>
      <w:r w:rsidRPr="00937690">
        <w:rPr>
          <w:rFonts w:ascii="Garamond" w:hAnsi="Garamond"/>
          <w:b/>
          <w:sz w:val="28"/>
          <w:szCs w:val="28"/>
          <w:lang w:val="en-US"/>
        </w:rPr>
        <w:t>Table 6.4</w:t>
      </w:r>
      <w:r w:rsidR="009E48E3">
        <w:rPr>
          <w:rFonts w:ascii="Garamond" w:eastAsia="Times New Roman" w:hAnsi="Garamond" w:cs="Times New Roman"/>
          <w:b/>
          <w:sz w:val="28"/>
          <w:szCs w:val="28"/>
        </w:rPr>
        <w:t xml:space="preserve"> – </w:t>
      </w:r>
      <w:r w:rsidRPr="00937690">
        <w:rPr>
          <w:rFonts w:ascii="Garamond" w:hAnsi="Garamond"/>
          <w:b/>
          <w:sz w:val="28"/>
          <w:szCs w:val="28"/>
          <w:lang w:val="en-US"/>
        </w:rPr>
        <w:t>Structure of total expenditure</w:t>
      </w:r>
      <w:r w:rsidR="0073132A">
        <w:rPr>
          <w:rFonts w:ascii="Garamond" w:hAnsi="Garamond"/>
          <w:b/>
          <w:sz w:val="28"/>
          <w:szCs w:val="28"/>
          <w:vertAlign w:val="superscript"/>
          <w:lang w:val="en-US"/>
        </w:rPr>
        <w:t>1</w:t>
      </w:r>
    </w:p>
    <w:tbl>
      <w:tblPr>
        <w:tblW w:w="0" w:type="auto"/>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5379"/>
        <w:gridCol w:w="794"/>
        <w:gridCol w:w="794"/>
        <w:gridCol w:w="794"/>
        <w:gridCol w:w="794"/>
        <w:gridCol w:w="794"/>
      </w:tblGrid>
      <w:tr w:rsidR="00937690" w:rsidRPr="00937690" w14:paraId="6C38AE82" w14:textId="77777777" w:rsidTr="00937690">
        <w:trPr>
          <w:trHeight w:val="305"/>
        </w:trPr>
        <w:tc>
          <w:tcPr>
            <w:tcW w:w="0" w:type="auto"/>
            <w:vMerge w:val="restart"/>
            <w:tcBorders>
              <w:top w:val="single" w:sz="6" w:space="0" w:color="000000"/>
              <w:left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1A48771E" w14:textId="77777777" w:rsidR="00937690" w:rsidRPr="00937690" w:rsidRDefault="00937690" w:rsidP="00937690">
            <w:pPr>
              <w:pStyle w:val="a4"/>
              <w:spacing w:line="240" w:lineRule="atLeast"/>
              <w:ind w:left="20"/>
              <w:jc w:val="center"/>
              <w:rPr>
                <w:rFonts w:ascii="Garamond" w:hAnsi="Garamond"/>
                <w:sz w:val="28"/>
                <w:szCs w:val="28"/>
              </w:rPr>
            </w:pPr>
            <w:r w:rsidRPr="00937690">
              <w:rPr>
                <w:rFonts w:ascii="Garamond" w:hAnsi="Garamond"/>
                <w:sz w:val="28"/>
                <w:szCs w:val="28"/>
              </w:rPr>
              <w:t xml:space="preserve"> </w:t>
            </w:r>
          </w:p>
        </w:tc>
        <w:tc>
          <w:tcPr>
            <w:tcW w:w="0" w:type="auto"/>
            <w:gridSpan w:val="5"/>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690E7F5B" w14:textId="77777777" w:rsidR="00937690" w:rsidRPr="00937690" w:rsidRDefault="00937690" w:rsidP="00937690">
            <w:pPr>
              <w:pStyle w:val="a4"/>
              <w:spacing w:line="240" w:lineRule="atLeast"/>
              <w:ind w:left="20"/>
              <w:jc w:val="center"/>
              <w:rPr>
                <w:rFonts w:ascii="Garamond" w:hAnsi="Garamond"/>
                <w:sz w:val="28"/>
                <w:szCs w:val="28"/>
                <w:shd w:val="clear" w:color="auto" w:fill="FFFFFF"/>
              </w:rPr>
            </w:pPr>
            <w:r w:rsidRPr="00937690">
              <w:rPr>
                <w:rFonts w:ascii="Garamond" w:hAnsi="Garamond"/>
                <w:sz w:val="28"/>
                <w:szCs w:val="28"/>
              </w:rPr>
              <w:t>Year</w:t>
            </w:r>
          </w:p>
        </w:tc>
      </w:tr>
      <w:tr w:rsidR="00937690" w:rsidRPr="00937690" w14:paraId="7244402F" w14:textId="77777777" w:rsidTr="00937690">
        <w:trPr>
          <w:trHeight w:val="305"/>
        </w:trPr>
        <w:tc>
          <w:tcPr>
            <w:tcW w:w="0" w:type="auto"/>
            <w:vMerge/>
            <w:tcBorders>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558B9302" w14:textId="77777777" w:rsidR="00937690" w:rsidRPr="00937690" w:rsidRDefault="00937690" w:rsidP="00937690">
            <w:pPr>
              <w:pStyle w:val="a4"/>
              <w:spacing w:line="240" w:lineRule="atLeast"/>
              <w:ind w:left="20"/>
              <w:jc w:val="center"/>
              <w:rPr>
                <w:rFonts w:ascii="Garamond" w:hAnsi="Garamond"/>
                <w:sz w:val="28"/>
                <w:szCs w:val="28"/>
              </w:rPr>
            </w:pP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66938F36" w14:textId="77777777" w:rsidR="00937690" w:rsidRPr="00937690" w:rsidRDefault="00937690" w:rsidP="00937690">
            <w:pPr>
              <w:pStyle w:val="a4"/>
              <w:spacing w:line="240" w:lineRule="atLeast"/>
              <w:ind w:left="20"/>
              <w:jc w:val="center"/>
              <w:rPr>
                <w:rFonts w:ascii="Garamond" w:hAnsi="Garamond"/>
                <w:sz w:val="28"/>
                <w:szCs w:val="28"/>
              </w:rPr>
            </w:pPr>
            <w:r w:rsidRPr="00937690">
              <w:rPr>
                <w:rFonts w:ascii="Garamond" w:hAnsi="Garamond"/>
                <w:sz w:val="28"/>
                <w:szCs w:val="28"/>
              </w:rPr>
              <w:t>2010</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45EA0281" w14:textId="77777777" w:rsidR="00937690" w:rsidRPr="00937690" w:rsidRDefault="00937690" w:rsidP="00937690">
            <w:pPr>
              <w:pStyle w:val="a4"/>
              <w:spacing w:line="240" w:lineRule="atLeast"/>
              <w:ind w:left="20"/>
              <w:jc w:val="center"/>
              <w:rPr>
                <w:rFonts w:ascii="Garamond" w:hAnsi="Garamond"/>
                <w:sz w:val="28"/>
                <w:szCs w:val="28"/>
              </w:rPr>
            </w:pPr>
            <w:r w:rsidRPr="00937690">
              <w:rPr>
                <w:rFonts w:ascii="Garamond" w:hAnsi="Garamond"/>
                <w:sz w:val="28"/>
                <w:szCs w:val="28"/>
              </w:rPr>
              <w:t>2011</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3D6EDA51" w14:textId="77777777" w:rsidR="00937690" w:rsidRPr="00937690" w:rsidRDefault="00937690" w:rsidP="00937690">
            <w:pPr>
              <w:pStyle w:val="a4"/>
              <w:spacing w:line="240" w:lineRule="atLeast"/>
              <w:ind w:left="20"/>
              <w:jc w:val="center"/>
              <w:rPr>
                <w:rFonts w:ascii="Garamond" w:hAnsi="Garamond"/>
                <w:sz w:val="28"/>
                <w:szCs w:val="28"/>
              </w:rPr>
            </w:pPr>
            <w:r w:rsidRPr="00937690">
              <w:rPr>
                <w:rFonts w:ascii="Garamond" w:hAnsi="Garamond"/>
                <w:sz w:val="28"/>
                <w:szCs w:val="28"/>
              </w:rPr>
              <w:t>2012</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vAlign w:val="bottom"/>
          </w:tcPr>
          <w:p w14:paraId="60BA2BE4" w14:textId="77777777" w:rsidR="00937690" w:rsidRPr="00937690" w:rsidRDefault="00937690" w:rsidP="00937690">
            <w:pPr>
              <w:pStyle w:val="a4"/>
              <w:spacing w:line="240" w:lineRule="atLeast"/>
              <w:ind w:left="20"/>
              <w:jc w:val="center"/>
              <w:rPr>
                <w:rFonts w:ascii="Garamond" w:hAnsi="Garamond"/>
                <w:sz w:val="28"/>
                <w:szCs w:val="28"/>
              </w:rPr>
            </w:pPr>
            <w:r w:rsidRPr="00937690">
              <w:rPr>
                <w:rFonts w:ascii="Garamond" w:hAnsi="Garamond"/>
                <w:sz w:val="28"/>
                <w:szCs w:val="28"/>
              </w:rPr>
              <w:t>2013</w:t>
            </w:r>
          </w:p>
        </w:tc>
        <w:tc>
          <w:tcPr>
            <w:tcW w:w="0" w:type="auto"/>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left w:w="28" w:type="dxa"/>
              <w:bottom w:w="0" w:type="dxa"/>
              <w:right w:w="28" w:type="dxa"/>
            </w:tcMar>
          </w:tcPr>
          <w:p w14:paraId="6132BB31" w14:textId="77777777" w:rsidR="00937690" w:rsidRPr="00937690" w:rsidRDefault="00937690" w:rsidP="0073132A">
            <w:pPr>
              <w:pStyle w:val="a4"/>
              <w:spacing w:line="240" w:lineRule="atLeast"/>
              <w:ind w:left="20"/>
              <w:jc w:val="center"/>
              <w:rPr>
                <w:rFonts w:ascii="Garamond" w:hAnsi="Garamond"/>
                <w:sz w:val="28"/>
                <w:szCs w:val="28"/>
              </w:rPr>
            </w:pPr>
            <w:r w:rsidRPr="00937690">
              <w:rPr>
                <w:rFonts w:ascii="Garamond" w:hAnsi="Garamond"/>
                <w:sz w:val="28"/>
                <w:szCs w:val="28"/>
              </w:rPr>
              <w:t>2014</w:t>
            </w:r>
            <w:r w:rsidR="0073132A">
              <w:rPr>
                <w:rFonts w:ascii="Garamond" w:hAnsi="Garamond"/>
                <w:sz w:val="28"/>
                <w:szCs w:val="28"/>
                <w:vertAlign w:val="superscript"/>
              </w:rPr>
              <w:t>2</w:t>
            </w:r>
          </w:p>
        </w:tc>
      </w:tr>
      <w:tr w:rsidR="003C51B1" w:rsidRPr="00937690" w14:paraId="0EC71A65" w14:textId="77777777" w:rsidTr="00937690">
        <w:trPr>
          <w:trHeight w:val="568"/>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3F5F2ECE" w14:textId="77777777" w:rsidR="003C51B1" w:rsidRPr="00937690" w:rsidRDefault="003C51B1" w:rsidP="00937690">
            <w:pPr>
              <w:pStyle w:val="a4"/>
              <w:spacing w:line="240" w:lineRule="atLeast"/>
              <w:ind w:left="20"/>
              <w:jc w:val="both"/>
              <w:rPr>
                <w:rFonts w:ascii="Garamond" w:hAnsi="Garamond"/>
                <w:sz w:val="28"/>
                <w:szCs w:val="28"/>
              </w:rPr>
            </w:pPr>
            <w:r w:rsidRPr="00937690">
              <w:rPr>
                <w:rFonts w:ascii="Garamond" w:hAnsi="Garamond"/>
                <w:sz w:val="28"/>
                <w:szCs w:val="28"/>
                <w:lang w:val="en-US"/>
              </w:rPr>
              <w:t>Average monthly total expenditure per one household, UAH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19365AF"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3073</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EB0C40A"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3458</w:t>
            </w:r>
            <w:r w:rsidR="0073132A">
              <w:rPr>
                <w:rFonts w:ascii="Garamond" w:hAnsi="Garamond"/>
                <w:sz w:val="28"/>
                <w:szCs w:val="28"/>
                <w:shd w:val="clear" w:color="auto" w:fill="FFFFFF"/>
              </w:rPr>
              <w:t>.</w:t>
            </w:r>
            <w:r w:rsidRPr="00937690">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E5D88D3"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3592</w:t>
            </w:r>
            <w:r w:rsidR="0073132A">
              <w:rPr>
                <w:rFonts w:ascii="Garamond" w:hAnsi="Garamond"/>
                <w:sz w:val="28"/>
                <w:szCs w:val="28"/>
                <w:shd w:val="clear" w:color="auto" w:fill="FFFFFF"/>
              </w:rPr>
              <w:t>.</w:t>
            </w:r>
            <w:r w:rsidRPr="00937690">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556F4A6"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3820</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3F450A8"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4048</w:t>
            </w:r>
            <w:r w:rsidR="0073132A">
              <w:rPr>
                <w:rFonts w:ascii="Garamond" w:hAnsi="Garamond"/>
                <w:sz w:val="28"/>
                <w:szCs w:val="28"/>
                <w:shd w:val="clear" w:color="auto" w:fill="FFFFFF"/>
              </w:rPr>
              <w:t>.</w:t>
            </w:r>
            <w:r w:rsidRPr="00937690">
              <w:rPr>
                <w:rFonts w:ascii="Garamond" w:hAnsi="Garamond"/>
                <w:sz w:val="28"/>
                <w:szCs w:val="28"/>
                <w:shd w:val="clear" w:color="auto" w:fill="FFFFFF"/>
              </w:rPr>
              <w:t>9</w:t>
            </w:r>
          </w:p>
        </w:tc>
      </w:tr>
      <w:tr w:rsidR="00937690" w:rsidRPr="00937690" w14:paraId="165695D4" w14:textId="77777777" w:rsidTr="00730075">
        <w:trPr>
          <w:trHeight w:val="208"/>
        </w:trPr>
        <w:tc>
          <w:tcPr>
            <w:tcW w:w="0" w:type="auto"/>
            <w:gridSpan w:val="6"/>
            <w:tcBorders>
              <w:top w:val="single" w:sz="6" w:space="0" w:color="000000"/>
              <w:left w:val="single" w:sz="6" w:space="0" w:color="000000"/>
              <w:bottom w:val="single" w:sz="6" w:space="0" w:color="000000"/>
              <w:right w:val="single" w:sz="2" w:space="0" w:color="000000"/>
            </w:tcBorders>
            <w:shd w:val="clear" w:color="auto" w:fill="auto"/>
            <w:tcMar>
              <w:top w:w="0" w:type="dxa"/>
              <w:left w:w="28" w:type="dxa"/>
              <w:bottom w:w="0" w:type="dxa"/>
              <w:right w:w="28" w:type="dxa"/>
            </w:tcMar>
          </w:tcPr>
          <w:p w14:paraId="074C549C" w14:textId="77777777" w:rsidR="00937690" w:rsidRPr="00937690" w:rsidRDefault="00937690" w:rsidP="00937690">
            <w:pPr>
              <w:pStyle w:val="a4"/>
              <w:spacing w:line="240" w:lineRule="atLeast"/>
              <w:ind w:left="20"/>
              <w:jc w:val="both"/>
              <w:rPr>
                <w:rFonts w:ascii="Garamond" w:hAnsi="Garamond"/>
                <w:sz w:val="28"/>
                <w:szCs w:val="28"/>
              </w:rPr>
            </w:pPr>
            <w:r w:rsidRPr="00937690">
              <w:rPr>
                <w:rFonts w:ascii="Garamond" w:hAnsi="Garamond"/>
                <w:sz w:val="28"/>
                <w:szCs w:val="28"/>
                <w:lang w:val="en-US"/>
              </w:rPr>
              <w:t>Structure of household total expenditure</w:t>
            </w:r>
            <w:r>
              <w:rPr>
                <w:rFonts w:ascii="Garamond" w:hAnsi="Garamond"/>
                <w:sz w:val="28"/>
                <w:szCs w:val="28"/>
                <w:lang w:val="en-US"/>
              </w:rPr>
              <w:t xml:space="preserve">, </w:t>
            </w:r>
            <w:r w:rsidRPr="00937690">
              <w:rPr>
                <w:rFonts w:ascii="Garamond" w:hAnsi="Garamond"/>
                <w:sz w:val="28"/>
                <w:szCs w:val="28"/>
              </w:rPr>
              <w:t>percent</w:t>
            </w:r>
          </w:p>
        </w:tc>
      </w:tr>
      <w:tr w:rsidR="003C51B1" w:rsidRPr="00937690" w14:paraId="7A1871E7" w14:textId="77777777" w:rsidTr="00937690">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12BE9F7D" w14:textId="77777777" w:rsidR="003C51B1" w:rsidRPr="00937690" w:rsidRDefault="003C51B1" w:rsidP="00937690">
            <w:pPr>
              <w:pStyle w:val="a4"/>
              <w:spacing w:line="240" w:lineRule="atLeast"/>
              <w:ind w:firstLine="20"/>
              <w:jc w:val="both"/>
              <w:rPr>
                <w:rFonts w:ascii="Garamond" w:hAnsi="Garamond"/>
                <w:sz w:val="28"/>
                <w:szCs w:val="28"/>
              </w:rPr>
            </w:pPr>
            <w:r w:rsidRPr="00937690">
              <w:rPr>
                <w:rFonts w:ascii="Garamond" w:hAnsi="Garamond"/>
                <w:sz w:val="28"/>
                <w:szCs w:val="28"/>
                <w:lang w:val="fr-FR"/>
              </w:rPr>
              <w:t>Total consumption expenditure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5F93E1A"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89</w:t>
            </w:r>
            <w:r w:rsidR="0073132A">
              <w:rPr>
                <w:rFonts w:ascii="Garamond" w:hAnsi="Garamond"/>
                <w:sz w:val="28"/>
                <w:szCs w:val="28"/>
                <w:shd w:val="clear" w:color="auto" w:fill="FFFFFF"/>
              </w:rPr>
              <w:t>.</w:t>
            </w:r>
            <w:r w:rsidRPr="00937690">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5D02E0F"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90</w:t>
            </w:r>
            <w:r w:rsidR="0073132A">
              <w:rPr>
                <w:rFonts w:ascii="Garamond" w:hAnsi="Garamond"/>
                <w:sz w:val="28"/>
                <w:szCs w:val="28"/>
                <w:shd w:val="clear" w:color="auto" w:fill="FFFFFF"/>
              </w:rPr>
              <w:t>.</w:t>
            </w:r>
            <w:r w:rsidRPr="00937690">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E83BB49"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90</w:t>
            </w:r>
            <w:r w:rsidR="0073132A">
              <w:rPr>
                <w:rFonts w:ascii="Garamond" w:hAnsi="Garamond"/>
                <w:sz w:val="28"/>
                <w:szCs w:val="28"/>
                <w:shd w:val="clear" w:color="auto" w:fill="FFFFFF"/>
              </w:rPr>
              <w:t>.</w:t>
            </w:r>
            <w:r w:rsidRPr="00937690">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EB49E15"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90</w:t>
            </w:r>
            <w:r w:rsidR="0073132A">
              <w:rPr>
                <w:rFonts w:ascii="Garamond" w:hAnsi="Garamond"/>
                <w:sz w:val="28"/>
                <w:szCs w:val="28"/>
                <w:shd w:val="clear" w:color="auto" w:fill="FFFFFF"/>
              </w:rPr>
              <w:t>.</w:t>
            </w:r>
            <w:r w:rsidRPr="00937690">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2217F2C"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91</w:t>
            </w:r>
            <w:r w:rsidR="0073132A">
              <w:rPr>
                <w:rFonts w:ascii="Garamond" w:hAnsi="Garamond"/>
                <w:sz w:val="28"/>
                <w:szCs w:val="28"/>
                <w:shd w:val="clear" w:color="auto" w:fill="FFFFFF"/>
              </w:rPr>
              <w:t>.</w:t>
            </w:r>
            <w:r w:rsidRPr="00937690">
              <w:rPr>
                <w:rFonts w:ascii="Garamond" w:hAnsi="Garamond"/>
                <w:sz w:val="28"/>
                <w:szCs w:val="28"/>
                <w:shd w:val="clear" w:color="auto" w:fill="FFFFFF"/>
              </w:rPr>
              <w:t>6</w:t>
            </w:r>
          </w:p>
        </w:tc>
      </w:tr>
      <w:tr w:rsidR="003C51B1" w:rsidRPr="00937690" w14:paraId="7422034F" w14:textId="77777777" w:rsidTr="00937690">
        <w:trPr>
          <w:trHeight w:val="260"/>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16D6B098" w14:textId="77777777" w:rsidR="003C51B1" w:rsidRPr="00937690" w:rsidRDefault="003C51B1" w:rsidP="00937690">
            <w:pPr>
              <w:pStyle w:val="a4"/>
              <w:spacing w:line="240" w:lineRule="atLeast"/>
              <w:ind w:left="140"/>
              <w:jc w:val="both"/>
              <w:rPr>
                <w:rFonts w:ascii="Garamond" w:hAnsi="Garamond"/>
                <w:sz w:val="28"/>
                <w:szCs w:val="28"/>
              </w:rPr>
            </w:pPr>
            <w:r w:rsidRPr="00937690">
              <w:rPr>
                <w:rFonts w:ascii="Garamond" w:hAnsi="Garamond"/>
                <w:sz w:val="28"/>
                <w:szCs w:val="28"/>
                <w:lang w:val="en-US"/>
              </w:rPr>
              <w:t>food and non-alcoholic  beverages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5416C7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51</w:t>
            </w:r>
            <w:r w:rsidR="0073132A">
              <w:rPr>
                <w:rFonts w:ascii="Garamond" w:hAnsi="Garamond"/>
                <w:sz w:val="28"/>
                <w:szCs w:val="28"/>
                <w:shd w:val="clear" w:color="auto" w:fill="FFFFFF"/>
              </w:rPr>
              <w:t>.</w:t>
            </w:r>
            <w:r w:rsidRPr="00937690">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9EBFD3B"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51</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D5EAA01"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50</w:t>
            </w:r>
            <w:r w:rsidR="0073132A">
              <w:rPr>
                <w:rFonts w:ascii="Garamond" w:hAnsi="Garamond"/>
                <w:sz w:val="28"/>
                <w:szCs w:val="28"/>
                <w:shd w:val="clear" w:color="auto" w:fill="FFFFFF"/>
              </w:rPr>
              <w:t>.</w:t>
            </w:r>
            <w:r w:rsidRPr="00937690">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3ACE604"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50</w:t>
            </w:r>
            <w:r w:rsidR="0073132A">
              <w:rPr>
                <w:rFonts w:ascii="Garamond" w:hAnsi="Garamond"/>
                <w:sz w:val="28"/>
                <w:szCs w:val="28"/>
                <w:shd w:val="clear" w:color="auto" w:fill="FFFFFF"/>
              </w:rPr>
              <w:t>.</w:t>
            </w:r>
            <w:r w:rsidRPr="00937690">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B0118D1"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51</w:t>
            </w:r>
            <w:r w:rsidR="0073132A">
              <w:rPr>
                <w:rFonts w:ascii="Garamond" w:hAnsi="Garamond"/>
                <w:sz w:val="28"/>
                <w:szCs w:val="28"/>
                <w:shd w:val="clear" w:color="auto" w:fill="FFFFFF"/>
              </w:rPr>
              <w:t>.</w:t>
            </w:r>
            <w:r w:rsidRPr="00937690">
              <w:rPr>
                <w:rFonts w:ascii="Garamond" w:hAnsi="Garamond"/>
                <w:sz w:val="28"/>
                <w:szCs w:val="28"/>
                <w:shd w:val="clear" w:color="auto" w:fill="FFFFFF"/>
              </w:rPr>
              <w:t>9</w:t>
            </w:r>
          </w:p>
        </w:tc>
      </w:tr>
      <w:tr w:rsidR="003C51B1" w:rsidRPr="00937690" w14:paraId="437565E8" w14:textId="77777777" w:rsidTr="00937690">
        <w:trPr>
          <w:trHeight w:val="223"/>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57E5D16D" w14:textId="77777777" w:rsidR="003C51B1" w:rsidRPr="00937690" w:rsidRDefault="003C51B1" w:rsidP="00937690">
            <w:pPr>
              <w:pStyle w:val="a4"/>
              <w:spacing w:line="240" w:lineRule="atLeast"/>
              <w:ind w:left="140"/>
              <w:jc w:val="both"/>
              <w:rPr>
                <w:rFonts w:ascii="Garamond" w:hAnsi="Garamond"/>
                <w:sz w:val="28"/>
                <w:szCs w:val="28"/>
              </w:rPr>
            </w:pPr>
            <w:r w:rsidRPr="00937690">
              <w:rPr>
                <w:rFonts w:ascii="Garamond" w:hAnsi="Garamond"/>
                <w:sz w:val="28"/>
                <w:szCs w:val="28"/>
                <w:lang w:val="en-US"/>
              </w:rPr>
              <w:t>alcoholic beverages and tobacco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6A039CF"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BD693A9"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1EBB5F4"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AB01958"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0C93EA8"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r>
      <w:tr w:rsidR="003C51B1" w:rsidRPr="00937690" w14:paraId="1CD4495F" w14:textId="77777777" w:rsidTr="00937690">
        <w:trPr>
          <w:trHeight w:val="156"/>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09D35BF0" w14:textId="77777777" w:rsidR="003C51B1" w:rsidRPr="00937690" w:rsidRDefault="003C51B1" w:rsidP="00937690">
            <w:pPr>
              <w:pStyle w:val="a4"/>
              <w:spacing w:line="240" w:lineRule="atLeast"/>
              <w:ind w:left="140"/>
              <w:jc w:val="both"/>
              <w:rPr>
                <w:rFonts w:ascii="Garamond" w:hAnsi="Garamond"/>
                <w:sz w:val="28"/>
                <w:szCs w:val="28"/>
              </w:rPr>
            </w:pPr>
            <w:r w:rsidRPr="00937690">
              <w:rPr>
                <w:rFonts w:ascii="Garamond" w:hAnsi="Garamond"/>
                <w:sz w:val="28"/>
                <w:szCs w:val="28"/>
                <w:lang w:val="en-US"/>
              </w:rPr>
              <w:t>manufactured goods and services</w:t>
            </w:r>
            <w:r w:rsidR="00937690">
              <w:rPr>
                <w:rFonts w:ascii="Garamond" w:hAnsi="Garamond"/>
                <w:sz w:val="28"/>
                <w:szCs w:val="28"/>
                <w:lang w:val="en-US"/>
              </w:rPr>
              <w:t>,</w:t>
            </w:r>
            <w:r w:rsidRPr="00937690">
              <w:rPr>
                <w:rFonts w:ascii="Garamond" w:hAnsi="Garamond"/>
                <w:sz w:val="28"/>
                <w:szCs w:val="28"/>
                <w:lang w:val="en-US"/>
              </w:rPr>
              <w:t xml:space="preserve"> </w:t>
            </w:r>
            <w:r w:rsidR="00937690" w:rsidRPr="00937690">
              <w:rPr>
                <w:rFonts w:ascii="Garamond" w:hAnsi="Garamond"/>
                <w:sz w:val="28"/>
                <w:szCs w:val="28"/>
                <w:lang w:val="en-US"/>
              </w:rPr>
              <w:t>including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C7ABF49"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34</w:t>
            </w:r>
            <w:r w:rsidR="0073132A">
              <w:rPr>
                <w:rFonts w:ascii="Garamond" w:hAnsi="Garamond"/>
                <w:sz w:val="28"/>
                <w:szCs w:val="28"/>
                <w:shd w:val="clear" w:color="auto" w:fill="FFFFFF"/>
              </w:rPr>
              <w:t>.</w:t>
            </w:r>
            <w:r w:rsidRPr="00937690">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C0916BB"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35</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3B9DB26"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37</w:t>
            </w:r>
            <w:r w:rsidR="0073132A">
              <w:rPr>
                <w:rFonts w:ascii="Garamond" w:hAnsi="Garamond"/>
                <w:sz w:val="28"/>
                <w:szCs w:val="28"/>
                <w:shd w:val="clear" w:color="auto" w:fill="FFFFFF"/>
              </w:rPr>
              <w:t>.</w:t>
            </w:r>
            <w:r w:rsidRPr="00937690">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C192B20"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36</w:t>
            </w:r>
            <w:r w:rsidR="0073132A">
              <w:rPr>
                <w:rFonts w:ascii="Garamond" w:hAnsi="Garamond"/>
                <w:sz w:val="28"/>
                <w:szCs w:val="28"/>
                <w:shd w:val="clear" w:color="auto" w:fill="FFFFFF"/>
              </w:rPr>
              <w:t>.</w:t>
            </w:r>
            <w:r w:rsidRPr="00937690">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C98612A"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36</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r>
      <w:tr w:rsidR="003C51B1" w:rsidRPr="00937690" w14:paraId="0CED07D6" w14:textId="77777777" w:rsidTr="00937690">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170F956F"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lang w:val="en-US"/>
              </w:rPr>
              <w:t>clothing and footwear</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BE48795"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6</w:t>
            </w:r>
            <w:r w:rsidR="0073132A">
              <w:rPr>
                <w:rFonts w:ascii="Garamond" w:hAnsi="Garamond"/>
                <w:sz w:val="28"/>
                <w:szCs w:val="28"/>
                <w:shd w:val="clear" w:color="auto" w:fill="FFFFFF"/>
              </w:rPr>
              <w:t>.</w:t>
            </w:r>
            <w:r w:rsidRPr="00937690">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9324B2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5</w:t>
            </w:r>
            <w:r w:rsidR="0073132A">
              <w:rPr>
                <w:rFonts w:ascii="Garamond" w:hAnsi="Garamond"/>
                <w:sz w:val="28"/>
                <w:szCs w:val="28"/>
                <w:shd w:val="clear" w:color="auto" w:fill="FFFFFF"/>
              </w:rPr>
              <w:t>.</w:t>
            </w:r>
            <w:r w:rsidRPr="00937690">
              <w:rPr>
                <w:rFonts w:ascii="Garamond" w:hAnsi="Garamond"/>
                <w:sz w:val="28"/>
                <w:szCs w:val="28"/>
                <w:shd w:val="clear" w:color="auto" w:fill="FFFFFF"/>
              </w:rPr>
              <w:t>7</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97AD457"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6</w:t>
            </w:r>
            <w:r w:rsidR="0073132A">
              <w:rPr>
                <w:rFonts w:ascii="Garamond" w:hAnsi="Garamond"/>
                <w:sz w:val="28"/>
                <w:szCs w:val="28"/>
                <w:shd w:val="clear" w:color="auto" w:fill="FFFFFF"/>
              </w:rPr>
              <w:t>.</w:t>
            </w:r>
            <w:r w:rsidRPr="00937690">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830E306"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5</w:t>
            </w:r>
            <w:r w:rsidR="0073132A">
              <w:rPr>
                <w:rFonts w:ascii="Garamond" w:hAnsi="Garamond"/>
                <w:sz w:val="28"/>
                <w:szCs w:val="28"/>
                <w:shd w:val="clear" w:color="auto" w:fill="FFFFFF"/>
              </w:rPr>
              <w:t>.</w:t>
            </w:r>
            <w:r w:rsidRPr="00937690">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68239B7"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6</w:t>
            </w:r>
            <w:r w:rsidR="0073132A">
              <w:rPr>
                <w:rFonts w:ascii="Garamond" w:hAnsi="Garamond"/>
                <w:sz w:val="28"/>
                <w:szCs w:val="28"/>
                <w:shd w:val="clear" w:color="auto" w:fill="FFFFFF"/>
              </w:rPr>
              <w:t>.</w:t>
            </w:r>
            <w:r w:rsidRPr="00937690">
              <w:rPr>
                <w:rFonts w:ascii="Garamond" w:hAnsi="Garamond"/>
                <w:sz w:val="28"/>
                <w:szCs w:val="28"/>
                <w:shd w:val="clear" w:color="auto" w:fill="FFFFFF"/>
              </w:rPr>
              <w:t>0</w:t>
            </w:r>
          </w:p>
        </w:tc>
      </w:tr>
      <w:tr w:rsidR="003C51B1" w:rsidRPr="00937690" w14:paraId="5075377E" w14:textId="77777777" w:rsidTr="00937690">
        <w:trPr>
          <w:trHeight w:val="208"/>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7C5254DC"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lang w:val="en-US"/>
              </w:rPr>
              <w:t>housing, water, electricity, gas and other fuels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D8E7DF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w:t>
            </w:r>
            <w:r w:rsidR="0073132A">
              <w:rPr>
                <w:rFonts w:ascii="Garamond" w:hAnsi="Garamond"/>
                <w:sz w:val="28"/>
                <w:szCs w:val="28"/>
                <w:shd w:val="clear" w:color="auto" w:fill="FFFFFF"/>
              </w:rPr>
              <w:t>.</w:t>
            </w:r>
            <w:r w:rsidRPr="00937690">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E848610"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w:t>
            </w:r>
            <w:r w:rsidR="0073132A">
              <w:rPr>
                <w:rFonts w:ascii="Garamond" w:hAnsi="Garamond"/>
                <w:sz w:val="28"/>
                <w:szCs w:val="28"/>
                <w:shd w:val="clear" w:color="auto" w:fill="FFFFFF"/>
              </w:rPr>
              <w:t>.</w:t>
            </w:r>
            <w:r w:rsidRPr="00937690">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D17F958"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w:t>
            </w:r>
            <w:r w:rsidR="0073132A">
              <w:rPr>
                <w:rFonts w:ascii="Garamond" w:hAnsi="Garamond"/>
                <w:sz w:val="28"/>
                <w:szCs w:val="28"/>
                <w:shd w:val="clear" w:color="auto" w:fill="FFFFFF"/>
              </w:rPr>
              <w:t>.</w:t>
            </w:r>
            <w:r w:rsidRPr="00937690">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BC55D2A"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w:t>
            </w:r>
            <w:r w:rsidR="0073132A">
              <w:rPr>
                <w:rFonts w:ascii="Garamond" w:hAnsi="Garamond"/>
                <w:sz w:val="28"/>
                <w:szCs w:val="28"/>
                <w:shd w:val="clear" w:color="auto" w:fill="FFFFFF"/>
              </w:rPr>
              <w:t>.</w:t>
            </w:r>
            <w:r w:rsidRPr="00937690">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D93F6F1"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r>
      <w:tr w:rsidR="003C51B1" w:rsidRPr="00937690" w14:paraId="66828293" w14:textId="77777777" w:rsidTr="00937690">
        <w:trPr>
          <w:trHeight w:val="581"/>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3BDEC29A"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lang w:val="en-US"/>
              </w:rPr>
              <w:t>furnishing, household equipment and routine maintenance of the house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BDC6203"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0A905A7"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F4A952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B4A0ACA"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28C96D1"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r>
      <w:tr w:rsidR="003C51B1" w:rsidRPr="00937690" w14:paraId="54A78C0D" w14:textId="77777777" w:rsidTr="00937690">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37D83984"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lang w:val="en-US"/>
              </w:rPr>
              <w:t>health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D234DF2"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E724AA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1A7C22A"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BD08DA3"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AD691E3"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6</w:t>
            </w:r>
          </w:p>
        </w:tc>
      </w:tr>
      <w:tr w:rsidR="003C51B1" w:rsidRPr="00937690" w14:paraId="018ED7EE" w14:textId="77777777" w:rsidTr="00937690">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3AB4BFB7"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rPr>
              <w:t>transport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32BA606"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3</w:t>
            </w:r>
            <w:r w:rsidR="0073132A">
              <w:rPr>
                <w:rFonts w:ascii="Garamond" w:hAnsi="Garamond"/>
                <w:sz w:val="28"/>
                <w:szCs w:val="28"/>
                <w:shd w:val="clear" w:color="auto" w:fill="FFFFFF"/>
              </w:rPr>
              <w:t>.</w:t>
            </w:r>
            <w:r w:rsidRPr="00937690">
              <w:rPr>
                <w:rFonts w:ascii="Garamond" w:hAnsi="Garamond"/>
                <w:sz w:val="28"/>
                <w:szCs w:val="28"/>
                <w:shd w:val="clear" w:color="auto" w:fill="FFFFFF"/>
              </w:rPr>
              <w:t>7</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C8D0626"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4</w:t>
            </w:r>
            <w:r w:rsidR="0073132A">
              <w:rPr>
                <w:rFonts w:ascii="Garamond" w:hAnsi="Garamond"/>
                <w:sz w:val="28"/>
                <w:szCs w:val="28"/>
                <w:shd w:val="clear" w:color="auto" w:fill="FFFFFF"/>
              </w:rPr>
              <w:t>.</w:t>
            </w:r>
            <w:r w:rsidRPr="00937690">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931D511"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4</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7C7D15C"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4</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7B76447"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4</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r>
      <w:tr w:rsidR="003C51B1" w:rsidRPr="00937690" w14:paraId="679DD2B1" w14:textId="77777777" w:rsidTr="00937690">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5FFE7AA9"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lang w:val="fr-FR"/>
              </w:rPr>
              <w:t>communication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0B47DE3"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7</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74E4042"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004192A"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8463D64"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9AE1D10"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8</w:t>
            </w:r>
          </w:p>
        </w:tc>
      </w:tr>
      <w:tr w:rsidR="003C51B1" w:rsidRPr="00937690" w14:paraId="6781AFCC" w14:textId="77777777" w:rsidTr="00937690">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2CA8AF03"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lang w:val="en-US"/>
              </w:rPr>
              <w:t>recreation and culture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E4ED058"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1</w:t>
            </w:r>
            <w:r w:rsidR="0073132A">
              <w:rPr>
                <w:rFonts w:ascii="Garamond" w:hAnsi="Garamond"/>
                <w:sz w:val="28"/>
                <w:szCs w:val="28"/>
                <w:shd w:val="clear" w:color="auto" w:fill="FFFFFF"/>
              </w:rPr>
              <w:t>.</w:t>
            </w:r>
            <w:r w:rsidRPr="00937690">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09B9A09"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1</w:t>
            </w:r>
            <w:r w:rsidR="0073132A">
              <w:rPr>
                <w:rFonts w:ascii="Garamond" w:hAnsi="Garamond"/>
                <w:sz w:val="28"/>
                <w:szCs w:val="28"/>
                <w:shd w:val="clear" w:color="auto" w:fill="FFFFFF"/>
              </w:rPr>
              <w:t>.</w:t>
            </w:r>
            <w:r w:rsidRPr="00937690">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C710B7C"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7D26112"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CE2E540"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1</w:t>
            </w:r>
            <w:r w:rsidR="0073132A">
              <w:rPr>
                <w:rFonts w:ascii="Garamond" w:hAnsi="Garamond"/>
                <w:sz w:val="28"/>
                <w:szCs w:val="28"/>
                <w:shd w:val="clear" w:color="auto" w:fill="FFFFFF"/>
              </w:rPr>
              <w:t>.</w:t>
            </w:r>
            <w:r w:rsidRPr="00937690">
              <w:rPr>
                <w:rFonts w:ascii="Garamond" w:hAnsi="Garamond"/>
                <w:sz w:val="28"/>
                <w:szCs w:val="28"/>
                <w:shd w:val="clear" w:color="auto" w:fill="FFFFFF"/>
              </w:rPr>
              <w:t>8</w:t>
            </w:r>
          </w:p>
        </w:tc>
      </w:tr>
      <w:tr w:rsidR="003C51B1" w:rsidRPr="00937690" w14:paraId="3B4F0F17" w14:textId="77777777" w:rsidTr="00937690">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7542265C"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lang w:val="en-US"/>
              </w:rPr>
              <w:t>education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5C67DED"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1</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AD9B328"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1</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CBAD8FF"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1</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723BC2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1</w:t>
            </w:r>
            <w:r w:rsidR="0073132A">
              <w:rPr>
                <w:rFonts w:ascii="Garamond" w:hAnsi="Garamond"/>
                <w:sz w:val="28"/>
                <w:szCs w:val="28"/>
                <w:shd w:val="clear" w:color="auto" w:fill="FFFFFF"/>
              </w:rPr>
              <w:t>.</w:t>
            </w:r>
            <w:r w:rsidRPr="00937690">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0F6E8D6"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1</w:t>
            </w:r>
            <w:r w:rsidR="0073132A">
              <w:rPr>
                <w:rFonts w:ascii="Garamond" w:hAnsi="Garamond"/>
                <w:sz w:val="28"/>
                <w:szCs w:val="28"/>
                <w:shd w:val="clear" w:color="auto" w:fill="FFFFFF"/>
              </w:rPr>
              <w:t>.</w:t>
            </w:r>
            <w:r w:rsidRPr="00937690">
              <w:rPr>
                <w:rFonts w:ascii="Garamond" w:hAnsi="Garamond"/>
                <w:sz w:val="28"/>
                <w:szCs w:val="28"/>
                <w:shd w:val="clear" w:color="auto" w:fill="FFFFFF"/>
              </w:rPr>
              <w:t>1</w:t>
            </w:r>
          </w:p>
        </w:tc>
      </w:tr>
      <w:tr w:rsidR="003C51B1" w:rsidRPr="00937690" w14:paraId="0854D549" w14:textId="77777777" w:rsidTr="00937690">
        <w:trPr>
          <w:trHeight w:val="305"/>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6302CBC8"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lang w:val="en-US"/>
              </w:rPr>
              <w:t>restaurants and hotels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D509D1B"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8A812C4"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2E4A9B8"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94FBA62"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5</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22AE0079"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r>
      <w:tr w:rsidR="003C51B1" w:rsidRPr="00937690" w14:paraId="1F2396AB" w14:textId="77777777" w:rsidTr="00937690">
        <w:trPr>
          <w:trHeight w:val="237"/>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39871541" w14:textId="77777777" w:rsidR="003C51B1" w:rsidRPr="00937690" w:rsidRDefault="003C51B1" w:rsidP="00937690">
            <w:pPr>
              <w:pStyle w:val="a4"/>
              <w:spacing w:line="240" w:lineRule="atLeast"/>
              <w:ind w:left="240"/>
              <w:jc w:val="both"/>
              <w:rPr>
                <w:rFonts w:ascii="Garamond" w:hAnsi="Garamond"/>
                <w:sz w:val="28"/>
                <w:szCs w:val="28"/>
              </w:rPr>
            </w:pPr>
            <w:r w:rsidRPr="00937690">
              <w:rPr>
                <w:rFonts w:ascii="Garamond" w:hAnsi="Garamond"/>
                <w:sz w:val="28"/>
                <w:szCs w:val="28"/>
                <w:lang w:val="en-US"/>
              </w:rPr>
              <w:t>miscellaneous goods and services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0E474040"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5E787E5C"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F948895"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0488AF5"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A078FC7"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2</w:t>
            </w:r>
            <w:r w:rsidR="0073132A">
              <w:rPr>
                <w:rFonts w:ascii="Garamond" w:hAnsi="Garamond"/>
                <w:sz w:val="28"/>
                <w:szCs w:val="28"/>
                <w:shd w:val="clear" w:color="auto" w:fill="FFFFFF"/>
              </w:rPr>
              <w:t>.</w:t>
            </w:r>
            <w:r w:rsidRPr="00937690">
              <w:rPr>
                <w:rFonts w:ascii="Garamond" w:hAnsi="Garamond"/>
                <w:sz w:val="28"/>
                <w:szCs w:val="28"/>
                <w:shd w:val="clear" w:color="auto" w:fill="FFFFFF"/>
              </w:rPr>
              <w:t>7</w:t>
            </w:r>
          </w:p>
        </w:tc>
      </w:tr>
      <w:tr w:rsidR="003C51B1" w:rsidRPr="00937690" w14:paraId="470C64E2" w14:textId="77777777" w:rsidTr="00937690">
        <w:trPr>
          <w:trHeight w:val="184"/>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3357DBA3" w14:textId="77777777" w:rsidR="003C51B1" w:rsidRPr="00937690" w:rsidRDefault="003C51B1" w:rsidP="00937690">
            <w:pPr>
              <w:pStyle w:val="a4"/>
              <w:spacing w:line="240" w:lineRule="atLeast"/>
              <w:ind w:left="80"/>
              <w:jc w:val="both"/>
              <w:rPr>
                <w:rFonts w:ascii="Garamond" w:hAnsi="Garamond"/>
                <w:sz w:val="28"/>
                <w:szCs w:val="28"/>
              </w:rPr>
            </w:pPr>
            <w:r w:rsidRPr="00937690">
              <w:rPr>
                <w:rFonts w:ascii="Garamond" w:hAnsi="Garamond"/>
                <w:sz w:val="28"/>
                <w:szCs w:val="28"/>
                <w:lang w:val="en-US"/>
              </w:rPr>
              <w:t xml:space="preserve">Non-consumption total expenditure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C91DAEC"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10</w:t>
            </w:r>
            <w:r w:rsidR="0073132A">
              <w:rPr>
                <w:rFonts w:ascii="Garamond" w:hAnsi="Garamond"/>
                <w:sz w:val="28"/>
                <w:szCs w:val="28"/>
                <w:shd w:val="clear" w:color="auto" w:fill="FFFFFF"/>
              </w:rPr>
              <w:t>.</w:t>
            </w:r>
            <w:r w:rsidRPr="00937690">
              <w:rPr>
                <w:rFonts w:ascii="Garamond" w:hAnsi="Garamond"/>
                <w:sz w:val="28"/>
                <w:szCs w:val="28"/>
                <w:shd w:val="clear" w:color="auto" w:fill="FFFFFF"/>
              </w:rPr>
              <w:t>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288805B"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w:t>
            </w:r>
            <w:r w:rsidR="0073132A">
              <w:rPr>
                <w:rFonts w:ascii="Garamond" w:hAnsi="Garamond"/>
                <w:sz w:val="28"/>
                <w:szCs w:val="28"/>
                <w:shd w:val="clear" w:color="auto" w:fill="FFFFFF"/>
              </w:rPr>
              <w:t>.</w:t>
            </w:r>
            <w:r w:rsidRPr="00937690">
              <w:rPr>
                <w:rFonts w:ascii="Garamond" w:hAnsi="Garamond"/>
                <w:sz w:val="28"/>
                <w:szCs w:val="28"/>
                <w:shd w:val="clear" w:color="auto" w:fill="FFFFFF"/>
              </w:rPr>
              <w:t>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9B0D6C3"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w:t>
            </w:r>
            <w:r w:rsidR="0073132A">
              <w:rPr>
                <w:rFonts w:ascii="Garamond" w:hAnsi="Garamond"/>
                <w:sz w:val="28"/>
                <w:szCs w:val="28"/>
                <w:shd w:val="clear" w:color="auto" w:fill="FFFFFF"/>
              </w:rPr>
              <w:t>.</w:t>
            </w:r>
            <w:r w:rsidRPr="00937690">
              <w:rPr>
                <w:rFonts w:ascii="Garamond" w:hAnsi="Garamond"/>
                <w:sz w:val="28"/>
                <w:szCs w:val="28"/>
                <w:shd w:val="clear" w:color="auto" w:fill="FFFFFF"/>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302BB70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9</w:t>
            </w:r>
            <w:r w:rsidR="0073132A">
              <w:rPr>
                <w:rFonts w:ascii="Garamond" w:hAnsi="Garamond"/>
                <w:sz w:val="28"/>
                <w:szCs w:val="28"/>
                <w:shd w:val="clear" w:color="auto" w:fill="FFFFFF"/>
              </w:rPr>
              <w:t>.</w:t>
            </w:r>
            <w:r w:rsidRPr="00937690">
              <w:rPr>
                <w:rFonts w:ascii="Garamond" w:hAnsi="Garamond"/>
                <w:sz w:val="28"/>
                <w:szCs w:val="28"/>
                <w:shd w:val="clear" w:color="auto" w:fill="FFFFFF"/>
              </w:rPr>
              <w:t>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81A611D"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8</w:t>
            </w:r>
            <w:r w:rsidR="0073132A">
              <w:rPr>
                <w:rFonts w:ascii="Garamond" w:hAnsi="Garamond"/>
                <w:sz w:val="28"/>
                <w:szCs w:val="28"/>
                <w:shd w:val="clear" w:color="auto" w:fill="FFFFFF"/>
              </w:rPr>
              <w:t>.</w:t>
            </w:r>
            <w:r w:rsidRPr="00937690">
              <w:rPr>
                <w:rFonts w:ascii="Garamond" w:hAnsi="Garamond"/>
                <w:sz w:val="28"/>
                <w:szCs w:val="28"/>
                <w:shd w:val="clear" w:color="auto" w:fill="FFFFFF"/>
              </w:rPr>
              <w:t>4</w:t>
            </w:r>
          </w:p>
        </w:tc>
      </w:tr>
      <w:tr w:rsidR="003C51B1" w:rsidRPr="00937690" w14:paraId="7607C8EF" w14:textId="77777777" w:rsidTr="00937690">
        <w:trPr>
          <w:trHeight w:val="430"/>
        </w:trPr>
        <w:tc>
          <w:tcPr>
            <w:tcW w:w="0" w:type="auto"/>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418719A7" w14:textId="77777777" w:rsidR="003C51B1" w:rsidRPr="002237BC" w:rsidRDefault="003C51B1" w:rsidP="00937690">
            <w:pPr>
              <w:pStyle w:val="a4"/>
              <w:spacing w:line="240" w:lineRule="atLeast"/>
              <w:ind w:left="280"/>
              <w:jc w:val="both"/>
              <w:rPr>
                <w:rFonts w:ascii="Garamond" w:hAnsi="Garamond"/>
                <w:sz w:val="28"/>
                <w:szCs w:val="28"/>
              </w:rPr>
            </w:pPr>
            <w:r w:rsidRPr="00937690">
              <w:rPr>
                <w:rFonts w:ascii="Garamond" w:hAnsi="Garamond"/>
                <w:i/>
                <w:iCs/>
                <w:sz w:val="28"/>
                <w:szCs w:val="28"/>
                <w:lang w:val="en-US"/>
              </w:rPr>
              <w:t>For information: payment for housing, communal products, and services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76EFF68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7</w:t>
            </w:r>
            <w:r w:rsidR="0073132A">
              <w:rPr>
                <w:rFonts w:ascii="Garamond" w:hAnsi="Garamond"/>
                <w:sz w:val="28"/>
                <w:szCs w:val="28"/>
                <w:shd w:val="clear" w:color="auto" w:fill="FFFFFF"/>
              </w:rPr>
              <w:t>.</w:t>
            </w:r>
            <w:r w:rsidRPr="00937690">
              <w:rPr>
                <w:rFonts w:ascii="Garamond" w:hAnsi="Garamond"/>
                <w:sz w:val="28"/>
                <w:szCs w:val="28"/>
                <w:shd w:val="clear" w:color="auto" w:fill="FFFFFF"/>
              </w:rPr>
              <w:t>6</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6ED28C16"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8</w:t>
            </w:r>
            <w:r w:rsidR="0073132A">
              <w:rPr>
                <w:rFonts w:ascii="Garamond" w:hAnsi="Garamond"/>
                <w:sz w:val="28"/>
                <w:szCs w:val="28"/>
                <w:shd w:val="clear" w:color="auto" w:fill="FFFFFF"/>
              </w:rPr>
              <w:t>.</w:t>
            </w:r>
            <w:r w:rsidRPr="00937690">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1E55146A"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8</w:t>
            </w:r>
            <w:r w:rsidR="0073132A">
              <w:rPr>
                <w:rFonts w:ascii="Garamond" w:hAnsi="Garamond"/>
                <w:sz w:val="28"/>
                <w:szCs w:val="28"/>
                <w:shd w:val="clear" w:color="auto" w:fill="FFFFFF"/>
              </w:rPr>
              <w:t>.</w:t>
            </w:r>
            <w:r w:rsidRPr="00937690">
              <w:rPr>
                <w:rFonts w:ascii="Garamond" w:hAnsi="Garamond"/>
                <w:sz w:val="28"/>
                <w:szCs w:val="28"/>
                <w:shd w:val="clear" w:color="auto" w:fill="FFFFFF"/>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0FCFA0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8</w:t>
            </w:r>
            <w:r w:rsidR="0073132A">
              <w:rPr>
                <w:rFonts w:ascii="Garamond" w:hAnsi="Garamond"/>
                <w:sz w:val="28"/>
                <w:szCs w:val="28"/>
                <w:shd w:val="clear" w:color="auto" w:fill="FFFFFF"/>
              </w:rPr>
              <w:t>.</w:t>
            </w:r>
            <w:r w:rsidRPr="00937690">
              <w:rPr>
                <w:rFonts w:ascii="Garamond" w:hAnsi="Garamond"/>
                <w:sz w:val="28"/>
                <w:szCs w:val="28"/>
                <w:shd w:val="clear" w:color="auto" w:fill="FFFFFF"/>
              </w:rPr>
              <w:t>0</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28" w:type="dxa"/>
              <w:bottom w:w="0" w:type="dxa"/>
              <w:right w:w="28" w:type="dxa"/>
            </w:tcMar>
            <w:vAlign w:val="bottom"/>
          </w:tcPr>
          <w:p w14:paraId="4411B2DE" w14:textId="77777777" w:rsidR="003C51B1" w:rsidRPr="00937690" w:rsidRDefault="003C51B1" w:rsidP="00937690">
            <w:pPr>
              <w:pStyle w:val="a4"/>
              <w:spacing w:line="240" w:lineRule="atLeast"/>
              <w:ind w:left="20"/>
              <w:jc w:val="center"/>
              <w:rPr>
                <w:rFonts w:ascii="Garamond" w:hAnsi="Garamond"/>
                <w:sz w:val="28"/>
                <w:szCs w:val="28"/>
              </w:rPr>
            </w:pPr>
            <w:r w:rsidRPr="00937690">
              <w:rPr>
                <w:rFonts w:ascii="Garamond" w:hAnsi="Garamond"/>
                <w:sz w:val="28"/>
                <w:szCs w:val="28"/>
                <w:shd w:val="clear" w:color="auto" w:fill="FFFFFF"/>
              </w:rPr>
              <w:t>8</w:t>
            </w:r>
            <w:r w:rsidR="0073132A">
              <w:rPr>
                <w:rFonts w:ascii="Garamond" w:hAnsi="Garamond"/>
                <w:sz w:val="28"/>
                <w:szCs w:val="28"/>
                <w:shd w:val="clear" w:color="auto" w:fill="FFFFFF"/>
              </w:rPr>
              <w:t>.</w:t>
            </w:r>
            <w:r w:rsidRPr="00937690">
              <w:rPr>
                <w:rFonts w:ascii="Garamond" w:hAnsi="Garamond"/>
                <w:sz w:val="28"/>
                <w:szCs w:val="28"/>
                <w:shd w:val="clear" w:color="auto" w:fill="FFFFFF"/>
              </w:rPr>
              <w:t>1</w:t>
            </w:r>
          </w:p>
        </w:tc>
      </w:tr>
      <w:tr w:rsidR="009E48E3" w:rsidRPr="00937690" w14:paraId="4C3E53F6" w14:textId="77777777" w:rsidTr="00EC1B39">
        <w:trPr>
          <w:trHeight w:val="430"/>
        </w:trPr>
        <w:tc>
          <w:tcPr>
            <w:tcW w:w="0" w:type="auto"/>
            <w:gridSpan w:val="6"/>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tcPr>
          <w:p w14:paraId="23B4744F" w14:textId="77777777" w:rsidR="009E48E3" w:rsidRPr="00937690" w:rsidRDefault="009E48E3" w:rsidP="009E48E3">
            <w:pPr>
              <w:pStyle w:val="a4"/>
              <w:ind w:left="142"/>
              <w:jc w:val="both"/>
              <w:rPr>
                <w:rFonts w:ascii="Garamond" w:eastAsia="Times New Roman" w:hAnsi="Garamond" w:cs="Times New Roman"/>
                <w:sz w:val="24"/>
                <w:szCs w:val="28"/>
              </w:rPr>
            </w:pPr>
            <w:r w:rsidRPr="00937690">
              <w:rPr>
                <w:rFonts w:ascii="Garamond" w:eastAsia="Times New Roman" w:hAnsi="Garamond" w:cs="Times New Roman"/>
                <w:sz w:val="24"/>
                <w:szCs w:val="28"/>
              </w:rPr>
              <w:t>Notes:</w:t>
            </w:r>
          </w:p>
          <w:p w14:paraId="5CDEBB5C" w14:textId="77777777" w:rsidR="009E48E3" w:rsidRPr="00937690" w:rsidRDefault="0073132A" w:rsidP="009E48E3">
            <w:pPr>
              <w:pStyle w:val="a4"/>
              <w:ind w:left="142"/>
              <w:jc w:val="both"/>
              <w:rPr>
                <w:rFonts w:ascii="Garamond" w:eastAsia="Times New Roman" w:hAnsi="Garamond" w:cs="Times New Roman"/>
                <w:sz w:val="24"/>
                <w:szCs w:val="28"/>
              </w:rPr>
            </w:pPr>
            <w:r>
              <w:rPr>
                <w:rFonts w:ascii="Garamond" w:eastAsia="Times New Roman" w:hAnsi="Garamond" w:cs="Times New Roman"/>
                <w:sz w:val="24"/>
                <w:szCs w:val="28"/>
                <w:vertAlign w:val="superscript"/>
              </w:rPr>
              <w:t xml:space="preserve">1 </w:t>
            </w:r>
            <w:r w:rsidR="009E48E3" w:rsidRPr="00937690">
              <w:rPr>
                <w:rFonts w:ascii="Garamond" w:eastAsia="Times New Roman" w:hAnsi="Garamond" w:cs="Times New Roman"/>
                <w:sz w:val="24"/>
                <w:szCs w:val="28"/>
              </w:rPr>
              <w:t xml:space="preserve">Excluding the temporarily occupied territories </w:t>
            </w:r>
            <w:r w:rsidR="009E48E3">
              <w:rPr>
                <w:rFonts w:ascii="Garamond" w:eastAsia="Times New Roman" w:hAnsi="Garamond" w:cs="Times New Roman"/>
                <w:sz w:val="24"/>
                <w:szCs w:val="28"/>
              </w:rPr>
              <w:t xml:space="preserve">of </w:t>
            </w:r>
            <w:r w:rsidR="009E48E3" w:rsidRPr="00937690">
              <w:rPr>
                <w:rFonts w:ascii="Garamond" w:eastAsia="Times New Roman" w:hAnsi="Garamond" w:cs="Times New Roman"/>
                <w:sz w:val="24"/>
                <w:szCs w:val="28"/>
              </w:rPr>
              <w:t>the Autonomous Republic of Crimea and the city of Sevastopol.</w:t>
            </w:r>
          </w:p>
          <w:p w14:paraId="67C6AF42" w14:textId="77777777" w:rsidR="009E48E3" w:rsidRPr="009E48E3" w:rsidRDefault="0073132A" w:rsidP="009E48E3">
            <w:pPr>
              <w:pStyle w:val="a4"/>
              <w:spacing w:line="240" w:lineRule="auto"/>
              <w:ind w:left="142"/>
              <w:jc w:val="both"/>
              <w:rPr>
                <w:rFonts w:ascii="Garamond" w:eastAsia="Times New Roman" w:hAnsi="Garamond" w:cs="Times New Roman"/>
                <w:sz w:val="24"/>
                <w:szCs w:val="28"/>
              </w:rPr>
            </w:pPr>
            <w:r w:rsidRPr="0073132A">
              <w:rPr>
                <w:rFonts w:ascii="Garamond" w:eastAsia="Times New Roman" w:hAnsi="Garamond" w:cs="Times New Roman"/>
                <w:sz w:val="24"/>
                <w:szCs w:val="28"/>
                <w:vertAlign w:val="superscript"/>
              </w:rPr>
              <w:t>2</w:t>
            </w:r>
            <w:r w:rsidR="009E48E3" w:rsidRPr="00937690">
              <w:rPr>
                <w:rFonts w:ascii="Garamond" w:eastAsia="Times New Roman" w:hAnsi="Garamond" w:cs="Times New Roman"/>
                <w:sz w:val="24"/>
                <w:szCs w:val="28"/>
              </w:rPr>
              <w:t xml:space="preserve"> Excluding part of th</w:t>
            </w:r>
            <w:r w:rsidR="009E48E3">
              <w:rPr>
                <w:rFonts w:ascii="Garamond" w:eastAsia="Times New Roman" w:hAnsi="Garamond" w:cs="Times New Roman"/>
                <w:sz w:val="24"/>
                <w:szCs w:val="28"/>
              </w:rPr>
              <w:t>e anti-terrorist operation zone</w:t>
            </w:r>
          </w:p>
        </w:tc>
      </w:tr>
    </w:tbl>
    <w:p w14:paraId="0E27EE2B" w14:textId="77777777" w:rsidR="003C51B1" w:rsidRPr="003E1ECE" w:rsidRDefault="00937690" w:rsidP="00937690">
      <w:pPr>
        <w:pStyle w:val="end2"/>
      </w:pPr>
      <w:r w:rsidRPr="00937690">
        <w:lastRenderedPageBreak/>
        <w:t>RECOMMENDED READING</w:t>
      </w:r>
    </w:p>
    <w:p w14:paraId="2CE8AD61" w14:textId="77777777" w:rsidR="0072591B" w:rsidRPr="009E48E3" w:rsidRDefault="0072591B" w:rsidP="006F749C">
      <w:pPr>
        <w:pStyle w:val="ListParagraph"/>
        <w:numPr>
          <w:ilvl w:val="3"/>
          <w:numId w:val="146"/>
        </w:numPr>
        <w:tabs>
          <w:tab w:val="clear" w:pos="2946"/>
          <w:tab w:val="num" w:pos="2552"/>
        </w:tabs>
        <w:spacing w:line="240" w:lineRule="atLeast"/>
        <w:ind w:left="426"/>
        <w:jc w:val="both"/>
        <w:rPr>
          <w:rFonts w:ascii="Garamond" w:hAnsi="Garamond"/>
          <w:szCs w:val="28"/>
          <w:lang w:val="en-US"/>
        </w:rPr>
      </w:pPr>
      <w:r w:rsidRPr="009E48E3">
        <w:rPr>
          <w:rFonts w:ascii="Garamond" w:hAnsi="Garamond"/>
          <w:szCs w:val="28"/>
          <w:lang w:val="en-US"/>
        </w:rPr>
        <w:t>Christelis, D</w:t>
      </w:r>
      <w:r w:rsidR="009E48E3">
        <w:rPr>
          <w:rFonts w:ascii="Garamond" w:hAnsi="Garamond"/>
          <w:szCs w:val="28"/>
          <w:lang w:val="en-US"/>
        </w:rPr>
        <w:t>.</w:t>
      </w:r>
      <w:r w:rsidRPr="009E48E3">
        <w:rPr>
          <w:rFonts w:ascii="Garamond" w:hAnsi="Garamond"/>
          <w:szCs w:val="28"/>
          <w:lang w:val="en-US"/>
        </w:rPr>
        <w:t>, Georgarakos,</w:t>
      </w:r>
      <w:r w:rsidR="009E48E3" w:rsidRPr="009E48E3">
        <w:rPr>
          <w:rFonts w:ascii="Garamond" w:hAnsi="Garamond"/>
          <w:szCs w:val="28"/>
          <w:lang w:val="en-US"/>
        </w:rPr>
        <w:t xml:space="preserve"> D</w:t>
      </w:r>
      <w:r w:rsidR="009E48E3">
        <w:rPr>
          <w:rFonts w:ascii="Garamond" w:hAnsi="Garamond"/>
          <w:szCs w:val="28"/>
          <w:lang w:val="en-US"/>
        </w:rPr>
        <w:t>.</w:t>
      </w:r>
      <w:r w:rsidR="009E48E3" w:rsidRPr="009E48E3">
        <w:rPr>
          <w:rFonts w:ascii="Garamond" w:hAnsi="Garamond"/>
          <w:szCs w:val="28"/>
          <w:lang w:val="en-US"/>
        </w:rPr>
        <w:t xml:space="preserve">, </w:t>
      </w:r>
      <w:r w:rsidRPr="009E48E3">
        <w:rPr>
          <w:rFonts w:ascii="Garamond" w:hAnsi="Garamond"/>
          <w:szCs w:val="28"/>
          <w:lang w:val="en-US"/>
        </w:rPr>
        <w:t>and Haliassos</w:t>
      </w:r>
      <w:r w:rsidR="009E48E3">
        <w:rPr>
          <w:rFonts w:ascii="Garamond" w:hAnsi="Garamond"/>
          <w:szCs w:val="28"/>
          <w:lang w:val="en-US"/>
        </w:rPr>
        <w:t xml:space="preserve">, M., </w:t>
      </w:r>
      <w:r w:rsidRPr="009E48E3">
        <w:rPr>
          <w:rFonts w:ascii="Garamond" w:hAnsi="Garamond"/>
          <w:szCs w:val="28"/>
          <w:lang w:val="en-US"/>
        </w:rPr>
        <w:t>2013</w:t>
      </w:r>
      <w:r w:rsidR="009E48E3">
        <w:rPr>
          <w:rFonts w:ascii="Garamond" w:hAnsi="Garamond"/>
          <w:szCs w:val="28"/>
          <w:lang w:val="en-US"/>
        </w:rPr>
        <w:t xml:space="preserve">, </w:t>
      </w:r>
      <w:r w:rsidRPr="009E48E3">
        <w:rPr>
          <w:rFonts w:ascii="Garamond" w:hAnsi="Garamond"/>
          <w:szCs w:val="28"/>
          <w:lang w:val="en-US"/>
        </w:rPr>
        <w:t>Differences in Portfolios Across Countries: Economic Environment v</w:t>
      </w:r>
      <w:r w:rsidR="009E48E3">
        <w:rPr>
          <w:rFonts w:ascii="Garamond" w:hAnsi="Garamond"/>
          <w:szCs w:val="28"/>
          <w:lang w:val="en-US"/>
        </w:rPr>
        <w:t>ersus Household Characteristics</w:t>
      </w:r>
      <w:r w:rsidRPr="009E48E3">
        <w:rPr>
          <w:rFonts w:ascii="Garamond" w:hAnsi="Garamond"/>
          <w:szCs w:val="28"/>
          <w:lang w:val="en-US"/>
        </w:rPr>
        <w:t xml:space="preserve">, </w:t>
      </w:r>
      <w:r w:rsidRPr="009E48E3">
        <w:rPr>
          <w:rFonts w:ascii="Garamond" w:hAnsi="Garamond"/>
          <w:i/>
          <w:szCs w:val="28"/>
          <w:lang w:val="en-US"/>
        </w:rPr>
        <w:t>The Review of Economics and Statistics</w:t>
      </w:r>
      <w:r w:rsidRPr="009E48E3">
        <w:rPr>
          <w:rFonts w:ascii="Garamond" w:hAnsi="Garamond"/>
          <w:szCs w:val="28"/>
          <w:lang w:val="en-US"/>
        </w:rPr>
        <w:t xml:space="preserve">, 95(1), </w:t>
      </w:r>
      <w:r w:rsidR="009E48E3">
        <w:rPr>
          <w:rFonts w:ascii="Garamond" w:hAnsi="Garamond"/>
          <w:szCs w:val="28"/>
          <w:lang w:val="en-US"/>
        </w:rPr>
        <w:t xml:space="preserve">pp. </w:t>
      </w:r>
      <w:r w:rsidRPr="009E48E3">
        <w:rPr>
          <w:rFonts w:ascii="Garamond" w:hAnsi="Garamond"/>
          <w:szCs w:val="28"/>
          <w:lang w:val="en-US"/>
        </w:rPr>
        <w:t>220</w:t>
      </w:r>
      <w:r w:rsidR="009E48E3" w:rsidRPr="009E48E3">
        <w:rPr>
          <w:rFonts w:ascii="Garamond" w:hAnsi="Garamond"/>
          <w:szCs w:val="28"/>
          <w:lang w:val="en-US"/>
        </w:rPr>
        <w:t>–</w:t>
      </w:r>
      <w:r w:rsidRPr="009E48E3">
        <w:rPr>
          <w:rFonts w:ascii="Garamond" w:hAnsi="Garamond"/>
          <w:szCs w:val="28"/>
          <w:lang w:val="en-US"/>
        </w:rPr>
        <w:t>36.</w:t>
      </w:r>
    </w:p>
    <w:p w14:paraId="75504032" w14:textId="77777777" w:rsidR="009E48E3" w:rsidRDefault="0072591B" w:rsidP="006F749C">
      <w:pPr>
        <w:pStyle w:val="ListParagraph"/>
        <w:numPr>
          <w:ilvl w:val="3"/>
          <w:numId w:val="146"/>
        </w:numPr>
        <w:tabs>
          <w:tab w:val="clear" w:pos="2946"/>
          <w:tab w:val="num" w:pos="2552"/>
        </w:tabs>
        <w:spacing w:line="240" w:lineRule="atLeast"/>
        <w:ind w:left="426"/>
        <w:jc w:val="both"/>
        <w:rPr>
          <w:rFonts w:ascii="Garamond" w:hAnsi="Garamond"/>
          <w:szCs w:val="28"/>
          <w:lang w:val="en-US"/>
        </w:rPr>
      </w:pPr>
      <w:r w:rsidRPr="009E48E3">
        <w:rPr>
          <w:rFonts w:ascii="Garamond" w:hAnsi="Garamond"/>
          <w:szCs w:val="28"/>
          <w:lang w:val="en-US"/>
        </w:rPr>
        <w:t>Deaton, A</w:t>
      </w:r>
      <w:r w:rsidR="009E48E3">
        <w:rPr>
          <w:rFonts w:ascii="Garamond" w:hAnsi="Garamond"/>
          <w:szCs w:val="28"/>
          <w:lang w:val="en-US"/>
        </w:rPr>
        <w:t xml:space="preserve">., </w:t>
      </w:r>
      <w:r w:rsidRPr="009E48E3">
        <w:rPr>
          <w:rFonts w:ascii="Garamond" w:hAnsi="Garamond"/>
          <w:szCs w:val="28"/>
          <w:lang w:val="en-US"/>
        </w:rPr>
        <w:t>1992</w:t>
      </w:r>
      <w:r w:rsidR="009E48E3">
        <w:rPr>
          <w:rFonts w:ascii="Garamond" w:hAnsi="Garamond"/>
          <w:szCs w:val="28"/>
          <w:lang w:val="en-US"/>
        </w:rPr>
        <w:t xml:space="preserve">, </w:t>
      </w:r>
      <w:r w:rsidRPr="009E48E3">
        <w:rPr>
          <w:rFonts w:ascii="Garamond" w:hAnsi="Garamond"/>
          <w:i/>
          <w:szCs w:val="28"/>
          <w:lang w:val="en-US"/>
        </w:rPr>
        <w:t>Understanding Consumption</w:t>
      </w:r>
      <w:r w:rsidR="009E48E3">
        <w:rPr>
          <w:rFonts w:ascii="Garamond" w:hAnsi="Garamond"/>
          <w:szCs w:val="28"/>
          <w:lang w:val="en-US"/>
        </w:rPr>
        <w:t>,</w:t>
      </w:r>
      <w:r w:rsidRPr="009E48E3">
        <w:rPr>
          <w:rFonts w:ascii="Garamond" w:hAnsi="Garamond"/>
          <w:szCs w:val="28"/>
          <w:lang w:val="en-US"/>
        </w:rPr>
        <w:t xml:space="preserve"> Oxford</w:t>
      </w:r>
      <w:r w:rsidR="009E48E3">
        <w:rPr>
          <w:rFonts w:ascii="Garamond" w:hAnsi="Garamond"/>
          <w:szCs w:val="28"/>
          <w:lang w:val="en-US"/>
        </w:rPr>
        <w:t>,</w:t>
      </w:r>
      <w:r w:rsidRPr="009E48E3">
        <w:rPr>
          <w:rFonts w:ascii="Garamond" w:hAnsi="Garamond"/>
          <w:szCs w:val="28"/>
          <w:lang w:val="en-US"/>
        </w:rPr>
        <w:t xml:space="preserve"> Oxford University Press</w:t>
      </w:r>
      <w:r w:rsidR="009E48E3">
        <w:rPr>
          <w:rFonts w:ascii="Garamond" w:hAnsi="Garamond"/>
          <w:szCs w:val="28"/>
          <w:lang w:val="en-US"/>
        </w:rPr>
        <w:t>.</w:t>
      </w:r>
    </w:p>
    <w:p w14:paraId="22BBB5D4" w14:textId="77777777" w:rsidR="0072591B" w:rsidRPr="009E48E3" w:rsidRDefault="0072591B" w:rsidP="006F749C">
      <w:pPr>
        <w:pStyle w:val="ListParagraph"/>
        <w:numPr>
          <w:ilvl w:val="3"/>
          <w:numId w:val="146"/>
        </w:numPr>
        <w:tabs>
          <w:tab w:val="clear" w:pos="2946"/>
          <w:tab w:val="num" w:pos="2552"/>
        </w:tabs>
        <w:spacing w:line="240" w:lineRule="atLeast"/>
        <w:ind w:left="426"/>
        <w:jc w:val="both"/>
        <w:rPr>
          <w:rFonts w:ascii="Garamond" w:hAnsi="Garamond"/>
          <w:szCs w:val="28"/>
          <w:lang w:val="en-US"/>
        </w:rPr>
      </w:pPr>
      <w:r w:rsidRPr="009E48E3">
        <w:rPr>
          <w:rFonts w:ascii="Garamond" w:hAnsi="Garamond"/>
          <w:szCs w:val="28"/>
          <w:lang w:val="en-US"/>
        </w:rPr>
        <w:t>Eymann, A.</w:t>
      </w:r>
      <w:r w:rsidR="009E48E3">
        <w:rPr>
          <w:rFonts w:ascii="Garamond" w:hAnsi="Garamond"/>
          <w:szCs w:val="28"/>
          <w:lang w:val="en-US"/>
        </w:rPr>
        <w:t>,</w:t>
      </w:r>
      <w:r w:rsidRPr="009E48E3">
        <w:rPr>
          <w:rFonts w:ascii="Garamond" w:hAnsi="Garamond"/>
          <w:szCs w:val="28"/>
          <w:lang w:val="en-US"/>
        </w:rPr>
        <w:t xml:space="preserve"> and </w:t>
      </w:r>
      <w:r w:rsidR="009E48E3">
        <w:rPr>
          <w:rFonts w:ascii="Garamond" w:hAnsi="Garamond"/>
          <w:szCs w:val="28"/>
          <w:lang w:val="en-US"/>
        </w:rPr>
        <w:t>Boersch-Supan,</w:t>
      </w:r>
      <w:r w:rsidRPr="009E48E3">
        <w:rPr>
          <w:rFonts w:ascii="Garamond" w:hAnsi="Garamond"/>
          <w:szCs w:val="28"/>
          <w:lang w:val="en-US"/>
        </w:rPr>
        <w:t xml:space="preserve"> </w:t>
      </w:r>
      <w:r w:rsidR="009E48E3" w:rsidRPr="009E48E3">
        <w:rPr>
          <w:rFonts w:ascii="Garamond" w:hAnsi="Garamond"/>
          <w:szCs w:val="28"/>
          <w:lang w:val="en-US"/>
        </w:rPr>
        <w:t>A.</w:t>
      </w:r>
      <w:r w:rsidR="009E48E3">
        <w:rPr>
          <w:rFonts w:ascii="Garamond" w:hAnsi="Garamond"/>
          <w:szCs w:val="28"/>
          <w:lang w:val="en-US"/>
        </w:rPr>
        <w:t xml:space="preserve">, </w:t>
      </w:r>
      <w:r w:rsidRPr="009E48E3">
        <w:rPr>
          <w:rFonts w:ascii="Garamond" w:hAnsi="Garamond"/>
          <w:szCs w:val="28"/>
          <w:lang w:val="en-US"/>
        </w:rPr>
        <w:t>2002</w:t>
      </w:r>
      <w:r w:rsidR="009E48E3">
        <w:rPr>
          <w:rFonts w:ascii="Garamond" w:hAnsi="Garamond"/>
          <w:szCs w:val="28"/>
          <w:lang w:val="en-US"/>
        </w:rPr>
        <w:t>, Household Portfolios in Germany,</w:t>
      </w:r>
      <w:r w:rsidRPr="009E48E3">
        <w:rPr>
          <w:rFonts w:ascii="Garamond" w:hAnsi="Garamond"/>
          <w:szCs w:val="28"/>
          <w:lang w:val="en-US"/>
        </w:rPr>
        <w:t xml:space="preserve"> </w:t>
      </w:r>
      <w:r w:rsidRPr="009E48E3">
        <w:rPr>
          <w:rFonts w:ascii="Garamond" w:hAnsi="Garamond"/>
          <w:i/>
          <w:szCs w:val="28"/>
          <w:lang w:val="en-US"/>
        </w:rPr>
        <w:t>Household Portfolios</w:t>
      </w:r>
      <w:r w:rsidR="0073132A">
        <w:rPr>
          <w:rFonts w:ascii="Garamond" w:hAnsi="Garamond"/>
          <w:szCs w:val="28"/>
          <w:lang w:val="en-US"/>
        </w:rPr>
        <w:t>, Cambridge, MA: MIT Press.</w:t>
      </w:r>
    </w:p>
    <w:p w14:paraId="163B3CA4" w14:textId="77777777" w:rsidR="0072591B" w:rsidRPr="009E48E3" w:rsidRDefault="009E48E3" w:rsidP="006F749C">
      <w:pPr>
        <w:pStyle w:val="ListParagraph"/>
        <w:numPr>
          <w:ilvl w:val="3"/>
          <w:numId w:val="146"/>
        </w:numPr>
        <w:tabs>
          <w:tab w:val="clear" w:pos="2946"/>
          <w:tab w:val="num" w:pos="2552"/>
        </w:tabs>
        <w:spacing w:line="240" w:lineRule="atLeast"/>
        <w:ind w:left="426"/>
        <w:jc w:val="both"/>
        <w:rPr>
          <w:rFonts w:ascii="Garamond" w:hAnsi="Garamond"/>
          <w:szCs w:val="28"/>
          <w:lang w:val="en-US"/>
        </w:rPr>
      </w:pPr>
      <w:r>
        <w:rPr>
          <w:rFonts w:ascii="Garamond" w:hAnsi="Garamond"/>
          <w:szCs w:val="28"/>
          <w:lang w:val="en-US"/>
        </w:rPr>
        <w:t xml:space="preserve">Fang, Yang, </w:t>
      </w:r>
      <w:r w:rsidR="0072591B" w:rsidRPr="009E48E3">
        <w:rPr>
          <w:rFonts w:ascii="Garamond" w:hAnsi="Garamond"/>
          <w:szCs w:val="28"/>
          <w:lang w:val="en-US"/>
        </w:rPr>
        <w:t>2009</w:t>
      </w:r>
      <w:r>
        <w:rPr>
          <w:rFonts w:ascii="Garamond" w:hAnsi="Garamond"/>
          <w:szCs w:val="28"/>
          <w:lang w:val="en-US"/>
        </w:rPr>
        <w:t>,</w:t>
      </w:r>
      <w:r w:rsidR="0072591B" w:rsidRPr="009E48E3">
        <w:rPr>
          <w:rFonts w:ascii="Garamond" w:hAnsi="Garamond"/>
          <w:szCs w:val="28"/>
          <w:lang w:val="en-US"/>
        </w:rPr>
        <w:t xml:space="preserve"> Consumption over the Life Cycle: How Different is Housing?</w:t>
      </w:r>
      <w:r>
        <w:rPr>
          <w:rFonts w:ascii="Garamond" w:hAnsi="Garamond"/>
          <w:szCs w:val="28"/>
          <w:lang w:val="en-US"/>
        </w:rPr>
        <w:t>,</w:t>
      </w:r>
      <w:r w:rsidR="0072591B" w:rsidRPr="009E48E3">
        <w:rPr>
          <w:rFonts w:ascii="Garamond" w:hAnsi="Garamond"/>
          <w:szCs w:val="28"/>
          <w:lang w:val="en-US"/>
        </w:rPr>
        <w:t xml:space="preserve"> </w:t>
      </w:r>
      <w:r w:rsidR="0072591B" w:rsidRPr="009E48E3">
        <w:rPr>
          <w:rFonts w:ascii="Garamond" w:hAnsi="Garamond"/>
          <w:i/>
          <w:szCs w:val="28"/>
          <w:lang w:val="en-US"/>
        </w:rPr>
        <w:t>Review of Economic Dynamics</w:t>
      </w:r>
      <w:r w:rsidR="0072591B" w:rsidRPr="009E48E3">
        <w:rPr>
          <w:rFonts w:ascii="Garamond" w:hAnsi="Garamond"/>
          <w:szCs w:val="28"/>
          <w:lang w:val="en-US"/>
        </w:rPr>
        <w:t xml:space="preserve">, 12, </w:t>
      </w:r>
      <w:r>
        <w:rPr>
          <w:rFonts w:ascii="Garamond" w:hAnsi="Garamond"/>
          <w:szCs w:val="28"/>
          <w:lang w:val="en-US"/>
        </w:rPr>
        <w:t xml:space="preserve">pp. </w:t>
      </w:r>
      <w:r w:rsidR="0072591B" w:rsidRPr="009E48E3">
        <w:rPr>
          <w:rFonts w:ascii="Garamond" w:hAnsi="Garamond"/>
          <w:szCs w:val="28"/>
          <w:lang w:val="en-US"/>
        </w:rPr>
        <w:t>423–443.</w:t>
      </w:r>
    </w:p>
    <w:p w14:paraId="79922303" w14:textId="77777777" w:rsidR="0072591B" w:rsidRPr="009E48E3" w:rsidRDefault="0072591B" w:rsidP="0073132A">
      <w:pPr>
        <w:pStyle w:val="ListParagraph"/>
        <w:numPr>
          <w:ilvl w:val="3"/>
          <w:numId w:val="146"/>
        </w:numPr>
        <w:tabs>
          <w:tab w:val="clear" w:pos="2946"/>
        </w:tabs>
        <w:spacing w:line="240" w:lineRule="atLeast"/>
        <w:ind w:left="426"/>
        <w:jc w:val="both"/>
        <w:rPr>
          <w:rFonts w:ascii="Garamond" w:hAnsi="Garamond"/>
          <w:szCs w:val="28"/>
          <w:lang w:val="en-US"/>
        </w:rPr>
      </w:pPr>
      <w:r w:rsidRPr="009E48E3">
        <w:rPr>
          <w:rFonts w:ascii="Garamond" w:hAnsi="Garamond"/>
          <w:szCs w:val="28"/>
          <w:lang w:val="en-US"/>
        </w:rPr>
        <w:t>Guiso L.</w:t>
      </w:r>
      <w:r w:rsidR="009E48E3">
        <w:rPr>
          <w:rFonts w:ascii="Garamond" w:hAnsi="Garamond"/>
          <w:szCs w:val="28"/>
          <w:lang w:val="en-US"/>
        </w:rPr>
        <w:t>,</w:t>
      </w:r>
      <w:r w:rsidRPr="009E48E3">
        <w:rPr>
          <w:rFonts w:ascii="Garamond" w:hAnsi="Garamond"/>
          <w:szCs w:val="28"/>
          <w:lang w:val="en-US"/>
        </w:rPr>
        <w:t xml:space="preserve"> and Jappelli</w:t>
      </w:r>
      <w:r w:rsidR="009E48E3">
        <w:rPr>
          <w:rFonts w:ascii="Garamond" w:hAnsi="Garamond"/>
          <w:szCs w:val="28"/>
          <w:lang w:val="en-US"/>
        </w:rPr>
        <w:t>,</w:t>
      </w:r>
      <w:r w:rsidRPr="009E48E3">
        <w:rPr>
          <w:rFonts w:ascii="Garamond" w:hAnsi="Garamond"/>
          <w:szCs w:val="28"/>
          <w:lang w:val="en-US"/>
        </w:rPr>
        <w:t xml:space="preserve"> </w:t>
      </w:r>
      <w:r w:rsidR="009E48E3" w:rsidRPr="009E48E3">
        <w:rPr>
          <w:rFonts w:ascii="Garamond" w:hAnsi="Garamond"/>
          <w:szCs w:val="28"/>
          <w:lang w:val="en-US"/>
        </w:rPr>
        <w:t>T.</w:t>
      </w:r>
      <w:r w:rsidR="009E48E3">
        <w:rPr>
          <w:rFonts w:ascii="Garamond" w:hAnsi="Garamond"/>
          <w:szCs w:val="28"/>
          <w:lang w:val="en-US"/>
        </w:rPr>
        <w:t xml:space="preserve">, </w:t>
      </w:r>
      <w:r w:rsidRPr="009E48E3">
        <w:rPr>
          <w:rFonts w:ascii="Garamond" w:hAnsi="Garamond"/>
          <w:szCs w:val="28"/>
          <w:lang w:val="en-US"/>
        </w:rPr>
        <w:t>2002</w:t>
      </w:r>
      <w:r w:rsidR="009E48E3">
        <w:rPr>
          <w:rFonts w:ascii="Garamond" w:hAnsi="Garamond"/>
          <w:szCs w:val="28"/>
          <w:lang w:val="en-US"/>
        </w:rPr>
        <w:t xml:space="preserve">, </w:t>
      </w:r>
      <w:r w:rsidR="007E51D1">
        <w:rPr>
          <w:rFonts w:ascii="Garamond" w:hAnsi="Garamond"/>
          <w:szCs w:val="28"/>
          <w:lang w:val="en-US"/>
        </w:rPr>
        <w:t>Household Portfolios in Italy,</w:t>
      </w:r>
      <w:r w:rsidRPr="009E48E3">
        <w:rPr>
          <w:rFonts w:ascii="Garamond" w:hAnsi="Garamond"/>
          <w:szCs w:val="28"/>
          <w:lang w:val="en-US"/>
        </w:rPr>
        <w:t xml:space="preserve"> </w:t>
      </w:r>
      <w:r w:rsidR="0073132A">
        <w:rPr>
          <w:rFonts w:ascii="Garamond" w:hAnsi="Garamond"/>
          <w:szCs w:val="28"/>
          <w:lang w:val="en-US"/>
        </w:rPr>
        <w:t xml:space="preserve">In </w:t>
      </w:r>
      <w:r w:rsidR="0073132A" w:rsidRPr="0073132A">
        <w:rPr>
          <w:rFonts w:ascii="Garamond" w:hAnsi="Garamond"/>
          <w:szCs w:val="28"/>
          <w:lang w:val="en-US"/>
        </w:rPr>
        <w:t>L</w:t>
      </w:r>
      <w:r w:rsidR="0073132A">
        <w:rPr>
          <w:rFonts w:ascii="Garamond" w:hAnsi="Garamond"/>
          <w:szCs w:val="28"/>
          <w:lang w:val="en-US"/>
        </w:rPr>
        <w:t>.</w:t>
      </w:r>
      <w:r w:rsidR="0073132A" w:rsidRPr="0073132A">
        <w:rPr>
          <w:rFonts w:ascii="Garamond" w:hAnsi="Garamond"/>
          <w:szCs w:val="28"/>
          <w:lang w:val="en-US"/>
        </w:rPr>
        <w:t xml:space="preserve"> Guiso, T</w:t>
      </w:r>
      <w:r w:rsidR="00CB5C12">
        <w:rPr>
          <w:rFonts w:ascii="Garamond" w:hAnsi="Garamond"/>
          <w:szCs w:val="28"/>
          <w:lang w:val="en-US"/>
        </w:rPr>
        <w:t>. </w:t>
      </w:r>
      <w:r w:rsidR="0073132A" w:rsidRPr="0073132A">
        <w:rPr>
          <w:rFonts w:ascii="Garamond" w:hAnsi="Garamond"/>
          <w:szCs w:val="28"/>
          <w:lang w:val="en-US"/>
        </w:rPr>
        <w:t>Jappelli and M</w:t>
      </w:r>
      <w:r w:rsidR="00CB5C12">
        <w:rPr>
          <w:rFonts w:ascii="Garamond" w:hAnsi="Garamond"/>
          <w:szCs w:val="28"/>
          <w:lang w:val="en-US"/>
        </w:rPr>
        <w:t>.</w:t>
      </w:r>
      <w:r w:rsidR="0073132A" w:rsidRPr="0073132A">
        <w:rPr>
          <w:rFonts w:ascii="Garamond" w:hAnsi="Garamond"/>
          <w:szCs w:val="28"/>
          <w:lang w:val="en-US"/>
        </w:rPr>
        <w:t xml:space="preserve"> Haliassos eds.</w:t>
      </w:r>
      <w:r w:rsidRPr="007E51D1">
        <w:rPr>
          <w:rFonts w:ascii="Garamond" w:hAnsi="Garamond"/>
          <w:i/>
          <w:szCs w:val="28"/>
          <w:lang w:val="en-US"/>
        </w:rPr>
        <w:t>Household Portfolios</w:t>
      </w:r>
      <w:r w:rsidR="00CB5C12">
        <w:rPr>
          <w:rFonts w:ascii="Garamond" w:hAnsi="Garamond"/>
          <w:szCs w:val="28"/>
          <w:lang w:val="en-US"/>
        </w:rPr>
        <w:t>, Cambridge, MA: MIT Press.</w:t>
      </w:r>
    </w:p>
    <w:p w14:paraId="76561635" w14:textId="77777777" w:rsidR="0072591B" w:rsidRPr="009E48E3" w:rsidRDefault="0072591B" w:rsidP="006F749C">
      <w:pPr>
        <w:pStyle w:val="ListParagraph"/>
        <w:numPr>
          <w:ilvl w:val="3"/>
          <w:numId w:val="146"/>
        </w:numPr>
        <w:tabs>
          <w:tab w:val="clear" w:pos="2946"/>
          <w:tab w:val="num" w:pos="2552"/>
        </w:tabs>
        <w:spacing w:line="240" w:lineRule="atLeast"/>
        <w:ind w:left="426"/>
        <w:jc w:val="both"/>
        <w:rPr>
          <w:rFonts w:ascii="Garamond" w:hAnsi="Garamond"/>
          <w:szCs w:val="28"/>
          <w:lang w:val="en-US"/>
        </w:rPr>
      </w:pPr>
      <w:r w:rsidRPr="009E48E3">
        <w:rPr>
          <w:rFonts w:ascii="Garamond" w:hAnsi="Garamond"/>
          <w:szCs w:val="28"/>
          <w:lang w:val="en-US"/>
        </w:rPr>
        <w:t>Guiso, L</w:t>
      </w:r>
      <w:r w:rsidR="007E51D1">
        <w:rPr>
          <w:rFonts w:ascii="Garamond" w:hAnsi="Garamond"/>
          <w:szCs w:val="28"/>
          <w:lang w:val="en-US"/>
        </w:rPr>
        <w:t>.</w:t>
      </w:r>
      <w:r w:rsidRPr="009E48E3">
        <w:rPr>
          <w:rFonts w:ascii="Garamond" w:hAnsi="Garamond"/>
          <w:szCs w:val="28"/>
          <w:lang w:val="en-US"/>
        </w:rPr>
        <w:t xml:space="preserve">, Haliassos, </w:t>
      </w:r>
      <w:r w:rsidR="007E51D1">
        <w:rPr>
          <w:rFonts w:ascii="Garamond" w:hAnsi="Garamond"/>
          <w:szCs w:val="28"/>
          <w:lang w:val="en-US"/>
        </w:rPr>
        <w:t xml:space="preserve">M., </w:t>
      </w:r>
      <w:r w:rsidRPr="009E48E3">
        <w:rPr>
          <w:rFonts w:ascii="Garamond" w:hAnsi="Garamond"/>
          <w:szCs w:val="28"/>
          <w:lang w:val="en-US"/>
        </w:rPr>
        <w:t>and Jappelli</w:t>
      </w:r>
      <w:r w:rsidR="007E51D1">
        <w:rPr>
          <w:rFonts w:ascii="Garamond" w:hAnsi="Garamond"/>
          <w:szCs w:val="28"/>
          <w:lang w:val="en-US"/>
        </w:rPr>
        <w:t>, T., 2001,</w:t>
      </w:r>
      <w:r w:rsidRPr="009E48E3">
        <w:rPr>
          <w:rFonts w:ascii="Garamond" w:hAnsi="Garamond"/>
          <w:szCs w:val="28"/>
          <w:lang w:val="en-US"/>
        </w:rPr>
        <w:t xml:space="preserve"> </w:t>
      </w:r>
      <w:r w:rsidRPr="007E51D1">
        <w:rPr>
          <w:rFonts w:ascii="Garamond" w:hAnsi="Garamond"/>
          <w:i/>
          <w:szCs w:val="28"/>
          <w:lang w:val="en-US"/>
        </w:rPr>
        <w:t>Household Portfolios</w:t>
      </w:r>
      <w:r w:rsidRPr="009E48E3">
        <w:rPr>
          <w:rFonts w:ascii="Garamond" w:hAnsi="Garamond"/>
          <w:szCs w:val="28"/>
          <w:lang w:val="en-US"/>
        </w:rPr>
        <w:t>, Cambridge, MA: MIT Press</w:t>
      </w:r>
      <w:r w:rsidR="007E51D1">
        <w:rPr>
          <w:rFonts w:ascii="Garamond" w:hAnsi="Garamond"/>
          <w:szCs w:val="28"/>
          <w:lang w:val="en-US"/>
        </w:rPr>
        <w:t>.</w:t>
      </w:r>
    </w:p>
    <w:p w14:paraId="5F9EF3A7" w14:textId="77777777" w:rsidR="0072591B" w:rsidRPr="009E48E3" w:rsidRDefault="007E51D1" w:rsidP="006F749C">
      <w:pPr>
        <w:pStyle w:val="ListParagraph"/>
        <w:numPr>
          <w:ilvl w:val="3"/>
          <w:numId w:val="146"/>
        </w:numPr>
        <w:tabs>
          <w:tab w:val="clear" w:pos="2946"/>
          <w:tab w:val="num" w:pos="2552"/>
        </w:tabs>
        <w:spacing w:line="240" w:lineRule="atLeast"/>
        <w:ind w:left="426"/>
        <w:jc w:val="both"/>
        <w:rPr>
          <w:rFonts w:ascii="Garamond" w:hAnsi="Garamond"/>
          <w:szCs w:val="28"/>
          <w:lang w:val="en-US"/>
        </w:rPr>
      </w:pPr>
      <w:r w:rsidRPr="009E48E3">
        <w:rPr>
          <w:rFonts w:ascii="Garamond" w:hAnsi="Garamond"/>
          <w:szCs w:val="28"/>
          <w:lang w:val="en-US"/>
        </w:rPr>
        <w:t>Guiso L.</w:t>
      </w:r>
      <w:r>
        <w:rPr>
          <w:rFonts w:ascii="Garamond" w:hAnsi="Garamond"/>
          <w:szCs w:val="28"/>
          <w:lang w:val="en-US"/>
        </w:rPr>
        <w:t>,</w:t>
      </w:r>
      <w:r w:rsidRPr="009E48E3">
        <w:rPr>
          <w:rFonts w:ascii="Garamond" w:hAnsi="Garamond"/>
          <w:szCs w:val="28"/>
          <w:lang w:val="en-US"/>
        </w:rPr>
        <w:t xml:space="preserve"> and </w:t>
      </w:r>
      <w:r w:rsidR="0072591B" w:rsidRPr="009E48E3">
        <w:rPr>
          <w:rFonts w:ascii="Garamond" w:hAnsi="Garamond"/>
          <w:szCs w:val="28"/>
          <w:lang w:val="en-US"/>
        </w:rPr>
        <w:t>Sodini</w:t>
      </w:r>
      <w:r>
        <w:rPr>
          <w:rFonts w:ascii="Garamond" w:hAnsi="Garamond"/>
          <w:szCs w:val="28"/>
          <w:lang w:val="en-US"/>
        </w:rPr>
        <w:t xml:space="preserve">, P., </w:t>
      </w:r>
      <w:r w:rsidR="0072591B" w:rsidRPr="009E48E3">
        <w:rPr>
          <w:rFonts w:ascii="Garamond" w:hAnsi="Garamond"/>
          <w:szCs w:val="28"/>
          <w:lang w:val="en-US"/>
        </w:rPr>
        <w:t>2013</w:t>
      </w:r>
      <w:r>
        <w:rPr>
          <w:rFonts w:ascii="Garamond" w:hAnsi="Garamond"/>
          <w:szCs w:val="28"/>
          <w:lang w:val="en-US"/>
        </w:rPr>
        <w:t xml:space="preserve">, </w:t>
      </w:r>
      <w:r w:rsidR="0072591B" w:rsidRPr="007E51D1">
        <w:rPr>
          <w:rFonts w:ascii="Garamond" w:hAnsi="Garamond"/>
          <w:i/>
          <w:szCs w:val="28"/>
          <w:lang w:val="en-US"/>
        </w:rPr>
        <w:t>House</w:t>
      </w:r>
      <w:r w:rsidRPr="007E51D1">
        <w:rPr>
          <w:rFonts w:ascii="Garamond" w:hAnsi="Garamond"/>
          <w:i/>
          <w:szCs w:val="28"/>
          <w:lang w:val="en-US"/>
        </w:rPr>
        <w:t>hold Finance: An Emerging Field</w:t>
      </w:r>
      <w:r>
        <w:rPr>
          <w:rFonts w:ascii="Garamond" w:hAnsi="Garamond"/>
          <w:szCs w:val="28"/>
          <w:lang w:val="en-US"/>
        </w:rPr>
        <w:t xml:space="preserve">, </w:t>
      </w:r>
      <w:r w:rsidR="0072591B" w:rsidRPr="009E48E3">
        <w:rPr>
          <w:rFonts w:ascii="Garamond" w:hAnsi="Garamond"/>
          <w:szCs w:val="28"/>
          <w:lang w:val="en-US"/>
        </w:rPr>
        <w:t>Handbook of the Economics of Finance</w:t>
      </w:r>
      <w:r>
        <w:rPr>
          <w:rFonts w:ascii="Garamond" w:hAnsi="Garamond"/>
          <w:szCs w:val="28"/>
          <w:lang w:val="en-US"/>
        </w:rPr>
        <w:t>,</w:t>
      </w:r>
      <w:r w:rsidR="0072591B" w:rsidRPr="009E48E3">
        <w:rPr>
          <w:rFonts w:ascii="Garamond" w:hAnsi="Garamond"/>
          <w:szCs w:val="28"/>
          <w:lang w:val="en-US"/>
        </w:rPr>
        <w:t xml:space="preserve"> Amsterdam: Elsevier, 2 (B), </w:t>
      </w:r>
      <w:r>
        <w:rPr>
          <w:rFonts w:ascii="Garamond" w:hAnsi="Garamond"/>
          <w:szCs w:val="28"/>
          <w:lang w:val="en-US"/>
        </w:rPr>
        <w:t xml:space="preserve">pp. </w:t>
      </w:r>
      <w:r w:rsidR="0072591B" w:rsidRPr="009E48E3">
        <w:rPr>
          <w:rFonts w:ascii="Garamond" w:hAnsi="Garamond"/>
          <w:szCs w:val="28"/>
          <w:lang w:val="en-US"/>
        </w:rPr>
        <w:t xml:space="preserve">1349–1532. </w:t>
      </w:r>
    </w:p>
    <w:p w14:paraId="6FF62601" w14:textId="77777777" w:rsidR="0072591B" w:rsidRPr="009E48E3" w:rsidRDefault="0072591B" w:rsidP="006F749C">
      <w:pPr>
        <w:pStyle w:val="ListParagraph"/>
        <w:numPr>
          <w:ilvl w:val="3"/>
          <w:numId w:val="146"/>
        </w:numPr>
        <w:tabs>
          <w:tab w:val="clear" w:pos="2946"/>
          <w:tab w:val="num" w:pos="2552"/>
        </w:tabs>
        <w:spacing w:line="240" w:lineRule="atLeast"/>
        <w:ind w:left="426"/>
        <w:jc w:val="both"/>
        <w:rPr>
          <w:rFonts w:ascii="Garamond" w:hAnsi="Garamond"/>
          <w:szCs w:val="28"/>
          <w:lang w:val="en-US"/>
        </w:rPr>
      </w:pPr>
      <w:r w:rsidRPr="009E48E3">
        <w:rPr>
          <w:rFonts w:ascii="Garamond" w:hAnsi="Garamond"/>
          <w:szCs w:val="28"/>
          <w:lang w:val="en-US"/>
        </w:rPr>
        <w:t>Huggett, M</w:t>
      </w:r>
      <w:r w:rsidR="007E51D1">
        <w:rPr>
          <w:rFonts w:ascii="Garamond" w:hAnsi="Garamond"/>
          <w:szCs w:val="28"/>
          <w:lang w:val="en-US"/>
        </w:rPr>
        <w:t>.,</w:t>
      </w:r>
      <w:r w:rsidRPr="009E48E3">
        <w:rPr>
          <w:rFonts w:ascii="Garamond" w:hAnsi="Garamond"/>
          <w:szCs w:val="28"/>
          <w:lang w:val="en-US"/>
        </w:rPr>
        <w:t xml:space="preserve"> and Ventura</w:t>
      </w:r>
      <w:r w:rsidR="007E51D1">
        <w:rPr>
          <w:rFonts w:ascii="Garamond" w:hAnsi="Garamond"/>
          <w:szCs w:val="28"/>
          <w:lang w:val="en-US"/>
        </w:rPr>
        <w:t>, G</w:t>
      </w:r>
      <w:r w:rsidRPr="009E48E3">
        <w:rPr>
          <w:rFonts w:ascii="Garamond" w:hAnsi="Garamond"/>
          <w:szCs w:val="28"/>
          <w:lang w:val="en-US"/>
        </w:rPr>
        <w:t>.</w:t>
      </w:r>
      <w:r w:rsidR="007E51D1">
        <w:rPr>
          <w:rFonts w:ascii="Garamond" w:hAnsi="Garamond"/>
          <w:szCs w:val="28"/>
          <w:lang w:val="en-US"/>
        </w:rPr>
        <w:t xml:space="preserve">, 2000, </w:t>
      </w:r>
      <w:r w:rsidRPr="009E48E3">
        <w:rPr>
          <w:rFonts w:ascii="Garamond" w:hAnsi="Garamond"/>
          <w:szCs w:val="28"/>
          <w:lang w:val="en-US"/>
        </w:rPr>
        <w:t>Understanding why High-Income Households Save More than Low-Income Households</w:t>
      </w:r>
      <w:r w:rsidR="007E51D1">
        <w:rPr>
          <w:rFonts w:ascii="Garamond" w:hAnsi="Garamond"/>
          <w:szCs w:val="28"/>
          <w:lang w:val="en-US"/>
        </w:rPr>
        <w:t>,</w:t>
      </w:r>
      <w:r w:rsidRPr="009E48E3">
        <w:rPr>
          <w:rFonts w:ascii="Garamond" w:hAnsi="Garamond"/>
          <w:szCs w:val="28"/>
          <w:lang w:val="en-US"/>
        </w:rPr>
        <w:t xml:space="preserve"> </w:t>
      </w:r>
      <w:r w:rsidRPr="007E51D1">
        <w:rPr>
          <w:rFonts w:ascii="Garamond" w:hAnsi="Garamond"/>
          <w:i/>
          <w:szCs w:val="28"/>
          <w:lang w:val="en-US"/>
        </w:rPr>
        <w:t>Journal of Monetary Economics</w:t>
      </w:r>
      <w:r w:rsidRPr="009E48E3">
        <w:rPr>
          <w:rFonts w:ascii="Garamond" w:hAnsi="Garamond"/>
          <w:szCs w:val="28"/>
          <w:lang w:val="en-US"/>
        </w:rPr>
        <w:t>, 45,</w:t>
      </w:r>
      <w:r w:rsidR="007E51D1">
        <w:rPr>
          <w:rFonts w:ascii="Garamond" w:hAnsi="Garamond"/>
          <w:szCs w:val="28"/>
          <w:lang w:val="en-US"/>
        </w:rPr>
        <w:t xml:space="preserve"> pp.</w:t>
      </w:r>
      <w:r w:rsidRPr="009E48E3">
        <w:rPr>
          <w:rFonts w:ascii="Garamond" w:hAnsi="Garamond"/>
          <w:szCs w:val="28"/>
          <w:lang w:val="en-US"/>
        </w:rPr>
        <w:t xml:space="preserve"> 361</w:t>
      </w:r>
      <w:r w:rsidR="009E48E3">
        <w:rPr>
          <w:rFonts w:ascii="Garamond" w:hAnsi="Garamond"/>
          <w:szCs w:val="28"/>
          <w:lang w:val="en-US"/>
        </w:rPr>
        <w:t>–</w:t>
      </w:r>
      <w:r w:rsidRPr="009E48E3">
        <w:rPr>
          <w:rFonts w:ascii="Garamond" w:hAnsi="Garamond"/>
          <w:szCs w:val="28"/>
          <w:lang w:val="en-US"/>
        </w:rPr>
        <w:t>397.</w:t>
      </w:r>
    </w:p>
    <w:p w14:paraId="511CFA7C" w14:textId="77777777" w:rsidR="0072591B" w:rsidRPr="009E48E3" w:rsidRDefault="007E51D1" w:rsidP="006F749C">
      <w:pPr>
        <w:pStyle w:val="ListParagraph"/>
        <w:numPr>
          <w:ilvl w:val="3"/>
          <w:numId w:val="146"/>
        </w:numPr>
        <w:tabs>
          <w:tab w:val="clear" w:pos="2946"/>
          <w:tab w:val="num" w:pos="2552"/>
        </w:tabs>
        <w:spacing w:line="240" w:lineRule="atLeast"/>
        <w:ind w:left="426"/>
        <w:jc w:val="both"/>
        <w:rPr>
          <w:rFonts w:ascii="Garamond" w:hAnsi="Garamond"/>
          <w:szCs w:val="28"/>
          <w:lang w:val="en-US"/>
        </w:rPr>
      </w:pPr>
      <w:r>
        <w:rPr>
          <w:rFonts w:ascii="Garamond" w:hAnsi="Garamond"/>
          <w:szCs w:val="28"/>
          <w:lang w:val="en-US"/>
        </w:rPr>
        <w:t xml:space="preserve">Muth, Richard F., </w:t>
      </w:r>
      <w:r w:rsidR="0072591B" w:rsidRPr="009E48E3">
        <w:rPr>
          <w:rFonts w:ascii="Garamond" w:hAnsi="Garamond"/>
          <w:szCs w:val="28"/>
          <w:lang w:val="en-US"/>
        </w:rPr>
        <w:t>1966</w:t>
      </w:r>
      <w:r>
        <w:rPr>
          <w:rFonts w:ascii="Garamond" w:hAnsi="Garamond"/>
          <w:szCs w:val="28"/>
          <w:lang w:val="en-US"/>
        </w:rPr>
        <w:t xml:space="preserve">, </w:t>
      </w:r>
      <w:r w:rsidR="0072591B" w:rsidRPr="009E48E3">
        <w:rPr>
          <w:rFonts w:ascii="Garamond" w:hAnsi="Garamond"/>
          <w:szCs w:val="28"/>
          <w:lang w:val="en-US"/>
        </w:rPr>
        <w:t xml:space="preserve">Household Production and Consumer Demand Functions, </w:t>
      </w:r>
      <w:r w:rsidR="0072591B" w:rsidRPr="007E51D1">
        <w:rPr>
          <w:rFonts w:ascii="Garamond" w:hAnsi="Garamond"/>
          <w:i/>
          <w:szCs w:val="28"/>
          <w:lang w:val="en-US"/>
        </w:rPr>
        <w:t>Econometrica</w:t>
      </w:r>
      <w:r w:rsidR="0072591B" w:rsidRPr="009E48E3">
        <w:rPr>
          <w:rFonts w:ascii="Garamond" w:hAnsi="Garamond"/>
          <w:szCs w:val="28"/>
          <w:lang w:val="en-US"/>
        </w:rPr>
        <w:t xml:space="preserve">, 34 (3), </w:t>
      </w:r>
      <w:r>
        <w:rPr>
          <w:rFonts w:ascii="Garamond" w:hAnsi="Garamond"/>
          <w:szCs w:val="28"/>
          <w:lang w:val="en-US"/>
        </w:rPr>
        <w:t xml:space="preserve">pp. </w:t>
      </w:r>
      <w:r w:rsidR="0072591B" w:rsidRPr="009E48E3">
        <w:rPr>
          <w:rFonts w:ascii="Garamond" w:hAnsi="Garamond"/>
          <w:szCs w:val="28"/>
          <w:lang w:val="en-US"/>
        </w:rPr>
        <w:t>699–708.</w:t>
      </w:r>
    </w:p>
    <w:p w14:paraId="5FC24621" w14:textId="77777777" w:rsidR="0072591B" w:rsidRPr="009E48E3" w:rsidRDefault="007E51D1" w:rsidP="006F749C">
      <w:pPr>
        <w:pStyle w:val="ListParagraph"/>
        <w:numPr>
          <w:ilvl w:val="3"/>
          <w:numId w:val="146"/>
        </w:numPr>
        <w:tabs>
          <w:tab w:val="clear" w:pos="2946"/>
          <w:tab w:val="num" w:pos="2552"/>
        </w:tabs>
        <w:spacing w:line="240" w:lineRule="atLeast"/>
        <w:ind w:left="426"/>
        <w:jc w:val="both"/>
        <w:rPr>
          <w:rFonts w:ascii="Garamond" w:hAnsi="Garamond"/>
          <w:szCs w:val="28"/>
          <w:lang w:val="en-US"/>
        </w:rPr>
      </w:pPr>
      <w:r>
        <w:rPr>
          <w:rFonts w:ascii="Garamond" w:hAnsi="Garamond"/>
          <w:szCs w:val="28"/>
          <w:lang w:val="en-US"/>
        </w:rPr>
        <w:t xml:space="preserve">Tufano, P., </w:t>
      </w:r>
      <w:r w:rsidR="0072591B" w:rsidRPr="009E48E3">
        <w:rPr>
          <w:rFonts w:ascii="Garamond" w:hAnsi="Garamond"/>
          <w:szCs w:val="28"/>
          <w:lang w:val="en-US"/>
        </w:rPr>
        <w:t xml:space="preserve">2009, Consumer finance, </w:t>
      </w:r>
      <w:r w:rsidR="0072591B" w:rsidRPr="007E51D1">
        <w:rPr>
          <w:rFonts w:ascii="Garamond" w:hAnsi="Garamond"/>
          <w:i/>
          <w:szCs w:val="28"/>
          <w:lang w:val="en-US"/>
        </w:rPr>
        <w:t>Annual Review of Financial Economics</w:t>
      </w:r>
      <w:r w:rsidR="0072591B" w:rsidRPr="009E48E3">
        <w:rPr>
          <w:rFonts w:ascii="Garamond" w:hAnsi="Garamond"/>
          <w:szCs w:val="28"/>
          <w:lang w:val="en-US"/>
        </w:rPr>
        <w:t xml:space="preserve">, 1, </w:t>
      </w:r>
      <w:r>
        <w:rPr>
          <w:rFonts w:ascii="Garamond" w:hAnsi="Garamond"/>
          <w:szCs w:val="28"/>
          <w:lang w:val="en-US"/>
        </w:rPr>
        <w:t xml:space="preserve">pp. </w:t>
      </w:r>
      <w:r w:rsidR="0072591B" w:rsidRPr="009E48E3">
        <w:rPr>
          <w:rFonts w:ascii="Garamond" w:hAnsi="Garamond"/>
          <w:szCs w:val="28"/>
          <w:lang w:val="en-US"/>
        </w:rPr>
        <w:t>227–247.</w:t>
      </w:r>
    </w:p>
    <w:p w14:paraId="3B094D16" w14:textId="77777777" w:rsidR="00937690" w:rsidRPr="00937690" w:rsidRDefault="00C91607" w:rsidP="00C91607">
      <w:pPr>
        <w:pStyle w:val="end2"/>
        <w:rPr>
          <w:shd w:val="clear" w:color="auto" w:fill="FFFFFF"/>
          <w:lang w:val="nl-NL"/>
        </w:rPr>
      </w:pPr>
      <w:r w:rsidRPr="00C91607">
        <w:rPr>
          <w:shd w:val="clear" w:color="auto" w:fill="FFFFFF"/>
        </w:rPr>
        <w:t>KEY TERMS</w:t>
      </w:r>
    </w:p>
    <w:tbl>
      <w:tblPr>
        <w:tblStyle w:val="2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7947"/>
      </w:tblGrid>
      <w:tr w:rsidR="00C91607" w:rsidRPr="00C91607" w14:paraId="1BE180DB" w14:textId="77777777" w:rsidTr="00730075">
        <w:tc>
          <w:tcPr>
            <w:tcW w:w="1668" w:type="dxa"/>
          </w:tcPr>
          <w:p w14:paraId="6EDF0A73" w14:textId="77777777" w:rsidR="00C91607" w:rsidRPr="00C91607" w:rsidRDefault="00C91607" w:rsidP="00C91607">
            <w:pPr>
              <w:spacing w:after="120"/>
              <w:rPr>
                <w:b/>
                <w:lang w:val="en-US"/>
              </w:rPr>
            </w:pPr>
            <w:r w:rsidRPr="00C91607">
              <w:rPr>
                <w:b/>
                <w:lang w:val="en-US"/>
              </w:rPr>
              <w:t>household production</w:t>
            </w:r>
            <w:r>
              <w:rPr>
                <w:b/>
                <w:lang w:val="en-US"/>
              </w:rPr>
              <w:t xml:space="preserve"> </w:t>
            </w:r>
          </w:p>
        </w:tc>
        <w:tc>
          <w:tcPr>
            <w:tcW w:w="7947" w:type="dxa"/>
          </w:tcPr>
          <w:p w14:paraId="7DA0C639"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is the production of goods and services by the members of a household, using their own human (hours spent in shopping, cooking, laundry and ironing) and real capital (kitchen equipment, tables, and chairs, kitchen and dining room space), for their own final consumption.</w:t>
            </w:r>
          </w:p>
        </w:tc>
      </w:tr>
      <w:tr w:rsidR="00C91607" w:rsidRPr="00C91607" w14:paraId="67F53F88" w14:textId="77777777" w:rsidTr="00C91607">
        <w:trPr>
          <w:trHeight w:val="846"/>
        </w:trPr>
        <w:tc>
          <w:tcPr>
            <w:tcW w:w="1668" w:type="dxa"/>
          </w:tcPr>
          <w:p w14:paraId="351906AF" w14:textId="77777777" w:rsidR="00C91607" w:rsidRPr="00C91607" w:rsidRDefault="00C91607" w:rsidP="00C91607">
            <w:pPr>
              <w:spacing w:after="120"/>
              <w:rPr>
                <w:b/>
                <w:lang w:val="en-US"/>
              </w:rPr>
            </w:pPr>
            <w:r w:rsidRPr="00C91607">
              <w:rPr>
                <w:b/>
                <w:lang w:val="en-US"/>
              </w:rPr>
              <w:t>intermediate commodities (producer goods)</w:t>
            </w:r>
            <w:r>
              <w:rPr>
                <w:b/>
                <w:lang w:val="en-US"/>
              </w:rPr>
              <w:t xml:space="preserve"> </w:t>
            </w:r>
          </w:p>
        </w:tc>
        <w:tc>
          <w:tcPr>
            <w:tcW w:w="7947" w:type="dxa"/>
          </w:tcPr>
          <w:p w14:paraId="1C223919"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are goods used as inputs in the production of other goods and services, such as partly finished goods or raw materials. In the production process, intermediate commodities either become part of the final product or are changed beyond recognition in the process.</w:t>
            </w:r>
          </w:p>
        </w:tc>
      </w:tr>
      <w:tr w:rsidR="00C91607" w:rsidRPr="00C91607" w14:paraId="0CD15987" w14:textId="77777777" w:rsidTr="00730075">
        <w:tc>
          <w:tcPr>
            <w:tcW w:w="1668" w:type="dxa"/>
          </w:tcPr>
          <w:p w14:paraId="4693413D" w14:textId="77777777" w:rsidR="00C91607" w:rsidRPr="00C91607" w:rsidRDefault="00C91607" w:rsidP="00C91607">
            <w:pPr>
              <w:spacing w:after="120"/>
              <w:rPr>
                <w:b/>
                <w:lang w:val="en-US"/>
              </w:rPr>
            </w:pPr>
            <w:r w:rsidRPr="00C91607">
              <w:rPr>
                <w:b/>
                <w:lang w:val="en-US"/>
              </w:rPr>
              <w:t>final consumption commodities</w:t>
            </w:r>
            <w:r>
              <w:rPr>
                <w:b/>
                <w:lang w:val="en-US"/>
              </w:rPr>
              <w:t xml:space="preserve"> </w:t>
            </w:r>
          </w:p>
        </w:tc>
        <w:tc>
          <w:tcPr>
            <w:tcW w:w="7947" w:type="dxa"/>
          </w:tcPr>
          <w:p w14:paraId="1A3A8C2A"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are goods and services used by end consumers.</w:t>
            </w:r>
          </w:p>
          <w:p w14:paraId="531FFA47" w14:textId="77777777" w:rsidR="00C91607" w:rsidRPr="00C91607" w:rsidRDefault="00C91607" w:rsidP="002237BC">
            <w:pPr>
              <w:spacing w:after="120" w:line="240" w:lineRule="atLeast"/>
              <w:jc w:val="both"/>
              <w:rPr>
                <w:rFonts w:eastAsiaTheme="minorHAnsi" w:cstheme="minorBidi"/>
                <w:color w:val="auto"/>
                <w:lang w:val="nl-NL"/>
              </w:rPr>
            </w:pPr>
          </w:p>
        </w:tc>
      </w:tr>
      <w:tr w:rsidR="00C91607" w:rsidRPr="00C91607" w14:paraId="0A59B488" w14:textId="77777777" w:rsidTr="00730075">
        <w:tc>
          <w:tcPr>
            <w:tcW w:w="1668" w:type="dxa"/>
          </w:tcPr>
          <w:p w14:paraId="56643A74" w14:textId="77777777" w:rsidR="00C91607" w:rsidRPr="00C91607" w:rsidRDefault="00C91607" w:rsidP="00C91607">
            <w:pPr>
              <w:spacing w:after="120"/>
              <w:rPr>
                <w:b/>
                <w:lang w:val="en-US"/>
              </w:rPr>
            </w:pPr>
            <w:r w:rsidRPr="00C91607">
              <w:rPr>
                <w:b/>
                <w:lang w:val="en-US"/>
              </w:rPr>
              <w:t>household economy</w:t>
            </w:r>
            <w:r>
              <w:rPr>
                <w:b/>
                <w:lang w:val="en-US"/>
              </w:rPr>
              <w:t xml:space="preserve"> </w:t>
            </w:r>
          </w:p>
        </w:tc>
        <w:tc>
          <w:tcPr>
            <w:tcW w:w="7947" w:type="dxa"/>
          </w:tcPr>
          <w:p w14:paraId="5E2346A3"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 xml:space="preserve">describes the collective economic activities of households. </w:t>
            </w:r>
          </w:p>
        </w:tc>
      </w:tr>
      <w:tr w:rsidR="00C91607" w:rsidRPr="00C91607" w14:paraId="6AD48374" w14:textId="77777777" w:rsidTr="00730075">
        <w:tc>
          <w:tcPr>
            <w:tcW w:w="1668" w:type="dxa"/>
          </w:tcPr>
          <w:p w14:paraId="2E6F8CAA" w14:textId="77777777" w:rsidR="00C91607" w:rsidRPr="00C91607" w:rsidRDefault="00C91607" w:rsidP="00E723D8">
            <w:pPr>
              <w:spacing w:after="120"/>
              <w:rPr>
                <w:b/>
                <w:lang w:val="en-US"/>
              </w:rPr>
            </w:pPr>
            <w:r w:rsidRPr="00C91607">
              <w:rPr>
                <w:b/>
                <w:lang w:val="en-US"/>
              </w:rPr>
              <w:t>household final consumption expenditure</w:t>
            </w:r>
            <w:r w:rsidR="00E723D8">
              <w:rPr>
                <w:b/>
                <w:lang w:val="en-US"/>
              </w:rPr>
              <w:t xml:space="preserve"> </w:t>
            </w:r>
          </w:p>
        </w:tc>
        <w:tc>
          <w:tcPr>
            <w:tcW w:w="7947" w:type="dxa"/>
          </w:tcPr>
          <w:p w14:paraId="087425A3"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is a transaction of the national account's use of income account representing all purchases made by resident households (home or abroad) to meet their everyday needs and wants (consumer spending).</w:t>
            </w:r>
          </w:p>
        </w:tc>
      </w:tr>
      <w:tr w:rsidR="00C91607" w:rsidRPr="00C91607" w14:paraId="6C65D59B" w14:textId="77777777" w:rsidTr="00730075">
        <w:tc>
          <w:tcPr>
            <w:tcW w:w="1668" w:type="dxa"/>
          </w:tcPr>
          <w:p w14:paraId="75C3DD8B" w14:textId="77777777" w:rsidR="00C91607" w:rsidRPr="00C91607" w:rsidRDefault="00C91607" w:rsidP="00C91607">
            <w:pPr>
              <w:spacing w:after="120"/>
              <w:rPr>
                <w:b/>
                <w:lang w:val="en-US"/>
              </w:rPr>
            </w:pPr>
            <w:r w:rsidRPr="00C91607">
              <w:rPr>
                <w:b/>
                <w:lang w:val="en-US"/>
              </w:rPr>
              <w:lastRenderedPageBreak/>
              <w:t>household goods</w:t>
            </w:r>
            <w:r>
              <w:rPr>
                <w:b/>
                <w:lang w:val="en-US"/>
              </w:rPr>
              <w:t xml:space="preserve"> </w:t>
            </w:r>
          </w:p>
        </w:tc>
        <w:tc>
          <w:tcPr>
            <w:tcW w:w="7947" w:type="dxa"/>
          </w:tcPr>
          <w:p w14:paraId="7617069E"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are goods and products used within households. Examples of household goods include baby items, beds/bedframes, blankets, bedding, linens, towels, blenders, mixers, bookcases, books, chairs, clothes dryers, coffee makers, computers, etc.</w:t>
            </w:r>
          </w:p>
        </w:tc>
      </w:tr>
      <w:tr w:rsidR="00C91607" w:rsidRPr="00C91607" w14:paraId="26190F26" w14:textId="77777777" w:rsidTr="00730075">
        <w:tc>
          <w:tcPr>
            <w:tcW w:w="1668" w:type="dxa"/>
          </w:tcPr>
          <w:p w14:paraId="19C07F0A" w14:textId="77777777" w:rsidR="00C91607" w:rsidRPr="00C91607" w:rsidRDefault="00C91607" w:rsidP="00C91607">
            <w:pPr>
              <w:spacing w:after="120"/>
              <w:rPr>
                <w:b/>
                <w:lang w:val="en-US"/>
              </w:rPr>
            </w:pPr>
            <w:r w:rsidRPr="00C91607">
              <w:rPr>
                <w:b/>
                <w:lang w:val="en-US"/>
              </w:rPr>
              <w:t xml:space="preserve">main income earner in the household </w:t>
            </w:r>
          </w:p>
        </w:tc>
        <w:tc>
          <w:tcPr>
            <w:tcW w:w="7947" w:type="dxa"/>
          </w:tcPr>
          <w:p w14:paraId="08D6737C" w14:textId="77777777" w:rsidR="00C91607" w:rsidRPr="00C91607" w:rsidRDefault="00C91607" w:rsidP="002237BC">
            <w:pPr>
              <w:spacing w:after="120" w:line="240" w:lineRule="atLeast"/>
              <w:jc w:val="both"/>
              <w:rPr>
                <w:rFonts w:eastAsiaTheme="minorHAnsi" w:cstheme="minorBidi"/>
                <w:color w:val="auto"/>
                <w:lang w:val="en-US"/>
              </w:rPr>
            </w:pPr>
            <w:r>
              <w:rPr>
                <w:shd w:val="clear" w:color="auto" w:fill="FFFFFF"/>
                <w:lang w:val="en-US"/>
              </w:rPr>
              <w:t xml:space="preserve">is </w:t>
            </w:r>
            <w:r w:rsidRPr="00C91607">
              <w:rPr>
                <w:shd w:val="clear" w:color="auto" w:fill="FFFFFF"/>
                <w:lang w:val="en-US"/>
              </w:rPr>
              <w:t>the household member, excluding maids, who receives the highest income from all sources and generally cover</w:t>
            </w:r>
            <w:r w:rsidR="002237BC">
              <w:rPr>
                <w:shd w:val="clear" w:color="auto" w:fill="FFFFFF"/>
                <w:lang w:val="en-US"/>
              </w:rPr>
              <w:t>s</w:t>
            </w:r>
            <w:r w:rsidRPr="00C91607">
              <w:rPr>
                <w:shd w:val="clear" w:color="auto" w:fill="FFFFFF"/>
                <w:lang w:val="en-US"/>
              </w:rPr>
              <w:t xml:space="preserve"> most household expenses and financially support</w:t>
            </w:r>
            <w:r w:rsidR="002237BC">
              <w:rPr>
                <w:shd w:val="clear" w:color="auto" w:fill="FFFFFF"/>
                <w:lang w:val="en-US"/>
              </w:rPr>
              <w:t>s the</w:t>
            </w:r>
            <w:r w:rsidRPr="00C91607">
              <w:rPr>
                <w:shd w:val="clear" w:color="auto" w:fill="FFFFFF"/>
                <w:lang w:val="en-US"/>
              </w:rPr>
              <w:t xml:space="preserve"> dependents.</w:t>
            </w:r>
            <w:r w:rsidRPr="00C91607">
              <w:rPr>
                <w:shd w:val="clear" w:color="auto" w:fill="FFFFFF"/>
                <w:lang w:val="en-US"/>
              </w:rPr>
              <w:tab/>
            </w:r>
          </w:p>
        </w:tc>
      </w:tr>
      <w:tr w:rsidR="00C91607" w:rsidRPr="00C91607" w14:paraId="2BBFA834" w14:textId="77777777" w:rsidTr="00730075">
        <w:tc>
          <w:tcPr>
            <w:tcW w:w="1668" w:type="dxa"/>
          </w:tcPr>
          <w:p w14:paraId="2A66FA00" w14:textId="77777777" w:rsidR="00C91607" w:rsidRPr="00C91607" w:rsidRDefault="00C91607" w:rsidP="00C91607">
            <w:pPr>
              <w:spacing w:after="120"/>
              <w:rPr>
                <w:b/>
                <w:lang w:val="en-US"/>
              </w:rPr>
            </w:pPr>
            <w:r w:rsidRPr="00C91607">
              <w:rPr>
                <w:b/>
                <w:lang w:val="en-US"/>
              </w:rPr>
              <w:t>head of household</w:t>
            </w:r>
            <w:r>
              <w:rPr>
                <w:b/>
                <w:lang w:val="en-US"/>
              </w:rPr>
              <w:t xml:space="preserve"> </w:t>
            </w:r>
          </w:p>
        </w:tc>
        <w:tc>
          <w:tcPr>
            <w:tcW w:w="7947" w:type="dxa"/>
          </w:tcPr>
          <w:p w14:paraId="4B9199A2"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is a status held by the person in a household generally acknowledged as such by other members of the household. The head is normally the oldest member, the main income earner, the owner-occupier of the house or the person who manages the affairs of the household. Where the household comprises a group of unrelated persons, the head of</w:t>
            </w:r>
            <w:r w:rsidR="002237BC">
              <w:rPr>
                <w:rFonts w:ascii="Garamond" w:hAnsi="Garamond"/>
                <w:sz w:val="24"/>
                <w:szCs w:val="24"/>
                <w:shd w:val="clear" w:color="auto" w:fill="FFFFFF"/>
                <w:lang w:val="en-US"/>
              </w:rPr>
              <w:t xml:space="preserve"> the</w:t>
            </w:r>
            <w:r w:rsidRPr="00C91607">
              <w:rPr>
                <w:rFonts w:ascii="Garamond" w:hAnsi="Garamond"/>
                <w:sz w:val="24"/>
                <w:szCs w:val="24"/>
                <w:shd w:val="clear" w:color="auto" w:fill="FFFFFF"/>
                <w:lang w:val="en-US"/>
              </w:rPr>
              <w:t xml:space="preserve"> household refers to the person who manages the affairs of the household or any responsible person who supplied the information pertaining to the other household members. </w:t>
            </w:r>
          </w:p>
        </w:tc>
      </w:tr>
      <w:tr w:rsidR="00C91607" w:rsidRPr="00C91607" w14:paraId="3218ABA3" w14:textId="77777777" w:rsidTr="00730075">
        <w:tc>
          <w:tcPr>
            <w:tcW w:w="1668" w:type="dxa"/>
          </w:tcPr>
          <w:p w14:paraId="72A4B040" w14:textId="77777777" w:rsidR="00C91607" w:rsidRPr="00C91607" w:rsidRDefault="00C91607" w:rsidP="00C91607">
            <w:pPr>
              <w:spacing w:after="120"/>
              <w:rPr>
                <w:b/>
                <w:lang w:val="en-US"/>
              </w:rPr>
            </w:pPr>
            <w:r w:rsidRPr="00C91607">
              <w:rPr>
                <w:b/>
                <w:lang w:val="en-US"/>
              </w:rPr>
              <w:t>household size</w:t>
            </w:r>
            <w:r>
              <w:rPr>
                <w:b/>
                <w:lang w:val="en-US"/>
              </w:rPr>
              <w:t xml:space="preserve"> </w:t>
            </w:r>
          </w:p>
        </w:tc>
        <w:tc>
          <w:tcPr>
            <w:tcW w:w="7947" w:type="dxa"/>
          </w:tcPr>
          <w:p w14:paraId="330A6D87" w14:textId="77777777" w:rsidR="00C91607" w:rsidRPr="00C91607" w:rsidRDefault="00C91607" w:rsidP="002237BC">
            <w:pPr>
              <w:pStyle w:val="a4"/>
              <w:spacing w:after="120" w:line="240" w:lineRule="atLeast"/>
              <w:jc w:val="both"/>
              <w:rPr>
                <w:rFonts w:ascii="Garamond" w:eastAsiaTheme="minorHAnsi" w:hAnsi="Garamond" w:cstheme="minorBidi"/>
                <w:color w:val="auto"/>
                <w:sz w:val="24"/>
                <w:szCs w:val="24"/>
              </w:rPr>
            </w:pPr>
            <w:r w:rsidRPr="00C91607">
              <w:rPr>
                <w:rFonts w:ascii="Garamond" w:hAnsi="Garamond"/>
                <w:sz w:val="24"/>
                <w:szCs w:val="24"/>
                <w:shd w:val="clear" w:color="auto" w:fill="FFFFFF"/>
                <w:lang w:val="en-US"/>
              </w:rPr>
              <w:t>refers to the total number of members of the household, including maids.</w:t>
            </w:r>
          </w:p>
        </w:tc>
      </w:tr>
      <w:tr w:rsidR="00C91607" w:rsidRPr="00C91607" w14:paraId="1ED5CB02" w14:textId="77777777" w:rsidTr="00730075">
        <w:tc>
          <w:tcPr>
            <w:tcW w:w="1668" w:type="dxa"/>
          </w:tcPr>
          <w:p w14:paraId="777D4CA6" w14:textId="77777777" w:rsidR="00C91607" w:rsidRPr="00C91607" w:rsidRDefault="00C91607" w:rsidP="00C91607">
            <w:pPr>
              <w:spacing w:after="120"/>
              <w:rPr>
                <w:b/>
                <w:lang w:val="en-US"/>
              </w:rPr>
            </w:pPr>
            <w:r w:rsidRPr="00C91607">
              <w:rPr>
                <w:b/>
                <w:shd w:val="clear" w:color="auto" w:fill="FFFFFF"/>
                <w:lang w:val="en-US"/>
              </w:rPr>
              <w:t xml:space="preserve">household living arrangement </w:t>
            </w:r>
          </w:p>
        </w:tc>
        <w:tc>
          <w:tcPr>
            <w:tcW w:w="7947" w:type="dxa"/>
          </w:tcPr>
          <w:p w14:paraId="1CF2849A" w14:textId="77777777" w:rsidR="00C91607" w:rsidRPr="00C91607" w:rsidRDefault="00C91607" w:rsidP="002237BC">
            <w:pPr>
              <w:spacing w:after="120" w:line="240" w:lineRule="atLeast"/>
              <w:jc w:val="both"/>
              <w:rPr>
                <w:rFonts w:eastAsiaTheme="minorHAnsi" w:cstheme="minorBidi"/>
                <w:color w:val="auto"/>
                <w:lang w:val="en-US"/>
              </w:rPr>
            </w:pPr>
            <w:r w:rsidRPr="00C91607">
              <w:rPr>
                <w:shd w:val="clear" w:color="auto" w:fill="FFFFFF"/>
                <w:lang w:val="en-US"/>
              </w:rPr>
              <w:t xml:space="preserve">refers to the classification of a household according to the household composition, age and marital status of household head and age group of the youngest child of the head.  </w:t>
            </w:r>
          </w:p>
        </w:tc>
      </w:tr>
      <w:tr w:rsidR="00C91607" w:rsidRPr="00C91607" w14:paraId="22CB6EE3" w14:textId="77777777" w:rsidTr="00730075">
        <w:tc>
          <w:tcPr>
            <w:tcW w:w="1668" w:type="dxa"/>
          </w:tcPr>
          <w:p w14:paraId="0AD9D503" w14:textId="77777777" w:rsidR="00C91607" w:rsidRPr="00C91607" w:rsidRDefault="00C91607" w:rsidP="00C91607">
            <w:pPr>
              <w:spacing w:after="120"/>
              <w:rPr>
                <w:b/>
                <w:lang w:val="en-US"/>
              </w:rPr>
            </w:pPr>
            <w:r w:rsidRPr="00C91607">
              <w:rPr>
                <w:b/>
                <w:shd w:val="clear" w:color="auto" w:fill="FFFFFF"/>
                <w:lang w:val="en-US"/>
              </w:rPr>
              <w:t xml:space="preserve">family-based households </w:t>
            </w:r>
          </w:p>
        </w:tc>
        <w:tc>
          <w:tcPr>
            <w:tcW w:w="7947" w:type="dxa"/>
          </w:tcPr>
          <w:p w14:paraId="61CD79ED"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refer to households with at least one family nucleus.</w:t>
            </w:r>
          </w:p>
        </w:tc>
      </w:tr>
      <w:tr w:rsidR="00C91607" w:rsidRPr="00C91607" w14:paraId="550B6145" w14:textId="77777777" w:rsidTr="00730075">
        <w:tc>
          <w:tcPr>
            <w:tcW w:w="1668" w:type="dxa"/>
          </w:tcPr>
          <w:p w14:paraId="7169C29E" w14:textId="77777777" w:rsidR="00C91607" w:rsidRPr="00C91607" w:rsidRDefault="00C91607" w:rsidP="00C91607">
            <w:pPr>
              <w:spacing w:after="120"/>
              <w:rPr>
                <w:b/>
                <w:lang w:val="en-US"/>
              </w:rPr>
            </w:pPr>
            <w:r w:rsidRPr="00C91607">
              <w:rPr>
                <w:b/>
                <w:shd w:val="clear" w:color="auto" w:fill="FFFFFF"/>
                <w:lang w:val="en-US"/>
              </w:rPr>
              <w:t xml:space="preserve">non-family-based households </w:t>
            </w:r>
          </w:p>
        </w:tc>
        <w:tc>
          <w:tcPr>
            <w:tcW w:w="7947" w:type="dxa"/>
          </w:tcPr>
          <w:p w14:paraId="015C2488"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refer to households with no family nucleus.</w:t>
            </w:r>
          </w:p>
          <w:p w14:paraId="46F235EB" w14:textId="77777777" w:rsidR="00C91607" w:rsidRPr="00C91607" w:rsidRDefault="00C91607" w:rsidP="002237BC">
            <w:pPr>
              <w:spacing w:after="120" w:line="240" w:lineRule="atLeast"/>
              <w:jc w:val="both"/>
              <w:rPr>
                <w:rFonts w:eastAsiaTheme="minorHAnsi" w:cstheme="minorBidi"/>
                <w:color w:val="auto"/>
                <w:lang w:val="en-US"/>
              </w:rPr>
            </w:pPr>
          </w:p>
        </w:tc>
      </w:tr>
      <w:tr w:rsidR="00C91607" w:rsidRPr="00C91607" w14:paraId="212248AF" w14:textId="77777777" w:rsidTr="00730075">
        <w:tc>
          <w:tcPr>
            <w:tcW w:w="1668" w:type="dxa"/>
          </w:tcPr>
          <w:p w14:paraId="309F84C3" w14:textId="77777777" w:rsidR="00C91607" w:rsidRPr="00C91607" w:rsidRDefault="00C91607" w:rsidP="00C91607">
            <w:pPr>
              <w:spacing w:after="120"/>
              <w:rPr>
                <w:b/>
                <w:lang w:val="en-US"/>
              </w:rPr>
            </w:pPr>
            <w:r w:rsidRPr="00C91607">
              <w:rPr>
                <w:b/>
                <w:shd w:val="clear" w:color="auto" w:fill="FFFFFF"/>
                <w:lang w:val="en-US"/>
              </w:rPr>
              <w:t xml:space="preserve">living wage (subsistence minimum) </w:t>
            </w:r>
          </w:p>
        </w:tc>
        <w:tc>
          <w:tcPr>
            <w:tcW w:w="7947" w:type="dxa"/>
          </w:tcPr>
          <w:p w14:paraId="72B4E782"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Pr>
                <w:rFonts w:ascii="Garamond" w:hAnsi="Garamond"/>
                <w:sz w:val="24"/>
                <w:szCs w:val="24"/>
                <w:shd w:val="clear" w:color="auto" w:fill="FFFFFF"/>
                <w:lang w:val="en-US"/>
              </w:rPr>
              <w:t xml:space="preserve">is </w:t>
            </w:r>
            <w:r w:rsidRPr="00C91607">
              <w:rPr>
                <w:rFonts w:ascii="Garamond" w:hAnsi="Garamond"/>
                <w:sz w:val="24"/>
                <w:szCs w:val="24"/>
                <w:shd w:val="clear" w:color="auto" w:fill="FFFFFF"/>
                <w:lang w:val="en-US"/>
              </w:rPr>
              <w:t>a wage on which it is possible for a wage earner or an individual and his or her family to live at least according to minimum customary standards, that means to meet basic needs, provides with some ability to deal with emergencies, without resorting to welfare or other public assistance.</w:t>
            </w:r>
          </w:p>
        </w:tc>
      </w:tr>
      <w:tr w:rsidR="00C91607" w:rsidRPr="00C91607" w14:paraId="5330CB40" w14:textId="77777777" w:rsidTr="00730075">
        <w:tc>
          <w:tcPr>
            <w:tcW w:w="1668" w:type="dxa"/>
          </w:tcPr>
          <w:p w14:paraId="3B4B2EFA" w14:textId="77777777" w:rsidR="00C91607" w:rsidRPr="00C91607" w:rsidRDefault="00C91607" w:rsidP="00C91607">
            <w:pPr>
              <w:spacing w:after="120"/>
              <w:rPr>
                <w:b/>
                <w:shd w:val="clear" w:color="auto" w:fill="FFFFFF"/>
                <w:lang w:val="en-US"/>
              </w:rPr>
            </w:pPr>
            <w:r w:rsidRPr="00C91607">
              <w:rPr>
                <w:b/>
                <w:shd w:val="clear" w:color="auto" w:fill="FFFFFF"/>
                <w:lang w:val="en-US"/>
              </w:rPr>
              <w:t>minimum wage </w:t>
            </w:r>
          </w:p>
        </w:tc>
        <w:tc>
          <w:tcPr>
            <w:tcW w:w="7947" w:type="dxa"/>
          </w:tcPr>
          <w:p w14:paraId="4E55F8A6"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is the lowest amount of money an employer can pay its employees for work performed as fixed by law.</w:t>
            </w:r>
          </w:p>
        </w:tc>
      </w:tr>
      <w:tr w:rsidR="00C91607" w:rsidRPr="00C91607" w14:paraId="5B606BAB" w14:textId="77777777" w:rsidTr="00730075">
        <w:tc>
          <w:tcPr>
            <w:tcW w:w="1668" w:type="dxa"/>
          </w:tcPr>
          <w:p w14:paraId="11F23304" w14:textId="77777777" w:rsidR="00C91607" w:rsidRPr="00C91607" w:rsidRDefault="00C91607" w:rsidP="00C91607">
            <w:pPr>
              <w:spacing w:after="120"/>
              <w:rPr>
                <w:b/>
                <w:lang w:val="en-US"/>
              </w:rPr>
            </w:pPr>
            <w:r w:rsidRPr="00C91607">
              <w:rPr>
                <w:b/>
                <w:shd w:val="clear" w:color="auto" w:fill="FFFFFF"/>
                <w:lang w:val="en-US"/>
              </w:rPr>
              <w:t xml:space="preserve">pension fixed income </w:t>
            </w:r>
          </w:p>
        </w:tc>
        <w:tc>
          <w:tcPr>
            <w:tcW w:w="7947" w:type="dxa"/>
          </w:tcPr>
          <w:p w14:paraId="139BCEFD" w14:textId="77777777" w:rsidR="00C91607" w:rsidRPr="00C91607" w:rsidRDefault="00C91607" w:rsidP="002237BC">
            <w:pPr>
              <w:spacing w:after="120" w:line="240" w:lineRule="atLeast"/>
              <w:jc w:val="both"/>
              <w:rPr>
                <w:rFonts w:eastAsiaTheme="minorHAnsi" w:cstheme="minorBidi"/>
                <w:color w:val="auto"/>
                <w:lang w:val="en-US"/>
              </w:rPr>
            </w:pPr>
            <w:r w:rsidRPr="00C91607">
              <w:rPr>
                <w:shd w:val="clear" w:color="auto" w:fill="FFFFFF"/>
                <w:lang w:val="en-US"/>
              </w:rPr>
              <w:t xml:space="preserve">refers </w:t>
            </w:r>
            <w:r w:rsidR="002237BC">
              <w:rPr>
                <w:shd w:val="clear" w:color="auto" w:fill="FFFFFF"/>
                <w:lang w:val="en-US"/>
              </w:rPr>
              <w:t xml:space="preserve">to </w:t>
            </w:r>
            <w:r w:rsidRPr="00C91607">
              <w:rPr>
                <w:shd w:val="clear" w:color="auto" w:fill="FFFFFF"/>
                <w:lang w:val="en-US"/>
              </w:rPr>
              <w:t>pension savings in retirement accounts and pension annuities held directly or indirectly in fixed income instruments.</w:t>
            </w:r>
          </w:p>
        </w:tc>
      </w:tr>
      <w:tr w:rsidR="00C91607" w:rsidRPr="00C91607" w14:paraId="64198FA6" w14:textId="77777777" w:rsidTr="00730075">
        <w:tc>
          <w:tcPr>
            <w:tcW w:w="1668" w:type="dxa"/>
          </w:tcPr>
          <w:p w14:paraId="1D0F5BF6" w14:textId="77777777" w:rsidR="00C91607" w:rsidRPr="00C91607" w:rsidRDefault="00C91607" w:rsidP="00C91607">
            <w:pPr>
              <w:spacing w:after="120"/>
              <w:rPr>
                <w:b/>
                <w:lang w:val="en-US"/>
              </w:rPr>
            </w:pPr>
            <w:r w:rsidRPr="00C91607">
              <w:rPr>
                <w:b/>
                <w:lang w:val="en-US"/>
              </w:rPr>
              <w:t>consumer debt </w:t>
            </w:r>
          </w:p>
        </w:tc>
        <w:tc>
          <w:tcPr>
            <w:tcW w:w="7947" w:type="dxa"/>
          </w:tcPr>
          <w:p w14:paraId="7147A1DD" w14:textId="77777777" w:rsidR="00C91607" w:rsidRPr="00C91607" w:rsidRDefault="00C91607" w:rsidP="002237BC">
            <w:pPr>
              <w:pStyle w:val="a4"/>
              <w:spacing w:after="120" w:line="240" w:lineRule="atLeast"/>
              <w:jc w:val="both"/>
              <w:rPr>
                <w:rFonts w:ascii="Garamond" w:eastAsia="Times New Roman" w:hAnsi="Garamond" w:cs="Times New Roman"/>
                <w:sz w:val="24"/>
                <w:szCs w:val="24"/>
              </w:rPr>
            </w:pPr>
            <w:r w:rsidRPr="00C91607">
              <w:rPr>
                <w:rFonts w:ascii="Garamond" w:hAnsi="Garamond"/>
                <w:sz w:val="24"/>
                <w:szCs w:val="24"/>
                <w:lang w:val="en-US"/>
              </w:rPr>
              <w:t xml:space="preserve">refers </w:t>
            </w:r>
            <w:r w:rsidR="002237BC">
              <w:rPr>
                <w:rFonts w:ascii="Garamond" w:hAnsi="Garamond"/>
                <w:sz w:val="24"/>
                <w:szCs w:val="24"/>
                <w:lang w:val="en-US"/>
              </w:rPr>
              <w:t xml:space="preserve">to </w:t>
            </w:r>
            <w:r w:rsidRPr="00C91607">
              <w:rPr>
                <w:rFonts w:ascii="Garamond" w:hAnsi="Garamond"/>
                <w:sz w:val="24"/>
                <w:szCs w:val="24"/>
                <w:lang w:val="en-US"/>
              </w:rPr>
              <w:t>vehicle loans, other installment loans, lines of credit other than home equity, loans against pension and life insurance, loans made for home improvements that are not collateralized by real estate.</w:t>
            </w:r>
          </w:p>
        </w:tc>
      </w:tr>
      <w:tr w:rsidR="00C91607" w:rsidRPr="00C91607" w14:paraId="355AD6E5" w14:textId="77777777" w:rsidTr="00730075">
        <w:tc>
          <w:tcPr>
            <w:tcW w:w="1668" w:type="dxa"/>
          </w:tcPr>
          <w:p w14:paraId="43A8B097" w14:textId="77777777" w:rsidR="00C91607" w:rsidRPr="00C91607" w:rsidRDefault="00C91607" w:rsidP="00C91607">
            <w:pPr>
              <w:spacing w:after="120"/>
              <w:rPr>
                <w:b/>
                <w:lang w:val="en-US"/>
              </w:rPr>
            </w:pPr>
            <w:r w:rsidRPr="00C91607">
              <w:rPr>
                <w:b/>
                <w:lang w:val="en-US"/>
              </w:rPr>
              <w:t xml:space="preserve">financial investment </w:t>
            </w:r>
          </w:p>
        </w:tc>
        <w:tc>
          <w:tcPr>
            <w:tcW w:w="7947" w:type="dxa"/>
          </w:tcPr>
          <w:p w14:paraId="398B702A"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lang w:val="en-US"/>
              </w:rPr>
            </w:pPr>
            <w:r w:rsidRPr="00C91607">
              <w:rPr>
                <w:rFonts w:ascii="Garamond" w:hAnsi="Garamond"/>
                <w:sz w:val="24"/>
                <w:szCs w:val="24"/>
                <w:lang w:val="en-US"/>
              </w:rPr>
              <w:t>refers</w:t>
            </w:r>
            <w:r w:rsidR="002237BC">
              <w:rPr>
                <w:rFonts w:ascii="Garamond" w:hAnsi="Garamond"/>
                <w:sz w:val="24"/>
                <w:szCs w:val="24"/>
                <w:lang w:val="en-US"/>
              </w:rPr>
              <w:t xml:space="preserve"> to</w:t>
            </w:r>
            <w:r w:rsidRPr="00C91607">
              <w:rPr>
                <w:rFonts w:ascii="Garamond" w:hAnsi="Garamond"/>
                <w:sz w:val="24"/>
                <w:szCs w:val="24"/>
                <w:lang w:val="en-US"/>
              </w:rPr>
              <w:t xml:space="preserve"> pension and current fixed income instruments, pension and current directly and indirectly held equity, cash val</w:t>
            </w:r>
            <w:r w:rsidR="002237BC">
              <w:rPr>
                <w:rFonts w:ascii="Garamond" w:hAnsi="Garamond"/>
                <w:sz w:val="24"/>
                <w:szCs w:val="24"/>
                <w:lang w:val="en-US"/>
              </w:rPr>
              <w:t>ue life insurance, other trusts</w:t>
            </w:r>
            <w:r w:rsidRPr="00C91607">
              <w:rPr>
                <w:rFonts w:ascii="Garamond" w:hAnsi="Garamond"/>
                <w:sz w:val="24"/>
                <w:szCs w:val="24"/>
                <w:lang w:val="en-US"/>
              </w:rPr>
              <w:t xml:space="preserve"> and managed investment accounts, other pension savings, and pension and non-pension</w:t>
            </w:r>
            <w:r w:rsidRPr="00C91607">
              <w:rPr>
                <w:rFonts w:ascii="Garamond" w:hAnsi="Garamond"/>
                <w:sz w:val="24"/>
                <w:szCs w:val="24"/>
                <w:shd w:val="clear" w:color="auto" w:fill="FFFFFF"/>
                <w:lang w:val="en-US"/>
              </w:rPr>
              <w:t xml:space="preserve"> annuities.</w:t>
            </w:r>
          </w:p>
        </w:tc>
      </w:tr>
      <w:tr w:rsidR="00C91607" w:rsidRPr="00C91607" w14:paraId="61F067D5" w14:textId="77777777" w:rsidTr="00730075">
        <w:tc>
          <w:tcPr>
            <w:tcW w:w="1668" w:type="dxa"/>
          </w:tcPr>
          <w:p w14:paraId="78F2EEA6" w14:textId="77777777" w:rsidR="00C91607" w:rsidRPr="00C91607" w:rsidRDefault="00C91607" w:rsidP="00C91607">
            <w:pPr>
              <w:spacing w:after="120"/>
              <w:rPr>
                <w:b/>
                <w:lang w:val="en-US"/>
              </w:rPr>
            </w:pPr>
            <w:r w:rsidRPr="00C91607">
              <w:rPr>
                <w:b/>
                <w:shd w:val="clear" w:color="auto" w:fill="FFFFFF"/>
                <w:lang w:val="en-US"/>
              </w:rPr>
              <w:t xml:space="preserve">blended family (stepfamily) </w:t>
            </w:r>
          </w:p>
        </w:tc>
        <w:tc>
          <w:tcPr>
            <w:tcW w:w="7947" w:type="dxa"/>
          </w:tcPr>
          <w:p w14:paraId="1ABA3FE2" w14:textId="77777777" w:rsidR="00C91607" w:rsidRDefault="00C91607" w:rsidP="002237BC">
            <w:pPr>
              <w:pStyle w:val="a4"/>
              <w:spacing w:after="120" w:line="240" w:lineRule="atLeast"/>
              <w:jc w:val="both"/>
              <w:rPr>
                <w:rFonts w:ascii="Garamond" w:hAnsi="Garamond"/>
                <w:sz w:val="24"/>
                <w:szCs w:val="24"/>
                <w:shd w:val="clear" w:color="auto" w:fill="FFFFFF"/>
                <w:lang w:val="en-US"/>
              </w:rPr>
            </w:pPr>
            <w:r w:rsidRPr="00C91607">
              <w:rPr>
                <w:rFonts w:ascii="Garamond" w:hAnsi="Garamond"/>
                <w:sz w:val="24"/>
                <w:szCs w:val="24"/>
                <w:shd w:val="clear" w:color="auto" w:fill="FFFFFF"/>
                <w:lang w:val="en-US"/>
              </w:rPr>
              <w:t>is a family where either one or both parents may have children fr</w:t>
            </w:r>
            <w:r w:rsidR="002237BC">
              <w:rPr>
                <w:rFonts w:ascii="Garamond" w:hAnsi="Garamond"/>
                <w:sz w:val="24"/>
                <w:szCs w:val="24"/>
                <w:shd w:val="clear" w:color="auto" w:fill="FFFFFF"/>
                <w:lang w:val="en-US"/>
              </w:rPr>
              <w:t>om a previous relationship</w:t>
            </w:r>
            <w:r w:rsidRPr="00C91607">
              <w:rPr>
                <w:rFonts w:ascii="Garamond" w:hAnsi="Garamond"/>
                <w:sz w:val="24"/>
                <w:szCs w:val="24"/>
                <w:shd w:val="clear" w:color="auto" w:fill="FFFFFF"/>
                <w:lang w:val="en-US"/>
              </w:rPr>
              <w:t xml:space="preserve"> that are not genetically related to the other parent. Children from a blended family may live with one biological parent, or they may live with each biological parent for a period of time.</w:t>
            </w:r>
          </w:p>
          <w:p w14:paraId="76317207" w14:textId="77777777" w:rsidR="00E723D8" w:rsidRPr="00C91607" w:rsidRDefault="00E723D8" w:rsidP="002237BC">
            <w:pPr>
              <w:pStyle w:val="a4"/>
              <w:spacing w:after="120" w:line="240" w:lineRule="atLeast"/>
              <w:jc w:val="both"/>
              <w:rPr>
                <w:rFonts w:ascii="Garamond" w:eastAsia="Times New Roman" w:hAnsi="Garamond" w:cs="Times New Roman"/>
                <w:sz w:val="24"/>
                <w:szCs w:val="24"/>
                <w:shd w:val="clear" w:color="auto" w:fill="FFFFFF"/>
              </w:rPr>
            </w:pPr>
          </w:p>
        </w:tc>
      </w:tr>
      <w:tr w:rsidR="00C91607" w:rsidRPr="00C91607" w14:paraId="5FBF6CFA" w14:textId="77777777" w:rsidTr="00730075">
        <w:tc>
          <w:tcPr>
            <w:tcW w:w="1668" w:type="dxa"/>
          </w:tcPr>
          <w:p w14:paraId="5ECC48CB" w14:textId="77777777" w:rsidR="00C91607" w:rsidRPr="00C91607" w:rsidRDefault="00C91607" w:rsidP="00C91607">
            <w:pPr>
              <w:spacing w:after="120"/>
              <w:rPr>
                <w:b/>
                <w:lang w:val="en-US"/>
              </w:rPr>
            </w:pPr>
            <w:r w:rsidRPr="00C91607">
              <w:rPr>
                <w:b/>
                <w:shd w:val="clear" w:color="auto" w:fill="FFFFFF"/>
                <w:lang w:val="en-US"/>
              </w:rPr>
              <w:t xml:space="preserve">family </w:t>
            </w:r>
          </w:p>
        </w:tc>
        <w:tc>
          <w:tcPr>
            <w:tcW w:w="7947" w:type="dxa"/>
          </w:tcPr>
          <w:p w14:paraId="5E117B98"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 xml:space="preserve">is a </w:t>
            </w:r>
            <w:hyperlink r:id="rId29" w:history="1">
              <w:r w:rsidRPr="00C91607">
                <w:rPr>
                  <w:rStyle w:val="Hyperlink0"/>
                  <w:rFonts w:ascii="Garamond" w:hAnsi="Garamond"/>
                  <w:lang w:val="en-US"/>
                </w:rPr>
                <w:t>group</w:t>
              </w:r>
            </w:hyperlink>
            <w:r w:rsidRPr="00C91607">
              <w:rPr>
                <w:rFonts w:ascii="Garamond" w:hAnsi="Garamond"/>
                <w:sz w:val="24"/>
                <w:szCs w:val="24"/>
                <w:shd w:val="clear" w:color="auto" w:fill="FFFFFF"/>
                <w:lang w:val="en-US"/>
              </w:rPr>
              <w:t xml:space="preserve"> of </w:t>
            </w:r>
            <w:hyperlink r:id="rId30" w:history="1">
              <w:r w:rsidRPr="00C91607">
                <w:rPr>
                  <w:rStyle w:val="Hyperlink0"/>
                  <w:rFonts w:ascii="Garamond" w:hAnsi="Garamond"/>
                  <w:lang w:val="en-US"/>
                </w:rPr>
                <w:t>people</w:t>
              </w:r>
            </w:hyperlink>
            <w:r w:rsidRPr="00C91607">
              <w:rPr>
                <w:rFonts w:ascii="Garamond" w:hAnsi="Garamond"/>
                <w:sz w:val="24"/>
                <w:szCs w:val="24"/>
                <w:shd w:val="clear" w:color="auto" w:fill="FFFFFF"/>
                <w:lang w:val="en-US"/>
              </w:rPr>
              <w:t xml:space="preserve"> related by </w:t>
            </w:r>
            <w:hyperlink r:id="rId31" w:history="1">
              <w:r w:rsidRPr="00C91607">
                <w:rPr>
                  <w:rStyle w:val="Hyperlink0"/>
                  <w:rFonts w:ascii="Garamond" w:hAnsi="Garamond"/>
                </w:rPr>
                <w:t>consanguinity</w:t>
              </w:r>
            </w:hyperlink>
            <w:r w:rsidRPr="00C91607">
              <w:rPr>
                <w:rFonts w:ascii="Garamond" w:hAnsi="Garamond"/>
                <w:sz w:val="24"/>
                <w:szCs w:val="24"/>
                <w:shd w:val="clear" w:color="auto" w:fill="FFFFFF"/>
                <w:lang w:val="en-US"/>
              </w:rPr>
              <w:t xml:space="preserve"> (by recognized birth), </w:t>
            </w:r>
            <w:hyperlink r:id="rId32" w:history="1">
              <w:r w:rsidRPr="00C91607">
                <w:rPr>
                  <w:rStyle w:val="Hyperlink0"/>
                  <w:rFonts w:ascii="Garamond" w:hAnsi="Garamond"/>
                  <w:lang w:val="en-US"/>
                </w:rPr>
                <w:t>affinity</w:t>
              </w:r>
            </w:hyperlink>
            <w:r w:rsidRPr="00C91607">
              <w:rPr>
                <w:rFonts w:ascii="Garamond" w:hAnsi="Garamond"/>
                <w:sz w:val="24"/>
                <w:szCs w:val="24"/>
                <w:shd w:val="clear" w:color="auto" w:fill="FFFFFF"/>
                <w:lang w:val="en-US"/>
              </w:rPr>
              <w:t xml:space="preserve"> (by marriage), or co-residence and/or shared consumption. Members of the immediate </w:t>
            </w:r>
            <w:r w:rsidRPr="00C91607">
              <w:rPr>
                <w:rFonts w:ascii="Garamond" w:hAnsi="Garamond"/>
                <w:sz w:val="24"/>
                <w:szCs w:val="24"/>
                <w:shd w:val="clear" w:color="auto" w:fill="FFFFFF"/>
                <w:lang w:val="en-US"/>
              </w:rPr>
              <w:lastRenderedPageBreak/>
              <w:t xml:space="preserve">family include spouses, parents, brothers, sisters, sons and/or daughters. Members of the extended family may include grandparents, aunts, uncles, cousins, nephews, nieces, and/or siblings-in-law. </w:t>
            </w:r>
          </w:p>
        </w:tc>
      </w:tr>
      <w:tr w:rsidR="00C91607" w:rsidRPr="00C91607" w14:paraId="54E37229" w14:textId="77777777" w:rsidTr="00730075">
        <w:tc>
          <w:tcPr>
            <w:tcW w:w="1668" w:type="dxa"/>
          </w:tcPr>
          <w:p w14:paraId="4DC4AF33" w14:textId="77777777" w:rsidR="00C91607" w:rsidRPr="00C91607" w:rsidRDefault="00C91607" w:rsidP="00C91607">
            <w:pPr>
              <w:spacing w:after="120" w:line="240" w:lineRule="atLeast"/>
              <w:rPr>
                <w:rFonts w:eastAsiaTheme="minorHAnsi" w:cstheme="minorBidi"/>
                <w:b/>
                <w:color w:val="auto"/>
                <w:lang w:val="en-US"/>
              </w:rPr>
            </w:pPr>
            <w:r w:rsidRPr="00C91607">
              <w:rPr>
                <w:b/>
                <w:shd w:val="clear" w:color="auto" w:fill="FFFFFF"/>
                <w:lang w:val="en-US"/>
              </w:rPr>
              <w:lastRenderedPageBreak/>
              <w:t>family life cycle </w:t>
            </w:r>
          </w:p>
        </w:tc>
        <w:tc>
          <w:tcPr>
            <w:tcW w:w="7947" w:type="dxa"/>
          </w:tcPr>
          <w:p w14:paraId="0D822573" w14:textId="77777777" w:rsidR="00C91607" w:rsidRPr="00C91607" w:rsidRDefault="00C91607" w:rsidP="002237BC">
            <w:pPr>
              <w:pStyle w:val="a4"/>
              <w:spacing w:after="120" w:line="240" w:lineRule="atLeast"/>
              <w:jc w:val="both"/>
              <w:rPr>
                <w:rFonts w:ascii="Garamond" w:eastAsia="Times New Roman" w:hAnsi="Garamond" w:cs="Times New Roman"/>
                <w:sz w:val="24"/>
                <w:szCs w:val="24"/>
                <w:shd w:val="clear" w:color="auto" w:fill="FFFFFF"/>
              </w:rPr>
            </w:pPr>
            <w:r w:rsidRPr="00C91607">
              <w:rPr>
                <w:rFonts w:ascii="Garamond" w:hAnsi="Garamond"/>
                <w:sz w:val="24"/>
                <w:szCs w:val="24"/>
                <w:shd w:val="clear" w:color="auto" w:fill="FFFFFF"/>
                <w:lang w:val="en-US"/>
              </w:rPr>
              <w:t>is a concept of household finance that attempts to describe the effect of time on a family through the phases of marriage (and divorce) and births and deaths, reflected in the family's income and consumer behavior</w:t>
            </w:r>
            <w:r w:rsidR="002237BC">
              <w:rPr>
                <w:rFonts w:ascii="Garamond" w:hAnsi="Garamond"/>
                <w:sz w:val="24"/>
                <w:szCs w:val="24"/>
                <w:shd w:val="clear" w:color="auto" w:fill="FFFFFF"/>
                <w:lang w:val="en-US"/>
              </w:rPr>
              <w:t>,</w:t>
            </w:r>
            <w:r w:rsidRPr="00C91607">
              <w:rPr>
                <w:rFonts w:ascii="Garamond" w:hAnsi="Garamond"/>
                <w:sz w:val="24"/>
                <w:szCs w:val="24"/>
                <w:shd w:val="clear" w:color="auto" w:fill="FFFFFF"/>
                <w:lang w:val="en-US"/>
              </w:rPr>
              <w:t xml:space="preserve"> and widely used as a basis for market segmentation.</w:t>
            </w:r>
          </w:p>
        </w:tc>
      </w:tr>
    </w:tbl>
    <w:p w14:paraId="349F7061" w14:textId="77777777" w:rsidR="003C51B1" w:rsidRPr="00C91607" w:rsidRDefault="003C51B1" w:rsidP="00C91607">
      <w:pPr>
        <w:keepNext/>
        <w:keepLines/>
        <w:pBdr>
          <w:top w:val="single" w:sz="6" w:space="6" w:color="808080"/>
          <w:bottom w:val="single" w:sz="6" w:space="6" w:color="808080"/>
        </w:pBdr>
        <w:spacing w:before="240" w:after="240"/>
        <w:jc w:val="center"/>
        <w:outlineLvl w:val="0"/>
        <w:rPr>
          <w:b/>
          <w:caps/>
          <w:spacing w:val="20"/>
          <w:kern w:val="16"/>
          <w:sz w:val="28"/>
          <w:szCs w:val="18"/>
          <w:lang w:val="en-US"/>
        </w:rPr>
      </w:pPr>
      <w:r w:rsidRPr="00C91607">
        <w:rPr>
          <w:b/>
          <w:caps/>
          <w:spacing w:val="20"/>
          <w:kern w:val="16"/>
          <w:sz w:val="28"/>
          <w:szCs w:val="18"/>
          <w:lang w:val="en-US"/>
        </w:rPr>
        <w:t>Review questions</w:t>
      </w:r>
    </w:p>
    <w:p w14:paraId="63A6F8C7"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What is the role of household finance in the national economy?</w:t>
      </w:r>
    </w:p>
    <w:p w14:paraId="17A2C555"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How is household finance associated with areas of the financial system?</w:t>
      </w:r>
    </w:p>
    <w:p w14:paraId="5A791BF4"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 xml:space="preserve">Define the concept of household. Give detailed description of household characteristics and main functions. </w:t>
      </w:r>
    </w:p>
    <w:p w14:paraId="733243D1"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 xml:space="preserve">Explain the difference between household finance, family finance and personal finance. </w:t>
      </w:r>
    </w:p>
    <w:p w14:paraId="6A60A382" w14:textId="77777777" w:rsidR="003C51B1" w:rsidRPr="00C91607" w:rsidRDefault="002237BC" w:rsidP="006F749C">
      <w:pPr>
        <w:numPr>
          <w:ilvl w:val="0"/>
          <w:numId w:val="151"/>
        </w:numPr>
        <w:spacing w:after="240" w:line="312" w:lineRule="auto"/>
        <w:contextualSpacing/>
        <w:jc w:val="both"/>
        <w:rPr>
          <w:sz w:val="28"/>
          <w:szCs w:val="28"/>
          <w:lang w:val="en-US" w:bidi="ru-RU"/>
        </w:rPr>
      </w:pPr>
      <w:r>
        <w:rPr>
          <w:sz w:val="28"/>
          <w:szCs w:val="28"/>
          <w:lang w:val="en-US" w:bidi="ru-RU"/>
        </w:rPr>
        <w:t>What is the living standard</w:t>
      </w:r>
      <w:r w:rsidR="003C51B1" w:rsidRPr="003E1ECE">
        <w:rPr>
          <w:sz w:val="28"/>
          <w:szCs w:val="28"/>
          <w:lang w:val="en-US" w:bidi="ru-RU"/>
        </w:rPr>
        <w:t>? How it could be measured?</w:t>
      </w:r>
    </w:p>
    <w:p w14:paraId="186D925D"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Could the living standards be changed over time for different types of households?</w:t>
      </w:r>
    </w:p>
    <w:p w14:paraId="3E94AEFC"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 xml:space="preserve">Do you agree that such variables as family type, place of residence, employment status of household members, levels and structures of household expenditures explain household well-being?  </w:t>
      </w:r>
    </w:p>
    <w:p w14:paraId="6909D209"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 xml:space="preserve">How </w:t>
      </w:r>
      <w:r w:rsidR="002237BC">
        <w:rPr>
          <w:sz w:val="28"/>
          <w:szCs w:val="28"/>
          <w:lang w:val="en-US" w:bidi="ru-RU"/>
        </w:rPr>
        <w:t xml:space="preserve">do </w:t>
      </w:r>
      <w:r w:rsidRPr="003E1ECE">
        <w:rPr>
          <w:sz w:val="28"/>
          <w:szCs w:val="28"/>
          <w:lang w:val="en-US" w:bidi="ru-RU"/>
        </w:rPr>
        <w:t>households generate funds? How are they classified?</w:t>
      </w:r>
    </w:p>
    <w:p w14:paraId="38CB90F7"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 xml:space="preserve">Distinguish between the terms </w:t>
      </w:r>
      <w:r w:rsidR="002237BC">
        <w:rPr>
          <w:sz w:val="28"/>
          <w:szCs w:val="28"/>
          <w:lang w:val="en-US" w:bidi="ru-RU"/>
        </w:rPr>
        <w:t>“</w:t>
      </w:r>
      <w:r w:rsidRPr="003E1ECE">
        <w:rPr>
          <w:sz w:val="28"/>
          <w:szCs w:val="28"/>
          <w:lang w:val="en-US" w:bidi="ru-RU"/>
        </w:rPr>
        <w:t>household income</w:t>
      </w:r>
      <w:r w:rsidR="002237BC">
        <w:rPr>
          <w:sz w:val="28"/>
          <w:szCs w:val="28"/>
          <w:lang w:val="en-US" w:bidi="ru-RU"/>
        </w:rPr>
        <w:t>”</w:t>
      </w:r>
      <w:r w:rsidRPr="003E1ECE">
        <w:rPr>
          <w:sz w:val="28"/>
          <w:szCs w:val="28"/>
          <w:lang w:val="en-US" w:bidi="ru-RU"/>
        </w:rPr>
        <w:t xml:space="preserve"> and </w:t>
      </w:r>
      <w:r w:rsidR="002237BC">
        <w:rPr>
          <w:sz w:val="28"/>
          <w:szCs w:val="28"/>
          <w:lang w:val="en-US" w:bidi="ru-RU"/>
        </w:rPr>
        <w:t>“</w:t>
      </w:r>
      <w:r w:rsidRPr="003E1ECE">
        <w:rPr>
          <w:sz w:val="28"/>
          <w:szCs w:val="28"/>
          <w:lang w:val="en-US" w:bidi="ru-RU"/>
        </w:rPr>
        <w:t>general household welfare</w:t>
      </w:r>
      <w:r w:rsidR="002237BC">
        <w:rPr>
          <w:sz w:val="28"/>
          <w:szCs w:val="28"/>
          <w:lang w:val="en-US" w:bidi="ru-RU"/>
        </w:rPr>
        <w:t>”</w:t>
      </w:r>
      <w:r w:rsidRPr="003E1ECE">
        <w:rPr>
          <w:sz w:val="28"/>
          <w:szCs w:val="28"/>
          <w:lang w:val="en-US" w:bidi="ru-RU"/>
        </w:rPr>
        <w:t xml:space="preserve">.   </w:t>
      </w:r>
    </w:p>
    <w:p w14:paraId="74852A92"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What is the subsistence minimum? How is the subsistence minimum calculated?</w:t>
      </w:r>
    </w:p>
    <w:p w14:paraId="33BF10E3"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 xml:space="preserve">What is the difference between the subsistence minimum and minimum wage? </w:t>
      </w:r>
    </w:p>
    <w:p w14:paraId="43F792E1"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What are the main groups of household expenditures?</w:t>
      </w:r>
    </w:p>
    <w:p w14:paraId="0BCAA758"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Identify factors influencing household expenditures.</w:t>
      </w:r>
    </w:p>
    <w:p w14:paraId="78829A21" w14:textId="77777777" w:rsidR="003C51B1" w:rsidRPr="00C91607" w:rsidRDefault="003C51B1" w:rsidP="006F749C">
      <w:pPr>
        <w:numPr>
          <w:ilvl w:val="0"/>
          <w:numId w:val="151"/>
        </w:numPr>
        <w:spacing w:after="240" w:line="312" w:lineRule="auto"/>
        <w:contextualSpacing/>
        <w:jc w:val="both"/>
        <w:rPr>
          <w:sz w:val="28"/>
          <w:szCs w:val="28"/>
          <w:lang w:val="en-US" w:bidi="ru-RU"/>
        </w:rPr>
      </w:pPr>
      <w:r w:rsidRPr="003E1ECE">
        <w:rPr>
          <w:sz w:val="28"/>
          <w:szCs w:val="28"/>
          <w:lang w:val="en-US" w:bidi="ru-RU"/>
        </w:rPr>
        <w:t>Do you agree that levels and patterns of household expenditures differ across socio-economic groups, particularly income groups (e.g.</w:t>
      </w:r>
      <w:r w:rsidR="009729B1">
        <w:rPr>
          <w:sz w:val="28"/>
          <w:szCs w:val="28"/>
          <w:lang w:val="en-US" w:bidi="ru-RU"/>
        </w:rPr>
        <w:t>, poor vs</w:t>
      </w:r>
      <w:r w:rsidRPr="003E1ECE">
        <w:rPr>
          <w:sz w:val="28"/>
          <w:szCs w:val="28"/>
          <w:lang w:val="en-US" w:bidi="ru-RU"/>
        </w:rPr>
        <w:t xml:space="preserve"> well-</w:t>
      </w:r>
      <w:r w:rsidR="009729B1">
        <w:rPr>
          <w:sz w:val="28"/>
          <w:szCs w:val="28"/>
          <w:lang w:val="en-US" w:bidi="ru-RU"/>
        </w:rPr>
        <w:t>to-do</w:t>
      </w:r>
      <w:r w:rsidRPr="003E1ECE">
        <w:rPr>
          <w:sz w:val="28"/>
          <w:szCs w:val="28"/>
          <w:lang w:val="en-US" w:bidi="ru-RU"/>
        </w:rPr>
        <w:t xml:space="preserve"> households)?</w:t>
      </w:r>
    </w:p>
    <w:p w14:paraId="455FE8E9" w14:textId="77777777" w:rsidR="00730075" w:rsidRPr="00730075" w:rsidRDefault="003C51B1" w:rsidP="006F749C">
      <w:pPr>
        <w:numPr>
          <w:ilvl w:val="0"/>
          <w:numId w:val="151"/>
        </w:numPr>
        <w:spacing w:after="240" w:line="312" w:lineRule="auto"/>
        <w:contextualSpacing/>
        <w:jc w:val="both"/>
        <w:rPr>
          <w:sz w:val="28"/>
          <w:szCs w:val="28"/>
          <w:lang w:val="en-US" w:bidi="ru-RU"/>
        </w:rPr>
      </w:pPr>
      <w:r w:rsidRPr="00730075">
        <w:rPr>
          <w:sz w:val="28"/>
          <w:szCs w:val="28"/>
          <w:lang w:val="en-US" w:bidi="ru-RU"/>
        </w:rPr>
        <w:t xml:space="preserve">To which extent </w:t>
      </w:r>
      <w:r w:rsidR="009729B1">
        <w:rPr>
          <w:sz w:val="28"/>
          <w:szCs w:val="28"/>
          <w:lang w:val="en-US" w:bidi="ru-RU"/>
        </w:rPr>
        <w:t xml:space="preserve">does </w:t>
      </w:r>
      <w:r w:rsidR="009729B1" w:rsidRPr="00730075">
        <w:rPr>
          <w:sz w:val="28"/>
          <w:szCs w:val="28"/>
          <w:lang w:val="en-US" w:bidi="ru-RU"/>
        </w:rPr>
        <w:t xml:space="preserve">household income </w:t>
      </w:r>
      <w:r w:rsidR="009729B1">
        <w:rPr>
          <w:sz w:val="28"/>
          <w:szCs w:val="28"/>
          <w:lang w:val="en-US" w:bidi="ru-RU"/>
        </w:rPr>
        <w:t>determine the</w:t>
      </w:r>
      <w:r w:rsidR="009729B1" w:rsidRPr="00730075">
        <w:rPr>
          <w:sz w:val="28"/>
          <w:szCs w:val="28"/>
          <w:lang w:val="en-US" w:bidi="ru-RU"/>
        </w:rPr>
        <w:t xml:space="preserve"> levels </w:t>
      </w:r>
      <w:r w:rsidR="009729B1">
        <w:rPr>
          <w:sz w:val="28"/>
          <w:szCs w:val="28"/>
          <w:lang w:val="en-US" w:bidi="ru-RU"/>
        </w:rPr>
        <w:t>and patterns</w:t>
      </w:r>
      <w:r w:rsidR="009729B1" w:rsidRPr="00730075">
        <w:rPr>
          <w:sz w:val="28"/>
          <w:szCs w:val="28"/>
          <w:lang w:val="en-US" w:bidi="ru-RU"/>
        </w:rPr>
        <w:t xml:space="preserve"> </w:t>
      </w:r>
      <w:r w:rsidR="009729B1">
        <w:rPr>
          <w:sz w:val="28"/>
          <w:szCs w:val="28"/>
          <w:lang w:val="en-US" w:bidi="ru-RU"/>
        </w:rPr>
        <w:t xml:space="preserve">of </w:t>
      </w:r>
      <w:r w:rsidRPr="00730075">
        <w:rPr>
          <w:sz w:val="28"/>
          <w:szCs w:val="28"/>
          <w:lang w:val="en-US" w:bidi="ru-RU"/>
        </w:rPr>
        <w:t>household expenditures?</w:t>
      </w:r>
    </w:p>
    <w:p w14:paraId="0B771554" w14:textId="77777777" w:rsidR="003C51B1" w:rsidRPr="00730075" w:rsidRDefault="003C51B1" w:rsidP="00730075">
      <w:pPr>
        <w:keepNext/>
        <w:keepLines/>
        <w:pBdr>
          <w:top w:val="single" w:sz="6" w:space="6" w:color="808080"/>
          <w:bottom w:val="single" w:sz="6" w:space="6" w:color="808080"/>
        </w:pBdr>
        <w:spacing w:before="240" w:after="240"/>
        <w:jc w:val="center"/>
        <w:outlineLvl w:val="0"/>
        <w:rPr>
          <w:b/>
          <w:caps/>
          <w:spacing w:val="20"/>
          <w:kern w:val="16"/>
          <w:sz w:val="28"/>
          <w:szCs w:val="18"/>
          <w:lang w:val="en-US"/>
        </w:rPr>
      </w:pPr>
      <w:r w:rsidRPr="00730075">
        <w:rPr>
          <w:b/>
          <w:caps/>
          <w:spacing w:val="20"/>
          <w:kern w:val="16"/>
          <w:sz w:val="28"/>
          <w:szCs w:val="18"/>
          <w:lang w:val="en-US"/>
        </w:rPr>
        <w:lastRenderedPageBreak/>
        <w:t>Multiple</w:t>
      </w:r>
      <w:r w:rsidR="007E51D1">
        <w:rPr>
          <w:b/>
          <w:caps/>
          <w:spacing w:val="20"/>
          <w:kern w:val="16"/>
          <w:sz w:val="28"/>
          <w:szCs w:val="18"/>
          <w:lang w:val="en-US"/>
        </w:rPr>
        <w:t xml:space="preserve"> </w:t>
      </w:r>
      <w:r w:rsidRPr="00730075">
        <w:rPr>
          <w:b/>
          <w:caps/>
          <w:spacing w:val="20"/>
          <w:kern w:val="16"/>
          <w:sz w:val="28"/>
          <w:szCs w:val="18"/>
          <w:lang w:val="en-US"/>
        </w:rPr>
        <w:t>choice questions</w:t>
      </w:r>
    </w:p>
    <w:tbl>
      <w:tblPr>
        <w:tblStyle w:val="2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64"/>
      </w:tblGrid>
      <w:tr w:rsidR="00730075" w:rsidRPr="00730075" w14:paraId="0FE0E2C9" w14:textId="77777777" w:rsidTr="00730075">
        <w:tc>
          <w:tcPr>
            <w:tcW w:w="9564" w:type="dxa"/>
          </w:tcPr>
          <w:p w14:paraId="7279F375" w14:textId="77777777" w:rsidR="00730075" w:rsidRDefault="00730075" w:rsidP="006F749C">
            <w:pPr>
              <w:pStyle w:val="ListParagraph"/>
              <w:numPr>
                <w:ilvl w:val="0"/>
                <w:numId w:val="152"/>
              </w:numPr>
              <w:spacing w:after="0" w:line="240" w:lineRule="atLeast"/>
              <w:ind w:left="357" w:hanging="357"/>
              <w:rPr>
                <w:rFonts w:ascii="Garamond" w:hAnsi="Garamond"/>
                <w:szCs w:val="28"/>
                <w:lang w:val="en-US" w:eastAsia="ru-RU"/>
              </w:rPr>
            </w:pPr>
            <w:r w:rsidRPr="00730075">
              <w:rPr>
                <w:rFonts w:ascii="Garamond" w:hAnsi="Garamond"/>
                <w:szCs w:val="28"/>
                <w:lang w:val="en-US" w:eastAsia="ru-RU"/>
              </w:rPr>
              <w:t>The main functions of the households</w:t>
            </w:r>
            <w:r w:rsidR="009729B1">
              <w:rPr>
                <w:rFonts w:ascii="Garamond" w:hAnsi="Garamond"/>
                <w:szCs w:val="28"/>
                <w:lang w:val="en-US" w:eastAsia="ru-RU"/>
              </w:rPr>
              <w:t xml:space="preserve"> are as follows</w:t>
            </w:r>
            <w:r>
              <w:rPr>
                <w:rFonts w:ascii="Garamond" w:hAnsi="Garamond"/>
                <w:szCs w:val="28"/>
                <w:lang w:val="en-US" w:eastAsia="ru-RU"/>
              </w:rPr>
              <w:t>:</w:t>
            </w:r>
          </w:p>
          <w:p w14:paraId="4B7DB555" w14:textId="77777777" w:rsidR="00730075" w:rsidRPr="00730075" w:rsidRDefault="00730075" w:rsidP="006F749C">
            <w:pPr>
              <w:pStyle w:val="ListParagraph"/>
              <w:numPr>
                <w:ilvl w:val="0"/>
                <w:numId w:val="153"/>
              </w:numPr>
              <w:shd w:val="clear" w:color="auto" w:fill="FFFFFF"/>
              <w:spacing w:line="240" w:lineRule="atLeast"/>
              <w:ind w:left="714" w:hanging="357"/>
              <w:textAlignment w:val="baseline"/>
              <w:rPr>
                <w:rFonts w:ascii="Garamond" w:hAnsi="Garamond"/>
                <w:szCs w:val="28"/>
                <w:lang w:val="en-US"/>
              </w:rPr>
            </w:pPr>
            <w:r w:rsidRPr="00730075">
              <w:rPr>
                <w:rFonts w:ascii="Garamond" w:hAnsi="Garamond"/>
                <w:szCs w:val="28"/>
                <w:lang w:val="en-US"/>
              </w:rPr>
              <w:t>supply of human and real capital;</w:t>
            </w:r>
          </w:p>
          <w:p w14:paraId="30A25206" w14:textId="77777777" w:rsidR="00730075" w:rsidRPr="00730075" w:rsidRDefault="00730075" w:rsidP="006F749C">
            <w:pPr>
              <w:pStyle w:val="ListParagraph"/>
              <w:numPr>
                <w:ilvl w:val="0"/>
                <w:numId w:val="153"/>
              </w:numPr>
              <w:shd w:val="clear" w:color="auto" w:fill="FFFFFF"/>
              <w:spacing w:line="240" w:lineRule="atLeast"/>
              <w:ind w:left="714" w:hanging="357"/>
              <w:textAlignment w:val="baseline"/>
              <w:rPr>
                <w:rFonts w:ascii="Garamond" w:hAnsi="Garamond"/>
                <w:szCs w:val="28"/>
                <w:lang w:val="en-US"/>
              </w:rPr>
            </w:pPr>
            <w:r w:rsidRPr="00730075">
              <w:rPr>
                <w:rFonts w:ascii="Garamond" w:hAnsi="Garamond"/>
                <w:szCs w:val="28"/>
                <w:lang w:val="en-US"/>
              </w:rPr>
              <w:t>filling the budget incomes;</w:t>
            </w:r>
          </w:p>
          <w:p w14:paraId="5E318958" w14:textId="77777777" w:rsidR="00730075" w:rsidRPr="00730075" w:rsidRDefault="00730075" w:rsidP="006F749C">
            <w:pPr>
              <w:pStyle w:val="ListParagraph"/>
              <w:numPr>
                <w:ilvl w:val="0"/>
                <w:numId w:val="153"/>
              </w:numPr>
              <w:shd w:val="clear" w:color="auto" w:fill="FFFFFF"/>
              <w:spacing w:line="240" w:lineRule="atLeast"/>
              <w:ind w:left="714" w:hanging="357"/>
              <w:textAlignment w:val="baseline"/>
              <w:rPr>
                <w:rFonts w:ascii="Garamond" w:hAnsi="Garamond"/>
                <w:szCs w:val="28"/>
                <w:lang w:val="en-US"/>
              </w:rPr>
            </w:pPr>
            <w:r w:rsidRPr="00730075">
              <w:rPr>
                <w:rFonts w:ascii="Garamond" w:hAnsi="Garamond"/>
                <w:szCs w:val="28"/>
                <w:lang w:val="en-US"/>
              </w:rPr>
              <w:t>delivery of financial resources;</w:t>
            </w:r>
          </w:p>
          <w:p w14:paraId="2D6ED4A7" w14:textId="77777777" w:rsidR="00730075" w:rsidRPr="00730075" w:rsidRDefault="00730075" w:rsidP="006F749C">
            <w:pPr>
              <w:pStyle w:val="ListParagraph"/>
              <w:numPr>
                <w:ilvl w:val="0"/>
                <w:numId w:val="153"/>
              </w:numPr>
              <w:shd w:val="clear" w:color="auto" w:fill="FFFFFF"/>
              <w:spacing w:after="120" w:line="240" w:lineRule="atLeast"/>
              <w:ind w:left="714" w:hanging="357"/>
              <w:textAlignment w:val="baseline"/>
              <w:rPr>
                <w:szCs w:val="28"/>
                <w:lang w:val="en-US" w:eastAsia="ru-RU"/>
              </w:rPr>
            </w:pPr>
            <w:r w:rsidRPr="00730075">
              <w:rPr>
                <w:rFonts w:ascii="Garamond" w:hAnsi="Garamond"/>
                <w:szCs w:val="28"/>
                <w:lang w:val="en-US"/>
              </w:rPr>
              <w:t>all of the above answers.</w:t>
            </w:r>
          </w:p>
        </w:tc>
      </w:tr>
      <w:tr w:rsidR="00730075" w:rsidRPr="00730075" w14:paraId="54141ACD" w14:textId="77777777" w:rsidTr="00730075">
        <w:tc>
          <w:tcPr>
            <w:tcW w:w="9564" w:type="dxa"/>
          </w:tcPr>
          <w:p w14:paraId="416903E0" w14:textId="77777777" w:rsidR="00730075" w:rsidRPr="00730075" w:rsidRDefault="00730075" w:rsidP="006F749C">
            <w:pPr>
              <w:pStyle w:val="ListParagraph"/>
              <w:numPr>
                <w:ilvl w:val="0"/>
                <w:numId w:val="152"/>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3E1ECE">
              <w:rPr>
                <w:rFonts w:ascii="Garamond" w:hAnsi="Garamond"/>
                <w:szCs w:val="28"/>
                <w:lang w:val="en-US" w:eastAsia="ru-RU"/>
              </w:rPr>
              <w:t xml:space="preserve">The process </w:t>
            </w:r>
            <w:r w:rsidR="009729B1">
              <w:rPr>
                <w:rFonts w:ascii="Garamond" w:hAnsi="Garamond"/>
                <w:szCs w:val="28"/>
                <w:lang w:val="en-US" w:eastAsia="ru-RU"/>
              </w:rPr>
              <w:t>of</w:t>
            </w:r>
            <w:r w:rsidRPr="003E1ECE">
              <w:rPr>
                <w:rFonts w:ascii="Garamond" w:hAnsi="Garamond"/>
                <w:szCs w:val="28"/>
                <w:lang w:val="en-US" w:eastAsia="ru-RU"/>
              </w:rPr>
              <w:t xml:space="preserve"> decision</w:t>
            </w:r>
            <w:r w:rsidR="009729B1">
              <w:rPr>
                <w:rFonts w:ascii="Garamond" w:hAnsi="Garamond"/>
                <w:szCs w:val="28"/>
                <w:lang w:val="en-US" w:eastAsia="ru-RU"/>
              </w:rPr>
              <w:t xml:space="preserve"> making</w:t>
            </w:r>
            <w:r w:rsidRPr="003E1ECE">
              <w:rPr>
                <w:rFonts w:ascii="Garamond" w:hAnsi="Garamond"/>
                <w:szCs w:val="28"/>
                <w:lang w:val="en-US" w:eastAsia="ru-RU"/>
              </w:rPr>
              <w:t xml:space="preserve"> that directly or indirectly involve</w:t>
            </w:r>
            <w:r w:rsidR="009729B1">
              <w:rPr>
                <w:rFonts w:ascii="Garamond" w:hAnsi="Garamond"/>
                <w:szCs w:val="28"/>
                <w:lang w:val="en-US" w:eastAsia="ru-RU"/>
              </w:rPr>
              <w:t>s</w:t>
            </w:r>
            <w:r w:rsidRPr="003E1ECE">
              <w:rPr>
                <w:rFonts w:ascii="Garamond" w:hAnsi="Garamond"/>
                <w:szCs w:val="28"/>
                <w:lang w:val="en-US" w:eastAsia="ru-RU"/>
              </w:rPr>
              <w:t xml:space="preserve"> two or more family members </w:t>
            </w:r>
            <w:r w:rsidR="009729B1">
              <w:rPr>
                <w:rFonts w:ascii="Garamond" w:hAnsi="Garamond"/>
                <w:szCs w:val="28"/>
                <w:lang w:val="en-US" w:eastAsia="ru-RU"/>
              </w:rPr>
              <w:t>is called</w:t>
            </w:r>
          </w:p>
          <w:p w14:paraId="74C66D75" w14:textId="77777777" w:rsidR="00730075" w:rsidRPr="00730075" w:rsidRDefault="00730075" w:rsidP="006F749C">
            <w:pPr>
              <w:pStyle w:val="ListParagraph"/>
              <w:numPr>
                <w:ilvl w:val="0"/>
                <w:numId w:val="154"/>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group decision making;</w:t>
            </w:r>
          </w:p>
          <w:p w14:paraId="7B620D79" w14:textId="77777777" w:rsidR="00730075" w:rsidRPr="00730075" w:rsidRDefault="00730075" w:rsidP="006F749C">
            <w:pPr>
              <w:pStyle w:val="ListParagraph"/>
              <w:numPr>
                <w:ilvl w:val="0"/>
                <w:numId w:val="154"/>
              </w:numPr>
              <w:pBdr>
                <w:top w:val="nil"/>
                <w:left w:val="nil"/>
                <w:bottom w:val="nil"/>
                <w:right w:val="nil"/>
                <w:between w:val="nil"/>
                <w:bar w:val="nil"/>
              </w:pBdr>
              <w:shd w:val="clear" w:color="auto" w:fill="FFFFFF"/>
              <w:spacing w:line="240" w:lineRule="atLeast"/>
              <w:ind w:left="714" w:hanging="357"/>
              <w:textAlignment w:val="baseline"/>
              <w:rPr>
                <w:rFonts w:ascii="Garamond" w:hAnsi="Garamond"/>
                <w:szCs w:val="28"/>
                <w:lang w:val="en-US"/>
              </w:rPr>
            </w:pPr>
            <w:r w:rsidRPr="003E1ECE">
              <w:rPr>
                <w:rFonts w:ascii="Garamond" w:hAnsi="Garamond"/>
                <w:szCs w:val="28"/>
                <w:lang w:val="en-US"/>
              </w:rPr>
              <w:t>joint decision making;</w:t>
            </w:r>
          </w:p>
          <w:p w14:paraId="7BABD16A" w14:textId="77777777" w:rsidR="00730075" w:rsidRPr="00730075" w:rsidRDefault="00730075" w:rsidP="006F749C">
            <w:pPr>
              <w:pStyle w:val="ListParagraph"/>
              <w:numPr>
                <w:ilvl w:val="0"/>
                <w:numId w:val="154"/>
              </w:numPr>
              <w:pBdr>
                <w:top w:val="nil"/>
                <w:left w:val="nil"/>
                <w:bottom w:val="nil"/>
                <w:right w:val="nil"/>
                <w:between w:val="nil"/>
                <w:bar w:val="nil"/>
              </w:pBdr>
              <w:shd w:val="clear" w:color="auto" w:fill="FFFFFF"/>
              <w:spacing w:line="240" w:lineRule="atLeast"/>
              <w:ind w:left="714" w:hanging="357"/>
              <w:textAlignment w:val="baseline"/>
              <w:rPr>
                <w:rFonts w:ascii="Garamond" w:hAnsi="Garamond"/>
                <w:szCs w:val="28"/>
                <w:lang w:val="en-US"/>
              </w:rPr>
            </w:pPr>
            <w:r w:rsidRPr="003E1ECE">
              <w:rPr>
                <w:rFonts w:ascii="Garamond" w:hAnsi="Garamond"/>
                <w:szCs w:val="28"/>
                <w:lang w:val="en-US"/>
              </w:rPr>
              <w:t>consumer decision making;</w:t>
            </w:r>
          </w:p>
          <w:p w14:paraId="098DD675" w14:textId="77777777" w:rsidR="00730075" w:rsidRPr="00730075" w:rsidRDefault="00730075" w:rsidP="006F749C">
            <w:pPr>
              <w:pStyle w:val="ListParagraph"/>
              <w:numPr>
                <w:ilvl w:val="0"/>
                <w:numId w:val="154"/>
              </w:numPr>
              <w:pBdr>
                <w:top w:val="nil"/>
                <w:left w:val="nil"/>
                <w:bottom w:val="nil"/>
                <w:right w:val="nil"/>
                <w:between w:val="nil"/>
                <w:bar w:val="nil"/>
              </w:pBdr>
              <w:shd w:val="clear" w:color="auto" w:fill="FFFFFF"/>
              <w:spacing w:line="240" w:lineRule="atLeast"/>
              <w:ind w:left="714" w:hanging="357"/>
              <w:textAlignment w:val="baseline"/>
              <w:rPr>
                <w:rFonts w:ascii="Garamond" w:hAnsi="Garamond"/>
                <w:szCs w:val="28"/>
                <w:lang w:val="en-US"/>
              </w:rPr>
            </w:pPr>
            <w:r w:rsidRPr="003E1ECE">
              <w:rPr>
                <w:rFonts w:ascii="Garamond" w:hAnsi="Garamond"/>
                <w:szCs w:val="28"/>
                <w:lang w:val="en-US"/>
              </w:rPr>
              <w:t>family decision making;</w:t>
            </w:r>
          </w:p>
          <w:p w14:paraId="2168FF3A" w14:textId="77777777" w:rsidR="00730075" w:rsidRPr="00730075" w:rsidRDefault="00730075" w:rsidP="006F749C">
            <w:pPr>
              <w:pStyle w:val="ListParagraph"/>
              <w:numPr>
                <w:ilvl w:val="0"/>
                <w:numId w:val="154"/>
              </w:numPr>
              <w:pBdr>
                <w:top w:val="nil"/>
                <w:left w:val="nil"/>
                <w:bottom w:val="nil"/>
                <w:right w:val="nil"/>
                <w:between w:val="nil"/>
                <w:bar w:val="nil"/>
              </w:pBdr>
              <w:shd w:val="clear" w:color="auto" w:fill="FFFFFF"/>
              <w:spacing w:line="240" w:lineRule="atLeast"/>
              <w:ind w:left="714" w:hanging="357"/>
              <w:textAlignment w:val="baseline"/>
              <w:rPr>
                <w:rFonts w:ascii="Garamond" w:eastAsia="Times New Roman" w:hAnsi="Garamond"/>
                <w:szCs w:val="28"/>
                <w:lang w:val="nl-NL"/>
              </w:rPr>
            </w:pPr>
            <w:r w:rsidRPr="003E1ECE">
              <w:rPr>
                <w:rFonts w:ascii="Garamond" w:hAnsi="Garamond"/>
                <w:szCs w:val="28"/>
                <w:lang w:val="en-US"/>
              </w:rPr>
              <w:t>household decision making.</w:t>
            </w:r>
          </w:p>
        </w:tc>
      </w:tr>
      <w:tr w:rsidR="00730075" w:rsidRPr="00730075" w14:paraId="337A6C9D" w14:textId="77777777" w:rsidTr="00730075">
        <w:tc>
          <w:tcPr>
            <w:tcW w:w="9564" w:type="dxa"/>
          </w:tcPr>
          <w:p w14:paraId="2255164C" w14:textId="77777777" w:rsidR="00730075" w:rsidRPr="00730075" w:rsidRDefault="00730075" w:rsidP="006F749C">
            <w:pPr>
              <w:pStyle w:val="ListParagraph"/>
              <w:numPr>
                <w:ilvl w:val="0"/>
                <w:numId w:val="152"/>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3E1ECE">
              <w:rPr>
                <w:rFonts w:ascii="Garamond" w:hAnsi="Garamond"/>
                <w:szCs w:val="28"/>
                <w:lang w:val="en-US" w:eastAsia="ru-RU"/>
              </w:rPr>
              <w:t xml:space="preserve">Michael and his two roommates share an apartment at </w:t>
            </w:r>
            <w:r w:rsidR="009729B1">
              <w:rPr>
                <w:rFonts w:ascii="Garamond" w:hAnsi="Garamond"/>
                <w:szCs w:val="28"/>
                <w:lang w:val="en-US" w:eastAsia="ru-RU"/>
              </w:rPr>
              <w:t xml:space="preserve">the </w:t>
            </w:r>
            <w:r w:rsidRPr="003E1ECE">
              <w:rPr>
                <w:rFonts w:ascii="Garamond" w:hAnsi="Garamond"/>
                <w:szCs w:val="28"/>
                <w:lang w:val="en-US" w:eastAsia="ru-RU"/>
              </w:rPr>
              <w:t>university c</w:t>
            </w:r>
            <w:r w:rsidR="009729B1">
              <w:rPr>
                <w:rFonts w:ascii="Garamond" w:hAnsi="Garamond"/>
                <w:szCs w:val="28"/>
                <w:lang w:val="en-US" w:eastAsia="ru-RU"/>
              </w:rPr>
              <w:t>ampus. Together they constitute</w:t>
            </w:r>
          </w:p>
          <w:p w14:paraId="354523B2" w14:textId="77777777" w:rsidR="00730075" w:rsidRPr="00730075" w:rsidRDefault="00730075" w:rsidP="006F749C">
            <w:pPr>
              <w:pStyle w:val="ListParagraph"/>
              <w:numPr>
                <w:ilvl w:val="0"/>
                <w:numId w:val="155"/>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30075">
              <w:rPr>
                <w:rFonts w:ascii="Garamond" w:hAnsi="Garamond"/>
                <w:szCs w:val="28"/>
                <w:lang w:val="en-US"/>
              </w:rPr>
              <w:t>family;</w:t>
            </w:r>
          </w:p>
          <w:p w14:paraId="38774572" w14:textId="77777777" w:rsidR="00730075" w:rsidRPr="00730075" w:rsidRDefault="00730075" w:rsidP="006F749C">
            <w:pPr>
              <w:pStyle w:val="ListParagraph"/>
              <w:numPr>
                <w:ilvl w:val="0"/>
                <w:numId w:val="155"/>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30075">
              <w:rPr>
                <w:rFonts w:ascii="Garamond" w:hAnsi="Garamond"/>
                <w:szCs w:val="28"/>
                <w:lang w:val="en-US"/>
              </w:rPr>
              <w:t>nontraditional family;</w:t>
            </w:r>
          </w:p>
          <w:p w14:paraId="52B001D3" w14:textId="77777777" w:rsidR="00730075" w:rsidRPr="00730075" w:rsidRDefault="00730075" w:rsidP="006F749C">
            <w:pPr>
              <w:pStyle w:val="ListParagraph"/>
              <w:numPr>
                <w:ilvl w:val="0"/>
                <w:numId w:val="155"/>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blended family;</w:t>
            </w:r>
          </w:p>
          <w:p w14:paraId="4542EC92" w14:textId="77777777" w:rsidR="00730075" w:rsidRPr="00730075" w:rsidRDefault="009F59F5" w:rsidP="009F59F5">
            <w:pPr>
              <w:pStyle w:val="ListParagraph"/>
              <w:numPr>
                <w:ilvl w:val="0"/>
                <w:numId w:val="155"/>
              </w:numPr>
              <w:pBdr>
                <w:top w:val="nil"/>
                <w:left w:val="nil"/>
                <w:bottom w:val="nil"/>
                <w:right w:val="nil"/>
                <w:between w:val="nil"/>
                <w:bar w:val="nil"/>
              </w:pBdr>
              <w:shd w:val="clear" w:color="auto" w:fill="FFFFFF"/>
              <w:spacing w:line="240" w:lineRule="atLeast"/>
              <w:textAlignment w:val="baseline"/>
              <w:rPr>
                <w:rFonts w:ascii="Garamond" w:eastAsia="Times New Roman" w:hAnsi="Garamond"/>
                <w:szCs w:val="28"/>
                <w:lang w:val="nl-NL"/>
              </w:rPr>
            </w:pPr>
            <w:r>
              <w:rPr>
                <w:rFonts w:ascii="Garamond" w:hAnsi="Garamond"/>
                <w:szCs w:val="28"/>
                <w:lang w:val="en-US"/>
              </w:rPr>
              <w:t>household.</w:t>
            </w:r>
          </w:p>
        </w:tc>
      </w:tr>
      <w:tr w:rsidR="00730075" w:rsidRPr="00730075" w14:paraId="64299F0E" w14:textId="77777777" w:rsidTr="00730075">
        <w:tc>
          <w:tcPr>
            <w:tcW w:w="9564" w:type="dxa"/>
          </w:tcPr>
          <w:p w14:paraId="7AA59920" w14:textId="77777777" w:rsidR="00730075" w:rsidRPr="00730075" w:rsidRDefault="009729B1" w:rsidP="006F749C">
            <w:pPr>
              <w:pStyle w:val="ListParagraph"/>
              <w:numPr>
                <w:ilvl w:val="0"/>
                <w:numId w:val="152"/>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3E1ECE">
              <w:rPr>
                <w:rFonts w:ascii="Garamond" w:hAnsi="Garamond"/>
                <w:szCs w:val="28"/>
                <w:lang w:val="en-US" w:eastAsia="ru-RU"/>
              </w:rPr>
              <w:t xml:space="preserve">Which of </w:t>
            </w:r>
            <w:r w:rsidR="00730075" w:rsidRPr="003E1ECE">
              <w:rPr>
                <w:rFonts w:ascii="Garamond" w:hAnsi="Garamond"/>
                <w:szCs w:val="28"/>
                <w:lang w:val="en-US" w:eastAsia="ru-RU"/>
              </w:rPr>
              <w:t>the following is the basic consumption unit for products that are purchased for consumption?</w:t>
            </w:r>
          </w:p>
          <w:p w14:paraId="3DF05583" w14:textId="77777777" w:rsidR="00730075" w:rsidRPr="00730075" w:rsidRDefault="00730075" w:rsidP="006F749C">
            <w:pPr>
              <w:pStyle w:val="ListParagraph"/>
              <w:numPr>
                <w:ilvl w:val="0"/>
                <w:numId w:val="156"/>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30075">
              <w:rPr>
                <w:rFonts w:ascii="Garamond" w:hAnsi="Garamond"/>
                <w:szCs w:val="28"/>
                <w:lang w:val="en-US"/>
              </w:rPr>
              <w:t>company;</w:t>
            </w:r>
          </w:p>
          <w:p w14:paraId="480D6A37" w14:textId="77777777" w:rsidR="00730075" w:rsidRPr="00730075" w:rsidRDefault="00730075" w:rsidP="006F749C">
            <w:pPr>
              <w:pStyle w:val="ListParagraph"/>
              <w:numPr>
                <w:ilvl w:val="0"/>
                <w:numId w:val="156"/>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30075">
              <w:rPr>
                <w:rFonts w:ascii="Garamond" w:hAnsi="Garamond"/>
                <w:szCs w:val="28"/>
                <w:lang w:val="en-US"/>
              </w:rPr>
              <w:t>individual;</w:t>
            </w:r>
          </w:p>
          <w:p w14:paraId="45B0A1D6" w14:textId="77777777" w:rsidR="00730075" w:rsidRPr="00730075" w:rsidRDefault="00730075" w:rsidP="006F749C">
            <w:pPr>
              <w:pStyle w:val="ListParagraph"/>
              <w:numPr>
                <w:ilvl w:val="0"/>
                <w:numId w:val="156"/>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household;</w:t>
            </w:r>
          </w:p>
          <w:p w14:paraId="243D7120" w14:textId="77777777" w:rsidR="00730075" w:rsidRPr="00730075" w:rsidRDefault="00730075" w:rsidP="006F749C">
            <w:pPr>
              <w:pStyle w:val="ListParagraph"/>
              <w:numPr>
                <w:ilvl w:val="0"/>
                <w:numId w:val="156"/>
              </w:numPr>
              <w:pBdr>
                <w:top w:val="nil"/>
                <w:left w:val="nil"/>
                <w:bottom w:val="nil"/>
                <w:right w:val="nil"/>
                <w:between w:val="nil"/>
                <w:bar w:val="nil"/>
              </w:pBdr>
              <w:shd w:val="clear" w:color="auto" w:fill="FFFFFF"/>
              <w:spacing w:line="240" w:lineRule="atLeast"/>
              <w:textAlignment w:val="baseline"/>
              <w:rPr>
                <w:szCs w:val="28"/>
                <w:lang w:val="en-US"/>
              </w:rPr>
            </w:pPr>
            <w:r w:rsidRPr="003E1ECE">
              <w:rPr>
                <w:rFonts w:ascii="Garamond" w:hAnsi="Garamond"/>
                <w:szCs w:val="28"/>
                <w:lang w:val="en-US"/>
              </w:rPr>
              <w:t>family.</w:t>
            </w:r>
          </w:p>
        </w:tc>
      </w:tr>
      <w:tr w:rsidR="00730075" w:rsidRPr="00730075" w14:paraId="5ABABDDC" w14:textId="77777777" w:rsidTr="00730075">
        <w:tc>
          <w:tcPr>
            <w:tcW w:w="9564" w:type="dxa"/>
          </w:tcPr>
          <w:p w14:paraId="2BC7D266" w14:textId="77777777" w:rsidR="00730075" w:rsidRPr="00730075" w:rsidRDefault="00730075" w:rsidP="006F749C">
            <w:pPr>
              <w:pStyle w:val="ListParagraph"/>
              <w:numPr>
                <w:ilvl w:val="0"/>
                <w:numId w:val="152"/>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3E1ECE">
              <w:rPr>
                <w:rFonts w:ascii="Garamond" w:hAnsi="Garamond"/>
                <w:szCs w:val="28"/>
                <w:lang w:val="en-US" w:eastAsia="ru-RU"/>
              </w:rPr>
              <w:t>Which of the following would be considered a household factor that influences purchase and consumption behavior?</w:t>
            </w:r>
          </w:p>
          <w:p w14:paraId="2BDF65A1" w14:textId="77777777" w:rsidR="00730075" w:rsidRPr="00730075" w:rsidRDefault="00730075" w:rsidP="006F749C">
            <w:pPr>
              <w:pStyle w:val="ListParagraph"/>
              <w:numPr>
                <w:ilvl w:val="0"/>
                <w:numId w:val="157"/>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household size;</w:t>
            </w:r>
          </w:p>
          <w:p w14:paraId="344A8B69" w14:textId="77777777" w:rsidR="00730075" w:rsidRPr="00730075" w:rsidRDefault="00730075" w:rsidP="006F749C">
            <w:pPr>
              <w:pStyle w:val="ListParagraph"/>
              <w:numPr>
                <w:ilvl w:val="0"/>
                <w:numId w:val="157"/>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household decision process;</w:t>
            </w:r>
          </w:p>
          <w:p w14:paraId="2AD2FE48" w14:textId="77777777" w:rsidR="00730075" w:rsidRPr="00730075" w:rsidRDefault="00730075" w:rsidP="006F749C">
            <w:pPr>
              <w:pStyle w:val="ListParagraph"/>
              <w:numPr>
                <w:ilvl w:val="0"/>
                <w:numId w:val="157"/>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stage of the household life cycle;</w:t>
            </w:r>
          </w:p>
          <w:p w14:paraId="7B71E067" w14:textId="77777777" w:rsidR="00730075" w:rsidRPr="00730075" w:rsidRDefault="009F59F5" w:rsidP="009F59F5">
            <w:pPr>
              <w:pStyle w:val="ListParagraph"/>
              <w:numPr>
                <w:ilvl w:val="0"/>
                <w:numId w:val="157"/>
              </w:numPr>
              <w:pBdr>
                <w:top w:val="nil"/>
                <w:left w:val="nil"/>
                <w:bottom w:val="nil"/>
                <w:right w:val="nil"/>
                <w:between w:val="nil"/>
                <w:bar w:val="nil"/>
              </w:pBdr>
              <w:shd w:val="clear" w:color="auto" w:fill="FFFFFF"/>
              <w:spacing w:line="240" w:lineRule="atLeast"/>
              <w:textAlignment w:val="baseline"/>
              <w:rPr>
                <w:rFonts w:ascii="Garamond" w:eastAsia="Times New Roman" w:hAnsi="Garamond"/>
                <w:szCs w:val="28"/>
                <w:lang w:val="nl-NL"/>
              </w:rPr>
            </w:pPr>
            <w:r>
              <w:rPr>
                <w:rFonts w:ascii="Garamond" w:hAnsi="Garamond"/>
                <w:szCs w:val="28"/>
                <w:lang w:val="en-US"/>
              </w:rPr>
              <w:t>only a and b.</w:t>
            </w:r>
          </w:p>
        </w:tc>
      </w:tr>
      <w:tr w:rsidR="00730075" w:rsidRPr="00730075" w14:paraId="3A522FAD" w14:textId="77777777" w:rsidTr="00730075">
        <w:tc>
          <w:tcPr>
            <w:tcW w:w="9564" w:type="dxa"/>
          </w:tcPr>
          <w:p w14:paraId="49129715" w14:textId="77777777" w:rsidR="00730075" w:rsidRPr="00730075" w:rsidRDefault="00730075" w:rsidP="006F749C">
            <w:pPr>
              <w:pStyle w:val="ListParagraph"/>
              <w:numPr>
                <w:ilvl w:val="0"/>
                <w:numId w:val="152"/>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3E1ECE">
              <w:rPr>
                <w:rFonts w:ascii="Garamond" w:hAnsi="Garamond"/>
                <w:szCs w:val="28"/>
                <w:lang w:val="en-US" w:eastAsia="ru-RU"/>
              </w:rPr>
              <w:t>Which of the following  would be considered as factors influencing households consumer buying behavior?</w:t>
            </w:r>
          </w:p>
          <w:p w14:paraId="693AEBA0" w14:textId="77777777" w:rsidR="00730075" w:rsidRPr="00730075" w:rsidRDefault="00730075" w:rsidP="006F749C">
            <w:pPr>
              <w:pStyle w:val="ListParagraph"/>
              <w:numPr>
                <w:ilvl w:val="0"/>
                <w:numId w:val="158"/>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culture, subculture or soci</w:t>
            </w:r>
            <w:r w:rsidR="009729B1">
              <w:rPr>
                <w:rFonts w:ascii="Garamond" w:hAnsi="Garamond"/>
                <w:szCs w:val="28"/>
                <w:lang w:val="en-US"/>
              </w:rPr>
              <w:t>a</w:t>
            </w:r>
            <w:r w:rsidRPr="003E1ECE">
              <w:rPr>
                <w:rFonts w:ascii="Garamond" w:hAnsi="Garamond"/>
                <w:szCs w:val="28"/>
                <w:lang w:val="en-US"/>
              </w:rPr>
              <w:t xml:space="preserve">l environment </w:t>
            </w:r>
            <w:r w:rsidR="009729B1">
              <w:rPr>
                <w:rFonts w:ascii="Garamond" w:hAnsi="Garamond"/>
                <w:szCs w:val="28"/>
                <w:lang w:val="en-US"/>
              </w:rPr>
              <w:t xml:space="preserve"> to</w:t>
            </w:r>
            <w:r w:rsidRPr="003E1ECE">
              <w:rPr>
                <w:rFonts w:ascii="Garamond" w:hAnsi="Garamond"/>
                <w:szCs w:val="28"/>
                <w:lang w:val="en-US"/>
              </w:rPr>
              <w:t xml:space="preserve"> which the household belongs;</w:t>
            </w:r>
          </w:p>
          <w:p w14:paraId="146E41A7" w14:textId="77777777" w:rsidR="00730075" w:rsidRPr="00730075" w:rsidRDefault="00730075" w:rsidP="006F749C">
            <w:pPr>
              <w:pStyle w:val="ListParagraph"/>
              <w:numPr>
                <w:ilvl w:val="0"/>
                <w:numId w:val="158"/>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role specialization of different family members;</w:t>
            </w:r>
          </w:p>
          <w:p w14:paraId="64D9660D" w14:textId="77777777" w:rsidR="00730075" w:rsidRPr="00730075" w:rsidRDefault="00730075" w:rsidP="006F749C">
            <w:pPr>
              <w:pStyle w:val="ListParagraph"/>
              <w:numPr>
                <w:ilvl w:val="0"/>
                <w:numId w:val="158"/>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common consumption trends among the family members;</w:t>
            </w:r>
          </w:p>
          <w:p w14:paraId="032CFE62" w14:textId="77777777" w:rsidR="00730075" w:rsidRPr="00730075" w:rsidRDefault="00730075" w:rsidP="006F749C">
            <w:pPr>
              <w:pStyle w:val="ListParagraph"/>
              <w:numPr>
                <w:ilvl w:val="0"/>
                <w:numId w:val="158"/>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personal characteristics of the family members;</w:t>
            </w:r>
          </w:p>
          <w:p w14:paraId="70279A2A" w14:textId="77777777" w:rsidR="00730075" w:rsidRPr="00730075" w:rsidRDefault="00730075" w:rsidP="006F749C">
            <w:pPr>
              <w:pStyle w:val="ListParagraph"/>
              <w:numPr>
                <w:ilvl w:val="0"/>
                <w:numId w:val="158"/>
              </w:numPr>
              <w:pBdr>
                <w:top w:val="nil"/>
                <w:left w:val="nil"/>
                <w:bottom w:val="nil"/>
                <w:right w:val="nil"/>
                <w:between w:val="nil"/>
                <w:bar w:val="nil"/>
              </w:pBdr>
              <w:shd w:val="clear" w:color="auto" w:fill="FFFFFF"/>
              <w:spacing w:line="240" w:lineRule="atLeast"/>
              <w:textAlignment w:val="baseline"/>
              <w:rPr>
                <w:rFonts w:ascii="Garamond" w:eastAsia="Times New Roman" w:hAnsi="Garamond"/>
                <w:szCs w:val="28"/>
                <w:lang w:val="nl-NL"/>
              </w:rPr>
            </w:pPr>
            <w:r w:rsidRPr="003E1ECE">
              <w:rPr>
                <w:rFonts w:ascii="Garamond" w:hAnsi="Garamond"/>
                <w:szCs w:val="28"/>
                <w:lang w:val="en-US"/>
              </w:rPr>
              <w:t>all of the above answers.</w:t>
            </w:r>
          </w:p>
        </w:tc>
      </w:tr>
      <w:tr w:rsidR="00730075" w:rsidRPr="00730075" w14:paraId="4B47A786" w14:textId="77777777" w:rsidTr="00730075">
        <w:tc>
          <w:tcPr>
            <w:tcW w:w="9564" w:type="dxa"/>
          </w:tcPr>
          <w:p w14:paraId="7DFBD856" w14:textId="77777777" w:rsidR="007E51D1" w:rsidRPr="007E51D1" w:rsidRDefault="007E51D1" w:rsidP="006F749C">
            <w:pPr>
              <w:pStyle w:val="ListParagraph"/>
              <w:numPr>
                <w:ilvl w:val="0"/>
                <w:numId w:val="152"/>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7E51D1">
              <w:rPr>
                <w:rFonts w:ascii="Garamond" w:hAnsi="Garamond"/>
                <w:szCs w:val="28"/>
                <w:lang w:val="en-US" w:eastAsia="ru-RU"/>
              </w:rPr>
              <w:lastRenderedPageBreak/>
              <w:t xml:space="preserve">John and Dawn have been married for over twenty years.  They have lived in their home in Northville, MI (a suburb of Detroit) with their three children for most of those years.  According to the Census Bureau, which type of household do they live in? </w:t>
            </w:r>
          </w:p>
          <w:p w14:paraId="41A748F0" w14:textId="77777777" w:rsidR="007E51D1" w:rsidRPr="007E51D1" w:rsidRDefault="007E51D1" w:rsidP="006F749C">
            <w:pPr>
              <w:pStyle w:val="ListParagraph"/>
              <w:numPr>
                <w:ilvl w:val="0"/>
                <w:numId w:val="159"/>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E51D1">
              <w:rPr>
                <w:rFonts w:ascii="Garamond" w:hAnsi="Garamond"/>
                <w:szCs w:val="28"/>
                <w:lang w:val="en-US"/>
              </w:rPr>
              <w:t>suburban household</w:t>
            </w:r>
            <w:r w:rsidR="003771E6">
              <w:rPr>
                <w:rFonts w:ascii="Garamond" w:hAnsi="Garamond"/>
                <w:szCs w:val="28"/>
                <w:lang w:val="en-US"/>
              </w:rPr>
              <w:t>;</w:t>
            </w:r>
            <w:r w:rsidRPr="007E51D1">
              <w:rPr>
                <w:rFonts w:ascii="Garamond" w:hAnsi="Garamond"/>
                <w:szCs w:val="28"/>
                <w:lang w:val="en-US"/>
              </w:rPr>
              <w:t xml:space="preserve"> </w:t>
            </w:r>
          </w:p>
          <w:p w14:paraId="49A5F607" w14:textId="77777777" w:rsidR="007E51D1" w:rsidRPr="007E51D1" w:rsidRDefault="007E51D1" w:rsidP="006F749C">
            <w:pPr>
              <w:pStyle w:val="ListParagraph"/>
              <w:numPr>
                <w:ilvl w:val="0"/>
                <w:numId w:val="159"/>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E51D1">
              <w:rPr>
                <w:rFonts w:ascii="Garamond" w:hAnsi="Garamond"/>
                <w:szCs w:val="28"/>
                <w:lang w:val="en-US"/>
              </w:rPr>
              <w:t>urban household</w:t>
            </w:r>
            <w:r w:rsidR="003771E6">
              <w:rPr>
                <w:rFonts w:ascii="Garamond" w:hAnsi="Garamond"/>
                <w:szCs w:val="28"/>
                <w:lang w:val="en-US"/>
              </w:rPr>
              <w:t>;</w:t>
            </w:r>
            <w:r w:rsidRPr="007E51D1">
              <w:rPr>
                <w:rFonts w:ascii="Garamond" w:hAnsi="Garamond"/>
                <w:szCs w:val="28"/>
                <w:lang w:val="en-US"/>
              </w:rPr>
              <w:t xml:space="preserve"> </w:t>
            </w:r>
          </w:p>
          <w:p w14:paraId="7EDC5862" w14:textId="77777777" w:rsidR="007E51D1" w:rsidRPr="007E51D1" w:rsidRDefault="007E51D1" w:rsidP="006F749C">
            <w:pPr>
              <w:pStyle w:val="ListParagraph"/>
              <w:numPr>
                <w:ilvl w:val="0"/>
                <w:numId w:val="159"/>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E51D1">
              <w:rPr>
                <w:rFonts w:ascii="Garamond" w:hAnsi="Garamond"/>
                <w:szCs w:val="28"/>
                <w:lang w:val="en-US"/>
              </w:rPr>
              <w:t>rural household</w:t>
            </w:r>
            <w:r w:rsidR="003771E6">
              <w:rPr>
                <w:rFonts w:ascii="Garamond" w:hAnsi="Garamond"/>
                <w:szCs w:val="28"/>
                <w:lang w:val="en-US"/>
              </w:rPr>
              <w:t>;</w:t>
            </w:r>
            <w:r w:rsidRPr="007E51D1">
              <w:rPr>
                <w:rFonts w:ascii="Garamond" w:hAnsi="Garamond"/>
                <w:szCs w:val="28"/>
                <w:lang w:val="en-US"/>
              </w:rPr>
              <w:t xml:space="preserve"> </w:t>
            </w:r>
          </w:p>
          <w:p w14:paraId="6637B2BE" w14:textId="77777777" w:rsidR="007E51D1" w:rsidRPr="007E51D1" w:rsidRDefault="007E51D1" w:rsidP="006F749C">
            <w:pPr>
              <w:pStyle w:val="ListParagraph"/>
              <w:numPr>
                <w:ilvl w:val="0"/>
                <w:numId w:val="159"/>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E51D1">
              <w:rPr>
                <w:rFonts w:ascii="Garamond" w:hAnsi="Garamond"/>
                <w:szCs w:val="28"/>
                <w:lang w:val="en-US"/>
              </w:rPr>
              <w:t>blended family household</w:t>
            </w:r>
            <w:r w:rsidR="003771E6">
              <w:rPr>
                <w:rFonts w:ascii="Garamond" w:hAnsi="Garamond"/>
                <w:szCs w:val="28"/>
                <w:lang w:val="en-US"/>
              </w:rPr>
              <w:t>;</w:t>
            </w:r>
            <w:r w:rsidRPr="007E51D1">
              <w:rPr>
                <w:rFonts w:ascii="Garamond" w:hAnsi="Garamond"/>
                <w:szCs w:val="28"/>
                <w:lang w:val="en-US"/>
              </w:rPr>
              <w:t xml:space="preserve"> </w:t>
            </w:r>
          </w:p>
          <w:p w14:paraId="01D108B5" w14:textId="77777777" w:rsidR="00730075" w:rsidRPr="003771E6" w:rsidRDefault="007E51D1" w:rsidP="006F749C">
            <w:pPr>
              <w:pStyle w:val="ListParagraph"/>
              <w:numPr>
                <w:ilvl w:val="0"/>
                <w:numId w:val="159"/>
              </w:numPr>
              <w:pBdr>
                <w:top w:val="nil"/>
                <w:left w:val="nil"/>
                <w:bottom w:val="nil"/>
                <w:right w:val="nil"/>
                <w:between w:val="nil"/>
                <w:bar w:val="nil"/>
              </w:pBdr>
              <w:shd w:val="clear" w:color="auto" w:fill="FFFFFF"/>
              <w:spacing w:line="240" w:lineRule="atLeast"/>
              <w:textAlignment w:val="baseline"/>
              <w:rPr>
                <w:rFonts w:ascii="Garamond" w:eastAsia="Times New Roman" w:hAnsi="Garamond"/>
                <w:szCs w:val="28"/>
                <w:lang w:val="nl-NL"/>
              </w:rPr>
            </w:pPr>
            <w:r w:rsidRPr="007E51D1">
              <w:rPr>
                <w:rFonts w:ascii="Garamond" w:hAnsi="Garamond"/>
                <w:szCs w:val="28"/>
                <w:lang w:val="en-US"/>
              </w:rPr>
              <w:t xml:space="preserve">family household </w:t>
            </w:r>
            <w:r w:rsidR="003771E6">
              <w:rPr>
                <w:rFonts w:ascii="Garamond" w:hAnsi="Garamond"/>
                <w:szCs w:val="28"/>
                <w:lang w:val="en-US"/>
              </w:rPr>
              <w:t>group.</w:t>
            </w:r>
          </w:p>
        </w:tc>
      </w:tr>
      <w:tr w:rsidR="00730075" w:rsidRPr="00730075" w14:paraId="6FA153BF" w14:textId="77777777" w:rsidTr="00730075">
        <w:tc>
          <w:tcPr>
            <w:tcW w:w="9564" w:type="dxa"/>
          </w:tcPr>
          <w:p w14:paraId="16F29A20" w14:textId="77777777" w:rsidR="00730075" w:rsidRPr="00730075" w:rsidRDefault="00730075" w:rsidP="006F749C">
            <w:pPr>
              <w:pStyle w:val="ListParagraph"/>
              <w:numPr>
                <w:ilvl w:val="0"/>
                <w:numId w:val="152"/>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3E1ECE">
              <w:rPr>
                <w:rFonts w:ascii="Garamond" w:hAnsi="Garamond"/>
                <w:szCs w:val="28"/>
                <w:lang w:val="en-US" w:eastAsia="ru-RU"/>
              </w:rPr>
              <w:t xml:space="preserve">The </w:t>
            </w:r>
            <w:r w:rsidR="009729B1">
              <w:rPr>
                <w:rFonts w:ascii="Garamond" w:hAnsi="Garamond"/>
                <w:szCs w:val="28"/>
                <w:lang w:val="en-US" w:eastAsia="ru-RU"/>
              </w:rPr>
              <w:t xml:space="preserve">following asset is the </w:t>
            </w:r>
            <w:r w:rsidRPr="003E1ECE">
              <w:rPr>
                <w:rFonts w:ascii="Garamond" w:hAnsi="Garamond"/>
                <w:szCs w:val="28"/>
                <w:lang w:val="en-US" w:eastAsia="ru-RU"/>
              </w:rPr>
              <w:t>highest proportion in the structure of family budget:</w:t>
            </w:r>
          </w:p>
          <w:p w14:paraId="740F6AF4" w14:textId="77777777" w:rsidR="00730075" w:rsidRPr="00730075" w:rsidRDefault="00730075" w:rsidP="006F749C">
            <w:pPr>
              <w:pStyle w:val="ListParagraph"/>
              <w:numPr>
                <w:ilvl w:val="0"/>
                <w:numId w:val="271"/>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30075">
              <w:rPr>
                <w:rFonts w:ascii="Garamond" w:hAnsi="Garamond"/>
                <w:szCs w:val="28"/>
                <w:lang w:val="en-US"/>
              </w:rPr>
              <w:t>salaries;</w:t>
            </w:r>
          </w:p>
          <w:p w14:paraId="0E870EBA" w14:textId="77777777" w:rsidR="00730075" w:rsidRPr="00730075" w:rsidRDefault="00730075" w:rsidP="006F749C">
            <w:pPr>
              <w:pStyle w:val="ListParagraph"/>
              <w:numPr>
                <w:ilvl w:val="0"/>
                <w:numId w:val="271"/>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income from part-time farm;</w:t>
            </w:r>
          </w:p>
          <w:p w14:paraId="6E4CA140" w14:textId="77777777" w:rsidR="00730075" w:rsidRPr="00730075" w:rsidRDefault="00730075" w:rsidP="006F749C">
            <w:pPr>
              <w:pStyle w:val="ListParagraph"/>
              <w:numPr>
                <w:ilvl w:val="0"/>
                <w:numId w:val="271"/>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state transfers;</w:t>
            </w:r>
          </w:p>
          <w:p w14:paraId="0CD3107C" w14:textId="77777777" w:rsidR="00730075" w:rsidRPr="00730075" w:rsidRDefault="00730075" w:rsidP="006F749C">
            <w:pPr>
              <w:pStyle w:val="ListParagraph"/>
              <w:numPr>
                <w:ilvl w:val="0"/>
                <w:numId w:val="271"/>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30075">
              <w:rPr>
                <w:rFonts w:ascii="Garamond" w:hAnsi="Garamond"/>
                <w:szCs w:val="28"/>
                <w:lang w:val="en-US"/>
              </w:rPr>
              <w:t>rental income;</w:t>
            </w:r>
          </w:p>
          <w:p w14:paraId="182C1EAB" w14:textId="77777777" w:rsidR="00730075" w:rsidRPr="00730075" w:rsidRDefault="00730075" w:rsidP="006F749C">
            <w:pPr>
              <w:pStyle w:val="ListParagraph"/>
              <w:numPr>
                <w:ilvl w:val="0"/>
                <w:numId w:val="271"/>
              </w:numPr>
              <w:pBdr>
                <w:top w:val="nil"/>
                <w:left w:val="nil"/>
                <w:bottom w:val="nil"/>
                <w:right w:val="nil"/>
                <w:between w:val="nil"/>
                <w:bar w:val="nil"/>
              </w:pBdr>
              <w:shd w:val="clear" w:color="auto" w:fill="FFFFFF"/>
              <w:spacing w:line="240" w:lineRule="atLeast"/>
              <w:textAlignment w:val="baseline"/>
              <w:rPr>
                <w:rFonts w:ascii="Garamond" w:eastAsia="Times New Roman" w:hAnsi="Garamond"/>
                <w:szCs w:val="28"/>
                <w:lang w:val="nl-NL"/>
              </w:rPr>
            </w:pPr>
            <w:r w:rsidRPr="003E1ECE">
              <w:rPr>
                <w:rFonts w:ascii="Garamond" w:hAnsi="Garamond"/>
                <w:szCs w:val="28"/>
                <w:lang w:val="en-US"/>
              </w:rPr>
              <w:t>investment income.</w:t>
            </w:r>
          </w:p>
        </w:tc>
      </w:tr>
      <w:tr w:rsidR="00730075" w:rsidRPr="00730075" w14:paraId="3BC5C576" w14:textId="77777777" w:rsidTr="00730075">
        <w:tc>
          <w:tcPr>
            <w:tcW w:w="9564" w:type="dxa"/>
          </w:tcPr>
          <w:p w14:paraId="1B16A71F" w14:textId="77777777" w:rsidR="00730075" w:rsidRPr="00730075" w:rsidRDefault="00730075" w:rsidP="006F749C">
            <w:pPr>
              <w:pStyle w:val="ListParagraph"/>
              <w:numPr>
                <w:ilvl w:val="0"/>
                <w:numId w:val="152"/>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3E1ECE">
              <w:rPr>
                <w:rFonts w:ascii="Garamond" w:hAnsi="Garamond"/>
                <w:szCs w:val="28"/>
                <w:lang w:val="en-US" w:eastAsia="ru-RU"/>
              </w:rPr>
              <w:t>Aggregate household</w:t>
            </w:r>
            <w:r w:rsidR="009729B1">
              <w:rPr>
                <w:rFonts w:ascii="Garamond" w:hAnsi="Garamond"/>
                <w:szCs w:val="28"/>
                <w:lang w:val="en-US" w:eastAsia="ru-RU"/>
              </w:rPr>
              <w:t xml:space="preserve"> income should not be less than</w:t>
            </w:r>
          </w:p>
          <w:p w14:paraId="4F1616EB" w14:textId="77777777" w:rsidR="00730075" w:rsidRPr="00730075" w:rsidRDefault="00730075" w:rsidP="006F749C">
            <w:pPr>
              <w:pStyle w:val="ListParagraph"/>
              <w:numPr>
                <w:ilvl w:val="0"/>
                <w:numId w:val="160"/>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30075">
              <w:rPr>
                <w:rFonts w:ascii="Garamond" w:hAnsi="Garamond"/>
                <w:szCs w:val="28"/>
                <w:lang w:val="en-US"/>
              </w:rPr>
              <w:t>minimum wage;</w:t>
            </w:r>
          </w:p>
          <w:p w14:paraId="1D7A1A3A" w14:textId="77777777" w:rsidR="00730075" w:rsidRPr="00730075" w:rsidRDefault="00730075" w:rsidP="006F749C">
            <w:pPr>
              <w:pStyle w:val="ListParagraph"/>
              <w:numPr>
                <w:ilvl w:val="0"/>
                <w:numId w:val="160"/>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30075">
              <w:rPr>
                <w:rFonts w:ascii="Garamond" w:hAnsi="Garamond"/>
                <w:szCs w:val="28"/>
                <w:lang w:val="en-US"/>
              </w:rPr>
              <w:t>minimum social pension;</w:t>
            </w:r>
          </w:p>
          <w:p w14:paraId="704CE947" w14:textId="77777777" w:rsidR="00730075" w:rsidRPr="00730075" w:rsidRDefault="00730075" w:rsidP="006F749C">
            <w:pPr>
              <w:pStyle w:val="ListParagraph"/>
              <w:numPr>
                <w:ilvl w:val="0"/>
                <w:numId w:val="160"/>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730075">
              <w:rPr>
                <w:rFonts w:ascii="Garamond" w:hAnsi="Garamond"/>
                <w:szCs w:val="28"/>
                <w:lang w:val="en-US"/>
              </w:rPr>
              <w:t>subsistence minimum;</w:t>
            </w:r>
          </w:p>
          <w:p w14:paraId="519E2A33" w14:textId="77777777" w:rsidR="00730075" w:rsidRPr="00730075" w:rsidRDefault="00730075" w:rsidP="006F749C">
            <w:pPr>
              <w:pStyle w:val="ListParagraph"/>
              <w:numPr>
                <w:ilvl w:val="0"/>
                <w:numId w:val="160"/>
              </w:numPr>
              <w:pBdr>
                <w:top w:val="nil"/>
                <w:left w:val="nil"/>
                <w:bottom w:val="nil"/>
                <w:right w:val="nil"/>
                <w:between w:val="nil"/>
                <w:bar w:val="nil"/>
              </w:pBdr>
              <w:shd w:val="clear" w:color="auto" w:fill="FFFFFF"/>
              <w:spacing w:line="240" w:lineRule="atLeast"/>
              <w:textAlignment w:val="baseline"/>
              <w:rPr>
                <w:rFonts w:ascii="Garamond" w:eastAsia="Times New Roman" w:hAnsi="Garamond"/>
                <w:szCs w:val="28"/>
                <w:lang w:val="nl-NL"/>
              </w:rPr>
            </w:pPr>
            <w:r w:rsidRPr="00730075">
              <w:rPr>
                <w:rFonts w:ascii="Garamond" w:hAnsi="Garamond"/>
                <w:szCs w:val="28"/>
                <w:lang w:val="en-US"/>
              </w:rPr>
              <w:t>all of the above answers.</w:t>
            </w:r>
          </w:p>
        </w:tc>
      </w:tr>
      <w:tr w:rsidR="00730075" w:rsidRPr="00730075" w14:paraId="74AFE5E3" w14:textId="77777777" w:rsidTr="00730075">
        <w:tc>
          <w:tcPr>
            <w:tcW w:w="9564" w:type="dxa"/>
          </w:tcPr>
          <w:p w14:paraId="2D351F07" w14:textId="77777777" w:rsidR="00730075" w:rsidRPr="00730075" w:rsidRDefault="009729B1" w:rsidP="006F749C">
            <w:pPr>
              <w:pStyle w:val="ListParagraph"/>
              <w:numPr>
                <w:ilvl w:val="0"/>
                <w:numId w:val="152"/>
              </w:numPr>
              <w:pBdr>
                <w:top w:val="nil"/>
                <w:left w:val="nil"/>
                <w:bottom w:val="nil"/>
                <w:right w:val="nil"/>
                <w:between w:val="nil"/>
                <w:bar w:val="nil"/>
              </w:pBdr>
              <w:spacing w:after="0" w:line="240" w:lineRule="atLeast"/>
              <w:ind w:left="357" w:hanging="357"/>
              <w:rPr>
                <w:rFonts w:ascii="Garamond" w:hAnsi="Garamond"/>
                <w:szCs w:val="28"/>
                <w:lang w:val="en-US" w:eastAsia="ru-RU"/>
              </w:rPr>
            </w:pPr>
            <w:r>
              <w:rPr>
                <w:rFonts w:ascii="Garamond" w:hAnsi="Garamond"/>
                <w:szCs w:val="28"/>
                <w:lang w:val="en-US" w:eastAsia="ru-RU"/>
              </w:rPr>
              <w:t xml:space="preserve">Which of the following is not </w:t>
            </w:r>
            <w:r w:rsidR="00730075" w:rsidRPr="003E1ECE">
              <w:rPr>
                <w:rFonts w:ascii="Garamond" w:hAnsi="Garamond"/>
                <w:szCs w:val="28"/>
                <w:lang w:val="en-US" w:eastAsia="ru-RU"/>
              </w:rPr>
              <w:t>cash household expenditures?</w:t>
            </w:r>
          </w:p>
          <w:p w14:paraId="69F41D3E" w14:textId="77777777" w:rsidR="00730075" w:rsidRPr="00730075" w:rsidRDefault="00730075" w:rsidP="006F749C">
            <w:pPr>
              <w:pStyle w:val="ListParagraph"/>
              <w:numPr>
                <w:ilvl w:val="0"/>
                <w:numId w:val="161"/>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the cost of food and non-food products purchased;</w:t>
            </w:r>
          </w:p>
          <w:p w14:paraId="5512BB39" w14:textId="77777777" w:rsidR="00730075" w:rsidRPr="00730075" w:rsidRDefault="00730075" w:rsidP="006F749C">
            <w:pPr>
              <w:pStyle w:val="ListParagraph"/>
              <w:numPr>
                <w:ilvl w:val="0"/>
                <w:numId w:val="161"/>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all household cash and in-kind expenses;</w:t>
            </w:r>
          </w:p>
          <w:p w14:paraId="4AA56288" w14:textId="77777777" w:rsidR="00730075" w:rsidRPr="00730075" w:rsidRDefault="00730075" w:rsidP="006F749C">
            <w:pPr>
              <w:pStyle w:val="ListParagraph"/>
              <w:numPr>
                <w:ilvl w:val="0"/>
                <w:numId w:val="161"/>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costs of services and costs related to ancillary services;</w:t>
            </w:r>
          </w:p>
          <w:p w14:paraId="45C1D9AA" w14:textId="77777777" w:rsidR="00730075" w:rsidRPr="00730075" w:rsidRDefault="00730075" w:rsidP="006F749C">
            <w:pPr>
              <w:pStyle w:val="ListParagraph"/>
              <w:numPr>
                <w:ilvl w:val="0"/>
                <w:numId w:val="161"/>
              </w:numPr>
              <w:pBdr>
                <w:top w:val="nil"/>
                <w:left w:val="nil"/>
                <w:bottom w:val="nil"/>
                <w:right w:val="nil"/>
                <w:between w:val="nil"/>
                <w:bar w:val="nil"/>
              </w:pBdr>
              <w:shd w:val="clear" w:color="auto" w:fill="FFFFFF"/>
              <w:spacing w:line="240" w:lineRule="atLeast"/>
              <w:textAlignment w:val="baseline"/>
              <w:rPr>
                <w:rFonts w:ascii="Garamond" w:hAnsi="Garamond"/>
                <w:szCs w:val="28"/>
                <w:lang w:val="en-US"/>
              </w:rPr>
            </w:pPr>
            <w:r w:rsidRPr="003E1ECE">
              <w:rPr>
                <w:rFonts w:ascii="Garamond" w:hAnsi="Garamond"/>
                <w:szCs w:val="28"/>
                <w:lang w:val="en-US"/>
              </w:rPr>
              <w:t>only a and c;</w:t>
            </w:r>
          </w:p>
          <w:p w14:paraId="38C83BEE" w14:textId="77777777" w:rsidR="00730075" w:rsidRPr="00730075" w:rsidRDefault="00730075" w:rsidP="006F749C">
            <w:pPr>
              <w:pStyle w:val="ListParagraph"/>
              <w:numPr>
                <w:ilvl w:val="0"/>
                <w:numId w:val="161"/>
              </w:numPr>
              <w:pBdr>
                <w:top w:val="nil"/>
                <w:left w:val="nil"/>
                <w:bottom w:val="nil"/>
                <w:right w:val="nil"/>
                <w:between w:val="nil"/>
                <w:bar w:val="nil"/>
              </w:pBdr>
              <w:shd w:val="clear" w:color="auto" w:fill="FFFFFF"/>
              <w:spacing w:line="240" w:lineRule="atLeast"/>
              <w:textAlignment w:val="baseline"/>
              <w:rPr>
                <w:rFonts w:ascii="Garamond" w:eastAsia="Times New Roman" w:hAnsi="Garamond"/>
                <w:szCs w:val="28"/>
                <w:lang w:val="nl-NL"/>
              </w:rPr>
            </w:pPr>
            <w:r w:rsidRPr="003E1ECE">
              <w:rPr>
                <w:rFonts w:ascii="Garamond" w:hAnsi="Garamond"/>
                <w:szCs w:val="28"/>
                <w:lang w:val="en-US"/>
              </w:rPr>
              <w:t>all of the above answers.</w:t>
            </w:r>
          </w:p>
        </w:tc>
      </w:tr>
    </w:tbl>
    <w:p w14:paraId="1B1319CC" w14:textId="77777777" w:rsidR="00730075" w:rsidRDefault="00730075" w:rsidP="00730075">
      <w:pPr>
        <w:pStyle w:val="end2"/>
      </w:pPr>
      <w:r w:rsidRPr="00730075">
        <w:t>SHORT ANSWER QUESTIONS</w:t>
      </w:r>
    </w:p>
    <w:p w14:paraId="46D162FA" w14:textId="77777777" w:rsidR="003C51B1" w:rsidRPr="00730075" w:rsidRDefault="003C51B1" w:rsidP="00730075">
      <w:pPr>
        <w:pStyle w:val="eng3"/>
      </w:pPr>
      <w:r w:rsidRPr="00730075">
        <w:t>Missing</w:t>
      </w:r>
      <w:r w:rsidR="003771E6">
        <w:t xml:space="preserve"> </w:t>
      </w:r>
      <w:r w:rsidRPr="00730075">
        <w:t>word questions</w:t>
      </w:r>
    </w:p>
    <w:p w14:paraId="69CEEFAD" w14:textId="77777777" w:rsidR="00730075" w:rsidRDefault="00730075" w:rsidP="00730075">
      <w:pPr>
        <w:spacing w:after="240" w:line="240" w:lineRule="atLeast"/>
        <w:ind w:firstLine="360"/>
        <w:jc w:val="both"/>
        <w:rPr>
          <w:sz w:val="28"/>
          <w:szCs w:val="28"/>
          <w:lang w:val="en-US"/>
        </w:rPr>
      </w:pPr>
      <w:r w:rsidRPr="00730075">
        <w:rPr>
          <w:sz w:val="28"/>
          <w:szCs w:val="28"/>
          <w:lang w:val="en-US"/>
        </w:rPr>
        <w:t>Choose the correct word to complete each sentence.</w:t>
      </w:r>
    </w:p>
    <w:p w14:paraId="42CDBE67" w14:textId="77777777" w:rsidR="003C51B1" w:rsidRPr="00730075" w:rsidRDefault="003C51B1" w:rsidP="006F749C">
      <w:pPr>
        <w:pStyle w:val="ListParagraph"/>
        <w:numPr>
          <w:ilvl w:val="0"/>
          <w:numId w:val="162"/>
        </w:numPr>
        <w:spacing w:after="0" w:line="240" w:lineRule="atLeast"/>
        <w:ind w:left="284"/>
        <w:jc w:val="both"/>
        <w:rPr>
          <w:rFonts w:ascii="Garamond" w:eastAsia="Times New Roman" w:hAnsi="Garamond"/>
          <w:szCs w:val="28"/>
          <w:lang w:val="en-US" w:eastAsia="ru-RU"/>
        </w:rPr>
      </w:pPr>
      <w:r w:rsidRPr="00730075">
        <w:rPr>
          <w:rFonts w:ascii="Garamond" w:hAnsi="Garamond"/>
          <w:szCs w:val="28"/>
          <w:lang w:val="en-US" w:eastAsia="ru-RU"/>
        </w:rPr>
        <w:t>Broadly speaking, income is composed of four main components: (i) __________</w:t>
      </w:r>
      <w:r w:rsidR="008A5AA7">
        <w:rPr>
          <w:rFonts w:ascii="Garamond" w:hAnsi="Garamond"/>
          <w:szCs w:val="28"/>
          <w:lang w:val="en-US" w:eastAsia="ru-RU"/>
        </w:rPr>
        <w:t>___</w:t>
      </w:r>
      <w:r w:rsidRPr="00730075">
        <w:rPr>
          <w:rFonts w:ascii="Garamond" w:hAnsi="Garamond"/>
          <w:szCs w:val="28"/>
          <w:lang w:val="en-US" w:eastAsia="ru-RU"/>
        </w:rPr>
        <w:t>____ from labor services; (ii) __________</w:t>
      </w:r>
      <w:r w:rsidR="008A5AA7">
        <w:rPr>
          <w:rFonts w:ascii="Garamond" w:hAnsi="Garamond"/>
          <w:szCs w:val="28"/>
          <w:lang w:val="en-US" w:eastAsia="ru-RU"/>
        </w:rPr>
        <w:t>___</w:t>
      </w:r>
      <w:r w:rsidRPr="00730075">
        <w:rPr>
          <w:rFonts w:ascii="Garamond" w:hAnsi="Garamond"/>
          <w:szCs w:val="28"/>
          <w:lang w:val="en-US" w:eastAsia="ru-RU"/>
        </w:rPr>
        <w:t>____ from the supply of land, capital, or other assets; (iii) _______________</w:t>
      </w:r>
      <w:r w:rsidR="008A5AA7">
        <w:rPr>
          <w:rFonts w:ascii="Garamond" w:hAnsi="Garamond"/>
          <w:szCs w:val="28"/>
          <w:lang w:val="en-US" w:eastAsia="ru-RU"/>
        </w:rPr>
        <w:t>__</w:t>
      </w:r>
      <w:r w:rsidRPr="00730075">
        <w:rPr>
          <w:rFonts w:ascii="Garamond" w:hAnsi="Garamond"/>
          <w:szCs w:val="28"/>
          <w:lang w:val="en-US" w:eastAsia="ru-RU"/>
        </w:rPr>
        <w:t>_</w:t>
      </w:r>
      <w:r w:rsidR="008A5AA7">
        <w:rPr>
          <w:rFonts w:ascii="Garamond" w:hAnsi="Garamond"/>
          <w:szCs w:val="28"/>
          <w:lang w:val="en-US" w:eastAsia="ru-RU"/>
        </w:rPr>
        <w:t xml:space="preserve"> income; and, (iv) ________</w:t>
      </w:r>
      <w:r w:rsidRPr="00730075">
        <w:rPr>
          <w:rFonts w:ascii="Garamond" w:hAnsi="Garamond"/>
          <w:szCs w:val="28"/>
          <w:lang w:val="en-US" w:eastAsia="ru-RU"/>
        </w:rPr>
        <w:t>___ from government or non-government agencies, or other households.</w:t>
      </w:r>
    </w:p>
    <w:p w14:paraId="6A0E473D" w14:textId="77777777" w:rsidR="003C51B1" w:rsidRPr="00730075" w:rsidRDefault="003C51B1" w:rsidP="00730075">
      <w:pPr>
        <w:spacing w:line="240" w:lineRule="atLeast"/>
        <w:ind w:left="284" w:hanging="426"/>
        <w:contextualSpacing/>
        <w:jc w:val="both"/>
        <w:rPr>
          <w:sz w:val="28"/>
          <w:szCs w:val="28"/>
          <w:lang w:val="en-US" w:eastAsia="ru-RU"/>
        </w:rPr>
      </w:pPr>
    </w:p>
    <w:p w14:paraId="40CFD67D" w14:textId="77777777" w:rsidR="003C51B1" w:rsidRPr="00730075" w:rsidRDefault="003C51B1" w:rsidP="006F749C">
      <w:pPr>
        <w:pStyle w:val="ListParagraph"/>
        <w:numPr>
          <w:ilvl w:val="0"/>
          <w:numId w:val="162"/>
        </w:numPr>
        <w:spacing w:after="0" w:line="240" w:lineRule="atLeast"/>
        <w:ind w:left="284"/>
        <w:jc w:val="both"/>
        <w:rPr>
          <w:rFonts w:ascii="Garamond" w:eastAsia="Times New Roman" w:hAnsi="Garamond"/>
          <w:szCs w:val="28"/>
          <w:lang w:val="en-US" w:eastAsia="ru-RU"/>
        </w:rPr>
      </w:pPr>
      <w:r w:rsidRPr="00730075">
        <w:rPr>
          <w:rFonts w:ascii="Garamond" w:hAnsi="Garamond"/>
          <w:szCs w:val="28"/>
          <w:lang w:val="en-US" w:eastAsia="ru-RU"/>
        </w:rPr>
        <w:t>A family could be defined as either a married or cohabiting couple on their own, or with their never-married children who have no children of their own, or lone parents with similar such children. Thus, members of a family are related by _______</w:t>
      </w:r>
      <w:r w:rsidR="008A5AA7">
        <w:rPr>
          <w:rFonts w:ascii="Garamond" w:hAnsi="Garamond"/>
          <w:szCs w:val="28"/>
          <w:lang w:val="en-US" w:eastAsia="ru-RU"/>
        </w:rPr>
        <w:t>___</w:t>
      </w:r>
      <w:r w:rsidRPr="00730075">
        <w:rPr>
          <w:rFonts w:ascii="Garamond" w:hAnsi="Garamond"/>
          <w:szCs w:val="28"/>
          <w:lang w:val="en-US" w:eastAsia="ru-RU"/>
        </w:rPr>
        <w:t>__, ______</w:t>
      </w:r>
      <w:r w:rsidR="008A5AA7">
        <w:rPr>
          <w:rFonts w:ascii="Garamond" w:hAnsi="Garamond"/>
          <w:szCs w:val="28"/>
          <w:lang w:val="en-US" w:eastAsia="ru-RU"/>
        </w:rPr>
        <w:t>___</w:t>
      </w:r>
      <w:r w:rsidRPr="00730075">
        <w:rPr>
          <w:rFonts w:ascii="Garamond" w:hAnsi="Garamond"/>
          <w:szCs w:val="28"/>
          <w:lang w:val="en-US" w:eastAsia="ru-RU"/>
        </w:rPr>
        <w:t>____ or ______</w:t>
      </w:r>
      <w:r w:rsidR="008A5AA7">
        <w:rPr>
          <w:rFonts w:ascii="Garamond" w:hAnsi="Garamond"/>
          <w:szCs w:val="28"/>
          <w:lang w:val="en-US" w:eastAsia="ru-RU"/>
        </w:rPr>
        <w:t>___</w:t>
      </w:r>
      <w:r w:rsidRPr="00730075">
        <w:rPr>
          <w:rFonts w:ascii="Garamond" w:hAnsi="Garamond"/>
          <w:szCs w:val="28"/>
          <w:lang w:val="en-US" w:eastAsia="ru-RU"/>
        </w:rPr>
        <w:t>_____.</w:t>
      </w:r>
    </w:p>
    <w:p w14:paraId="00643F66" w14:textId="77777777" w:rsidR="003C51B1" w:rsidRPr="00730075" w:rsidRDefault="003C51B1" w:rsidP="006F749C">
      <w:pPr>
        <w:pStyle w:val="ListParagraph"/>
        <w:numPr>
          <w:ilvl w:val="0"/>
          <w:numId w:val="162"/>
        </w:numPr>
        <w:spacing w:after="0" w:line="240" w:lineRule="atLeast"/>
        <w:ind w:left="284"/>
        <w:jc w:val="both"/>
        <w:rPr>
          <w:rFonts w:ascii="Garamond" w:eastAsia="Times New Roman" w:hAnsi="Garamond"/>
          <w:szCs w:val="28"/>
          <w:lang w:val="en-US" w:eastAsia="ru-RU"/>
        </w:rPr>
      </w:pPr>
      <w:r w:rsidRPr="00730075">
        <w:rPr>
          <w:rFonts w:ascii="Garamond" w:hAnsi="Garamond"/>
          <w:szCs w:val="28"/>
          <w:lang w:val="en-US" w:eastAsia="ru-RU"/>
        </w:rPr>
        <w:lastRenderedPageBreak/>
        <w:t xml:space="preserve">The ___________________ includes factors such as income, quality and availability of employment, class disparity, poverty rate, quality and affordability of housing, hours of work required to purchase necessities, gross domestic product, inflation rate, number of holiday days per year, affordable (or free) access to quality healthcare, quality and availability of education, life expectancy, incidence of disease, cost of goods and services, infrastructure, national economic growth, economic and political stability, political and religious freedom, environmental quality, climate and safety. </w:t>
      </w:r>
    </w:p>
    <w:p w14:paraId="20E0D232" w14:textId="77777777" w:rsidR="003C51B1" w:rsidRPr="00730075" w:rsidRDefault="003C51B1" w:rsidP="00730075">
      <w:pPr>
        <w:spacing w:line="240" w:lineRule="atLeast"/>
        <w:ind w:left="284" w:hanging="426"/>
        <w:contextualSpacing/>
        <w:jc w:val="both"/>
        <w:rPr>
          <w:sz w:val="28"/>
          <w:szCs w:val="28"/>
          <w:lang w:val="en-US" w:eastAsia="ru-RU"/>
        </w:rPr>
      </w:pPr>
    </w:p>
    <w:p w14:paraId="6BEC8D19" w14:textId="77777777" w:rsidR="003C51B1" w:rsidRPr="00730075" w:rsidRDefault="003C51B1" w:rsidP="006F749C">
      <w:pPr>
        <w:pStyle w:val="ListParagraph"/>
        <w:numPr>
          <w:ilvl w:val="0"/>
          <w:numId w:val="162"/>
        </w:numPr>
        <w:spacing w:after="0" w:line="240" w:lineRule="atLeast"/>
        <w:ind w:left="284"/>
        <w:jc w:val="both"/>
        <w:rPr>
          <w:rFonts w:ascii="Garamond" w:eastAsia="Times New Roman" w:hAnsi="Garamond"/>
          <w:szCs w:val="28"/>
          <w:lang w:val="en-US" w:eastAsia="ru-RU"/>
        </w:rPr>
      </w:pPr>
      <w:r w:rsidRPr="00730075">
        <w:rPr>
          <w:rFonts w:ascii="Garamond" w:hAnsi="Garamond"/>
          <w:szCs w:val="28"/>
          <w:lang w:val="en-US" w:eastAsia="ru-RU"/>
        </w:rPr>
        <w:t xml:space="preserve">___________________ defines the amount of the funds necessary for a household to provide for the temporary </w:t>
      </w:r>
      <w:r w:rsidR="008A5AA7">
        <w:rPr>
          <w:rFonts w:ascii="Garamond" w:hAnsi="Garamond"/>
          <w:szCs w:val="28"/>
          <w:lang w:val="en-US" w:eastAsia="ru-RU"/>
        </w:rPr>
        <w:t>essential</w:t>
      </w:r>
      <w:r w:rsidRPr="00730075">
        <w:rPr>
          <w:rFonts w:ascii="Garamond" w:hAnsi="Garamond"/>
          <w:szCs w:val="28"/>
          <w:lang w:val="en-US" w:eastAsia="ru-RU"/>
        </w:rPr>
        <w:t xml:space="preserve">s of </w:t>
      </w:r>
      <w:r w:rsidR="009729B1">
        <w:rPr>
          <w:rFonts w:ascii="Garamond" w:hAnsi="Garamond"/>
          <w:szCs w:val="28"/>
          <w:lang w:val="en-US" w:eastAsia="ru-RU"/>
        </w:rPr>
        <w:t>life of the household’s members</w:t>
      </w:r>
      <w:r w:rsidRPr="00730075">
        <w:rPr>
          <w:rFonts w:ascii="Garamond" w:hAnsi="Garamond"/>
          <w:szCs w:val="28"/>
          <w:lang w:val="en-US" w:eastAsia="ru-RU"/>
        </w:rPr>
        <w:t xml:space="preserve"> at a very modest level.</w:t>
      </w:r>
    </w:p>
    <w:p w14:paraId="6CEDE480" w14:textId="77777777" w:rsidR="003C51B1" w:rsidRPr="00730075" w:rsidRDefault="003C51B1" w:rsidP="00730075">
      <w:pPr>
        <w:spacing w:line="240" w:lineRule="atLeast"/>
        <w:ind w:left="284" w:hanging="426"/>
        <w:contextualSpacing/>
        <w:jc w:val="both"/>
        <w:rPr>
          <w:sz w:val="28"/>
          <w:szCs w:val="28"/>
          <w:lang w:val="en-US" w:eastAsia="ru-RU"/>
        </w:rPr>
      </w:pPr>
    </w:p>
    <w:p w14:paraId="7D63FC68" w14:textId="77777777" w:rsidR="003C51B1" w:rsidRPr="00730075" w:rsidRDefault="003C51B1" w:rsidP="006F749C">
      <w:pPr>
        <w:pStyle w:val="ListParagraph"/>
        <w:numPr>
          <w:ilvl w:val="0"/>
          <w:numId w:val="162"/>
        </w:numPr>
        <w:spacing w:after="0" w:line="240" w:lineRule="atLeast"/>
        <w:ind w:left="284"/>
        <w:jc w:val="both"/>
        <w:rPr>
          <w:rFonts w:ascii="Garamond" w:eastAsia="Times New Roman" w:hAnsi="Garamond"/>
          <w:szCs w:val="28"/>
          <w:lang w:val="en-US" w:eastAsia="ru-RU"/>
        </w:rPr>
      </w:pPr>
      <w:r w:rsidRPr="00730075">
        <w:rPr>
          <w:rFonts w:ascii="Garamond" w:hAnsi="Garamond"/>
          <w:szCs w:val="28"/>
          <w:lang w:val="en-US" w:eastAsia="ru-RU"/>
        </w:rPr>
        <w:t>The living wage differs from the _______________ in that the latter is set by law and can fail to meet the requirements to have a basic quality of life and leaves the family to rely on government programs for additional income.</w:t>
      </w:r>
    </w:p>
    <w:p w14:paraId="7FD70FFF" w14:textId="77777777" w:rsidR="00B17A60" w:rsidRDefault="00B17A60" w:rsidP="008A5AA7">
      <w:pPr>
        <w:spacing w:before="120" w:after="120" w:line="240" w:lineRule="atLeast"/>
        <w:jc w:val="both"/>
        <w:rPr>
          <w:b/>
          <w:caps/>
          <w:sz w:val="28"/>
          <w:lang w:val="en-US"/>
        </w:rPr>
      </w:pPr>
    </w:p>
    <w:p w14:paraId="788DB154" w14:textId="77777777" w:rsidR="003C51B1" w:rsidRPr="008A5AA7" w:rsidRDefault="003C51B1" w:rsidP="008A5AA7">
      <w:pPr>
        <w:spacing w:before="120" w:after="120" w:line="240" w:lineRule="atLeast"/>
        <w:jc w:val="both"/>
        <w:rPr>
          <w:b/>
          <w:caps/>
          <w:sz w:val="28"/>
          <w:lang w:val="en-US"/>
        </w:rPr>
      </w:pPr>
      <w:r w:rsidRPr="008A5AA7">
        <w:rPr>
          <w:b/>
          <w:caps/>
          <w:sz w:val="28"/>
          <w:lang w:val="en-US"/>
        </w:rPr>
        <w:t>True/False/Uncertain questions</w:t>
      </w:r>
    </w:p>
    <w:p w14:paraId="6ED8E1EB" w14:textId="77777777" w:rsidR="008A5AA7" w:rsidRPr="008A5AA7" w:rsidRDefault="008A5AA7" w:rsidP="008A5AA7">
      <w:pPr>
        <w:spacing w:line="240" w:lineRule="atLeast"/>
        <w:ind w:left="284" w:firstLine="360"/>
        <w:jc w:val="both"/>
        <w:rPr>
          <w:sz w:val="28"/>
          <w:szCs w:val="28"/>
          <w:lang w:val="en-US"/>
        </w:rPr>
      </w:pPr>
      <w:r w:rsidRPr="008A5AA7">
        <w:rPr>
          <w:sz w:val="28"/>
          <w:szCs w:val="28"/>
          <w:lang w:val="en-US"/>
        </w:rPr>
        <w:t xml:space="preserve">Decide whether the following statements are True, False, or Uncertain. Explain your reasoning. Your score will be based not just on whether you get the True, False, </w:t>
      </w:r>
      <w:r w:rsidR="009729B1">
        <w:rPr>
          <w:sz w:val="28"/>
          <w:szCs w:val="28"/>
          <w:lang w:val="en-US"/>
        </w:rPr>
        <w:t xml:space="preserve">or </w:t>
      </w:r>
      <w:r w:rsidRPr="008A5AA7">
        <w:rPr>
          <w:sz w:val="28"/>
          <w:szCs w:val="28"/>
          <w:lang w:val="en-US"/>
        </w:rPr>
        <w:t>Uncertain part right but also</w:t>
      </w:r>
      <w:r w:rsidR="009729B1">
        <w:rPr>
          <w:sz w:val="28"/>
          <w:szCs w:val="28"/>
          <w:lang w:val="en-US"/>
        </w:rPr>
        <w:t>, to a larger exyent,</w:t>
      </w:r>
      <w:r w:rsidRPr="008A5AA7">
        <w:rPr>
          <w:sz w:val="28"/>
          <w:szCs w:val="28"/>
          <w:lang w:val="en-US"/>
        </w:rPr>
        <w:t xml:space="preserve"> on the quality of your explanation.</w:t>
      </w:r>
    </w:p>
    <w:p w14:paraId="115FDEB3" w14:textId="77777777" w:rsidR="008A5AA7" w:rsidRDefault="008A5AA7" w:rsidP="003C51B1">
      <w:pPr>
        <w:pStyle w:val="a4"/>
        <w:rPr>
          <w:rFonts w:ascii="Garamond" w:hAnsi="Garamond"/>
          <w:sz w:val="28"/>
          <w:szCs w:val="28"/>
          <w:lang w:val="en-US"/>
        </w:rPr>
      </w:pPr>
    </w:p>
    <w:p w14:paraId="25EF22EA" w14:textId="77777777" w:rsidR="003C51B1" w:rsidRPr="008A5AA7" w:rsidRDefault="003C51B1" w:rsidP="006F749C">
      <w:pPr>
        <w:pStyle w:val="ListParagraph"/>
        <w:numPr>
          <w:ilvl w:val="0"/>
          <w:numId w:val="163"/>
        </w:numPr>
        <w:spacing w:after="0" w:line="240" w:lineRule="atLeast"/>
        <w:ind w:left="284"/>
        <w:jc w:val="both"/>
        <w:rPr>
          <w:rFonts w:ascii="Garamond" w:hAnsi="Garamond"/>
          <w:szCs w:val="28"/>
          <w:lang w:val="en-US" w:eastAsia="ru-RU"/>
        </w:rPr>
      </w:pPr>
      <w:r w:rsidRPr="003E1ECE">
        <w:rPr>
          <w:rFonts w:ascii="Garamond" w:hAnsi="Garamond"/>
          <w:szCs w:val="28"/>
          <w:lang w:val="en-US" w:eastAsia="ru-RU"/>
        </w:rPr>
        <w:t>Income have not considered home production, although this can be conceived as a form of income.</w:t>
      </w:r>
    </w:p>
    <w:p w14:paraId="621B3316" w14:textId="77777777" w:rsidR="003C51B1" w:rsidRPr="008A5AA7" w:rsidRDefault="003C51B1" w:rsidP="008A5AA7">
      <w:pPr>
        <w:pStyle w:val="ListParagraph"/>
        <w:spacing w:after="0" w:line="240" w:lineRule="atLeast"/>
        <w:ind w:left="284"/>
        <w:jc w:val="both"/>
        <w:rPr>
          <w:rFonts w:ascii="Garamond" w:hAnsi="Garamond"/>
          <w:szCs w:val="28"/>
          <w:lang w:val="en-US" w:eastAsia="ru-RU"/>
        </w:rPr>
      </w:pPr>
    </w:p>
    <w:p w14:paraId="4883C927" w14:textId="77777777" w:rsidR="003C51B1" w:rsidRPr="008A5AA7" w:rsidRDefault="003C51B1" w:rsidP="006F749C">
      <w:pPr>
        <w:pStyle w:val="ListParagraph"/>
        <w:numPr>
          <w:ilvl w:val="0"/>
          <w:numId w:val="163"/>
        </w:numPr>
        <w:spacing w:after="0" w:line="240" w:lineRule="atLeast"/>
        <w:ind w:left="284"/>
        <w:jc w:val="both"/>
        <w:rPr>
          <w:rFonts w:ascii="Garamond" w:hAnsi="Garamond"/>
          <w:szCs w:val="28"/>
          <w:lang w:val="en-US" w:eastAsia="ru-RU"/>
        </w:rPr>
      </w:pPr>
      <w:r w:rsidRPr="003E1ECE">
        <w:rPr>
          <w:rFonts w:ascii="Garamond" w:hAnsi="Garamond"/>
          <w:szCs w:val="28"/>
          <w:lang w:val="en-US" w:eastAsia="ru-RU"/>
        </w:rPr>
        <w:t>The standard of living is closely related to quality of life.</w:t>
      </w:r>
    </w:p>
    <w:p w14:paraId="02C8C82B" w14:textId="77777777" w:rsidR="003C51B1" w:rsidRPr="008A5AA7" w:rsidRDefault="003C51B1" w:rsidP="008A5AA7">
      <w:pPr>
        <w:pStyle w:val="ListParagraph"/>
        <w:spacing w:after="0" w:line="240" w:lineRule="atLeast"/>
        <w:ind w:left="284"/>
        <w:jc w:val="both"/>
        <w:rPr>
          <w:rFonts w:ascii="Garamond" w:hAnsi="Garamond"/>
          <w:szCs w:val="28"/>
          <w:lang w:val="en-US" w:eastAsia="ru-RU"/>
        </w:rPr>
      </w:pPr>
    </w:p>
    <w:p w14:paraId="6BB3DBC8" w14:textId="77777777" w:rsidR="003C51B1" w:rsidRPr="008A5AA7" w:rsidRDefault="003C51B1" w:rsidP="006F749C">
      <w:pPr>
        <w:pStyle w:val="ListParagraph"/>
        <w:numPr>
          <w:ilvl w:val="0"/>
          <w:numId w:val="163"/>
        </w:numPr>
        <w:spacing w:after="0" w:line="240" w:lineRule="atLeast"/>
        <w:ind w:left="284"/>
        <w:jc w:val="both"/>
        <w:rPr>
          <w:rFonts w:ascii="Garamond" w:hAnsi="Garamond"/>
          <w:szCs w:val="28"/>
          <w:lang w:val="en-US" w:eastAsia="ru-RU"/>
        </w:rPr>
      </w:pPr>
      <w:r w:rsidRPr="003E1ECE">
        <w:rPr>
          <w:rFonts w:ascii="Garamond" w:hAnsi="Garamond"/>
          <w:szCs w:val="28"/>
          <w:lang w:val="en-US" w:eastAsia="ru-RU"/>
        </w:rPr>
        <w:t>Income is a perfect predictor of the standard of living of households if it is measured by what people consume.</w:t>
      </w:r>
    </w:p>
    <w:p w14:paraId="6E037068" w14:textId="77777777" w:rsidR="003C51B1" w:rsidRPr="008A5AA7" w:rsidRDefault="003C51B1" w:rsidP="008A5AA7">
      <w:pPr>
        <w:pStyle w:val="ListParagraph"/>
        <w:spacing w:after="0" w:line="240" w:lineRule="atLeast"/>
        <w:ind w:left="284"/>
        <w:jc w:val="both"/>
        <w:rPr>
          <w:rFonts w:ascii="Garamond" w:hAnsi="Garamond"/>
          <w:szCs w:val="28"/>
          <w:lang w:val="en-US" w:eastAsia="ru-RU"/>
        </w:rPr>
      </w:pPr>
    </w:p>
    <w:p w14:paraId="14FC3401" w14:textId="77777777" w:rsidR="003C51B1" w:rsidRPr="008A5AA7" w:rsidRDefault="003C51B1" w:rsidP="006F749C">
      <w:pPr>
        <w:pStyle w:val="ListParagraph"/>
        <w:numPr>
          <w:ilvl w:val="0"/>
          <w:numId w:val="163"/>
        </w:numPr>
        <w:spacing w:after="0" w:line="240" w:lineRule="atLeast"/>
        <w:ind w:left="284"/>
        <w:jc w:val="both"/>
        <w:rPr>
          <w:rFonts w:ascii="Garamond" w:hAnsi="Garamond"/>
          <w:szCs w:val="28"/>
          <w:lang w:val="en-US" w:eastAsia="ru-RU"/>
        </w:rPr>
      </w:pPr>
      <w:r w:rsidRPr="003E1ECE">
        <w:rPr>
          <w:rFonts w:ascii="Garamond" w:hAnsi="Garamond"/>
          <w:szCs w:val="28"/>
          <w:lang w:val="en-US" w:eastAsia="ru-RU"/>
        </w:rPr>
        <w:t xml:space="preserve">The reason that consumption and income give different impressions is that households can borrow or save (including by buying consumer durables), so the amount of consumption in any period is not constrained to be equal to income in that period.  </w:t>
      </w:r>
    </w:p>
    <w:p w14:paraId="2A63C555" w14:textId="77777777" w:rsidR="003C51B1" w:rsidRPr="008A5AA7" w:rsidRDefault="003C51B1" w:rsidP="008A5AA7">
      <w:pPr>
        <w:pStyle w:val="ListParagraph"/>
        <w:spacing w:after="0" w:line="240" w:lineRule="atLeast"/>
        <w:ind w:left="284"/>
        <w:jc w:val="both"/>
        <w:rPr>
          <w:rFonts w:ascii="Garamond" w:hAnsi="Garamond"/>
          <w:szCs w:val="28"/>
          <w:lang w:val="en-US" w:eastAsia="ru-RU"/>
        </w:rPr>
      </w:pPr>
    </w:p>
    <w:p w14:paraId="509625D8" w14:textId="77777777" w:rsidR="003C51B1" w:rsidRPr="008A5AA7" w:rsidRDefault="003C51B1" w:rsidP="006F749C">
      <w:pPr>
        <w:pStyle w:val="ListParagraph"/>
        <w:numPr>
          <w:ilvl w:val="0"/>
          <w:numId w:val="163"/>
        </w:numPr>
        <w:spacing w:after="0" w:line="240" w:lineRule="atLeast"/>
        <w:ind w:left="284"/>
        <w:jc w:val="both"/>
        <w:rPr>
          <w:rFonts w:ascii="Garamond" w:eastAsia="Times New Roman" w:hAnsi="Garamond"/>
          <w:szCs w:val="28"/>
        </w:rPr>
      </w:pPr>
      <w:r w:rsidRPr="008A5AA7">
        <w:rPr>
          <w:rFonts w:ascii="Garamond" w:hAnsi="Garamond"/>
          <w:szCs w:val="28"/>
          <w:lang w:val="en-US" w:eastAsia="ru-RU"/>
        </w:rPr>
        <w:t>The subsistence minimum is used to assess whether an individual or a family needs social protection.</w:t>
      </w:r>
      <w:r w:rsidRPr="008A5AA7">
        <w:rPr>
          <w:rFonts w:ascii="Garamond" w:hAnsi="Garamond"/>
          <w:szCs w:val="28"/>
          <w:lang w:val="en-US" w:eastAsia="ru-RU"/>
        </w:rPr>
        <w:tab/>
      </w:r>
      <w:r w:rsidRPr="008A5AA7">
        <w:rPr>
          <w:rFonts w:ascii="Garamond" w:hAnsi="Garamond"/>
          <w:szCs w:val="28"/>
          <w:lang w:val="en-US"/>
        </w:rPr>
        <w:tab/>
        <w:t xml:space="preserve"> </w:t>
      </w:r>
      <w:r w:rsidRPr="008A5AA7">
        <w:rPr>
          <w:rFonts w:ascii="Garamond" w:hAnsi="Garamond"/>
          <w:szCs w:val="28"/>
          <w:lang w:val="en-US"/>
        </w:rPr>
        <w:tab/>
        <w:t xml:space="preserve"> </w:t>
      </w:r>
      <w:r w:rsidRPr="008A5AA7">
        <w:rPr>
          <w:rFonts w:ascii="Garamond" w:hAnsi="Garamond"/>
          <w:szCs w:val="28"/>
          <w:lang w:val="en-US"/>
        </w:rPr>
        <w:tab/>
        <w:t xml:space="preserve"> </w:t>
      </w:r>
      <w:r w:rsidRPr="008A5AA7">
        <w:rPr>
          <w:rFonts w:ascii="Garamond" w:hAnsi="Garamond"/>
          <w:szCs w:val="28"/>
          <w:lang w:val="en-US"/>
        </w:rPr>
        <w:tab/>
      </w:r>
      <w:r w:rsidRPr="008A5AA7">
        <w:rPr>
          <w:rFonts w:ascii="Garamond" w:hAnsi="Garamond"/>
          <w:szCs w:val="28"/>
          <w:lang w:val="en-US"/>
        </w:rPr>
        <w:tab/>
      </w:r>
    </w:p>
    <w:p w14:paraId="2B36B2C0" w14:textId="77777777" w:rsidR="003C51B1" w:rsidRPr="008A5AA7" w:rsidRDefault="003C51B1" w:rsidP="008A5AA7">
      <w:pPr>
        <w:keepNext/>
        <w:keepLines/>
        <w:pBdr>
          <w:top w:val="single" w:sz="6" w:space="6" w:color="808080"/>
          <w:bottom w:val="single" w:sz="6" w:space="6" w:color="808080"/>
        </w:pBdr>
        <w:spacing w:before="240" w:after="240"/>
        <w:jc w:val="center"/>
        <w:outlineLvl w:val="0"/>
        <w:rPr>
          <w:b/>
          <w:caps/>
          <w:spacing w:val="20"/>
          <w:kern w:val="16"/>
          <w:sz w:val="28"/>
          <w:szCs w:val="18"/>
          <w:lang w:val="en-US"/>
        </w:rPr>
      </w:pPr>
      <w:r w:rsidRPr="008A5AA7">
        <w:rPr>
          <w:b/>
          <w:caps/>
          <w:spacing w:val="20"/>
          <w:kern w:val="16"/>
          <w:sz w:val="28"/>
          <w:szCs w:val="18"/>
          <w:lang w:val="en-US"/>
        </w:rPr>
        <w:lastRenderedPageBreak/>
        <w:t>Computation problems</w:t>
      </w:r>
    </w:p>
    <w:p w14:paraId="6C743D13" w14:textId="77777777" w:rsidR="003C51B1" w:rsidRDefault="003C51B1" w:rsidP="006F749C">
      <w:pPr>
        <w:pStyle w:val="ListParagraph"/>
        <w:numPr>
          <w:ilvl w:val="0"/>
          <w:numId w:val="164"/>
        </w:numPr>
        <w:spacing w:after="0" w:line="240" w:lineRule="atLeast"/>
        <w:ind w:left="426"/>
        <w:jc w:val="both"/>
        <w:rPr>
          <w:rFonts w:ascii="Garamond" w:hAnsi="Garamond"/>
          <w:szCs w:val="28"/>
          <w:lang w:val="en-US" w:eastAsia="ru-RU"/>
        </w:rPr>
      </w:pPr>
      <w:r w:rsidRPr="003E1ECE">
        <w:rPr>
          <w:rFonts w:ascii="Garamond" w:hAnsi="Garamond"/>
          <w:szCs w:val="28"/>
          <w:lang w:val="en-US" w:eastAsia="ru-RU"/>
        </w:rPr>
        <w:t xml:space="preserve">Average annual expenses per household in the United States during 2012-2014 shown in the </w:t>
      </w:r>
      <w:r w:rsidR="00B17A60">
        <w:rPr>
          <w:rFonts w:ascii="Garamond" w:hAnsi="Garamond"/>
          <w:szCs w:val="28"/>
          <w:lang w:val="en-US" w:eastAsia="ru-RU"/>
        </w:rPr>
        <w:t>box below</w:t>
      </w:r>
      <w:r w:rsidRPr="003E1ECE">
        <w:rPr>
          <w:rFonts w:ascii="Garamond" w:hAnsi="Garamond"/>
          <w:szCs w:val="28"/>
          <w:lang w:val="en-US" w:eastAsia="ru-RU"/>
        </w:rPr>
        <w:t xml:space="preserve">. Calculate and </w:t>
      </w:r>
      <w:r w:rsidR="008A5AA7" w:rsidRPr="003E1ECE">
        <w:rPr>
          <w:rFonts w:ascii="Garamond" w:hAnsi="Garamond"/>
          <w:szCs w:val="28"/>
          <w:lang w:val="en-US" w:eastAsia="ru-RU"/>
        </w:rPr>
        <w:t>analyze</w:t>
      </w:r>
      <w:r w:rsidRPr="003E1ECE">
        <w:rPr>
          <w:rFonts w:ascii="Garamond" w:hAnsi="Garamond"/>
          <w:szCs w:val="28"/>
          <w:lang w:val="en-US" w:eastAsia="ru-RU"/>
        </w:rPr>
        <w:t xml:space="preserve"> percent changes 2013-2012 and 2014-2013.</w:t>
      </w:r>
    </w:p>
    <w:p w14:paraId="4257ED20" w14:textId="77777777" w:rsidR="008A5AA7" w:rsidRPr="003E1ECE" w:rsidRDefault="008A5AA7" w:rsidP="00666D6C">
      <w:pPr>
        <w:pStyle w:val="a4"/>
        <w:spacing w:line="240" w:lineRule="atLeast"/>
        <w:rPr>
          <w:rFonts w:ascii="Garamond" w:eastAsia="Times New Roman" w:hAnsi="Garamond" w:cs="Times New Roman"/>
          <w:sz w:val="28"/>
          <w:szCs w:val="28"/>
        </w:rPr>
      </w:pPr>
    </w:p>
    <w:p w14:paraId="4230BBC4" w14:textId="77777777" w:rsidR="003C51B1" w:rsidRPr="003771E6" w:rsidRDefault="003C51B1" w:rsidP="00CB5C12">
      <w:pPr>
        <w:pStyle w:val="a4"/>
        <w:jc w:val="both"/>
        <w:rPr>
          <w:rFonts w:ascii="Garamond" w:hAnsi="Garamond"/>
          <w:b/>
          <w:sz w:val="28"/>
          <w:szCs w:val="28"/>
          <w:lang w:val="en-US"/>
        </w:rPr>
      </w:pPr>
      <w:r w:rsidRPr="008A5AA7">
        <w:rPr>
          <w:rFonts w:ascii="Garamond" w:hAnsi="Garamond"/>
          <w:b/>
          <w:sz w:val="28"/>
          <w:szCs w:val="28"/>
          <w:lang w:val="en-US"/>
        </w:rPr>
        <w:t>Table 6.</w:t>
      </w:r>
      <w:r w:rsidR="008A5AA7">
        <w:rPr>
          <w:rFonts w:ascii="Garamond" w:hAnsi="Garamond"/>
          <w:b/>
          <w:sz w:val="28"/>
          <w:szCs w:val="28"/>
          <w:lang w:val="en-US"/>
        </w:rPr>
        <w:t>5</w:t>
      </w:r>
      <w:r w:rsidR="003771E6" w:rsidRPr="003771E6">
        <w:rPr>
          <w:rFonts w:ascii="Garamond" w:hAnsi="Garamond"/>
          <w:b/>
          <w:sz w:val="28"/>
          <w:szCs w:val="28"/>
          <w:lang w:val="en-US"/>
        </w:rPr>
        <w:t xml:space="preserve"> – </w:t>
      </w:r>
      <w:r w:rsidRPr="003771E6">
        <w:rPr>
          <w:rFonts w:ascii="Garamond" w:hAnsi="Garamond"/>
          <w:b/>
          <w:sz w:val="28"/>
          <w:szCs w:val="28"/>
          <w:lang w:val="en-US"/>
        </w:rPr>
        <w:t>Average annual expenditures</w:t>
      </w:r>
      <w:r w:rsidR="008A5AA7" w:rsidRPr="003771E6">
        <w:rPr>
          <w:rFonts w:ascii="Garamond" w:hAnsi="Garamond"/>
          <w:b/>
          <w:sz w:val="28"/>
          <w:szCs w:val="28"/>
          <w:lang w:val="en-US"/>
        </w:rPr>
        <w:t xml:space="preserve"> </w:t>
      </w:r>
      <w:r w:rsidRPr="003771E6">
        <w:rPr>
          <w:rFonts w:ascii="Garamond" w:hAnsi="Garamond"/>
          <w:b/>
          <w:sz w:val="28"/>
          <w:szCs w:val="28"/>
          <w:lang w:val="en-US"/>
        </w:rPr>
        <w:t>and characteristics</w:t>
      </w:r>
      <w:r w:rsidR="008A5AA7" w:rsidRPr="003771E6">
        <w:rPr>
          <w:rFonts w:ascii="Garamond" w:hAnsi="Garamond"/>
          <w:b/>
          <w:sz w:val="28"/>
          <w:szCs w:val="28"/>
          <w:lang w:val="en-US"/>
        </w:rPr>
        <w:t xml:space="preserve"> in US </w:t>
      </w:r>
      <w:r w:rsidRPr="003771E6">
        <w:rPr>
          <w:rFonts w:ascii="Garamond" w:hAnsi="Garamond"/>
          <w:b/>
          <w:sz w:val="28"/>
          <w:szCs w:val="28"/>
          <w:lang w:val="en-US"/>
        </w:rPr>
        <w:t>per household</w:t>
      </w:r>
      <w:r w:rsidR="00CB5C12">
        <w:rPr>
          <w:rFonts w:ascii="Garamond" w:hAnsi="Garamond"/>
          <w:b/>
          <w:sz w:val="28"/>
          <w:szCs w:val="28"/>
          <w:lang w:val="en-US"/>
        </w:rPr>
        <w:t xml:space="preserve"> in</w:t>
      </w:r>
      <w:r w:rsidRPr="003771E6">
        <w:rPr>
          <w:rFonts w:ascii="Garamond" w:hAnsi="Garamond"/>
          <w:b/>
          <w:sz w:val="28"/>
          <w:szCs w:val="28"/>
          <w:lang w:val="en-US"/>
        </w:rPr>
        <w:t xml:space="preserve"> 2012</w:t>
      </w:r>
      <w:r w:rsidR="003771E6" w:rsidRPr="003771E6">
        <w:rPr>
          <w:rFonts w:ascii="Garamond" w:hAnsi="Garamond"/>
          <w:b/>
          <w:sz w:val="28"/>
          <w:szCs w:val="28"/>
          <w:lang w:val="en-US"/>
        </w:rPr>
        <w:t>–</w:t>
      </w:r>
      <w:r w:rsidR="007C3B9A" w:rsidRPr="003771E6">
        <w:rPr>
          <w:rFonts w:ascii="Garamond" w:hAnsi="Garamond"/>
          <w:b/>
          <w:sz w:val="28"/>
          <w:szCs w:val="28"/>
          <w:lang w:val="en-US"/>
        </w:rPr>
        <w:t>20</w:t>
      </w:r>
      <w:r w:rsidRPr="003771E6">
        <w:rPr>
          <w:rFonts w:ascii="Garamond" w:hAnsi="Garamond"/>
          <w:b/>
          <w:sz w:val="28"/>
          <w:szCs w:val="28"/>
          <w:lang w:val="en-US"/>
        </w:rPr>
        <w:t>14</w:t>
      </w:r>
      <w:r w:rsidR="00CB5C12">
        <w:rPr>
          <w:rFonts w:ascii="Garamond" w:hAnsi="Garamond"/>
          <w:b/>
          <w:sz w:val="28"/>
          <w:szCs w:val="28"/>
          <w:lang w:val="en-US"/>
        </w:rPr>
        <w:t>, USD</w:t>
      </w:r>
    </w:p>
    <w:tbl>
      <w:tblPr>
        <w:tblStyle w:val="TableNormal1"/>
        <w:tblW w:w="5000"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5760"/>
        <w:gridCol w:w="1233"/>
        <w:gridCol w:w="1233"/>
        <w:gridCol w:w="1231"/>
      </w:tblGrid>
      <w:tr w:rsidR="003C51B1" w:rsidRPr="003E1ECE" w14:paraId="6DDC448A" w14:textId="77777777" w:rsidTr="008A5AA7">
        <w:trPr>
          <w:trHeight w:val="307"/>
          <w:jc w:val="center"/>
        </w:trPr>
        <w:tc>
          <w:tcPr>
            <w:tcW w:w="3045" w:type="pct"/>
            <w:tcBorders>
              <w:top w:val="single" w:sz="8" w:space="0" w:color="000000"/>
              <w:left w:val="single" w:sz="8" w:space="0" w:color="000000"/>
              <w:bottom w:val="single" w:sz="6"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62A0318E"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Item</w:t>
            </w:r>
          </w:p>
        </w:tc>
        <w:tc>
          <w:tcPr>
            <w:tcW w:w="652" w:type="pct"/>
            <w:tcBorders>
              <w:top w:val="single" w:sz="8" w:space="0" w:color="000000"/>
              <w:left w:val="single" w:sz="8" w:space="0" w:color="000000"/>
              <w:bottom w:val="single" w:sz="6"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369A0F3F"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2012</w:t>
            </w:r>
          </w:p>
        </w:tc>
        <w:tc>
          <w:tcPr>
            <w:tcW w:w="652" w:type="pct"/>
            <w:tcBorders>
              <w:top w:val="single" w:sz="8" w:space="0" w:color="000000"/>
              <w:left w:val="single" w:sz="8" w:space="0" w:color="000000"/>
              <w:bottom w:val="single" w:sz="6"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4F47A4A0"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2013</w:t>
            </w:r>
          </w:p>
        </w:tc>
        <w:tc>
          <w:tcPr>
            <w:tcW w:w="652" w:type="pct"/>
            <w:tcBorders>
              <w:top w:val="single" w:sz="8" w:space="0" w:color="000000"/>
              <w:left w:val="single" w:sz="8" w:space="0" w:color="000000"/>
              <w:bottom w:val="single" w:sz="6"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0A836592"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2014</w:t>
            </w:r>
          </w:p>
        </w:tc>
      </w:tr>
      <w:tr w:rsidR="003C51B1" w:rsidRPr="003E1ECE" w14:paraId="6F282AA0"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363E4C4F" w14:textId="77777777" w:rsidR="003C51B1" w:rsidRPr="003E1ECE" w:rsidRDefault="003C51B1" w:rsidP="00666D6C">
            <w:pPr>
              <w:pStyle w:val="a4"/>
              <w:widowControl w:val="0"/>
              <w:spacing w:line="240" w:lineRule="atLeast"/>
              <w:rPr>
                <w:rFonts w:ascii="Garamond" w:hAnsi="Garamond"/>
                <w:sz w:val="28"/>
                <w:szCs w:val="28"/>
              </w:rPr>
            </w:pPr>
            <w:r w:rsidRPr="003E1ECE">
              <w:rPr>
                <w:rFonts w:ascii="Garamond" w:hAnsi="Garamond"/>
                <w:sz w:val="28"/>
                <w:szCs w:val="28"/>
                <w:lang w:val="en-US"/>
              </w:rPr>
              <w:t>Housing</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0F023504"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16,887</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62B88469"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17,148</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5BBCA58E"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17,789</w:t>
            </w:r>
          </w:p>
        </w:tc>
      </w:tr>
      <w:tr w:rsidR="003C51B1" w:rsidRPr="003E1ECE" w14:paraId="30AC34CA"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72F8277F" w14:textId="77777777" w:rsidR="003C51B1" w:rsidRPr="003E1ECE" w:rsidRDefault="003C51B1" w:rsidP="00666D6C">
            <w:pPr>
              <w:pStyle w:val="a4"/>
              <w:widowControl w:val="0"/>
              <w:spacing w:line="240" w:lineRule="atLeast"/>
              <w:rPr>
                <w:rFonts w:ascii="Garamond" w:hAnsi="Garamond"/>
                <w:sz w:val="28"/>
                <w:szCs w:val="28"/>
              </w:rPr>
            </w:pPr>
            <w:r w:rsidRPr="003E1ECE">
              <w:rPr>
                <w:rFonts w:ascii="Garamond" w:hAnsi="Garamond"/>
                <w:sz w:val="28"/>
                <w:szCs w:val="28"/>
                <w:lang w:val="it-IT"/>
              </w:rPr>
              <w:t>Transportation</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35101837"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8,998</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457DD12B"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9,004</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06CE3AA3"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9,073</w:t>
            </w:r>
          </w:p>
        </w:tc>
      </w:tr>
      <w:tr w:rsidR="003C51B1" w:rsidRPr="003E1ECE" w14:paraId="327E3040"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5971FE5A" w14:textId="77777777" w:rsidR="003C51B1" w:rsidRPr="003E1ECE" w:rsidRDefault="003C51B1" w:rsidP="007C3B9A">
            <w:pPr>
              <w:pStyle w:val="a4"/>
              <w:widowControl w:val="0"/>
              <w:spacing w:line="240" w:lineRule="atLeast"/>
              <w:rPr>
                <w:rFonts w:ascii="Garamond" w:hAnsi="Garamond"/>
                <w:sz w:val="28"/>
                <w:szCs w:val="28"/>
              </w:rPr>
            </w:pPr>
            <w:r w:rsidRPr="003E1ECE">
              <w:rPr>
                <w:rFonts w:ascii="Garamond" w:hAnsi="Garamond"/>
                <w:sz w:val="28"/>
                <w:szCs w:val="28"/>
                <w:lang w:val="en-US"/>
              </w:rPr>
              <w:t xml:space="preserve">Personal </w:t>
            </w:r>
            <w:r w:rsidR="007C3B9A">
              <w:rPr>
                <w:rFonts w:ascii="Garamond" w:hAnsi="Garamond"/>
                <w:sz w:val="28"/>
                <w:szCs w:val="28"/>
                <w:lang w:val="en-US"/>
              </w:rPr>
              <w:t>i</w:t>
            </w:r>
            <w:r w:rsidRPr="003E1ECE">
              <w:rPr>
                <w:rFonts w:ascii="Garamond" w:hAnsi="Garamond"/>
                <w:sz w:val="28"/>
                <w:szCs w:val="28"/>
                <w:lang w:val="en-US"/>
              </w:rPr>
              <w:t>nsurance and pensions</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05379BCA"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5,591</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416046BC"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5,528</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25867689"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5,726</w:t>
            </w:r>
          </w:p>
        </w:tc>
      </w:tr>
      <w:tr w:rsidR="003C51B1" w:rsidRPr="003E1ECE" w14:paraId="3117D49B"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2E0DCFDB" w14:textId="77777777" w:rsidR="003C51B1" w:rsidRPr="003E1ECE" w:rsidRDefault="003C51B1" w:rsidP="007C3B9A">
            <w:pPr>
              <w:pStyle w:val="a4"/>
              <w:widowControl w:val="0"/>
              <w:spacing w:line="240" w:lineRule="atLeast"/>
              <w:rPr>
                <w:rFonts w:ascii="Garamond" w:hAnsi="Garamond"/>
                <w:sz w:val="28"/>
                <w:szCs w:val="28"/>
              </w:rPr>
            </w:pPr>
            <w:r w:rsidRPr="003E1ECE">
              <w:rPr>
                <w:rFonts w:ascii="Garamond" w:hAnsi="Garamond"/>
                <w:sz w:val="28"/>
                <w:szCs w:val="28"/>
                <w:lang w:val="en-US"/>
              </w:rPr>
              <w:t xml:space="preserve">Health </w:t>
            </w:r>
            <w:r w:rsidR="007C3B9A">
              <w:rPr>
                <w:rFonts w:ascii="Garamond" w:hAnsi="Garamond"/>
                <w:sz w:val="28"/>
                <w:szCs w:val="28"/>
                <w:lang w:val="en-US"/>
              </w:rPr>
              <w:t>c</w:t>
            </w:r>
            <w:r w:rsidRPr="003E1ECE">
              <w:rPr>
                <w:rFonts w:ascii="Garamond" w:hAnsi="Garamond"/>
                <w:sz w:val="28"/>
                <w:szCs w:val="28"/>
                <w:lang w:val="en-US"/>
              </w:rPr>
              <w:t>are</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62EBDEC5"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3,556</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0DCE2015"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3,631</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37B18A6A"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4,290</w:t>
            </w:r>
          </w:p>
        </w:tc>
      </w:tr>
      <w:tr w:rsidR="003C51B1" w:rsidRPr="003E1ECE" w14:paraId="3B949974"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7A441ED0" w14:textId="77777777" w:rsidR="003C51B1" w:rsidRPr="003E1ECE" w:rsidRDefault="003C51B1" w:rsidP="00666D6C">
            <w:pPr>
              <w:pStyle w:val="a4"/>
              <w:widowControl w:val="0"/>
              <w:spacing w:line="240" w:lineRule="atLeast"/>
              <w:rPr>
                <w:rFonts w:ascii="Garamond" w:hAnsi="Garamond"/>
                <w:sz w:val="28"/>
                <w:szCs w:val="28"/>
              </w:rPr>
            </w:pPr>
            <w:r w:rsidRPr="003E1ECE">
              <w:rPr>
                <w:rFonts w:ascii="Garamond" w:hAnsi="Garamond"/>
                <w:sz w:val="28"/>
                <w:szCs w:val="28"/>
                <w:lang w:val="en-US"/>
              </w:rPr>
              <w:t>Food at home</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225F0FF8"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3,921</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33F4610E"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3,977</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413C2642"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3,971</w:t>
            </w:r>
          </w:p>
        </w:tc>
      </w:tr>
      <w:tr w:rsidR="003C51B1" w:rsidRPr="003E1ECE" w14:paraId="2E50728B"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4ECFCB0F" w14:textId="77777777" w:rsidR="003C51B1" w:rsidRPr="003E1ECE" w:rsidRDefault="003C51B1" w:rsidP="007C3B9A">
            <w:pPr>
              <w:pStyle w:val="a4"/>
              <w:widowControl w:val="0"/>
              <w:spacing w:line="240" w:lineRule="atLeast"/>
              <w:rPr>
                <w:rFonts w:ascii="Garamond" w:hAnsi="Garamond"/>
                <w:sz w:val="28"/>
                <w:szCs w:val="28"/>
              </w:rPr>
            </w:pPr>
            <w:r w:rsidRPr="003E1ECE">
              <w:rPr>
                <w:rFonts w:ascii="Garamond" w:hAnsi="Garamond"/>
                <w:sz w:val="28"/>
                <w:szCs w:val="28"/>
                <w:lang w:val="en-US"/>
              </w:rPr>
              <w:t xml:space="preserve">Other </w:t>
            </w:r>
            <w:r w:rsidR="007C3B9A">
              <w:rPr>
                <w:rFonts w:ascii="Garamond" w:hAnsi="Garamond"/>
                <w:sz w:val="28"/>
                <w:szCs w:val="28"/>
                <w:lang w:val="en-US"/>
              </w:rPr>
              <w:t>e</w:t>
            </w:r>
            <w:r w:rsidRPr="003E1ECE">
              <w:rPr>
                <w:rFonts w:ascii="Garamond" w:hAnsi="Garamond"/>
                <w:sz w:val="28"/>
                <w:szCs w:val="28"/>
                <w:lang w:val="en-US"/>
              </w:rPr>
              <w:t>xpenditures</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14ADE913"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3,557</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6ED34395"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3,267</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39D4A87C"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3,548</w:t>
            </w:r>
          </w:p>
        </w:tc>
      </w:tr>
      <w:tr w:rsidR="003C51B1" w:rsidRPr="003E1ECE" w14:paraId="5F4790A8"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5F46FBA3" w14:textId="77777777" w:rsidR="003C51B1" w:rsidRPr="003E1ECE" w:rsidRDefault="003C51B1" w:rsidP="00666D6C">
            <w:pPr>
              <w:pStyle w:val="a4"/>
              <w:widowControl w:val="0"/>
              <w:spacing w:line="240" w:lineRule="atLeast"/>
              <w:rPr>
                <w:rFonts w:ascii="Garamond" w:hAnsi="Garamond"/>
                <w:sz w:val="28"/>
                <w:szCs w:val="28"/>
              </w:rPr>
            </w:pPr>
            <w:r w:rsidRPr="003E1ECE">
              <w:rPr>
                <w:rFonts w:ascii="Garamond" w:hAnsi="Garamond"/>
                <w:sz w:val="28"/>
                <w:szCs w:val="28"/>
                <w:lang w:val="en-US"/>
              </w:rPr>
              <w:t>Food away from home</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41307E72"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2,678</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7C6FBA45"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2,625</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6549E79E"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2,787</w:t>
            </w:r>
          </w:p>
        </w:tc>
      </w:tr>
      <w:tr w:rsidR="003C51B1" w:rsidRPr="003E1ECE" w14:paraId="7F099F7D"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57856B53" w14:textId="77777777" w:rsidR="003C51B1" w:rsidRPr="003E1ECE" w:rsidRDefault="003C51B1" w:rsidP="00666D6C">
            <w:pPr>
              <w:pStyle w:val="a4"/>
              <w:widowControl w:val="0"/>
              <w:spacing w:line="240" w:lineRule="atLeast"/>
              <w:rPr>
                <w:rFonts w:ascii="Garamond" w:hAnsi="Garamond"/>
                <w:sz w:val="28"/>
                <w:szCs w:val="28"/>
              </w:rPr>
            </w:pPr>
            <w:r w:rsidRPr="003E1ECE">
              <w:rPr>
                <w:rFonts w:ascii="Garamond" w:hAnsi="Garamond"/>
                <w:sz w:val="28"/>
                <w:szCs w:val="28"/>
                <w:lang w:val="en-US"/>
              </w:rPr>
              <w:t>Entertainment</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34733761"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2,605</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4320511D"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2,482</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49D4AD50"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2,728</w:t>
            </w:r>
          </w:p>
        </w:tc>
      </w:tr>
      <w:tr w:rsidR="003C51B1" w:rsidRPr="003E1ECE" w14:paraId="6054858D"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2F387EEA" w14:textId="77777777" w:rsidR="003C51B1" w:rsidRPr="003E1ECE" w:rsidRDefault="003C51B1" w:rsidP="007C3B9A">
            <w:pPr>
              <w:pStyle w:val="a4"/>
              <w:widowControl w:val="0"/>
              <w:spacing w:line="240" w:lineRule="atLeast"/>
              <w:rPr>
                <w:rFonts w:ascii="Garamond" w:hAnsi="Garamond"/>
                <w:sz w:val="28"/>
                <w:szCs w:val="28"/>
              </w:rPr>
            </w:pPr>
            <w:r w:rsidRPr="003E1ECE">
              <w:rPr>
                <w:rFonts w:ascii="Garamond" w:hAnsi="Garamond"/>
                <w:sz w:val="28"/>
                <w:szCs w:val="28"/>
                <w:lang w:val="en-US"/>
              </w:rPr>
              <w:t xml:space="preserve">Cash </w:t>
            </w:r>
            <w:r w:rsidR="007C3B9A">
              <w:rPr>
                <w:rFonts w:ascii="Garamond" w:hAnsi="Garamond"/>
                <w:sz w:val="28"/>
                <w:szCs w:val="28"/>
                <w:lang w:val="en-US"/>
              </w:rPr>
              <w:t>c</w:t>
            </w:r>
            <w:r w:rsidRPr="003E1ECE">
              <w:rPr>
                <w:rFonts w:ascii="Garamond" w:hAnsi="Garamond"/>
                <w:sz w:val="28"/>
                <w:szCs w:val="28"/>
                <w:lang w:val="en-US"/>
              </w:rPr>
              <w:t>ontributions</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25699E44"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1,913</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5FE96693"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1,834</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1811075F"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1,788</w:t>
            </w:r>
          </w:p>
        </w:tc>
      </w:tr>
      <w:tr w:rsidR="003C51B1" w:rsidRPr="003E1ECE" w14:paraId="4B2C7709"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25945B59" w14:textId="77777777" w:rsidR="003C51B1" w:rsidRPr="003E1ECE" w:rsidRDefault="003C51B1" w:rsidP="00666D6C">
            <w:pPr>
              <w:pStyle w:val="a4"/>
              <w:widowControl w:val="0"/>
              <w:spacing w:line="240" w:lineRule="atLeast"/>
              <w:rPr>
                <w:rFonts w:ascii="Garamond" w:hAnsi="Garamond"/>
                <w:sz w:val="28"/>
                <w:szCs w:val="28"/>
              </w:rPr>
            </w:pPr>
            <w:r w:rsidRPr="003E1ECE">
              <w:rPr>
                <w:rFonts w:ascii="Garamond" w:hAnsi="Garamond"/>
                <w:sz w:val="28"/>
                <w:szCs w:val="28"/>
                <w:lang w:val="en-US"/>
              </w:rPr>
              <w:t>Apparel and services</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4781391A"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1,736</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43787722"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1,604</w:t>
            </w:r>
          </w:p>
        </w:tc>
        <w:tc>
          <w:tcPr>
            <w:tcW w:w="652" w:type="pct"/>
            <w:tcBorders>
              <w:top w:val="single" w:sz="6" w:space="0" w:color="000000"/>
              <w:left w:val="single" w:sz="6" w:space="0" w:color="000000"/>
              <w:bottom w:val="single" w:sz="6" w:space="0" w:color="000000"/>
              <w:right w:val="single" w:sz="6" w:space="0" w:color="000000"/>
            </w:tcBorders>
            <w:shd w:val="clear" w:color="auto" w:fill="auto"/>
            <w:tcMar>
              <w:top w:w="0" w:type="dxa"/>
              <w:left w:w="28" w:type="dxa"/>
              <w:bottom w:w="0" w:type="dxa"/>
              <w:right w:w="28" w:type="dxa"/>
            </w:tcMar>
            <w:vAlign w:val="center"/>
          </w:tcPr>
          <w:p w14:paraId="7F7F2146" w14:textId="77777777" w:rsidR="003C51B1" w:rsidRPr="003E1ECE" w:rsidRDefault="003C51B1" w:rsidP="00666D6C">
            <w:pPr>
              <w:pStyle w:val="a4"/>
              <w:widowControl w:val="0"/>
              <w:spacing w:line="240" w:lineRule="atLeast"/>
              <w:jc w:val="center"/>
              <w:rPr>
                <w:rFonts w:ascii="Garamond" w:hAnsi="Garamond"/>
                <w:sz w:val="28"/>
                <w:szCs w:val="28"/>
              </w:rPr>
            </w:pPr>
            <w:r w:rsidRPr="003E1ECE">
              <w:rPr>
                <w:rFonts w:ascii="Garamond" w:hAnsi="Garamond"/>
                <w:sz w:val="28"/>
                <w:szCs w:val="28"/>
              </w:rPr>
              <w:t>1,786</w:t>
            </w:r>
          </w:p>
        </w:tc>
      </w:tr>
      <w:tr w:rsidR="003C51B1" w:rsidRPr="003E1ECE" w14:paraId="0F28C0D8" w14:textId="77777777" w:rsidTr="008A5AA7">
        <w:trPr>
          <w:trHeight w:val="305"/>
          <w:jc w:val="center"/>
        </w:trPr>
        <w:tc>
          <w:tcPr>
            <w:tcW w:w="3045" w:type="pct"/>
            <w:tcBorders>
              <w:top w:val="single" w:sz="6" w:space="0" w:color="000000"/>
              <w:left w:val="single" w:sz="6" w:space="0" w:color="000000"/>
              <w:bottom w:val="single" w:sz="6" w:space="0" w:color="000000"/>
              <w:right w:val="single" w:sz="6" w:space="0" w:color="000000"/>
            </w:tcBorders>
            <w:shd w:val="clear" w:color="auto" w:fill="F2F2F2"/>
            <w:tcMar>
              <w:top w:w="0" w:type="dxa"/>
              <w:left w:w="28" w:type="dxa"/>
              <w:bottom w:w="0" w:type="dxa"/>
              <w:right w:w="28" w:type="dxa"/>
            </w:tcMar>
            <w:vAlign w:val="center"/>
          </w:tcPr>
          <w:p w14:paraId="03DF70CF" w14:textId="77777777" w:rsidR="003C51B1" w:rsidRPr="008A5AA7" w:rsidRDefault="003C51B1" w:rsidP="00666D6C">
            <w:pPr>
              <w:pStyle w:val="a4"/>
              <w:widowControl w:val="0"/>
              <w:spacing w:line="240" w:lineRule="atLeast"/>
              <w:rPr>
                <w:rFonts w:ascii="Garamond" w:hAnsi="Garamond"/>
                <w:b/>
                <w:sz w:val="28"/>
                <w:szCs w:val="28"/>
              </w:rPr>
            </w:pPr>
            <w:r w:rsidRPr="008A5AA7">
              <w:rPr>
                <w:rFonts w:ascii="Garamond" w:hAnsi="Garamond"/>
                <w:b/>
                <w:sz w:val="28"/>
                <w:szCs w:val="28"/>
              </w:rPr>
              <w:t>Total</w:t>
            </w:r>
          </w:p>
        </w:tc>
        <w:tc>
          <w:tcPr>
            <w:tcW w:w="652" w:type="pct"/>
            <w:tcBorders>
              <w:top w:val="single" w:sz="6" w:space="0" w:color="000000"/>
              <w:left w:val="single" w:sz="6" w:space="0" w:color="000000"/>
              <w:bottom w:val="single" w:sz="6" w:space="0" w:color="000000"/>
              <w:right w:val="single" w:sz="6" w:space="0" w:color="000000"/>
            </w:tcBorders>
            <w:shd w:val="clear" w:color="auto" w:fill="F2F2F2"/>
            <w:tcMar>
              <w:top w:w="0" w:type="dxa"/>
              <w:left w:w="28" w:type="dxa"/>
              <w:bottom w:w="0" w:type="dxa"/>
              <w:right w:w="28" w:type="dxa"/>
            </w:tcMar>
            <w:vAlign w:val="center"/>
          </w:tcPr>
          <w:p w14:paraId="2DF77530" w14:textId="77777777" w:rsidR="003C51B1" w:rsidRPr="008A5AA7" w:rsidRDefault="003C51B1" w:rsidP="00666D6C">
            <w:pPr>
              <w:pStyle w:val="a4"/>
              <w:widowControl w:val="0"/>
              <w:spacing w:line="240" w:lineRule="atLeast"/>
              <w:jc w:val="center"/>
              <w:rPr>
                <w:rFonts w:ascii="Garamond" w:hAnsi="Garamond"/>
                <w:b/>
                <w:sz w:val="28"/>
                <w:szCs w:val="28"/>
              </w:rPr>
            </w:pPr>
            <w:r w:rsidRPr="008A5AA7">
              <w:rPr>
                <w:rFonts w:ascii="Garamond" w:hAnsi="Garamond"/>
                <w:b/>
                <w:sz w:val="28"/>
                <w:szCs w:val="28"/>
              </w:rPr>
              <w:t>51,442</w:t>
            </w:r>
          </w:p>
        </w:tc>
        <w:tc>
          <w:tcPr>
            <w:tcW w:w="652" w:type="pct"/>
            <w:tcBorders>
              <w:top w:val="single" w:sz="6" w:space="0" w:color="000000"/>
              <w:left w:val="single" w:sz="6" w:space="0" w:color="000000"/>
              <w:bottom w:val="single" w:sz="6" w:space="0" w:color="000000"/>
              <w:right w:val="single" w:sz="6" w:space="0" w:color="000000"/>
            </w:tcBorders>
            <w:shd w:val="clear" w:color="auto" w:fill="F2F2F2"/>
            <w:tcMar>
              <w:top w:w="0" w:type="dxa"/>
              <w:left w:w="28" w:type="dxa"/>
              <w:bottom w:w="0" w:type="dxa"/>
              <w:right w:w="28" w:type="dxa"/>
            </w:tcMar>
            <w:vAlign w:val="center"/>
          </w:tcPr>
          <w:p w14:paraId="095790ED" w14:textId="77777777" w:rsidR="003C51B1" w:rsidRPr="008A5AA7" w:rsidRDefault="003C51B1" w:rsidP="00666D6C">
            <w:pPr>
              <w:pStyle w:val="a4"/>
              <w:widowControl w:val="0"/>
              <w:spacing w:line="240" w:lineRule="atLeast"/>
              <w:jc w:val="center"/>
              <w:rPr>
                <w:rFonts w:ascii="Garamond" w:hAnsi="Garamond"/>
                <w:b/>
                <w:sz w:val="28"/>
                <w:szCs w:val="28"/>
              </w:rPr>
            </w:pPr>
            <w:r w:rsidRPr="008A5AA7">
              <w:rPr>
                <w:rFonts w:ascii="Garamond" w:hAnsi="Garamond"/>
                <w:b/>
                <w:sz w:val="28"/>
                <w:szCs w:val="28"/>
              </w:rPr>
              <w:t>51,100</w:t>
            </w:r>
          </w:p>
        </w:tc>
        <w:tc>
          <w:tcPr>
            <w:tcW w:w="652" w:type="pct"/>
            <w:tcBorders>
              <w:top w:val="single" w:sz="6" w:space="0" w:color="000000"/>
              <w:left w:val="single" w:sz="6" w:space="0" w:color="000000"/>
              <w:bottom w:val="single" w:sz="6" w:space="0" w:color="000000"/>
              <w:right w:val="single" w:sz="6" w:space="0" w:color="000000"/>
            </w:tcBorders>
            <w:shd w:val="clear" w:color="auto" w:fill="F2F2F2"/>
            <w:tcMar>
              <w:top w:w="0" w:type="dxa"/>
              <w:left w:w="28" w:type="dxa"/>
              <w:bottom w:w="0" w:type="dxa"/>
              <w:right w:w="28" w:type="dxa"/>
            </w:tcMar>
            <w:vAlign w:val="center"/>
          </w:tcPr>
          <w:p w14:paraId="7F5F8971" w14:textId="77777777" w:rsidR="003C51B1" w:rsidRPr="008A5AA7" w:rsidRDefault="003C51B1" w:rsidP="00666D6C">
            <w:pPr>
              <w:pStyle w:val="a4"/>
              <w:widowControl w:val="0"/>
              <w:spacing w:line="240" w:lineRule="atLeast"/>
              <w:jc w:val="center"/>
              <w:rPr>
                <w:rFonts w:ascii="Garamond" w:hAnsi="Garamond"/>
                <w:b/>
                <w:sz w:val="28"/>
                <w:szCs w:val="28"/>
              </w:rPr>
            </w:pPr>
            <w:r w:rsidRPr="008A5AA7">
              <w:rPr>
                <w:rFonts w:ascii="Garamond" w:hAnsi="Garamond"/>
                <w:b/>
                <w:sz w:val="28"/>
                <w:szCs w:val="28"/>
              </w:rPr>
              <w:t>53,495</w:t>
            </w:r>
          </w:p>
        </w:tc>
      </w:tr>
    </w:tbl>
    <w:p w14:paraId="297ADDA3" w14:textId="77777777" w:rsidR="003C51B1" w:rsidRPr="003E1ECE" w:rsidRDefault="008A5AA7" w:rsidP="00666D6C">
      <w:pPr>
        <w:pStyle w:val="a4"/>
        <w:spacing w:line="240" w:lineRule="atLeast"/>
        <w:ind w:left="142"/>
        <w:rPr>
          <w:rFonts w:ascii="Garamond" w:eastAsia="Times New Roman" w:hAnsi="Garamond" w:cs="Times New Roman"/>
          <w:sz w:val="28"/>
          <w:szCs w:val="28"/>
        </w:rPr>
      </w:pPr>
      <w:r w:rsidRPr="003E1ECE">
        <w:rPr>
          <w:rFonts w:ascii="Garamond" w:hAnsi="Garamond"/>
          <w:sz w:val="28"/>
          <w:szCs w:val="28"/>
          <w:lang w:val="en-US"/>
        </w:rPr>
        <w:t>Source</w:t>
      </w:r>
      <w:r w:rsidR="003C51B1" w:rsidRPr="003E1ECE">
        <w:rPr>
          <w:rFonts w:ascii="Garamond" w:hAnsi="Garamond"/>
          <w:sz w:val="28"/>
          <w:szCs w:val="28"/>
          <w:lang w:val="en-US"/>
        </w:rPr>
        <w:t xml:space="preserve">: </w:t>
      </w:r>
      <w:hyperlink r:id="rId33" w:history="1">
        <w:r w:rsidR="003C51B1" w:rsidRPr="003E1ECE">
          <w:rPr>
            <w:rStyle w:val="Hyperlink0"/>
            <w:rFonts w:ascii="Garamond" w:hAnsi="Garamond"/>
            <w:sz w:val="28"/>
            <w:szCs w:val="28"/>
            <w:lang w:val="en-US"/>
          </w:rPr>
          <w:t>US Department of Labor Report "Consumer Expenditures 2014"</w:t>
        </w:r>
      </w:hyperlink>
      <w:r w:rsidR="003C51B1" w:rsidRPr="003E1ECE">
        <w:rPr>
          <w:rFonts w:ascii="Garamond" w:eastAsia="Times New Roman" w:hAnsi="Garamond" w:cs="Times New Roman"/>
          <w:sz w:val="28"/>
          <w:szCs w:val="28"/>
        </w:rPr>
        <w:tab/>
      </w:r>
      <w:r w:rsidR="003C51B1" w:rsidRPr="003E1ECE">
        <w:rPr>
          <w:rFonts w:ascii="Garamond" w:eastAsia="Times New Roman" w:hAnsi="Garamond" w:cs="Times New Roman"/>
          <w:sz w:val="28"/>
          <w:szCs w:val="28"/>
        </w:rPr>
        <w:tab/>
      </w:r>
      <w:r w:rsidR="003C51B1" w:rsidRPr="003E1ECE">
        <w:rPr>
          <w:rFonts w:ascii="Garamond" w:eastAsia="Times New Roman" w:hAnsi="Garamond" w:cs="Times New Roman"/>
          <w:sz w:val="28"/>
          <w:szCs w:val="28"/>
        </w:rPr>
        <w:tab/>
      </w:r>
    </w:p>
    <w:p w14:paraId="69956E69" w14:textId="77777777" w:rsidR="003C51B1" w:rsidRPr="003E1ECE" w:rsidRDefault="003C51B1" w:rsidP="00666D6C">
      <w:pPr>
        <w:pStyle w:val="a4"/>
        <w:spacing w:line="240" w:lineRule="atLeast"/>
        <w:rPr>
          <w:rFonts w:ascii="Garamond" w:eastAsia="Times New Roman" w:hAnsi="Garamond" w:cs="Times New Roman"/>
          <w:sz w:val="28"/>
          <w:szCs w:val="28"/>
        </w:rPr>
      </w:pPr>
      <w:r w:rsidRPr="003E1ECE">
        <w:rPr>
          <w:rFonts w:ascii="Garamond" w:eastAsia="Times New Roman" w:hAnsi="Garamond" w:cs="Times New Roman"/>
          <w:sz w:val="28"/>
          <w:szCs w:val="28"/>
        </w:rPr>
        <w:tab/>
      </w:r>
      <w:r w:rsidRPr="003E1ECE">
        <w:rPr>
          <w:rFonts w:ascii="Garamond" w:eastAsia="Times New Roman" w:hAnsi="Garamond" w:cs="Times New Roman"/>
          <w:sz w:val="28"/>
          <w:szCs w:val="28"/>
        </w:rPr>
        <w:tab/>
      </w:r>
      <w:r w:rsidRPr="003E1ECE">
        <w:rPr>
          <w:rFonts w:ascii="Garamond" w:eastAsia="Times New Roman" w:hAnsi="Garamond" w:cs="Times New Roman"/>
          <w:sz w:val="28"/>
          <w:szCs w:val="28"/>
        </w:rPr>
        <w:tab/>
      </w:r>
    </w:p>
    <w:p w14:paraId="24B994D4" w14:textId="77777777" w:rsidR="003C51B1" w:rsidRDefault="003C51B1" w:rsidP="006F749C">
      <w:pPr>
        <w:pStyle w:val="ListParagraph"/>
        <w:numPr>
          <w:ilvl w:val="0"/>
          <w:numId w:val="164"/>
        </w:numPr>
        <w:spacing w:after="0" w:line="240" w:lineRule="atLeast"/>
        <w:ind w:left="426"/>
        <w:jc w:val="both"/>
        <w:rPr>
          <w:rFonts w:ascii="Garamond" w:hAnsi="Garamond"/>
          <w:szCs w:val="28"/>
          <w:lang w:val="en-US" w:eastAsia="ru-RU"/>
        </w:rPr>
      </w:pPr>
      <w:r w:rsidRPr="003E1ECE">
        <w:rPr>
          <w:rFonts w:ascii="Garamond" w:hAnsi="Garamond"/>
          <w:szCs w:val="28"/>
          <w:lang w:val="en-US" w:eastAsia="ru-RU"/>
        </w:rPr>
        <w:t xml:space="preserve">Using the Economist Intelligence Unit’s quality-of-life index, analyze social and economic well-being of Ukraine among European countries by evaluation different factors that are thought to influence quality of life, presented in the </w:t>
      </w:r>
      <w:r w:rsidR="007C3B9A">
        <w:rPr>
          <w:rFonts w:ascii="Garamond" w:hAnsi="Garamond"/>
          <w:szCs w:val="28"/>
          <w:lang w:val="en-US" w:eastAsia="ru-RU"/>
        </w:rPr>
        <w:t>T</w:t>
      </w:r>
      <w:r w:rsidRPr="003E1ECE">
        <w:rPr>
          <w:rFonts w:ascii="Garamond" w:hAnsi="Garamond"/>
          <w:szCs w:val="28"/>
          <w:lang w:val="en-US" w:eastAsia="ru-RU"/>
        </w:rPr>
        <w:t>able</w:t>
      </w:r>
      <w:r w:rsidR="007C3B9A">
        <w:rPr>
          <w:rFonts w:ascii="Garamond" w:hAnsi="Garamond"/>
          <w:szCs w:val="28"/>
          <w:lang w:val="en-US" w:eastAsia="ru-RU"/>
        </w:rPr>
        <w:t> </w:t>
      </w:r>
      <w:r w:rsidRPr="003E1ECE">
        <w:rPr>
          <w:rFonts w:ascii="Garamond" w:hAnsi="Garamond"/>
          <w:szCs w:val="28"/>
          <w:lang w:val="en-US" w:eastAsia="ru-RU"/>
        </w:rPr>
        <w:t>6.</w:t>
      </w:r>
      <w:r w:rsidR="008A5AA7">
        <w:rPr>
          <w:rFonts w:ascii="Garamond" w:hAnsi="Garamond"/>
          <w:szCs w:val="28"/>
          <w:lang w:val="en-US" w:eastAsia="ru-RU"/>
        </w:rPr>
        <w:t>6.</w:t>
      </w:r>
    </w:p>
    <w:p w14:paraId="7E8F44F4" w14:textId="77777777" w:rsidR="008A5AA7" w:rsidRPr="008A5AA7" w:rsidRDefault="008A5AA7" w:rsidP="008A5AA7">
      <w:pPr>
        <w:pStyle w:val="ListParagraph"/>
        <w:spacing w:after="0" w:line="240" w:lineRule="atLeast"/>
        <w:ind w:left="426"/>
        <w:jc w:val="both"/>
        <w:rPr>
          <w:rFonts w:ascii="Garamond" w:hAnsi="Garamond"/>
          <w:szCs w:val="28"/>
          <w:lang w:val="en-US" w:eastAsia="ru-RU"/>
        </w:rPr>
      </w:pPr>
    </w:p>
    <w:p w14:paraId="595550D5" w14:textId="77777777" w:rsidR="003C51B1" w:rsidRPr="003771E6" w:rsidRDefault="003C51B1" w:rsidP="000552CE">
      <w:pPr>
        <w:pStyle w:val="a4"/>
        <w:jc w:val="both"/>
        <w:rPr>
          <w:rFonts w:ascii="Garamond" w:eastAsia="Times New Roman" w:hAnsi="Garamond" w:cs="Times New Roman"/>
          <w:b/>
          <w:sz w:val="28"/>
          <w:szCs w:val="28"/>
        </w:rPr>
      </w:pPr>
      <w:r w:rsidRPr="008A5AA7">
        <w:rPr>
          <w:rFonts w:ascii="Garamond" w:hAnsi="Garamond"/>
          <w:b/>
          <w:sz w:val="28"/>
          <w:szCs w:val="28"/>
          <w:lang w:val="en-US"/>
        </w:rPr>
        <w:t>Table 6.</w:t>
      </w:r>
      <w:r w:rsidR="008A5AA7" w:rsidRPr="008A5AA7">
        <w:rPr>
          <w:rFonts w:ascii="Garamond" w:hAnsi="Garamond"/>
          <w:b/>
          <w:sz w:val="28"/>
          <w:szCs w:val="28"/>
          <w:lang w:val="en-US"/>
        </w:rPr>
        <w:t>6</w:t>
      </w:r>
      <w:r w:rsidR="003771E6">
        <w:rPr>
          <w:rFonts w:ascii="Garamond" w:eastAsia="Times New Roman" w:hAnsi="Garamond" w:cs="Times New Roman"/>
          <w:b/>
          <w:sz w:val="28"/>
          <w:szCs w:val="28"/>
        </w:rPr>
        <w:t xml:space="preserve"> – </w:t>
      </w:r>
      <w:r w:rsidRPr="008A5AA7">
        <w:rPr>
          <w:rFonts w:ascii="Garamond" w:hAnsi="Garamond"/>
          <w:b/>
          <w:sz w:val="28"/>
          <w:szCs w:val="28"/>
          <w:shd w:val="clear" w:color="auto" w:fill="FFFFFF"/>
          <w:lang w:val="en-US"/>
        </w:rPr>
        <w:t>The nine quality-of-life factors and the indicators used to represent determinants of quality of life</w:t>
      </w:r>
    </w:p>
    <w:tbl>
      <w:tblPr>
        <w:tblStyle w:val="TableNormal1"/>
        <w:tblW w:w="0" w:type="auto"/>
        <w:jc w:val="righ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411"/>
        <w:gridCol w:w="1602"/>
        <w:gridCol w:w="241"/>
        <w:gridCol w:w="7201"/>
      </w:tblGrid>
      <w:tr w:rsidR="008A5AA7" w:rsidRPr="003E1ECE" w14:paraId="0EA0DE28" w14:textId="77777777" w:rsidTr="003771E6">
        <w:trPr>
          <w:trHeight w:val="310"/>
          <w:jc w:val="right"/>
        </w:trPr>
        <w:tc>
          <w:tcPr>
            <w:tcW w:w="2254" w:type="dxa"/>
            <w:gridSpan w:val="3"/>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390ACF86" w14:textId="77777777" w:rsidR="008A5AA7" w:rsidRPr="003E1ECE" w:rsidRDefault="008A5AA7" w:rsidP="008A5AA7">
            <w:pPr>
              <w:pStyle w:val="a4"/>
              <w:widowControl w:val="0"/>
              <w:spacing w:line="240" w:lineRule="atLeast"/>
              <w:jc w:val="center"/>
              <w:rPr>
                <w:rFonts w:ascii="Garamond" w:hAnsi="Garamond"/>
                <w:sz w:val="28"/>
                <w:szCs w:val="28"/>
              </w:rPr>
            </w:pPr>
            <w:r w:rsidRPr="003E1ECE">
              <w:rPr>
                <w:rFonts w:ascii="Garamond" w:hAnsi="Garamond"/>
                <w:sz w:val="28"/>
                <w:szCs w:val="28"/>
                <w:lang w:val="da-DK"/>
              </w:rPr>
              <w:t>Determinant</w:t>
            </w:r>
          </w:p>
        </w:tc>
        <w:tc>
          <w:tcPr>
            <w:tcW w:w="7201"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6EC820D8" w14:textId="77777777" w:rsidR="008A5AA7" w:rsidRPr="003E1ECE" w:rsidRDefault="008A5AA7" w:rsidP="008A5AA7">
            <w:pPr>
              <w:pStyle w:val="a4"/>
              <w:widowControl w:val="0"/>
              <w:spacing w:line="240" w:lineRule="atLeast"/>
              <w:jc w:val="center"/>
              <w:rPr>
                <w:rFonts w:ascii="Garamond" w:hAnsi="Garamond"/>
                <w:sz w:val="28"/>
                <w:szCs w:val="28"/>
              </w:rPr>
            </w:pPr>
            <w:r w:rsidRPr="003E1ECE">
              <w:rPr>
                <w:rFonts w:ascii="Garamond" w:hAnsi="Garamond"/>
                <w:sz w:val="28"/>
                <w:szCs w:val="28"/>
                <w:lang w:val="fr-FR"/>
              </w:rPr>
              <w:t>Explanation/ Source</w:t>
            </w:r>
          </w:p>
        </w:tc>
      </w:tr>
      <w:tr w:rsidR="003C51B1" w:rsidRPr="003E1ECE" w14:paraId="6A5A9F2D" w14:textId="77777777" w:rsidTr="003771E6">
        <w:trPr>
          <w:trHeight w:val="357"/>
          <w:jc w:val="right"/>
        </w:trPr>
        <w:tc>
          <w:tcPr>
            <w:tcW w:w="41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C77565C" w14:textId="77777777" w:rsidR="003C51B1" w:rsidRPr="003E1ECE" w:rsidRDefault="003C51B1" w:rsidP="007C3B9A">
            <w:pPr>
              <w:pStyle w:val="a4"/>
              <w:widowControl w:val="0"/>
              <w:spacing w:line="240" w:lineRule="atLeast"/>
              <w:jc w:val="center"/>
              <w:rPr>
                <w:rFonts w:ascii="Garamond" w:hAnsi="Garamond"/>
                <w:sz w:val="28"/>
                <w:szCs w:val="28"/>
              </w:rPr>
            </w:pPr>
            <w:r w:rsidRPr="003E1ECE">
              <w:rPr>
                <w:rFonts w:ascii="Garamond" w:hAnsi="Garamond"/>
                <w:sz w:val="28"/>
                <w:szCs w:val="28"/>
              </w:rPr>
              <w:t>1</w:t>
            </w:r>
          </w:p>
        </w:tc>
        <w:tc>
          <w:tcPr>
            <w:tcW w:w="1843"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938D93F" w14:textId="77777777" w:rsidR="003C51B1" w:rsidRPr="003E1ECE" w:rsidRDefault="007C3B9A" w:rsidP="008A5AA7">
            <w:pPr>
              <w:pStyle w:val="a4"/>
              <w:widowControl w:val="0"/>
              <w:spacing w:line="240" w:lineRule="atLeast"/>
              <w:rPr>
                <w:rFonts w:ascii="Garamond" w:hAnsi="Garamond"/>
                <w:sz w:val="28"/>
                <w:szCs w:val="28"/>
              </w:rPr>
            </w:pPr>
            <w:r>
              <w:rPr>
                <w:rFonts w:ascii="Garamond" w:hAnsi="Garamond"/>
                <w:sz w:val="28"/>
                <w:szCs w:val="28"/>
                <w:lang w:val="en-US"/>
              </w:rPr>
              <w:t>Material well-</w:t>
            </w:r>
            <w:r w:rsidR="003C51B1" w:rsidRPr="003E1ECE">
              <w:rPr>
                <w:rFonts w:ascii="Garamond" w:hAnsi="Garamond"/>
                <w:sz w:val="28"/>
                <w:szCs w:val="28"/>
                <w:lang w:val="en-US"/>
              </w:rPr>
              <w:t>being</w:t>
            </w:r>
          </w:p>
        </w:tc>
        <w:tc>
          <w:tcPr>
            <w:tcW w:w="72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4F306DA" w14:textId="77777777" w:rsidR="003C51B1" w:rsidRPr="003E1ECE" w:rsidRDefault="003C51B1" w:rsidP="007C3B9A">
            <w:pPr>
              <w:pStyle w:val="a4"/>
              <w:widowControl w:val="0"/>
              <w:spacing w:line="240" w:lineRule="atLeast"/>
              <w:rPr>
                <w:rFonts w:ascii="Garamond" w:hAnsi="Garamond"/>
                <w:sz w:val="28"/>
                <w:szCs w:val="28"/>
              </w:rPr>
            </w:pPr>
            <w:r w:rsidRPr="003E1ECE">
              <w:rPr>
                <w:rFonts w:ascii="Garamond" w:hAnsi="Garamond"/>
                <w:sz w:val="28"/>
                <w:szCs w:val="28"/>
                <w:lang w:val="en-US"/>
              </w:rPr>
              <w:t xml:space="preserve">GDP per person, </w:t>
            </w:r>
            <w:r w:rsidR="007C3B9A" w:rsidRPr="003E1ECE">
              <w:rPr>
                <w:rFonts w:ascii="Garamond" w:hAnsi="Garamond"/>
                <w:sz w:val="28"/>
                <w:szCs w:val="28"/>
                <w:lang w:val="en-US"/>
              </w:rPr>
              <w:t>PPP</w:t>
            </w:r>
            <w:r w:rsidRPr="003E1ECE">
              <w:rPr>
                <w:rFonts w:ascii="Garamond" w:hAnsi="Garamond"/>
                <w:sz w:val="28"/>
                <w:szCs w:val="28"/>
                <w:lang w:val="en-US"/>
              </w:rPr>
              <w:t xml:space="preserve"> $. Source: Economist Intelligence Unit </w:t>
            </w:r>
          </w:p>
        </w:tc>
      </w:tr>
      <w:tr w:rsidR="003C51B1" w:rsidRPr="003E1ECE" w14:paraId="538A2743" w14:textId="77777777" w:rsidTr="003771E6">
        <w:trPr>
          <w:trHeight w:val="310"/>
          <w:jc w:val="right"/>
        </w:trPr>
        <w:tc>
          <w:tcPr>
            <w:tcW w:w="41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1997437" w14:textId="77777777" w:rsidR="003C51B1" w:rsidRPr="003E1ECE" w:rsidRDefault="007C3B9A" w:rsidP="008A5AA7">
            <w:pPr>
              <w:pStyle w:val="a4"/>
              <w:widowControl w:val="0"/>
              <w:spacing w:line="240" w:lineRule="atLeast"/>
              <w:jc w:val="center"/>
              <w:rPr>
                <w:rFonts w:ascii="Garamond" w:hAnsi="Garamond"/>
                <w:sz w:val="28"/>
                <w:szCs w:val="28"/>
              </w:rPr>
            </w:pPr>
            <w:r>
              <w:rPr>
                <w:rFonts w:ascii="Garamond" w:hAnsi="Garamond"/>
                <w:sz w:val="28"/>
                <w:szCs w:val="28"/>
              </w:rPr>
              <w:t>2</w:t>
            </w:r>
          </w:p>
        </w:tc>
        <w:tc>
          <w:tcPr>
            <w:tcW w:w="1843"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70C26EA"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Health</w:t>
            </w:r>
          </w:p>
        </w:tc>
        <w:tc>
          <w:tcPr>
            <w:tcW w:w="72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83DBD0B" w14:textId="77777777" w:rsidR="003C51B1" w:rsidRPr="003E1ECE" w:rsidRDefault="003C51B1" w:rsidP="007C3B9A">
            <w:pPr>
              <w:pStyle w:val="a4"/>
              <w:widowControl w:val="0"/>
              <w:spacing w:line="240" w:lineRule="atLeast"/>
              <w:rPr>
                <w:rFonts w:ascii="Garamond" w:hAnsi="Garamond"/>
                <w:sz w:val="28"/>
                <w:szCs w:val="28"/>
              </w:rPr>
            </w:pPr>
            <w:r w:rsidRPr="003E1ECE">
              <w:rPr>
                <w:rFonts w:ascii="Garamond" w:hAnsi="Garamond"/>
                <w:sz w:val="28"/>
                <w:szCs w:val="28"/>
                <w:lang w:val="en-US"/>
              </w:rPr>
              <w:t xml:space="preserve">Life expectancy at birth, years. Source: </w:t>
            </w:r>
            <w:r w:rsidR="007C3B9A">
              <w:rPr>
                <w:rFonts w:ascii="Garamond" w:hAnsi="Garamond"/>
                <w:sz w:val="28"/>
                <w:szCs w:val="28"/>
                <w:lang w:val="en-US"/>
              </w:rPr>
              <w:t>The U.S.</w:t>
            </w:r>
            <w:r w:rsidRPr="003E1ECE">
              <w:rPr>
                <w:rFonts w:ascii="Garamond" w:hAnsi="Garamond"/>
                <w:sz w:val="28"/>
                <w:szCs w:val="28"/>
                <w:lang w:val="en-US"/>
              </w:rPr>
              <w:t xml:space="preserve"> Census Bureau </w:t>
            </w:r>
          </w:p>
        </w:tc>
      </w:tr>
      <w:tr w:rsidR="003C51B1" w:rsidRPr="003E1ECE" w14:paraId="751C14A8" w14:textId="77777777" w:rsidTr="003771E6">
        <w:trPr>
          <w:trHeight w:val="610"/>
          <w:jc w:val="right"/>
        </w:trPr>
        <w:tc>
          <w:tcPr>
            <w:tcW w:w="41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6110E20" w14:textId="77777777" w:rsidR="003C51B1" w:rsidRPr="003E1ECE" w:rsidRDefault="007C3B9A" w:rsidP="008A5AA7">
            <w:pPr>
              <w:pStyle w:val="a4"/>
              <w:widowControl w:val="0"/>
              <w:spacing w:line="240" w:lineRule="atLeast"/>
              <w:jc w:val="center"/>
              <w:rPr>
                <w:rFonts w:ascii="Garamond" w:hAnsi="Garamond"/>
                <w:sz w:val="28"/>
                <w:szCs w:val="28"/>
              </w:rPr>
            </w:pPr>
            <w:r>
              <w:rPr>
                <w:rFonts w:ascii="Garamond" w:hAnsi="Garamond"/>
                <w:sz w:val="28"/>
                <w:szCs w:val="28"/>
              </w:rPr>
              <w:t>3</w:t>
            </w:r>
          </w:p>
        </w:tc>
        <w:tc>
          <w:tcPr>
            <w:tcW w:w="1843"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757EB32"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Political stability and security</w:t>
            </w:r>
          </w:p>
        </w:tc>
        <w:tc>
          <w:tcPr>
            <w:tcW w:w="72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2E6A385"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Political stability and security ratings. Source: Economist Intelligence Unit</w:t>
            </w:r>
          </w:p>
        </w:tc>
      </w:tr>
      <w:tr w:rsidR="003C51B1" w:rsidRPr="003E1ECE" w14:paraId="15709326" w14:textId="77777777" w:rsidTr="003771E6">
        <w:trPr>
          <w:trHeight w:val="760"/>
          <w:jc w:val="right"/>
        </w:trPr>
        <w:tc>
          <w:tcPr>
            <w:tcW w:w="41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1516E16" w14:textId="77777777" w:rsidR="003C51B1" w:rsidRPr="003E1ECE" w:rsidRDefault="007C3B9A" w:rsidP="008A5AA7">
            <w:pPr>
              <w:pStyle w:val="a4"/>
              <w:widowControl w:val="0"/>
              <w:spacing w:line="240" w:lineRule="atLeast"/>
              <w:jc w:val="center"/>
              <w:rPr>
                <w:rFonts w:ascii="Garamond" w:hAnsi="Garamond"/>
                <w:sz w:val="28"/>
                <w:szCs w:val="28"/>
              </w:rPr>
            </w:pPr>
            <w:r>
              <w:rPr>
                <w:rFonts w:ascii="Garamond" w:hAnsi="Garamond"/>
                <w:sz w:val="28"/>
                <w:szCs w:val="28"/>
              </w:rPr>
              <w:t>4</w:t>
            </w:r>
          </w:p>
        </w:tc>
        <w:tc>
          <w:tcPr>
            <w:tcW w:w="1843"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BF921FA"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Family life</w:t>
            </w:r>
          </w:p>
        </w:tc>
        <w:tc>
          <w:tcPr>
            <w:tcW w:w="72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F994172" w14:textId="77777777" w:rsidR="003C51B1" w:rsidRPr="003E1ECE" w:rsidRDefault="003C51B1" w:rsidP="007C3B9A">
            <w:pPr>
              <w:pStyle w:val="a4"/>
              <w:widowControl w:val="0"/>
              <w:spacing w:line="240" w:lineRule="atLeast"/>
              <w:jc w:val="both"/>
              <w:rPr>
                <w:rFonts w:ascii="Garamond" w:hAnsi="Garamond"/>
                <w:sz w:val="28"/>
                <w:szCs w:val="28"/>
              </w:rPr>
            </w:pPr>
            <w:r w:rsidRPr="003E1ECE">
              <w:rPr>
                <w:rFonts w:ascii="Garamond" w:hAnsi="Garamond"/>
                <w:sz w:val="28"/>
                <w:szCs w:val="28"/>
                <w:lang w:val="en-US"/>
              </w:rPr>
              <w:t>Divorce rate (per 1,000 population), converted into index of 1 (lowest divorce rates) to 5 (highest). Sources: Euromonitor</w:t>
            </w:r>
            <w:r w:rsidR="007C3B9A">
              <w:rPr>
                <w:rFonts w:ascii="Garamond" w:hAnsi="Garamond"/>
                <w:sz w:val="28"/>
                <w:szCs w:val="28"/>
                <w:lang w:val="en-US"/>
              </w:rPr>
              <w:t xml:space="preserve"> International</w:t>
            </w:r>
          </w:p>
        </w:tc>
      </w:tr>
      <w:tr w:rsidR="003C51B1" w:rsidRPr="003E1ECE" w14:paraId="0C125CB7" w14:textId="77777777" w:rsidTr="003771E6">
        <w:trPr>
          <w:trHeight w:val="910"/>
          <w:jc w:val="right"/>
        </w:trPr>
        <w:tc>
          <w:tcPr>
            <w:tcW w:w="41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AC9DF64" w14:textId="77777777" w:rsidR="003C51B1" w:rsidRPr="003E1ECE" w:rsidRDefault="007C3B9A" w:rsidP="008A5AA7">
            <w:pPr>
              <w:pStyle w:val="a4"/>
              <w:widowControl w:val="0"/>
              <w:spacing w:line="240" w:lineRule="atLeast"/>
              <w:jc w:val="center"/>
              <w:rPr>
                <w:rFonts w:ascii="Garamond" w:hAnsi="Garamond"/>
                <w:sz w:val="28"/>
                <w:szCs w:val="28"/>
              </w:rPr>
            </w:pPr>
            <w:r>
              <w:rPr>
                <w:rFonts w:ascii="Garamond" w:hAnsi="Garamond"/>
                <w:sz w:val="28"/>
                <w:szCs w:val="28"/>
              </w:rPr>
              <w:t>5</w:t>
            </w:r>
          </w:p>
        </w:tc>
        <w:tc>
          <w:tcPr>
            <w:tcW w:w="1843"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D8BB6D9"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Community life</w:t>
            </w:r>
          </w:p>
        </w:tc>
        <w:tc>
          <w:tcPr>
            <w:tcW w:w="72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3F29387"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 xml:space="preserve">Dummy variable taking </w:t>
            </w:r>
            <w:r w:rsidR="007C3B9A">
              <w:rPr>
                <w:rFonts w:ascii="Garamond" w:hAnsi="Garamond"/>
                <w:sz w:val="28"/>
                <w:szCs w:val="28"/>
                <w:lang w:val="en-US"/>
              </w:rPr>
              <w:t xml:space="preserve">the </w:t>
            </w:r>
            <w:r w:rsidRPr="003E1ECE">
              <w:rPr>
                <w:rFonts w:ascii="Garamond" w:hAnsi="Garamond"/>
                <w:sz w:val="28"/>
                <w:szCs w:val="28"/>
                <w:lang w:val="en-US"/>
              </w:rPr>
              <w:t>value</w:t>
            </w:r>
            <w:r w:rsidR="007C3B9A">
              <w:rPr>
                <w:rFonts w:ascii="Garamond" w:hAnsi="Garamond"/>
                <w:sz w:val="28"/>
                <w:szCs w:val="28"/>
                <w:lang w:val="en-US"/>
              </w:rPr>
              <w:t xml:space="preserve"> of</w:t>
            </w:r>
            <w:r w:rsidRPr="003E1ECE">
              <w:rPr>
                <w:rFonts w:ascii="Garamond" w:hAnsi="Garamond"/>
                <w:sz w:val="28"/>
                <w:szCs w:val="28"/>
                <w:lang w:val="en-US"/>
              </w:rPr>
              <w:t xml:space="preserve"> 1 if</w:t>
            </w:r>
            <w:r w:rsidR="007C3B9A">
              <w:rPr>
                <w:rFonts w:ascii="Garamond" w:hAnsi="Garamond"/>
                <w:sz w:val="28"/>
                <w:szCs w:val="28"/>
                <w:lang w:val="en-US"/>
              </w:rPr>
              <w:t xml:space="preserve"> the</w:t>
            </w:r>
            <w:r w:rsidRPr="003E1ECE">
              <w:rPr>
                <w:rFonts w:ascii="Garamond" w:hAnsi="Garamond"/>
                <w:sz w:val="28"/>
                <w:szCs w:val="28"/>
                <w:lang w:val="en-US"/>
              </w:rPr>
              <w:t xml:space="preserve"> country has either high rate of church attendance or trade-union membership; zero otherwise. Sources: </w:t>
            </w:r>
            <w:r w:rsidR="007C3B9A" w:rsidRPr="003E1ECE">
              <w:rPr>
                <w:rFonts w:ascii="Garamond" w:hAnsi="Garamond"/>
                <w:sz w:val="28"/>
                <w:szCs w:val="28"/>
                <w:lang w:val="en-US"/>
              </w:rPr>
              <w:t>ILO</w:t>
            </w:r>
            <w:r w:rsidRPr="003E1ECE">
              <w:rPr>
                <w:rFonts w:ascii="Garamond" w:hAnsi="Garamond"/>
                <w:sz w:val="28"/>
                <w:szCs w:val="28"/>
                <w:lang w:val="en-US"/>
              </w:rPr>
              <w:t xml:space="preserve">; World Values Survey </w:t>
            </w:r>
          </w:p>
        </w:tc>
      </w:tr>
      <w:tr w:rsidR="003771E6" w:rsidRPr="003E1ECE" w14:paraId="1AFF98CE" w14:textId="77777777" w:rsidTr="003771E6">
        <w:trPr>
          <w:trHeight w:val="284"/>
          <w:jc w:val="right"/>
        </w:trPr>
        <w:tc>
          <w:tcPr>
            <w:tcW w:w="9455" w:type="dxa"/>
            <w:gridSpan w:val="4"/>
            <w:tcBorders>
              <w:top w:val="nil"/>
              <w:left w:val="nil"/>
              <w:bottom w:val="single" w:sz="8" w:space="0" w:color="000000"/>
              <w:right w:val="nil"/>
            </w:tcBorders>
            <w:shd w:val="clear" w:color="auto" w:fill="auto"/>
            <w:tcMar>
              <w:top w:w="0" w:type="dxa"/>
              <w:left w:w="28" w:type="dxa"/>
              <w:bottom w:w="0" w:type="dxa"/>
              <w:right w:w="28" w:type="dxa"/>
            </w:tcMar>
          </w:tcPr>
          <w:p w14:paraId="377B9493" w14:textId="77777777" w:rsidR="003771E6" w:rsidRPr="003771E6" w:rsidRDefault="003771E6" w:rsidP="003771E6">
            <w:pPr>
              <w:tabs>
                <w:tab w:val="left" w:pos="2307"/>
              </w:tabs>
              <w:rPr>
                <w:lang w:val="en-US"/>
              </w:rPr>
            </w:pPr>
            <w:r>
              <w:rPr>
                <w:rFonts w:cs="Arial Unicode MS"/>
                <w:sz w:val="28"/>
                <w:szCs w:val="28"/>
                <w:u w:color="000000"/>
                <w:lang w:val="en-US"/>
              </w:rPr>
              <w:lastRenderedPageBreak/>
              <w:t>Continuation of Table 6.6</w:t>
            </w:r>
          </w:p>
        </w:tc>
      </w:tr>
      <w:tr w:rsidR="003771E6" w:rsidRPr="003E1ECE" w14:paraId="0CE1E428" w14:textId="77777777" w:rsidTr="003771E6">
        <w:trPr>
          <w:trHeight w:val="310"/>
          <w:jc w:val="right"/>
        </w:trPr>
        <w:tc>
          <w:tcPr>
            <w:tcW w:w="2013" w:type="dxa"/>
            <w:gridSpan w:val="2"/>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5A95E2A9" w14:textId="77777777" w:rsidR="003771E6" w:rsidRPr="003E1ECE" w:rsidRDefault="003771E6" w:rsidP="00EC1B39">
            <w:pPr>
              <w:pStyle w:val="a4"/>
              <w:widowControl w:val="0"/>
              <w:spacing w:line="240" w:lineRule="atLeast"/>
              <w:jc w:val="center"/>
              <w:rPr>
                <w:rFonts w:ascii="Garamond" w:hAnsi="Garamond"/>
                <w:sz w:val="28"/>
                <w:szCs w:val="28"/>
              </w:rPr>
            </w:pPr>
            <w:r w:rsidRPr="003E1ECE">
              <w:rPr>
                <w:rFonts w:ascii="Garamond" w:hAnsi="Garamond"/>
                <w:sz w:val="28"/>
                <w:szCs w:val="28"/>
                <w:lang w:val="da-DK"/>
              </w:rPr>
              <w:t>Determinant</w:t>
            </w:r>
          </w:p>
        </w:tc>
        <w:tc>
          <w:tcPr>
            <w:tcW w:w="7442" w:type="dxa"/>
            <w:gridSpan w:val="2"/>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432566B4" w14:textId="77777777" w:rsidR="003771E6" w:rsidRPr="003E1ECE" w:rsidRDefault="003771E6" w:rsidP="00EC1B39">
            <w:pPr>
              <w:pStyle w:val="a4"/>
              <w:widowControl w:val="0"/>
              <w:spacing w:line="240" w:lineRule="atLeast"/>
              <w:jc w:val="center"/>
              <w:rPr>
                <w:rFonts w:ascii="Garamond" w:hAnsi="Garamond"/>
                <w:sz w:val="28"/>
                <w:szCs w:val="28"/>
              </w:rPr>
            </w:pPr>
            <w:r w:rsidRPr="003E1ECE">
              <w:rPr>
                <w:rFonts w:ascii="Garamond" w:hAnsi="Garamond"/>
                <w:sz w:val="28"/>
                <w:szCs w:val="28"/>
                <w:lang w:val="fr-FR"/>
              </w:rPr>
              <w:t>Explanation/ Source</w:t>
            </w:r>
          </w:p>
        </w:tc>
      </w:tr>
      <w:tr w:rsidR="003C51B1" w:rsidRPr="003E1ECE" w14:paraId="55BCBC41" w14:textId="77777777" w:rsidTr="003771E6">
        <w:trPr>
          <w:trHeight w:val="610"/>
          <w:jc w:val="right"/>
        </w:trPr>
        <w:tc>
          <w:tcPr>
            <w:tcW w:w="41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0FA8110" w14:textId="77777777" w:rsidR="003C51B1" w:rsidRPr="003E1ECE" w:rsidRDefault="007C3B9A" w:rsidP="008A5AA7">
            <w:pPr>
              <w:pStyle w:val="a4"/>
              <w:widowControl w:val="0"/>
              <w:spacing w:line="240" w:lineRule="atLeast"/>
              <w:jc w:val="center"/>
              <w:rPr>
                <w:rFonts w:ascii="Garamond" w:hAnsi="Garamond"/>
                <w:sz w:val="28"/>
                <w:szCs w:val="28"/>
              </w:rPr>
            </w:pPr>
            <w:r>
              <w:rPr>
                <w:rFonts w:ascii="Garamond" w:hAnsi="Garamond"/>
                <w:sz w:val="28"/>
                <w:szCs w:val="28"/>
              </w:rPr>
              <w:t>6</w:t>
            </w:r>
          </w:p>
        </w:tc>
        <w:tc>
          <w:tcPr>
            <w:tcW w:w="16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53614EF"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Climate and geography</w:t>
            </w:r>
          </w:p>
        </w:tc>
        <w:tc>
          <w:tcPr>
            <w:tcW w:w="7442"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6CDF1A8"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 xml:space="preserve">Latitude, to distinguish between warmer and colder climes. Source: </w:t>
            </w:r>
            <w:r w:rsidR="007C3B9A">
              <w:rPr>
                <w:rFonts w:ascii="Garamond" w:hAnsi="Garamond"/>
                <w:sz w:val="28"/>
                <w:szCs w:val="28"/>
                <w:lang w:val="en-US"/>
              </w:rPr>
              <w:t xml:space="preserve">The </w:t>
            </w:r>
            <w:r w:rsidR="007C3B9A" w:rsidRPr="003E1ECE">
              <w:rPr>
                <w:rFonts w:ascii="Garamond" w:hAnsi="Garamond"/>
                <w:sz w:val="28"/>
                <w:szCs w:val="28"/>
                <w:lang w:val="en-US"/>
              </w:rPr>
              <w:t>CIA</w:t>
            </w:r>
            <w:r w:rsidRPr="003E1ECE">
              <w:rPr>
                <w:rFonts w:ascii="Garamond" w:hAnsi="Garamond"/>
                <w:sz w:val="28"/>
                <w:szCs w:val="28"/>
                <w:lang w:val="en-US"/>
              </w:rPr>
              <w:t xml:space="preserve"> World Factbook</w:t>
            </w:r>
          </w:p>
        </w:tc>
      </w:tr>
      <w:tr w:rsidR="003C51B1" w:rsidRPr="003E1ECE" w14:paraId="46CD34A5" w14:textId="77777777" w:rsidTr="003771E6">
        <w:trPr>
          <w:trHeight w:val="273"/>
          <w:jc w:val="right"/>
        </w:trPr>
        <w:tc>
          <w:tcPr>
            <w:tcW w:w="41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48EFDFA" w14:textId="77777777" w:rsidR="003C51B1" w:rsidRPr="003E1ECE" w:rsidRDefault="003C51B1" w:rsidP="008A5AA7">
            <w:pPr>
              <w:pStyle w:val="a4"/>
              <w:widowControl w:val="0"/>
              <w:spacing w:line="240" w:lineRule="atLeast"/>
              <w:jc w:val="center"/>
              <w:rPr>
                <w:rFonts w:ascii="Garamond" w:hAnsi="Garamond"/>
                <w:sz w:val="28"/>
                <w:szCs w:val="28"/>
              </w:rPr>
            </w:pPr>
            <w:r w:rsidRPr="003E1ECE">
              <w:rPr>
                <w:rFonts w:ascii="Garamond" w:hAnsi="Garamond"/>
                <w:sz w:val="28"/>
                <w:szCs w:val="28"/>
                <w:shd w:val="clear" w:color="auto" w:fill="FFFFFF"/>
              </w:rPr>
              <w:t>7</w:t>
            </w:r>
          </w:p>
        </w:tc>
        <w:tc>
          <w:tcPr>
            <w:tcW w:w="16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CB23D08"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Job security</w:t>
            </w:r>
          </w:p>
        </w:tc>
        <w:tc>
          <w:tcPr>
            <w:tcW w:w="7442"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CDC3440"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 xml:space="preserve">Unemployment rate, %. Sources: Economist Intelligence Unit; </w:t>
            </w:r>
            <w:r w:rsidR="007C3B9A" w:rsidRPr="003E1ECE">
              <w:rPr>
                <w:rFonts w:ascii="Garamond" w:hAnsi="Garamond"/>
                <w:sz w:val="28"/>
                <w:szCs w:val="28"/>
                <w:lang w:val="en-US"/>
              </w:rPr>
              <w:t>ILO</w:t>
            </w:r>
          </w:p>
        </w:tc>
      </w:tr>
      <w:tr w:rsidR="003C51B1" w:rsidRPr="003E1ECE" w14:paraId="2B86C0C7" w14:textId="77777777" w:rsidTr="003771E6">
        <w:trPr>
          <w:trHeight w:val="610"/>
          <w:jc w:val="right"/>
        </w:trPr>
        <w:tc>
          <w:tcPr>
            <w:tcW w:w="41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9697D06" w14:textId="77777777" w:rsidR="003C51B1" w:rsidRPr="003E1ECE" w:rsidRDefault="003C51B1" w:rsidP="008A5AA7">
            <w:pPr>
              <w:pStyle w:val="a4"/>
              <w:widowControl w:val="0"/>
              <w:spacing w:line="240" w:lineRule="atLeast"/>
              <w:jc w:val="center"/>
              <w:rPr>
                <w:rFonts w:ascii="Garamond" w:hAnsi="Garamond"/>
                <w:sz w:val="28"/>
                <w:szCs w:val="28"/>
              </w:rPr>
            </w:pPr>
            <w:r w:rsidRPr="003E1ECE">
              <w:rPr>
                <w:rFonts w:ascii="Garamond" w:hAnsi="Garamond"/>
                <w:sz w:val="28"/>
                <w:szCs w:val="28"/>
                <w:shd w:val="clear" w:color="auto" w:fill="FFFFFF"/>
              </w:rPr>
              <w:t>8</w:t>
            </w:r>
          </w:p>
        </w:tc>
        <w:tc>
          <w:tcPr>
            <w:tcW w:w="16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EEE3C46"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Political freedom</w:t>
            </w:r>
          </w:p>
        </w:tc>
        <w:tc>
          <w:tcPr>
            <w:tcW w:w="7442"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48B3540"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 xml:space="preserve">Average of indices of political and civil liberties. Scale of 1 (completely free) to 7 (unfree). Source: Freedom House </w:t>
            </w:r>
          </w:p>
        </w:tc>
      </w:tr>
      <w:tr w:rsidR="003C51B1" w:rsidRPr="003E1ECE" w14:paraId="647AB8AB" w14:textId="77777777" w:rsidTr="003771E6">
        <w:trPr>
          <w:trHeight w:val="610"/>
          <w:jc w:val="right"/>
        </w:trPr>
        <w:tc>
          <w:tcPr>
            <w:tcW w:w="41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B9E54AD" w14:textId="77777777" w:rsidR="003C51B1" w:rsidRPr="003E1ECE" w:rsidRDefault="003C51B1" w:rsidP="008A5AA7">
            <w:pPr>
              <w:pStyle w:val="a4"/>
              <w:widowControl w:val="0"/>
              <w:spacing w:line="240" w:lineRule="atLeast"/>
              <w:jc w:val="center"/>
              <w:rPr>
                <w:rFonts w:ascii="Garamond" w:hAnsi="Garamond"/>
                <w:sz w:val="28"/>
                <w:szCs w:val="28"/>
              </w:rPr>
            </w:pPr>
            <w:r w:rsidRPr="003E1ECE">
              <w:rPr>
                <w:rFonts w:ascii="Garamond" w:hAnsi="Garamond"/>
                <w:sz w:val="28"/>
                <w:szCs w:val="28"/>
                <w:shd w:val="clear" w:color="auto" w:fill="FFFFFF"/>
              </w:rPr>
              <w:t>9</w:t>
            </w:r>
          </w:p>
        </w:tc>
        <w:tc>
          <w:tcPr>
            <w:tcW w:w="16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4236E81"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Gender equality</w:t>
            </w:r>
          </w:p>
        </w:tc>
        <w:tc>
          <w:tcPr>
            <w:tcW w:w="7442" w:type="dxa"/>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E5315DE" w14:textId="77777777" w:rsidR="003C51B1" w:rsidRPr="003E1ECE" w:rsidRDefault="003C51B1" w:rsidP="008A5AA7">
            <w:pPr>
              <w:pStyle w:val="a4"/>
              <w:widowControl w:val="0"/>
              <w:spacing w:line="240" w:lineRule="atLeast"/>
              <w:rPr>
                <w:rFonts w:ascii="Garamond" w:hAnsi="Garamond"/>
                <w:sz w:val="28"/>
                <w:szCs w:val="28"/>
              </w:rPr>
            </w:pPr>
            <w:r w:rsidRPr="003E1ECE">
              <w:rPr>
                <w:rFonts w:ascii="Garamond" w:hAnsi="Garamond"/>
                <w:sz w:val="28"/>
                <w:szCs w:val="28"/>
                <w:lang w:val="en-US"/>
              </w:rPr>
              <w:t xml:space="preserve">Ratio of average male and female earnings, latest available data. Source: </w:t>
            </w:r>
            <w:r w:rsidR="007C3B9A">
              <w:rPr>
                <w:rFonts w:ascii="Garamond" w:hAnsi="Garamond"/>
                <w:sz w:val="28"/>
                <w:szCs w:val="28"/>
                <w:lang w:val="en-US"/>
              </w:rPr>
              <w:t xml:space="preserve">The </w:t>
            </w:r>
            <w:r w:rsidR="007C3B9A" w:rsidRPr="003E1ECE">
              <w:rPr>
                <w:rFonts w:ascii="Garamond" w:hAnsi="Garamond"/>
                <w:sz w:val="28"/>
                <w:szCs w:val="28"/>
                <w:lang w:val="en-US"/>
              </w:rPr>
              <w:t>UNDP</w:t>
            </w:r>
            <w:r w:rsidRPr="003E1ECE">
              <w:rPr>
                <w:rFonts w:ascii="Garamond" w:hAnsi="Garamond"/>
                <w:sz w:val="28"/>
                <w:szCs w:val="28"/>
                <w:lang w:val="en-US"/>
              </w:rPr>
              <w:t xml:space="preserve"> Human Development Report</w:t>
            </w:r>
          </w:p>
        </w:tc>
      </w:tr>
    </w:tbl>
    <w:p w14:paraId="530B5BDA" w14:textId="77777777" w:rsidR="003C51B1" w:rsidRPr="003E1ECE" w:rsidRDefault="003C51B1" w:rsidP="003C51B1">
      <w:pPr>
        <w:pStyle w:val="a4"/>
        <w:jc w:val="right"/>
        <w:rPr>
          <w:rFonts w:ascii="Garamond" w:eastAsia="Times New Roman" w:hAnsi="Garamond" w:cs="Times New Roman"/>
          <w:sz w:val="28"/>
          <w:szCs w:val="28"/>
          <w:shd w:val="clear" w:color="auto" w:fill="FFFFFF"/>
        </w:rPr>
      </w:pPr>
    </w:p>
    <w:p w14:paraId="75CF8AF7" w14:textId="77777777" w:rsidR="003C51B1" w:rsidRPr="008A5AA7" w:rsidRDefault="003C51B1" w:rsidP="006F749C">
      <w:pPr>
        <w:pStyle w:val="ListParagraph"/>
        <w:numPr>
          <w:ilvl w:val="0"/>
          <w:numId w:val="164"/>
        </w:numPr>
        <w:spacing w:after="0" w:line="240" w:lineRule="atLeast"/>
        <w:ind w:left="426"/>
        <w:jc w:val="both"/>
        <w:rPr>
          <w:rFonts w:ascii="Garamond" w:hAnsi="Garamond"/>
          <w:szCs w:val="28"/>
          <w:lang w:val="en-US" w:eastAsia="ru-RU"/>
        </w:rPr>
      </w:pPr>
      <w:r w:rsidRPr="003E1ECE">
        <w:rPr>
          <w:rFonts w:ascii="Garamond" w:hAnsi="Garamond"/>
          <w:szCs w:val="28"/>
          <w:lang w:val="en-US" w:eastAsia="ru-RU"/>
        </w:rPr>
        <w:t xml:space="preserve">Using Ukraine’s household total resources data </w:t>
      </w:r>
      <w:r w:rsidR="008A5AA7">
        <w:rPr>
          <w:rFonts w:ascii="Garamond" w:hAnsi="Garamond"/>
          <w:szCs w:val="28"/>
          <w:lang w:val="en-US" w:eastAsia="ru-RU"/>
        </w:rPr>
        <w:t xml:space="preserve">(see </w:t>
      </w:r>
      <w:r w:rsidR="007C3B9A">
        <w:rPr>
          <w:rFonts w:ascii="Garamond" w:hAnsi="Garamond"/>
          <w:szCs w:val="28"/>
          <w:lang w:val="en-US" w:eastAsia="ru-RU"/>
        </w:rPr>
        <w:t>T</w:t>
      </w:r>
      <w:r w:rsidR="008A5AA7">
        <w:rPr>
          <w:rFonts w:ascii="Garamond" w:hAnsi="Garamond"/>
          <w:szCs w:val="28"/>
          <w:lang w:val="en-US" w:eastAsia="ru-RU"/>
        </w:rPr>
        <w:t xml:space="preserve">able </w:t>
      </w:r>
      <w:r w:rsidR="00712E1F">
        <w:rPr>
          <w:rFonts w:ascii="Garamond" w:hAnsi="Garamond"/>
          <w:szCs w:val="28"/>
          <w:lang w:val="en-US" w:eastAsia="ru-RU"/>
        </w:rPr>
        <w:t>6.3</w:t>
      </w:r>
      <w:r w:rsidR="008A5AA7">
        <w:rPr>
          <w:rFonts w:ascii="Garamond" w:hAnsi="Garamond"/>
          <w:szCs w:val="28"/>
          <w:lang w:val="en-US" w:eastAsia="ru-RU"/>
        </w:rPr>
        <w:t xml:space="preserve">) </w:t>
      </w:r>
      <w:r w:rsidRPr="003E1ECE">
        <w:rPr>
          <w:rFonts w:ascii="Garamond" w:hAnsi="Garamond"/>
          <w:szCs w:val="28"/>
          <w:lang w:val="en-US" w:eastAsia="ru-RU"/>
        </w:rPr>
        <w:t xml:space="preserve">that provide valuable insights into a range of social and economic issues, </w:t>
      </w:r>
      <w:r w:rsidR="008A5AA7" w:rsidRPr="003E1ECE">
        <w:rPr>
          <w:rFonts w:ascii="Garamond" w:hAnsi="Garamond"/>
          <w:szCs w:val="28"/>
          <w:lang w:val="en-US" w:eastAsia="ru-RU"/>
        </w:rPr>
        <w:t>analyze</w:t>
      </w:r>
      <w:r w:rsidRPr="003E1ECE">
        <w:rPr>
          <w:rFonts w:ascii="Garamond" w:hAnsi="Garamond"/>
          <w:szCs w:val="28"/>
          <w:lang w:val="en-US" w:eastAsia="ru-RU"/>
        </w:rPr>
        <w:t>: (i) income growth</w:t>
      </w:r>
      <w:r w:rsidR="007C3B9A">
        <w:rPr>
          <w:rFonts w:ascii="Garamond" w:hAnsi="Garamond"/>
          <w:szCs w:val="28"/>
          <w:lang w:val="en-US" w:eastAsia="ru-RU"/>
        </w:rPr>
        <w:t xml:space="preserve"> and</w:t>
      </w:r>
      <w:r w:rsidRPr="003E1ECE">
        <w:rPr>
          <w:rFonts w:ascii="Garamond" w:hAnsi="Garamond"/>
          <w:szCs w:val="28"/>
          <w:lang w:val="en-US" w:eastAsia="ru-RU"/>
        </w:rPr>
        <w:t xml:space="preserve"> (ii) sources of income. </w:t>
      </w:r>
    </w:p>
    <w:p w14:paraId="36131E97" w14:textId="77777777" w:rsidR="003C51B1" w:rsidRPr="007C3B9A" w:rsidRDefault="003C51B1" w:rsidP="003C51B1">
      <w:pPr>
        <w:pStyle w:val="a4"/>
        <w:jc w:val="both"/>
        <w:rPr>
          <w:rFonts w:ascii="Garamond" w:eastAsia="Times New Roman" w:hAnsi="Garamond" w:cs="Times New Roman"/>
          <w:sz w:val="28"/>
          <w:szCs w:val="28"/>
          <w:lang w:val="en-US"/>
        </w:rPr>
      </w:pPr>
    </w:p>
    <w:p w14:paraId="1689603F" w14:textId="77777777" w:rsidR="003C51B1" w:rsidRDefault="008A5AA7" w:rsidP="006F749C">
      <w:pPr>
        <w:pStyle w:val="ListParagraph"/>
        <w:numPr>
          <w:ilvl w:val="0"/>
          <w:numId w:val="164"/>
        </w:numPr>
        <w:spacing w:after="0" w:line="240" w:lineRule="atLeast"/>
        <w:ind w:left="426"/>
        <w:jc w:val="both"/>
        <w:rPr>
          <w:rFonts w:ascii="Garamond" w:hAnsi="Garamond"/>
          <w:szCs w:val="28"/>
          <w:lang w:val="en-US" w:eastAsia="ru-RU"/>
        </w:rPr>
      </w:pPr>
      <w:r w:rsidRPr="003E1ECE">
        <w:rPr>
          <w:rFonts w:ascii="Garamond" w:hAnsi="Garamond"/>
          <w:szCs w:val="28"/>
          <w:lang w:val="en-US" w:eastAsia="ru-RU"/>
        </w:rPr>
        <w:t>Analyze</w:t>
      </w:r>
      <w:r w:rsidR="003C51B1" w:rsidRPr="003E1ECE">
        <w:rPr>
          <w:rFonts w:ascii="Garamond" w:hAnsi="Garamond"/>
          <w:szCs w:val="28"/>
          <w:lang w:val="en-US" w:eastAsia="ru-RU"/>
        </w:rPr>
        <w:t xml:space="preserve"> dynamics changes in the distribution of Ukraine's population by average monthly per </w:t>
      </w:r>
      <w:r w:rsidR="007C3B9A">
        <w:rPr>
          <w:rFonts w:ascii="Garamond" w:hAnsi="Garamond"/>
          <w:szCs w:val="28"/>
          <w:lang w:val="en-US" w:eastAsia="ru-RU"/>
        </w:rPr>
        <w:t>capita money income during 2005–</w:t>
      </w:r>
      <w:r w:rsidR="003C51B1" w:rsidRPr="003E1ECE">
        <w:rPr>
          <w:rFonts w:ascii="Garamond" w:hAnsi="Garamond"/>
          <w:szCs w:val="28"/>
          <w:lang w:val="en-US" w:eastAsia="ru-RU"/>
        </w:rPr>
        <w:t xml:space="preserve">2014 shown in the </w:t>
      </w:r>
      <w:r w:rsidR="007C3B9A">
        <w:rPr>
          <w:rFonts w:ascii="Garamond" w:hAnsi="Garamond"/>
          <w:szCs w:val="28"/>
          <w:lang w:val="en-US" w:eastAsia="ru-RU"/>
        </w:rPr>
        <w:t>T</w:t>
      </w:r>
      <w:r w:rsidR="003C51B1" w:rsidRPr="003E1ECE">
        <w:rPr>
          <w:rFonts w:ascii="Garamond" w:hAnsi="Garamond"/>
          <w:szCs w:val="28"/>
          <w:lang w:val="en-US" w:eastAsia="ru-RU"/>
        </w:rPr>
        <w:t>able 6.</w:t>
      </w:r>
      <w:r w:rsidR="00666D6C">
        <w:rPr>
          <w:rFonts w:ascii="Garamond" w:hAnsi="Garamond"/>
          <w:szCs w:val="28"/>
          <w:lang w:val="en-US" w:eastAsia="ru-RU"/>
        </w:rPr>
        <w:t>7</w:t>
      </w:r>
      <w:r w:rsidR="003C51B1" w:rsidRPr="003E1ECE">
        <w:rPr>
          <w:rFonts w:ascii="Garamond" w:hAnsi="Garamond"/>
          <w:szCs w:val="28"/>
          <w:lang w:val="en-US" w:eastAsia="ru-RU"/>
        </w:rPr>
        <w:t>. Estimate the equality in the income distribution in Ukraine.</w:t>
      </w:r>
    </w:p>
    <w:p w14:paraId="2F3E1F1D" w14:textId="77777777" w:rsidR="0072591B" w:rsidRPr="00712E1F" w:rsidRDefault="0072591B" w:rsidP="00712E1F">
      <w:pPr>
        <w:pStyle w:val="ListParagraph"/>
        <w:spacing w:after="0" w:line="240" w:lineRule="atLeast"/>
        <w:ind w:left="426"/>
        <w:jc w:val="both"/>
        <w:rPr>
          <w:rFonts w:ascii="Garamond" w:hAnsi="Garamond"/>
          <w:szCs w:val="28"/>
          <w:lang w:val="en-US" w:eastAsia="ru-RU"/>
        </w:rPr>
      </w:pPr>
    </w:p>
    <w:p w14:paraId="7D3C6749" w14:textId="77777777" w:rsidR="003C51B1" w:rsidRPr="00CB5C12" w:rsidRDefault="003C51B1" w:rsidP="00CB5C12">
      <w:pPr>
        <w:pStyle w:val="a4"/>
        <w:jc w:val="both"/>
        <w:rPr>
          <w:rFonts w:ascii="Garamond" w:hAnsi="Garamond"/>
          <w:b/>
          <w:sz w:val="28"/>
          <w:szCs w:val="28"/>
          <w:vertAlign w:val="superscript"/>
          <w:lang w:val="en-US"/>
        </w:rPr>
      </w:pPr>
      <w:r w:rsidRPr="00712E1F">
        <w:rPr>
          <w:rFonts w:ascii="Garamond" w:hAnsi="Garamond"/>
          <w:b/>
          <w:sz w:val="28"/>
          <w:szCs w:val="28"/>
          <w:lang w:val="en-US"/>
        </w:rPr>
        <w:t>Table 6.</w:t>
      </w:r>
      <w:r w:rsidR="00666D6C">
        <w:rPr>
          <w:rFonts w:ascii="Garamond" w:hAnsi="Garamond"/>
          <w:b/>
          <w:sz w:val="28"/>
          <w:szCs w:val="28"/>
          <w:lang w:val="en-US"/>
        </w:rPr>
        <w:t>7</w:t>
      </w:r>
      <w:r w:rsidR="003771E6">
        <w:rPr>
          <w:rFonts w:ascii="Garamond" w:hAnsi="Garamond"/>
          <w:b/>
          <w:sz w:val="28"/>
          <w:szCs w:val="28"/>
          <w:lang w:val="en-US"/>
        </w:rPr>
        <w:t xml:space="preserve"> – </w:t>
      </w:r>
      <w:r w:rsidRPr="00712E1F">
        <w:rPr>
          <w:rFonts w:ascii="Garamond" w:hAnsi="Garamond"/>
          <w:b/>
          <w:sz w:val="28"/>
          <w:szCs w:val="28"/>
          <w:lang w:val="en-US"/>
        </w:rPr>
        <w:t>Distribution of the population by average per capita equivalent total income</w:t>
      </w:r>
      <w:r w:rsidR="00CB5C12">
        <w:rPr>
          <w:rFonts w:ascii="Garamond" w:hAnsi="Garamond"/>
          <w:b/>
          <w:sz w:val="28"/>
          <w:szCs w:val="28"/>
          <w:vertAlign w:val="superscript"/>
          <w:lang w:val="en-US"/>
        </w:rPr>
        <w:t>1</w:t>
      </w:r>
    </w:p>
    <w:tbl>
      <w:tblPr>
        <w:tblStyle w:val="TableNormal1"/>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2074"/>
        <w:gridCol w:w="711"/>
        <w:gridCol w:w="620"/>
        <w:gridCol w:w="726"/>
        <w:gridCol w:w="726"/>
        <w:gridCol w:w="817"/>
        <w:gridCol w:w="878"/>
        <w:gridCol w:w="757"/>
        <w:gridCol w:w="772"/>
        <w:gridCol w:w="636"/>
        <w:gridCol w:w="740"/>
      </w:tblGrid>
      <w:tr w:rsidR="00712E1F" w:rsidRPr="00712E1F" w14:paraId="5623A05B" w14:textId="77777777" w:rsidTr="00CB5C12">
        <w:trPr>
          <w:trHeight w:val="178"/>
        </w:trPr>
        <w:tc>
          <w:tcPr>
            <w:tcW w:w="1097" w:type="pct"/>
            <w:vMerge w:val="restart"/>
            <w:tcBorders>
              <w:top w:val="single" w:sz="6" w:space="0" w:color="444444"/>
              <w:left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11534DDD" w14:textId="77777777" w:rsidR="00712E1F" w:rsidRPr="00CB5C12" w:rsidRDefault="00712E1F" w:rsidP="00712E1F">
            <w:pPr>
              <w:pStyle w:val="a4"/>
              <w:spacing w:line="240" w:lineRule="atLeast"/>
              <w:jc w:val="center"/>
              <w:rPr>
                <w:rFonts w:ascii="Garamond" w:hAnsi="Garamond"/>
                <w:color w:val="2B2B2B"/>
                <w:sz w:val="26"/>
                <w:szCs w:val="26"/>
              </w:rPr>
            </w:pPr>
            <w:r w:rsidRPr="00CB5C12">
              <w:rPr>
                <w:rFonts w:ascii="Garamond" w:hAnsi="Garamond"/>
                <w:color w:val="2B2B2B"/>
                <w:sz w:val="26"/>
                <w:szCs w:val="26"/>
              </w:rPr>
              <w:t xml:space="preserve"> </w:t>
            </w:r>
          </w:p>
        </w:tc>
        <w:tc>
          <w:tcPr>
            <w:tcW w:w="3903" w:type="pct"/>
            <w:gridSpan w:val="10"/>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43DED1CE" w14:textId="77777777" w:rsidR="00712E1F" w:rsidRPr="00CB5C12" w:rsidRDefault="00712E1F" w:rsidP="00712E1F">
            <w:pPr>
              <w:pStyle w:val="a4"/>
              <w:spacing w:line="240" w:lineRule="atLeast"/>
              <w:jc w:val="center"/>
              <w:rPr>
                <w:rFonts w:ascii="Garamond" w:hAnsi="Garamond"/>
                <w:color w:val="2B2B2B"/>
                <w:sz w:val="26"/>
                <w:szCs w:val="26"/>
              </w:rPr>
            </w:pPr>
            <w:r w:rsidRPr="00CB5C12">
              <w:rPr>
                <w:rFonts w:ascii="Garamond" w:hAnsi="Garamond"/>
                <w:color w:val="2B2B2B"/>
                <w:sz w:val="26"/>
                <w:szCs w:val="26"/>
              </w:rPr>
              <w:t>Year</w:t>
            </w:r>
          </w:p>
        </w:tc>
      </w:tr>
      <w:tr w:rsidR="00712E1F" w:rsidRPr="00712E1F" w14:paraId="2479D2B8" w14:textId="77777777" w:rsidTr="00CB5C12">
        <w:trPr>
          <w:trHeight w:val="296"/>
        </w:trPr>
        <w:tc>
          <w:tcPr>
            <w:tcW w:w="1097" w:type="pct"/>
            <w:vMerge/>
            <w:tcBorders>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2FCB98B4" w14:textId="77777777" w:rsidR="00712E1F" w:rsidRPr="00CB5C12" w:rsidRDefault="00712E1F" w:rsidP="00712E1F">
            <w:pPr>
              <w:pStyle w:val="a4"/>
              <w:spacing w:line="240" w:lineRule="atLeast"/>
              <w:jc w:val="center"/>
              <w:rPr>
                <w:rFonts w:ascii="Garamond" w:hAnsi="Garamond"/>
                <w:sz w:val="26"/>
                <w:szCs w:val="26"/>
              </w:rPr>
            </w:pPr>
          </w:p>
        </w:tc>
        <w:tc>
          <w:tcPr>
            <w:tcW w:w="376"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30ADFC78" w14:textId="77777777" w:rsidR="00712E1F" w:rsidRPr="00CB5C12" w:rsidRDefault="00712E1F" w:rsidP="00712E1F">
            <w:pPr>
              <w:pStyle w:val="a4"/>
              <w:spacing w:line="240" w:lineRule="atLeast"/>
              <w:jc w:val="center"/>
              <w:rPr>
                <w:rFonts w:ascii="Garamond" w:hAnsi="Garamond"/>
                <w:sz w:val="26"/>
                <w:szCs w:val="26"/>
              </w:rPr>
            </w:pPr>
            <w:r w:rsidRPr="00CB5C12">
              <w:rPr>
                <w:rFonts w:ascii="Garamond" w:hAnsi="Garamond"/>
                <w:color w:val="2B2B2B"/>
                <w:sz w:val="26"/>
                <w:szCs w:val="26"/>
              </w:rPr>
              <w:t>2005</w:t>
            </w:r>
          </w:p>
        </w:tc>
        <w:tc>
          <w:tcPr>
            <w:tcW w:w="328"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1DBB6196" w14:textId="77777777" w:rsidR="00712E1F" w:rsidRPr="00CB5C12" w:rsidRDefault="00712E1F" w:rsidP="00712E1F">
            <w:pPr>
              <w:pStyle w:val="a4"/>
              <w:spacing w:line="240" w:lineRule="atLeast"/>
              <w:jc w:val="center"/>
              <w:rPr>
                <w:rFonts w:ascii="Garamond" w:hAnsi="Garamond"/>
                <w:sz w:val="26"/>
                <w:szCs w:val="26"/>
              </w:rPr>
            </w:pPr>
            <w:r w:rsidRPr="00CB5C12">
              <w:rPr>
                <w:rFonts w:ascii="Garamond" w:hAnsi="Garamond"/>
                <w:color w:val="2B2B2B"/>
                <w:sz w:val="26"/>
                <w:szCs w:val="26"/>
              </w:rPr>
              <w:t>2006</w:t>
            </w:r>
          </w:p>
        </w:tc>
        <w:tc>
          <w:tcPr>
            <w:tcW w:w="384"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389B70BD" w14:textId="77777777" w:rsidR="00712E1F" w:rsidRPr="00CB5C12" w:rsidRDefault="00712E1F" w:rsidP="00712E1F">
            <w:pPr>
              <w:pStyle w:val="a4"/>
              <w:spacing w:line="240" w:lineRule="atLeast"/>
              <w:jc w:val="center"/>
              <w:rPr>
                <w:rFonts w:ascii="Garamond" w:hAnsi="Garamond"/>
                <w:sz w:val="26"/>
                <w:szCs w:val="26"/>
              </w:rPr>
            </w:pPr>
            <w:r w:rsidRPr="00CB5C12">
              <w:rPr>
                <w:rFonts w:ascii="Garamond" w:hAnsi="Garamond"/>
                <w:color w:val="2B2B2B"/>
                <w:sz w:val="26"/>
                <w:szCs w:val="26"/>
              </w:rPr>
              <w:t>2007</w:t>
            </w:r>
          </w:p>
        </w:tc>
        <w:tc>
          <w:tcPr>
            <w:tcW w:w="384"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3E40D3CF" w14:textId="77777777" w:rsidR="00712E1F" w:rsidRPr="00CB5C12" w:rsidRDefault="00712E1F" w:rsidP="00712E1F">
            <w:pPr>
              <w:pStyle w:val="a4"/>
              <w:spacing w:line="240" w:lineRule="atLeast"/>
              <w:jc w:val="center"/>
              <w:rPr>
                <w:rFonts w:ascii="Garamond" w:hAnsi="Garamond"/>
                <w:sz w:val="26"/>
                <w:szCs w:val="26"/>
              </w:rPr>
            </w:pPr>
            <w:r w:rsidRPr="00CB5C12">
              <w:rPr>
                <w:rFonts w:ascii="Garamond" w:hAnsi="Garamond"/>
                <w:color w:val="2B2B2B"/>
                <w:sz w:val="26"/>
                <w:szCs w:val="26"/>
              </w:rPr>
              <w:t>2008</w:t>
            </w:r>
          </w:p>
        </w:tc>
        <w:tc>
          <w:tcPr>
            <w:tcW w:w="432"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580A7B2C" w14:textId="77777777" w:rsidR="00712E1F" w:rsidRPr="00CB5C12" w:rsidRDefault="00712E1F" w:rsidP="00712E1F">
            <w:pPr>
              <w:pStyle w:val="a4"/>
              <w:spacing w:line="240" w:lineRule="atLeast"/>
              <w:jc w:val="center"/>
              <w:rPr>
                <w:rFonts w:ascii="Garamond" w:hAnsi="Garamond"/>
                <w:sz w:val="26"/>
                <w:szCs w:val="26"/>
              </w:rPr>
            </w:pPr>
            <w:r w:rsidRPr="00CB5C12">
              <w:rPr>
                <w:rFonts w:ascii="Garamond" w:hAnsi="Garamond"/>
                <w:color w:val="2B2B2B"/>
                <w:sz w:val="26"/>
                <w:szCs w:val="26"/>
              </w:rPr>
              <w:t>2009</w:t>
            </w:r>
          </w:p>
        </w:tc>
        <w:tc>
          <w:tcPr>
            <w:tcW w:w="464"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2524320F" w14:textId="77777777" w:rsidR="00712E1F" w:rsidRPr="00CB5C12" w:rsidRDefault="00712E1F" w:rsidP="00712E1F">
            <w:pPr>
              <w:pStyle w:val="a4"/>
              <w:spacing w:line="240" w:lineRule="atLeast"/>
              <w:jc w:val="center"/>
              <w:rPr>
                <w:rFonts w:ascii="Garamond" w:hAnsi="Garamond"/>
                <w:sz w:val="26"/>
                <w:szCs w:val="26"/>
              </w:rPr>
            </w:pPr>
            <w:r w:rsidRPr="00CB5C12">
              <w:rPr>
                <w:rFonts w:ascii="Garamond" w:hAnsi="Garamond"/>
                <w:color w:val="2B2B2B"/>
                <w:sz w:val="26"/>
                <w:szCs w:val="26"/>
              </w:rPr>
              <w:t>2010</w:t>
            </w:r>
          </w:p>
        </w:tc>
        <w:tc>
          <w:tcPr>
            <w:tcW w:w="400"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78A13293" w14:textId="77777777" w:rsidR="00712E1F" w:rsidRPr="00CB5C12" w:rsidRDefault="00712E1F" w:rsidP="00712E1F">
            <w:pPr>
              <w:pStyle w:val="a4"/>
              <w:spacing w:line="240" w:lineRule="atLeast"/>
              <w:jc w:val="center"/>
              <w:rPr>
                <w:rFonts w:ascii="Garamond" w:hAnsi="Garamond"/>
                <w:sz w:val="26"/>
                <w:szCs w:val="26"/>
              </w:rPr>
            </w:pPr>
            <w:r w:rsidRPr="00CB5C12">
              <w:rPr>
                <w:rFonts w:ascii="Garamond" w:hAnsi="Garamond"/>
                <w:color w:val="2B2B2B"/>
                <w:sz w:val="26"/>
                <w:szCs w:val="26"/>
              </w:rPr>
              <w:t>2011</w:t>
            </w:r>
          </w:p>
        </w:tc>
        <w:tc>
          <w:tcPr>
            <w:tcW w:w="408"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5B1E3C65" w14:textId="77777777" w:rsidR="00712E1F" w:rsidRPr="00CB5C12" w:rsidRDefault="00712E1F" w:rsidP="00712E1F">
            <w:pPr>
              <w:pStyle w:val="a4"/>
              <w:spacing w:line="240" w:lineRule="atLeast"/>
              <w:jc w:val="center"/>
              <w:rPr>
                <w:rFonts w:ascii="Garamond" w:hAnsi="Garamond"/>
                <w:sz w:val="26"/>
                <w:szCs w:val="26"/>
              </w:rPr>
            </w:pPr>
            <w:r w:rsidRPr="00CB5C12">
              <w:rPr>
                <w:rFonts w:ascii="Garamond" w:hAnsi="Garamond"/>
                <w:color w:val="2B2B2B"/>
                <w:sz w:val="26"/>
                <w:szCs w:val="26"/>
              </w:rPr>
              <w:t>2012</w:t>
            </w:r>
          </w:p>
        </w:tc>
        <w:tc>
          <w:tcPr>
            <w:tcW w:w="336"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31FFC66F" w14:textId="77777777" w:rsidR="00712E1F" w:rsidRPr="00CB5C12" w:rsidRDefault="00712E1F" w:rsidP="00712E1F">
            <w:pPr>
              <w:pStyle w:val="a4"/>
              <w:spacing w:line="240" w:lineRule="atLeast"/>
              <w:jc w:val="center"/>
              <w:rPr>
                <w:rFonts w:ascii="Garamond" w:hAnsi="Garamond"/>
                <w:sz w:val="26"/>
                <w:szCs w:val="26"/>
              </w:rPr>
            </w:pPr>
            <w:r w:rsidRPr="00CB5C12">
              <w:rPr>
                <w:rFonts w:ascii="Garamond" w:hAnsi="Garamond"/>
                <w:color w:val="2B2B2B"/>
                <w:sz w:val="26"/>
                <w:szCs w:val="26"/>
              </w:rPr>
              <w:t>2013</w:t>
            </w:r>
          </w:p>
        </w:tc>
        <w:tc>
          <w:tcPr>
            <w:tcW w:w="392" w:type="pct"/>
            <w:tcBorders>
              <w:top w:val="single" w:sz="6" w:space="0" w:color="444444"/>
              <w:left w:val="single" w:sz="6" w:space="0" w:color="444444"/>
              <w:bottom w:val="single" w:sz="6" w:space="0" w:color="444444"/>
              <w:right w:val="single" w:sz="6" w:space="0" w:color="444444"/>
            </w:tcBorders>
            <w:shd w:val="clear" w:color="auto" w:fill="D9D9D9" w:themeFill="background1" w:themeFillShade="D9"/>
            <w:tcMar>
              <w:top w:w="0" w:type="dxa"/>
              <w:left w:w="28" w:type="dxa"/>
              <w:bottom w:w="0" w:type="dxa"/>
              <w:right w:w="28" w:type="dxa"/>
            </w:tcMar>
          </w:tcPr>
          <w:p w14:paraId="3C6C5EB3" w14:textId="77777777" w:rsidR="00712E1F" w:rsidRPr="00CB5C12" w:rsidRDefault="00712E1F" w:rsidP="00CB5C12">
            <w:pPr>
              <w:pStyle w:val="a4"/>
              <w:spacing w:line="240" w:lineRule="atLeast"/>
              <w:jc w:val="center"/>
              <w:rPr>
                <w:rFonts w:ascii="Garamond" w:hAnsi="Garamond"/>
                <w:color w:val="2B2B2B"/>
                <w:sz w:val="26"/>
                <w:szCs w:val="26"/>
              </w:rPr>
            </w:pPr>
            <w:r w:rsidRPr="00CB5C12">
              <w:rPr>
                <w:rFonts w:ascii="Garamond" w:hAnsi="Garamond"/>
                <w:color w:val="2B2B2B"/>
                <w:sz w:val="26"/>
                <w:szCs w:val="26"/>
              </w:rPr>
              <w:t>2014</w:t>
            </w:r>
            <w:r w:rsidR="00CB5C12" w:rsidRPr="00CB5C12">
              <w:rPr>
                <w:rFonts w:ascii="Garamond" w:hAnsi="Garamond"/>
                <w:color w:val="2B2B2B"/>
                <w:sz w:val="26"/>
                <w:szCs w:val="26"/>
                <w:vertAlign w:val="superscript"/>
              </w:rPr>
              <w:t>2</w:t>
            </w:r>
          </w:p>
        </w:tc>
      </w:tr>
      <w:tr w:rsidR="00712E1F" w:rsidRPr="00712E1F" w14:paraId="373E2F66" w14:textId="77777777" w:rsidTr="00CB5C12">
        <w:trPr>
          <w:trHeight w:val="400"/>
        </w:trPr>
        <w:tc>
          <w:tcPr>
            <w:tcW w:w="5000" w:type="pct"/>
            <w:gridSpan w:val="11"/>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095A094" w14:textId="77777777" w:rsidR="00712E1F" w:rsidRPr="00CB5C12" w:rsidRDefault="00712E1F" w:rsidP="00712E1F">
            <w:pPr>
              <w:pStyle w:val="a4"/>
              <w:spacing w:line="240" w:lineRule="atLeast"/>
              <w:rPr>
                <w:rFonts w:ascii="Garamond" w:hAnsi="Garamond"/>
                <w:sz w:val="26"/>
                <w:szCs w:val="26"/>
              </w:rPr>
            </w:pPr>
            <w:r w:rsidRPr="00CB5C12">
              <w:rPr>
                <w:rFonts w:ascii="Garamond" w:hAnsi="Garamond"/>
                <w:color w:val="2B2B2B"/>
                <w:sz w:val="26"/>
                <w:szCs w:val="26"/>
                <w:lang w:val="en-US"/>
              </w:rPr>
              <w:t>Distribution of the population (%) by average per capita equivalent total income per month, UAH</w:t>
            </w:r>
            <w:r w:rsidRPr="00CB5C12">
              <w:rPr>
                <w:rFonts w:ascii="Garamond" w:hAnsi="Garamond"/>
                <w:color w:val="2B2B2B"/>
                <w:sz w:val="26"/>
                <w:szCs w:val="26"/>
              </w:rPr>
              <w:t xml:space="preserve"> </w:t>
            </w:r>
          </w:p>
        </w:tc>
      </w:tr>
      <w:tr w:rsidR="003C51B1" w:rsidRPr="00712E1F" w14:paraId="54CDFA15"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7AD299A" w14:textId="77777777" w:rsidR="003C51B1" w:rsidRPr="00CB5C12" w:rsidRDefault="007C3B9A" w:rsidP="00712E1F">
            <w:pPr>
              <w:pStyle w:val="a4"/>
              <w:spacing w:line="240" w:lineRule="atLeast"/>
              <w:ind w:left="280"/>
              <w:jc w:val="both"/>
              <w:rPr>
                <w:rFonts w:ascii="Garamond" w:hAnsi="Garamond"/>
                <w:sz w:val="26"/>
                <w:szCs w:val="26"/>
              </w:rPr>
            </w:pPr>
            <w:r w:rsidRPr="00CB5C12">
              <w:rPr>
                <w:rFonts w:ascii="Garamond" w:hAnsi="Garamond"/>
                <w:color w:val="2B2B2B"/>
                <w:sz w:val="26"/>
                <w:szCs w:val="26"/>
              </w:rPr>
              <w:t>under</w:t>
            </w:r>
            <w:r w:rsidR="003C51B1" w:rsidRPr="00CB5C12">
              <w:rPr>
                <w:rFonts w:ascii="Garamond" w:hAnsi="Garamond"/>
                <w:color w:val="2B2B2B"/>
                <w:sz w:val="26"/>
                <w:szCs w:val="26"/>
              </w:rPr>
              <w:t xml:space="preserve"> 480</w:t>
            </w:r>
            <w:r w:rsidR="00CB5C12" w:rsidRPr="00CB5C12">
              <w:rPr>
                <w:rFonts w:ascii="Garamond" w:hAnsi="Garamond"/>
                <w:color w:val="2B2B2B"/>
                <w:sz w:val="26"/>
                <w:szCs w:val="26"/>
              </w:rPr>
              <w:t>.</w:t>
            </w:r>
            <w:r w:rsidR="003C51B1" w:rsidRPr="00CB5C12">
              <w:rPr>
                <w:rFonts w:ascii="Garamond" w:hAnsi="Garamond"/>
                <w:color w:val="2B2B2B"/>
                <w:sz w:val="26"/>
                <w:szCs w:val="26"/>
              </w:rPr>
              <w:t>0</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921F912"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37</w:t>
            </w:r>
            <w:r w:rsidR="00CB5C12" w:rsidRPr="00CB5C12">
              <w:rPr>
                <w:rFonts w:ascii="Garamond" w:hAnsi="Garamond"/>
                <w:color w:val="2B2B2B"/>
                <w:sz w:val="26"/>
                <w:szCs w:val="26"/>
              </w:rPr>
              <w:t>.</w:t>
            </w:r>
            <w:r w:rsidRPr="00CB5C12">
              <w:rPr>
                <w:rFonts w:ascii="Garamond" w:hAnsi="Garamond"/>
                <w:color w:val="2B2B2B"/>
                <w:sz w:val="26"/>
                <w:szCs w:val="26"/>
              </w:rPr>
              <w:t>3</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75D189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21</w:t>
            </w:r>
            <w:r w:rsidR="00CB5C12" w:rsidRPr="00CB5C12">
              <w:rPr>
                <w:rFonts w:ascii="Garamond" w:hAnsi="Garamond"/>
                <w:color w:val="2B2B2B"/>
                <w:sz w:val="26"/>
                <w:szCs w:val="26"/>
              </w:rPr>
              <w:t>.</w:t>
            </w:r>
            <w:r w:rsidRPr="00CB5C12">
              <w:rPr>
                <w:rFonts w:ascii="Garamond" w:hAnsi="Garamond"/>
                <w:color w:val="2B2B2B"/>
                <w:sz w:val="26"/>
                <w:szCs w:val="26"/>
              </w:rPr>
              <w:t>5</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985CFE5"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9</w:t>
            </w:r>
            <w:r w:rsidR="00CB5C12" w:rsidRPr="00CB5C12">
              <w:rPr>
                <w:rFonts w:ascii="Garamond" w:hAnsi="Garamond"/>
                <w:color w:val="2B2B2B"/>
                <w:sz w:val="26"/>
                <w:szCs w:val="26"/>
              </w:rPr>
              <w:t>.</w:t>
            </w:r>
            <w:r w:rsidRPr="00CB5C12">
              <w:rPr>
                <w:rFonts w:ascii="Garamond" w:hAnsi="Garamond"/>
                <w:color w:val="2B2B2B"/>
                <w:sz w:val="26"/>
                <w:szCs w:val="26"/>
              </w:rPr>
              <w:t>3</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D855902"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w:t>
            </w:r>
            <w:r w:rsidR="00CB5C12" w:rsidRPr="00CB5C12">
              <w:rPr>
                <w:rFonts w:ascii="Garamond" w:hAnsi="Garamond"/>
                <w:color w:val="2B2B2B"/>
                <w:sz w:val="26"/>
                <w:szCs w:val="26"/>
              </w:rPr>
              <w:t>.</w:t>
            </w:r>
            <w:r w:rsidRPr="00CB5C12">
              <w:rPr>
                <w:rFonts w:ascii="Garamond" w:hAnsi="Garamond"/>
                <w:color w:val="2B2B2B"/>
                <w:sz w:val="26"/>
                <w:szCs w:val="26"/>
              </w:rPr>
              <w:t>5</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FB4933E"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w:t>
            </w:r>
            <w:r w:rsidR="00CB5C12" w:rsidRPr="00CB5C12">
              <w:rPr>
                <w:rFonts w:ascii="Garamond" w:hAnsi="Garamond"/>
                <w:color w:val="2B2B2B"/>
                <w:sz w:val="26"/>
                <w:szCs w:val="26"/>
              </w:rPr>
              <w:t>.</w:t>
            </w:r>
            <w:r w:rsidRPr="00CB5C12">
              <w:rPr>
                <w:rFonts w:ascii="Garamond" w:hAnsi="Garamond"/>
                <w:color w:val="2B2B2B"/>
                <w:sz w:val="26"/>
                <w:szCs w:val="26"/>
              </w:rPr>
              <w:t>9</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D81927B"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0</w:t>
            </w:r>
            <w:r w:rsidR="00CB5C12" w:rsidRPr="00CB5C12">
              <w:rPr>
                <w:rFonts w:ascii="Garamond" w:hAnsi="Garamond"/>
                <w:color w:val="2B2B2B"/>
                <w:sz w:val="26"/>
                <w:szCs w:val="26"/>
              </w:rPr>
              <w:t>.</w:t>
            </w:r>
            <w:r w:rsidRPr="00CB5C12">
              <w:rPr>
                <w:rFonts w:ascii="Garamond" w:hAnsi="Garamond"/>
                <w:color w:val="2B2B2B"/>
                <w:sz w:val="26"/>
                <w:szCs w:val="26"/>
              </w:rPr>
              <w:t>7</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EDD542B"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0</w:t>
            </w:r>
            <w:r w:rsidR="00CB5C12" w:rsidRPr="00CB5C12">
              <w:rPr>
                <w:rFonts w:ascii="Garamond" w:hAnsi="Garamond"/>
                <w:color w:val="2B2B2B"/>
                <w:sz w:val="26"/>
                <w:szCs w:val="26"/>
              </w:rPr>
              <w:t>.</w:t>
            </w:r>
            <w:r w:rsidRPr="00CB5C12">
              <w:rPr>
                <w:rFonts w:ascii="Garamond" w:hAnsi="Garamond"/>
                <w:color w:val="2B2B2B"/>
                <w:sz w:val="26"/>
                <w:szCs w:val="26"/>
              </w:rPr>
              <w:t>2</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BF2ED8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0</w:t>
            </w:r>
            <w:r w:rsidR="00CB5C12" w:rsidRPr="00CB5C12">
              <w:rPr>
                <w:rFonts w:ascii="Garamond" w:hAnsi="Garamond"/>
                <w:color w:val="2B2B2B"/>
                <w:sz w:val="26"/>
                <w:szCs w:val="26"/>
              </w:rPr>
              <w:t>.</w:t>
            </w:r>
            <w:r w:rsidRPr="00CB5C12">
              <w:rPr>
                <w:rFonts w:ascii="Garamond" w:hAnsi="Garamond"/>
                <w:color w:val="2B2B2B"/>
                <w:sz w:val="26"/>
                <w:szCs w:val="26"/>
              </w:rPr>
              <w:t>3</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18E5FAD"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0</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DF96CC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0</w:t>
            </w:r>
            <w:r w:rsidR="00CB5C12" w:rsidRPr="00CB5C12">
              <w:rPr>
                <w:rFonts w:ascii="Garamond" w:hAnsi="Garamond"/>
                <w:color w:val="2B2B2B"/>
                <w:sz w:val="26"/>
                <w:szCs w:val="26"/>
              </w:rPr>
              <w:t>.</w:t>
            </w:r>
            <w:r w:rsidRPr="00CB5C12">
              <w:rPr>
                <w:rFonts w:ascii="Garamond" w:hAnsi="Garamond"/>
                <w:color w:val="2B2B2B"/>
                <w:sz w:val="26"/>
                <w:szCs w:val="26"/>
              </w:rPr>
              <w:t>1</w:t>
            </w:r>
          </w:p>
        </w:tc>
      </w:tr>
      <w:tr w:rsidR="003C51B1" w:rsidRPr="00712E1F" w14:paraId="303794F7"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CFFECE3" w14:textId="77777777" w:rsidR="003C51B1" w:rsidRPr="00CB5C12" w:rsidRDefault="003C51B1" w:rsidP="00712E1F">
            <w:pPr>
              <w:pStyle w:val="a4"/>
              <w:spacing w:line="240" w:lineRule="atLeast"/>
              <w:ind w:left="280"/>
              <w:jc w:val="both"/>
              <w:rPr>
                <w:rFonts w:ascii="Garamond" w:hAnsi="Garamond"/>
                <w:sz w:val="26"/>
                <w:szCs w:val="26"/>
              </w:rPr>
            </w:pPr>
            <w:r w:rsidRPr="00CB5C12">
              <w:rPr>
                <w:rFonts w:ascii="Garamond" w:hAnsi="Garamond"/>
                <w:color w:val="2B2B2B"/>
                <w:sz w:val="26"/>
                <w:szCs w:val="26"/>
              </w:rPr>
              <w:t>480</w:t>
            </w:r>
            <w:r w:rsidR="00CB5C12" w:rsidRPr="00CB5C12">
              <w:rPr>
                <w:rFonts w:ascii="Garamond" w:hAnsi="Garamond"/>
                <w:color w:val="2B2B2B"/>
                <w:sz w:val="26"/>
                <w:szCs w:val="26"/>
              </w:rPr>
              <w:t>.</w:t>
            </w:r>
            <w:r w:rsidRPr="00CB5C12">
              <w:rPr>
                <w:rFonts w:ascii="Garamond" w:hAnsi="Garamond"/>
                <w:color w:val="2B2B2B"/>
                <w:sz w:val="26"/>
                <w:szCs w:val="26"/>
              </w:rPr>
              <w:t>1–840</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12FCAF0"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62</w:t>
            </w:r>
            <w:r w:rsidR="00CB5C12" w:rsidRPr="00CB5C12">
              <w:rPr>
                <w:rFonts w:ascii="Garamond" w:hAnsi="Garamond"/>
                <w:color w:val="2B2B2B"/>
                <w:sz w:val="26"/>
                <w:szCs w:val="26"/>
              </w:rPr>
              <w:t>.</w:t>
            </w:r>
            <w:r w:rsidRPr="00CB5C12">
              <w:rPr>
                <w:rFonts w:ascii="Garamond" w:hAnsi="Garamond"/>
                <w:color w:val="2B2B2B"/>
                <w:sz w:val="26"/>
                <w:szCs w:val="26"/>
              </w:rPr>
              <w:t>7</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1890014"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78</w:t>
            </w:r>
            <w:r w:rsidR="00CB5C12" w:rsidRPr="00CB5C12">
              <w:rPr>
                <w:rFonts w:ascii="Garamond" w:hAnsi="Garamond"/>
                <w:color w:val="2B2B2B"/>
                <w:sz w:val="26"/>
                <w:szCs w:val="26"/>
              </w:rPr>
              <w:t>.</w:t>
            </w:r>
            <w:r w:rsidRPr="00CB5C12">
              <w:rPr>
                <w:rFonts w:ascii="Garamond" w:hAnsi="Garamond"/>
                <w:color w:val="2B2B2B"/>
                <w:sz w:val="26"/>
                <w:szCs w:val="26"/>
              </w:rPr>
              <w:t>5</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FD4BD29"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45</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F698E39"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21</w:t>
            </w:r>
            <w:r w:rsidR="00CB5C12" w:rsidRPr="00CB5C12">
              <w:rPr>
                <w:rFonts w:ascii="Garamond" w:hAnsi="Garamond"/>
                <w:color w:val="2B2B2B"/>
                <w:sz w:val="26"/>
                <w:szCs w:val="26"/>
              </w:rPr>
              <w:t>.</w:t>
            </w:r>
            <w:r w:rsidRPr="00CB5C12">
              <w:rPr>
                <w:rFonts w:ascii="Garamond" w:hAnsi="Garamond"/>
                <w:color w:val="2B2B2B"/>
                <w:sz w:val="26"/>
                <w:szCs w:val="26"/>
              </w:rPr>
              <w:t>2</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F81E50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17</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53B33C0"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8</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B3D252B"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5</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3C7A2F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3</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CC47882"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w:t>
            </w:r>
            <w:r w:rsidR="00CB5C12" w:rsidRPr="00CB5C12">
              <w:rPr>
                <w:rFonts w:ascii="Garamond" w:hAnsi="Garamond"/>
                <w:color w:val="2B2B2B"/>
                <w:sz w:val="26"/>
                <w:szCs w:val="26"/>
              </w:rPr>
              <w:t>.</w:t>
            </w:r>
            <w:r w:rsidRPr="00CB5C12">
              <w:rPr>
                <w:rFonts w:ascii="Garamond" w:hAnsi="Garamond"/>
                <w:color w:val="2B2B2B"/>
                <w:sz w:val="26"/>
                <w:szCs w:val="26"/>
              </w:rPr>
              <w:t>3</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85000B2"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w:t>
            </w:r>
            <w:r w:rsidR="00CB5C12" w:rsidRPr="00CB5C12">
              <w:rPr>
                <w:rFonts w:ascii="Garamond" w:hAnsi="Garamond"/>
                <w:color w:val="2B2B2B"/>
                <w:sz w:val="26"/>
                <w:szCs w:val="26"/>
              </w:rPr>
              <w:t>.</w:t>
            </w:r>
            <w:r w:rsidRPr="00CB5C12">
              <w:rPr>
                <w:rFonts w:ascii="Garamond" w:hAnsi="Garamond"/>
                <w:color w:val="2B2B2B"/>
                <w:sz w:val="26"/>
                <w:szCs w:val="26"/>
              </w:rPr>
              <w:t>4</w:t>
            </w:r>
          </w:p>
        </w:tc>
      </w:tr>
      <w:tr w:rsidR="003C51B1" w:rsidRPr="00712E1F" w14:paraId="54208A6E"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F5A9B93" w14:textId="77777777" w:rsidR="003C51B1" w:rsidRPr="00CB5C12" w:rsidRDefault="003C51B1" w:rsidP="00712E1F">
            <w:pPr>
              <w:pStyle w:val="a4"/>
              <w:spacing w:line="240" w:lineRule="atLeast"/>
              <w:ind w:left="280"/>
              <w:jc w:val="both"/>
              <w:rPr>
                <w:rFonts w:ascii="Garamond" w:hAnsi="Garamond"/>
                <w:sz w:val="26"/>
                <w:szCs w:val="26"/>
              </w:rPr>
            </w:pPr>
            <w:r w:rsidRPr="00CB5C12">
              <w:rPr>
                <w:rFonts w:ascii="Garamond" w:hAnsi="Garamond"/>
                <w:color w:val="2B2B2B"/>
                <w:sz w:val="26"/>
                <w:szCs w:val="26"/>
              </w:rPr>
              <w:t>840</w:t>
            </w:r>
            <w:r w:rsidR="00CB5C12" w:rsidRPr="00CB5C12">
              <w:rPr>
                <w:rFonts w:ascii="Garamond" w:hAnsi="Garamond"/>
                <w:color w:val="2B2B2B"/>
                <w:sz w:val="26"/>
                <w:szCs w:val="26"/>
              </w:rPr>
              <w:t>.</w:t>
            </w:r>
            <w:r w:rsidRPr="00CB5C12">
              <w:rPr>
                <w:rFonts w:ascii="Garamond" w:hAnsi="Garamond"/>
                <w:color w:val="2B2B2B"/>
                <w:sz w:val="26"/>
                <w:szCs w:val="26"/>
              </w:rPr>
              <w:t>1–1200</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20F3A0F"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D331B42"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CA9633A"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45</w:t>
            </w:r>
            <w:r w:rsidR="00CB5C12" w:rsidRPr="00CB5C12">
              <w:rPr>
                <w:rFonts w:ascii="Garamond" w:hAnsi="Garamond"/>
                <w:color w:val="2B2B2B"/>
                <w:sz w:val="26"/>
                <w:szCs w:val="26"/>
              </w:rPr>
              <w:t>.</w:t>
            </w:r>
            <w:r w:rsidRPr="00CB5C12">
              <w:rPr>
                <w:rFonts w:ascii="Garamond" w:hAnsi="Garamond"/>
                <w:color w:val="2B2B2B"/>
                <w:sz w:val="26"/>
                <w:szCs w:val="26"/>
              </w:rPr>
              <w:t>6</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950A76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32</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631D8BA"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32</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1544304"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26</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89BDC6D"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18</w:t>
            </w:r>
            <w:r w:rsidR="00CB5C12" w:rsidRPr="00CB5C12">
              <w:rPr>
                <w:rFonts w:ascii="Garamond" w:hAnsi="Garamond"/>
                <w:color w:val="2B2B2B"/>
                <w:sz w:val="26"/>
                <w:szCs w:val="26"/>
              </w:rPr>
              <w:t>.</w:t>
            </w:r>
            <w:r w:rsidRPr="00CB5C12">
              <w:rPr>
                <w:rFonts w:ascii="Garamond" w:hAnsi="Garamond"/>
                <w:color w:val="2B2B2B"/>
                <w:sz w:val="26"/>
                <w:szCs w:val="26"/>
              </w:rPr>
              <w:t>7</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E6411B3"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12</w:t>
            </w:r>
            <w:r w:rsidR="00CB5C12" w:rsidRPr="00CB5C12">
              <w:rPr>
                <w:rFonts w:ascii="Garamond" w:hAnsi="Garamond"/>
                <w:color w:val="2B2B2B"/>
                <w:sz w:val="26"/>
                <w:szCs w:val="26"/>
              </w:rPr>
              <w:t>.</w:t>
            </w:r>
            <w:r w:rsidRPr="00CB5C12">
              <w:rPr>
                <w:rFonts w:ascii="Garamond" w:hAnsi="Garamond"/>
                <w:color w:val="2B2B2B"/>
                <w:sz w:val="26"/>
                <w:szCs w:val="26"/>
              </w:rPr>
              <w:t>9</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007BA2D"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9</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37E0206"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7</w:t>
            </w:r>
            <w:r w:rsidR="00CB5C12" w:rsidRPr="00CB5C12">
              <w:rPr>
                <w:rFonts w:ascii="Garamond" w:hAnsi="Garamond"/>
                <w:color w:val="2B2B2B"/>
                <w:sz w:val="26"/>
                <w:szCs w:val="26"/>
              </w:rPr>
              <w:t>.</w:t>
            </w:r>
            <w:r w:rsidRPr="00CB5C12">
              <w:rPr>
                <w:rFonts w:ascii="Garamond" w:hAnsi="Garamond"/>
                <w:color w:val="2B2B2B"/>
                <w:sz w:val="26"/>
                <w:szCs w:val="26"/>
              </w:rPr>
              <w:t>9</w:t>
            </w:r>
          </w:p>
        </w:tc>
      </w:tr>
      <w:tr w:rsidR="003C51B1" w:rsidRPr="00712E1F" w14:paraId="129C402F"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F6B74CD" w14:textId="77777777" w:rsidR="003C51B1" w:rsidRPr="00CB5C12" w:rsidRDefault="003C51B1" w:rsidP="00712E1F">
            <w:pPr>
              <w:pStyle w:val="a4"/>
              <w:spacing w:line="240" w:lineRule="atLeast"/>
              <w:ind w:left="280"/>
              <w:jc w:val="both"/>
              <w:rPr>
                <w:rFonts w:ascii="Garamond" w:hAnsi="Garamond"/>
                <w:sz w:val="26"/>
                <w:szCs w:val="26"/>
              </w:rPr>
            </w:pPr>
            <w:r w:rsidRPr="00CB5C12">
              <w:rPr>
                <w:rFonts w:ascii="Garamond" w:hAnsi="Garamond"/>
                <w:color w:val="2B2B2B"/>
                <w:sz w:val="26"/>
                <w:szCs w:val="26"/>
              </w:rPr>
              <w:t>1200</w:t>
            </w:r>
            <w:r w:rsidR="00CB5C12" w:rsidRPr="00CB5C12">
              <w:rPr>
                <w:rFonts w:ascii="Garamond" w:hAnsi="Garamond"/>
                <w:color w:val="2B2B2B"/>
                <w:sz w:val="26"/>
                <w:szCs w:val="26"/>
              </w:rPr>
              <w:t>.</w:t>
            </w:r>
            <w:r w:rsidRPr="00CB5C12">
              <w:rPr>
                <w:rFonts w:ascii="Garamond" w:hAnsi="Garamond"/>
                <w:color w:val="2B2B2B"/>
                <w:sz w:val="26"/>
                <w:szCs w:val="26"/>
              </w:rPr>
              <w:t>1–1560</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86CCA5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09A6A34"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EE9327F"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342F14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21</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A2FF588"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22</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CEB4516"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27</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8C63F4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26</w:t>
            </w:r>
            <w:r w:rsidR="00CB5C12" w:rsidRPr="00CB5C12">
              <w:rPr>
                <w:rFonts w:ascii="Garamond" w:hAnsi="Garamond"/>
                <w:color w:val="2B2B2B"/>
                <w:sz w:val="26"/>
                <w:szCs w:val="26"/>
              </w:rPr>
              <w:t>.</w:t>
            </w:r>
            <w:r w:rsidRPr="00CB5C12">
              <w:rPr>
                <w:rFonts w:ascii="Garamond" w:hAnsi="Garamond"/>
                <w:color w:val="2B2B2B"/>
                <w:sz w:val="26"/>
                <w:szCs w:val="26"/>
              </w:rPr>
              <w:t>7</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8772C6F"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23</w:t>
            </w:r>
            <w:r w:rsidR="00CB5C12" w:rsidRPr="00CB5C12">
              <w:rPr>
                <w:rFonts w:ascii="Garamond" w:hAnsi="Garamond"/>
                <w:color w:val="2B2B2B"/>
                <w:sz w:val="26"/>
                <w:szCs w:val="26"/>
              </w:rPr>
              <w:t>.</w:t>
            </w:r>
            <w:r w:rsidRPr="00CB5C12">
              <w:rPr>
                <w:rFonts w:ascii="Garamond" w:hAnsi="Garamond"/>
                <w:color w:val="2B2B2B"/>
                <w:sz w:val="26"/>
                <w:szCs w:val="26"/>
              </w:rPr>
              <w:t>9</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EF098D5"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21</w:t>
            </w:r>
            <w:r w:rsidR="00CB5C12" w:rsidRPr="00CB5C12">
              <w:rPr>
                <w:rFonts w:ascii="Garamond" w:hAnsi="Garamond"/>
                <w:color w:val="2B2B2B"/>
                <w:sz w:val="26"/>
                <w:szCs w:val="26"/>
              </w:rPr>
              <w:t>.</w:t>
            </w:r>
            <w:r w:rsidRPr="00CB5C12">
              <w:rPr>
                <w:rFonts w:ascii="Garamond" w:hAnsi="Garamond"/>
                <w:color w:val="2B2B2B"/>
                <w:sz w:val="26"/>
                <w:szCs w:val="26"/>
              </w:rPr>
              <w:t>3</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F23FC8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19</w:t>
            </w:r>
            <w:r w:rsidR="00CB5C12" w:rsidRPr="00CB5C12">
              <w:rPr>
                <w:rFonts w:ascii="Garamond" w:hAnsi="Garamond"/>
                <w:color w:val="2B2B2B"/>
                <w:sz w:val="26"/>
                <w:szCs w:val="26"/>
              </w:rPr>
              <w:t>.</w:t>
            </w:r>
            <w:r w:rsidRPr="00CB5C12">
              <w:rPr>
                <w:rFonts w:ascii="Garamond" w:hAnsi="Garamond"/>
                <w:color w:val="2B2B2B"/>
                <w:sz w:val="26"/>
                <w:szCs w:val="26"/>
              </w:rPr>
              <w:t>2</w:t>
            </w:r>
          </w:p>
        </w:tc>
      </w:tr>
      <w:tr w:rsidR="003C51B1" w:rsidRPr="00712E1F" w14:paraId="102B3670"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F56FCD4" w14:textId="77777777" w:rsidR="003C51B1" w:rsidRPr="00CB5C12" w:rsidRDefault="003C51B1" w:rsidP="00712E1F">
            <w:pPr>
              <w:pStyle w:val="a4"/>
              <w:spacing w:line="240" w:lineRule="atLeast"/>
              <w:ind w:left="280"/>
              <w:jc w:val="both"/>
              <w:rPr>
                <w:rFonts w:ascii="Garamond" w:hAnsi="Garamond"/>
                <w:sz w:val="26"/>
                <w:szCs w:val="26"/>
              </w:rPr>
            </w:pPr>
            <w:r w:rsidRPr="00CB5C12">
              <w:rPr>
                <w:rFonts w:ascii="Garamond" w:hAnsi="Garamond"/>
                <w:color w:val="2B2B2B"/>
                <w:sz w:val="26"/>
                <w:szCs w:val="26"/>
              </w:rPr>
              <w:t>1560</w:t>
            </w:r>
            <w:r w:rsidR="00CB5C12" w:rsidRPr="00CB5C12">
              <w:rPr>
                <w:rFonts w:ascii="Garamond" w:hAnsi="Garamond"/>
                <w:color w:val="2B2B2B"/>
                <w:sz w:val="26"/>
                <w:szCs w:val="26"/>
              </w:rPr>
              <w:t>.</w:t>
            </w:r>
            <w:r w:rsidRPr="00CB5C12">
              <w:rPr>
                <w:rFonts w:ascii="Garamond" w:hAnsi="Garamond"/>
                <w:color w:val="2B2B2B"/>
                <w:sz w:val="26"/>
                <w:szCs w:val="26"/>
              </w:rPr>
              <w:t>1–1920</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72E1BDF"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EEFFF18"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81A27B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E718153"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11</w:t>
            </w:r>
            <w:r w:rsidR="00CB5C12" w:rsidRPr="00CB5C12">
              <w:rPr>
                <w:rFonts w:ascii="Garamond" w:hAnsi="Garamond"/>
                <w:color w:val="2B2B2B"/>
                <w:sz w:val="26"/>
                <w:szCs w:val="26"/>
              </w:rPr>
              <w:t>.</w:t>
            </w:r>
            <w:r w:rsidRPr="00CB5C12">
              <w:rPr>
                <w:rFonts w:ascii="Garamond" w:hAnsi="Garamond"/>
                <w:color w:val="2B2B2B"/>
                <w:sz w:val="26"/>
                <w:szCs w:val="26"/>
              </w:rPr>
              <w:t>2</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37B26B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12</w:t>
            </w:r>
            <w:r w:rsidR="00CB5C12" w:rsidRPr="00CB5C12">
              <w:rPr>
                <w:rFonts w:ascii="Garamond" w:hAnsi="Garamond"/>
                <w:color w:val="2B2B2B"/>
                <w:sz w:val="26"/>
                <w:szCs w:val="26"/>
              </w:rPr>
              <w:t>.</w:t>
            </w:r>
            <w:r w:rsidRPr="00CB5C12">
              <w:rPr>
                <w:rFonts w:ascii="Garamond" w:hAnsi="Garamond"/>
                <w:color w:val="2B2B2B"/>
                <w:sz w:val="26"/>
                <w:szCs w:val="26"/>
              </w:rPr>
              <w:t>5</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6883076"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16</w:t>
            </w:r>
            <w:r w:rsidR="00CB5C12" w:rsidRPr="00CB5C12">
              <w:rPr>
                <w:rFonts w:ascii="Garamond" w:hAnsi="Garamond"/>
                <w:color w:val="2B2B2B"/>
                <w:sz w:val="26"/>
                <w:szCs w:val="26"/>
              </w:rPr>
              <w:t>.</w:t>
            </w:r>
            <w:r w:rsidRPr="00CB5C12">
              <w:rPr>
                <w:rFonts w:ascii="Garamond" w:hAnsi="Garamond"/>
                <w:color w:val="2B2B2B"/>
                <w:sz w:val="26"/>
                <w:szCs w:val="26"/>
              </w:rPr>
              <w:t>4</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1B808BE"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20</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C342DC0"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21</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8CBF896"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22</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40C8A88"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23</w:t>
            </w:r>
            <w:r w:rsidR="00CB5C12" w:rsidRPr="00CB5C12">
              <w:rPr>
                <w:rFonts w:ascii="Garamond" w:hAnsi="Garamond"/>
                <w:color w:val="2B2B2B"/>
                <w:sz w:val="26"/>
                <w:szCs w:val="26"/>
              </w:rPr>
              <w:t>.</w:t>
            </w:r>
            <w:r w:rsidRPr="00CB5C12">
              <w:rPr>
                <w:rFonts w:ascii="Garamond" w:hAnsi="Garamond"/>
                <w:color w:val="2B2B2B"/>
                <w:sz w:val="26"/>
                <w:szCs w:val="26"/>
              </w:rPr>
              <w:t>1</w:t>
            </w:r>
          </w:p>
        </w:tc>
      </w:tr>
      <w:tr w:rsidR="003C51B1" w:rsidRPr="00712E1F" w14:paraId="417E1D3F" w14:textId="77777777" w:rsidTr="003771E6">
        <w:trPr>
          <w:trHeight w:val="401"/>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4D40E8C" w14:textId="77777777" w:rsidR="003C51B1" w:rsidRPr="00CB5C12" w:rsidRDefault="003C51B1" w:rsidP="00CB5C12">
            <w:pPr>
              <w:pStyle w:val="a4"/>
              <w:spacing w:line="240" w:lineRule="atLeast"/>
              <w:ind w:left="280"/>
              <w:jc w:val="both"/>
              <w:rPr>
                <w:rFonts w:ascii="Garamond" w:hAnsi="Garamond"/>
                <w:sz w:val="26"/>
                <w:szCs w:val="26"/>
              </w:rPr>
            </w:pPr>
            <w:r w:rsidRPr="00CB5C12">
              <w:rPr>
                <w:rFonts w:ascii="Garamond" w:hAnsi="Garamond"/>
                <w:color w:val="2B2B2B"/>
                <w:sz w:val="26"/>
                <w:szCs w:val="26"/>
              </w:rPr>
              <w:t>1920</w:t>
            </w:r>
            <w:r w:rsidR="00CB5C12" w:rsidRPr="00CB5C12">
              <w:rPr>
                <w:rFonts w:ascii="Garamond" w:hAnsi="Garamond"/>
                <w:color w:val="2B2B2B"/>
                <w:sz w:val="26"/>
                <w:szCs w:val="26"/>
              </w:rPr>
              <w:t>.</w:t>
            </w:r>
            <w:r w:rsidRPr="00CB5C12">
              <w:rPr>
                <w:rFonts w:ascii="Garamond" w:hAnsi="Garamond"/>
                <w:color w:val="2B2B2B"/>
                <w:sz w:val="26"/>
                <w:szCs w:val="26"/>
              </w:rPr>
              <w:t>1–2280</w:t>
            </w:r>
            <w:r w:rsidR="00CB5C12" w:rsidRPr="00CB5C12">
              <w:rPr>
                <w:rFonts w:ascii="Garamond" w:hAnsi="Garamond"/>
                <w:color w:val="2B2B2B"/>
                <w:sz w:val="26"/>
                <w:szCs w:val="26"/>
              </w:rPr>
              <w:t>.</w:t>
            </w:r>
            <w:r w:rsidRPr="00CB5C12">
              <w:rPr>
                <w:rFonts w:ascii="Garamond" w:hAnsi="Garamond"/>
                <w:color w:val="2B2B2B"/>
                <w:sz w:val="26"/>
                <w:szCs w:val="26"/>
              </w:rPr>
              <w:t>0</w:t>
            </w:r>
            <w:r w:rsidR="00CB5C12" w:rsidRPr="00CB5C12">
              <w:rPr>
                <w:rFonts w:ascii="Garamond" w:hAnsi="Garamond"/>
                <w:color w:val="2B2B2B"/>
                <w:sz w:val="26"/>
                <w:szCs w:val="26"/>
                <w:vertAlign w:val="superscript"/>
              </w:rPr>
              <w:t>3</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63F02FA"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A61FCCD"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C2BFEFF"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EE22AC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11</w:t>
            </w:r>
            <w:r w:rsidR="00CB5C12" w:rsidRPr="00CB5C12">
              <w:rPr>
                <w:rFonts w:ascii="Garamond" w:hAnsi="Garamond"/>
                <w:color w:val="2B2B2B"/>
                <w:sz w:val="26"/>
                <w:szCs w:val="26"/>
              </w:rPr>
              <w:t>.</w:t>
            </w:r>
            <w:r w:rsidRPr="00CB5C12">
              <w:rPr>
                <w:rFonts w:ascii="Garamond" w:hAnsi="Garamond"/>
                <w:color w:val="2B2B2B"/>
                <w:sz w:val="26"/>
                <w:szCs w:val="26"/>
              </w:rPr>
              <w:t>9</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5908364"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14</w:t>
            </w:r>
            <w:r w:rsidR="00CB5C12" w:rsidRPr="00CB5C12">
              <w:rPr>
                <w:rFonts w:ascii="Garamond" w:hAnsi="Garamond"/>
                <w:color w:val="2B2B2B"/>
                <w:sz w:val="26"/>
                <w:szCs w:val="26"/>
              </w:rPr>
              <w:t>.</w:t>
            </w:r>
            <w:r w:rsidRPr="00CB5C12">
              <w:rPr>
                <w:rFonts w:ascii="Garamond" w:hAnsi="Garamond"/>
                <w:color w:val="2B2B2B"/>
                <w:sz w:val="26"/>
                <w:szCs w:val="26"/>
              </w:rPr>
              <w:t>4</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40D5E68"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21</w:t>
            </w:r>
            <w:r w:rsidR="00CB5C12" w:rsidRPr="00CB5C12">
              <w:rPr>
                <w:rFonts w:ascii="Garamond" w:hAnsi="Garamond"/>
                <w:color w:val="2B2B2B"/>
                <w:sz w:val="26"/>
                <w:szCs w:val="26"/>
              </w:rPr>
              <w:t>.</w:t>
            </w:r>
            <w:r w:rsidRPr="00CB5C12">
              <w:rPr>
                <w:rFonts w:ascii="Garamond" w:hAnsi="Garamond"/>
                <w:color w:val="2B2B2B"/>
                <w:sz w:val="26"/>
                <w:szCs w:val="26"/>
              </w:rPr>
              <w:t>9</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FEB95C4"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29</w:t>
            </w:r>
            <w:r w:rsidR="00CB5C12" w:rsidRPr="00CB5C12">
              <w:rPr>
                <w:rFonts w:ascii="Garamond" w:hAnsi="Garamond"/>
                <w:color w:val="2B2B2B"/>
                <w:sz w:val="26"/>
                <w:szCs w:val="26"/>
              </w:rPr>
              <w:t>.</w:t>
            </w:r>
            <w:r w:rsidRPr="00CB5C12">
              <w:rPr>
                <w:rFonts w:ascii="Garamond" w:hAnsi="Garamond"/>
                <w:color w:val="2B2B2B"/>
                <w:sz w:val="26"/>
                <w:szCs w:val="26"/>
              </w:rPr>
              <w:t>5</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BDD862D"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14</w:t>
            </w:r>
            <w:r w:rsidR="00CB5C12" w:rsidRPr="00CB5C12">
              <w:rPr>
                <w:rFonts w:ascii="Garamond" w:hAnsi="Garamond"/>
                <w:color w:val="2B2B2B"/>
                <w:sz w:val="26"/>
                <w:szCs w:val="26"/>
              </w:rPr>
              <w:t>.</w:t>
            </w:r>
            <w:r w:rsidRPr="00CB5C12">
              <w:rPr>
                <w:rFonts w:ascii="Garamond" w:hAnsi="Garamond"/>
                <w:color w:val="2B2B2B"/>
                <w:sz w:val="26"/>
                <w:szCs w:val="26"/>
              </w:rPr>
              <w:t>4</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C713D7F"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16</w:t>
            </w:r>
            <w:r w:rsidR="00CB5C12" w:rsidRPr="00CB5C12">
              <w:rPr>
                <w:rFonts w:ascii="Garamond" w:hAnsi="Garamond"/>
                <w:color w:val="2B2B2B"/>
                <w:sz w:val="26"/>
                <w:szCs w:val="26"/>
              </w:rPr>
              <w:t>.</w:t>
            </w:r>
            <w:r w:rsidRPr="00CB5C12">
              <w:rPr>
                <w:rFonts w:ascii="Garamond" w:hAnsi="Garamond"/>
                <w:color w:val="2B2B2B"/>
                <w:sz w:val="26"/>
                <w:szCs w:val="26"/>
              </w:rPr>
              <w:t>6</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F51001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16</w:t>
            </w:r>
            <w:r w:rsidR="00CB5C12" w:rsidRPr="00CB5C12">
              <w:rPr>
                <w:rFonts w:ascii="Garamond" w:hAnsi="Garamond"/>
                <w:color w:val="2B2B2B"/>
                <w:sz w:val="26"/>
                <w:szCs w:val="26"/>
              </w:rPr>
              <w:t>.</w:t>
            </w:r>
            <w:r w:rsidRPr="00CB5C12">
              <w:rPr>
                <w:rFonts w:ascii="Garamond" w:hAnsi="Garamond"/>
                <w:color w:val="2B2B2B"/>
                <w:sz w:val="26"/>
                <w:szCs w:val="26"/>
              </w:rPr>
              <w:t>5</w:t>
            </w:r>
          </w:p>
        </w:tc>
      </w:tr>
      <w:tr w:rsidR="003C51B1" w:rsidRPr="00712E1F" w14:paraId="69EB057B"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E34C305" w14:textId="77777777" w:rsidR="003C51B1" w:rsidRPr="00CB5C12" w:rsidRDefault="003C51B1" w:rsidP="00CB5C12">
            <w:pPr>
              <w:pStyle w:val="a4"/>
              <w:spacing w:line="240" w:lineRule="atLeast"/>
              <w:ind w:left="280"/>
              <w:jc w:val="both"/>
              <w:rPr>
                <w:rFonts w:ascii="Garamond" w:hAnsi="Garamond"/>
                <w:sz w:val="26"/>
                <w:szCs w:val="26"/>
              </w:rPr>
            </w:pPr>
            <w:r w:rsidRPr="00CB5C12">
              <w:rPr>
                <w:rFonts w:ascii="Garamond" w:hAnsi="Garamond"/>
                <w:color w:val="2B2B2B"/>
                <w:sz w:val="26"/>
                <w:szCs w:val="26"/>
              </w:rPr>
              <w:t>2280</w:t>
            </w:r>
            <w:r w:rsidR="00CB5C12" w:rsidRPr="00CB5C12">
              <w:rPr>
                <w:rFonts w:ascii="Garamond" w:hAnsi="Garamond"/>
                <w:color w:val="2B2B2B"/>
                <w:sz w:val="26"/>
                <w:szCs w:val="26"/>
              </w:rPr>
              <w:t>.</w:t>
            </w:r>
            <w:r w:rsidRPr="00CB5C12">
              <w:rPr>
                <w:rFonts w:ascii="Garamond" w:hAnsi="Garamond"/>
                <w:color w:val="2B2B2B"/>
                <w:sz w:val="26"/>
                <w:szCs w:val="26"/>
              </w:rPr>
              <w:t>1–2640</w:t>
            </w:r>
            <w:r w:rsidR="00CB5C12" w:rsidRPr="00CB5C12">
              <w:rPr>
                <w:rFonts w:ascii="Garamond" w:hAnsi="Garamond"/>
                <w:color w:val="2B2B2B"/>
                <w:sz w:val="26"/>
                <w:szCs w:val="26"/>
              </w:rPr>
              <w:t>.</w:t>
            </w:r>
            <w:r w:rsidRPr="00CB5C12">
              <w:rPr>
                <w:rFonts w:ascii="Garamond" w:hAnsi="Garamond"/>
                <w:color w:val="2B2B2B"/>
                <w:sz w:val="26"/>
                <w:szCs w:val="26"/>
              </w:rPr>
              <w:t>0</w:t>
            </w:r>
            <w:r w:rsidR="00CB5C12" w:rsidRPr="00CB5C12">
              <w:rPr>
                <w:rFonts w:ascii="Garamond" w:hAnsi="Garamond"/>
                <w:color w:val="2B2B2B"/>
                <w:sz w:val="26"/>
                <w:szCs w:val="26"/>
                <w:vertAlign w:val="superscript"/>
              </w:rPr>
              <w:t>4</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92A5514"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80EDE4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D72D105"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8C96444"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118481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B9172F8"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5F44FCF"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8A6AF7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9</w:t>
            </w:r>
            <w:r w:rsidR="00CB5C12" w:rsidRPr="00CB5C12">
              <w:rPr>
                <w:rFonts w:ascii="Garamond" w:hAnsi="Garamond"/>
                <w:color w:val="2B2B2B"/>
                <w:sz w:val="26"/>
                <w:szCs w:val="26"/>
              </w:rPr>
              <w:t>.</w:t>
            </w:r>
            <w:r w:rsidRPr="00CB5C12">
              <w:rPr>
                <w:rFonts w:ascii="Garamond" w:hAnsi="Garamond"/>
                <w:color w:val="2B2B2B"/>
                <w:sz w:val="26"/>
                <w:szCs w:val="26"/>
              </w:rPr>
              <w:t>4</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DA7087A"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10</w:t>
            </w:r>
            <w:r w:rsidR="00CB5C12" w:rsidRPr="00CB5C12">
              <w:rPr>
                <w:rFonts w:ascii="Garamond" w:hAnsi="Garamond"/>
                <w:color w:val="2B2B2B"/>
                <w:sz w:val="26"/>
                <w:szCs w:val="26"/>
              </w:rPr>
              <w:t>.</w:t>
            </w:r>
            <w:r w:rsidRPr="00CB5C12">
              <w:rPr>
                <w:rFonts w:ascii="Garamond" w:hAnsi="Garamond"/>
                <w:color w:val="2B2B2B"/>
                <w:sz w:val="26"/>
                <w:szCs w:val="26"/>
              </w:rPr>
              <w:t>4</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BFD27C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11</w:t>
            </w:r>
            <w:r w:rsidR="00CB5C12" w:rsidRPr="00CB5C12">
              <w:rPr>
                <w:rFonts w:ascii="Garamond" w:hAnsi="Garamond"/>
                <w:color w:val="2B2B2B"/>
                <w:sz w:val="26"/>
                <w:szCs w:val="26"/>
              </w:rPr>
              <w:t>.</w:t>
            </w:r>
            <w:r w:rsidRPr="00CB5C12">
              <w:rPr>
                <w:rFonts w:ascii="Garamond" w:hAnsi="Garamond"/>
                <w:color w:val="2B2B2B"/>
                <w:sz w:val="26"/>
                <w:szCs w:val="26"/>
              </w:rPr>
              <w:t>7</w:t>
            </w:r>
          </w:p>
        </w:tc>
      </w:tr>
      <w:tr w:rsidR="003C51B1" w:rsidRPr="00712E1F" w14:paraId="6BBBD858"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83E2EF3" w14:textId="77777777" w:rsidR="003C51B1" w:rsidRPr="00CB5C12" w:rsidRDefault="003C51B1" w:rsidP="00712E1F">
            <w:pPr>
              <w:pStyle w:val="a4"/>
              <w:spacing w:line="240" w:lineRule="atLeast"/>
              <w:ind w:left="280"/>
              <w:jc w:val="both"/>
              <w:rPr>
                <w:rFonts w:ascii="Garamond" w:hAnsi="Garamond"/>
                <w:sz w:val="26"/>
                <w:szCs w:val="26"/>
              </w:rPr>
            </w:pPr>
            <w:r w:rsidRPr="00CB5C12">
              <w:rPr>
                <w:rFonts w:ascii="Garamond" w:hAnsi="Garamond"/>
                <w:color w:val="2B2B2B"/>
                <w:sz w:val="26"/>
                <w:szCs w:val="26"/>
              </w:rPr>
              <w:t>2640</w:t>
            </w:r>
            <w:r w:rsidR="00CB5C12" w:rsidRPr="00CB5C12">
              <w:rPr>
                <w:rFonts w:ascii="Garamond" w:hAnsi="Garamond"/>
                <w:color w:val="2B2B2B"/>
                <w:sz w:val="26"/>
                <w:szCs w:val="26"/>
              </w:rPr>
              <w:t>.</w:t>
            </w:r>
            <w:r w:rsidRPr="00CB5C12">
              <w:rPr>
                <w:rFonts w:ascii="Garamond" w:hAnsi="Garamond"/>
                <w:color w:val="2B2B2B"/>
                <w:sz w:val="26"/>
                <w:szCs w:val="26"/>
              </w:rPr>
              <w:t>1–3000</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49C165E"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312D1D0"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4080536"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2BCAAA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AEABD4E"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A6D1281"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56BCF67"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4009BE0"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5</w:t>
            </w:r>
            <w:r w:rsidR="00CB5C12" w:rsidRPr="00CB5C12">
              <w:rPr>
                <w:rFonts w:ascii="Garamond" w:hAnsi="Garamond"/>
                <w:color w:val="2B2B2B"/>
                <w:sz w:val="26"/>
                <w:szCs w:val="26"/>
              </w:rPr>
              <w:t>.</w:t>
            </w:r>
            <w:r w:rsidRPr="00CB5C12">
              <w:rPr>
                <w:rFonts w:ascii="Garamond" w:hAnsi="Garamond"/>
                <w:color w:val="2B2B2B"/>
                <w:sz w:val="26"/>
                <w:szCs w:val="26"/>
              </w:rPr>
              <w:t>6</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668CB25"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6</w:t>
            </w:r>
            <w:r w:rsidR="00CB5C12" w:rsidRPr="00CB5C12">
              <w:rPr>
                <w:rFonts w:ascii="Garamond" w:hAnsi="Garamond"/>
                <w:color w:val="2B2B2B"/>
                <w:sz w:val="26"/>
                <w:szCs w:val="26"/>
              </w:rPr>
              <w:t>.</w:t>
            </w:r>
            <w:r w:rsidRPr="00CB5C12">
              <w:rPr>
                <w:rFonts w:ascii="Garamond" w:hAnsi="Garamond"/>
                <w:color w:val="2B2B2B"/>
                <w:sz w:val="26"/>
                <w:szCs w:val="26"/>
              </w:rPr>
              <w:t>7</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D46446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7</w:t>
            </w:r>
            <w:r w:rsidR="00CB5C12" w:rsidRPr="00CB5C12">
              <w:rPr>
                <w:rFonts w:ascii="Garamond" w:hAnsi="Garamond"/>
                <w:color w:val="2B2B2B"/>
                <w:sz w:val="26"/>
                <w:szCs w:val="26"/>
              </w:rPr>
              <w:t>.</w:t>
            </w:r>
            <w:r w:rsidRPr="00CB5C12">
              <w:rPr>
                <w:rFonts w:ascii="Garamond" w:hAnsi="Garamond"/>
                <w:color w:val="2B2B2B"/>
                <w:sz w:val="26"/>
                <w:szCs w:val="26"/>
              </w:rPr>
              <w:t>8</w:t>
            </w:r>
          </w:p>
        </w:tc>
      </w:tr>
      <w:tr w:rsidR="003C51B1" w:rsidRPr="00712E1F" w14:paraId="18EA255F"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067A480" w14:textId="77777777" w:rsidR="003C51B1" w:rsidRPr="00CB5C12" w:rsidRDefault="003C51B1" w:rsidP="00712E1F">
            <w:pPr>
              <w:pStyle w:val="a4"/>
              <w:spacing w:line="240" w:lineRule="atLeast"/>
              <w:ind w:left="280"/>
              <w:jc w:val="both"/>
              <w:rPr>
                <w:rFonts w:ascii="Garamond" w:hAnsi="Garamond"/>
                <w:sz w:val="26"/>
                <w:szCs w:val="26"/>
              </w:rPr>
            </w:pPr>
            <w:r w:rsidRPr="00CB5C12">
              <w:rPr>
                <w:rFonts w:ascii="Garamond" w:hAnsi="Garamond"/>
                <w:color w:val="2B2B2B"/>
                <w:sz w:val="26"/>
                <w:szCs w:val="26"/>
              </w:rPr>
              <w:t>3000</w:t>
            </w:r>
            <w:r w:rsidR="00CB5C12" w:rsidRPr="00CB5C12">
              <w:rPr>
                <w:rFonts w:ascii="Garamond" w:hAnsi="Garamond"/>
                <w:color w:val="2B2B2B"/>
                <w:sz w:val="26"/>
                <w:szCs w:val="26"/>
              </w:rPr>
              <w:t>.</w:t>
            </w:r>
            <w:r w:rsidRPr="00CB5C12">
              <w:rPr>
                <w:rFonts w:ascii="Garamond" w:hAnsi="Garamond"/>
                <w:color w:val="2B2B2B"/>
                <w:sz w:val="26"/>
                <w:szCs w:val="26"/>
              </w:rPr>
              <w:t>1–3360</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31E97FE"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7B9CEC8"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E3E8A85"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055158A"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B282753"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E796CF9"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35673C9"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6A4AC13"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3</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66A4EB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4</w:t>
            </w:r>
            <w:r w:rsidR="00CB5C12" w:rsidRPr="00CB5C12">
              <w:rPr>
                <w:rFonts w:ascii="Garamond" w:hAnsi="Garamond"/>
                <w:color w:val="2B2B2B"/>
                <w:sz w:val="26"/>
                <w:szCs w:val="26"/>
              </w:rPr>
              <w:t>.</w:t>
            </w:r>
            <w:r w:rsidRPr="00CB5C12">
              <w:rPr>
                <w:rFonts w:ascii="Garamond" w:hAnsi="Garamond"/>
                <w:color w:val="2B2B2B"/>
                <w:sz w:val="26"/>
                <w:szCs w:val="26"/>
              </w:rPr>
              <w:t>3</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75B6979"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4</w:t>
            </w:r>
            <w:r w:rsidR="00CB5C12" w:rsidRPr="00CB5C12">
              <w:rPr>
                <w:rFonts w:ascii="Garamond" w:hAnsi="Garamond"/>
                <w:color w:val="2B2B2B"/>
                <w:sz w:val="26"/>
                <w:szCs w:val="26"/>
              </w:rPr>
              <w:t>.</w:t>
            </w:r>
            <w:r w:rsidRPr="00CB5C12">
              <w:rPr>
                <w:rFonts w:ascii="Garamond" w:hAnsi="Garamond"/>
                <w:color w:val="2B2B2B"/>
                <w:sz w:val="26"/>
                <w:szCs w:val="26"/>
              </w:rPr>
              <w:t>6</w:t>
            </w:r>
          </w:p>
        </w:tc>
      </w:tr>
      <w:tr w:rsidR="003C51B1" w:rsidRPr="00712E1F" w14:paraId="69601B23"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69A85BE4" w14:textId="77777777" w:rsidR="003C51B1" w:rsidRPr="00CB5C12" w:rsidRDefault="003C51B1" w:rsidP="00712E1F">
            <w:pPr>
              <w:pStyle w:val="a4"/>
              <w:spacing w:line="240" w:lineRule="atLeast"/>
              <w:ind w:left="280"/>
              <w:jc w:val="both"/>
              <w:rPr>
                <w:rFonts w:ascii="Garamond" w:hAnsi="Garamond"/>
                <w:sz w:val="26"/>
                <w:szCs w:val="26"/>
              </w:rPr>
            </w:pPr>
            <w:r w:rsidRPr="00CB5C12">
              <w:rPr>
                <w:rFonts w:ascii="Garamond" w:hAnsi="Garamond"/>
                <w:color w:val="2B2B2B"/>
                <w:sz w:val="26"/>
                <w:szCs w:val="26"/>
              </w:rPr>
              <w:t>3360</w:t>
            </w:r>
            <w:r w:rsidR="00CB5C12" w:rsidRPr="00CB5C12">
              <w:rPr>
                <w:rFonts w:ascii="Garamond" w:hAnsi="Garamond"/>
                <w:color w:val="2B2B2B"/>
                <w:sz w:val="26"/>
                <w:szCs w:val="26"/>
              </w:rPr>
              <w:t>.</w:t>
            </w:r>
            <w:r w:rsidRPr="00CB5C12">
              <w:rPr>
                <w:rFonts w:ascii="Garamond" w:hAnsi="Garamond"/>
                <w:color w:val="2B2B2B"/>
                <w:sz w:val="26"/>
                <w:szCs w:val="26"/>
              </w:rPr>
              <w:t>1–3720</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ADA245F"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DB25BF5"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E7E7AD4"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53AF307"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318A2F7B"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D4C56A8"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4A51DC3"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D737432"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w:t>
            </w:r>
            <w:r w:rsidR="00CB5C12" w:rsidRPr="00CB5C12">
              <w:rPr>
                <w:rFonts w:ascii="Garamond" w:hAnsi="Garamond"/>
                <w:color w:val="2B2B2B"/>
                <w:sz w:val="26"/>
                <w:szCs w:val="26"/>
              </w:rPr>
              <w:t>.</w:t>
            </w:r>
            <w:r w:rsidRPr="00CB5C12">
              <w:rPr>
                <w:rFonts w:ascii="Garamond" w:hAnsi="Garamond"/>
                <w:color w:val="2B2B2B"/>
                <w:sz w:val="26"/>
                <w:szCs w:val="26"/>
              </w:rPr>
              <w:t>2</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13D5809"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w:t>
            </w:r>
            <w:r w:rsidR="00CB5C12" w:rsidRPr="00CB5C12">
              <w:rPr>
                <w:rFonts w:ascii="Garamond" w:hAnsi="Garamond"/>
                <w:color w:val="2B2B2B"/>
                <w:sz w:val="26"/>
                <w:szCs w:val="26"/>
              </w:rPr>
              <w:t>.</w:t>
            </w:r>
            <w:r w:rsidRPr="00CB5C12">
              <w:rPr>
                <w:rFonts w:ascii="Garamond" w:hAnsi="Garamond"/>
                <w:color w:val="2B2B2B"/>
                <w:sz w:val="26"/>
                <w:szCs w:val="26"/>
              </w:rPr>
              <w:t>0</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5967421C"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2</w:t>
            </w:r>
            <w:r w:rsidR="00CB5C12" w:rsidRPr="00CB5C12">
              <w:rPr>
                <w:rFonts w:ascii="Garamond" w:hAnsi="Garamond"/>
                <w:color w:val="2B2B2B"/>
                <w:sz w:val="26"/>
                <w:szCs w:val="26"/>
              </w:rPr>
              <w:t>.</w:t>
            </w:r>
            <w:r w:rsidRPr="00CB5C12">
              <w:rPr>
                <w:rFonts w:ascii="Garamond" w:hAnsi="Garamond"/>
                <w:color w:val="2B2B2B"/>
                <w:sz w:val="26"/>
                <w:szCs w:val="26"/>
              </w:rPr>
              <w:t>5</w:t>
            </w:r>
          </w:p>
        </w:tc>
      </w:tr>
      <w:tr w:rsidR="003C51B1" w:rsidRPr="00712E1F" w14:paraId="3F88E633" w14:textId="77777777" w:rsidTr="003771E6">
        <w:trPr>
          <w:trHeight w:val="227"/>
        </w:trPr>
        <w:tc>
          <w:tcPr>
            <w:tcW w:w="1097"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6FE0E4B" w14:textId="77777777" w:rsidR="003C51B1" w:rsidRPr="00CB5C12" w:rsidRDefault="007C3B9A" w:rsidP="00712E1F">
            <w:pPr>
              <w:pStyle w:val="a4"/>
              <w:spacing w:line="240" w:lineRule="atLeast"/>
              <w:ind w:left="280"/>
              <w:jc w:val="both"/>
              <w:rPr>
                <w:rFonts w:ascii="Garamond" w:hAnsi="Garamond"/>
                <w:sz w:val="26"/>
                <w:szCs w:val="26"/>
              </w:rPr>
            </w:pPr>
            <w:r w:rsidRPr="00CB5C12">
              <w:rPr>
                <w:rFonts w:ascii="Garamond" w:hAnsi="Garamond"/>
                <w:color w:val="2B2B2B"/>
                <w:sz w:val="26"/>
                <w:szCs w:val="26"/>
              </w:rPr>
              <w:t>over</w:t>
            </w:r>
            <w:r w:rsidR="003C51B1" w:rsidRPr="00CB5C12">
              <w:rPr>
                <w:rFonts w:ascii="Garamond" w:hAnsi="Garamond"/>
                <w:color w:val="2B2B2B"/>
                <w:sz w:val="26"/>
                <w:szCs w:val="26"/>
              </w:rPr>
              <w:t xml:space="preserve"> 3720</w:t>
            </w:r>
            <w:r w:rsidR="00CB5C12" w:rsidRPr="00CB5C12">
              <w:rPr>
                <w:rFonts w:ascii="Garamond" w:hAnsi="Garamond"/>
                <w:color w:val="2B2B2B"/>
                <w:sz w:val="26"/>
                <w:szCs w:val="26"/>
              </w:rPr>
              <w:t>.</w:t>
            </w:r>
            <w:r w:rsidR="003C51B1" w:rsidRPr="00CB5C12">
              <w:rPr>
                <w:rFonts w:ascii="Garamond" w:hAnsi="Garamond"/>
                <w:color w:val="2B2B2B"/>
                <w:sz w:val="26"/>
                <w:szCs w:val="26"/>
              </w:rPr>
              <w:t>0</w:t>
            </w:r>
          </w:p>
        </w:tc>
        <w:tc>
          <w:tcPr>
            <w:tcW w:w="37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7B772165"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2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4490AD7"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131AA35"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38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95B6D67"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3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380BA19"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64"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4C7014F7"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0"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2E1374E"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w:t>
            </w:r>
          </w:p>
        </w:tc>
        <w:tc>
          <w:tcPr>
            <w:tcW w:w="408"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15134A36"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4</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336"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2012A6CE"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5</w:t>
            </w:r>
            <w:r w:rsidR="00CB5C12" w:rsidRPr="00CB5C12">
              <w:rPr>
                <w:rFonts w:ascii="Garamond" w:hAnsi="Garamond"/>
                <w:color w:val="2B2B2B"/>
                <w:sz w:val="26"/>
                <w:szCs w:val="26"/>
              </w:rPr>
              <w:t>.</w:t>
            </w:r>
            <w:r w:rsidRPr="00CB5C12">
              <w:rPr>
                <w:rFonts w:ascii="Garamond" w:hAnsi="Garamond"/>
                <w:color w:val="2B2B2B"/>
                <w:sz w:val="26"/>
                <w:szCs w:val="26"/>
              </w:rPr>
              <w:t>1</w:t>
            </w:r>
          </w:p>
        </w:tc>
        <w:tc>
          <w:tcPr>
            <w:tcW w:w="392" w:type="pct"/>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695E543" w14:textId="77777777" w:rsidR="003C51B1" w:rsidRPr="00CB5C12" w:rsidRDefault="003C51B1" w:rsidP="00712E1F">
            <w:pPr>
              <w:pStyle w:val="a4"/>
              <w:spacing w:line="240" w:lineRule="atLeast"/>
              <w:jc w:val="center"/>
              <w:rPr>
                <w:rFonts w:ascii="Garamond" w:hAnsi="Garamond"/>
                <w:sz w:val="26"/>
                <w:szCs w:val="26"/>
              </w:rPr>
            </w:pPr>
            <w:r w:rsidRPr="00CB5C12">
              <w:rPr>
                <w:rFonts w:ascii="Garamond" w:hAnsi="Garamond"/>
                <w:color w:val="2B2B2B"/>
                <w:sz w:val="26"/>
                <w:szCs w:val="26"/>
              </w:rPr>
              <w:t>5</w:t>
            </w:r>
            <w:r w:rsidR="00CB5C12" w:rsidRPr="00CB5C12">
              <w:rPr>
                <w:rFonts w:ascii="Garamond" w:hAnsi="Garamond"/>
                <w:color w:val="2B2B2B"/>
                <w:sz w:val="26"/>
                <w:szCs w:val="26"/>
              </w:rPr>
              <w:t>.</w:t>
            </w:r>
            <w:r w:rsidRPr="00CB5C12">
              <w:rPr>
                <w:rFonts w:ascii="Garamond" w:hAnsi="Garamond"/>
                <w:color w:val="2B2B2B"/>
                <w:sz w:val="26"/>
                <w:szCs w:val="26"/>
              </w:rPr>
              <w:t>2</w:t>
            </w:r>
          </w:p>
        </w:tc>
      </w:tr>
      <w:tr w:rsidR="003771E6" w:rsidRPr="00712E1F" w14:paraId="2725F424" w14:textId="77777777" w:rsidTr="003771E6">
        <w:trPr>
          <w:trHeight w:val="227"/>
        </w:trPr>
        <w:tc>
          <w:tcPr>
            <w:tcW w:w="5000" w:type="pct"/>
            <w:gridSpan w:val="11"/>
            <w:tcBorders>
              <w:top w:val="single" w:sz="6" w:space="0" w:color="444444"/>
              <w:left w:val="single" w:sz="6" w:space="0" w:color="444444"/>
              <w:bottom w:val="single" w:sz="6" w:space="0" w:color="444444"/>
              <w:right w:val="single" w:sz="6" w:space="0" w:color="444444"/>
            </w:tcBorders>
            <w:shd w:val="clear" w:color="auto" w:fill="auto"/>
            <w:tcMar>
              <w:top w:w="0" w:type="dxa"/>
              <w:left w:w="28" w:type="dxa"/>
              <w:bottom w:w="0" w:type="dxa"/>
              <w:right w:w="28" w:type="dxa"/>
            </w:tcMar>
            <w:vAlign w:val="bottom"/>
          </w:tcPr>
          <w:p w14:paraId="01F40879" w14:textId="77777777" w:rsidR="003771E6" w:rsidRPr="00CB5C12" w:rsidRDefault="003771E6" w:rsidP="00CB5C12">
            <w:pPr>
              <w:pStyle w:val="a4"/>
              <w:spacing w:line="180" w:lineRule="atLeast"/>
              <w:jc w:val="both"/>
              <w:rPr>
                <w:rFonts w:ascii="Garamond" w:hAnsi="Garamond"/>
                <w:sz w:val="24"/>
                <w:szCs w:val="26"/>
              </w:rPr>
            </w:pPr>
            <w:r w:rsidRPr="00CB5C12">
              <w:rPr>
                <w:rFonts w:ascii="Garamond" w:hAnsi="Garamond"/>
                <w:sz w:val="24"/>
                <w:szCs w:val="26"/>
              </w:rPr>
              <w:t>Notes:</w:t>
            </w:r>
          </w:p>
          <w:p w14:paraId="09F5CA8D" w14:textId="77777777" w:rsidR="003771E6" w:rsidRPr="00CB5C12" w:rsidRDefault="00CB5C12" w:rsidP="00CB5C12">
            <w:pPr>
              <w:pStyle w:val="a4"/>
              <w:spacing w:line="180" w:lineRule="atLeast"/>
              <w:jc w:val="both"/>
              <w:rPr>
                <w:rFonts w:ascii="Garamond" w:hAnsi="Garamond"/>
                <w:sz w:val="24"/>
                <w:szCs w:val="26"/>
                <w:lang w:val="en-US"/>
              </w:rPr>
            </w:pPr>
            <w:r w:rsidRPr="00CB5C12">
              <w:rPr>
                <w:rFonts w:ascii="Garamond" w:hAnsi="Garamond"/>
                <w:sz w:val="24"/>
                <w:szCs w:val="26"/>
                <w:vertAlign w:val="superscript"/>
                <w:lang w:val="en-US"/>
              </w:rPr>
              <w:t xml:space="preserve">1 </w:t>
            </w:r>
            <w:r w:rsidR="003771E6" w:rsidRPr="00CB5C12">
              <w:rPr>
                <w:rFonts w:ascii="Garamond" w:hAnsi="Garamond"/>
                <w:sz w:val="24"/>
                <w:szCs w:val="26"/>
                <w:lang w:val="en-US"/>
              </w:rPr>
              <w:t>Excluding the temporarily occupied territories of the Autonomous Republic of Crimea and the city of Sevastopol. Since 2011, while compiling average per capita indicators as well as indicators of the population differentiation by level of material wellbeing a scale of equivalency was started to be used. To ensure the comparability of time series indicators, data for 2005</w:t>
            </w:r>
            <w:r w:rsidR="003771E6" w:rsidRPr="00CB5C12">
              <w:rPr>
                <w:rFonts w:ascii="Garamond" w:hAnsi="Garamond"/>
                <w:sz w:val="24"/>
                <w:szCs w:val="26"/>
                <w:lang w:val="en-US" w:eastAsia="ru-RU"/>
              </w:rPr>
              <w:t>–</w:t>
            </w:r>
            <w:r w:rsidR="003771E6" w:rsidRPr="00CB5C12">
              <w:rPr>
                <w:rFonts w:ascii="Garamond" w:hAnsi="Garamond"/>
                <w:sz w:val="24"/>
                <w:szCs w:val="26"/>
                <w:lang w:val="en-US"/>
              </w:rPr>
              <w:t>2010 have been revised taking into account the scale of equivalency and applying indicators of income as differentiation criteria.</w:t>
            </w:r>
          </w:p>
          <w:p w14:paraId="3568265E" w14:textId="77777777" w:rsidR="003771E6" w:rsidRPr="00CB5C12" w:rsidRDefault="00CB5C12" w:rsidP="00CB5C12">
            <w:pPr>
              <w:pStyle w:val="a4"/>
              <w:spacing w:line="180" w:lineRule="atLeast"/>
              <w:jc w:val="both"/>
              <w:rPr>
                <w:rFonts w:ascii="Garamond" w:eastAsia="Times New Roman" w:hAnsi="Garamond" w:cs="Times New Roman"/>
                <w:sz w:val="24"/>
                <w:szCs w:val="26"/>
              </w:rPr>
            </w:pPr>
            <w:r w:rsidRPr="00CB5C12">
              <w:rPr>
                <w:rFonts w:ascii="Garamond" w:hAnsi="Garamond"/>
                <w:sz w:val="24"/>
                <w:szCs w:val="26"/>
                <w:vertAlign w:val="superscript"/>
                <w:lang w:val="en-US"/>
              </w:rPr>
              <w:t>2</w:t>
            </w:r>
            <w:r w:rsidR="003771E6" w:rsidRPr="00CB5C12">
              <w:rPr>
                <w:rFonts w:ascii="Garamond" w:hAnsi="Garamond"/>
                <w:sz w:val="24"/>
                <w:szCs w:val="26"/>
                <w:lang w:val="en-US"/>
              </w:rPr>
              <w:t xml:space="preserve"> In 2005</w:t>
            </w:r>
            <w:r w:rsidR="003771E6" w:rsidRPr="00CB5C12">
              <w:rPr>
                <w:rFonts w:ascii="Garamond" w:hAnsi="Garamond"/>
                <w:sz w:val="24"/>
                <w:szCs w:val="26"/>
              </w:rPr>
              <w:t>–</w:t>
            </w:r>
            <w:r w:rsidR="003771E6" w:rsidRPr="00CB5C12">
              <w:rPr>
                <w:rFonts w:ascii="Garamond" w:hAnsi="Garamond"/>
                <w:sz w:val="24"/>
                <w:szCs w:val="26"/>
                <w:lang w:val="da-DK"/>
              </w:rPr>
              <w:t>2006, over 480 UAH.</w:t>
            </w:r>
          </w:p>
          <w:p w14:paraId="7794B5E2" w14:textId="77777777" w:rsidR="003771E6" w:rsidRPr="00CB5C12" w:rsidRDefault="00CB5C12" w:rsidP="00CB5C12">
            <w:pPr>
              <w:pStyle w:val="a4"/>
              <w:spacing w:line="180" w:lineRule="atLeast"/>
              <w:jc w:val="both"/>
              <w:rPr>
                <w:rFonts w:ascii="Garamond" w:eastAsia="Times New Roman" w:hAnsi="Garamond" w:cs="Times New Roman"/>
                <w:sz w:val="24"/>
                <w:szCs w:val="26"/>
              </w:rPr>
            </w:pPr>
            <w:r w:rsidRPr="00CB5C12">
              <w:rPr>
                <w:rFonts w:ascii="Garamond" w:hAnsi="Garamond"/>
                <w:sz w:val="24"/>
                <w:szCs w:val="26"/>
                <w:vertAlign w:val="superscript"/>
              </w:rPr>
              <w:t>3</w:t>
            </w:r>
            <w:r w:rsidR="003771E6" w:rsidRPr="00CB5C12">
              <w:rPr>
                <w:rFonts w:ascii="Garamond" w:hAnsi="Garamond"/>
                <w:sz w:val="24"/>
                <w:szCs w:val="26"/>
              </w:rPr>
              <w:t xml:space="preserve"> In 2007, over 840 UAH.</w:t>
            </w:r>
          </w:p>
          <w:p w14:paraId="1F12968A" w14:textId="77777777" w:rsidR="003771E6" w:rsidRPr="00CB5C12" w:rsidRDefault="00CB5C12" w:rsidP="00CB5C12">
            <w:pPr>
              <w:pStyle w:val="a4"/>
              <w:spacing w:line="180" w:lineRule="atLeast"/>
              <w:jc w:val="both"/>
              <w:rPr>
                <w:rFonts w:ascii="Garamond" w:eastAsia="Times New Roman" w:hAnsi="Garamond" w:cs="Times New Roman"/>
                <w:sz w:val="26"/>
                <w:szCs w:val="26"/>
              </w:rPr>
            </w:pPr>
            <w:r w:rsidRPr="00CB5C12">
              <w:rPr>
                <w:rFonts w:ascii="Garamond" w:hAnsi="Garamond"/>
                <w:sz w:val="24"/>
                <w:szCs w:val="26"/>
                <w:vertAlign w:val="superscript"/>
                <w:lang w:val="en-US"/>
              </w:rPr>
              <w:t>4</w:t>
            </w:r>
            <w:r w:rsidR="003771E6" w:rsidRPr="00CB5C12">
              <w:rPr>
                <w:rFonts w:ascii="Garamond" w:hAnsi="Garamond"/>
                <w:sz w:val="24"/>
                <w:szCs w:val="26"/>
                <w:lang w:val="en-US"/>
              </w:rPr>
              <w:t xml:space="preserve"> In 2008</w:t>
            </w:r>
            <w:r w:rsidR="003771E6" w:rsidRPr="00CB5C12">
              <w:rPr>
                <w:rFonts w:ascii="Garamond" w:hAnsi="Garamond"/>
                <w:sz w:val="24"/>
                <w:szCs w:val="26"/>
                <w:lang w:val="en-US" w:eastAsia="ru-RU"/>
              </w:rPr>
              <w:t>–</w:t>
            </w:r>
            <w:r w:rsidR="003771E6" w:rsidRPr="00CB5C12">
              <w:rPr>
                <w:rFonts w:ascii="Garamond" w:hAnsi="Garamond"/>
                <w:sz w:val="24"/>
                <w:szCs w:val="26"/>
                <w:lang w:val="en-US"/>
              </w:rPr>
              <w:t>2011</w:t>
            </w:r>
            <w:r w:rsidR="003771E6" w:rsidRPr="00CB5C12">
              <w:rPr>
                <w:rFonts w:ascii="Garamond" w:hAnsi="Garamond"/>
                <w:sz w:val="24"/>
                <w:szCs w:val="26"/>
              </w:rPr>
              <w:t>– over 1920 UAH.</w:t>
            </w:r>
          </w:p>
        </w:tc>
      </w:tr>
    </w:tbl>
    <w:p w14:paraId="7613D1E8" w14:textId="77777777" w:rsidR="003C51B1" w:rsidRPr="00712E1F" w:rsidRDefault="003C51B1" w:rsidP="00CB5C12">
      <w:pPr>
        <w:spacing w:line="240" w:lineRule="atLeast"/>
        <w:ind w:left="426"/>
        <w:contextualSpacing/>
        <w:jc w:val="both"/>
        <w:rPr>
          <w:sz w:val="28"/>
          <w:lang w:val="en-US" w:bidi="ru-RU"/>
        </w:rPr>
      </w:pPr>
      <w:r w:rsidRPr="00712E1F">
        <w:rPr>
          <w:sz w:val="28"/>
          <w:lang w:val="en-US" w:bidi="ru-RU"/>
        </w:rPr>
        <w:lastRenderedPageBreak/>
        <w:t xml:space="preserve">At the end of 2014, the Parliament of Ukraine adopted a legislative package that significantly changes the order and rates of personal income taxation and payment of the Unified Social Tax (UST). In 2013, the rate for employment income and remuneration for civil contracts up to a threshold of 10 times the minimum monthly wage (UAH 1,147 – approx. USD 144 as of January </w:t>
      </w:r>
      <w:r w:rsidR="00DF6D34" w:rsidRPr="00712E1F">
        <w:rPr>
          <w:sz w:val="28"/>
          <w:lang w:val="en-US" w:bidi="ru-RU"/>
        </w:rPr>
        <w:t>1</w:t>
      </w:r>
      <w:r w:rsidR="00DF6D34">
        <w:rPr>
          <w:sz w:val="28"/>
          <w:lang w:val="en-US" w:bidi="ru-RU"/>
        </w:rPr>
        <w:t>,</w:t>
      </w:r>
      <w:r w:rsidR="00DF6D34" w:rsidRPr="00712E1F">
        <w:rPr>
          <w:sz w:val="28"/>
          <w:lang w:val="en-US" w:bidi="ru-RU"/>
        </w:rPr>
        <w:t xml:space="preserve"> </w:t>
      </w:r>
      <w:r w:rsidRPr="00712E1F">
        <w:rPr>
          <w:sz w:val="28"/>
          <w:lang w:val="en-US" w:bidi="ru-RU"/>
        </w:rPr>
        <w:t>2013) was 15</w:t>
      </w:r>
      <w:r w:rsidR="00DF6D34">
        <w:rPr>
          <w:sz w:val="28"/>
          <w:lang w:val="en-US" w:bidi="ru-RU"/>
        </w:rPr>
        <w:t xml:space="preserve"> </w:t>
      </w:r>
      <w:r w:rsidRPr="00712E1F">
        <w:rPr>
          <w:sz w:val="28"/>
          <w:lang w:val="en-US" w:bidi="ru-RU"/>
        </w:rPr>
        <w:t>%. An increased rate of 17</w:t>
      </w:r>
      <w:r w:rsidR="00DF6D34">
        <w:rPr>
          <w:sz w:val="28"/>
          <w:lang w:val="en-US" w:bidi="ru-RU"/>
        </w:rPr>
        <w:t xml:space="preserve"> </w:t>
      </w:r>
      <w:r w:rsidRPr="00712E1F">
        <w:rPr>
          <w:sz w:val="28"/>
          <w:lang w:val="en-US" w:bidi="ru-RU"/>
        </w:rPr>
        <w:t xml:space="preserve">% </w:t>
      </w:r>
      <w:r w:rsidR="00DF6D34">
        <w:rPr>
          <w:sz w:val="28"/>
          <w:lang w:val="en-US" w:bidi="ru-RU"/>
        </w:rPr>
        <w:t xml:space="preserve">is </w:t>
      </w:r>
      <w:r w:rsidRPr="00712E1F">
        <w:rPr>
          <w:sz w:val="28"/>
          <w:lang w:val="en-US" w:bidi="ru-RU"/>
        </w:rPr>
        <w:t xml:space="preserve">applied to income in excess of this threshold. Starting from January </w:t>
      </w:r>
      <w:r w:rsidR="00DF6D34" w:rsidRPr="00712E1F">
        <w:rPr>
          <w:sz w:val="28"/>
          <w:lang w:val="en-US" w:bidi="ru-RU"/>
        </w:rPr>
        <w:t>1</w:t>
      </w:r>
      <w:r w:rsidR="00DF6D34">
        <w:rPr>
          <w:sz w:val="28"/>
          <w:lang w:val="en-US" w:bidi="ru-RU"/>
        </w:rPr>
        <w:t>,</w:t>
      </w:r>
      <w:r w:rsidR="00DF6D34" w:rsidRPr="00712E1F">
        <w:rPr>
          <w:sz w:val="28"/>
          <w:lang w:val="en-US" w:bidi="ru-RU"/>
        </w:rPr>
        <w:t xml:space="preserve"> </w:t>
      </w:r>
      <w:r w:rsidRPr="00712E1F">
        <w:rPr>
          <w:sz w:val="28"/>
          <w:lang w:val="en-US" w:bidi="ru-RU"/>
        </w:rPr>
        <w:t>2015</w:t>
      </w:r>
      <w:r w:rsidR="00DF6D34">
        <w:rPr>
          <w:sz w:val="28"/>
          <w:lang w:val="en-US" w:bidi="ru-RU"/>
        </w:rPr>
        <w:t>,</w:t>
      </w:r>
      <w:r w:rsidRPr="00712E1F">
        <w:rPr>
          <w:sz w:val="28"/>
          <w:lang w:val="en-US" w:bidi="ru-RU"/>
        </w:rPr>
        <w:t xml:space="preserve"> personal income tax planned to be levied at rate of 15</w:t>
      </w:r>
      <w:r w:rsidR="00DF6D34">
        <w:rPr>
          <w:sz w:val="28"/>
          <w:lang w:val="en-US" w:bidi="ru-RU"/>
        </w:rPr>
        <w:t xml:space="preserve"> </w:t>
      </w:r>
      <w:r w:rsidRPr="00712E1F">
        <w:rPr>
          <w:sz w:val="28"/>
          <w:lang w:val="en-US" w:bidi="ru-RU"/>
        </w:rPr>
        <w:t>% (applicable to that part of income not exceeding ten minimal statutory wages) and 20</w:t>
      </w:r>
      <w:r w:rsidR="00DF6D34">
        <w:rPr>
          <w:sz w:val="28"/>
          <w:lang w:val="en-US" w:bidi="ru-RU"/>
        </w:rPr>
        <w:t xml:space="preserve"> </w:t>
      </w:r>
      <w:r w:rsidRPr="00712E1F">
        <w:rPr>
          <w:sz w:val="28"/>
          <w:lang w:val="en-US" w:bidi="ru-RU"/>
        </w:rPr>
        <w:t xml:space="preserve">% (applicable to part of income exceeding ten minimal statutory wages). </w:t>
      </w:r>
      <w:r w:rsidR="00712E1F" w:rsidRPr="00712E1F">
        <w:rPr>
          <w:sz w:val="28"/>
          <w:lang w:val="en-US" w:bidi="ru-RU"/>
        </w:rPr>
        <w:t>Analyze</w:t>
      </w:r>
      <w:r w:rsidRPr="00712E1F">
        <w:rPr>
          <w:sz w:val="28"/>
          <w:lang w:val="en-US" w:bidi="ru-RU"/>
        </w:rPr>
        <w:t xml:space="preserve"> the impact of new polici</w:t>
      </w:r>
      <w:r w:rsidR="00DF6D34">
        <w:rPr>
          <w:sz w:val="28"/>
          <w:lang w:val="en-US" w:bidi="ru-RU"/>
        </w:rPr>
        <w:t>es in personal income tax rates</w:t>
      </w:r>
      <w:r w:rsidRPr="00712E1F">
        <w:rPr>
          <w:sz w:val="28"/>
          <w:lang w:val="en-US" w:bidi="ru-RU"/>
        </w:rPr>
        <w:t xml:space="preserve"> on particular people or subpopulations distributed by average per capita equivalent total income per month. </w:t>
      </w:r>
    </w:p>
    <w:p w14:paraId="7168A066" w14:textId="77777777" w:rsidR="003C51B1" w:rsidRPr="003E1ECE" w:rsidRDefault="003C51B1" w:rsidP="00D86849">
      <w:pPr>
        <w:pStyle w:val="a4"/>
        <w:spacing w:line="240" w:lineRule="atLeast"/>
        <w:jc w:val="both"/>
        <w:rPr>
          <w:rFonts w:ascii="Garamond" w:eastAsia="Times New Roman" w:hAnsi="Garamond" w:cs="Times New Roman"/>
          <w:sz w:val="28"/>
          <w:szCs w:val="28"/>
        </w:rPr>
      </w:pPr>
      <w:r w:rsidRPr="003E1ECE">
        <w:rPr>
          <w:rFonts w:ascii="Garamond" w:eastAsia="Times New Roman" w:hAnsi="Garamond" w:cs="Times New Roman"/>
          <w:sz w:val="28"/>
          <w:szCs w:val="28"/>
        </w:rPr>
        <w:tab/>
      </w:r>
      <w:r w:rsidRPr="003E1ECE">
        <w:rPr>
          <w:rFonts w:ascii="Garamond" w:eastAsia="Times New Roman" w:hAnsi="Garamond" w:cs="Times New Roman"/>
          <w:sz w:val="28"/>
          <w:szCs w:val="28"/>
        </w:rPr>
        <w:tab/>
      </w:r>
      <w:r w:rsidRPr="003E1ECE">
        <w:rPr>
          <w:rFonts w:ascii="Garamond" w:eastAsia="Times New Roman" w:hAnsi="Garamond" w:cs="Times New Roman"/>
          <w:sz w:val="28"/>
          <w:szCs w:val="28"/>
        </w:rPr>
        <w:tab/>
      </w:r>
      <w:r w:rsidRPr="003E1ECE">
        <w:rPr>
          <w:rFonts w:ascii="Garamond" w:eastAsia="Times New Roman" w:hAnsi="Garamond" w:cs="Times New Roman"/>
          <w:sz w:val="28"/>
          <w:szCs w:val="28"/>
        </w:rPr>
        <w:tab/>
      </w:r>
      <w:r w:rsidRPr="003E1ECE">
        <w:rPr>
          <w:rFonts w:ascii="Garamond" w:eastAsia="Times New Roman" w:hAnsi="Garamond" w:cs="Times New Roman"/>
          <w:sz w:val="28"/>
          <w:szCs w:val="28"/>
        </w:rPr>
        <w:tab/>
      </w:r>
      <w:r w:rsidRPr="003E1ECE">
        <w:rPr>
          <w:rFonts w:ascii="Garamond" w:eastAsia="Times New Roman" w:hAnsi="Garamond" w:cs="Times New Roman"/>
          <w:sz w:val="28"/>
          <w:szCs w:val="28"/>
        </w:rPr>
        <w:tab/>
      </w:r>
    </w:p>
    <w:p w14:paraId="55DE5147" w14:textId="77777777" w:rsidR="00666D6C" w:rsidRPr="00666D6C" w:rsidRDefault="003C51B1" w:rsidP="006F749C">
      <w:pPr>
        <w:pStyle w:val="ListParagraph"/>
        <w:numPr>
          <w:ilvl w:val="0"/>
          <w:numId w:val="164"/>
        </w:numPr>
        <w:spacing w:after="0" w:line="240" w:lineRule="atLeast"/>
        <w:ind w:left="426"/>
        <w:jc w:val="both"/>
        <w:rPr>
          <w:rFonts w:ascii="Garamond" w:eastAsia="Times New Roman" w:hAnsi="Garamond"/>
          <w:szCs w:val="28"/>
        </w:rPr>
      </w:pPr>
      <w:r w:rsidRPr="00712E1F">
        <w:rPr>
          <w:rFonts w:ascii="Garamond" w:hAnsi="Garamond"/>
          <w:szCs w:val="28"/>
          <w:lang w:val="en-US" w:eastAsia="ru-RU"/>
        </w:rPr>
        <w:t>Using data about structure of total household expenditure in Ukraine, (i) critically examine the general changes in expenditure structures and consumption patterns in Ukraine across time.</w:t>
      </w:r>
      <w:r w:rsidR="00712E1F" w:rsidRPr="00712E1F">
        <w:rPr>
          <w:rFonts w:ascii="Garamond" w:hAnsi="Garamond"/>
          <w:szCs w:val="28"/>
          <w:lang w:val="en-US" w:eastAsia="ru-RU"/>
        </w:rPr>
        <w:t xml:space="preserve"> </w:t>
      </w:r>
      <w:r w:rsidRPr="00712E1F">
        <w:rPr>
          <w:rFonts w:ascii="Garamond" w:hAnsi="Garamond"/>
          <w:szCs w:val="28"/>
          <w:lang w:val="en-US" w:eastAsia="ru-RU"/>
        </w:rPr>
        <w:t>A number of factors are likely to have restrained household spending growth over the recent past, including weak income growth, tight credit conditions, concerns about debt levels, the fiscal consolidation</w:t>
      </w:r>
      <w:r w:rsidR="00DF6D34">
        <w:rPr>
          <w:rFonts w:ascii="Garamond" w:hAnsi="Garamond"/>
          <w:szCs w:val="28"/>
          <w:lang w:val="en-US" w:eastAsia="ru-RU"/>
        </w:rPr>
        <w:t>,</w:t>
      </w:r>
      <w:r w:rsidRPr="00712E1F">
        <w:rPr>
          <w:rFonts w:ascii="Garamond" w:hAnsi="Garamond"/>
          <w:szCs w:val="28"/>
          <w:lang w:val="en-US" w:eastAsia="ru-RU"/>
        </w:rPr>
        <w:t xml:space="preserve"> and uncertainty about future incomes. </w:t>
      </w:r>
      <w:r w:rsidR="00DF6D34">
        <w:rPr>
          <w:rFonts w:ascii="Garamond" w:hAnsi="Garamond"/>
          <w:szCs w:val="28"/>
          <w:lang w:val="en-US" w:eastAsia="ru-RU"/>
        </w:rPr>
        <w:t>Decide</w:t>
      </w:r>
      <w:r w:rsidRPr="00712E1F">
        <w:rPr>
          <w:rFonts w:ascii="Garamond" w:hAnsi="Garamond"/>
          <w:szCs w:val="28"/>
          <w:lang w:val="en-US" w:eastAsia="ru-RU"/>
        </w:rPr>
        <w:t xml:space="preserve"> (ii) </w:t>
      </w:r>
      <w:r w:rsidR="00DF6D34">
        <w:rPr>
          <w:rFonts w:ascii="Garamond" w:hAnsi="Garamond"/>
          <w:szCs w:val="28"/>
          <w:lang w:val="en-US" w:eastAsia="ru-RU"/>
        </w:rPr>
        <w:t>what</w:t>
      </w:r>
      <w:r w:rsidRPr="00712E1F">
        <w:rPr>
          <w:rFonts w:ascii="Garamond" w:hAnsi="Garamond"/>
          <w:szCs w:val="28"/>
          <w:lang w:val="en-US" w:eastAsia="ru-RU"/>
        </w:rPr>
        <w:t xml:space="preserve"> socio</w:t>
      </w:r>
      <w:r w:rsidR="00DF6D34">
        <w:rPr>
          <w:rFonts w:ascii="Garamond" w:hAnsi="Garamond"/>
          <w:szCs w:val="28"/>
          <w:lang w:val="en-US" w:eastAsia="ru-RU"/>
        </w:rPr>
        <w:t>-economic determinants affect</w:t>
      </w:r>
      <w:r w:rsidRPr="00712E1F">
        <w:rPr>
          <w:rFonts w:ascii="Garamond" w:hAnsi="Garamond"/>
          <w:szCs w:val="28"/>
          <w:lang w:val="en-US" w:eastAsia="ru-RU"/>
        </w:rPr>
        <w:t xml:space="preserve"> household spending?</w:t>
      </w:r>
      <w:r w:rsidR="00712E1F" w:rsidRPr="00712E1F">
        <w:rPr>
          <w:rFonts w:ascii="Garamond" w:hAnsi="Garamond"/>
          <w:szCs w:val="28"/>
          <w:lang w:val="en-US" w:eastAsia="ru-RU"/>
        </w:rPr>
        <w:t xml:space="preserve"> Analyze</w:t>
      </w:r>
      <w:r w:rsidRPr="00712E1F">
        <w:rPr>
          <w:rFonts w:ascii="Garamond" w:hAnsi="Garamond"/>
          <w:szCs w:val="28"/>
          <w:lang w:val="en-US" w:eastAsia="ru-RU"/>
        </w:rPr>
        <w:t xml:space="preserve"> the data in </w:t>
      </w:r>
      <w:r w:rsidR="00DF6D34">
        <w:rPr>
          <w:rFonts w:ascii="Garamond" w:hAnsi="Garamond"/>
          <w:szCs w:val="28"/>
          <w:lang w:val="en-US" w:eastAsia="ru-RU"/>
        </w:rPr>
        <w:t>F</w:t>
      </w:r>
      <w:r w:rsidRPr="00712E1F">
        <w:rPr>
          <w:rFonts w:ascii="Garamond" w:hAnsi="Garamond"/>
          <w:szCs w:val="28"/>
          <w:lang w:val="en-US" w:eastAsia="ru-RU"/>
        </w:rPr>
        <w:t xml:space="preserve">igure 6.3. (iii) Does the differences in structure of household expenditures reflect economic and social inequalities as well as cultural differences and social distinctions between countries?  </w:t>
      </w:r>
      <w:r w:rsidRPr="00712E1F">
        <w:rPr>
          <w:rFonts w:ascii="Garamond" w:eastAsia="Times New Roman" w:hAnsi="Garamond"/>
          <w:szCs w:val="28"/>
        </w:rPr>
        <w:tab/>
      </w:r>
      <w:r w:rsidRPr="00712E1F">
        <w:rPr>
          <w:rFonts w:ascii="Garamond" w:eastAsia="Times New Roman" w:hAnsi="Garamond"/>
          <w:szCs w:val="28"/>
        </w:rPr>
        <w:tab/>
      </w:r>
    </w:p>
    <w:p w14:paraId="4CE1041B" w14:textId="77777777" w:rsidR="003C51B1" w:rsidRPr="00712E1F" w:rsidRDefault="00712E1F" w:rsidP="003771E6">
      <w:pPr>
        <w:pStyle w:val="ListParagraph"/>
        <w:spacing w:after="0" w:line="240" w:lineRule="atLeast"/>
        <w:ind w:left="0"/>
        <w:jc w:val="center"/>
        <w:rPr>
          <w:rFonts w:ascii="Garamond" w:eastAsia="Arial Unicode MS" w:hAnsi="Garamond" w:cs="Arial Unicode MS"/>
          <w:b/>
          <w:szCs w:val="28"/>
          <w:lang w:val="en-US"/>
        </w:rPr>
      </w:pPr>
      <w:r>
        <w:rPr>
          <w:noProof/>
          <w:lang w:val="ru-RU" w:eastAsia="ru-RU"/>
        </w:rPr>
        <w:drawing>
          <wp:inline distT="0" distB="0" distL="0" distR="0" wp14:anchorId="1D45A9E3" wp14:editId="149322A3">
            <wp:extent cx="5953125" cy="3200400"/>
            <wp:effectExtent l="0" t="0" r="0" b="0"/>
            <wp:docPr id="283" name="Диаграмма 28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003C51B1" w:rsidRPr="00712E1F">
        <w:rPr>
          <w:rFonts w:ascii="Garamond" w:hAnsi="Garamond"/>
          <w:b/>
          <w:szCs w:val="28"/>
          <w:lang w:val="en-US"/>
        </w:rPr>
        <w:t>Figure 6.</w:t>
      </w:r>
      <w:r w:rsidR="005C3EC1">
        <w:rPr>
          <w:rFonts w:ascii="Garamond" w:hAnsi="Garamond"/>
          <w:b/>
          <w:szCs w:val="28"/>
          <w:lang w:val="en-US"/>
        </w:rPr>
        <w:t>3</w:t>
      </w:r>
      <w:r w:rsidR="003771E6">
        <w:rPr>
          <w:rFonts w:ascii="Garamond" w:hAnsi="Garamond"/>
          <w:b/>
          <w:szCs w:val="28"/>
          <w:lang w:val="en-US"/>
        </w:rPr>
        <w:t xml:space="preserve"> –</w:t>
      </w:r>
      <w:r w:rsidR="003C51B1" w:rsidRPr="00712E1F">
        <w:rPr>
          <w:rFonts w:ascii="Garamond" w:hAnsi="Garamond"/>
          <w:b/>
          <w:szCs w:val="28"/>
          <w:lang w:val="en-US"/>
        </w:rPr>
        <w:t xml:space="preserve"> Structures of expenditures in Ukraine and EU 27</w:t>
      </w:r>
    </w:p>
    <w:p w14:paraId="6F676E8D" w14:textId="77777777" w:rsidR="003C51B1" w:rsidRPr="003E1ECE" w:rsidRDefault="003771E6" w:rsidP="003771E6">
      <w:pPr>
        <w:pStyle w:val="a4"/>
        <w:ind w:left="426"/>
        <w:jc w:val="center"/>
        <w:rPr>
          <w:sz w:val="28"/>
          <w:szCs w:val="28"/>
        </w:rPr>
      </w:pPr>
      <w:r>
        <w:rPr>
          <w:rFonts w:ascii="Garamond" w:hAnsi="Garamond"/>
          <w:sz w:val="28"/>
          <w:szCs w:val="28"/>
          <w:lang w:val="en-US"/>
        </w:rPr>
        <w:t>(</w:t>
      </w:r>
      <w:r w:rsidR="003C51B1" w:rsidRPr="003E1ECE">
        <w:rPr>
          <w:rFonts w:ascii="Garamond" w:hAnsi="Garamond"/>
          <w:sz w:val="28"/>
          <w:szCs w:val="28"/>
          <w:lang w:val="en-US"/>
        </w:rPr>
        <w:t>Source: Authors’ elab</w:t>
      </w:r>
      <w:r w:rsidR="00DF6D34">
        <w:rPr>
          <w:rFonts w:ascii="Garamond" w:hAnsi="Garamond"/>
          <w:sz w:val="28"/>
          <w:szCs w:val="28"/>
          <w:lang w:val="en-US"/>
        </w:rPr>
        <w:t>oration based on Eurostat data</w:t>
      </w:r>
      <w:r>
        <w:rPr>
          <w:rFonts w:ascii="Garamond" w:hAnsi="Garamond"/>
          <w:sz w:val="28"/>
          <w:szCs w:val="28"/>
          <w:lang w:val="en-US"/>
        </w:rPr>
        <w:t>)</w:t>
      </w:r>
      <w:r w:rsidR="003C51B1" w:rsidRPr="003E1ECE">
        <w:rPr>
          <w:sz w:val="28"/>
          <w:szCs w:val="28"/>
        </w:rPr>
        <w:br w:type="page"/>
      </w:r>
    </w:p>
    <w:p w14:paraId="6E0902E4" w14:textId="77777777" w:rsidR="003C51B1" w:rsidRPr="003C51B1" w:rsidRDefault="003C51B1" w:rsidP="00666D6C">
      <w:pPr>
        <w:pStyle w:val="eng"/>
        <w:rPr>
          <w:rFonts w:eastAsia="Garamond"/>
          <w:u w:color="000000"/>
          <w:bdr w:val="nil"/>
          <w:lang w:val="en-US"/>
        </w:rPr>
      </w:pPr>
      <w:r w:rsidRPr="003C51B1">
        <w:rPr>
          <w:rFonts w:eastAsia="Calibri"/>
          <w:u w:color="000000"/>
          <w:bdr w:val="nil"/>
          <w:lang w:val="en-US"/>
        </w:rPr>
        <w:lastRenderedPageBreak/>
        <w:t>Chapter 7</w:t>
      </w:r>
      <w:r w:rsidR="00CB5C12">
        <w:rPr>
          <w:rFonts w:eastAsia="Calibri"/>
          <w:u w:color="000000"/>
          <w:bdr w:val="nil"/>
          <w:lang w:val="en-US"/>
        </w:rPr>
        <w:t>:</w:t>
      </w:r>
      <w:r w:rsidRPr="003C51B1">
        <w:rPr>
          <w:rFonts w:eastAsia="Calibri"/>
          <w:u w:color="000000"/>
          <w:bdr w:val="nil"/>
          <w:lang w:val="en-US"/>
        </w:rPr>
        <w:t xml:space="preserve"> </w:t>
      </w:r>
    </w:p>
    <w:p w14:paraId="6AC0E5C7" w14:textId="77777777" w:rsidR="003C51B1" w:rsidRPr="003C51B1" w:rsidRDefault="003C51B1" w:rsidP="00666D6C">
      <w:pPr>
        <w:pStyle w:val="eng"/>
        <w:rPr>
          <w:rFonts w:eastAsia="Garamond"/>
          <w:u w:color="000000"/>
          <w:bdr w:val="nil"/>
          <w:lang w:val="en-US"/>
        </w:rPr>
      </w:pPr>
      <w:r w:rsidRPr="003C51B1">
        <w:rPr>
          <w:rFonts w:eastAsia="Calibri"/>
          <w:u w:color="000000"/>
          <w:bdr w:val="nil"/>
          <w:lang w:val="en-US"/>
        </w:rPr>
        <w:t>Corporate finance</w:t>
      </w:r>
    </w:p>
    <w:p w14:paraId="053BF45D" w14:textId="77777777" w:rsidR="003C51B1" w:rsidRPr="003C51B1" w:rsidRDefault="003C51B1" w:rsidP="00666D6C">
      <w:pPr>
        <w:pStyle w:val="end2"/>
        <w:rPr>
          <w:rFonts w:eastAsia="Garamond"/>
          <w:u w:color="000000"/>
          <w:bdr w:val="nil"/>
        </w:rPr>
      </w:pPr>
      <w:r w:rsidRPr="003C51B1">
        <w:rPr>
          <w:rFonts w:eastAsia="Calibri"/>
          <w:u w:color="000000"/>
          <w:bdr w:val="nil"/>
        </w:rPr>
        <w:t>summary</w:t>
      </w:r>
    </w:p>
    <w:p w14:paraId="681A4AEE"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Every decision made in a business has financial implications, and any decision that involves the use of money is a corporate financial decision. Defined broadly, everything that business does fit under the heading of corporate finance. The </w:t>
      </w:r>
      <w:r w:rsidRPr="00666D6C">
        <w:rPr>
          <w:rFonts w:eastAsia="Calibri" w:cs="Calibri"/>
          <w:b/>
          <w:bCs/>
          <w:sz w:val="28"/>
          <w:szCs w:val="28"/>
          <w:u w:color="000000"/>
          <w:bdr w:val="nil"/>
          <w:lang w:val="en-US"/>
        </w:rPr>
        <w:t>definition of “corporate finance”</w:t>
      </w:r>
      <w:r w:rsidRPr="00666D6C">
        <w:rPr>
          <w:rFonts w:eastAsia="Calibri" w:cs="Calibri"/>
          <w:sz w:val="28"/>
          <w:szCs w:val="28"/>
          <w:u w:color="000000"/>
          <w:bdr w:val="nil"/>
          <w:lang w:val="en-US"/>
        </w:rPr>
        <w:t xml:space="preserve"> differs considerably across the world. For example, in the US the term </w:t>
      </w:r>
      <w:r w:rsidR="00DF6D34">
        <w:rPr>
          <w:rFonts w:eastAsia="Calibri" w:cs="Calibri"/>
          <w:sz w:val="28"/>
          <w:szCs w:val="28"/>
          <w:u w:color="000000"/>
          <w:bdr w:val="nil"/>
          <w:lang w:val="en-US"/>
        </w:rPr>
        <w:t>“</w:t>
      </w:r>
      <w:r w:rsidRPr="00666D6C">
        <w:rPr>
          <w:rFonts w:eastAsia="Calibri" w:cs="Calibri"/>
          <w:sz w:val="28"/>
          <w:szCs w:val="28"/>
          <w:u w:color="000000"/>
          <w:bdr w:val="nil"/>
          <w:lang w:val="en-US"/>
        </w:rPr>
        <w:t>corporate governance</w:t>
      </w:r>
      <w:r w:rsidR="00DF6D34">
        <w:rPr>
          <w:rFonts w:eastAsia="Calibri" w:cs="Calibri"/>
          <w:sz w:val="28"/>
          <w:szCs w:val="28"/>
          <w:u w:color="000000"/>
          <w:bdr w:val="nil"/>
          <w:lang w:val="en-US"/>
        </w:rPr>
        <w:t>”</w:t>
      </w:r>
      <w:r w:rsidRPr="00666D6C">
        <w:rPr>
          <w:rFonts w:eastAsia="Calibri" w:cs="Calibri"/>
          <w:sz w:val="28"/>
          <w:szCs w:val="28"/>
          <w:u w:color="000000"/>
          <w:bdr w:val="nil"/>
          <w:lang w:val="en-US"/>
        </w:rPr>
        <w:t xml:space="preserve"> is used in a much broader way – to describe activities, decisions, procedures and techniques that</w:t>
      </w:r>
      <w:r w:rsidR="00DF6D34">
        <w:rPr>
          <w:rFonts w:eastAsia="Calibri" w:cs="Calibri"/>
          <w:sz w:val="28"/>
          <w:szCs w:val="28"/>
          <w:u w:color="000000"/>
          <w:bdr w:val="nil"/>
          <w:lang w:val="en-US"/>
        </w:rPr>
        <w:t xml:space="preserve"> are</w:t>
      </w:r>
      <w:r w:rsidRPr="00666D6C">
        <w:rPr>
          <w:rFonts w:eastAsia="Calibri" w:cs="Calibri"/>
          <w:sz w:val="28"/>
          <w:szCs w:val="28"/>
          <w:u w:color="000000"/>
          <w:bdr w:val="nil"/>
          <w:lang w:val="en-US"/>
        </w:rPr>
        <w:t xml:space="preserve"> concerned with various aspects of a company’s finances and capital. The term “corporate finance” in the UK</w:t>
      </w:r>
      <w:r w:rsidR="00DF6D34">
        <w:rPr>
          <w:rFonts w:eastAsia="Calibri" w:cs="Calibri"/>
          <w:sz w:val="28"/>
          <w:szCs w:val="28"/>
          <w:u w:color="000000"/>
          <w:bdr w:val="nil"/>
          <w:lang w:val="en-US"/>
        </w:rPr>
        <w:t xml:space="preserve"> is</w:t>
      </w:r>
      <w:r w:rsidRPr="00666D6C">
        <w:rPr>
          <w:rFonts w:eastAsia="Calibri" w:cs="Calibri"/>
          <w:sz w:val="28"/>
          <w:szCs w:val="28"/>
          <w:u w:color="000000"/>
          <w:bdr w:val="nil"/>
          <w:lang w:val="en-US"/>
        </w:rPr>
        <w:t xml:space="preserve"> connected with transactions in which capital is raised in order to create, develop, grow or acquire businesses.</w:t>
      </w:r>
    </w:p>
    <w:p w14:paraId="53B980AD"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In general, </w:t>
      </w:r>
      <w:r w:rsidRPr="00666D6C">
        <w:rPr>
          <w:rFonts w:eastAsia="Calibri" w:cs="Calibri"/>
          <w:b/>
          <w:bCs/>
          <w:sz w:val="28"/>
          <w:szCs w:val="28"/>
          <w:u w:color="000000"/>
          <w:bdr w:val="nil"/>
          <w:lang w:val="en-US"/>
        </w:rPr>
        <w:t>corporate finance</w:t>
      </w:r>
      <w:r w:rsidRPr="00666D6C">
        <w:rPr>
          <w:rFonts w:eastAsia="Calibri" w:cs="Calibri"/>
          <w:sz w:val="28"/>
          <w:szCs w:val="28"/>
          <w:u w:color="000000"/>
          <w:bdr w:val="nil"/>
          <w:lang w:val="en-US"/>
        </w:rPr>
        <w:t xml:space="preserve"> is </w:t>
      </w:r>
      <w:r w:rsidR="00DF6D34">
        <w:rPr>
          <w:rFonts w:eastAsia="Calibri" w:cs="Calibri"/>
          <w:sz w:val="28"/>
          <w:szCs w:val="28"/>
          <w:u w:color="000000"/>
          <w:bdr w:val="nil"/>
          <w:lang w:val="en-US"/>
        </w:rPr>
        <w:t>related</w:t>
      </w:r>
      <w:r w:rsidRPr="00666D6C">
        <w:rPr>
          <w:rFonts w:eastAsia="Calibri" w:cs="Calibri"/>
          <w:sz w:val="28"/>
          <w:szCs w:val="28"/>
          <w:u w:color="000000"/>
          <w:bdr w:val="nil"/>
          <w:lang w:val="en-US"/>
        </w:rPr>
        <w:t xml:space="preserve"> </w:t>
      </w:r>
      <w:r w:rsidR="00DF6D34">
        <w:rPr>
          <w:rFonts w:eastAsia="Calibri" w:cs="Calibri"/>
          <w:sz w:val="28"/>
          <w:szCs w:val="28"/>
          <w:u w:color="000000"/>
          <w:bdr w:val="nil"/>
          <w:lang w:val="en-US"/>
        </w:rPr>
        <w:t>to</w:t>
      </w:r>
      <w:r w:rsidRPr="00666D6C">
        <w:rPr>
          <w:rFonts w:eastAsia="Calibri" w:cs="Calibri"/>
          <w:sz w:val="28"/>
          <w:szCs w:val="28"/>
          <w:u w:color="000000"/>
          <w:bdr w:val="nil"/>
          <w:lang w:val="en-US"/>
        </w:rPr>
        <w:t xml:space="preserve"> the financing and investment decisions made by the management of companies in order to meet financial needs, achieve the corporate goals and overall objectives of the organization. Thus, corporate finance focuse</w:t>
      </w:r>
      <w:r w:rsidR="00DF6D34">
        <w:rPr>
          <w:rFonts w:eastAsia="Calibri" w:cs="Calibri"/>
          <w:sz w:val="28"/>
          <w:szCs w:val="28"/>
          <w:u w:color="000000"/>
          <w:bdr w:val="nil"/>
          <w:lang w:val="en-US"/>
        </w:rPr>
        <w:t>s</w:t>
      </w:r>
      <w:r w:rsidRPr="00666D6C">
        <w:rPr>
          <w:rFonts w:eastAsia="Calibri" w:cs="Calibri"/>
          <w:sz w:val="28"/>
          <w:szCs w:val="28"/>
          <w:u w:color="000000"/>
          <w:bdr w:val="nil"/>
          <w:lang w:val="en-US"/>
        </w:rPr>
        <w:t xml:space="preserve"> on a company's business and financial needs and includes financing, risk management, capitalization, and budgeting. Corporate finance </w:t>
      </w:r>
      <w:r w:rsidR="00DF6D34">
        <w:rPr>
          <w:rFonts w:eastAsia="Calibri" w:cs="Calibri"/>
          <w:sz w:val="28"/>
          <w:szCs w:val="28"/>
          <w:u w:color="000000"/>
          <w:bdr w:val="nil"/>
          <w:lang w:val="en-US"/>
        </w:rPr>
        <w:t>may be</w:t>
      </w:r>
      <w:r w:rsidRPr="00666D6C">
        <w:rPr>
          <w:rFonts w:eastAsia="Calibri" w:cs="Calibri"/>
          <w:sz w:val="28"/>
          <w:szCs w:val="28"/>
          <w:u w:color="000000"/>
          <w:bdr w:val="nil"/>
          <w:lang w:val="en-US"/>
        </w:rPr>
        <w:t xml:space="preserve"> also viewed as a set of economic relations in the generation, allocation</w:t>
      </w:r>
      <w:r w:rsidR="00DF6D34">
        <w:rPr>
          <w:rFonts w:eastAsia="Calibri" w:cs="Calibri"/>
          <w:sz w:val="28"/>
          <w:szCs w:val="28"/>
          <w:u w:color="000000"/>
          <w:bdr w:val="nil"/>
          <w:lang w:val="en-US"/>
        </w:rPr>
        <w:t>,</w:t>
      </w:r>
      <w:r w:rsidRPr="00666D6C">
        <w:rPr>
          <w:rFonts w:eastAsia="Calibri" w:cs="Calibri"/>
          <w:sz w:val="28"/>
          <w:szCs w:val="28"/>
          <w:u w:color="000000"/>
          <w:bdr w:val="nil"/>
          <w:lang w:val="en-US"/>
        </w:rPr>
        <w:t xml:space="preserve"> and use of income and funds of business entities in the reproduction process.</w:t>
      </w:r>
    </w:p>
    <w:p w14:paraId="0E8A3C20"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Corporate finance involves planning and controlling the resource acquisition (where funds are raised from at the lowest possible cost to the company), the resource allocation (where funds are deployed to with the intent of increasing shareholder wealth over time) and</w:t>
      </w:r>
      <w:r w:rsidR="00DF6D34">
        <w:rPr>
          <w:rFonts w:eastAsia="Calibri" w:cs="Calibri"/>
          <w:sz w:val="28"/>
          <w:szCs w:val="28"/>
          <w:u w:color="000000"/>
          <w:bdr w:val="nil"/>
          <w:lang w:val="en-US"/>
        </w:rPr>
        <w:t>,</w:t>
      </w:r>
      <w:r w:rsidRPr="00666D6C">
        <w:rPr>
          <w:rFonts w:eastAsia="Calibri" w:cs="Calibri"/>
          <w:sz w:val="28"/>
          <w:szCs w:val="28"/>
          <w:u w:color="000000"/>
          <w:bdr w:val="nil"/>
          <w:lang w:val="en-US"/>
        </w:rPr>
        <w:t xml:space="preserve"> finally</w:t>
      </w:r>
      <w:r w:rsidR="00DF6D34">
        <w:rPr>
          <w:rFonts w:eastAsia="Calibri" w:cs="Calibri"/>
          <w:sz w:val="28"/>
          <w:szCs w:val="28"/>
          <w:u w:color="000000"/>
          <w:bdr w:val="nil"/>
          <w:lang w:val="en-US"/>
        </w:rPr>
        <w:t>,</w:t>
      </w:r>
      <w:r w:rsidRPr="00666D6C">
        <w:rPr>
          <w:rFonts w:eastAsia="Calibri" w:cs="Calibri"/>
          <w:sz w:val="28"/>
          <w:szCs w:val="28"/>
          <w:u w:color="000000"/>
          <w:bdr w:val="nil"/>
          <w:lang w:val="en-US"/>
        </w:rPr>
        <w:t xml:space="preserve"> the control of resources (whether funds are being used effectively or not in order to reach the corporate goals). </w:t>
      </w:r>
    </w:p>
    <w:p w14:paraId="683151D8"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Corporate finance (finance of business entities)</w:t>
      </w:r>
      <w:r w:rsidR="00DF6D34">
        <w:rPr>
          <w:rFonts w:eastAsia="Calibri" w:cs="Calibri"/>
          <w:sz w:val="28"/>
          <w:szCs w:val="28"/>
          <w:u w:color="000000"/>
          <w:bdr w:val="nil"/>
          <w:lang w:val="en-US"/>
        </w:rPr>
        <w:t>,</w:t>
      </w:r>
      <w:r w:rsidRPr="00666D6C">
        <w:rPr>
          <w:rFonts w:eastAsia="Calibri" w:cs="Calibri"/>
          <w:sz w:val="28"/>
          <w:szCs w:val="28"/>
          <w:u w:color="000000"/>
          <w:bdr w:val="nil"/>
          <w:lang w:val="en-US"/>
        </w:rPr>
        <w:t xml:space="preserve"> like finance in general, has certain common and specific features. The common feature of the corporate finance is that they express a set of economic relations connected with the dis</w:t>
      </w:r>
      <w:r w:rsidR="00DF6D34">
        <w:rPr>
          <w:rFonts w:eastAsia="Calibri" w:cs="Calibri"/>
          <w:sz w:val="28"/>
          <w:szCs w:val="28"/>
          <w:u w:color="000000"/>
          <w:bdr w:val="nil"/>
          <w:lang w:val="en-US"/>
        </w:rPr>
        <w:t>tribution of the social product</w:t>
      </w:r>
      <w:r w:rsidRPr="00666D6C">
        <w:rPr>
          <w:rFonts w:eastAsia="Calibri" w:cs="Calibri"/>
          <w:sz w:val="28"/>
          <w:szCs w:val="28"/>
          <w:u w:color="000000"/>
          <w:bdr w:val="nil"/>
          <w:lang w:val="en-US"/>
        </w:rPr>
        <w:t xml:space="preserve"> value. The </w:t>
      </w:r>
      <w:r w:rsidR="00DF6D34">
        <w:rPr>
          <w:rFonts w:eastAsia="Calibri" w:cs="Calibri"/>
          <w:sz w:val="28"/>
          <w:szCs w:val="28"/>
          <w:u w:color="000000"/>
          <w:bdr w:val="nil"/>
          <w:lang w:val="en-US"/>
        </w:rPr>
        <w:t xml:space="preserve">following are </w:t>
      </w:r>
      <w:r w:rsidRPr="00666D6C">
        <w:rPr>
          <w:rFonts w:eastAsia="Calibri" w:cs="Calibri"/>
          <w:sz w:val="28"/>
          <w:szCs w:val="28"/>
          <w:u w:color="000000"/>
          <w:bdr w:val="nil"/>
          <w:lang w:val="en-US"/>
        </w:rPr>
        <w:t xml:space="preserve">specific features of corporate finance: (i) subject of the study is financial resources of business entities; (ii) the nature of economic relations is associated with the distribution of the social product value, generation and use of the incomes and decentralized funds of financial resources in </w:t>
      </w:r>
      <w:r w:rsidRPr="00666D6C">
        <w:rPr>
          <w:rFonts w:eastAsia="Calibri" w:cs="Calibri"/>
          <w:sz w:val="28"/>
          <w:szCs w:val="28"/>
          <w:u w:color="000000"/>
          <w:bdr w:val="nil"/>
          <w:lang w:val="en-US"/>
        </w:rPr>
        <w:lastRenderedPageBreak/>
        <w:t>the company; (iii) the purpose of economic relations is effective business entity development at all stages of its operations, the implementation of the continuous manufacturing; (iv) to enhance the efficiency of its operations and financial incentives for employees; (v) the funds of financial resources</w:t>
      </w:r>
      <w:r w:rsidR="00DF6D34">
        <w:rPr>
          <w:rFonts w:eastAsia="Calibri" w:cs="Calibri"/>
          <w:sz w:val="28"/>
          <w:szCs w:val="28"/>
          <w:u w:color="000000"/>
          <w:bdr w:val="nil"/>
          <w:lang w:val="en-US"/>
        </w:rPr>
        <w:t>,</w:t>
      </w:r>
      <w:r w:rsidRPr="00666D6C">
        <w:rPr>
          <w:rFonts w:eastAsia="Calibri" w:cs="Calibri"/>
          <w:sz w:val="28"/>
          <w:szCs w:val="28"/>
          <w:u w:color="000000"/>
          <w:bdr w:val="nil"/>
          <w:lang w:val="en-US"/>
        </w:rPr>
        <w:t xml:space="preserve"> generated by the company, </w:t>
      </w:r>
      <w:r w:rsidR="00DF6D34">
        <w:rPr>
          <w:rFonts w:eastAsia="Calibri" w:cs="Calibri"/>
          <w:sz w:val="28"/>
          <w:szCs w:val="28"/>
          <w:u w:color="000000"/>
          <w:bdr w:val="nil"/>
          <w:lang w:val="en-US"/>
        </w:rPr>
        <w:t>are</w:t>
      </w:r>
      <w:r w:rsidRPr="00666D6C">
        <w:rPr>
          <w:rFonts w:eastAsia="Calibri" w:cs="Calibri"/>
          <w:sz w:val="28"/>
          <w:szCs w:val="28"/>
          <w:u w:color="000000"/>
          <w:bdr w:val="nil"/>
          <w:lang w:val="en-US"/>
        </w:rPr>
        <w:t xml:space="preserve"> not mobilized for further redistribution, but for service of manufacturing process</w:t>
      </w:r>
      <w:r w:rsidR="00DF6D34">
        <w:rPr>
          <w:rFonts w:eastAsia="Calibri" w:cs="Calibri"/>
          <w:sz w:val="28"/>
          <w:szCs w:val="28"/>
          <w:u w:color="000000"/>
          <w:bdr w:val="nil"/>
          <w:lang w:val="en-US"/>
        </w:rPr>
        <w:t xml:space="preserve"> and</w:t>
      </w:r>
      <w:r w:rsidRPr="00666D6C">
        <w:rPr>
          <w:rFonts w:eastAsia="Calibri" w:cs="Calibri"/>
          <w:sz w:val="28"/>
          <w:szCs w:val="28"/>
          <w:u w:color="000000"/>
          <w:bdr w:val="nil"/>
          <w:lang w:val="en-US"/>
        </w:rPr>
        <w:t xml:space="preserve"> services. Different forms of business entities have specific aspects of finance. </w:t>
      </w:r>
    </w:p>
    <w:p w14:paraId="471DAA7A"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There are two </w:t>
      </w:r>
      <w:r w:rsidRPr="00666D6C">
        <w:rPr>
          <w:rFonts w:eastAsia="Calibri" w:cs="Calibri"/>
          <w:b/>
          <w:bCs/>
          <w:sz w:val="28"/>
          <w:szCs w:val="28"/>
          <w:u w:color="000000"/>
          <w:bdr w:val="nil"/>
          <w:lang w:val="en-US"/>
        </w:rPr>
        <w:t>types of business entities in Ukraine</w:t>
      </w:r>
      <w:r w:rsidRPr="00666D6C">
        <w:rPr>
          <w:rFonts w:eastAsia="Calibri" w:cs="Calibri"/>
          <w:sz w:val="28"/>
          <w:szCs w:val="28"/>
          <w:u w:color="000000"/>
          <w:bdr w:val="nil"/>
          <w:lang w:val="en-US"/>
        </w:rPr>
        <w:t xml:space="preserve">: (i) economic organization – legal entities, public companies, utilities and other specifically labelled types of entities, which are registered in the manner prescribed by law; (ii) citizens of Ukraine, foreigners and stateless individuals, who </w:t>
      </w:r>
      <w:r w:rsidR="00DF6D34">
        <w:rPr>
          <w:rFonts w:eastAsia="Calibri" w:cs="Calibri"/>
          <w:sz w:val="28"/>
          <w:szCs w:val="28"/>
          <w:u w:color="000000"/>
          <w:bdr w:val="nil"/>
          <w:lang w:val="en-US"/>
        </w:rPr>
        <w:t xml:space="preserve">are </w:t>
      </w:r>
      <w:r w:rsidRPr="00666D6C">
        <w:rPr>
          <w:rFonts w:eastAsia="Calibri" w:cs="Calibri"/>
          <w:sz w:val="28"/>
          <w:szCs w:val="28"/>
          <w:u w:color="000000"/>
          <w:bdr w:val="nil"/>
          <w:lang w:val="en-US"/>
        </w:rPr>
        <w:t>engage</w:t>
      </w:r>
      <w:r w:rsidR="00DF6D34">
        <w:rPr>
          <w:rFonts w:eastAsia="Calibri" w:cs="Calibri"/>
          <w:sz w:val="28"/>
          <w:szCs w:val="28"/>
          <w:u w:color="000000"/>
          <w:bdr w:val="nil"/>
          <w:lang w:val="en-US"/>
        </w:rPr>
        <w:t>d</w:t>
      </w:r>
      <w:r w:rsidRPr="00666D6C">
        <w:rPr>
          <w:rFonts w:eastAsia="Calibri" w:cs="Calibri"/>
          <w:sz w:val="28"/>
          <w:szCs w:val="28"/>
          <w:u w:color="000000"/>
          <w:bdr w:val="nil"/>
          <w:lang w:val="en-US"/>
        </w:rPr>
        <w:t xml:space="preserve"> in business activities and </w:t>
      </w:r>
      <w:r w:rsidR="00DF6D34">
        <w:rPr>
          <w:rFonts w:eastAsia="Calibri" w:cs="Calibri"/>
          <w:sz w:val="28"/>
          <w:szCs w:val="28"/>
          <w:u w:color="000000"/>
          <w:bdr w:val="nil"/>
          <w:lang w:val="en-US"/>
        </w:rPr>
        <w:t xml:space="preserve">are </w:t>
      </w:r>
      <w:r w:rsidRPr="00666D6C">
        <w:rPr>
          <w:rFonts w:eastAsia="Calibri" w:cs="Calibri"/>
          <w:sz w:val="28"/>
          <w:szCs w:val="28"/>
          <w:u w:color="000000"/>
          <w:bdr w:val="nil"/>
          <w:lang w:val="en-US"/>
        </w:rPr>
        <w:t xml:space="preserve">registered in the manner prescribed by law as entrepreneurs (called as </w:t>
      </w:r>
      <w:r w:rsidR="00DF6D34">
        <w:rPr>
          <w:rFonts w:eastAsia="Calibri" w:cs="Calibri"/>
          <w:sz w:val="28"/>
          <w:szCs w:val="28"/>
          <w:u w:color="000000"/>
          <w:bdr w:val="nil"/>
          <w:lang w:val="en-US"/>
        </w:rPr>
        <w:t xml:space="preserve">a </w:t>
      </w:r>
      <w:r w:rsidRPr="00666D6C">
        <w:rPr>
          <w:rFonts w:eastAsia="Calibri" w:cs="Calibri"/>
          <w:sz w:val="28"/>
          <w:szCs w:val="28"/>
          <w:u w:color="000000"/>
          <w:bdr w:val="nil"/>
          <w:lang w:val="en-US"/>
        </w:rPr>
        <w:t>sole proprietorship).</w:t>
      </w:r>
    </w:p>
    <w:p w14:paraId="5821F072"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Further</w:t>
      </w:r>
      <w:r w:rsidR="003C6807">
        <w:rPr>
          <w:rFonts w:eastAsia="Calibri" w:cs="Calibri"/>
          <w:sz w:val="28"/>
          <w:szCs w:val="28"/>
          <w:u w:color="000000"/>
          <w:bdr w:val="nil"/>
          <w:lang w:val="en-US"/>
        </w:rPr>
        <w:t>more</w:t>
      </w:r>
      <w:r w:rsidRPr="00666D6C">
        <w:rPr>
          <w:rFonts w:eastAsia="Calibri" w:cs="Calibri"/>
          <w:sz w:val="28"/>
          <w:szCs w:val="28"/>
          <w:u w:color="000000"/>
          <w:bdr w:val="nil"/>
          <w:lang w:val="en-US"/>
        </w:rPr>
        <w:t>, the advantages and disadvantages of each type of entity</w:t>
      </w:r>
      <w:r w:rsidR="003C6807">
        <w:rPr>
          <w:rFonts w:eastAsia="Calibri" w:cs="Calibri"/>
          <w:sz w:val="28"/>
          <w:szCs w:val="28"/>
          <w:u w:color="000000"/>
          <w:bdr w:val="nil"/>
          <w:lang w:val="en-US"/>
        </w:rPr>
        <w:t>,</w:t>
      </w:r>
      <w:r w:rsidRPr="00666D6C">
        <w:rPr>
          <w:rFonts w:eastAsia="Calibri" w:cs="Calibri"/>
          <w:sz w:val="28"/>
          <w:szCs w:val="28"/>
          <w:u w:color="000000"/>
          <w:bdr w:val="nil"/>
          <w:lang w:val="en-US"/>
        </w:rPr>
        <w:t xml:space="preserve"> from a legal and tax perspective</w:t>
      </w:r>
      <w:r w:rsidR="003C6807">
        <w:rPr>
          <w:rFonts w:eastAsia="Calibri" w:cs="Calibri"/>
          <w:sz w:val="28"/>
          <w:szCs w:val="28"/>
          <w:u w:color="000000"/>
          <w:bdr w:val="nil"/>
          <w:lang w:val="en-US"/>
        </w:rPr>
        <w:t>,</w:t>
      </w:r>
      <w:r w:rsidRPr="00666D6C">
        <w:rPr>
          <w:rFonts w:eastAsia="Calibri" w:cs="Calibri"/>
          <w:sz w:val="28"/>
          <w:szCs w:val="28"/>
          <w:u w:color="000000"/>
          <w:bdr w:val="nil"/>
          <w:lang w:val="en-US"/>
        </w:rPr>
        <w:t xml:space="preserve"> play</w:t>
      </w:r>
      <w:r w:rsidR="003C6807">
        <w:rPr>
          <w:rFonts w:eastAsia="Calibri" w:cs="Calibri"/>
          <w:sz w:val="28"/>
          <w:szCs w:val="28"/>
          <w:u w:color="000000"/>
          <w:bdr w:val="nil"/>
          <w:lang w:val="en-US"/>
        </w:rPr>
        <w:t xml:space="preserve"> an important role</w:t>
      </w:r>
      <w:r w:rsidRPr="00666D6C">
        <w:rPr>
          <w:rFonts w:eastAsia="Calibri" w:cs="Calibri"/>
          <w:sz w:val="28"/>
          <w:szCs w:val="28"/>
          <w:u w:color="000000"/>
          <w:bdr w:val="nil"/>
          <w:lang w:val="en-US"/>
        </w:rPr>
        <w:t xml:space="preserve"> in the overall planning process. There are six types of business entities that could be established according to the types of business ownership provided for by the legislation of Ukraine. They are </w:t>
      </w:r>
      <w:r w:rsidR="003C6807">
        <w:rPr>
          <w:rFonts w:eastAsia="Calibri" w:cs="Calibri"/>
          <w:sz w:val="28"/>
          <w:szCs w:val="28"/>
          <w:u w:color="000000"/>
          <w:bdr w:val="nil"/>
          <w:lang w:val="en-US"/>
        </w:rPr>
        <w:t xml:space="preserve">as </w:t>
      </w:r>
      <w:r w:rsidRPr="00666D6C">
        <w:rPr>
          <w:rFonts w:eastAsia="Calibri" w:cs="Calibri"/>
          <w:sz w:val="28"/>
          <w:szCs w:val="28"/>
          <w:u w:color="000000"/>
          <w:bdr w:val="nil"/>
          <w:lang w:val="en-US"/>
        </w:rPr>
        <w:t>follo</w:t>
      </w:r>
      <w:r w:rsidR="003C6807">
        <w:rPr>
          <w:rFonts w:eastAsia="Calibri" w:cs="Calibri"/>
          <w:sz w:val="28"/>
          <w:szCs w:val="28"/>
          <w:u w:color="000000"/>
          <w:bdr w:val="nil"/>
          <w:lang w:val="en-US"/>
        </w:rPr>
        <w:t>ws</w:t>
      </w:r>
      <w:r w:rsidRPr="00666D6C">
        <w:rPr>
          <w:rFonts w:eastAsia="Calibri" w:cs="Calibri"/>
          <w:sz w:val="28"/>
          <w:szCs w:val="28"/>
          <w:u w:color="000000"/>
          <w:bdr w:val="nil"/>
          <w:lang w:val="en-US"/>
        </w:rPr>
        <w:t xml:space="preserve">: </w:t>
      </w:r>
    </w:p>
    <w:p w14:paraId="2912355C" w14:textId="77777777" w:rsidR="003C51B1" w:rsidRPr="00666D6C" w:rsidRDefault="003C51B1" w:rsidP="006F749C">
      <w:pPr>
        <w:numPr>
          <w:ilvl w:val="0"/>
          <w:numId w:val="165"/>
        </w:numPr>
        <w:pBdr>
          <w:top w:val="nil"/>
          <w:left w:val="nil"/>
          <w:bottom w:val="nil"/>
          <w:right w:val="nil"/>
          <w:between w:val="nil"/>
          <w:bar w:val="nil"/>
        </w:pBdr>
        <w:tabs>
          <w:tab w:val="clear" w:pos="794"/>
          <w:tab w:val="num" w:pos="993"/>
        </w:tabs>
        <w:spacing w:line="312" w:lineRule="auto"/>
        <w:ind w:left="993" w:hanging="284"/>
        <w:jc w:val="both"/>
        <w:rPr>
          <w:rFonts w:eastAsia="Garamond"/>
          <w:sz w:val="28"/>
          <w:szCs w:val="28"/>
          <w:u w:color="000000"/>
          <w:bdr w:val="nil"/>
          <w:lang w:val="en-US"/>
        </w:rPr>
      </w:pPr>
      <w:r w:rsidRPr="00666D6C">
        <w:rPr>
          <w:rFonts w:eastAsia="Calibri" w:cs="Calibri"/>
          <w:sz w:val="28"/>
          <w:szCs w:val="28"/>
          <w:u w:color="000000"/>
          <w:bdr w:val="nil"/>
          <w:lang w:val="en-US"/>
        </w:rPr>
        <w:t>the privately-owned company that operates on the basis of the private property of individuals or business entity (legal entity);</w:t>
      </w:r>
    </w:p>
    <w:p w14:paraId="3A95CC22" w14:textId="77777777" w:rsidR="003C51B1" w:rsidRPr="00666D6C" w:rsidRDefault="003C51B1" w:rsidP="006F749C">
      <w:pPr>
        <w:numPr>
          <w:ilvl w:val="0"/>
          <w:numId w:val="165"/>
        </w:numPr>
        <w:pBdr>
          <w:top w:val="nil"/>
          <w:left w:val="nil"/>
          <w:bottom w:val="nil"/>
          <w:right w:val="nil"/>
          <w:between w:val="nil"/>
          <w:bar w:val="nil"/>
        </w:pBdr>
        <w:tabs>
          <w:tab w:val="clear" w:pos="794"/>
          <w:tab w:val="num" w:pos="993"/>
        </w:tabs>
        <w:spacing w:line="312" w:lineRule="auto"/>
        <w:ind w:left="993" w:hanging="284"/>
        <w:jc w:val="both"/>
        <w:rPr>
          <w:rFonts w:eastAsia="Garamond"/>
          <w:sz w:val="28"/>
          <w:szCs w:val="28"/>
          <w:u w:color="000000"/>
          <w:bdr w:val="nil"/>
          <w:lang w:val="en-US"/>
        </w:rPr>
      </w:pPr>
      <w:r w:rsidRPr="00666D6C">
        <w:rPr>
          <w:rFonts w:eastAsia="Calibri" w:cs="Calibri"/>
          <w:sz w:val="28"/>
          <w:szCs w:val="28"/>
          <w:u w:color="000000"/>
          <w:bdr w:val="nil"/>
          <w:lang w:val="en-US"/>
        </w:rPr>
        <w:t>the company that operates on the basis of collective property (collective ownership)</w:t>
      </w:r>
    </w:p>
    <w:p w14:paraId="1FC519A8" w14:textId="77777777" w:rsidR="003C51B1" w:rsidRPr="00666D6C" w:rsidRDefault="003C51B1" w:rsidP="006F749C">
      <w:pPr>
        <w:numPr>
          <w:ilvl w:val="0"/>
          <w:numId w:val="165"/>
        </w:numPr>
        <w:pBdr>
          <w:top w:val="nil"/>
          <w:left w:val="nil"/>
          <w:bottom w:val="nil"/>
          <w:right w:val="nil"/>
          <w:between w:val="nil"/>
          <w:bar w:val="nil"/>
        </w:pBdr>
        <w:tabs>
          <w:tab w:val="clear" w:pos="794"/>
          <w:tab w:val="num" w:pos="993"/>
        </w:tabs>
        <w:spacing w:line="312" w:lineRule="auto"/>
        <w:ind w:left="993" w:hanging="284"/>
        <w:jc w:val="both"/>
        <w:rPr>
          <w:rFonts w:eastAsia="Garamond"/>
          <w:sz w:val="28"/>
          <w:szCs w:val="28"/>
          <w:u w:color="000000"/>
          <w:bdr w:val="nil"/>
          <w:lang w:val="en-US"/>
        </w:rPr>
      </w:pPr>
      <w:r w:rsidRPr="00666D6C">
        <w:rPr>
          <w:rFonts w:eastAsia="Calibri" w:cs="Calibri"/>
          <w:sz w:val="28"/>
          <w:szCs w:val="28"/>
          <w:u w:color="000000"/>
          <w:bdr w:val="nil"/>
          <w:lang w:val="en-US"/>
        </w:rPr>
        <w:t>the public utility company that operates on the basis of the communal property of territorial communities;</w:t>
      </w:r>
    </w:p>
    <w:p w14:paraId="67760BAF" w14:textId="77777777" w:rsidR="003C51B1" w:rsidRPr="00666D6C" w:rsidRDefault="003C51B1" w:rsidP="006F749C">
      <w:pPr>
        <w:numPr>
          <w:ilvl w:val="0"/>
          <w:numId w:val="165"/>
        </w:numPr>
        <w:pBdr>
          <w:top w:val="nil"/>
          <w:left w:val="nil"/>
          <w:bottom w:val="nil"/>
          <w:right w:val="nil"/>
          <w:between w:val="nil"/>
          <w:bar w:val="nil"/>
        </w:pBdr>
        <w:tabs>
          <w:tab w:val="clear" w:pos="794"/>
          <w:tab w:val="num" w:pos="993"/>
        </w:tabs>
        <w:spacing w:line="312" w:lineRule="auto"/>
        <w:ind w:left="993" w:hanging="284"/>
        <w:jc w:val="both"/>
        <w:rPr>
          <w:rFonts w:eastAsia="Garamond"/>
          <w:sz w:val="28"/>
          <w:szCs w:val="28"/>
          <w:u w:color="000000"/>
          <w:bdr w:val="nil"/>
          <w:lang w:val="en-US"/>
        </w:rPr>
      </w:pPr>
      <w:r w:rsidRPr="00666D6C">
        <w:rPr>
          <w:rFonts w:eastAsia="Calibri" w:cs="Calibri"/>
          <w:sz w:val="28"/>
          <w:szCs w:val="28"/>
          <w:u w:color="000000"/>
          <w:bdr w:val="nil"/>
          <w:lang w:val="en-US"/>
        </w:rPr>
        <w:t>the state-owned company established on the basis of state property;</w:t>
      </w:r>
    </w:p>
    <w:p w14:paraId="36AB279E" w14:textId="77777777" w:rsidR="003C51B1" w:rsidRPr="00666D6C" w:rsidRDefault="003C51B1" w:rsidP="006F749C">
      <w:pPr>
        <w:numPr>
          <w:ilvl w:val="0"/>
          <w:numId w:val="165"/>
        </w:numPr>
        <w:pBdr>
          <w:top w:val="nil"/>
          <w:left w:val="nil"/>
          <w:bottom w:val="nil"/>
          <w:right w:val="nil"/>
          <w:between w:val="nil"/>
          <w:bar w:val="nil"/>
        </w:pBdr>
        <w:tabs>
          <w:tab w:val="clear" w:pos="794"/>
          <w:tab w:val="num" w:pos="993"/>
        </w:tabs>
        <w:spacing w:line="312" w:lineRule="auto"/>
        <w:ind w:left="993" w:hanging="284"/>
        <w:jc w:val="both"/>
        <w:rPr>
          <w:rFonts w:eastAsia="Garamond"/>
          <w:sz w:val="28"/>
          <w:szCs w:val="28"/>
          <w:u w:color="000000"/>
          <w:bdr w:val="nil"/>
          <w:lang w:val="en-US"/>
        </w:rPr>
      </w:pPr>
      <w:r w:rsidRPr="00666D6C">
        <w:rPr>
          <w:rFonts w:eastAsia="Calibri" w:cs="Calibri"/>
          <w:sz w:val="28"/>
          <w:szCs w:val="28"/>
          <w:u w:color="000000"/>
          <w:bdr w:val="nil"/>
          <w:lang w:val="en-US"/>
        </w:rPr>
        <w:t>company based on mixed ownership (based on the mix of various forms of property ownership);</w:t>
      </w:r>
    </w:p>
    <w:p w14:paraId="5F1BB994" w14:textId="77777777" w:rsidR="003C51B1" w:rsidRPr="00666D6C" w:rsidRDefault="003C51B1" w:rsidP="006F749C">
      <w:pPr>
        <w:numPr>
          <w:ilvl w:val="0"/>
          <w:numId w:val="165"/>
        </w:numPr>
        <w:pBdr>
          <w:top w:val="nil"/>
          <w:left w:val="nil"/>
          <w:bottom w:val="nil"/>
          <w:right w:val="nil"/>
          <w:between w:val="nil"/>
          <w:bar w:val="nil"/>
        </w:pBdr>
        <w:tabs>
          <w:tab w:val="clear" w:pos="794"/>
          <w:tab w:val="num" w:pos="993"/>
        </w:tabs>
        <w:spacing w:line="312" w:lineRule="auto"/>
        <w:ind w:left="993" w:hanging="284"/>
        <w:jc w:val="both"/>
        <w:rPr>
          <w:rFonts w:eastAsia="Garamond"/>
          <w:sz w:val="28"/>
          <w:szCs w:val="28"/>
          <w:u w:color="000000"/>
          <w:bdr w:val="nil"/>
          <w:lang w:val="en-US"/>
        </w:rPr>
      </w:pPr>
      <w:r w:rsidRPr="00666D6C">
        <w:rPr>
          <w:rFonts w:eastAsia="Calibri" w:cs="Calibri"/>
          <w:sz w:val="28"/>
          <w:szCs w:val="28"/>
          <w:u w:color="000000"/>
          <w:bdr w:val="nil"/>
          <w:lang w:val="en-US"/>
        </w:rPr>
        <w:t>the joint public utility company that operates on the contractual basis of co-financing the relevant territorial communities.</w:t>
      </w:r>
    </w:p>
    <w:p w14:paraId="45AB5328"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The specifics of corporate finance at business entities of different types of ownership, as well as various organizational and legal forms based on the following factors: (i) formation of the authorized capital; (ii) participants liability; (iii) mechanism of income and expenses; (iv) profit distribution; (v) features of taxation. Detailed characteristics of the features of corporate finance in different forms of business entities are shown in Appendix </w:t>
      </w:r>
      <w:r w:rsidR="002A7A75">
        <w:rPr>
          <w:rFonts w:eastAsia="Calibri" w:cs="Calibri"/>
          <w:sz w:val="28"/>
          <w:szCs w:val="28"/>
          <w:u w:color="000000"/>
          <w:bdr w:val="nil"/>
          <w:lang w:val="en-US"/>
        </w:rPr>
        <w:t>A</w:t>
      </w:r>
      <w:r w:rsidR="00510732">
        <w:rPr>
          <w:rFonts w:eastAsia="Calibri" w:cs="Calibri"/>
          <w:sz w:val="28"/>
          <w:szCs w:val="28"/>
          <w:u w:color="000000"/>
          <w:bdr w:val="nil"/>
          <w:lang w:val="en-US"/>
        </w:rPr>
        <w:t xml:space="preserve"> (</w:t>
      </w:r>
      <w:r w:rsidR="003C6807">
        <w:rPr>
          <w:rFonts w:eastAsia="Calibri" w:cs="Calibri"/>
          <w:sz w:val="28"/>
          <w:szCs w:val="28"/>
          <w:u w:color="000000"/>
          <w:bdr w:val="nil"/>
          <w:lang w:val="en-US"/>
        </w:rPr>
        <w:t>T</w:t>
      </w:r>
      <w:r w:rsidRPr="00666D6C">
        <w:rPr>
          <w:rFonts w:eastAsia="Calibri" w:cs="Calibri"/>
          <w:sz w:val="28"/>
          <w:szCs w:val="28"/>
          <w:u w:color="000000"/>
          <w:bdr w:val="nil"/>
          <w:lang w:val="en-US"/>
        </w:rPr>
        <w:t xml:space="preserve">able </w:t>
      </w:r>
      <w:r w:rsidR="002A7A75">
        <w:rPr>
          <w:rFonts w:eastAsia="Calibri" w:cs="Calibri"/>
          <w:sz w:val="28"/>
          <w:szCs w:val="28"/>
          <w:u w:color="000000"/>
          <w:bdr w:val="nil"/>
          <w:lang w:val="en-US"/>
        </w:rPr>
        <w:t>A</w:t>
      </w:r>
      <w:r w:rsidRPr="00666D6C">
        <w:rPr>
          <w:rFonts w:eastAsia="Calibri" w:cs="Calibri"/>
          <w:sz w:val="28"/>
          <w:szCs w:val="28"/>
          <w:u w:color="000000"/>
          <w:bdr w:val="nil"/>
          <w:lang w:val="en-US"/>
        </w:rPr>
        <w:t>.1</w:t>
      </w:r>
      <w:r w:rsidR="00510732">
        <w:rPr>
          <w:rFonts w:eastAsia="Calibri" w:cs="Calibri"/>
          <w:sz w:val="28"/>
          <w:szCs w:val="28"/>
          <w:u w:color="000000"/>
          <w:bdr w:val="nil"/>
          <w:lang w:val="en-US"/>
        </w:rPr>
        <w:t>)</w:t>
      </w:r>
      <w:r w:rsidRPr="00666D6C">
        <w:rPr>
          <w:rFonts w:eastAsia="Calibri" w:cs="Calibri"/>
          <w:sz w:val="28"/>
          <w:szCs w:val="28"/>
          <w:u w:color="000000"/>
          <w:bdr w:val="nil"/>
          <w:lang w:val="en-US"/>
        </w:rPr>
        <w:t>.</w:t>
      </w:r>
    </w:p>
    <w:p w14:paraId="58A2110D"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b/>
          <w:bCs/>
          <w:sz w:val="28"/>
          <w:szCs w:val="28"/>
          <w:u w:color="000000"/>
          <w:bdr w:val="nil"/>
          <w:lang w:val="en-US"/>
        </w:rPr>
        <w:lastRenderedPageBreak/>
        <w:t>Organization of corporate finance</w:t>
      </w:r>
      <w:r w:rsidRPr="00666D6C">
        <w:rPr>
          <w:rFonts w:eastAsia="Calibri" w:cs="Calibri"/>
          <w:sz w:val="28"/>
          <w:szCs w:val="28"/>
          <w:u w:color="000000"/>
          <w:bdr w:val="nil"/>
          <w:lang w:val="en-US"/>
        </w:rPr>
        <w:t xml:space="preserve"> should be read as methods and principles through which the processes of generation, allocation, and use of financial resources and control over their circulation in the reproduction process</w:t>
      </w:r>
      <w:r w:rsidR="003C6807">
        <w:rPr>
          <w:rFonts w:eastAsia="Calibri" w:cs="Calibri"/>
          <w:sz w:val="28"/>
          <w:szCs w:val="28"/>
          <w:u w:color="000000"/>
          <w:bdr w:val="nil"/>
          <w:lang w:val="en-US"/>
        </w:rPr>
        <w:t xml:space="preserve"> are performed</w:t>
      </w:r>
      <w:r w:rsidRPr="00666D6C">
        <w:rPr>
          <w:rFonts w:eastAsia="Calibri" w:cs="Calibri"/>
          <w:sz w:val="28"/>
          <w:szCs w:val="28"/>
          <w:u w:color="000000"/>
          <w:bdr w:val="nil"/>
          <w:lang w:val="en-US"/>
        </w:rPr>
        <w:t xml:space="preserve">. Business activities in the market conditions can be organized in three ways: (i) commercial calculation; (ii) non-profit organization; </w:t>
      </w:r>
      <w:r w:rsidR="003C6807">
        <w:rPr>
          <w:rFonts w:eastAsia="Calibri" w:cs="Calibri"/>
          <w:sz w:val="28"/>
          <w:szCs w:val="28"/>
          <w:u w:color="000000"/>
          <w:bdr w:val="nil"/>
          <w:lang w:val="en-US"/>
        </w:rPr>
        <w:t xml:space="preserve">and </w:t>
      </w:r>
      <w:r w:rsidRPr="00666D6C">
        <w:rPr>
          <w:rFonts w:eastAsia="Calibri" w:cs="Calibri"/>
          <w:sz w:val="28"/>
          <w:szCs w:val="28"/>
          <w:u w:color="000000"/>
          <w:bdr w:val="nil"/>
          <w:lang w:val="en-US"/>
        </w:rPr>
        <w:t>(iii) budgeted funding.</w:t>
      </w:r>
    </w:p>
    <w:p w14:paraId="5C7512A9"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The difference between them lies in establishing interdependence between financial resources and sources of their formation, income, expenses and results of operations. The commercial calculation is the basic method of business activities’ organization of the domestic companies.</w:t>
      </w:r>
    </w:p>
    <w:p w14:paraId="1259CFAA"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The c</w:t>
      </w:r>
      <w:r w:rsidRPr="00666D6C">
        <w:rPr>
          <w:rFonts w:eastAsia="Calibri" w:cs="Calibri"/>
          <w:b/>
          <w:bCs/>
          <w:sz w:val="28"/>
          <w:szCs w:val="28"/>
          <w:u w:color="000000"/>
          <w:bdr w:val="nil"/>
          <w:lang w:val="en-US"/>
        </w:rPr>
        <w:t>ommercial calculation</w:t>
      </w:r>
      <w:r w:rsidRPr="00666D6C">
        <w:rPr>
          <w:rFonts w:eastAsia="Calibri" w:cs="Calibri"/>
          <w:sz w:val="28"/>
          <w:szCs w:val="28"/>
          <w:u w:color="000000"/>
          <w:bdr w:val="nil"/>
          <w:lang w:val="en-US"/>
        </w:rPr>
        <w:t xml:space="preserve"> is based on the following </w:t>
      </w:r>
      <w:r w:rsidRPr="00666D6C">
        <w:rPr>
          <w:rFonts w:eastAsia="Calibri" w:cs="Calibri"/>
          <w:b/>
          <w:sz w:val="28"/>
          <w:szCs w:val="28"/>
          <w:u w:color="000000"/>
          <w:bdr w:val="nil"/>
          <w:lang w:val="en-US"/>
        </w:rPr>
        <w:t>principles</w:t>
      </w:r>
      <w:r w:rsidRPr="00666D6C">
        <w:rPr>
          <w:rFonts w:eastAsia="Calibri" w:cs="Calibri"/>
          <w:sz w:val="28"/>
          <w:szCs w:val="28"/>
          <w:u w:color="000000"/>
          <w:bdr w:val="nil"/>
          <w:lang w:val="en-US"/>
        </w:rPr>
        <w:t>:</w:t>
      </w:r>
    </w:p>
    <w:p w14:paraId="1A806050" w14:textId="77777777" w:rsidR="003C51B1" w:rsidRPr="00666D6C" w:rsidRDefault="003C51B1" w:rsidP="006F749C">
      <w:pPr>
        <w:numPr>
          <w:ilvl w:val="0"/>
          <w:numId w:val="166"/>
        </w:numPr>
        <w:pBdr>
          <w:top w:val="nil"/>
          <w:left w:val="nil"/>
          <w:bottom w:val="nil"/>
          <w:right w:val="nil"/>
          <w:between w:val="nil"/>
          <w:bar w:val="nil"/>
        </w:pBdr>
        <w:tabs>
          <w:tab w:val="clear" w:pos="794"/>
        </w:tabs>
        <w:spacing w:line="312" w:lineRule="auto"/>
        <w:ind w:left="1134" w:hanging="283"/>
        <w:jc w:val="both"/>
        <w:rPr>
          <w:rFonts w:eastAsia="Calibri" w:cs="Calibri"/>
          <w:sz w:val="28"/>
          <w:szCs w:val="28"/>
          <w:u w:color="000000"/>
          <w:bdr w:val="nil"/>
          <w:lang w:val="en-US"/>
        </w:rPr>
      </w:pPr>
      <w:r w:rsidRPr="00666D6C">
        <w:rPr>
          <w:rFonts w:eastAsia="Calibri" w:cs="Calibri"/>
          <w:sz w:val="28"/>
          <w:szCs w:val="28"/>
          <w:u w:color="000000"/>
          <w:bdr w:val="nil"/>
          <w:lang w:val="en-US"/>
        </w:rPr>
        <w:t>full economic and legal separation (Company operates on the basis of the statute, organizes it activities in accordance its own c</w:t>
      </w:r>
      <w:r w:rsidR="003C6807">
        <w:rPr>
          <w:rFonts w:eastAsia="Calibri" w:cs="Calibri"/>
          <w:sz w:val="28"/>
          <w:szCs w:val="28"/>
          <w:u w:color="000000"/>
          <w:bdr w:val="nil"/>
          <w:lang w:val="en-US"/>
        </w:rPr>
        <w:t>onstitutive corporate documents</w:t>
      </w:r>
      <w:r w:rsidRPr="00666D6C">
        <w:rPr>
          <w:rFonts w:eastAsia="Calibri" w:cs="Calibri"/>
          <w:sz w:val="28"/>
          <w:szCs w:val="28"/>
          <w:u w:color="000000"/>
          <w:bdr w:val="nil"/>
          <w:lang w:val="en-US"/>
        </w:rPr>
        <w:t xml:space="preserve"> but within the national legislation; </w:t>
      </w:r>
      <w:r w:rsidR="003C6807">
        <w:rPr>
          <w:rFonts w:eastAsia="Calibri" w:cs="Calibri"/>
          <w:sz w:val="28"/>
          <w:szCs w:val="28"/>
          <w:u w:color="000000"/>
          <w:bdr w:val="nil"/>
          <w:lang w:val="en-US"/>
        </w:rPr>
        <w:t xml:space="preserve">it </w:t>
      </w:r>
      <w:r w:rsidRPr="00666D6C">
        <w:rPr>
          <w:rFonts w:eastAsia="Calibri" w:cs="Calibri"/>
          <w:sz w:val="28"/>
          <w:szCs w:val="28"/>
          <w:u w:color="000000"/>
          <w:bdr w:val="nil"/>
          <w:lang w:val="en-US"/>
        </w:rPr>
        <w:t>has separate balance statement, legal status,</w:t>
      </w:r>
      <w:r w:rsidR="003C6807">
        <w:rPr>
          <w:rFonts w:eastAsia="Calibri" w:cs="Calibri"/>
          <w:sz w:val="28"/>
          <w:szCs w:val="28"/>
          <w:u w:color="000000"/>
          <w:bdr w:val="nil"/>
          <w:lang w:val="en-US"/>
        </w:rPr>
        <w:t xml:space="preserve"> and</w:t>
      </w:r>
      <w:r w:rsidRPr="00666D6C">
        <w:rPr>
          <w:rFonts w:eastAsia="Calibri" w:cs="Calibri"/>
          <w:sz w:val="28"/>
          <w:szCs w:val="28"/>
          <w:u w:color="000000"/>
          <w:bdr w:val="nil"/>
          <w:lang w:val="en-US"/>
        </w:rPr>
        <w:t xml:space="preserve"> bank accounts);</w:t>
      </w:r>
    </w:p>
    <w:p w14:paraId="49FB8F57" w14:textId="77777777" w:rsidR="003C51B1" w:rsidRPr="00666D6C" w:rsidRDefault="003C51B1" w:rsidP="006F749C">
      <w:pPr>
        <w:numPr>
          <w:ilvl w:val="0"/>
          <w:numId w:val="166"/>
        </w:numPr>
        <w:pBdr>
          <w:top w:val="nil"/>
          <w:left w:val="nil"/>
          <w:bottom w:val="nil"/>
          <w:right w:val="nil"/>
          <w:between w:val="nil"/>
          <w:bar w:val="nil"/>
        </w:pBdr>
        <w:tabs>
          <w:tab w:val="clear" w:pos="794"/>
        </w:tabs>
        <w:spacing w:line="312" w:lineRule="auto"/>
        <w:ind w:left="1134" w:hanging="283"/>
        <w:jc w:val="both"/>
        <w:rPr>
          <w:rFonts w:eastAsia="Calibri" w:cs="Calibri"/>
          <w:sz w:val="28"/>
          <w:szCs w:val="28"/>
          <w:u w:color="000000"/>
          <w:bdr w:val="nil"/>
          <w:lang w:val="en-US"/>
        </w:rPr>
      </w:pPr>
      <w:r w:rsidRPr="00666D6C">
        <w:rPr>
          <w:rFonts w:eastAsia="Calibri" w:cs="Calibri"/>
          <w:sz w:val="28"/>
          <w:szCs w:val="28"/>
          <w:u w:color="000000"/>
          <w:bdr w:val="nil"/>
          <w:lang w:val="en-US"/>
        </w:rPr>
        <w:t>self-sufficiency, also called self-containment (Company can cover the cost of simple reproduction from their own income. There are two forms of self-sufficiency: full (means that the company covers full costs by income) and partial (only part of the costs conducted</w:t>
      </w:r>
      <w:r w:rsidR="003C6807">
        <w:rPr>
          <w:rFonts w:eastAsia="Calibri" w:cs="Calibri"/>
          <w:sz w:val="28"/>
          <w:szCs w:val="28"/>
          <w:u w:color="000000"/>
          <w:bdr w:val="nil"/>
          <w:lang w:val="en-US"/>
        </w:rPr>
        <w:t xml:space="preserve"> are </w:t>
      </w:r>
      <w:r w:rsidR="003C6807" w:rsidRPr="00666D6C">
        <w:rPr>
          <w:rFonts w:eastAsia="Calibri" w:cs="Calibri"/>
          <w:sz w:val="28"/>
          <w:szCs w:val="28"/>
          <w:u w:color="000000"/>
          <w:bdr w:val="nil"/>
          <w:lang w:val="en-US"/>
        </w:rPr>
        <w:t>covered</w:t>
      </w:r>
      <w:r w:rsidRPr="00666D6C">
        <w:rPr>
          <w:rFonts w:eastAsia="Calibri" w:cs="Calibri"/>
          <w:sz w:val="28"/>
          <w:szCs w:val="28"/>
          <w:u w:color="000000"/>
          <w:bdr w:val="nil"/>
          <w:lang w:val="en-US"/>
        </w:rPr>
        <w:t>));</w:t>
      </w:r>
    </w:p>
    <w:p w14:paraId="52B6D1E0" w14:textId="77777777" w:rsidR="003C51B1" w:rsidRPr="00666D6C" w:rsidRDefault="003C51B1" w:rsidP="006F749C">
      <w:pPr>
        <w:numPr>
          <w:ilvl w:val="0"/>
          <w:numId w:val="166"/>
        </w:numPr>
        <w:pBdr>
          <w:top w:val="nil"/>
          <w:left w:val="nil"/>
          <w:bottom w:val="nil"/>
          <w:right w:val="nil"/>
          <w:between w:val="nil"/>
          <w:bar w:val="nil"/>
        </w:pBdr>
        <w:tabs>
          <w:tab w:val="clear" w:pos="794"/>
        </w:tabs>
        <w:spacing w:line="312" w:lineRule="auto"/>
        <w:ind w:left="1134" w:hanging="283"/>
        <w:jc w:val="both"/>
        <w:rPr>
          <w:rFonts w:eastAsia="Calibri" w:cs="Calibri"/>
          <w:sz w:val="28"/>
          <w:szCs w:val="28"/>
          <w:u w:color="000000"/>
          <w:bdr w:val="nil"/>
          <w:lang w:val="en-US"/>
        </w:rPr>
      </w:pPr>
      <w:r w:rsidRPr="00666D6C">
        <w:rPr>
          <w:rFonts w:eastAsia="Calibri" w:cs="Calibri"/>
          <w:sz w:val="28"/>
          <w:szCs w:val="28"/>
          <w:u w:color="000000"/>
          <w:bdr w:val="nil"/>
          <w:lang w:val="en-US"/>
        </w:rPr>
        <w:t>profitability (The income received by the company can not only cover costs but also generate a profit);</w:t>
      </w:r>
    </w:p>
    <w:p w14:paraId="4A9E4CF9" w14:textId="77777777" w:rsidR="003C51B1" w:rsidRPr="00666D6C" w:rsidRDefault="003C51B1" w:rsidP="006F749C">
      <w:pPr>
        <w:numPr>
          <w:ilvl w:val="0"/>
          <w:numId w:val="166"/>
        </w:numPr>
        <w:pBdr>
          <w:top w:val="nil"/>
          <w:left w:val="nil"/>
          <w:bottom w:val="nil"/>
          <w:right w:val="nil"/>
          <w:between w:val="nil"/>
          <w:bar w:val="nil"/>
        </w:pBdr>
        <w:tabs>
          <w:tab w:val="clear" w:pos="794"/>
        </w:tabs>
        <w:spacing w:line="312" w:lineRule="auto"/>
        <w:ind w:left="1134" w:hanging="283"/>
        <w:jc w:val="both"/>
        <w:rPr>
          <w:rFonts w:eastAsia="Calibri" w:cs="Calibri"/>
          <w:sz w:val="28"/>
          <w:szCs w:val="28"/>
          <w:u w:color="000000"/>
          <w:bdr w:val="nil"/>
          <w:lang w:val="en-US"/>
        </w:rPr>
      </w:pPr>
      <w:r w:rsidRPr="00666D6C">
        <w:rPr>
          <w:rFonts w:eastAsia="Calibri" w:cs="Calibri"/>
          <w:sz w:val="28"/>
          <w:szCs w:val="28"/>
          <w:u w:color="000000"/>
          <w:bdr w:val="nil"/>
          <w:lang w:val="en-US"/>
        </w:rPr>
        <w:t>self-financing (Company covers the cost of production development through earned profit and loans attracted, wh</w:t>
      </w:r>
      <w:r w:rsidR="003C6807">
        <w:rPr>
          <w:rFonts w:eastAsia="Calibri" w:cs="Calibri"/>
          <w:sz w:val="28"/>
          <w:szCs w:val="28"/>
          <w:u w:color="000000"/>
          <w:bdr w:val="nil"/>
          <w:lang w:val="en-US"/>
        </w:rPr>
        <w:t>ich are also repaid through these</w:t>
      </w:r>
      <w:r w:rsidRPr="00666D6C">
        <w:rPr>
          <w:rFonts w:eastAsia="Calibri" w:cs="Calibri"/>
          <w:sz w:val="28"/>
          <w:szCs w:val="28"/>
          <w:u w:color="000000"/>
          <w:bdr w:val="nil"/>
          <w:lang w:val="en-US"/>
        </w:rPr>
        <w:t xml:space="preserve"> profits);</w:t>
      </w:r>
    </w:p>
    <w:p w14:paraId="35FBDB0D" w14:textId="77777777" w:rsidR="003C51B1" w:rsidRPr="00666D6C" w:rsidRDefault="003C51B1" w:rsidP="006F749C">
      <w:pPr>
        <w:numPr>
          <w:ilvl w:val="0"/>
          <w:numId w:val="166"/>
        </w:numPr>
        <w:pBdr>
          <w:top w:val="nil"/>
          <w:left w:val="nil"/>
          <w:bottom w:val="nil"/>
          <w:right w:val="nil"/>
          <w:between w:val="nil"/>
          <w:bar w:val="nil"/>
        </w:pBdr>
        <w:tabs>
          <w:tab w:val="clear" w:pos="794"/>
        </w:tabs>
        <w:spacing w:line="312" w:lineRule="auto"/>
        <w:ind w:left="1134" w:hanging="283"/>
        <w:jc w:val="both"/>
        <w:rPr>
          <w:rFonts w:eastAsia="Calibri" w:cs="Calibri"/>
          <w:sz w:val="28"/>
          <w:szCs w:val="28"/>
          <w:u w:color="000000"/>
          <w:bdr w:val="nil"/>
          <w:lang w:val="en-US"/>
        </w:rPr>
      </w:pPr>
      <w:r w:rsidRPr="00666D6C">
        <w:rPr>
          <w:rFonts w:eastAsia="Calibri" w:cs="Calibri"/>
          <w:sz w:val="28"/>
          <w:szCs w:val="28"/>
          <w:u w:color="000000"/>
          <w:bdr w:val="nil"/>
          <w:lang w:val="en-US"/>
        </w:rPr>
        <w:t>financial responsibility (Company bears full responsibility for results of its activities).</w:t>
      </w:r>
    </w:p>
    <w:p w14:paraId="1A0F5F76"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b/>
          <w:bCs/>
          <w:sz w:val="28"/>
          <w:szCs w:val="28"/>
          <w:u w:color="000000"/>
          <w:bdr w:val="nil"/>
          <w:lang w:val="en-US"/>
        </w:rPr>
        <w:t>Budgeted funding</w:t>
      </w:r>
      <w:r w:rsidR="003C6807">
        <w:rPr>
          <w:rFonts w:eastAsia="Calibri" w:cs="Calibri"/>
          <w:sz w:val="28"/>
          <w:szCs w:val="28"/>
          <w:u w:color="000000"/>
          <w:bdr w:val="nil"/>
          <w:lang w:val="en-US"/>
        </w:rPr>
        <w:t xml:space="preserve"> is the act of cost</w:t>
      </w:r>
      <w:r w:rsidRPr="00666D6C">
        <w:rPr>
          <w:rFonts w:eastAsia="Calibri" w:cs="Calibri"/>
          <w:sz w:val="28"/>
          <w:szCs w:val="28"/>
          <w:u w:color="000000"/>
          <w:bdr w:val="nil"/>
          <w:lang w:val="en-US"/>
        </w:rPr>
        <w:t xml:space="preserve"> coverage through funding from the budget and/or state target funds. Budgeted funding could be made through the government’s financial resources (budget) and/or the centralized corporate funds. Budgeted funding is based on the following principles:</w:t>
      </w:r>
    </w:p>
    <w:p w14:paraId="5ACDEE42" w14:textId="77777777" w:rsidR="003C51B1" w:rsidRPr="00666D6C" w:rsidRDefault="003C51B1" w:rsidP="006F749C">
      <w:pPr>
        <w:numPr>
          <w:ilvl w:val="0"/>
          <w:numId w:val="167"/>
        </w:numPr>
        <w:pBdr>
          <w:top w:val="nil"/>
          <w:left w:val="nil"/>
          <w:bottom w:val="nil"/>
          <w:right w:val="nil"/>
          <w:between w:val="nil"/>
          <w:bar w:val="nil"/>
        </w:pBdr>
        <w:tabs>
          <w:tab w:val="clear" w:pos="794"/>
          <w:tab w:val="num" w:pos="1134"/>
        </w:tabs>
        <w:spacing w:line="312" w:lineRule="auto"/>
        <w:ind w:left="993" w:hanging="284"/>
        <w:jc w:val="both"/>
        <w:rPr>
          <w:rFonts w:eastAsia="Calibri" w:cs="Calibri"/>
          <w:sz w:val="28"/>
          <w:szCs w:val="28"/>
          <w:u w:color="000000"/>
          <w:bdr w:val="nil"/>
          <w:lang w:val="en-US"/>
        </w:rPr>
      </w:pPr>
      <w:r w:rsidRPr="00666D6C">
        <w:rPr>
          <w:rFonts w:eastAsia="Calibri" w:cs="Calibri"/>
          <w:sz w:val="28"/>
          <w:szCs w:val="28"/>
          <w:u w:color="000000"/>
          <w:bdr w:val="nil"/>
          <w:lang w:val="en-US"/>
        </w:rPr>
        <w:t>planned nature means that financing is based on and within the limits of established plan. The estimate is the basic detailed planning document;</w:t>
      </w:r>
    </w:p>
    <w:p w14:paraId="293A4341" w14:textId="77777777" w:rsidR="003C51B1" w:rsidRPr="00666D6C" w:rsidRDefault="003C51B1" w:rsidP="006F749C">
      <w:pPr>
        <w:numPr>
          <w:ilvl w:val="0"/>
          <w:numId w:val="167"/>
        </w:numPr>
        <w:pBdr>
          <w:top w:val="nil"/>
          <w:left w:val="nil"/>
          <w:bottom w:val="nil"/>
          <w:right w:val="nil"/>
          <w:between w:val="nil"/>
          <w:bar w:val="nil"/>
        </w:pBdr>
        <w:tabs>
          <w:tab w:val="clear" w:pos="794"/>
          <w:tab w:val="num" w:pos="1134"/>
        </w:tabs>
        <w:spacing w:line="312" w:lineRule="auto"/>
        <w:ind w:left="993" w:hanging="284"/>
        <w:jc w:val="both"/>
        <w:rPr>
          <w:rFonts w:eastAsia="Calibri" w:cs="Calibri"/>
          <w:sz w:val="28"/>
          <w:szCs w:val="28"/>
          <w:u w:color="000000"/>
          <w:bdr w:val="nil"/>
          <w:lang w:val="en-US"/>
        </w:rPr>
      </w:pPr>
      <w:r w:rsidRPr="00666D6C">
        <w:rPr>
          <w:rFonts w:eastAsia="Calibri" w:cs="Calibri"/>
          <w:sz w:val="28"/>
          <w:szCs w:val="28"/>
          <w:u w:color="000000"/>
          <w:bdr w:val="nil"/>
          <w:lang w:val="en-US"/>
        </w:rPr>
        <w:t>targeted nature means that allocated funds can be directed only for the purposes provided in the estimate;</w:t>
      </w:r>
    </w:p>
    <w:p w14:paraId="3B32CFF5" w14:textId="77777777" w:rsidR="003C51B1" w:rsidRPr="00666D6C" w:rsidRDefault="003C51B1" w:rsidP="006F749C">
      <w:pPr>
        <w:numPr>
          <w:ilvl w:val="0"/>
          <w:numId w:val="167"/>
        </w:numPr>
        <w:pBdr>
          <w:top w:val="nil"/>
          <w:left w:val="nil"/>
          <w:bottom w:val="nil"/>
          <w:right w:val="nil"/>
          <w:between w:val="nil"/>
          <w:bar w:val="nil"/>
        </w:pBdr>
        <w:tabs>
          <w:tab w:val="clear" w:pos="794"/>
          <w:tab w:val="num" w:pos="1134"/>
        </w:tabs>
        <w:spacing w:line="312" w:lineRule="auto"/>
        <w:ind w:left="993" w:hanging="284"/>
        <w:jc w:val="both"/>
        <w:rPr>
          <w:rFonts w:eastAsia="Calibri" w:cs="Calibri"/>
          <w:sz w:val="28"/>
          <w:szCs w:val="28"/>
          <w:u w:color="000000"/>
          <w:bdr w:val="nil"/>
          <w:lang w:val="en-US"/>
        </w:rPr>
      </w:pPr>
      <w:r w:rsidRPr="00666D6C">
        <w:rPr>
          <w:rFonts w:eastAsia="Calibri" w:cs="Calibri"/>
          <w:sz w:val="28"/>
          <w:szCs w:val="28"/>
          <w:u w:color="000000"/>
          <w:bdr w:val="nil"/>
          <w:lang w:val="en-US"/>
        </w:rPr>
        <w:lastRenderedPageBreak/>
        <w:t xml:space="preserve">allocation of the funds based on the actual performance indicators means that the estimated financing is carried out within estimates but not on the basis of the normative targets, but based on </w:t>
      </w:r>
      <w:r w:rsidR="003C6807">
        <w:rPr>
          <w:rFonts w:eastAsia="Calibri" w:cs="Calibri"/>
          <w:sz w:val="28"/>
          <w:szCs w:val="28"/>
          <w:u w:color="000000"/>
          <w:bdr w:val="nil"/>
          <w:lang w:val="en-US"/>
        </w:rPr>
        <w:t xml:space="preserve">the </w:t>
      </w:r>
      <w:r w:rsidRPr="00666D6C">
        <w:rPr>
          <w:rFonts w:eastAsia="Calibri" w:cs="Calibri"/>
          <w:sz w:val="28"/>
          <w:szCs w:val="28"/>
          <w:u w:color="000000"/>
          <w:bdr w:val="nil"/>
          <w:lang w:val="en-US"/>
        </w:rPr>
        <w:t xml:space="preserve">actual operational indicators </w:t>
      </w:r>
      <w:r w:rsidR="003C6807">
        <w:rPr>
          <w:rFonts w:eastAsia="Calibri" w:cs="Calibri"/>
          <w:sz w:val="28"/>
          <w:szCs w:val="28"/>
          <w:u w:color="000000"/>
          <w:bdr w:val="nil"/>
          <w:lang w:val="en-US"/>
        </w:rPr>
        <w:t xml:space="preserve">of the </w:t>
      </w:r>
      <w:r w:rsidRPr="00666D6C">
        <w:rPr>
          <w:rFonts w:eastAsia="Calibri" w:cs="Calibri"/>
          <w:sz w:val="28"/>
          <w:szCs w:val="28"/>
          <w:u w:color="000000"/>
          <w:bdr w:val="nil"/>
          <w:lang w:val="en-US"/>
        </w:rPr>
        <w:t>institutions;</w:t>
      </w:r>
    </w:p>
    <w:p w14:paraId="2760BE73" w14:textId="77777777" w:rsidR="003C51B1" w:rsidRPr="00666D6C" w:rsidRDefault="003C51B1" w:rsidP="006F749C">
      <w:pPr>
        <w:numPr>
          <w:ilvl w:val="0"/>
          <w:numId w:val="167"/>
        </w:numPr>
        <w:pBdr>
          <w:top w:val="nil"/>
          <w:left w:val="nil"/>
          <w:bottom w:val="nil"/>
          <w:right w:val="nil"/>
          <w:between w:val="nil"/>
          <w:bar w:val="nil"/>
        </w:pBdr>
        <w:tabs>
          <w:tab w:val="clear" w:pos="794"/>
          <w:tab w:val="num" w:pos="1134"/>
        </w:tabs>
        <w:spacing w:line="312" w:lineRule="auto"/>
        <w:ind w:left="993" w:hanging="284"/>
        <w:jc w:val="both"/>
        <w:rPr>
          <w:rFonts w:eastAsia="Calibri" w:cs="Calibri"/>
          <w:sz w:val="28"/>
          <w:szCs w:val="28"/>
          <w:u w:color="000000"/>
          <w:bdr w:val="nil"/>
          <w:lang w:val="en-US"/>
        </w:rPr>
      </w:pPr>
      <w:r w:rsidRPr="00666D6C">
        <w:rPr>
          <w:rFonts w:eastAsia="Calibri" w:cs="Calibri"/>
          <w:sz w:val="28"/>
          <w:szCs w:val="28"/>
          <w:u w:color="000000"/>
          <w:bdr w:val="nil"/>
          <w:lang w:val="en-US"/>
        </w:rPr>
        <w:t xml:space="preserve">the financial statements mean establishing financial reporting </w:t>
      </w:r>
      <w:r w:rsidR="003C6807">
        <w:rPr>
          <w:rFonts w:eastAsia="Calibri" w:cs="Calibri"/>
          <w:sz w:val="28"/>
          <w:szCs w:val="28"/>
          <w:u w:color="000000"/>
          <w:bdr w:val="nil"/>
          <w:lang w:val="en-US"/>
        </w:rPr>
        <w:t xml:space="preserve">to disclose an organization’s financial status </w:t>
      </w:r>
      <w:r w:rsidRPr="00666D6C">
        <w:rPr>
          <w:rFonts w:eastAsia="Calibri" w:cs="Calibri"/>
          <w:sz w:val="28"/>
          <w:szCs w:val="28"/>
          <w:u w:color="000000"/>
          <w:bdr w:val="nil"/>
          <w:lang w:val="en-US"/>
        </w:rPr>
        <w:t>to financing agents;</w:t>
      </w:r>
    </w:p>
    <w:p w14:paraId="45771074" w14:textId="77777777" w:rsidR="003C51B1" w:rsidRPr="00666D6C" w:rsidRDefault="003C51B1" w:rsidP="006F749C">
      <w:pPr>
        <w:numPr>
          <w:ilvl w:val="0"/>
          <w:numId w:val="167"/>
        </w:numPr>
        <w:pBdr>
          <w:top w:val="nil"/>
          <w:left w:val="nil"/>
          <w:bottom w:val="nil"/>
          <w:right w:val="nil"/>
          <w:between w:val="nil"/>
          <w:bar w:val="nil"/>
        </w:pBdr>
        <w:tabs>
          <w:tab w:val="clear" w:pos="794"/>
          <w:tab w:val="num" w:pos="1134"/>
        </w:tabs>
        <w:spacing w:line="312" w:lineRule="auto"/>
        <w:ind w:left="993" w:hanging="284"/>
        <w:jc w:val="both"/>
        <w:rPr>
          <w:rFonts w:eastAsia="Calibri" w:cs="Calibri"/>
          <w:sz w:val="28"/>
          <w:szCs w:val="28"/>
          <w:u w:color="000000"/>
          <w:bdr w:val="nil"/>
          <w:lang w:val="en-US"/>
        </w:rPr>
      </w:pPr>
      <w:r w:rsidRPr="00666D6C">
        <w:rPr>
          <w:rFonts w:eastAsia="Calibri" w:cs="Calibri"/>
          <w:sz w:val="28"/>
          <w:szCs w:val="28"/>
          <w:u w:color="000000"/>
          <w:bdr w:val="nil"/>
          <w:lang w:val="en-US"/>
        </w:rPr>
        <w:t>bear financial and pecuniary responsibility.</w:t>
      </w:r>
    </w:p>
    <w:p w14:paraId="03BF0158"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A </w:t>
      </w:r>
      <w:r w:rsidRPr="00666D6C">
        <w:rPr>
          <w:rFonts w:eastAsia="Calibri" w:cs="Calibri"/>
          <w:b/>
          <w:bCs/>
          <w:sz w:val="28"/>
          <w:szCs w:val="28"/>
          <w:u w:color="000000"/>
          <w:bdr w:val="nil"/>
          <w:lang w:val="en-US"/>
        </w:rPr>
        <w:t>non-profit activity</w:t>
      </w:r>
      <w:r w:rsidRPr="00666D6C">
        <w:rPr>
          <w:rFonts w:eastAsia="Calibri" w:cs="Calibri"/>
          <w:sz w:val="28"/>
          <w:szCs w:val="28"/>
          <w:u w:color="000000"/>
          <w:bdr w:val="nil"/>
          <w:lang w:val="en-US"/>
        </w:rPr>
        <w:t xml:space="preserve"> means that companies operate on the same basis as the commercial calculation. However, this method does not involve principles of profitability and self-financing. A specific feature of the </w:t>
      </w:r>
      <w:r w:rsidR="003C6807" w:rsidRPr="00666D6C">
        <w:rPr>
          <w:rFonts w:eastAsia="Calibri" w:cs="Calibri"/>
          <w:sz w:val="28"/>
          <w:szCs w:val="28"/>
          <w:u w:color="000000"/>
          <w:bdr w:val="nil"/>
          <w:lang w:val="en-US"/>
        </w:rPr>
        <w:t xml:space="preserve">formation </w:t>
      </w:r>
      <w:r w:rsidR="003C6807">
        <w:rPr>
          <w:rFonts w:eastAsia="Calibri" w:cs="Calibri"/>
          <w:sz w:val="28"/>
          <w:szCs w:val="28"/>
          <w:u w:color="000000"/>
          <w:bdr w:val="nil"/>
          <w:lang w:val="en-US"/>
        </w:rPr>
        <w:t xml:space="preserve">of the </w:t>
      </w:r>
      <w:r w:rsidRPr="00666D6C">
        <w:rPr>
          <w:rFonts w:eastAsia="Calibri" w:cs="Calibri"/>
          <w:sz w:val="28"/>
          <w:szCs w:val="28"/>
          <w:u w:color="000000"/>
          <w:bdr w:val="nil"/>
          <w:lang w:val="en-US"/>
        </w:rPr>
        <w:t>financial resources is that it’s quite often carried out by sponsorship and other revenues. The main objective of non-profit organizations is to provide specific social needs rather than profit.</w:t>
      </w:r>
      <w:r w:rsidR="003C6807">
        <w:rPr>
          <w:rFonts w:eastAsia="Calibri" w:cs="Calibri"/>
          <w:sz w:val="28"/>
          <w:szCs w:val="28"/>
          <w:u w:color="000000"/>
          <w:bdr w:val="nil"/>
          <w:lang w:val="en-US"/>
        </w:rPr>
        <w:t xml:space="preserve"> T</w:t>
      </w:r>
      <w:r w:rsidRPr="00666D6C">
        <w:rPr>
          <w:rFonts w:eastAsia="Calibri" w:cs="Calibri"/>
          <w:sz w:val="28"/>
          <w:szCs w:val="28"/>
          <w:u w:color="000000"/>
          <w:bdr w:val="nil"/>
          <w:lang w:val="en-US"/>
        </w:rPr>
        <w:t>heir activities</w:t>
      </w:r>
      <w:r w:rsidR="003C6807" w:rsidRPr="003C6807">
        <w:rPr>
          <w:rFonts w:eastAsia="Calibri" w:cs="Calibri"/>
          <w:sz w:val="28"/>
          <w:szCs w:val="28"/>
          <w:u w:color="000000"/>
          <w:bdr w:val="nil"/>
          <w:lang w:val="en-US"/>
        </w:rPr>
        <w:t xml:space="preserve"> </w:t>
      </w:r>
      <w:r w:rsidR="003C6807" w:rsidRPr="00666D6C">
        <w:rPr>
          <w:rFonts w:eastAsia="Calibri" w:cs="Calibri"/>
          <w:sz w:val="28"/>
          <w:szCs w:val="28"/>
          <w:u w:color="000000"/>
          <w:bdr w:val="nil"/>
          <w:lang w:val="en-US"/>
        </w:rPr>
        <w:t xml:space="preserve">can </w:t>
      </w:r>
      <w:r w:rsidR="003C6807">
        <w:rPr>
          <w:rFonts w:eastAsia="Calibri" w:cs="Calibri"/>
          <w:sz w:val="28"/>
          <w:szCs w:val="28"/>
          <w:u w:color="000000"/>
          <w:bdr w:val="nil"/>
          <w:lang w:val="en-US"/>
        </w:rPr>
        <w:t xml:space="preserve">be </w:t>
      </w:r>
      <w:r w:rsidR="003C6807" w:rsidRPr="00666D6C">
        <w:rPr>
          <w:rFonts w:eastAsia="Calibri" w:cs="Calibri"/>
          <w:sz w:val="28"/>
          <w:szCs w:val="28"/>
          <w:u w:color="000000"/>
          <w:bdr w:val="nil"/>
          <w:lang w:val="en-US"/>
        </w:rPr>
        <w:t>car</w:t>
      </w:r>
      <w:r w:rsidR="003C6807">
        <w:rPr>
          <w:rFonts w:eastAsia="Calibri" w:cs="Calibri"/>
          <w:sz w:val="28"/>
          <w:szCs w:val="28"/>
          <w:u w:color="000000"/>
          <w:bdr w:val="nil"/>
          <w:lang w:val="en-US"/>
        </w:rPr>
        <w:t>ried</w:t>
      </w:r>
      <w:r w:rsidR="003C6807" w:rsidRPr="00666D6C">
        <w:rPr>
          <w:rFonts w:eastAsia="Calibri" w:cs="Calibri"/>
          <w:sz w:val="28"/>
          <w:szCs w:val="28"/>
          <w:u w:color="000000"/>
          <w:bdr w:val="nil"/>
          <w:lang w:val="en-US"/>
        </w:rPr>
        <w:t xml:space="preserve"> out</w:t>
      </w:r>
      <w:r w:rsidR="003C6807" w:rsidRPr="003C6807">
        <w:rPr>
          <w:rFonts w:eastAsia="Calibri" w:cs="Calibri"/>
          <w:sz w:val="28"/>
          <w:szCs w:val="28"/>
          <w:u w:color="000000"/>
          <w:bdr w:val="nil"/>
          <w:lang w:val="en-US"/>
        </w:rPr>
        <w:t xml:space="preserve"> </w:t>
      </w:r>
      <w:r w:rsidR="003C6807">
        <w:rPr>
          <w:rFonts w:eastAsia="Calibri" w:cs="Calibri"/>
          <w:sz w:val="28"/>
          <w:szCs w:val="28"/>
          <w:u w:color="000000"/>
          <w:bdr w:val="nil"/>
          <w:lang w:val="en-US"/>
        </w:rPr>
        <w:t>o</w:t>
      </w:r>
      <w:r w:rsidR="003C6807" w:rsidRPr="00666D6C">
        <w:rPr>
          <w:rFonts w:eastAsia="Calibri" w:cs="Calibri"/>
          <w:sz w:val="28"/>
          <w:szCs w:val="28"/>
          <w:u w:color="000000"/>
          <w:bdr w:val="nil"/>
          <w:lang w:val="en-US"/>
        </w:rPr>
        <w:t>n the non-profit principles</w:t>
      </w:r>
      <w:r w:rsidRPr="00666D6C">
        <w:rPr>
          <w:rFonts w:eastAsia="Calibri" w:cs="Calibri"/>
          <w:sz w:val="28"/>
          <w:szCs w:val="28"/>
          <w:u w:color="000000"/>
          <w:bdr w:val="nil"/>
          <w:lang w:val="en-US"/>
        </w:rPr>
        <w:t xml:space="preserve">. Social institutions, companies of municipal facilities and </w:t>
      </w:r>
      <w:r w:rsidR="003C6807">
        <w:rPr>
          <w:rFonts w:eastAsia="Calibri" w:cs="Calibri"/>
          <w:sz w:val="28"/>
          <w:szCs w:val="28"/>
          <w:u w:color="000000"/>
          <w:bdr w:val="nil"/>
          <w:lang w:val="en-US"/>
        </w:rPr>
        <w:t>others can</w:t>
      </w:r>
      <w:r w:rsidRPr="00666D6C">
        <w:rPr>
          <w:rFonts w:eastAsia="Calibri" w:cs="Calibri"/>
          <w:sz w:val="28"/>
          <w:szCs w:val="28"/>
          <w:u w:color="000000"/>
          <w:bdr w:val="nil"/>
          <w:lang w:val="en-US"/>
        </w:rPr>
        <w:t xml:space="preserve"> base their activities through principles of the non-profit organizations.</w:t>
      </w:r>
    </w:p>
    <w:p w14:paraId="51A34038"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Regardless the areas where companies operate, their financial and business activities </w:t>
      </w:r>
      <w:r w:rsidR="003C6807">
        <w:rPr>
          <w:rFonts w:eastAsia="Calibri" w:cs="Calibri"/>
          <w:sz w:val="28"/>
          <w:szCs w:val="28"/>
          <w:u w:color="000000"/>
          <w:bdr w:val="nil"/>
          <w:lang w:val="en-US"/>
        </w:rPr>
        <w:t xml:space="preserve">are </w:t>
      </w:r>
      <w:r w:rsidRPr="00666D6C">
        <w:rPr>
          <w:rFonts w:eastAsia="Calibri" w:cs="Calibri"/>
          <w:sz w:val="28"/>
          <w:szCs w:val="28"/>
          <w:u w:color="000000"/>
          <w:bdr w:val="nil"/>
          <w:lang w:val="en-US"/>
        </w:rPr>
        <w:t xml:space="preserve">associated with the generation, allocation and use of financial resources. Financial resources are the material basis of finances. There are many </w:t>
      </w:r>
      <w:r w:rsidRPr="00666D6C">
        <w:rPr>
          <w:rFonts w:eastAsia="Calibri" w:cs="Calibri"/>
          <w:b/>
          <w:bCs/>
          <w:sz w:val="28"/>
          <w:szCs w:val="28"/>
          <w:u w:color="000000"/>
          <w:bdr w:val="nil"/>
          <w:lang w:val="en-US"/>
        </w:rPr>
        <w:t xml:space="preserve">factors that dictate </w:t>
      </w:r>
      <w:r w:rsidR="003C6807">
        <w:rPr>
          <w:rFonts w:eastAsia="Calibri" w:cs="Calibri"/>
          <w:b/>
          <w:bCs/>
          <w:sz w:val="28"/>
          <w:szCs w:val="28"/>
          <w:u w:color="000000"/>
          <w:bdr w:val="nil"/>
          <w:lang w:val="en-US"/>
        </w:rPr>
        <w:t xml:space="preserve">the </w:t>
      </w:r>
      <w:r w:rsidR="003C6807" w:rsidRPr="00666D6C">
        <w:rPr>
          <w:rFonts w:eastAsia="Calibri" w:cs="Calibri"/>
          <w:b/>
          <w:bCs/>
          <w:sz w:val="28"/>
          <w:szCs w:val="28"/>
          <w:u w:color="000000"/>
          <w:bdr w:val="nil"/>
          <w:lang w:val="en-US"/>
        </w:rPr>
        <w:t>size</w:t>
      </w:r>
      <w:r w:rsidR="003C6807">
        <w:rPr>
          <w:rFonts w:eastAsia="Calibri" w:cs="Calibri"/>
          <w:b/>
          <w:bCs/>
          <w:sz w:val="28"/>
          <w:szCs w:val="28"/>
          <w:u w:color="000000"/>
          <w:bdr w:val="nil"/>
          <w:lang w:val="en-US"/>
        </w:rPr>
        <w:t xml:space="preserve"> of</w:t>
      </w:r>
      <w:r w:rsidR="003C6807" w:rsidRPr="00666D6C">
        <w:rPr>
          <w:rFonts w:eastAsia="Calibri" w:cs="Calibri"/>
          <w:b/>
          <w:bCs/>
          <w:sz w:val="28"/>
          <w:szCs w:val="28"/>
          <w:u w:color="000000"/>
          <w:bdr w:val="nil"/>
          <w:lang w:val="en-US"/>
        </w:rPr>
        <w:t xml:space="preserve"> </w:t>
      </w:r>
      <w:r w:rsidRPr="00666D6C">
        <w:rPr>
          <w:rFonts w:eastAsia="Calibri" w:cs="Calibri"/>
          <w:b/>
          <w:bCs/>
          <w:sz w:val="28"/>
          <w:szCs w:val="28"/>
          <w:u w:color="000000"/>
          <w:bdr w:val="nil"/>
          <w:lang w:val="en-US"/>
        </w:rPr>
        <w:t>financial resources</w:t>
      </w:r>
      <w:r w:rsidR="003C1704">
        <w:rPr>
          <w:rFonts w:eastAsia="Calibri" w:cs="Calibri"/>
          <w:b/>
          <w:bCs/>
          <w:sz w:val="28"/>
          <w:szCs w:val="28"/>
          <w:u w:color="000000"/>
          <w:bdr w:val="nil"/>
          <w:lang w:val="en-US"/>
        </w:rPr>
        <w:t>,</w:t>
      </w:r>
      <w:r w:rsidRPr="00666D6C">
        <w:rPr>
          <w:rFonts w:eastAsia="Calibri" w:cs="Calibri"/>
          <w:b/>
          <w:bCs/>
          <w:sz w:val="28"/>
          <w:szCs w:val="28"/>
          <w:u w:color="000000"/>
          <w:bdr w:val="nil"/>
          <w:lang w:val="en-US"/>
        </w:rPr>
        <w:t xml:space="preserve"> </w:t>
      </w:r>
      <w:r w:rsidRPr="00666D6C">
        <w:rPr>
          <w:rFonts w:eastAsia="Calibri" w:cs="Calibri"/>
          <w:sz w:val="28"/>
          <w:szCs w:val="28"/>
          <w:u w:color="000000"/>
          <w:bdr w:val="nil"/>
          <w:lang w:val="en-US"/>
        </w:rPr>
        <w:t>such as</w:t>
      </w:r>
      <w:r w:rsidR="008638D3">
        <w:rPr>
          <w:rFonts w:eastAsia="Calibri" w:cs="Calibri"/>
          <w:sz w:val="28"/>
          <w:szCs w:val="28"/>
          <w:u w:color="000000"/>
          <w:bdr w:val="nil"/>
          <w:lang w:val="en-US"/>
        </w:rPr>
        <w:t xml:space="preserve"> (i) production output, (ii) current tax system,</w:t>
      </w:r>
      <w:r w:rsidRPr="00666D6C">
        <w:rPr>
          <w:rFonts w:eastAsia="Calibri" w:cs="Calibri"/>
          <w:sz w:val="28"/>
          <w:szCs w:val="28"/>
          <w:u w:color="000000"/>
          <w:bdr w:val="nil"/>
          <w:lang w:val="en-US"/>
        </w:rPr>
        <w:t xml:space="preserve"> (iii) components and </w:t>
      </w:r>
      <w:r w:rsidR="008638D3" w:rsidRPr="00666D6C">
        <w:rPr>
          <w:rFonts w:eastAsia="Calibri" w:cs="Calibri"/>
          <w:sz w:val="28"/>
          <w:szCs w:val="28"/>
          <w:u w:color="000000"/>
          <w:bdr w:val="nil"/>
          <w:lang w:val="en-US"/>
        </w:rPr>
        <w:t>structure</w:t>
      </w:r>
      <w:r w:rsidR="008638D3">
        <w:rPr>
          <w:rFonts w:eastAsia="Calibri" w:cs="Calibri"/>
          <w:sz w:val="28"/>
          <w:szCs w:val="28"/>
          <w:u w:color="000000"/>
          <w:bdr w:val="nil"/>
          <w:lang w:val="en-US"/>
        </w:rPr>
        <w:t xml:space="preserve"> of</w:t>
      </w:r>
      <w:r w:rsidR="008638D3" w:rsidRPr="00666D6C">
        <w:rPr>
          <w:rFonts w:eastAsia="Calibri" w:cs="Calibri"/>
          <w:sz w:val="28"/>
          <w:szCs w:val="28"/>
          <w:u w:color="000000"/>
          <w:bdr w:val="nil"/>
          <w:lang w:val="en-US"/>
        </w:rPr>
        <w:t xml:space="preserve"> </w:t>
      </w:r>
      <w:r w:rsidRPr="00666D6C">
        <w:rPr>
          <w:rFonts w:eastAsia="Calibri" w:cs="Calibri"/>
          <w:sz w:val="28"/>
          <w:szCs w:val="28"/>
          <w:u w:color="000000"/>
          <w:bdr w:val="nil"/>
          <w:lang w:val="en-US"/>
        </w:rPr>
        <w:t>production costs</w:t>
      </w:r>
      <w:r w:rsidR="008638D3">
        <w:rPr>
          <w:rFonts w:eastAsia="Calibri" w:cs="Calibri"/>
          <w:sz w:val="28"/>
          <w:szCs w:val="28"/>
          <w:u w:color="000000"/>
          <w:bdr w:val="nil"/>
          <w:lang w:val="en-US"/>
        </w:rPr>
        <w:t>,</w:t>
      </w:r>
      <w:r w:rsidRPr="00666D6C">
        <w:rPr>
          <w:rFonts w:eastAsia="Calibri" w:cs="Calibri"/>
          <w:sz w:val="28"/>
          <w:szCs w:val="28"/>
          <w:u w:color="000000"/>
          <w:bdr w:val="nil"/>
          <w:lang w:val="en-US"/>
        </w:rPr>
        <w:t xml:space="preserve"> (iv) co</w:t>
      </w:r>
      <w:r w:rsidR="008638D3">
        <w:rPr>
          <w:rFonts w:eastAsia="Calibri" w:cs="Calibri"/>
          <w:sz w:val="28"/>
          <w:szCs w:val="28"/>
          <w:u w:color="000000"/>
          <w:bdr w:val="nil"/>
          <w:lang w:val="en-US"/>
        </w:rPr>
        <w:t>mponents and structure of sales, and</w:t>
      </w:r>
      <w:r w:rsidRPr="00666D6C">
        <w:rPr>
          <w:rFonts w:eastAsia="Calibri" w:cs="Calibri"/>
          <w:sz w:val="28"/>
          <w:szCs w:val="28"/>
          <w:u w:color="000000"/>
          <w:bdr w:val="nil"/>
          <w:lang w:val="en-US"/>
        </w:rPr>
        <w:t xml:space="preserve"> (v) </w:t>
      </w:r>
      <w:r w:rsidR="008638D3">
        <w:rPr>
          <w:rFonts w:eastAsia="Calibri" w:cs="Calibri"/>
          <w:sz w:val="28"/>
          <w:szCs w:val="28"/>
          <w:u w:color="000000"/>
          <w:bdr w:val="nil"/>
          <w:lang w:val="en-US"/>
        </w:rPr>
        <w:t xml:space="preserve">an </w:t>
      </w:r>
      <w:r w:rsidRPr="00666D6C">
        <w:rPr>
          <w:rFonts w:eastAsia="Calibri" w:cs="Calibri"/>
          <w:sz w:val="28"/>
          <w:szCs w:val="28"/>
          <w:u w:color="000000"/>
          <w:bdr w:val="nil"/>
          <w:lang w:val="en-US"/>
        </w:rPr>
        <w:t>exchange rate.</w:t>
      </w:r>
    </w:p>
    <w:p w14:paraId="7EE38778"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b/>
          <w:bCs/>
          <w:sz w:val="28"/>
          <w:szCs w:val="28"/>
          <w:u w:color="000000"/>
          <w:bdr w:val="nil"/>
          <w:lang w:val="en-US"/>
        </w:rPr>
        <w:t>Financial resources</w:t>
      </w:r>
      <w:r w:rsidRPr="00666D6C">
        <w:rPr>
          <w:rFonts w:eastAsia="Calibri" w:cs="Calibri"/>
          <w:sz w:val="28"/>
          <w:szCs w:val="28"/>
          <w:u w:color="000000"/>
          <w:bdr w:val="nil"/>
          <w:lang w:val="en-US"/>
        </w:rPr>
        <w:t xml:space="preserve"> </w:t>
      </w:r>
      <w:r w:rsidR="008638D3">
        <w:rPr>
          <w:rFonts w:eastAsia="Calibri" w:cs="Calibri"/>
          <w:sz w:val="28"/>
          <w:szCs w:val="28"/>
          <w:u w:color="000000"/>
          <w:bdr w:val="nil"/>
          <w:lang w:val="en-US"/>
        </w:rPr>
        <w:t>are</w:t>
      </w:r>
      <w:r w:rsidRPr="00666D6C">
        <w:rPr>
          <w:rFonts w:eastAsia="Calibri" w:cs="Calibri"/>
          <w:sz w:val="28"/>
          <w:szCs w:val="28"/>
          <w:u w:color="000000"/>
          <w:bdr w:val="nil"/>
          <w:lang w:val="en-US"/>
        </w:rPr>
        <w:t xml:space="preserve"> a set of cash income and rev</w:t>
      </w:r>
      <w:r w:rsidR="008638D3">
        <w:rPr>
          <w:rFonts w:eastAsia="Calibri" w:cs="Calibri"/>
          <w:sz w:val="28"/>
          <w:szCs w:val="28"/>
          <w:u w:color="000000"/>
          <w:bdr w:val="nil"/>
          <w:lang w:val="en-US"/>
        </w:rPr>
        <w:t xml:space="preserve">enues of business entities that are </w:t>
      </w:r>
      <w:r w:rsidRPr="00666D6C">
        <w:rPr>
          <w:rFonts w:eastAsia="Calibri" w:cs="Calibri"/>
          <w:sz w:val="28"/>
          <w:szCs w:val="28"/>
          <w:u w:color="000000"/>
          <w:bdr w:val="nil"/>
          <w:lang w:val="en-US"/>
        </w:rPr>
        <w:t>used to form decentralized funds or financial resources or in the unfunded form in order to provide the reproduction process and meet financial commitments. The economic nature and role of financial resources are determined by the structure and forms of their generation and directions for use.</w:t>
      </w:r>
    </w:p>
    <w:p w14:paraId="79D112B5" w14:textId="77777777" w:rsidR="003C51B1" w:rsidRPr="00666D6C" w:rsidRDefault="008638D3"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Pr>
          <w:rFonts w:eastAsia="Calibri" w:cs="Calibri"/>
          <w:sz w:val="28"/>
          <w:szCs w:val="28"/>
          <w:u w:color="000000"/>
          <w:bdr w:val="nil"/>
          <w:lang w:val="en-US"/>
        </w:rPr>
        <w:t>T</w:t>
      </w:r>
      <w:r w:rsidR="003C51B1" w:rsidRPr="00666D6C">
        <w:rPr>
          <w:rFonts w:eastAsia="Calibri" w:cs="Calibri"/>
          <w:sz w:val="28"/>
          <w:szCs w:val="28"/>
          <w:u w:color="000000"/>
          <w:bdr w:val="nil"/>
          <w:lang w:val="en-US"/>
        </w:rPr>
        <w:t>able 7.1 present</w:t>
      </w:r>
      <w:r w:rsidR="003C1704">
        <w:rPr>
          <w:rFonts w:eastAsia="Calibri" w:cs="Calibri"/>
          <w:sz w:val="28"/>
          <w:szCs w:val="28"/>
          <w:u w:color="000000"/>
          <w:bdr w:val="nil"/>
          <w:lang w:val="en-US"/>
        </w:rPr>
        <w:t>s</w:t>
      </w:r>
      <w:r w:rsidR="003C51B1" w:rsidRPr="00666D6C">
        <w:rPr>
          <w:rFonts w:eastAsia="Calibri" w:cs="Calibri"/>
          <w:sz w:val="28"/>
          <w:szCs w:val="28"/>
          <w:u w:color="000000"/>
          <w:bdr w:val="nil"/>
          <w:lang w:val="en-US"/>
        </w:rPr>
        <w:t xml:space="preserve"> the </w:t>
      </w:r>
      <w:r w:rsidR="003C51B1" w:rsidRPr="00666D6C">
        <w:rPr>
          <w:rFonts w:eastAsia="Calibri" w:cs="Calibri"/>
          <w:b/>
          <w:bCs/>
          <w:sz w:val="28"/>
          <w:szCs w:val="28"/>
          <w:u w:color="000000"/>
          <w:bdr w:val="nil"/>
          <w:lang w:val="en-US"/>
        </w:rPr>
        <w:t>types and classification of financial resources</w:t>
      </w:r>
      <w:r w:rsidR="003C51B1" w:rsidRPr="00666D6C">
        <w:rPr>
          <w:rFonts w:eastAsia="Calibri" w:cs="Calibri"/>
          <w:sz w:val="28"/>
          <w:szCs w:val="28"/>
          <w:u w:color="000000"/>
          <w:bdr w:val="nil"/>
          <w:lang w:val="en-US"/>
        </w:rPr>
        <w:t>.</w:t>
      </w:r>
    </w:p>
    <w:p w14:paraId="64C79D37" w14:textId="77777777" w:rsidR="00EC1B39" w:rsidRDefault="003C51B1" w:rsidP="00EC1B39">
      <w:pPr>
        <w:pBdr>
          <w:top w:val="nil"/>
          <w:left w:val="nil"/>
          <w:bottom w:val="nil"/>
          <w:right w:val="nil"/>
          <w:between w:val="nil"/>
          <w:bar w:val="nil"/>
        </w:pBdr>
        <w:spacing w:line="312" w:lineRule="auto"/>
        <w:ind w:firstLine="709"/>
        <w:jc w:val="both"/>
        <w:rPr>
          <w:rFonts w:eastAsia="Calibri" w:cs="Calibri"/>
          <w:sz w:val="28"/>
          <w:szCs w:val="28"/>
          <w:u w:color="000000"/>
          <w:bdr w:val="nil"/>
          <w:lang w:val="en-US"/>
        </w:rPr>
      </w:pPr>
      <w:r w:rsidRPr="00666D6C">
        <w:rPr>
          <w:rFonts w:eastAsia="Calibri" w:cs="Calibri"/>
          <w:sz w:val="28"/>
          <w:szCs w:val="28"/>
          <w:u w:color="000000"/>
          <w:bdr w:val="nil"/>
          <w:lang w:val="en-US"/>
        </w:rPr>
        <w:t xml:space="preserve">An important aspect of the business entity financial activity is to generate and use various </w:t>
      </w:r>
      <w:r w:rsidR="00707782">
        <w:rPr>
          <w:rFonts w:eastAsia="Calibri" w:cs="Calibri"/>
          <w:sz w:val="28"/>
          <w:szCs w:val="28"/>
          <w:u w:color="000000"/>
          <w:bdr w:val="nil"/>
          <w:lang w:val="en-US"/>
        </w:rPr>
        <w:t>money fund</w:t>
      </w:r>
      <w:r w:rsidRPr="00666D6C">
        <w:rPr>
          <w:rFonts w:eastAsia="Calibri" w:cs="Calibri"/>
          <w:sz w:val="28"/>
          <w:szCs w:val="28"/>
          <w:u w:color="000000"/>
          <w:bdr w:val="nil"/>
          <w:lang w:val="en-US"/>
        </w:rPr>
        <w:t xml:space="preserve">s in order to provide the process of extended reproduction, finance scientific and technical developments, mastering and implementation of the new equipment and technology, </w:t>
      </w:r>
      <w:r w:rsidR="008638D3">
        <w:rPr>
          <w:rFonts w:eastAsia="Calibri" w:cs="Calibri"/>
          <w:sz w:val="28"/>
          <w:szCs w:val="28"/>
          <w:u w:color="000000"/>
          <w:bdr w:val="nil"/>
          <w:lang w:val="en-US"/>
        </w:rPr>
        <w:t>and economic</w:t>
      </w:r>
      <w:r w:rsidRPr="00666D6C">
        <w:rPr>
          <w:rFonts w:eastAsia="Calibri" w:cs="Calibri"/>
          <w:sz w:val="28"/>
          <w:szCs w:val="28"/>
          <w:u w:color="000000"/>
          <w:bdr w:val="nil"/>
          <w:lang w:val="en-US"/>
        </w:rPr>
        <w:t xml:space="preserve"> incentive</w:t>
      </w:r>
      <w:r w:rsidR="008638D3">
        <w:rPr>
          <w:rFonts w:eastAsia="Calibri" w:cs="Calibri"/>
          <w:sz w:val="28"/>
          <w:szCs w:val="28"/>
          <w:u w:color="000000"/>
          <w:bdr w:val="nil"/>
          <w:lang w:val="en-US"/>
        </w:rPr>
        <w:t>s</w:t>
      </w:r>
      <w:r w:rsidRPr="00666D6C">
        <w:rPr>
          <w:rFonts w:eastAsia="Calibri" w:cs="Calibri"/>
          <w:sz w:val="28"/>
          <w:szCs w:val="28"/>
          <w:u w:color="000000"/>
          <w:bdr w:val="nil"/>
          <w:lang w:val="en-US"/>
        </w:rPr>
        <w:t xml:space="preserve">. </w:t>
      </w:r>
    </w:p>
    <w:p w14:paraId="58E743BC" w14:textId="77777777" w:rsidR="00EC1B39" w:rsidRDefault="00EC1B39" w:rsidP="00EC1B39">
      <w:pPr>
        <w:pBdr>
          <w:top w:val="nil"/>
          <w:left w:val="nil"/>
          <w:bottom w:val="nil"/>
          <w:right w:val="nil"/>
          <w:between w:val="nil"/>
          <w:bar w:val="nil"/>
        </w:pBdr>
        <w:spacing w:line="312" w:lineRule="auto"/>
        <w:ind w:firstLine="709"/>
        <w:jc w:val="both"/>
        <w:rPr>
          <w:rFonts w:eastAsia="Calibri" w:cs="Calibri"/>
          <w:sz w:val="28"/>
          <w:szCs w:val="28"/>
          <w:u w:color="000000"/>
          <w:bdr w:val="nil"/>
          <w:lang w:val="en-US"/>
        </w:rPr>
      </w:pPr>
    </w:p>
    <w:p w14:paraId="3B1E6DB2" w14:textId="77777777" w:rsidR="00EC1B39" w:rsidRDefault="00EC1B39" w:rsidP="00EC1B39">
      <w:pPr>
        <w:pBdr>
          <w:top w:val="nil"/>
          <w:left w:val="nil"/>
          <w:bottom w:val="nil"/>
          <w:right w:val="nil"/>
          <w:between w:val="nil"/>
          <w:bar w:val="nil"/>
        </w:pBdr>
        <w:spacing w:line="312" w:lineRule="auto"/>
        <w:ind w:firstLine="709"/>
        <w:jc w:val="both"/>
        <w:rPr>
          <w:rFonts w:eastAsia="Calibri" w:cs="Calibri"/>
          <w:sz w:val="28"/>
          <w:szCs w:val="28"/>
          <w:u w:color="000000"/>
          <w:bdr w:val="nil"/>
          <w:lang w:val="en-US"/>
        </w:rPr>
      </w:pPr>
    </w:p>
    <w:p w14:paraId="19631CCF" w14:textId="77777777" w:rsidR="003C1704" w:rsidRDefault="003C1704" w:rsidP="00EC1B39">
      <w:pPr>
        <w:pBdr>
          <w:top w:val="nil"/>
          <w:left w:val="nil"/>
          <w:bottom w:val="nil"/>
          <w:right w:val="nil"/>
          <w:between w:val="nil"/>
          <w:bar w:val="nil"/>
        </w:pBdr>
        <w:spacing w:line="312" w:lineRule="auto"/>
        <w:ind w:firstLine="709"/>
        <w:jc w:val="both"/>
        <w:rPr>
          <w:rFonts w:eastAsia="Calibri" w:cs="Calibri"/>
          <w:sz w:val="28"/>
          <w:szCs w:val="28"/>
          <w:u w:color="000000"/>
          <w:bdr w:val="nil"/>
          <w:lang w:val="en-US"/>
        </w:rPr>
      </w:pPr>
    </w:p>
    <w:p w14:paraId="0A54EE32" w14:textId="77777777" w:rsidR="003C51B1" w:rsidRPr="00666D6C" w:rsidRDefault="003C51B1" w:rsidP="003C1704">
      <w:pPr>
        <w:pBdr>
          <w:top w:val="nil"/>
          <w:left w:val="nil"/>
          <w:bottom w:val="nil"/>
          <w:right w:val="nil"/>
          <w:between w:val="nil"/>
          <w:bar w:val="nil"/>
        </w:pBdr>
        <w:spacing w:line="312" w:lineRule="auto"/>
        <w:jc w:val="both"/>
        <w:rPr>
          <w:rFonts w:eastAsia="Garamond"/>
          <w:b/>
          <w:bCs/>
          <w:sz w:val="28"/>
          <w:szCs w:val="28"/>
          <w:u w:color="000000"/>
          <w:bdr w:val="nil"/>
          <w:lang w:val="en-US"/>
        </w:rPr>
      </w:pPr>
      <w:r w:rsidRPr="00666D6C">
        <w:rPr>
          <w:rFonts w:eastAsia="Calibri" w:cs="Calibri"/>
          <w:b/>
          <w:bCs/>
          <w:sz w:val="28"/>
          <w:szCs w:val="28"/>
          <w:u w:color="000000"/>
          <w:bdr w:val="nil"/>
          <w:lang w:val="en-US"/>
        </w:rPr>
        <w:lastRenderedPageBreak/>
        <w:t xml:space="preserve">Table 7.1 </w:t>
      </w:r>
      <w:r w:rsidR="00EC1B39">
        <w:rPr>
          <w:rFonts w:eastAsia="Calibri" w:cs="Calibri"/>
          <w:b/>
          <w:bCs/>
          <w:sz w:val="28"/>
          <w:szCs w:val="28"/>
          <w:u w:color="000000"/>
          <w:bdr w:val="nil"/>
          <w:lang w:val="en-US"/>
        </w:rPr>
        <w:t xml:space="preserve">– </w:t>
      </w:r>
      <w:r w:rsidRPr="00666D6C">
        <w:rPr>
          <w:rFonts w:eastAsia="Calibri" w:cs="Calibri"/>
          <w:b/>
          <w:bCs/>
          <w:sz w:val="28"/>
          <w:szCs w:val="28"/>
          <w:u w:color="000000"/>
          <w:bdr w:val="nil"/>
          <w:lang w:val="en-US"/>
        </w:rPr>
        <w:t>Classification of financial resources</w:t>
      </w:r>
    </w:p>
    <w:tbl>
      <w:tblPr>
        <w:tblStyle w:val="TableNormal1"/>
        <w:tblW w:w="5000"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362"/>
        <w:gridCol w:w="1812"/>
        <w:gridCol w:w="117"/>
        <w:gridCol w:w="6166"/>
      </w:tblGrid>
      <w:tr w:rsidR="003C51B1" w:rsidRPr="00666D6C" w14:paraId="258F72CD" w14:textId="77777777" w:rsidTr="008638D3">
        <w:trPr>
          <w:trHeight w:val="401"/>
          <w:jc w:val="center"/>
        </w:trPr>
        <w:tc>
          <w:tcPr>
            <w:tcW w:w="72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7742A218" w14:textId="77777777" w:rsidR="003C51B1" w:rsidRPr="00666D6C" w:rsidRDefault="003C51B1" w:rsidP="00666D6C">
            <w:pPr>
              <w:spacing w:line="240" w:lineRule="atLeast"/>
              <w:jc w:val="center"/>
              <w:rPr>
                <w:rFonts w:eastAsia="Calibri" w:cs="Calibri"/>
                <w:u w:color="000000"/>
                <w:lang w:val="en-US"/>
              </w:rPr>
            </w:pPr>
            <w:r w:rsidRPr="00666D6C">
              <w:rPr>
                <w:rFonts w:eastAsia="Calibri" w:cs="Calibri"/>
                <w:u w:color="000000"/>
                <w:lang w:val="en-US"/>
              </w:rPr>
              <w:t>Criterion of classification</w:t>
            </w:r>
          </w:p>
        </w:tc>
        <w:tc>
          <w:tcPr>
            <w:tcW w:w="95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525159D2" w14:textId="77777777" w:rsidR="003C51B1" w:rsidRPr="00666D6C" w:rsidRDefault="003C51B1" w:rsidP="00666D6C">
            <w:pPr>
              <w:spacing w:line="240" w:lineRule="atLeast"/>
              <w:jc w:val="center"/>
              <w:rPr>
                <w:rFonts w:eastAsia="Calibri" w:cs="Calibri"/>
                <w:u w:color="000000"/>
                <w:lang w:val="en-US"/>
              </w:rPr>
            </w:pPr>
            <w:r w:rsidRPr="00666D6C">
              <w:rPr>
                <w:rFonts w:eastAsia="Calibri" w:cs="Calibri"/>
                <w:u w:color="000000"/>
                <w:lang w:val="en-US"/>
              </w:rPr>
              <w:t>Type of financial resources</w:t>
            </w:r>
          </w:p>
        </w:tc>
        <w:tc>
          <w:tcPr>
            <w:tcW w:w="3322" w:type="pct"/>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15EFA4BC" w14:textId="77777777" w:rsidR="003C51B1" w:rsidRPr="00666D6C" w:rsidRDefault="003C51B1" w:rsidP="00666D6C">
            <w:pPr>
              <w:spacing w:line="240" w:lineRule="atLeast"/>
              <w:jc w:val="center"/>
              <w:rPr>
                <w:rFonts w:eastAsia="Calibri" w:cs="Calibri"/>
                <w:u w:color="000000"/>
                <w:lang w:val="en-US"/>
              </w:rPr>
            </w:pPr>
            <w:r w:rsidRPr="00666D6C">
              <w:rPr>
                <w:rFonts w:eastAsia="Calibri" w:cs="Calibri"/>
                <w:u w:color="000000"/>
                <w:lang w:val="en-US"/>
              </w:rPr>
              <w:t>Definition/ Meaning</w:t>
            </w:r>
          </w:p>
        </w:tc>
      </w:tr>
      <w:tr w:rsidR="003C51B1" w:rsidRPr="00666D6C" w14:paraId="179B8D8D" w14:textId="77777777" w:rsidTr="00666D6C">
        <w:trPr>
          <w:trHeight w:val="990"/>
          <w:jc w:val="center"/>
        </w:trPr>
        <w:tc>
          <w:tcPr>
            <w:tcW w:w="720" w:type="pct"/>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B33E649"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Source of generation</w:t>
            </w:r>
          </w:p>
        </w:tc>
        <w:tc>
          <w:tcPr>
            <w:tcW w:w="958" w:type="pc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11640C1"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own financial resources</w:t>
            </w:r>
          </w:p>
        </w:tc>
        <w:tc>
          <w:tcPr>
            <w:tcW w:w="3322"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2DBF1BD5"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money that the company has as a result of its business: money that is obtained from within the business, e.</w:t>
            </w:r>
            <w:r w:rsidR="00614217">
              <w:rPr>
                <w:rFonts w:eastAsia="Calibri" w:cs="Calibri"/>
                <w:u w:color="000000"/>
                <w:lang w:val="en-US"/>
              </w:rPr>
              <w:t xml:space="preserve"> </w:t>
            </w:r>
            <w:r w:rsidRPr="00666D6C">
              <w:rPr>
                <w:rFonts w:eastAsia="Calibri" w:cs="Calibri"/>
                <w:u w:color="000000"/>
                <w:lang w:val="en-US"/>
              </w:rPr>
              <w:t>g. income (loss) from product sales, net profit of the company, depreciation, contributions to the authorized (share) capital, rents, other internal revenue</w:t>
            </w:r>
          </w:p>
        </w:tc>
      </w:tr>
      <w:tr w:rsidR="003C51B1" w:rsidRPr="00666D6C" w14:paraId="140FF894" w14:textId="77777777" w:rsidTr="00666D6C">
        <w:trPr>
          <w:trHeight w:val="510"/>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45922587" w14:textId="77777777" w:rsidR="003C51B1" w:rsidRPr="00666D6C" w:rsidRDefault="003C51B1" w:rsidP="00666D6C">
            <w:pPr>
              <w:spacing w:line="240" w:lineRule="atLeast"/>
              <w:rPr>
                <w:lang w:val="en-US" w:eastAsia="en-US"/>
              </w:rPr>
            </w:pPr>
          </w:p>
        </w:tc>
        <w:tc>
          <w:tcPr>
            <w:tcW w:w="958" w:type="pc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2B67494"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borrowed financial resources</w:t>
            </w:r>
          </w:p>
        </w:tc>
        <w:tc>
          <w:tcPr>
            <w:tcW w:w="3322"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7CA2FEA5"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money that company can attract under the terms of credit repayment and payment of interest, e.</w:t>
            </w:r>
            <w:r w:rsidR="00614217">
              <w:rPr>
                <w:rFonts w:eastAsia="Calibri" w:cs="Calibri"/>
                <w:u w:color="000000"/>
                <w:lang w:val="en-US"/>
              </w:rPr>
              <w:t xml:space="preserve"> </w:t>
            </w:r>
            <w:r w:rsidRPr="00666D6C">
              <w:rPr>
                <w:rFonts w:eastAsia="Calibri" w:cs="Calibri"/>
                <w:u w:color="000000"/>
                <w:lang w:val="en-US"/>
              </w:rPr>
              <w:t>g. bank loans, bonds issue, leasing</w:t>
            </w:r>
          </w:p>
        </w:tc>
      </w:tr>
      <w:tr w:rsidR="003C51B1" w:rsidRPr="00666D6C" w14:paraId="631E57A2" w14:textId="77777777" w:rsidTr="00666D6C">
        <w:trPr>
          <w:trHeight w:val="1230"/>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43C00A2D" w14:textId="77777777" w:rsidR="003C51B1" w:rsidRPr="00666D6C" w:rsidRDefault="003C51B1" w:rsidP="00666D6C">
            <w:pPr>
              <w:spacing w:line="240" w:lineRule="atLeast"/>
              <w:rPr>
                <w:lang w:val="en-US" w:eastAsia="en-US"/>
              </w:rPr>
            </w:pPr>
          </w:p>
        </w:tc>
        <w:tc>
          <w:tcPr>
            <w:tcW w:w="958" w:type="pc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395333F8"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financial resources raised</w:t>
            </w:r>
          </w:p>
        </w:tc>
        <w:tc>
          <w:tcPr>
            <w:tcW w:w="3322"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7FD7FD8"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money that the company can attract for a certain period from various sources for a day-to-day operation or extended reproduction and have irreversible manner: securities (shares) issue, budget allocations, insurance reimbursement, reallocation of funds from the industrial structures, charitable contributions, payables</w:t>
            </w:r>
          </w:p>
        </w:tc>
      </w:tr>
      <w:tr w:rsidR="003C51B1" w:rsidRPr="00666D6C" w14:paraId="519C6235" w14:textId="77777777" w:rsidTr="00666D6C">
        <w:trPr>
          <w:trHeight w:val="270"/>
          <w:jc w:val="center"/>
        </w:trPr>
        <w:tc>
          <w:tcPr>
            <w:tcW w:w="720" w:type="pct"/>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E14DDB6"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Forms of ownership (property rights)</w:t>
            </w:r>
          </w:p>
        </w:tc>
        <w:tc>
          <w:tcPr>
            <w:tcW w:w="4280"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218A4C43"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financial resources of the public sector economy</w:t>
            </w:r>
          </w:p>
        </w:tc>
      </w:tr>
      <w:tr w:rsidR="003C51B1" w:rsidRPr="00666D6C" w14:paraId="590C5B77" w14:textId="77777777" w:rsidTr="00666D6C">
        <w:trPr>
          <w:trHeight w:val="270"/>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77706A1C" w14:textId="77777777" w:rsidR="003C51B1" w:rsidRPr="00666D6C" w:rsidRDefault="003C51B1" w:rsidP="00666D6C">
            <w:pPr>
              <w:spacing w:line="240" w:lineRule="atLeast"/>
              <w:rPr>
                <w:lang w:val="en-US" w:eastAsia="en-US"/>
              </w:rPr>
            </w:pPr>
          </w:p>
        </w:tc>
        <w:tc>
          <w:tcPr>
            <w:tcW w:w="4280"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2EA3B2BA"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private financial resources</w:t>
            </w:r>
          </w:p>
        </w:tc>
      </w:tr>
      <w:tr w:rsidR="003C51B1" w:rsidRPr="00666D6C" w14:paraId="3F06FF28" w14:textId="77777777" w:rsidTr="00666D6C">
        <w:trPr>
          <w:trHeight w:val="270"/>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4A1DD286" w14:textId="77777777" w:rsidR="003C51B1" w:rsidRPr="00666D6C" w:rsidRDefault="003C51B1" w:rsidP="00666D6C">
            <w:pPr>
              <w:spacing w:line="240" w:lineRule="atLeast"/>
              <w:rPr>
                <w:lang w:val="en-US" w:eastAsia="en-US"/>
              </w:rPr>
            </w:pPr>
          </w:p>
        </w:tc>
        <w:tc>
          <w:tcPr>
            <w:tcW w:w="4280"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752246E7"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financial resources of business entities of different types of ownership</w:t>
            </w:r>
          </w:p>
        </w:tc>
      </w:tr>
      <w:tr w:rsidR="003C51B1" w:rsidRPr="00666D6C" w14:paraId="49C37D20" w14:textId="77777777" w:rsidTr="00666D6C">
        <w:trPr>
          <w:trHeight w:val="270"/>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0A77894F" w14:textId="77777777" w:rsidR="003C51B1" w:rsidRPr="00666D6C" w:rsidRDefault="003C51B1" w:rsidP="00666D6C">
            <w:pPr>
              <w:spacing w:line="240" w:lineRule="atLeast"/>
              <w:rPr>
                <w:lang w:val="en-US" w:eastAsia="en-US"/>
              </w:rPr>
            </w:pPr>
          </w:p>
        </w:tc>
        <w:tc>
          <w:tcPr>
            <w:tcW w:w="4280"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26DB6521"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finance non-governmental organizations</w:t>
            </w:r>
          </w:p>
        </w:tc>
      </w:tr>
      <w:tr w:rsidR="003C51B1" w:rsidRPr="00666D6C" w14:paraId="7F2CC11E" w14:textId="77777777" w:rsidTr="00666D6C">
        <w:trPr>
          <w:trHeight w:val="510"/>
          <w:jc w:val="center"/>
        </w:trPr>
        <w:tc>
          <w:tcPr>
            <w:tcW w:w="720" w:type="pct"/>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BA4222B"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Circular flow</w:t>
            </w:r>
          </w:p>
        </w:tc>
        <w:tc>
          <w:tcPr>
            <w:tcW w:w="958" w:type="pc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2BFBAE5"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start-up</w:t>
            </w:r>
          </w:p>
        </w:tc>
        <w:tc>
          <w:tcPr>
            <w:tcW w:w="3322"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0718CA0"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money, which company has when it starts business activities, e.</w:t>
            </w:r>
            <w:r w:rsidR="00614217">
              <w:rPr>
                <w:rFonts w:eastAsia="Calibri" w:cs="Calibri"/>
                <w:u w:color="000000"/>
                <w:lang w:val="en-US"/>
              </w:rPr>
              <w:t xml:space="preserve"> </w:t>
            </w:r>
            <w:r w:rsidRPr="00666D6C">
              <w:rPr>
                <w:rFonts w:eastAsia="Calibri" w:cs="Calibri"/>
                <w:u w:color="000000"/>
                <w:lang w:val="en-US"/>
              </w:rPr>
              <w:t>g. share capital</w:t>
            </w:r>
          </w:p>
        </w:tc>
      </w:tr>
      <w:tr w:rsidR="003C51B1" w:rsidRPr="00666D6C" w14:paraId="6D2649AF" w14:textId="77777777" w:rsidTr="00666D6C">
        <w:trPr>
          <w:trHeight w:val="510"/>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72F9AAC9" w14:textId="77777777" w:rsidR="003C51B1" w:rsidRPr="00666D6C" w:rsidRDefault="003C51B1" w:rsidP="00666D6C">
            <w:pPr>
              <w:spacing w:line="240" w:lineRule="atLeast"/>
              <w:rPr>
                <w:lang w:val="en-US" w:eastAsia="en-US"/>
              </w:rPr>
            </w:pPr>
          </w:p>
        </w:tc>
        <w:tc>
          <w:tcPr>
            <w:tcW w:w="958" w:type="pc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F19C9D7"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augmented financial resources</w:t>
            </w:r>
          </w:p>
        </w:tc>
        <w:tc>
          <w:tcPr>
            <w:tcW w:w="3322"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B6141CE"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money obtained as a result of business activity</w:t>
            </w:r>
          </w:p>
        </w:tc>
      </w:tr>
      <w:tr w:rsidR="003C51B1" w:rsidRPr="00666D6C" w14:paraId="48B520C4" w14:textId="77777777" w:rsidTr="00666D6C">
        <w:trPr>
          <w:trHeight w:val="270"/>
          <w:jc w:val="center"/>
        </w:trPr>
        <w:tc>
          <w:tcPr>
            <w:tcW w:w="720" w:type="pct"/>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70E5B435"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Way of attraction</w:t>
            </w:r>
          </w:p>
        </w:tc>
        <w:tc>
          <w:tcPr>
            <w:tcW w:w="958" w:type="pc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373F5C33"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internal</w:t>
            </w:r>
          </w:p>
        </w:tc>
        <w:tc>
          <w:tcPr>
            <w:tcW w:w="3322"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4C0EF9D"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money that is obtained from within the business</w:t>
            </w:r>
          </w:p>
        </w:tc>
      </w:tr>
      <w:tr w:rsidR="003C51B1" w:rsidRPr="00666D6C" w14:paraId="35EC418E" w14:textId="77777777" w:rsidTr="008638D3">
        <w:trPr>
          <w:trHeight w:val="456"/>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67B6EB06" w14:textId="77777777" w:rsidR="003C51B1" w:rsidRPr="00666D6C" w:rsidRDefault="003C51B1" w:rsidP="00666D6C">
            <w:pPr>
              <w:spacing w:line="240" w:lineRule="atLeast"/>
              <w:rPr>
                <w:lang w:val="en-US" w:eastAsia="en-US"/>
              </w:rPr>
            </w:pPr>
          </w:p>
        </w:tc>
        <w:tc>
          <w:tcPr>
            <w:tcW w:w="958" w:type="pc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F632DA1"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external</w:t>
            </w:r>
          </w:p>
        </w:tc>
        <w:tc>
          <w:tcPr>
            <w:tcW w:w="3322"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ADA5B45"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money obtained from outside the business, e.</w:t>
            </w:r>
            <w:r w:rsidR="00614217">
              <w:rPr>
                <w:rFonts w:eastAsia="Calibri" w:cs="Calibri"/>
                <w:u w:color="000000"/>
                <w:lang w:val="en-US"/>
              </w:rPr>
              <w:t xml:space="preserve"> </w:t>
            </w:r>
            <w:r w:rsidRPr="00666D6C">
              <w:rPr>
                <w:rFonts w:eastAsia="Calibri" w:cs="Calibri"/>
                <w:u w:color="000000"/>
                <w:lang w:val="en-US"/>
              </w:rPr>
              <w:t>g. borrowed and raised financial resources</w:t>
            </w:r>
          </w:p>
        </w:tc>
      </w:tr>
      <w:tr w:rsidR="003C51B1" w:rsidRPr="00666D6C" w14:paraId="4A7E9F98" w14:textId="77777777" w:rsidTr="00666D6C">
        <w:trPr>
          <w:trHeight w:val="270"/>
          <w:jc w:val="center"/>
        </w:trPr>
        <w:tc>
          <w:tcPr>
            <w:tcW w:w="720" w:type="pct"/>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39BB61C"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Direction of their use</w:t>
            </w:r>
          </w:p>
        </w:tc>
        <w:tc>
          <w:tcPr>
            <w:tcW w:w="4280"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7A61BA0"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financial resources to make current expenditures</w:t>
            </w:r>
          </w:p>
        </w:tc>
      </w:tr>
      <w:tr w:rsidR="003C51B1" w:rsidRPr="00666D6C" w14:paraId="0B22494E" w14:textId="77777777" w:rsidTr="00666D6C">
        <w:trPr>
          <w:trHeight w:val="270"/>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76BD5538" w14:textId="77777777" w:rsidR="003C51B1" w:rsidRPr="00666D6C" w:rsidRDefault="003C51B1" w:rsidP="00666D6C">
            <w:pPr>
              <w:spacing w:line="240" w:lineRule="atLeast"/>
              <w:rPr>
                <w:lang w:val="en-US" w:eastAsia="en-US"/>
              </w:rPr>
            </w:pPr>
          </w:p>
        </w:tc>
        <w:tc>
          <w:tcPr>
            <w:tcW w:w="4280"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587B3EBA"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financial resources to meet financial commitments to government agencies and funds</w:t>
            </w:r>
          </w:p>
        </w:tc>
      </w:tr>
      <w:tr w:rsidR="003C51B1" w:rsidRPr="00666D6C" w14:paraId="3246DB6B" w14:textId="77777777" w:rsidTr="00666D6C">
        <w:trPr>
          <w:trHeight w:val="270"/>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3D62DFBF" w14:textId="77777777" w:rsidR="003C51B1" w:rsidRPr="00666D6C" w:rsidRDefault="003C51B1" w:rsidP="00666D6C">
            <w:pPr>
              <w:spacing w:line="240" w:lineRule="atLeast"/>
              <w:rPr>
                <w:lang w:val="en-US" w:eastAsia="en-US"/>
              </w:rPr>
            </w:pPr>
          </w:p>
        </w:tc>
        <w:tc>
          <w:tcPr>
            <w:tcW w:w="4280"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52E74E3"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financial resources  to finance investment</w:t>
            </w:r>
          </w:p>
        </w:tc>
      </w:tr>
      <w:tr w:rsidR="003C51B1" w:rsidRPr="00666D6C" w14:paraId="0EE5F1DF" w14:textId="77777777" w:rsidTr="002A7A75">
        <w:trPr>
          <w:trHeight w:val="510"/>
          <w:jc w:val="center"/>
        </w:trPr>
        <w:tc>
          <w:tcPr>
            <w:tcW w:w="720" w:type="pct"/>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35C5F20"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Nature of the their use</w:t>
            </w:r>
          </w:p>
        </w:tc>
        <w:tc>
          <w:tcPr>
            <w:tcW w:w="1020"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9BA44DC"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materialized financial resources</w:t>
            </w:r>
          </w:p>
        </w:tc>
        <w:tc>
          <w:tcPr>
            <w:tcW w:w="3261" w:type="pc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29F09DE4"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those that are invested in fixed assets</w:t>
            </w:r>
          </w:p>
        </w:tc>
      </w:tr>
      <w:tr w:rsidR="003C51B1" w:rsidRPr="00666D6C" w14:paraId="516D2668" w14:textId="77777777" w:rsidTr="008638D3">
        <w:trPr>
          <w:trHeight w:val="194"/>
          <w:jc w:val="center"/>
        </w:trPr>
        <w:tc>
          <w:tcPr>
            <w:tcW w:w="720" w:type="pct"/>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267CBAC6" w14:textId="77777777" w:rsidR="003C51B1" w:rsidRPr="00666D6C" w:rsidRDefault="003C51B1" w:rsidP="00666D6C">
            <w:pPr>
              <w:spacing w:line="240" w:lineRule="atLeast"/>
              <w:rPr>
                <w:lang w:val="en-US" w:eastAsia="en-US"/>
              </w:rPr>
            </w:pPr>
          </w:p>
        </w:tc>
        <w:tc>
          <w:tcPr>
            <w:tcW w:w="1020"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A1611B4"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financial resources in circulation</w:t>
            </w:r>
          </w:p>
        </w:tc>
        <w:tc>
          <w:tcPr>
            <w:tcW w:w="3261" w:type="pc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5BB1DCB6" w14:textId="77777777" w:rsidR="003C51B1" w:rsidRPr="00666D6C" w:rsidRDefault="003C51B1" w:rsidP="00666D6C">
            <w:pPr>
              <w:spacing w:line="240" w:lineRule="atLeast"/>
              <w:rPr>
                <w:rFonts w:eastAsia="Calibri" w:cs="Calibri"/>
                <w:u w:color="000000"/>
                <w:lang w:val="en-US"/>
              </w:rPr>
            </w:pPr>
            <w:r w:rsidRPr="00666D6C">
              <w:rPr>
                <w:rFonts w:eastAsia="Calibri" w:cs="Calibri"/>
                <w:u w:color="000000"/>
                <w:lang w:val="en-US"/>
              </w:rPr>
              <w:t>current assets</w:t>
            </w:r>
          </w:p>
        </w:tc>
      </w:tr>
    </w:tbl>
    <w:p w14:paraId="63673A06" w14:textId="77777777" w:rsidR="00EC1B39" w:rsidRDefault="00EC1B39" w:rsidP="003C51B1">
      <w:pPr>
        <w:pBdr>
          <w:top w:val="nil"/>
          <w:left w:val="nil"/>
          <w:bottom w:val="nil"/>
          <w:right w:val="nil"/>
          <w:between w:val="nil"/>
          <w:bar w:val="nil"/>
        </w:pBdr>
        <w:spacing w:line="312" w:lineRule="auto"/>
        <w:ind w:firstLine="357"/>
        <w:jc w:val="both"/>
        <w:rPr>
          <w:rFonts w:eastAsia="Calibri" w:cs="Calibri"/>
          <w:b/>
          <w:bCs/>
          <w:sz w:val="28"/>
          <w:szCs w:val="28"/>
          <w:u w:color="000000"/>
          <w:bdr w:val="nil"/>
          <w:lang w:val="en-US"/>
        </w:rPr>
      </w:pPr>
    </w:p>
    <w:p w14:paraId="0A29D4A5" w14:textId="77777777" w:rsidR="00EC1B39" w:rsidRDefault="00EC1B39" w:rsidP="00EC1B39">
      <w:pPr>
        <w:pBdr>
          <w:top w:val="nil"/>
          <w:left w:val="nil"/>
          <w:bottom w:val="nil"/>
          <w:right w:val="nil"/>
          <w:between w:val="nil"/>
          <w:bar w:val="nil"/>
        </w:pBdr>
        <w:spacing w:line="312" w:lineRule="auto"/>
        <w:ind w:firstLine="709"/>
        <w:jc w:val="both"/>
        <w:rPr>
          <w:rFonts w:eastAsia="Calibri" w:cs="Calibri"/>
          <w:sz w:val="28"/>
          <w:szCs w:val="28"/>
          <w:u w:color="000000"/>
          <w:bdr w:val="nil"/>
          <w:lang w:val="en-US"/>
        </w:rPr>
      </w:pPr>
      <w:r>
        <w:rPr>
          <w:rFonts w:eastAsia="Calibri" w:cs="Calibri"/>
          <w:sz w:val="28"/>
          <w:szCs w:val="28"/>
          <w:u w:color="000000"/>
          <w:bdr w:val="nil"/>
          <w:lang w:val="en-US"/>
        </w:rPr>
        <w:t>Money funds include</w:t>
      </w:r>
      <w:r w:rsidRPr="00666D6C">
        <w:rPr>
          <w:rFonts w:eastAsia="Calibri" w:cs="Calibri"/>
          <w:sz w:val="28"/>
          <w:szCs w:val="28"/>
          <w:u w:color="000000"/>
          <w:bdr w:val="nil"/>
          <w:lang w:val="en-US"/>
        </w:rPr>
        <w:t xml:space="preserve"> authorized capital (share capital in case of JSC), reserves, production development fund, payroll (fund), depreciation fund, dividend fund, </w:t>
      </w:r>
      <w:r w:rsidRPr="00666D6C">
        <w:rPr>
          <w:rFonts w:eastAsia="Calibri" w:cs="Calibri"/>
          <w:sz w:val="28"/>
          <w:szCs w:val="28"/>
          <w:u w:color="000000"/>
          <w:bdr w:val="nil"/>
          <w:lang w:val="en-US"/>
        </w:rPr>
        <w:lastRenderedPageBreak/>
        <w:t>currency fund</w:t>
      </w:r>
      <w:r>
        <w:rPr>
          <w:rFonts w:eastAsia="Calibri" w:cs="Calibri"/>
          <w:sz w:val="28"/>
          <w:szCs w:val="28"/>
          <w:u w:color="000000"/>
          <w:bdr w:val="nil"/>
          <w:lang w:val="en-US"/>
        </w:rPr>
        <w:t>,</w:t>
      </w:r>
      <w:r w:rsidRPr="00666D6C">
        <w:rPr>
          <w:rFonts w:eastAsia="Calibri" w:cs="Calibri"/>
          <w:sz w:val="28"/>
          <w:szCs w:val="28"/>
          <w:u w:color="000000"/>
          <w:bdr w:val="nil"/>
          <w:lang w:val="en-US"/>
        </w:rPr>
        <w:t xml:space="preserve"> and other funds provided by the company’s mem</w:t>
      </w:r>
      <w:r>
        <w:rPr>
          <w:rFonts w:eastAsia="Calibri" w:cs="Calibri"/>
          <w:sz w:val="28"/>
          <w:szCs w:val="28"/>
          <w:u w:color="000000"/>
          <w:bdr w:val="nil"/>
          <w:lang w:val="en-US"/>
        </w:rPr>
        <w:t>orandum of association. Money</w:t>
      </w:r>
      <w:r w:rsidRPr="00666D6C">
        <w:rPr>
          <w:rFonts w:eastAsia="Calibri" w:cs="Calibri"/>
          <w:sz w:val="28"/>
          <w:szCs w:val="28"/>
          <w:u w:color="000000"/>
          <w:bdr w:val="nil"/>
          <w:lang w:val="en-US"/>
        </w:rPr>
        <w:t xml:space="preserve"> funds can be set by a company as on permanent and temporary basis. Financial resources in the unfunded form</w:t>
      </w:r>
      <w:r>
        <w:rPr>
          <w:rFonts w:eastAsia="Calibri" w:cs="Calibri"/>
          <w:sz w:val="28"/>
          <w:szCs w:val="28"/>
          <w:u w:color="000000"/>
          <w:bdr w:val="nil"/>
          <w:lang w:val="en-US"/>
        </w:rPr>
        <w:t xml:space="preserve"> are</w:t>
      </w:r>
      <w:r w:rsidRPr="00666D6C">
        <w:rPr>
          <w:rFonts w:eastAsia="Calibri" w:cs="Calibri"/>
          <w:sz w:val="28"/>
          <w:szCs w:val="28"/>
          <w:u w:color="000000"/>
          <w:bdr w:val="nil"/>
          <w:lang w:val="en-US"/>
        </w:rPr>
        <w:t xml:space="preserve"> used to meet financial obligations to the budget and off-budget funds, banks, insurance companies; a company can also receive subsidies, sponsorship, and bank loans in an unfunded form.</w:t>
      </w:r>
    </w:p>
    <w:p w14:paraId="01CF76F7" w14:textId="77777777" w:rsidR="003C51B1" w:rsidRDefault="003C51B1" w:rsidP="00EC1B39">
      <w:pPr>
        <w:pBdr>
          <w:top w:val="nil"/>
          <w:left w:val="nil"/>
          <w:bottom w:val="nil"/>
          <w:right w:val="nil"/>
          <w:between w:val="nil"/>
          <w:bar w:val="nil"/>
        </w:pBdr>
        <w:spacing w:line="312" w:lineRule="auto"/>
        <w:ind w:firstLine="709"/>
        <w:jc w:val="both"/>
        <w:rPr>
          <w:rFonts w:eastAsia="Calibri" w:cs="Calibri"/>
          <w:sz w:val="28"/>
          <w:szCs w:val="28"/>
          <w:u w:color="000000"/>
          <w:bdr w:val="nil"/>
          <w:lang w:val="en-US"/>
        </w:rPr>
      </w:pPr>
      <w:r w:rsidRPr="00666D6C">
        <w:rPr>
          <w:rFonts w:eastAsia="Calibri" w:cs="Calibri"/>
          <w:b/>
          <w:bCs/>
          <w:sz w:val="28"/>
          <w:szCs w:val="28"/>
          <w:u w:color="000000"/>
          <w:bdr w:val="nil"/>
          <w:lang w:val="en-US"/>
        </w:rPr>
        <w:t>Cash flow</w:t>
      </w:r>
      <w:r w:rsidRPr="00666D6C">
        <w:rPr>
          <w:rFonts w:eastAsia="Calibri" w:cs="Calibri"/>
          <w:sz w:val="28"/>
          <w:szCs w:val="28"/>
          <w:u w:color="000000"/>
          <w:bdr w:val="nil"/>
          <w:lang w:val="en-US"/>
        </w:rPr>
        <w:t xml:space="preserve"> is the net amount of cash and cash-equivalents moving into and out of a business. Cash flows usually arise from one of three business activities </w:t>
      </w:r>
      <w:r w:rsidR="00614217">
        <w:rPr>
          <w:rFonts w:eastAsia="Calibri" w:cs="Calibri"/>
          <w:sz w:val="28"/>
          <w:szCs w:val="28"/>
          <w:u w:color="000000"/>
          <w:bdr w:val="nil"/>
          <w:lang w:val="en-US"/>
        </w:rPr>
        <w:t xml:space="preserve">– </w:t>
      </w:r>
      <w:r w:rsidRPr="00666D6C">
        <w:rPr>
          <w:rFonts w:eastAsia="Calibri" w:cs="Calibri"/>
          <w:sz w:val="28"/>
          <w:szCs w:val="28"/>
          <w:u w:color="000000"/>
          <w:bdr w:val="nil"/>
          <w:lang w:val="en-US"/>
        </w:rPr>
        <w:t xml:space="preserve"> financing, operations or investing and from ordinary or extraordinary activities (see </w:t>
      </w:r>
      <w:r w:rsidR="00613E76">
        <w:rPr>
          <w:rFonts w:eastAsia="Calibri" w:cs="Calibri"/>
          <w:sz w:val="28"/>
          <w:szCs w:val="28"/>
          <w:u w:color="000000"/>
          <w:bdr w:val="nil"/>
          <w:lang w:val="en-US"/>
        </w:rPr>
        <w:t>Figure</w:t>
      </w:r>
      <w:r w:rsidRPr="00666D6C">
        <w:rPr>
          <w:rFonts w:eastAsia="Calibri" w:cs="Calibri"/>
          <w:sz w:val="28"/>
          <w:szCs w:val="28"/>
          <w:u w:color="000000"/>
          <w:bdr w:val="nil"/>
          <w:lang w:val="en-US"/>
        </w:rPr>
        <w:t xml:space="preserve"> 7.1).</w:t>
      </w:r>
      <w:r w:rsidR="00666D6C">
        <w:rPr>
          <w:rFonts w:eastAsia="Calibri" w:cs="Calibri"/>
          <w:sz w:val="28"/>
          <w:szCs w:val="28"/>
          <w:u w:color="000000"/>
          <w:bdr w:val="nil"/>
          <w:lang w:val="en-US"/>
        </w:rPr>
        <w:t xml:space="preserve"> </w:t>
      </w:r>
      <w:r w:rsidRPr="00666D6C">
        <w:rPr>
          <w:rFonts w:eastAsia="Calibri" w:cs="Calibri"/>
          <w:sz w:val="28"/>
          <w:szCs w:val="28"/>
          <w:u w:color="000000"/>
          <w:bdr w:val="nil"/>
          <w:lang w:val="en-US"/>
        </w:rPr>
        <w:t xml:space="preserve">Positive cash flow indicates that a company's liquid assets are increasing, enabling it to settle debts, reinvest in its business, return money to shareholders, pay expenses and provide a buffer against future financial challenges. Negative cash flow indicates that a company's liquid assets are decreasing. </w:t>
      </w:r>
    </w:p>
    <w:p w14:paraId="0F139DFA" w14:textId="77777777" w:rsidR="00EC1B39" w:rsidRPr="00666D6C" w:rsidRDefault="00EC1B39"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p>
    <w:p w14:paraId="7EA034CB" w14:textId="77777777" w:rsidR="003C51B1" w:rsidRPr="00666D6C" w:rsidRDefault="003C51B1" w:rsidP="003C51B1">
      <w:pPr>
        <w:pBdr>
          <w:top w:val="nil"/>
          <w:left w:val="nil"/>
          <w:bottom w:val="nil"/>
          <w:right w:val="nil"/>
          <w:between w:val="nil"/>
          <w:bar w:val="nil"/>
        </w:pBdr>
        <w:spacing w:line="312" w:lineRule="auto"/>
        <w:jc w:val="both"/>
        <w:rPr>
          <w:rFonts w:eastAsia="Garamond"/>
          <w:sz w:val="28"/>
          <w:szCs w:val="28"/>
          <w:u w:color="000000"/>
          <w:bdr w:val="nil"/>
          <w:lang w:val="en-US"/>
        </w:rPr>
      </w:pPr>
      <w:r w:rsidRPr="00666D6C">
        <w:rPr>
          <w:rFonts w:eastAsia="Garamond"/>
          <w:noProof/>
          <w:sz w:val="28"/>
          <w:szCs w:val="28"/>
          <w:u w:color="000000"/>
          <w:bdr w:val="nil"/>
          <w:lang w:val="ru-RU" w:eastAsia="ru-RU"/>
        </w:rPr>
        <mc:AlternateContent>
          <mc:Choice Requires="wpg">
            <w:drawing>
              <wp:inline distT="0" distB="0" distL="0" distR="0" wp14:anchorId="6BA49164" wp14:editId="236AA2CA">
                <wp:extent cx="5669280" cy="4004840"/>
                <wp:effectExtent l="0" t="0" r="45720" b="15240"/>
                <wp:docPr id="1073741857" name="officeArt object"/>
                <wp:cNvGraphicFramePr/>
                <a:graphic xmlns:a="http://schemas.openxmlformats.org/drawingml/2006/main">
                  <a:graphicData uri="http://schemas.microsoft.com/office/word/2010/wordprocessingGroup">
                    <wpg:wgp>
                      <wpg:cNvGrpSpPr/>
                      <wpg:grpSpPr>
                        <a:xfrm>
                          <a:off x="0" y="0"/>
                          <a:ext cx="5669280" cy="4004840"/>
                          <a:chOff x="-1" y="-7"/>
                          <a:chExt cx="5669279" cy="3836817"/>
                        </a:xfrm>
                      </wpg:grpSpPr>
                      <wpg:grpSp>
                        <wpg:cNvPr id="1073741858" name="Group 1073741827"/>
                        <wpg:cNvGrpSpPr/>
                        <wpg:grpSpPr>
                          <a:xfrm>
                            <a:off x="2842658" y="1457135"/>
                            <a:ext cx="2516205" cy="950785"/>
                            <a:chOff x="-15981" y="134967"/>
                            <a:chExt cx="2516204" cy="950784"/>
                          </a:xfrm>
                        </wpg:grpSpPr>
                        <wps:wsp>
                          <wps:cNvPr id="1073741859" name="Shape 1073741825"/>
                          <wps:cNvSpPr/>
                          <wps:spPr>
                            <a:xfrm>
                              <a:off x="-15981" y="134967"/>
                              <a:ext cx="2516204" cy="950784"/>
                            </a:xfrm>
                            <a:prstGeom prst="roundRect">
                              <a:avLst>
                                <a:gd name="adj" fmla="val 16667"/>
                              </a:avLst>
                            </a:prstGeom>
                            <a:noFill/>
                            <a:ln w="9525" cap="flat">
                              <a:solidFill>
                                <a:srgbClr val="000000"/>
                              </a:solidFill>
                              <a:prstDash val="solid"/>
                              <a:round/>
                            </a:ln>
                            <a:effectLst/>
                          </wps:spPr>
                          <wps:bodyPr/>
                        </wps:wsp>
                        <wps:wsp>
                          <wps:cNvPr id="1073741860" name="Shape 1073741826"/>
                          <wps:cNvSpPr/>
                          <wps:spPr>
                            <a:xfrm>
                              <a:off x="41279" y="236118"/>
                              <a:ext cx="2433645" cy="763414"/>
                            </a:xfrm>
                            <a:prstGeom prst="rect">
                              <a:avLst/>
                            </a:prstGeom>
                            <a:noFill/>
                            <a:ln w="12700" cap="flat">
                              <a:noFill/>
                              <a:miter lim="400000"/>
                            </a:ln>
                            <a:effectLst/>
                          </wps:spPr>
                          <wps:txbx>
                            <w:txbxContent>
                              <w:p w14:paraId="560F620A" w14:textId="77777777" w:rsidR="00B56753" w:rsidRDefault="00B56753" w:rsidP="00A31BBA">
                                <w:pPr>
                                  <w:pStyle w:val="NormalWeb"/>
                                  <w:spacing w:before="0" w:beforeAutospacing="0" w:after="0" w:afterAutospacing="0" w:line="240" w:lineRule="atLeast"/>
                                  <w:jc w:val="center"/>
                                  <w:rPr>
                                    <w:rFonts w:ascii="Garamond"/>
                                    <w:szCs w:val="22"/>
                                    <w:u w:color="000000"/>
                                    <w:lang w:val="en-US"/>
                                  </w:rPr>
                                </w:pPr>
                              </w:p>
                              <w:p w14:paraId="2731018F" w14:textId="77777777" w:rsidR="00B56753" w:rsidRPr="00666D6C" w:rsidRDefault="00B56753" w:rsidP="00A31BBA">
                                <w:pPr>
                                  <w:pStyle w:val="NormalWeb"/>
                                  <w:spacing w:before="0" w:beforeAutospacing="0" w:after="0" w:afterAutospacing="0" w:line="240" w:lineRule="atLeast"/>
                                  <w:jc w:val="center"/>
                                  <w:rPr>
                                    <w:sz w:val="28"/>
                                    <w:lang w:val="en-US"/>
                                  </w:rPr>
                                </w:pPr>
                                <w:r w:rsidRPr="00666D6C">
                                  <w:rPr>
                                    <w:rFonts w:ascii="Garamond"/>
                                    <w:szCs w:val="22"/>
                                    <w:u w:color="000000"/>
                                    <w:lang w:val="en-US"/>
                                  </w:rPr>
                                  <w:t>considered purchase and sale of fixed assets as well as financial investments that are not part of cash equivalents</w:t>
                                </w:r>
                              </w:p>
                            </w:txbxContent>
                          </wps:txbx>
                          <wps:bodyPr wrap="square" lIns="0" tIns="0" rIns="0" bIns="0" numCol="1" anchor="ctr">
                            <a:noAutofit/>
                          </wps:bodyPr>
                        </wps:wsp>
                      </wpg:grpSp>
                      <wpg:grpSp>
                        <wpg:cNvPr id="1073741861" name="Group 1073741830"/>
                        <wpg:cNvGrpSpPr/>
                        <wpg:grpSpPr>
                          <a:xfrm>
                            <a:off x="2858589" y="575488"/>
                            <a:ext cx="2316282" cy="558770"/>
                            <a:chOff x="-50" y="-30"/>
                            <a:chExt cx="2316281" cy="558769"/>
                          </a:xfrm>
                        </wpg:grpSpPr>
                        <wps:wsp>
                          <wps:cNvPr id="1073741862" name="Shape 1073741828"/>
                          <wps:cNvSpPr/>
                          <wps:spPr>
                            <a:xfrm>
                              <a:off x="-50" y="-30"/>
                              <a:ext cx="2316281" cy="558769"/>
                            </a:xfrm>
                            <a:prstGeom prst="roundRect">
                              <a:avLst>
                                <a:gd name="adj" fmla="val 16667"/>
                              </a:avLst>
                            </a:prstGeom>
                            <a:noFill/>
                            <a:ln w="9525" cap="flat">
                              <a:solidFill>
                                <a:srgbClr val="000000"/>
                              </a:solidFill>
                              <a:prstDash val="solid"/>
                              <a:round/>
                            </a:ln>
                            <a:effectLst/>
                          </wps:spPr>
                          <wps:bodyPr/>
                        </wps:wsp>
                        <wps:wsp>
                          <wps:cNvPr id="1073741863" name="Shape 1073741829"/>
                          <wps:cNvSpPr/>
                          <wps:spPr>
                            <a:xfrm>
                              <a:off x="23844" y="23866"/>
                              <a:ext cx="2268490" cy="534817"/>
                            </a:xfrm>
                            <a:prstGeom prst="rect">
                              <a:avLst/>
                            </a:prstGeom>
                            <a:noFill/>
                            <a:ln w="12700" cap="flat">
                              <a:noFill/>
                              <a:miter lim="400000"/>
                            </a:ln>
                            <a:effectLst/>
                          </wps:spPr>
                          <wps:txbx>
                            <w:txbxContent>
                              <w:p w14:paraId="3F00CF53" w14:textId="77777777" w:rsidR="00B56753" w:rsidRDefault="00B56753" w:rsidP="00666D6C">
                                <w:pPr>
                                  <w:pStyle w:val="NormalWeb"/>
                                  <w:spacing w:before="0" w:beforeAutospacing="0" w:after="0" w:afterAutospacing="0" w:line="240" w:lineRule="atLeast"/>
                                  <w:jc w:val="center"/>
                                  <w:rPr>
                                    <w:rFonts w:ascii="Garamond"/>
                                    <w:szCs w:val="22"/>
                                    <w:u w:color="000000"/>
                                    <w:lang w:val="en-US"/>
                                  </w:rPr>
                                </w:pPr>
                              </w:p>
                              <w:p w14:paraId="1D1E6B16" w14:textId="77777777" w:rsidR="00B56753" w:rsidRPr="00666D6C" w:rsidRDefault="00B56753" w:rsidP="00666D6C">
                                <w:pPr>
                                  <w:pStyle w:val="NormalWeb"/>
                                  <w:spacing w:before="0" w:beforeAutospacing="0" w:after="0" w:afterAutospacing="0" w:line="240" w:lineRule="atLeast"/>
                                  <w:jc w:val="center"/>
                                  <w:rPr>
                                    <w:sz w:val="28"/>
                                    <w:lang w:val="en-US"/>
                                  </w:rPr>
                                </w:pPr>
                                <w:r w:rsidRPr="00666D6C">
                                  <w:rPr>
                                    <w:rFonts w:ascii="Garamond"/>
                                    <w:szCs w:val="22"/>
                                    <w:u w:color="000000"/>
                                    <w:lang w:val="en-US"/>
                                  </w:rPr>
                                  <w:t>investing or financial company</w:t>
                                </w:r>
                                <w:r w:rsidRPr="00666D6C">
                                  <w:rPr>
                                    <w:rFonts w:hAnsi="Garamond"/>
                                    <w:szCs w:val="22"/>
                                    <w:u w:color="000000"/>
                                    <w:lang w:val="en-US"/>
                                  </w:rPr>
                                  <w:t>’</w:t>
                                </w:r>
                                <w:r w:rsidRPr="00666D6C">
                                  <w:rPr>
                                    <w:rFonts w:ascii="Garamond"/>
                                    <w:szCs w:val="22"/>
                                    <w:u w:color="000000"/>
                                    <w:lang w:val="en-US"/>
                                  </w:rPr>
                                  <w:t>s activity</w:t>
                                </w:r>
                              </w:p>
                            </w:txbxContent>
                          </wps:txbx>
                          <wps:bodyPr wrap="square" lIns="0" tIns="0" rIns="0" bIns="0" numCol="1" anchor="ctr">
                            <a:noAutofit/>
                          </wps:bodyPr>
                        </wps:wsp>
                      </wpg:grpSp>
                      <wpg:grpSp>
                        <wpg:cNvPr id="1073741864" name="Group 1073741833"/>
                        <wpg:cNvGrpSpPr/>
                        <wpg:grpSpPr>
                          <a:xfrm>
                            <a:off x="295105" y="2651063"/>
                            <a:ext cx="2489303" cy="1185747"/>
                            <a:chOff x="-11730" y="232576"/>
                            <a:chExt cx="2489301" cy="1185745"/>
                          </a:xfrm>
                        </wpg:grpSpPr>
                        <wps:wsp>
                          <wps:cNvPr id="1073741865" name="Shape 1073741831"/>
                          <wps:cNvSpPr/>
                          <wps:spPr>
                            <a:xfrm>
                              <a:off x="-11730" y="232576"/>
                              <a:ext cx="2489301" cy="1185237"/>
                            </a:xfrm>
                            <a:prstGeom prst="roundRect">
                              <a:avLst>
                                <a:gd name="adj" fmla="val 16667"/>
                              </a:avLst>
                            </a:prstGeom>
                            <a:noFill/>
                            <a:ln w="9525" cap="flat">
                              <a:solidFill>
                                <a:srgbClr val="000000"/>
                              </a:solidFill>
                              <a:prstDash val="solid"/>
                              <a:round/>
                            </a:ln>
                            <a:effectLst/>
                          </wps:spPr>
                          <wps:bodyPr/>
                        </wps:wsp>
                        <wps:wsp>
                          <wps:cNvPr id="1073741866" name="Shape 1073741832"/>
                          <wps:cNvSpPr/>
                          <wps:spPr>
                            <a:xfrm>
                              <a:off x="54044" y="232928"/>
                              <a:ext cx="2381187" cy="1185393"/>
                            </a:xfrm>
                            <a:prstGeom prst="rect">
                              <a:avLst/>
                            </a:prstGeom>
                            <a:noFill/>
                            <a:ln w="12700" cap="flat">
                              <a:noFill/>
                              <a:miter lim="400000"/>
                            </a:ln>
                            <a:effectLst/>
                          </wps:spPr>
                          <wps:txbx>
                            <w:txbxContent>
                              <w:p w14:paraId="78D15A6F" w14:textId="77777777" w:rsidR="00B56753" w:rsidRDefault="00B56753" w:rsidP="00666D6C">
                                <w:pPr>
                                  <w:pStyle w:val="NormalWeb"/>
                                  <w:spacing w:before="0" w:beforeAutospacing="0" w:after="0" w:afterAutospacing="0" w:line="240" w:lineRule="atLeast"/>
                                  <w:jc w:val="center"/>
                                  <w:rPr>
                                    <w:rFonts w:hAnsi="Garamond"/>
                                    <w:szCs w:val="22"/>
                                    <w:u w:color="000000"/>
                                    <w:lang w:val="en-US"/>
                                  </w:rPr>
                                </w:pPr>
                              </w:p>
                              <w:p w14:paraId="12873C1A" w14:textId="77777777" w:rsidR="00B56753" w:rsidRPr="00666D6C" w:rsidRDefault="00B56753" w:rsidP="00666D6C">
                                <w:pPr>
                                  <w:pStyle w:val="NormalWeb"/>
                                  <w:spacing w:before="0" w:beforeAutospacing="0" w:after="0" w:afterAutospacing="0" w:line="240" w:lineRule="atLeast"/>
                                  <w:jc w:val="center"/>
                                  <w:rPr>
                                    <w:sz w:val="28"/>
                                    <w:lang w:val="en-US"/>
                                  </w:rPr>
                                </w:pPr>
                                <w:r w:rsidRPr="00666D6C">
                                  <w:rPr>
                                    <w:rFonts w:hAnsi="Garamond"/>
                                    <w:szCs w:val="22"/>
                                    <w:u w:color="000000"/>
                                    <w:lang w:val="en-US"/>
                                  </w:rPr>
                                  <w:t> </w:t>
                                </w:r>
                                <w:r w:rsidRPr="00666D6C">
                                  <w:rPr>
                                    <w:rFonts w:ascii="Garamond"/>
                                    <w:szCs w:val="22"/>
                                    <w:u w:color="000000"/>
                                    <w:lang w:val="en-US"/>
                                  </w:rPr>
                                  <w:t>include</w:t>
                                </w:r>
                                <w:r>
                                  <w:rPr>
                                    <w:rFonts w:ascii="Garamond"/>
                                    <w:szCs w:val="22"/>
                                    <w:u w:color="000000"/>
                                    <w:lang w:val="en-US"/>
                                  </w:rPr>
                                  <w:t>s</w:t>
                                </w:r>
                                <w:r w:rsidRPr="00666D6C">
                                  <w:rPr>
                                    <w:rFonts w:ascii="Garamond"/>
                                    <w:szCs w:val="22"/>
                                    <w:u w:color="000000"/>
                                    <w:lang w:val="en-US"/>
                                  </w:rPr>
                                  <w:t xml:space="preserve"> sale of foreign currency, an operating lease of assets, positive exchange difference, obtained penalties, recoveries of amounts previously written-off assets, received subsidies, and other operations</w:t>
                                </w:r>
                              </w:p>
                            </w:txbxContent>
                          </wps:txbx>
                          <wps:bodyPr wrap="square" lIns="0" tIns="0" rIns="0" bIns="0" numCol="1" anchor="ctr">
                            <a:noAutofit/>
                          </wps:bodyPr>
                        </wps:wsp>
                      </wpg:grpSp>
                      <wpg:grpSp>
                        <wpg:cNvPr id="1073741867" name="Group 1073741836"/>
                        <wpg:cNvGrpSpPr/>
                        <wpg:grpSpPr>
                          <a:xfrm>
                            <a:off x="295105" y="1457582"/>
                            <a:ext cx="2457900" cy="950363"/>
                            <a:chOff x="-11630" y="134814"/>
                            <a:chExt cx="2457898" cy="950362"/>
                          </a:xfrm>
                        </wpg:grpSpPr>
                        <wps:wsp>
                          <wps:cNvPr id="1073741868" name="Shape 1073741834"/>
                          <wps:cNvSpPr/>
                          <wps:spPr>
                            <a:xfrm>
                              <a:off x="-11630" y="134814"/>
                              <a:ext cx="2457898" cy="950362"/>
                            </a:xfrm>
                            <a:prstGeom prst="roundRect">
                              <a:avLst>
                                <a:gd name="adj" fmla="val 16667"/>
                              </a:avLst>
                            </a:prstGeom>
                            <a:noFill/>
                            <a:ln w="9525" cap="flat">
                              <a:solidFill>
                                <a:srgbClr val="000000"/>
                              </a:solidFill>
                              <a:prstDash val="solid"/>
                              <a:round/>
                            </a:ln>
                            <a:effectLst/>
                          </wps:spPr>
                          <wps:bodyPr/>
                        </wps:wsp>
                        <wps:wsp>
                          <wps:cNvPr id="1073741869" name="Shape 1073741835"/>
                          <wps:cNvSpPr/>
                          <wps:spPr>
                            <a:xfrm>
                              <a:off x="23917" y="235545"/>
                              <a:ext cx="2375366" cy="849623"/>
                            </a:xfrm>
                            <a:prstGeom prst="rect">
                              <a:avLst/>
                            </a:prstGeom>
                            <a:noFill/>
                            <a:ln w="12700" cap="flat">
                              <a:noFill/>
                              <a:miter lim="400000"/>
                            </a:ln>
                            <a:effectLst/>
                          </wps:spPr>
                          <wps:txbx>
                            <w:txbxContent>
                              <w:p w14:paraId="118E9D63" w14:textId="77777777" w:rsidR="00B56753" w:rsidRPr="00666D6C" w:rsidRDefault="00B56753" w:rsidP="00666D6C">
                                <w:pPr>
                                  <w:pStyle w:val="NormalWeb"/>
                                  <w:spacing w:before="0" w:beforeAutospacing="0" w:after="0" w:afterAutospacing="0" w:line="240" w:lineRule="atLeast"/>
                                  <w:jc w:val="center"/>
                                  <w:rPr>
                                    <w:sz w:val="28"/>
                                    <w:lang w:val="en-US"/>
                                  </w:rPr>
                                </w:pPr>
                                <w:r w:rsidRPr="00666D6C">
                                  <w:rPr>
                                    <w:rFonts w:hAnsi="Garamond"/>
                                    <w:szCs w:val="22"/>
                                    <w:u w:color="000000"/>
                                    <w:lang w:val="en-US"/>
                                  </w:rPr>
                                  <w:t> </w:t>
                                </w:r>
                                <w:r w:rsidRPr="00666D6C">
                                  <w:rPr>
                                    <w:rFonts w:ascii="Garamond"/>
                                    <w:szCs w:val="22"/>
                                    <w:u w:color="000000"/>
                                    <w:lang w:val="en-US"/>
                                  </w:rPr>
                                  <w:t>company</w:t>
                                </w:r>
                                <w:r w:rsidRPr="00666D6C">
                                  <w:rPr>
                                    <w:rFonts w:hAnsi="Garamond"/>
                                    <w:szCs w:val="22"/>
                                    <w:u w:color="000000"/>
                                    <w:lang w:val="en-US"/>
                                  </w:rPr>
                                  <w:t>’</w:t>
                                </w:r>
                                <w:r w:rsidRPr="00666D6C">
                                  <w:rPr>
                                    <w:rFonts w:ascii="Garamond"/>
                                    <w:szCs w:val="22"/>
                                    <w:u w:color="000000"/>
                                    <w:lang w:val="en-US"/>
                                  </w:rPr>
                                  <w:t>s core business activities, such as manufacturing, distributing, marketing and selling a product or service or formation of portfolio investment</w:t>
                                </w:r>
                              </w:p>
                            </w:txbxContent>
                          </wps:txbx>
                          <wps:bodyPr wrap="square" lIns="0" tIns="0" rIns="0" bIns="0" numCol="1" anchor="ctr">
                            <a:noAutofit/>
                          </wps:bodyPr>
                        </wps:wsp>
                      </wpg:grpSp>
                      <wpg:grpSp>
                        <wpg:cNvPr id="1073741870" name="Group 1073741839"/>
                        <wpg:cNvGrpSpPr/>
                        <wpg:grpSpPr>
                          <a:xfrm>
                            <a:off x="2048200" y="-7"/>
                            <a:ext cx="1640517" cy="320571"/>
                            <a:chOff x="-21" y="-5"/>
                            <a:chExt cx="1640515" cy="320569"/>
                          </a:xfrm>
                        </wpg:grpSpPr>
                        <wps:wsp>
                          <wps:cNvPr id="1073741871" name="Shape 1073741837"/>
                          <wps:cNvSpPr/>
                          <wps:spPr>
                            <a:xfrm>
                              <a:off x="-22" y="-6"/>
                              <a:ext cx="1640516" cy="320571"/>
                            </a:xfrm>
                            <a:custGeom>
                              <a:avLst/>
                              <a:gdLst/>
                              <a:ahLst/>
                              <a:cxnLst>
                                <a:cxn ang="0">
                                  <a:pos x="wd2" y="hd2"/>
                                </a:cxn>
                                <a:cxn ang="5400000">
                                  <a:pos x="wd2" y="hd2"/>
                                </a:cxn>
                                <a:cxn ang="10800000">
                                  <a:pos x="wd2" y="hd2"/>
                                </a:cxn>
                                <a:cxn ang="16200000">
                                  <a:pos x="wd2" y="hd2"/>
                                </a:cxn>
                              </a:cxnLst>
                              <a:rect l="0" t="0" r="r" b="b"/>
                              <a:pathLst>
                                <a:path w="19679" h="19678" extrusionOk="0">
                                  <a:moveTo>
                                    <a:pt x="16796" y="2882"/>
                                  </a:moveTo>
                                  <a:cubicBezTo>
                                    <a:pt x="20639" y="6724"/>
                                    <a:pt x="20639" y="12954"/>
                                    <a:pt x="16796" y="16796"/>
                                  </a:cubicBezTo>
                                  <a:cubicBezTo>
                                    <a:pt x="12954" y="20639"/>
                                    <a:pt x="6724" y="20639"/>
                                    <a:pt x="2882" y="16796"/>
                                  </a:cubicBezTo>
                                  <a:cubicBezTo>
                                    <a:pt x="-961" y="12954"/>
                                    <a:pt x="-961" y="6724"/>
                                    <a:pt x="2882" y="2882"/>
                                  </a:cubicBezTo>
                                  <a:cubicBezTo>
                                    <a:pt x="6724" y="-961"/>
                                    <a:pt x="12954" y="-961"/>
                                    <a:pt x="16796" y="2882"/>
                                  </a:cubicBezTo>
                                  <a:close/>
                                </a:path>
                              </a:pathLst>
                            </a:custGeom>
                            <a:solidFill>
                              <a:srgbClr val="FFFFFF"/>
                            </a:solidFill>
                            <a:ln w="6350" cap="flat">
                              <a:solidFill>
                                <a:srgbClr val="000000"/>
                              </a:solidFill>
                              <a:prstDash val="solid"/>
                              <a:round/>
                            </a:ln>
                            <a:effectLst/>
                          </wps:spPr>
                          <wps:bodyPr/>
                        </wps:wsp>
                        <wps:wsp>
                          <wps:cNvPr id="1073741872" name="Shape 1073741838"/>
                          <wps:cNvSpPr/>
                          <wps:spPr>
                            <a:xfrm>
                              <a:off x="240260" y="46945"/>
                              <a:ext cx="1160117" cy="226685"/>
                            </a:xfrm>
                            <a:prstGeom prst="rect">
                              <a:avLst/>
                            </a:prstGeom>
                            <a:noFill/>
                            <a:ln w="12700" cap="flat">
                              <a:noFill/>
                              <a:miter lim="400000"/>
                            </a:ln>
                            <a:effectLst/>
                          </wps:spPr>
                          <wps:txbx>
                            <w:txbxContent>
                              <w:p w14:paraId="42ACAFD3" w14:textId="77777777" w:rsidR="00B56753" w:rsidRPr="00666D6C" w:rsidRDefault="00B56753" w:rsidP="003C51B1">
                                <w:pPr>
                                  <w:pStyle w:val="A5"/>
                                  <w:ind w:firstLine="0"/>
                                  <w:jc w:val="center"/>
                                  <w:rPr>
                                    <w:sz w:val="24"/>
                                  </w:rPr>
                                </w:pPr>
                                <w:r w:rsidRPr="00666D6C">
                                  <w:rPr>
                                    <w:rFonts w:ascii="Garamond"/>
                                    <w:sz w:val="24"/>
                                  </w:rPr>
                                  <w:t>Business activity</w:t>
                                </w:r>
                              </w:p>
                            </w:txbxContent>
                          </wps:txbx>
                          <wps:bodyPr wrap="square" lIns="18000" tIns="18000" rIns="18000" bIns="18000" numCol="1" anchor="t">
                            <a:noAutofit/>
                          </wps:bodyPr>
                        </wps:wsp>
                      </wpg:grpSp>
                      <wpg:grpSp>
                        <wpg:cNvPr id="1073741873" name="Group 1073741842"/>
                        <wpg:cNvGrpSpPr/>
                        <wpg:grpSpPr>
                          <a:xfrm>
                            <a:off x="306729" y="574989"/>
                            <a:ext cx="2457800" cy="559324"/>
                            <a:chOff x="-6" y="-29"/>
                            <a:chExt cx="2457798" cy="559323"/>
                          </a:xfrm>
                        </wpg:grpSpPr>
                        <wps:wsp>
                          <wps:cNvPr id="1073741874" name="Shape 1073741840"/>
                          <wps:cNvSpPr/>
                          <wps:spPr>
                            <a:xfrm>
                              <a:off x="-6" y="-29"/>
                              <a:ext cx="2457798" cy="559323"/>
                            </a:xfrm>
                            <a:prstGeom prst="roundRect">
                              <a:avLst>
                                <a:gd name="adj" fmla="val 16667"/>
                              </a:avLst>
                            </a:prstGeom>
                            <a:noFill/>
                            <a:ln w="9525" cap="flat">
                              <a:solidFill>
                                <a:srgbClr val="000000"/>
                              </a:solidFill>
                              <a:prstDash val="solid"/>
                              <a:round/>
                            </a:ln>
                            <a:effectLst/>
                          </wps:spPr>
                          <wps:bodyPr/>
                        </wps:wsp>
                        <wps:wsp>
                          <wps:cNvPr id="1073741875" name="Shape 1073741841"/>
                          <wps:cNvSpPr/>
                          <wps:spPr>
                            <a:xfrm>
                              <a:off x="23917" y="23894"/>
                              <a:ext cx="2409948" cy="535344"/>
                            </a:xfrm>
                            <a:prstGeom prst="rect">
                              <a:avLst/>
                            </a:prstGeom>
                            <a:noFill/>
                            <a:ln w="12700" cap="flat">
                              <a:noFill/>
                              <a:miter lim="400000"/>
                            </a:ln>
                            <a:effectLst/>
                          </wps:spPr>
                          <wps:txbx>
                            <w:txbxContent>
                              <w:p w14:paraId="79D489FB" w14:textId="77777777" w:rsidR="00B56753" w:rsidRDefault="00B56753" w:rsidP="00666D6C">
                                <w:pPr>
                                  <w:pStyle w:val="NormalWeb"/>
                                  <w:spacing w:before="0" w:beforeAutospacing="0" w:after="0" w:afterAutospacing="0" w:line="240" w:lineRule="atLeast"/>
                                  <w:jc w:val="center"/>
                                  <w:rPr>
                                    <w:rFonts w:ascii="Garamond"/>
                                    <w:szCs w:val="22"/>
                                    <w:u w:color="000000"/>
                                    <w:lang w:val="en-US"/>
                                  </w:rPr>
                                </w:pPr>
                              </w:p>
                              <w:p w14:paraId="69BE50B3" w14:textId="77777777" w:rsidR="00B56753" w:rsidRPr="00666D6C" w:rsidRDefault="00B56753" w:rsidP="00666D6C">
                                <w:pPr>
                                  <w:pStyle w:val="NormalWeb"/>
                                  <w:spacing w:before="0" w:beforeAutospacing="0" w:after="0" w:afterAutospacing="0" w:line="240" w:lineRule="atLeast"/>
                                  <w:jc w:val="center"/>
                                  <w:rPr>
                                    <w:sz w:val="28"/>
                                    <w:lang w:val="en-US"/>
                                  </w:rPr>
                                </w:pPr>
                                <w:r w:rsidRPr="00666D6C">
                                  <w:rPr>
                                    <w:rFonts w:ascii="Garamond"/>
                                    <w:szCs w:val="22"/>
                                    <w:u w:color="000000"/>
                                    <w:lang w:val="en-US"/>
                                  </w:rPr>
                                  <w:t>company</w:t>
                                </w:r>
                                <w:r w:rsidRPr="00666D6C">
                                  <w:rPr>
                                    <w:rFonts w:hAnsi="Garamond"/>
                                    <w:szCs w:val="22"/>
                                    <w:u w:color="000000"/>
                                    <w:lang w:val="en-US"/>
                                  </w:rPr>
                                  <w:t>’</w:t>
                                </w:r>
                                <w:r w:rsidRPr="00666D6C">
                                  <w:rPr>
                                    <w:rFonts w:ascii="Garamond"/>
                                    <w:szCs w:val="22"/>
                                    <w:u w:color="000000"/>
                                    <w:lang w:val="en-US"/>
                                  </w:rPr>
                                  <w:t>s typical daily processes that generate income</w:t>
                                </w:r>
                              </w:p>
                            </w:txbxContent>
                          </wps:txbx>
                          <wps:bodyPr wrap="square" lIns="0" tIns="0" rIns="0" bIns="0" numCol="1" anchor="ctr">
                            <a:noAutofit/>
                          </wps:bodyPr>
                        </wps:wsp>
                      </wpg:grpSp>
                      <wpg:grpSp>
                        <wpg:cNvPr id="1073741876" name="Group 1073741845"/>
                        <wpg:cNvGrpSpPr/>
                        <wpg:grpSpPr>
                          <a:xfrm>
                            <a:off x="228725" y="483400"/>
                            <a:ext cx="1385070" cy="282061"/>
                            <a:chOff x="-1" y="0"/>
                            <a:chExt cx="1385069" cy="282059"/>
                          </a:xfrm>
                        </wpg:grpSpPr>
                        <wps:wsp>
                          <wps:cNvPr id="1073741877" name="Shape 1073741843"/>
                          <wps:cNvSpPr/>
                          <wps:spPr>
                            <a:xfrm>
                              <a:off x="-2" y="0"/>
                              <a:ext cx="1385071" cy="282060"/>
                            </a:xfrm>
                            <a:prstGeom prst="rect">
                              <a:avLst/>
                            </a:prstGeom>
                            <a:solidFill>
                              <a:srgbClr val="D9D9D9"/>
                            </a:solidFill>
                            <a:ln w="12700" cap="flat">
                              <a:noFill/>
                              <a:miter lim="400000"/>
                            </a:ln>
                            <a:effectLst/>
                          </wps:spPr>
                          <wps:bodyPr/>
                        </wps:wsp>
                        <wps:wsp>
                          <wps:cNvPr id="1073741878" name="Shape 1073741844"/>
                          <wps:cNvSpPr/>
                          <wps:spPr>
                            <a:xfrm>
                              <a:off x="-2" y="0"/>
                              <a:ext cx="1385071" cy="282060"/>
                            </a:xfrm>
                            <a:prstGeom prst="rect">
                              <a:avLst/>
                            </a:prstGeom>
                            <a:noFill/>
                            <a:ln w="12700" cap="flat">
                              <a:noFill/>
                              <a:miter lim="400000"/>
                            </a:ln>
                            <a:effectLst/>
                          </wps:spPr>
                          <wps:txbx>
                            <w:txbxContent>
                              <w:p w14:paraId="18E92548" w14:textId="77777777" w:rsidR="00B56753" w:rsidRPr="00666D6C" w:rsidRDefault="00B56753" w:rsidP="003C51B1">
                                <w:pPr>
                                  <w:pStyle w:val="NormalWeb"/>
                                  <w:spacing w:before="0" w:after="0"/>
                                  <w:jc w:val="center"/>
                                  <w:rPr>
                                    <w:sz w:val="28"/>
                                  </w:rPr>
                                </w:pPr>
                                <w:r w:rsidRPr="00666D6C">
                                  <w:rPr>
                                    <w:rFonts w:ascii="Garamond"/>
                                    <w:szCs w:val="22"/>
                                    <w:u w:color="000000"/>
                                    <w:lang w:val="en-US"/>
                                  </w:rPr>
                                  <w:t>Operating activity</w:t>
                                </w:r>
                              </w:p>
                            </w:txbxContent>
                          </wps:txbx>
                          <wps:bodyPr wrap="square" lIns="0" tIns="0" rIns="0" bIns="0" numCol="1" anchor="ctr">
                            <a:noAutofit/>
                          </wps:bodyPr>
                        </wps:wsp>
                      </wpg:grpSp>
                      <wpg:grpSp>
                        <wpg:cNvPr id="1073741879" name="Group 1073741848"/>
                        <wpg:cNvGrpSpPr/>
                        <wpg:grpSpPr>
                          <a:xfrm>
                            <a:off x="228720" y="1269981"/>
                            <a:ext cx="1385076" cy="313219"/>
                            <a:chOff x="-6" y="67838"/>
                            <a:chExt cx="1385075" cy="313218"/>
                          </a:xfrm>
                        </wpg:grpSpPr>
                        <wps:wsp>
                          <wps:cNvPr id="1073741880" name="Shape 1073741846"/>
                          <wps:cNvSpPr/>
                          <wps:spPr>
                            <a:xfrm>
                              <a:off x="600" y="67838"/>
                              <a:ext cx="1384469" cy="281961"/>
                            </a:xfrm>
                            <a:prstGeom prst="rect">
                              <a:avLst/>
                            </a:prstGeom>
                            <a:solidFill>
                              <a:srgbClr val="D9D9D9"/>
                            </a:solidFill>
                            <a:ln w="12700" cap="flat">
                              <a:noFill/>
                              <a:miter lim="400000"/>
                            </a:ln>
                            <a:effectLst/>
                          </wps:spPr>
                          <wps:bodyPr/>
                        </wps:wsp>
                        <wps:wsp>
                          <wps:cNvPr id="1073741881" name="Shape 1073741847"/>
                          <wps:cNvSpPr/>
                          <wps:spPr>
                            <a:xfrm>
                              <a:off x="-6" y="99094"/>
                              <a:ext cx="1384469" cy="281962"/>
                            </a:xfrm>
                            <a:prstGeom prst="rect">
                              <a:avLst/>
                            </a:prstGeom>
                            <a:noFill/>
                            <a:ln w="12700" cap="flat">
                              <a:noFill/>
                              <a:miter lim="400000"/>
                            </a:ln>
                            <a:effectLst/>
                          </wps:spPr>
                          <wps:txbx>
                            <w:txbxContent>
                              <w:p w14:paraId="3B3E3BA4" w14:textId="77777777" w:rsidR="00B56753" w:rsidRPr="00666D6C" w:rsidRDefault="00B56753" w:rsidP="003C51B1">
                                <w:pPr>
                                  <w:pStyle w:val="NormalWeb"/>
                                  <w:spacing w:before="0" w:after="0"/>
                                  <w:jc w:val="center"/>
                                  <w:rPr>
                                    <w:sz w:val="28"/>
                                  </w:rPr>
                                </w:pPr>
                                <w:r w:rsidRPr="00666D6C">
                                  <w:rPr>
                                    <w:rFonts w:ascii="Garamond"/>
                                    <w:szCs w:val="22"/>
                                    <w:u w:color="000000"/>
                                    <w:lang w:val="en-US"/>
                                  </w:rPr>
                                  <w:t>Core activity</w:t>
                                </w:r>
                              </w:p>
                            </w:txbxContent>
                          </wps:txbx>
                          <wps:bodyPr wrap="square" lIns="0" tIns="0" rIns="0" bIns="0" numCol="1" anchor="ctr">
                            <a:noAutofit/>
                          </wps:bodyPr>
                        </wps:wsp>
                      </wpg:grpSp>
                      <wpg:grpSp>
                        <wpg:cNvPr id="1073741882" name="Group 1073741851"/>
                        <wpg:cNvGrpSpPr/>
                        <wpg:grpSpPr>
                          <a:xfrm>
                            <a:off x="228720" y="2557568"/>
                            <a:ext cx="1384470" cy="281963"/>
                            <a:chOff x="-6" y="284308"/>
                            <a:chExt cx="1384469" cy="281962"/>
                          </a:xfrm>
                        </wpg:grpSpPr>
                        <wps:wsp>
                          <wps:cNvPr id="1073741883" name="Shape 1073741849"/>
                          <wps:cNvSpPr/>
                          <wps:spPr>
                            <a:xfrm>
                              <a:off x="-6" y="284308"/>
                              <a:ext cx="1384469" cy="281962"/>
                            </a:xfrm>
                            <a:prstGeom prst="rect">
                              <a:avLst/>
                            </a:prstGeom>
                            <a:solidFill>
                              <a:srgbClr val="D9D9D9"/>
                            </a:solidFill>
                            <a:ln w="12700" cap="flat">
                              <a:noFill/>
                              <a:miter lim="400000"/>
                            </a:ln>
                            <a:effectLst/>
                          </wps:spPr>
                          <wps:bodyPr/>
                        </wps:wsp>
                        <wps:wsp>
                          <wps:cNvPr id="1073741884" name="Shape 1073741850"/>
                          <wps:cNvSpPr/>
                          <wps:spPr>
                            <a:xfrm>
                              <a:off x="-6" y="325796"/>
                              <a:ext cx="1384469" cy="219327"/>
                            </a:xfrm>
                            <a:prstGeom prst="rect">
                              <a:avLst/>
                            </a:prstGeom>
                            <a:noFill/>
                            <a:ln w="12700" cap="flat">
                              <a:noFill/>
                              <a:miter lim="400000"/>
                            </a:ln>
                            <a:effectLst/>
                          </wps:spPr>
                          <wps:txbx>
                            <w:txbxContent>
                              <w:p w14:paraId="020F325F" w14:textId="77777777" w:rsidR="00B56753" w:rsidRDefault="00B56753" w:rsidP="003C51B1">
                                <w:pPr>
                                  <w:pStyle w:val="NormalWeb"/>
                                  <w:spacing w:before="0" w:after="0"/>
                                  <w:jc w:val="center"/>
                                </w:pPr>
                                <w:r>
                                  <w:rPr>
                                    <w:rFonts w:ascii="Garamond"/>
                                    <w:sz w:val="22"/>
                                    <w:szCs w:val="22"/>
                                    <w:u w:color="000000"/>
                                    <w:lang w:val="en-US"/>
                                  </w:rPr>
                                  <w:t>Other operating activity</w:t>
                                </w:r>
                              </w:p>
                            </w:txbxContent>
                          </wps:txbx>
                          <wps:bodyPr wrap="square" lIns="0" tIns="0" rIns="0" bIns="0" numCol="1" anchor="ctr">
                            <a:noAutofit/>
                          </wps:bodyPr>
                        </wps:wsp>
                      </wpg:grpSp>
                      <wpg:grpSp>
                        <wpg:cNvPr id="1073741885" name="Group 1073741854"/>
                        <wpg:cNvGrpSpPr/>
                        <wpg:grpSpPr>
                          <a:xfrm>
                            <a:off x="3915965" y="482598"/>
                            <a:ext cx="1384469" cy="281962"/>
                            <a:chOff x="0" y="-1"/>
                            <a:chExt cx="1384468" cy="281961"/>
                          </a:xfrm>
                        </wpg:grpSpPr>
                        <wps:wsp>
                          <wps:cNvPr id="1073741886" name="Shape 1073741852"/>
                          <wps:cNvSpPr/>
                          <wps:spPr>
                            <a:xfrm>
                              <a:off x="0" y="-2"/>
                              <a:ext cx="1384469" cy="281962"/>
                            </a:xfrm>
                            <a:prstGeom prst="rect">
                              <a:avLst/>
                            </a:prstGeom>
                            <a:solidFill>
                              <a:srgbClr val="D9D9D9"/>
                            </a:solidFill>
                            <a:ln w="12700" cap="flat">
                              <a:noFill/>
                              <a:miter lim="400000"/>
                            </a:ln>
                            <a:effectLst/>
                          </wps:spPr>
                          <wps:bodyPr/>
                        </wps:wsp>
                        <wps:wsp>
                          <wps:cNvPr id="1073741887" name="Shape 1073741853"/>
                          <wps:cNvSpPr/>
                          <wps:spPr>
                            <a:xfrm>
                              <a:off x="0" y="-2"/>
                              <a:ext cx="1384469" cy="281962"/>
                            </a:xfrm>
                            <a:prstGeom prst="rect">
                              <a:avLst/>
                            </a:prstGeom>
                            <a:noFill/>
                            <a:ln w="12700" cap="flat">
                              <a:noFill/>
                              <a:miter lim="400000"/>
                            </a:ln>
                            <a:effectLst/>
                          </wps:spPr>
                          <wps:txbx>
                            <w:txbxContent>
                              <w:p w14:paraId="18A10154" w14:textId="77777777" w:rsidR="00B56753" w:rsidRPr="00666D6C" w:rsidRDefault="00B56753" w:rsidP="003C51B1">
                                <w:pPr>
                                  <w:pStyle w:val="NormalWeb"/>
                                  <w:spacing w:before="0" w:after="0"/>
                                  <w:jc w:val="center"/>
                                  <w:rPr>
                                    <w:sz w:val="28"/>
                                  </w:rPr>
                                </w:pPr>
                                <w:r w:rsidRPr="00666D6C">
                                  <w:rPr>
                                    <w:rFonts w:ascii="Garamond"/>
                                    <w:szCs w:val="22"/>
                                    <w:u w:color="000000"/>
                                    <w:lang w:val="en-US"/>
                                  </w:rPr>
                                  <w:t>Other activity</w:t>
                                </w:r>
                              </w:p>
                            </w:txbxContent>
                          </wps:txbx>
                          <wps:bodyPr wrap="square" lIns="0" tIns="0" rIns="0" bIns="0" numCol="1" anchor="ctr">
                            <a:noAutofit/>
                          </wps:bodyPr>
                        </wps:wsp>
                      </wpg:grpSp>
                      <wpg:grpSp>
                        <wpg:cNvPr id="1073741888" name="Group 1073741857"/>
                        <wpg:cNvGrpSpPr/>
                        <wpg:grpSpPr>
                          <a:xfrm>
                            <a:off x="4012751" y="1338883"/>
                            <a:ext cx="1419198" cy="299189"/>
                            <a:chOff x="-35330" y="136738"/>
                            <a:chExt cx="1419197" cy="299187"/>
                          </a:xfrm>
                        </wpg:grpSpPr>
                        <wps:wsp>
                          <wps:cNvPr id="1073741889" name="Shape 1073741855"/>
                          <wps:cNvSpPr/>
                          <wps:spPr>
                            <a:xfrm>
                              <a:off x="-2" y="136738"/>
                              <a:ext cx="1383869" cy="281362"/>
                            </a:xfrm>
                            <a:prstGeom prst="rect">
                              <a:avLst/>
                            </a:prstGeom>
                            <a:solidFill>
                              <a:srgbClr val="D9D9D9"/>
                            </a:solidFill>
                            <a:ln w="12700" cap="flat">
                              <a:noFill/>
                              <a:miter lim="400000"/>
                            </a:ln>
                            <a:effectLst/>
                          </wps:spPr>
                          <wps:bodyPr/>
                        </wps:wsp>
                        <wps:wsp>
                          <wps:cNvPr id="1073741890" name="Shape 1073741856"/>
                          <wps:cNvSpPr/>
                          <wps:spPr>
                            <a:xfrm>
                              <a:off x="-35330" y="154563"/>
                              <a:ext cx="1383869" cy="281362"/>
                            </a:xfrm>
                            <a:prstGeom prst="rect">
                              <a:avLst/>
                            </a:prstGeom>
                            <a:noFill/>
                            <a:ln w="12700" cap="flat">
                              <a:noFill/>
                              <a:miter lim="400000"/>
                            </a:ln>
                            <a:effectLst/>
                          </wps:spPr>
                          <wps:txbx>
                            <w:txbxContent>
                              <w:p w14:paraId="26DDD5C4" w14:textId="77777777" w:rsidR="00B56753" w:rsidRPr="00666D6C" w:rsidRDefault="00B56753" w:rsidP="003C51B1">
                                <w:pPr>
                                  <w:pStyle w:val="NormalWeb"/>
                                  <w:spacing w:before="0" w:after="0"/>
                                  <w:jc w:val="center"/>
                                  <w:rPr>
                                    <w:sz w:val="28"/>
                                  </w:rPr>
                                </w:pPr>
                                <w:r w:rsidRPr="00666D6C">
                                  <w:rPr>
                                    <w:rFonts w:ascii="Garamond"/>
                                    <w:szCs w:val="22"/>
                                    <w:u w:color="000000"/>
                                    <w:lang w:val="en-US"/>
                                  </w:rPr>
                                  <w:t>Investing activity</w:t>
                                </w:r>
                              </w:p>
                            </w:txbxContent>
                          </wps:txbx>
                          <wps:bodyPr wrap="square" lIns="0" tIns="0" rIns="0" bIns="0" numCol="1" anchor="ctr">
                            <a:noAutofit/>
                          </wps:bodyPr>
                        </wps:wsp>
                      </wpg:grpSp>
                      <wpg:grpSp>
                        <wpg:cNvPr id="1073741891" name="Group 1073741860"/>
                        <wpg:cNvGrpSpPr/>
                        <wpg:grpSpPr>
                          <a:xfrm>
                            <a:off x="2857838" y="2714163"/>
                            <a:ext cx="2517007" cy="1107529"/>
                            <a:chOff x="-1301" y="296575"/>
                            <a:chExt cx="2517005" cy="1107527"/>
                          </a:xfrm>
                        </wpg:grpSpPr>
                        <wps:wsp>
                          <wps:cNvPr id="1073741892" name="Shape 1073741858"/>
                          <wps:cNvSpPr/>
                          <wps:spPr>
                            <a:xfrm>
                              <a:off x="-1301" y="296575"/>
                              <a:ext cx="2517005" cy="1107527"/>
                            </a:xfrm>
                            <a:prstGeom prst="roundRect">
                              <a:avLst>
                                <a:gd name="adj" fmla="val 16667"/>
                              </a:avLst>
                            </a:prstGeom>
                            <a:noFill/>
                            <a:ln w="9525" cap="flat">
                              <a:solidFill>
                                <a:srgbClr val="000000"/>
                              </a:solidFill>
                              <a:prstDash val="solid"/>
                              <a:round/>
                            </a:ln>
                            <a:effectLst/>
                          </wps:spPr>
                          <wps:bodyPr/>
                        </wps:wsp>
                        <wps:wsp>
                          <wps:cNvPr id="1073741893" name="Shape 1073741859"/>
                          <wps:cNvSpPr/>
                          <wps:spPr>
                            <a:xfrm>
                              <a:off x="106785" y="394935"/>
                              <a:ext cx="2408916" cy="999441"/>
                            </a:xfrm>
                            <a:prstGeom prst="rect">
                              <a:avLst/>
                            </a:prstGeom>
                            <a:noFill/>
                            <a:ln w="12700" cap="flat">
                              <a:noFill/>
                              <a:miter lim="400000"/>
                            </a:ln>
                            <a:effectLst/>
                          </wps:spPr>
                          <wps:txbx>
                            <w:txbxContent>
                              <w:p w14:paraId="7245B54E" w14:textId="77777777" w:rsidR="00B56753" w:rsidRPr="00A31BBA" w:rsidRDefault="00B56753" w:rsidP="003C51B1">
                                <w:pPr>
                                  <w:pStyle w:val="NormalWeb"/>
                                  <w:spacing w:before="0" w:after="0"/>
                                  <w:jc w:val="center"/>
                                  <w:rPr>
                                    <w:sz w:val="28"/>
                                    <w:lang w:val="en-US"/>
                                  </w:rPr>
                                </w:pPr>
                                <w:r w:rsidRPr="00A31BBA">
                                  <w:rPr>
                                    <w:rFonts w:hAnsi="Garamond"/>
                                    <w:szCs w:val="22"/>
                                    <w:u w:color="000000"/>
                                    <w:lang w:val="en-US"/>
                                  </w:rPr>
                                  <w:t> </w:t>
                                </w:r>
                                <w:r w:rsidRPr="00A31BBA">
                                  <w:rPr>
                                    <w:rFonts w:ascii="Garamond"/>
                                    <w:szCs w:val="22"/>
                                    <w:u w:color="000000"/>
                                    <w:lang w:val="en-US"/>
                                  </w:rPr>
                                  <w:t>include</w:t>
                                </w:r>
                                <w:r>
                                  <w:rPr>
                                    <w:rFonts w:ascii="Garamond"/>
                                    <w:szCs w:val="22"/>
                                    <w:u w:color="000000"/>
                                    <w:lang w:val="en-US"/>
                                  </w:rPr>
                                  <w:t>s</w:t>
                                </w:r>
                                <w:r w:rsidRPr="00A31BBA">
                                  <w:rPr>
                                    <w:rFonts w:ascii="Garamond"/>
                                    <w:szCs w:val="22"/>
                                    <w:u w:color="000000"/>
                                    <w:lang w:val="en-US"/>
                                  </w:rPr>
                                  <w:t xml:space="preserve"> cash flows from creditors</w:t>
                                </w:r>
                                <w:r>
                                  <w:rPr>
                                    <w:rFonts w:ascii="Garamond"/>
                                    <w:szCs w:val="22"/>
                                    <w:u w:color="000000"/>
                                    <w:lang w:val="en-US"/>
                                  </w:rPr>
                                  <w:t>,</w:t>
                                </w:r>
                                <w:r w:rsidRPr="00A31BBA">
                                  <w:rPr>
                                    <w:rFonts w:ascii="Garamond"/>
                                    <w:szCs w:val="22"/>
                                    <w:u w:color="000000"/>
                                    <w:lang w:val="en-US"/>
                                  </w:rPr>
                                  <w:t xml:space="preserve"> usually consist</w:t>
                                </w:r>
                                <w:r>
                                  <w:rPr>
                                    <w:rFonts w:ascii="Garamond"/>
                                    <w:szCs w:val="22"/>
                                    <w:u w:color="000000"/>
                                    <w:lang w:val="en-US"/>
                                  </w:rPr>
                                  <w:t>s</w:t>
                                </w:r>
                                <w:r w:rsidRPr="00A31BBA">
                                  <w:rPr>
                                    <w:rFonts w:ascii="Garamond"/>
                                    <w:szCs w:val="22"/>
                                    <w:u w:color="000000"/>
                                    <w:lang w:val="en-US"/>
                                  </w:rPr>
                                  <w:t xml:space="preserve"> of new loans issued to the company; issuances of bonds and cash inflows from investors occur from newly issued stock or contributions from partners</w:t>
                                </w:r>
                              </w:p>
                            </w:txbxContent>
                          </wps:txbx>
                          <wps:bodyPr wrap="square" lIns="0" tIns="0" rIns="0" bIns="0" numCol="1" anchor="ctr">
                            <a:noAutofit/>
                          </wps:bodyPr>
                        </wps:wsp>
                      </wpg:grpSp>
                      <wpg:grpSp>
                        <wpg:cNvPr id="1073741894" name="Group 1073741863"/>
                        <wpg:cNvGrpSpPr/>
                        <wpg:grpSpPr>
                          <a:xfrm>
                            <a:off x="4060333" y="2557527"/>
                            <a:ext cx="1383343" cy="280763"/>
                            <a:chOff x="12252" y="279267"/>
                            <a:chExt cx="1383342" cy="280762"/>
                          </a:xfrm>
                        </wpg:grpSpPr>
                        <wps:wsp>
                          <wps:cNvPr id="1073741895" name="Shape 1073741861"/>
                          <wps:cNvSpPr/>
                          <wps:spPr>
                            <a:xfrm>
                              <a:off x="12323" y="279267"/>
                              <a:ext cx="1383271" cy="280762"/>
                            </a:xfrm>
                            <a:prstGeom prst="rect">
                              <a:avLst/>
                            </a:prstGeom>
                            <a:solidFill>
                              <a:srgbClr val="D9D9D9"/>
                            </a:solidFill>
                            <a:ln w="12700" cap="flat">
                              <a:noFill/>
                              <a:miter lim="400000"/>
                            </a:ln>
                            <a:effectLst/>
                          </wps:spPr>
                          <wps:bodyPr/>
                        </wps:wsp>
                        <wps:wsp>
                          <wps:cNvPr id="1073741896" name="Shape 1073741862"/>
                          <wps:cNvSpPr/>
                          <wps:spPr>
                            <a:xfrm>
                              <a:off x="12252" y="320419"/>
                              <a:ext cx="1383271" cy="216340"/>
                            </a:xfrm>
                            <a:prstGeom prst="rect">
                              <a:avLst/>
                            </a:prstGeom>
                            <a:noFill/>
                            <a:ln w="12700" cap="flat">
                              <a:noFill/>
                              <a:miter lim="400000"/>
                            </a:ln>
                            <a:effectLst/>
                          </wps:spPr>
                          <wps:txbx>
                            <w:txbxContent>
                              <w:p w14:paraId="559BA3A4" w14:textId="77777777" w:rsidR="00B56753" w:rsidRDefault="00B56753" w:rsidP="003C51B1">
                                <w:pPr>
                                  <w:pStyle w:val="NormalWeb"/>
                                  <w:spacing w:before="0" w:after="0"/>
                                  <w:jc w:val="center"/>
                                </w:pPr>
                                <w:r>
                                  <w:rPr>
                                    <w:rFonts w:ascii="Garamond"/>
                                    <w:sz w:val="22"/>
                                    <w:szCs w:val="22"/>
                                    <w:u w:color="000000"/>
                                    <w:lang w:val="en-US"/>
                                  </w:rPr>
                                  <w:t>Financing activity</w:t>
                                </w:r>
                              </w:p>
                            </w:txbxContent>
                          </wps:txbx>
                          <wps:bodyPr wrap="square" lIns="0" tIns="0" rIns="0" bIns="0" numCol="1" anchor="ctr">
                            <a:noAutofit/>
                          </wps:bodyPr>
                        </wps:wsp>
                      </wpg:grpSp>
                      <wps:wsp>
                        <wps:cNvPr id="1073741897" name="Shape 1073741864"/>
                        <wps:cNvSpPr/>
                        <wps:spPr>
                          <a:xfrm flipH="1">
                            <a:off x="1171639" y="179939"/>
                            <a:ext cx="876607" cy="301763"/>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cubicBezTo>
                                  <a:pt x="10742" y="0"/>
                                  <a:pt x="21484" y="5400"/>
                                  <a:pt x="21484" y="10800"/>
                                </a:cubicBezTo>
                                <a:cubicBezTo>
                                  <a:pt x="21484" y="16200"/>
                                  <a:pt x="21542" y="21600"/>
                                  <a:pt x="21600" y="21600"/>
                                </a:cubicBezTo>
                              </a:path>
                            </a:pathLst>
                          </a:custGeom>
                          <a:noFill/>
                          <a:ln w="9525" cap="flat">
                            <a:solidFill>
                              <a:srgbClr val="000000"/>
                            </a:solidFill>
                            <a:prstDash val="solid"/>
                            <a:round/>
                          </a:ln>
                          <a:effectLst/>
                        </wps:spPr>
                        <wps:bodyPr/>
                      </wps:wsp>
                      <wps:wsp>
                        <wps:cNvPr id="1073741898" name="Shape 1073741865"/>
                        <wps:cNvSpPr/>
                        <wps:spPr>
                          <a:xfrm>
                            <a:off x="3688638" y="161935"/>
                            <a:ext cx="876407" cy="301764"/>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cubicBezTo>
                                  <a:pt x="10742" y="0"/>
                                  <a:pt x="21484" y="5400"/>
                                  <a:pt x="21484" y="10800"/>
                                </a:cubicBezTo>
                                <a:cubicBezTo>
                                  <a:pt x="21484" y="16200"/>
                                  <a:pt x="21542" y="21600"/>
                                  <a:pt x="21600" y="21600"/>
                                </a:cubicBezTo>
                              </a:path>
                            </a:pathLst>
                          </a:custGeom>
                          <a:noFill/>
                          <a:ln w="9525" cap="flat">
                            <a:solidFill>
                              <a:srgbClr val="000000"/>
                            </a:solidFill>
                            <a:prstDash val="solid"/>
                            <a:round/>
                          </a:ln>
                          <a:effectLst/>
                        </wps:spPr>
                        <wps:bodyPr/>
                      </wps:wsp>
                      <wps:wsp>
                        <wps:cNvPr id="1073741899" name="Shape 1073741866"/>
                        <wps:cNvCnPr/>
                        <wps:spPr>
                          <a:xfrm flipH="1">
                            <a:off x="-1" y="626428"/>
                            <a:ext cx="228930" cy="3"/>
                          </a:xfrm>
                          <a:prstGeom prst="line">
                            <a:avLst/>
                          </a:prstGeom>
                          <a:noFill/>
                          <a:ln w="9525" cap="flat">
                            <a:solidFill>
                              <a:srgbClr val="000000"/>
                            </a:solidFill>
                            <a:prstDash val="solid"/>
                            <a:round/>
                          </a:ln>
                          <a:effectLst/>
                        </wps:spPr>
                        <wps:bodyPr/>
                      </wps:wsp>
                      <wps:wsp>
                        <wps:cNvPr id="1073741900" name="Shape 1073741867"/>
                        <wps:cNvCnPr/>
                        <wps:spPr>
                          <a:xfrm flipH="1">
                            <a:off x="-1" y="626245"/>
                            <a:ext cx="4" cy="2090467"/>
                          </a:xfrm>
                          <a:prstGeom prst="line">
                            <a:avLst/>
                          </a:prstGeom>
                          <a:noFill/>
                          <a:ln w="9525" cap="flat">
                            <a:solidFill>
                              <a:srgbClr val="000000"/>
                            </a:solidFill>
                            <a:prstDash val="solid"/>
                            <a:round/>
                          </a:ln>
                          <a:effectLst/>
                        </wps:spPr>
                        <wps:bodyPr/>
                      </wps:wsp>
                      <wps:wsp>
                        <wps:cNvPr id="1073741901" name="Shape 1073741868"/>
                        <wps:cNvCnPr/>
                        <wps:spPr>
                          <a:xfrm>
                            <a:off x="-1" y="1363445"/>
                            <a:ext cx="228730" cy="3"/>
                          </a:xfrm>
                          <a:prstGeom prst="line">
                            <a:avLst/>
                          </a:prstGeom>
                          <a:noFill/>
                          <a:ln w="9525" cap="flat">
                            <a:solidFill>
                              <a:srgbClr val="000000"/>
                            </a:solidFill>
                            <a:prstDash val="solid"/>
                            <a:round/>
                          </a:ln>
                          <a:effectLst/>
                        </wps:spPr>
                        <wps:bodyPr/>
                      </wps:wsp>
                      <wps:wsp>
                        <wps:cNvPr id="1073741902" name="Shape 1073741869"/>
                        <wps:cNvCnPr/>
                        <wps:spPr>
                          <a:xfrm>
                            <a:off x="199" y="2716967"/>
                            <a:ext cx="228730" cy="103"/>
                          </a:xfrm>
                          <a:prstGeom prst="line">
                            <a:avLst/>
                          </a:prstGeom>
                          <a:noFill/>
                          <a:ln w="9525" cap="flat">
                            <a:solidFill>
                              <a:srgbClr val="000000"/>
                            </a:solidFill>
                            <a:prstDash val="solid"/>
                            <a:round/>
                          </a:ln>
                          <a:effectLst/>
                        </wps:spPr>
                        <wps:bodyPr/>
                      </wps:wsp>
                      <wps:wsp>
                        <wps:cNvPr id="1073741903" name="Shape 1073741870"/>
                        <wps:cNvCnPr/>
                        <wps:spPr>
                          <a:xfrm>
                            <a:off x="5299829" y="575118"/>
                            <a:ext cx="359746" cy="3"/>
                          </a:xfrm>
                          <a:prstGeom prst="line">
                            <a:avLst/>
                          </a:prstGeom>
                          <a:noFill/>
                          <a:ln w="9525" cap="flat">
                            <a:solidFill>
                              <a:srgbClr val="000000"/>
                            </a:solidFill>
                            <a:prstDash val="solid"/>
                            <a:round/>
                          </a:ln>
                          <a:effectLst/>
                        </wps:spPr>
                        <wps:bodyPr/>
                      </wps:wsp>
                      <wps:wsp>
                        <wps:cNvPr id="1073741904" name="Shape 1073741871"/>
                        <wps:cNvCnPr/>
                        <wps:spPr>
                          <a:xfrm>
                            <a:off x="5668975" y="575535"/>
                            <a:ext cx="303" cy="2141141"/>
                          </a:xfrm>
                          <a:prstGeom prst="line">
                            <a:avLst/>
                          </a:prstGeom>
                          <a:noFill/>
                          <a:ln w="9525" cap="flat">
                            <a:solidFill>
                              <a:srgbClr val="000000"/>
                            </a:solidFill>
                            <a:prstDash val="solid"/>
                            <a:round/>
                          </a:ln>
                          <a:effectLst/>
                        </wps:spPr>
                        <wps:bodyPr/>
                      </wps:wsp>
                      <wps:wsp>
                        <wps:cNvPr id="1073741905" name="Shape 1073741872"/>
                        <wps:cNvCnPr/>
                        <wps:spPr>
                          <a:xfrm flipH="1">
                            <a:off x="5430945" y="1457563"/>
                            <a:ext cx="228630" cy="3"/>
                          </a:xfrm>
                          <a:prstGeom prst="line">
                            <a:avLst/>
                          </a:prstGeom>
                          <a:noFill/>
                          <a:ln w="9525" cap="flat">
                            <a:solidFill>
                              <a:srgbClr val="000000"/>
                            </a:solidFill>
                            <a:prstDash val="solid"/>
                            <a:round/>
                          </a:ln>
                          <a:effectLst/>
                        </wps:spPr>
                        <wps:bodyPr/>
                      </wps:wsp>
                      <wps:wsp>
                        <wps:cNvPr id="1073741906" name="Shape 1073741873"/>
                        <wps:cNvCnPr/>
                        <wps:spPr>
                          <a:xfrm flipH="1">
                            <a:off x="5431345" y="2715143"/>
                            <a:ext cx="228630" cy="3"/>
                          </a:xfrm>
                          <a:prstGeom prst="line">
                            <a:avLst/>
                          </a:prstGeom>
                          <a:noFill/>
                          <a:ln w="9525" cap="flat">
                            <a:solidFill>
                              <a:srgbClr val="000000"/>
                            </a:solidFill>
                            <a:prstDash val="solid"/>
                            <a:round/>
                          </a:ln>
                          <a:effectLst/>
                        </wps:spPr>
                        <wps:bodyPr/>
                      </wps:wsp>
                    </wpg:wgp>
                  </a:graphicData>
                </a:graphic>
              </wp:inline>
            </w:drawing>
          </mc:Choice>
          <mc:Fallback>
            <w:pict>
              <v:group id="officeArt object" o:spid="_x0000_s1149" style="width:446.4pt;height:315.35pt;mso-position-horizontal-relative:char;mso-position-vertical-relative:line" coordorigin="" coordsize="56692,38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">
                <v:group id="Group 1073741827" o:spid="_x0000_s1150" style="position:absolute;left:28426;top:14571;width:25162;height:9508" coordorigin="-159,1349" coordsize="25162,95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">
                  <v:roundrect id="Shape 1073741825" o:spid="_x0000_s1151" style="position:absolute;left:-159;top:1349;width:25161;height:950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969skA&#10;AADjAAAADwAAAGRycy9kb3ducmV2LnhtbERPX0/CMBB/N+E7NEfim3SgDJwUQkhMCE+CBrK3y3p2&#10;k/U62wrz21sTEx/v9/8Wq9624kI+NI4VjEcZCOLK6YaNgrfX57s5iBCRNbaOScE3BVgtBzcLLLS7&#10;8p4uh2hECuFQoII6xq6QMlQ1WQwj1xEn7t15izGd3kjt8ZrCbSsnWZZLiw2nhho72tRUnQ9fVkF5&#10;zCd+Wp54t9uU2z7vXszHp1Hqdtivn0BE6uO/+M+91Wl+NrufPYzn00f4/SkBIJ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P969skAAADjAAAADwAAAAAAAAAAAAAAAACYAgAA&#10;ZHJzL2Rvd25yZXYueG1sUEsFBgAAAAAEAAQA9QAAAI4DAAAAAA==&#10;" filled="f"/>
                  <v:rect id="Shape 1073741826" o:spid="_x0000_s1152" style="position:absolute;left:412;top:2361;width:24337;height:76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" filled="f" stroked="f" strokeweight="1pt">
                    <v:stroke miterlimit="4"/>
                    <v:textbox inset="0,0,0,0">
                      <w:txbxContent>
                        <w:p w:rsidR="00B56753" w:rsidRDefault="00B56753" w:rsidP="00A31BBA">
                          <w:pPr>
                            <w:pStyle w:val="afc"/>
                            <w:spacing w:before="0" w:beforeAutospacing="0" w:after="0" w:afterAutospacing="0" w:line="240" w:lineRule="atLeast"/>
                            <w:jc w:val="center"/>
                            <w:rPr>
                              <w:rFonts w:ascii="Garamond"/>
                              <w:szCs w:val="22"/>
                              <w:u w:color="000000"/>
                              <w:lang w:val="en-US"/>
                            </w:rPr>
                          </w:pPr>
                        </w:p>
                        <w:p w:rsidR="00B56753" w:rsidRPr="00666D6C" w:rsidRDefault="00B56753" w:rsidP="00A31BBA">
                          <w:pPr>
                            <w:pStyle w:val="afc"/>
                            <w:spacing w:before="0" w:beforeAutospacing="0" w:after="0" w:afterAutospacing="0" w:line="240" w:lineRule="atLeast"/>
                            <w:jc w:val="center"/>
                            <w:rPr>
                              <w:sz w:val="28"/>
                              <w:lang w:val="en-US"/>
                            </w:rPr>
                          </w:pPr>
                          <w:r w:rsidRPr="00666D6C">
                            <w:rPr>
                              <w:rFonts w:ascii="Garamond"/>
                              <w:szCs w:val="22"/>
                              <w:u w:color="000000"/>
                              <w:lang w:val="en-US"/>
                            </w:rPr>
                            <w:t>considered purchase and sale of fixed assets as well as financial investments that are not part of cash equivalents</w:t>
                          </w:r>
                        </w:p>
                      </w:txbxContent>
                    </v:textbox>
                  </v:rect>
                </v:group>
                <v:group id="Group 1073741830" o:spid="_x0000_s1153" style="position:absolute;left:28585;top:5754;width:23163;height:5588" coordorigin="" coordsize="23162,55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6972jIAAAA&#10;4wAAAA8AAAAAAAAAAAAAAAAAqgIAAGRycy9kb3ducmV2LnhtbFBLBQYAAAAABAAEAPoAAACfAwAA&#10;AAA=&#10;">
                  <v:roundrect id="Shape 1073741828" o:spid="_x0000_s1154" style="position:absolute;width:23162;height:558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ciOskA&#10;AADjAAAADwAAAGRycy9kb3ducmV2LnhtbERPX2vCMBB/H+w7hBP2NlO7rUo1yhAE8WlzY9K3o7ml&#10;nc2lJpl2334ZCHu83/9brAbbiTP50DpWMBlnIIhrp1s2Ct7fNvczECEia+wck4IfCrBa3t4ssNTu&#10;wq903kcjUgiHEhU0MfallKFuyGIYu544cZ/OW4zp9EZqj5cUbjuZZ1khLbacGhrsad1Qfdx/WwXV&#10;R5H7p+rAu9262g5F/2K+Tkapu9HwPAcRaYj/4qt7q9P8bPowfZzMihz+fkoAyO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DciOskAAADjAAAADwAAAAAAAAAAAAAAAACYAgAA&#10;ZHJzL2Rvd25yZXYueG1sUEsFBgAAAAAEAAQA9QAAAI4DAAAAAA==&#10;" filled="f"/>
                  <v:rect id="Shape 1073741829" o:spid="_x0000_s1155" style="position:absolute;left:238;top:238;width:22685;height:5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ghQskA&#10;AADjAAAADwAAAGRycy9kb3ducmV2LnhtbERPO0/DMBDekfofrENio04pTaNQt+IpdWFoYGi3wz7i&#10;lPgcxW4b+usxEhLjfe9brAbXiiP1ofGsYDLOQBBrbxquFby/vVwXIEJENth6JgXfFGC1HF0ssDT+&#10;xBs6VrEWKYRDiQpsjF0pZdCWHIax74gT9+l7hzGdfS1Nj6cU7lp5k2W5dNhwarDY0aMl/VUdnIKD&#10;1Vtd7Jrz7Kn4yJ9Ntdm/nh+Uuroc7u9ARBriv/jPvTZpfjafzm8nRT6F358SAHL5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7ghQskAAADjAAAADwAAAAAAAAAAAAAAAACYAgAA&#10;ZHJzL2Rvd25yZXYueG1sUEsFBgAAAAAEAAQA9QAAAI4DAAAAAA==&#10;" filled="f" stroked="f" strokeweight="1pt">
                    <v:stroke miterlimit="4"/>
                    <v:textbox inset="0,0,0,0">
                      <w:txbxContent>
                        <w:p w:rsidR="00B56753" w:rsidRDefault="00B56753" w:rsidP="00666D6C">
                          <w:pPr>
                            <w:pStyle w:val="afc"/>
                            <w:spacing w:before="0" w:beforeAutospacing="0" w:after="0" w:afterAutospacing="0" w:line="240" w:lineRule="atLeast"/>
                            <w:jc w:val="center"/>
                            <w:rPr>
                              <w:rFonts w:ascii="Garamond"/>
                              <w:szCs w:val="22"/>
                              <w:u w:color="000000"/>
                              <w:lang w:val="en-US"/>
                            </w:rPr>
                          </w:pPr>
                        </w:p>
                        <w:p w:rsidR="00B56753" w:rsidRPr="00666D6C" w:rsidRDefault="00B56753" w:rsidP="00666D6C">
                          <w:pPr>
                            <w:pStyle w:val="afc"/>
                            <w:spacing w:before="0" w:beforeAutospacing="0" w:after="0" w:afterAutospacing="0" w:line="240" w:lineRule="atLeast"/>
                            <w:jc w:val="center"/>
                            <w:rPr>
                              <w:sz w:val="28"/>
                              <w:lang w:val="en-US"/>
                            </w:rPr>
                          </w:pPr>
                          <w:r w:rsidRPr="00666D6C">
                            <w:rPr>
                              <w:rFonts w:ascii="Garamond"/>
                              <w:szCs w:val="22"/>
                              <w:u w:color="000000"/>
                              <w:lang w:val="en-US"/>
                            </w:rPr>
                            <w:t>investing or financial company</w:t>
                          </w:r>
                          <w:r w:rsidRPr="00666D6C">
                            <w:rPr>
                              <w:rFonts w:hAnsi="Garamond"/>
                              <w:szCs w:val="22"/>
                              <w:u w:color="000000"/>
                              <w:lang w:val="en-US"/>
                            </w:rPr>
                            <w:t>’</w:t>
                          </w:r>
                          <w:r w:rsidRPr="00666D6C">
                            <w:rPr>
                              <w:rFonts w:ascii="Garamond"/>
                              <w:szCs w:val="22"/>
                              <w:u w:color="000000"/>
                              <w:lang w:val="en-US"/>
                            </w:rPr>
                            <w:t>s activity</w:t>
                          </w:r>
                        </w:p>
                      </w:txbxContent>
                    </v:textbox>
                  </v:rect>
                </v:group>
                <v:group id="Group 1073741833" o:spid="_x0000_s1156" style="position:absolute;left:2951;top:26510;width:24893;height:11858" coordorigin="-117,2325" coordsize="24893,11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L7KTPDIAAAA&#10;4wAAAA8AAAAAAAAAAAAAAAAAqgIAAGRycy9kb3ducmV2LnhtbFBLBQYAAAAABAAEAPoAAACfAwAA&#10;AAA=&#10;">
                  <v:roundrect id="Shape 1073741831" o:spid="_x0000_s1157" style="position:absolute;left:-117;top:2325;width:24892;height:1185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66TsgA&#10;AADjAAAADwAAAGRycy9kb3ducmV2LnhtbERPX0vDMBB/F/wO4QTfXLrputE1GzIQxp50ykbfjuaW&#10;VptLTWJXv70RBB/v9//KzWg7MZAPrWMF00kGgrh2umWj4O316W4JIkRkjZ1jUvBNATbr66sSC+0u&#10;/ELDIRqRQjgUqKCJsS+kDHVDFsPE9cSJOztvMabTG6k9XlK47eQsy3JpseXU0GBP24bqj8OXVVAd&#10;85mfVyfe77fVbsz7Z/P+aZS6vRkfVyAijfFf/Ofe6TQ/W9wvHqbLfA6/PyUA5Po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3rpOyAAAAOMAAAAPAAAAAAAAAAAAAAAAAJgCAABk&#10;cnMvZG93bnJldi54bWxQSwUGAAAAAAQABAD1AAAAjQMAAAAA&#10;" filled="f"/>
                  <v:rect id="Shape 1073741832" o:spid="_x0000_s1158" style="position:absolute;left:540;top:2329;width:23812;height:118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C2skA&#10;AADjAAAADwAAAGRycy9kb3ducmV2LnhtbERPO2/CMBDeK/EfrEPqVhz6CFGKQX0hdWEgZaDb1b7G&#10;aeNzFBsI/Pq6UqWO971vvhxcKw7Uh8azgukkA0GsvWm4VrB9W10VIEJENth6JgUnCrBcjC7mWBp/&#10;5A0dqliLFMKhRAU2xq6UMmhLDsPEd8SJ+/S9w5jOvpamx2MKd628zrJcOmw4NVjs6MmS/q72TsHe&#10;6p0u3pvz3XPxkb+YavO1Pj8qdTkeHu5BRBriv/jP/WrS/Gx2M7udFnkOvz8lAOTi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8+C2skAAADjAAAADwAAAAAAAAAAAAAAAACYAgAA&#10;ZHJzL2Rvd25yZXYueG1sUEsFBgAAAAAEAAQA9QAAAI4DAAAAAA==&#10;" filled="f" stroked="f" strokeweight="1pt">
                    <v:stroke miterlimit="4"/>
                    <v:textbox inset="0,0,0,0">
                      <w:txbxContent>
                        <w:p w:rsidR="00B56753" w:rsidRDefault="00B56753" w:rsidP="00666D6C">
                          <w:pPr>
                            <w:pStyle w:val="afc"/>
                            <w:spacing w:before="0" w:beforeAutospacing="0" w:after="0" w:afterAutospacing="0" w:line="240" w:lineRule="atLeast"/>
                            <w:jc w:val="center"/>
                            <w:rPr>
                              <w:rFonts w:hAnsi="Garamond"/>
                              <w:szCs w:val="22"/>
                              <w:u w:color="000000"/>
                              <w:lang w:val="en-US"/>
                            </w:rPr>
                          </w:pPr>
                        </w:p>
                        <w:p w:rsidR="00B56753" w:rsidRPr="00666D6C" w:rsidRDefault="00B56753" w:rsidP="00666D6C">
                          <w:pPr>
                            <w:pStyle w:val="afc"/>
                            <w:spacing w:before="0" w:beforeAutospacing="0" w:after="0" w:afterAutospacing="0" w:line="240" w:lineRule="atLeast"/>
                            <w:jc w:val="center"/>
                            <w:rPr>
                              <w:sz w:val="28"/>
                              <w:lang w:val="en-US"/>
                            </w:rPr>
                          </w:pPr>
                          <w:r w:rsidRPr="00666D6C">
                            <w:rPr>
                              <w:rFonts w:hAnsi="Garamond"/>
                              <w:szCs w:val="22"/>
                              <w:u w:color="000000"/>
                              <w:lang w:val="en-US"/>
                            </w:rPr>
                            <w:t> </w:t>
                          </w:r>
                          <w:r w:rsidRPr="00666D6C">
                            <w:rPr>
                              <w:rFonts w:ascii="Garamond"/>
                              <w:szCs w:val="22"/>
                              <w:u w:color="000000"/>
                              <w:lang w:val="en-US"/>
                            </w:rPr>
                            <w:t>include</w:t>
                          </w:r>
                          <w:r>
                            <w:rPr>
                              <w:rFonts w:ascii="Garamond"/>
                              <w:szCs w:val="22"/>
                              <w:u w:color="000000"/>
                              <w:lang w:val="en-US"/>
                            </w:rPr>
                            <w:t>s</w:t>
                          </w:r>
                          <w:r w:rsidRPr="00666D6C">
                            <w:rPr>
                              <w:rFonts w:ascii="Garamond"/>
                              <w:szCs w:val="22"/>
                              <w:u w:color="000000"/>
                              <w:lang w:val="en-US"/>
                            </w:rPr>
                            <w:t xml:space="preserve"> sale of foreign currency, an operating lease of assets, positive exchange difference, obtained penalties, recoveries of amounts previously written-off assets, received subsidies, and other operations</w:t>
                          </w:r>
                        </w:p>
                      </w:txbxContent>
                    </v:textbox>
                  </v:rect>
                </v:group>
                <v:group id="Group 1073741836" o:spid="_x0000_s1159" style="position:absolute;left:2951;top:14575;width:24579;height:9504" coordorigin="-116,1348" coordsize="24578,95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E4Y0ofIAAAA&#10;4wAAAA8AAAAAAAAAAAAAAAAAqgIAAGRycy9kb3ducmV2LnhtbFBLBQYAAAAABAAEAPoAAACfAwAA&#10;AAA=&#10;">
                  <v:roundrect id="Shape 1073741834" o:spid="_x0000_s1160" style="position:absolute;left:-116;top:1348;width:24578;height:950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8V0MwA&#10;AADjAAAADwAAAGRycy9kb3ducmV2LnhtbESPQU/DMAyF70j8h8hI3Fi6Ad3ULZvQJKRpJxiIqTer&#10;MWmhcUoStvLv8QGJo/2e3/u82oy+VyeKqQtsYDopQBE3wXbsDLy+PN4sQKWMbLEPTAZ+KMFmfXmx&#10;wsqGMz/T6ZCdkhBOFRpocx4qrVPTksc0CQOxaO8heswyRqdtxLOE+17PiqLUHjuWhhYH2rbUfB6+&#10;vYH6rZzF+/rI+/223o3l8OQ+vpwx11fjwxJUpjH/m/+ud1bwi/nt/G66KAVafpIF6PUv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Gd8V0MwAAADjAAAADwAAAAAAAAAAAAAAAACY&#10;AgAAZHJzL2Rvd25yZXYueG1sUEsFBgAAAAAEAAQA9QAAAJEDAAAAAA==&#10;" filled="f"/>
                  <v:rect id="Shape 1073741835" o:spid="_x0000_s1161" style="position:absolute;left:239;top:2355;width:23753;height:84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AWqMkA&#10;AADjAAAADwAAAGRycy9kb3ducmV2LnhtbERPO0/DMBDekfofrENio055pGmoW/GUWBgaOrTbYR9x&#10;SnyOYrcN/fUYCYnxvvfNl4NrxYH60HhWMBlnIIi1Nw3XCtbvL5cFiBCRDbaeScE3BVguRmdzLI0/&#10;8ooOVaxFCuFQogIbY1dKGbQlh2HsO+LEffreYUxnX0vT4zGFu1ZeZVkuHTacGix29GhJf1V7p2Bv&#10;9UYX2+Z0+1R85M+mWu3eTg9KXZwP93cgIg3xX/znfjVpfja9nt5MinwGvz8lAOTi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lAWqMkAAADjAAAADwAAAAAAAAAAAAAAAACYAgAA&#10;ZHJzL2Rvd25yZXYueG1sUEsFBgAAAAAEAAQA9QAAAI4DAAAAAA==&#10;" filled="f" stroked="f" strokeweight="1pt">
                    <v:stroke miterlimit="4"/>
                    <v:textbox inset="0,0,0,0">
                      <w:txbxContent>
                        <w:p w:rsidR="00B56753" w:rsidRPr="00666D6C" w:rsidRDefault="00B56753" w:rsidP="00666D6C">
                          <w:pPr>
                            <w:pStyle w:val="afc"/>
                            <w:spacing w:before="0" w:beforeAutospacing="0" w:after="0" w:afterAutospacing="0" w:line="240" w:lineRule="atLeast"/>
                            <w:jc w:val="center"/>
                            <w:rPr>
                              <w:sz w:val="28"/>
                              <w:lang w:val="en-US"/>
                            </w:rPr>
                          </w:pPr>
                          <w:r w:rsidRPr="00666D6C">
                            <w:rPr>
                              <w:rFonts w:hAnsi="Garamond"/>
                              <w:szCs w:val="22"/>
                              <w:u w:color="000000"/>
                              <w:lang w:val="en-US"/>
                            </w:rPr>
                            <w:t> </w:t>
                          </w:r>
                          <w:r w:rsidRPr="00666D6C">
                            <w:rPr>
                              <w:rFonts w:ascii="Garamond"/>
                              <w:szCs w:val="22"/>
                              <w:u w:color="000000"/>
                              <w:lang w:val="en-US"/>
                            </w:rPr>
                            <w:t>company</w:t>
                          </w:r>
                          <w:r w:rsidRPr="00666D6C">
                            <w:rPr>
                              <w:rFonts w:hAnsi="Garamond"/>
                              <w:szCs w:val="22"/>
                              <w:u w:color="000000"/>
                              <w:lang w:val="en-US"/>
                            </w:rPr>
                            <w:t>’</w:t>
                          </w:r>
                          <w:r w:rsidRPr="00666D6C">
                            <w:rPr>
                              <w:rFonts w:ascii="Garamond"/>
                              <w:szCs w:val="22"/>
                              <w:u w:color="000000"/>
                              <w:lang w:val="en-US"/>
                            </w:rPr>
                            <w:t>s core business activities, such as manufacturing, distributing, marketing and selling a product or service or formation of portfolio investment</w:t>
                          </w:r>
                        </w:p>
                      </w:txbxContent>
                    </v:textbox>
                  </v:rect>
                </v:group>
                <v:group id="Group 1073741839" o:spid="_x0000_s1162" style="position:absolute;left:20482;width:16405;height:3205" coordorigin="" coordsize="16405,32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">
                  <v:shape id="Shape 1073741837" o:spid="_x0000_s1163" style="position:absolute;width:16404;height:3205;visibility:visible;mso-wrap-style:square;v-text-anchor:top" coordsize="19679,196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oqrsgA&#10;AADjAAAADwAAAGRycy9kb3ducmV2LnhtbERPX0vDMBB/F/wO4QTfXNpO2tAtG9tgoIKKc3s/mltb&#10;1lxKE7v67Y0g+Hi//7dcT7YTIw2+dawhnSUgiCtnWq41HD/3DwqED8gGO8ek4Zs8rFe3N0ssjbvy&#10;B42HUIsYwr5EDU0IfSmlrxqy6GeuJ47c2Q0WQzyHWpoBrzHcdjJLklxabDk2NNjTrqHqcviyGt5f&#10;a5mpcXt6Ph0zdXlpc7V5y7W+v5s2CxCBpvAv/nM/mTg/KebFY6qKFH5/igD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M+iquyAAAAOMAAAAPAAAAAAAAAAAAAAAAAJgCAABk&#10;cnMvZG93bnJldi54bWxQSwUGAAAAAAQABAD1AAAAjQMAAAAA&#10;" path="m16796,2882v3843,3842,3843,10072,,13914c12954,20639,6724,20639,2882,16796,-961,12954,-961,6724,2882,2882v3842,-3843,10072,-3843,13914,xe" strokeweight=".5pt">
                    <v:path arrowok="t" o:extrusionok="f" o:connecttype="custom" o:connectlocs="820258,160286;820258,160286;820258,160286;820258,160286" o:connectangles="0,90,180,270"/>
                  </v:shape>
                  <v:rect id="Shape 1073741838" o:spid="_x0000_s1164" style="position:absolute;left:2402;top:469;width:11601;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VccA&#10;AADjAAAADwAAAGRycy9kb3ducmV2LnhtbERPX2vCMBB/H/gdwg18m6k6VumMIoIovk3bsb0dzdmW&#10;NZfaRJt9+2Uw2OP9/t9yHUwr7tS7xrKC6SQBQVxa3XClID/vnhYgnEfW2FomBd/kYL0aPSwx03bg&#10;N7qffCViCLsMFdTed5mUrqzJoJvYjjhyF9sb9PHsK6l7HGK4aeUsSV6kwYZjQ40dbWsqv043oyBc&#10;fVEM53C84Hv+8ZlvNe2DVmr8GDavIDwF/y/+cx90nJ+k8/R5ukhn8PtTBEC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2BFXHAAAA4wAAAA8AAAAAAAAAAAAAAAAAmAIAAGRy&#10;cy9kb3ducmV2LnhtbFBLBQYAAAAABAAEAPUAAACMAwAAAAA=&#10;" filled="f" stroked="f" strokeweight="1pt">
                    <v:stroke miterlimit="4"/>
                    <v:textbox inset=".5mm,.5mm,.5mm,.5mm">
                      <w:txbxContent>
                        <w:p w:rsidR="00B56753" w:rsidRPr="00666D6C" w:rsidRDefault="00B56753" w:rsidP="003C51B1">
                          <w:pPr>
                            <w:pStyle w:val="Aff6"/>
                            <w:ind w:firstLine="0"/>
                            <w:jc w:val="center"/>
                            <w:rPr>
                              <w:sz w:val="24"/>
                            </w:rPr>
                          </w:pPr>
                          <w:r w:rsidRPr="00666D6C">
                            <w:rPr>
                              <w:rFonts w:ascii="Garamond"/>
                              <w:sz w:val="24"/>
                            </w:rPr>
                            <w:t>Business activity</w:t>
                          </w:r>
                        </w:p>
                      </w:txbxContent>
                    </v:textbox>
                  </v:rect>
                </v:group>
                <v:group id="Group 1073741842" o:spid="_x0000_s1165" style="position:absolute;left:3067;top:5749;width:24578;height:5594" coordorigin="" coordsize="24577,55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LT6QlnIAAAA&#10;4wAAAA8AAAAAAAAAAAAAAAAAqgIAAGRycy9kb3ducmV2LnhtbFBLBQYAAAAABAAEAPoAAACfAwAA&#10;AAA=&#10;">
                  <v:roundrect id="Shape 1073741840" o:spid="_x0000_s1166" style="position:absolute;width:24577;height:559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uJCMkA&#10;AADjAAAADwAAAGRycy9kb3ducmV2LnhtbERPX2vCMBB/H/gdwgl7m6nOtVKNMoSB+LS5sdG3oznT&#10;bs2lSzLtvr0RBnu83/9bbQbbiRP50DpWMJ1kIIhrp1s2Ct5en+4WIEJE1tg5JgW/FGCzHt2ssNTu&#10;zC90OkQjUgiHEhU0MfallKFuyGKYuJ44cUfnLcZ0eiO1x3MKt52cZVkuLbacGhrsadtQ/XX4sQqq&#10;93zmH6oP3u+31W7I+2fz+W2Uuh0Pj0sQkYb4L/5z73SanxX3xXy6KOZw/SkBIN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UuJCMkAAADjAAAADwAAAAAAAAAAAAAAAACYAgAA&#10;ZHJzL2Rvd25yZXYueG1sUEsFBgAAAAAEAAQA9QAAAI4DAAAAAA==&#10;" filled="f"/>
                  <v:rect id="Shape 1073741841" o:spid="_x0000_s1167" style="position:absolute;left:239;top:238;width:24099;height:53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SKcMkA&#10;AADjAAAADwAAAGRycy9kb3ducmV2LnhtbERPO0/DMBDekfofrENio06BNlGoW/GUWBgaGNrtsI84&#10;JT5HsduG/nqMVKnjfe+bLwfXij31ofGsYDLOQBBrbxquFXx+vF4XIEJENth6JgW/FGC5GF3MsTT+&#10;wCvaV7EWKYRDiQpsjF0pZdCWHIax74gT9+17hzGdfS1Nj4cU7lp5k2Uz6bDh1GCxoydL+qfaOQU7&#10;q9e62DTH6XPxNXsx1Wr7fnxU6upyeLgHEWmIZ/HJ/WbS/Cy/ze8mRT6F/58SAHLx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sSKcMkAAADjAAAADwAAAAAAAAAAAAAAAACYAgAA&#10;ZHJzL2Rvd25yZXYueG1sUEsFBgAAAAAEAAQA9QAAAI4DAAAAAA==&#10;" filled="f" stroked="f" strokeweight="1pt">
                    <v:stroke miterlimit="4"/>
                    <v:textbox inset="0,0,0,0">
                      <w:txbxContent>
                        <w:p w:rsidR="00B56753" w:rsidRDefault="00B56753" w:rsidP="00666D6C">
                          <w:pPr>
                            <w:pStyle w:val="afc"/>
                            <w:spacing w:before="0" w:beforeAutospacing="0" w:after="0" w:afterAutospacing="0" w:line="240" w:lineRule="atLeast"/>
                            <w:jc w:val="center"/>
                            <w:rPr>
                              <w:rFonts w:ascii="Garamond"/>
                              <w:szCs w:val="22"/>
                              <w:u w:color="000000"/>
                              <w:lang w:val="en-US"/>
                            </w:rPr>
                          </w:pPr>
                        </w:p>
                        <w:p w:rsidR="00B56753" w:rsidRPr="00666D6C" w:rsidRDefault="00B56753" w:rsidP="00666D6C">
                          <w:pPr>
                            <w:pStyle w:val="afc"/>
                            <w:spacing w:before="0" w:beforeAutospacing="0" w:after="0" w:afterAutospacing="0" w:line="240" w:lineRule="atLeast"/>
                            <w:jc w:val="center"/>
                            <w:rPr>
                              <w:sz w:val="28"/>
                              <w:lang w:val="en-US"/>
                            </w:rPr>
                          </w:pPr>
                          <w:r w:rsidRPr="00666D6C">
                            <w:rPr>
                              <w:rFonts w:ascii="Garamond"/>
                              <w:szCs w:val="22"/>
                              <w:u w:color="000000"/>
                              <w:lang w:val="en-US"/>
                            </w:rPr>
                            <w:t>company</w:t>
                          </w:r>
                          <w:r w:rsidRPr="00666D6C">
                            <w:rPr>
                              <w:rFonts w:hAnsi="Garamond"/>
                              <w:szCs w:val="22"/>
                              <w:u w:color="000000"/>
                              <w:lang w:val="en-US"/>
                            </w:rPr>
                            <w:t>’</w:t>
                          </w:r>
                          <w:r w:rsidRPr="00666D6C">
                            <w:rPr>
                              <w:rFonts w:ascii="Garamond"/>
                              <w:szCs w:val="22"/>
                              <w:u w:color="000000"/>
                              <w:lang w:val="en-US"/>
                            </w:rPr>
                            <w:t>s typical daily processes that generate income</w:t>
                          </w:r>
                        </w:p>
                      </w:txbxContent>
                    </v:textbox>
                  </v:rect>
                </v:group>
                <v:group id="Group 1073741845" o:spid="_x0000_s1168" style="position:absolute;left:2287;top:4834;width:13850;height:2820" coordorigin="" coordsize="13850,28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SN4cHIAAAA&#10;4wAAAA8AAAAAAAAAAAAAAAAAqgIAAGRycy9kb3ducmV2LnhtbFBLBQYAAAAABAAEAPoAAACfAwAA&#10;AAA=&#10;">
                  <v:rect id="Shape 1073741843" o:spid="_x0000_s1169" style="position:absolute;width:13850;height:2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aqQckA&#10;AADjAAAADwAAAGRycy9kb3ducmV2LnhtbERPX0vDMBB/F/Ydwgm+ubQ6zKjLxphMlFGGc4iPZ3O2&#10;Zc2la9KtfnsjCHu83/+bLQbbiBN1vnasIR0nIIgLZ2ouNezf17dTED4gG2wck4Yf8rCYj65mmBl3&#10;5jc67UIpYgj7DDVUIbSZlL6oyKIfu5Y4ct+usxji2ZXSdHiO4baRd0nyIC3WHBsqbGlVUXHY9VaD&#10;7/Ovbf75vMn74z59nTwp/KCN1jfXw/IRRKAhXMT/7hcT5yfqXk3SqVLw91MEQM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SaqQckAAADjAAAADwAAAAAAAAAAAAAAAACYAgAA&#10;ZHJzL2Rvd25yZXYueG1sUEsFBgAAAAAEAAQA9QAAAI4DAAAAAA==&#10;" fillcolor="#d9d9d9" stroked="f" strokeweight="1pt">
                    <v:stroke miterlimit="4"/>
                  </v:rect>
                  <v:rect id="Shape 1073741844" o:spid="_x0000_s1170" style="position:absolute;width:13850;height:28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" filled="f" stroked="f" strokeweight="1pt">
                    <v:stroke miterlimit="4"/>
                    <v:textbox inset="0,0,0,0">
                      <w:txbxContent>
                        <w:p w:rsidR="00B56753" w:rsidRPr="00666D6C" w:rsidRDefault="00B56753" w:rsidP="003C51B1">
                          <w:pPr>
                            <w:pStyle w:val="afc"/>
                            <w:spacing w:before="0" w:after="0"/>
                            <w:jc w:val="center"/>
                            <w:rPr>
                              <w:sz w:val="28"/>
                            </w:rPr>
                          </w:pPr>
                          <w:r w:rsidRPr="00666D6C">
                            <w:rPr>
                              <w:rFonts w:ascii="Garamond"/>
                              <w:szCs w:val="22"/>
                              <w:u w:color="000000"/>
                              <w:lang w:val="en-US"/>
                            </w:rPr>
                            <w:t>Operating activity</w:t>
                          </w:r>
                        </w:p>
                      </w:txbxContent>
                    </v:textbox>
                  </v:rect>
                </v:group>
                <v:group id="Group 1073741848" o:spid="_x0000_s1171" style="position:absolute;left:2287;top:12699;width:13850;height:3133" coordorigin=",678" coordsize="13850,31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DVEnWzyQAA&#10;AOMAAAAPAAAAAAAAAAAAAAAAAKoCAABkcnMvZG93bnJldi54bWxQSwUGAAAAAAQABAD6AAAAoAMA&#10;AAAA&#10;">
                  <v:rect id="Shape 1073741846" o:spid="_x0000_s1172" style="position:absolute;left:6;top:678;width:13844;height:2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" fillcolor="#d9d9d9" stroked="f" strokeweight="1pt">
                    <v:stroke miterlimit="4"/>
                  </v:rect>
                  <v:rect id="Shape 1073741847" o:spid="_x0000_s1173" style="position:absolute;top:990;width:13844;height:28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r8VMkA&#10;AADjAAAADwAAAGRycy9kb3ducmV2LnhtbERPO0/DMBDekfgP1iGxUSc8WivUrXhKLB0aOpTtsI84&#10;EJ+j2G1Dfz1GQmK8733z5eg7sachtoE1lJMCBLEJtuVGw+b1+UKBiAnZYheYNHxThOXi9GSOlQ0H&#10;XtO+To3IIRwr1OBS6ispo3HkMU5CT5y5jzB4TPkcGmkHPORw38nLophKjy3nBoc9PTgyX/XOa9g5&#10;szXqrT3ePKr36ZOt15+r473W52fj3S2IRGP6F/+5X2yeX8yuZtelUiX8/pQBkI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Cr8VMkAAADjAAAADwAAAAAAAAAAAAAAAACYAgAA&#10;ZHJzL2Rvd25yZXYueG1sUEsFBgAAAAAEAAQA9QAAAI4DAAAAAA==&#10;" filled="f" stroked="f" strokeweight="1pt">
                    <v:stroke miterlimit="4"/>
                    <v:textbox inset="0,0,0,0">
                      <w:txbxContent>
                        <w:p w:rsidR="00B56753" w:rsidRPr="00666D6C" w:rsidRDefault="00B56753" w:rsidP="003C51B1">
                          <w:pPr>
                            <w:pStyle w:val="afc"/>
                            <w:spacing w:before="0" w:after="0"/>
                            <w:jc w:val="center"/>
                            <w:rPr>
                              <w:sz w:val="28"/>
                            </w:rPr>
                          </w:pPr>
                          <w:r w:rsidRPr="00666D6C">
                            <w:rPr>
                              <w:rFonts w:ascii="Garamond"/>
                              <w:szCs w:val="22"/>
                              <w:u w:color="000000"/>
                              <w:lang w:val="en-US"/>
                            </w:rPr>
                            <w:t>Core activity</w:t>
                          </w:r>
                        </w:p>
                      </w:txbxContent>
                    </v:textbox>
                  </v:rect>
                </v:group>
                <v:group id="Group 1073741851" o:spid="_x0000_s1174" style="position:absolute;left:2287;top:25575;width:13844;height:2820" coordorigin=",2843" coordsize="13844,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O5jl+XIAAAA&#10;4wAAAA8AAAAAAAAAAAAAAAAAqgIAAGRycy9kb3ducmV2LnhtbFBLBQYAAAAABAAEAPoAAACfAwAA&#10;AAA=&#10;">
                  <v:rect id="Shape 1073741849" o:spid="_x0000_s1175" style="position:absolute;top:2843;width:13844;height:2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jcZckA&#10;AADjAAAADwAAAGRycy9kb3ducmV2LnhtbERPX2vCMBB/H+w7hBvsbaZVsaUzylA2NqTInIw93ppb&#10;W9ZcapNq/fZmIOzxfv9vvhxMI47UudqygngUgSAurK65VLD/eH5IQTiPrLGxTArO5GC5uL2ZY6bt&#10;id/puPOlCCHsMlRQed9mUrqiIoNuZFviwP3YzqAPZ1dK3eEphJtGjqNoJg3WHBoqbGlVUfG7640C&#10;1+ff2/zrZZP3h338Nl0n+Ekbpe7vhqdHEJ4G/y++ul91mB8lk2Qap+kE/n4KAMjF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8jcZckAAADjAAAADwAAAAAAAAAAAAAAAACYAgAA&#10;ZHJzL2Rvd25yZXYueG1sUEsFBgAAAAAEAAQA9QAAAI4DAAAAAA==&#10;" fillcolor="#d9d9d9" stroked="f" strokeweight="1pt">
                    <v:stroke miterlimit="4"/>
                  </v:rect>
                  <v:rect id="Shape 1073741850" o:spid="_x0000_s1176" style="position:absolute;top:3257;width:13844;height:21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1fzMkA&#10;AADjAAAADwAAAGRycy9kb3ducmV2LnhtbERPS08CMRC+m/AfmiHxJl0UoVkpxGfixQOrB72N7bBd&#10;3E432wIrv96amHic7z3L9eBbcaA+NoE1TCcFCGITbMO1hrfXpwsFIiZki21g0vBNEdar0dkSSxuO&#10;vKFDlWqRQziWqMGl1JVSRuPIY5yEjjhz29B7TPnsa2l7POZw38rLophLjw3nBocd3TsyX9Xea9g7&#10;827UR3O6flCf80dbbXYvpzutz8fD7Q2IREP6F/+5n22eXyyuFrOpUjP4/SkDIF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F1fzMkAAADjAAAADwAAAAAAAAAAAAAAAACYAgAA&#10;ZHJzL2Rvd25yZXYueG1sUEsFBgAAAAAEAAQA9QAAAI4DAAAAAA==&#10;" filled="f" stroked="f" strokeweight="1pt">
                    <v:stroke miterlimit="4"/>
                    <v:textbox inset="0,0,0,0">
                      <w:txbxContent>
                        <w:p w:rsidR="00B56753" w:rsidRDefault="00B56753" w:rsidP="003C51B1">
                          <w:pPr>
                            <w:pStyle w:val="afc"/>
                            <w:spacing w:before="0" w:after="0"/>
                            <w:jc w:val="center"/>
                          </w:pPr>
                          <w:r>
                            <w:rPr>
                              <w:rFonts w:ascii="Garamond"/>
                              <w:sz w:val="22"/>
                              <w:szCs w:val="22"/>
                              <w:u w:color="000000"/>
                              <w:lang w:val="en-US"/>
                            </w:rPr>
                            <w:t>Other operating activity</w:t>
                          </w:r>
                        </w:p>
                      </w:txbxContent>
                    </v:textbox>
                  </v:rect>
                </v:group>
                <v:group id="Group 1073741854" o:spid="_x0000_s1177" style="position:absolute;left:39159;top:4825;width:13845;height:2820" coordorigin="" coordsize="13844,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GKD5HIAAAA&#10;4wAAAA8AAAAAAAAAAAAAAAAAqgIAAGRycy9kb3ducmV2LnhtbFBLBQYAAAAABAAEAPoAAACfAwAA&#10;AAA=&#10;">
                  <v:rect id="Shape 1073741852" o:spid="_x0000_s1178" style="position:absolute;width:13844;height:2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9//ckA&#10;AADjAAAADwAAAGRycy9kb3ducmV2LnhtbERPX2vCMBB/H+w7hBvsbaZ1YktnlKFsOKTInIw93ppb&#10;W9ZcapNq9+2NIOzxfv9vthhMI47UudqygngUgSAurK65VLD/eHlIQTiPrLGxTAr+yMFifnszw0zb&#10;E7/TcedLEULYZaig8r7NpHRFRQbdyLbEgfuxnUEfzq6UusNTCDeNHEfRVBqsOTRU2NKyouJ31xsF&#10;rs+/t/nX6ybvD/v4bbJK8JM2St3fDc9PIDwN/l98da91mB8lj8kkTtMpXH4KAMj5G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79//ckAAADjAAAADwAAAAAAAAAAAAAAAACYAgAA&#10;ZHJzL2Rvd25yZXYueG1sUEsFBgAAAAAEAAQA9QAAAI4DAAAAAA==&#10;" fillcolor="#d9d9d9" stroked="f" strokeweight="1pt">
                    <v:stroke miterlimit="4"/>
                  </v:rect>
                  <v:rect id="Shape 1073741853" o:spid="_x0000_s1179" style="position:absolute;width:13844;height:28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Bu8kA&#10;AADjAAAADwAAAGRycy9kb3ducmV2LnhtbERPO0/DMBDekfgP1iGxUac8GivUrXhKLB0aOpTtsI84&#10;EJ+j2G1Dfz1GQmK8733z5eg7sachtoE1TCcFCGITbMuNhs3r84UCEROyxS4wafimCMvF6ckcKxsO&#10;vKZ9nRqRQzhWqMGl1FdSRuPIY5yEnjhzH2HwmPI5NNIOeMjhvpOXRTGTHlvODQ57enBkvuqd17Bz&#10;ZmvUW3u8eVTvsydbrz9Xx3utz8/Gu1sQicb0L/5zv9g8vyivyuupUiX8/pQBkI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I/Bu8kAAADjAAAADwAAAAAAAAAAAAAAAACYAgAA&#10;ZHJzL2Rvd25yZXYueG1sUEsFBgAAAAAEAAQA9QAAAI4DAAAAAA==&#10;" filled="f" stroked="f" strokeweight="1pt">
                    <v:stroke miterlimit="4"/>
                    <v:textbox inset="0,0,0,0">
                      <w:txbxContent>
                        <w:p w:rsidR="00B56753" w:rsidRPr="00666D6C" w:rsidRDefault="00B56753" w:rsidP="003C51B1">
                          <w:pPr>
                            <w:pStyle w:val="afc"/>
                            <w:spacing w:before="0" w:after="0"/>
                            <w:jc w:val="center"/>
                            <w:rPr>
                              <w:sz w:val="28"/>
                            </w:rPr>
                          </w:pPr>
                          <w:r w:rsidRPr="00666D6C">
                            <w:rPr>
                              <w:rFonts w:ascii="Garamond"/>
                              <w:szCs w:val="22"/>
                              <w:u w:color="000000"/>
                              <w:lang w:val="en-US"/>
                            </w:rPr>
                            <w:t>Other activity</w:t>
                          </w:r>
                        </w:p>
                      </w:txbxContent>
                    </v:textbox>
                  </v:rect>
                </v:group>
                <v:group id="Group 1073741857" o:spid="_x0000_s1180" style="position:absolute;left:40127;top:13388;width:14192;height:2992" coordorigin="-353,1367" coordsize="14191,29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">
                  <v:rect id="Shape 1073741855" o:spid="_x0000_s1181" style="position:absolute;top:1367;width:13838;height:28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Drj8oA&#10;AADjAAAADwAAAGRycy9kb3ducmV2LnhtbERPX0vDMBB/F/Ydwg18c2l12NotG6Ioyihjc4iPt+bW&#10;ljWX2qRb/faLIPh4v/83Xw6mESfqXG1ZQTyJQBAXVtdcKth9vNykIJxH1thYJgU/5GC5GF3NMdP2&#10;zBs6bX0pQgi7DBVU3reZlK6oyKCb2JY4cAfbGfTh7EqpOzyHcNPI2yi6lwZrDg0VtvRUUXHc9kaB&#10;6/P9Ov96XeX99y5+nz4n+Ekrpa7Hw+MMhKfB/4v/3G86zI+Su2Qap+kD/P4UAJCLC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Ig64/KAAAA4wAAAA8AAAAAAAAAAAAAAAAAmAIA&#10;AGRycy9kb3ducmV2LnhtbFBLBQYAAAAABAAEAPUAAACPAwAAAAA=&#10;" fillcolor="#d9d9d9" stroked="f" strokeweight="1pt">
                    <v:stroke miterlimit="4"/>
                  </v:rect>
                  <v:rect id="Shape 1073741856" o:spid="_x0000_s1182" style="position:absolute;left:-353;top:1545;width:13838;height:28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" filled="f" stroked="f" strokeweight="1pt">
                    <v:stroke miterlimit="4"/>
                    <v:textbox inset="0,0,0,0">
                      <w:txbxContent>
                        <w:p w:rsidR="00B56753" w:rsidRPr="00666D6C" w:rsidRDefault="00B56753" w:rsidP="003C51B1">
                          <w:pPr>
                            <w:pStyle w:val="afc"/>
                            <w:spacing w:before="0" w:after="0"/>
                            <w:jc w:val="center"/>
                            <w:rPr>
                              <w:sz w:val="28"/>
                            </w:rPr>
                          </w:pPr>
                          <w:r w:rsidRPr="00666D6C">
                            <w:rPr>
                              <w:rFonts w:ascii="Garamond"/>
                              <w:szCs w:val="22"/>
                              <w:u w:color="000000"/>
                              <w:lang w:val="en-US"/>
                            </w:rPr>
                            <w:t>Investing activity</w:t>
                          </w:r>
                        </w:p>
                      </w:txbxContent>
                    </v:textbox>
                  </v:rect>
                </v:group>
                <v:group id="Group 1073741860" o:spid="_x0000_s1183" style="position:absolute;left:28578;top:27141;width:25170;height:11075" coordorigin="-13,2965" coordsize="25170,110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baJ9PyQAA&#10;AOMAAAAPAAAAAAAAAAAAAAAAAKoCAABkcnMvZG93bnJldi54bWxQSwUGAAAAAAQABAD6AAAAoAMA&#10;AAAA&#10;">
                  <v:roundrect id="Shape 1073741858" o:spid="_x0000_s1184" style="position:absolute;left:-13;top:2965;width:25170;height:1107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JSHckA&#10;AADjAAAADwAAAGRycy9kb3ducmV2LnhtbERPX0vDMBB/F/Ydwgm+uXRVu60uGzIQxp50E0ffjuZM&#10;65pLTeJWv70RhD3e7/8tVoPtxIl8aB0rmIwzEMS10y0bBW/759sZiBCRNXaOScEPBVgtR1cLLLU7&#10;8yuddtGIFMKhRAVNjH0pZagbshjGridO3IfzFmM6vZHa4zmF207mWVZIiy2nhgZ7WjdUH3ffVkH1&#10;XuT+oTrwdruuNkPRv5jPL6PUzfXw9Agi0hAv4n/3Rqf52fRuej+ZzXP4+ykBIJ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eJSHckAAADjAAAADwAAAAAAAAAAAAAAAACYAgAA&#10;ZHJzL2Rvd25yZXYueG1sUEsFBgAAAAAEAAQA9QAAAI4DAAAAAA==&#10;" filled="f"/>
                  <v:rect id="Shape 1073741859" o:spid="_x0000_s1185" style="position:absolute;left:1067;top:3949;width:24090;height:9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1RZcoA&#10;AADjAAAADwAAAGRycy9kb3ducmV2LnhtbERPS08CMRC+m/gfmjHxJl1EYFkpxBcJFw8sHPQ2tON2&#10;dTvdbAus/HprYuJxvvfMl71rxJG6UHtWMBxkIIi1NzVXCnbb1U0OIkRkg41nUvBNAZaLy4s5Fsaf&#10;eEPHMlYihXAoUIGNsS2kDNqSwzDwLXHiPnznMKazq6Tp8JTCXSNvs2wiHdacGiy29GRJf5UHp+Bg&#10;9ZvO3+vz+DnfT15Mufl8PT8qdX3VP9yDiNTHf/Gfe23S/Gw6mt4N89kIfn9KAMjF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JZtUWXKAAAA4wAAAA8AAAAAAAAAAAAAAAAAmAIA&#10;AGRycy9kb3ducmV2LnhtbFBLBQYAAAAABAAEAPUAAACPAwAAAAA=&#10;" filled="f" stroked="f" strokeweight="1pt">
                    <v:stroke miterlimit="4"/>
                    <v:textbox inset="0,0,0,0">
                      <w:txbxContent>
                        <w:p w:rsidR="00B56753" w:rsidRPr="00A31BBA" w:rsidRDefault="00B56753" w:rsidP="003C51B1">
                          <w:pPr>
                            <w:pStyle w:val="afc"/>
                            <w:spacing w:before="0" w:after="0"/>
                            <w:jc w:val="center"/>
                            <w:rPr>
                              <w:sz w:val="28"/>
                              <w:lang w:val="en-US"/>
                            </w:rPr>
                          </w:pPr>
                          <w:r w:rsidRPr="00A31BBA">
                            <w:rPr>
                              <w:rFonts w:hAnsi="Garamond"/>
                              <w:szCs w:val="22"/>
                              <w:u w:color="000000"/>
                              <w:lang w:val="en-US"/>
                            </w:rPr>
                            <w:t> </w:t>
                          </w:r>
                          <w:r w:rsidRPr="00A31BBA">
                            <w:rPr>
                              <w:rFonts w:ascii="Garamond"/>
                              <w:szCs w:val="22"/>
                              <w:u w:color="000000"/>
                              <w:lang w:val="en-US"/>
                            </w:rPr>
                            <w:t>include</w:t>
                          </w:r>
                          <w:r>
                            <w:rPr>
                              <w:rFonts w:ascii="Garamond"/>
                              <w:szCs w:val="22"/>
                              <w:u w:color="000000"/>
                              <w:lang w:val="en-US"/>
                            </w:rPr>
                            <w:t>s</w:t>
                          </w:r>
                          <w:r w:rsidRPr="00A31BBA">
                            <w:rPr>
                              <w:rFonts w:ascii="Garamond"/>
                              <w:szCs w:val="22"/>
                              <w:u w:color="000000"/>
                              <w:lang w:val="en-US"/>
                            </w:rPr>
                            <w:t xml:space="preserve"> cash flows from creditors</w:t>
                          </w:r>
                          <w:r>
                            <w:rPr>
                              <w:rFonts w:ascii="Garamond"/>
                              <w:szCs w:val="22"/>
                              <w:u w:color="000000"/>
                              <w:lang w:val="en-US"/>
                            </w:rPr>
                            <w:t>,</w:t>
                          </w:r>
                          <w:r w:rsidRPr="00A31BBA">
                            <w:rPr>
                              <w:rFonts w:ascii="Garamond"/>
                              <w:szCs w:val="22"/>
                              <w:u w:color="000000"/>
                              <w:lang w:val="en-US"/>
                            </w:rPr>
                            <w:t xml:space="preserve"> usually consist</w:t>
                          </w:r>
                          <w:r>
                            <w:rPr>
                              <w:rFonts w:ascii="Garamond"/>
                              <w:szCs w:val="22"/>
                              <w:u w:color="000000"/>
                              <w:lang w:val="en-US"/>
                            </w:rPr>
                            <w:t>s</w:t>
                          </w:r>
                          <w:r w:rsidRPr="00A31BBA">
                            <w:rPr>
                              <w:rFonts w:ascii="Garamond"/>
                              <w:szCs w:val="22"/>
                              <w:u w:color="000000"/>
                              <w:lang w:val="en-US"/>
                            </w:rPr>
                            <w:t xml:space="preserve"> of new loans issued to the company; issuances of bonds and cash inflows from investors occur from newly issued stock or contributions from partners</w:t>
                          </w:r>
                        </w:p>
                      </w:txbxContent>
                    </v:textbox>
                  </v:rect>
                </v:group>
                <v:group id="Group 1073741863" o:spid="_x0000_s1186" style="position:absolute;left:40603;top:25575;width:13833;height:2807" coordorigin="122,2792" coordsize="13833,28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IsfPNfIAAAA&#10;4wAAAA8AAAAAAAAAAAAAAAAAqgIAAGRycy9kb3ducmV2LnhtbFBLBQYAAAAABAAEAPoAAACfAwAA&#10;AAA=&#10;">
                  <v:rect id="Shape 1073741861" o:spid="_x0000_s1187" style="position:absolute;left:123;top:2792;width:13832;height:28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R3V8oA&#10;AADjAAAADwAAAGRycy9kb3ducmV2LnhtbERPS0vDQBC+C/6HZQRvdhNtTY3dllKxtJQgfSAex+yY&#10;BLOzMbtp47/vFgSP871nMutNLY7UusqygngQgSDOra64UHDYv96NQTiPrLG2TAp+ycFsen01wVTb&#10;E2/puPOFCCHsUlRQet+kUrq8JINuYBviwH3Z1qAPZ1tI3eIphJta3kfRozRYcWgosaFFSfn3rjMK&#10;XJd9vmUfy03W/Rzi9fAlwXfaKHV708+fQXjq/b/4z73SYX6UPCTDePw0gstPAQA5PQM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a0d1fKAAAA4wAAAA8AAAAAAAAAAAAAAAAAmAIA&#10;AGRycy9kb3ducmV2LnhtbFBLBQYAAAAABAAEAPUAAACPAwAAAAA=&#10;" fillcolor="#d9d9d9" stroked="f" strokeweight="1pt">
                    <v:stroke miterlimit="4"/>
                  </v:rect>
                  <v:rect id="Shape 1073741862" o:spid="_x0000_s1188" style="position:absolute;left:122;top:3204;width:13833;height:21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ry/ckA&#10;AADjAAAADwAAAGRycy9kb3ducmV2LnhtbERPO0/DMBDekfofrENio055pGmoW/GUWBgaOrTbYR9x&#10;SnyOYrcN/fUYCYnxvvfNl4NrxYH60HhWMBlnIIi1Nw3XCtbvL5cFiBCRDbaeScE3BVguRmdzLI0/&#10;8ooOVaxFCuFQogIbY1dKGbQlh2HsO+LEffreYUxnX0vT4zGFu1ZeZVkuHTacGix29GhJf1V7p2Bv&#10;9UYX2+Z0+1R85M+mWu3eTg9KXZwP93cgIg3xX/znfjVpfja9nt5MilkOvz8lAOTi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hry/ckAAADjAAAADwAAAAAAAAAAAAAAAACYAgAA&#10;ZHJzL2Rvd25yZXYueG1sUEsFBgAAAAAEAAQA9QAAAI4DAAAAAA==&#10;" filled="f" stroked="f" strokeweight="1pt">
                    <v:stroke miterlimit="4"/>
                    <v:textbox inset="0,0,0,0">
                      <w:txbxContent>
                        <w:p w:rsidR="00B56753" w:rsidRDefault="00B56753" w:rsidP="003C51B1">
                          <w:pPr>
                            <w:pStyle w:val="afc"/>
                            <w:spacing w:before="0" w:after="0"/>
                            <w:jc w:val="center"/>
                          </w:pPr>
                          <w:r>
                            <w:rPr>
                              <w:rFonts w:ascii="Garamond"/>
                              <w:sz w:val="22"/>
                              <w:szCs w:val="22"/>
                              <w:u w:color="000000"/>
                              <w:lang w:val="en-US"/>
                            </w:rPr>
                            <w:t>Financing activity</w:t>
                          </w:r>
                        </w:p>
                      </w:txbxContent>
                    </v:textbox>
                  </v:rect>
                </v:group>
                <v:shape id="Shape 1073741864" o:spid="_x0000_s1189" style="position:absolute;left:11716;top:1799;width:8766;height:3018;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" path="m,c10742,,21484,5400,21484,10800v,5400,58,10800,116,10800e" filled="f">
                  <v:path arrowok="t" o:extrusionok="f" o:connecttype="custom" o:connectlocs="438304,150882;438304,150882;438304,150882;438304,150882" o:connectangles="0,90,180,270"/>
                </v:shape>
                <v:shape id="Shape 1073741865" o:spid="_x0000_s1190" style="position:absolute;left:36886;top:1619;width:8764;height:3017;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nlI8cA&#10;AADjAAAADwAAAGRycy9kb3ducmV2LnhtbESPS0/DMAzH70h8h8hI3FgyhuhjyyZATOK6hwRHq/Ga&#10;QuNUTdjKt8cHJI62/4+fV5sp9OpMY+oiW5jPDCjiJrqOWwvHw/auBJUyssM+Mln4oQSb9fXVCmsX&#10;L7yj8z63SkI41WjB5zzUWqfGU8A0iwOx3E5xDJhlHFvtRrxIeOj1vTGPOmDH0uBxoBdPzdf+O0iv&#10;/8yvz67cfbxXxXZRGH+syFt7ezM9LUFlmvK/+M/95gTfFIviYV5WAi0/yQL0+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KJ5SPHAAAA4wAAAA8AAAAAAAAAAAAAAAAAmAIAAGRy&#10;cy9kb3ducmV2LnhtbFBLBQYAAAAABAAEAPUAAACMAwAAAAA=&#10;" path="m,c10742,,21484,5400,21484,10800v,5400,58,10800,116,10800e" filled="f">
                  <v:path arrowok="t" o:extrusionok="f" o:connecttype="custom" o:connectlocs="438204,150882;438204,150882;438204,150882;438204,150882" o:connectangles="0,90,180,270"/>
                </v:shape>
                <v:line id="Shape 1073741866" o:spid="_x0000_s1191" style="position:absolute;flip:x;visibility:visible;mso-wrap-style:square" from="0,6264" to="2289,6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MATn6ygAAAOMAAAAPAAAA&#10;AAAAAAAAAAAAAKECAABkcnMvZG93bnJldi54bWxQSwUGAAAAAAQABAD5AAAAmAMAAAAA&#10;"/>
                <v:line id="Shape 1073741867" o:spid="_x0000_s1192" style="position:absolute;flip:x;visibility:visible;mso-wrap-style:square" from="0,6262" to="0,271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"/>
                <v:line id="Shape 1073741868" o:spid="_x0000_s1193" style="position:absolute;visibility:visible;mso-wrap-style:square" from="0,13634" to="2287,13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K0E/vJAAAA4wAAAA8AAAAA&#10;AAAAAAAAAAAAoQIAAGRycy9kb3ducmV2LnhtbFBLBQYAAAAABAAEAPkAAACXAwAAAAA=&#10;"/>
                <v:line id="Shape 1073741869" o:spid="_x0000_s1194" style="position:absolute;visibility:visible;mso-wrap-style:square" from="1,27169" to="2289,27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CZo2MygAAAOMAAAAPAAAA&#10;AAAAAAAAAAAAAKECAABkcnMvZG93bnJldi54bWxQSwUGAAAAAAQABAD5AAAAmAMAAAAA&#10;"/>
                <v:line id="Shape 1073741870" o:spid="_x0000_s1195" style="position:absolute;visibility:visible;mso-wrap-style:square" from="52998,5751" to="56595,5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0qKBfJAAAA4wAAAA8AAAAA&#10;AAAAAAAAAAAAoQIAAGRycy9kb3ducmV2LnhtbFBLBQYAAAAABAAEAPkAAACXAwAAAAA=&#10;"/>
                <v:line id="Shape 1073741871" o:spid="_x0000_s1196" style="position:absolute;visibility:visible;mso-wrap-style:square" from="56689,5755" to="56692,271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iw7BjygAAAOMAAAAPAAAA&#10;AAAAAAAAAAAAAKECAABkcnMvZG93bnJldi54bWxQSwUGAAAAAAQABAD5AAAAmAMAAAAA&#10;"/>
                <v:line id="Shape 1073741872" o:spid="_x0000_s1197" style="position:absolute;flip:x;visibility:visible;mso-wrap-style:square" from="54309,14575" to="56595,14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NOnqeXJAAAA4wAAAA8AAAAA&#10;AAAAAAAAAAAAoQIAAGRycy9kb3ducmV2LnhtbFBLBQYAAAAABAAEAPkAAACXAwAAAAA=&#10;"/>
                <v:line id="Shape 1073741873" o:spid="_x0000_s1198" style="position:absolute;flip:x;visibility:visible;mso-wrap-style:square" from="54313,27151" to="56599,27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N1N5LJAAAA4wAAAA8AAAAA&#10;AAAAAAAAAAAAoQIAAGRycy9kb3ducmV2LnhtbFBLBQYAAAAABAAEAPkAAACXAwAAAAA=&#10;"/>
                <w10:anchorlock/>
              </v:group>
            </w:pict>
          </mc:Fallback>
        </mc:AlternateContent>
      </w:r>
    </w:p>
    <w:p w14:paraId="631650B2" w14:textId="77777777" w:rsidR="003C51B1" w:rsidRPr="00666D6C" w:rsidRDefault="00EC1B39" w:rsidP="003C51B1">
      <w:pPr>
        <w:pBdr>
          <w:top w:val="nil"/>
          <w:left w:val="nil"/>
          <w:bottom w:val="nil"/>
          <w:right w:val="nil"/>
          <w:between w:val="nil"/>
          <w:bar w:val="nil"/>
        </w:pBdr>
        <w:spacing w:line="312" w:lineRule="auto"/>
        <w:jc w:val="center"/>
        <w:rPr>
          <w:rFonts w:eastAsia="Garamond"/>
          <w:b/>
          <w:bCs/>
          <w:sz w:val="28"/>
          <w:szCs w:val="28"/>
          <w:u w:color="000000"/>
          <w:bdr w:val="nil"/>
          <w:lang w:val="en-US"/>
        </w:rPr>
      </w:pPr>
      <w:r>
        <w:rPr>
          <w:rFonts w:eastAsia="Calibri" w:cs="Calibri"/>
          <w:b/>
          <w:bCs/>
          <w:sz w:val="28"/>
          <w:szCs w:val="28"/>
          <w:u w:color="000000"/>
          <w:bdr w:val="nil"/>
          <w:lang w:val="en-US"/>
        </w:rPr>
        <w:t>Figure 7.1 –</w:t>
      </w:r>
      <w:r w:rsidR="003C51B1" w:rsidRPr="00666D6C">
        <w:rPr>
          <w:rFonts w:eastAsia="Calibri" w:cs="Calibri"/>
          <w:b/>
          <w:bCs/>
          <w:sz w:val="28"/>
          <w:szCs w:val="28"/>
          <w:u w:color="000000"/>
          <w:bdr w:val="nil"/>
          <w:lang w:val="en-US"/>
        </w:rPr>
        <w:t xml:space="preserve"> Bus</w:t>
      </w:r>
      <w:r w:rsidR="005C3EC1">
        <w:rPr>
          <w:rFonts w:eastAsia="Calibri" w:cs="Calibri"/>
          <w:b/>
          <w:bCs/>
          <w:sz w:val="28"/>
          <w:szCs w:val="28"/>
          <w:u w:color="000000"/>
          <w:bdr w:val="nil"/>
          <w:lang w:val="en-US"/>
        </w:rPr>
        <w:t>iness activities of the company</w:t>
      </w:r>
    </w:p>
    <w:p w14:paraId="6A22ADBB" w14:textId="77777777" w:rsidR="003C51B1" w:rsidRPr="00666D6C" w:rsidRDefault="003C51B1" w:rsidP="003C51B1">
      <w:pPr>
        <w:pBdr>
          <w:top w:val="nil"/>
          <w:left w:val="nil"/>
          <w:bottom w:val="nil"/>
          <w:right w:val="nil"/>
          <w:between w:val="nil"/>
          <w:bar w:val="nil"/>
        </w:pBdr>
        <w:spacing w:line="312" w:lineRule="auto"/>
        <w:ind w:firstLine="357"/>
        <w:jc w:val="both"/>
        <w:rPr>
          <w:rFonts w:eastAsia="Garamond"/>
          <w:sz w:val="28"/>
          <w:szCs w:val="28"/>
          <w:u w:color="000000"/>
          <w:bdr w:val="nil"/>
          <w:lang w:val="en-US"/>
        </w:rPr>
      </w:pPr>
    </w:p>
    <w:p w14:paraId="4F6FBC72" w14:textId="77777777" w:rsidR="00EC1B39" w:rsidRPr="00666D6C" w:rsidRDefault="00EC1B39"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More detailed information about company cash flow </w:t>
      </w:r>
      <w:r>
        <w:rPr>
          <w:rFonts w:eastAsia="Calibri" w:cs="Calibri"/>
          <w:sz w:val="28"/>
          <w:szCs w:val="28"/>
          <w:u w:color="000000"/>
          <w:bdr w:val="nil"/>
          <w:lang w:val="en-US"/>
        </w:rPr>
        <w:t>can</w:t>
      </w:r>
      <w:r w:rsidRPr="00666D6C">
        <w:rPr>
          <w:rFonts w:eastAsia="Calibri" w:cs="Calibri"/>
          <w:sz w:val="28"/>
          <w:szCs w:val="28"/>
          <w:u w:color="000000"/>
          <w:bdr w:val="nil"/>
          <w:lang w:val="en-US"/>
        </w:rPr>
        <w:t xml:space="preserve"> be found in the Consolidated Statement of Cash Flows that</w:t>
      </w:r>
      <w:r>
        <w:rPr>
          <w:rFonts w:eastAsia="Calibri" w:cs="Calibri"/>
          <w:sz w:val="28"/>
          <w:szCs w:val="28"/>
          <w:u w:color="000000"/>
          <w:bdr w:val="nil"/>
          <w:lang w:val="en-US"/>
        </w:rPr>
        <w:t xml:space="preserve"> is</w:t>
      </w:r>
      <w:r w:rsidRPr="00666D6C">
        <w:rPr>
          <w:rFonts w:eastAsia="Calibri" w:cs="Calibri"/>
          <w:sz w:val="28"/>
          <w:szCs w:val="28"/>
          <w:u w:color="000000"/>
          <w:bdr w:val="nil"/>
          <w:lang w:val="en-US"/>
        </w:rPr>
        <w:t xml:space="preserve"> regulated by IAS 7 Statement of Cash Flows. It requires a company to present a statement of cash flows as an integral part </w:t>
      </w:r>
      <w:r w:rsidRPr="00666D6C">
        <w:rPr>
          <w:rFonts w:eastAsia="Calibri" w:cs="Calibri"/>
          <w:sz w:val="28"/>
          <w:szCs w:val="28"/>
          <w:u w:color="000000"/>
          <w:bdr w:val="nil"/>
          <w:lang w:val="en-US"/>
        </w:rPr>
        <w:lastRenderedPageBreak/>
        <w:t xml:space="preserve">of its primary financial statements. Cash flows are classified and presented by operating activities (either using the </w:t>
      </w:r>
      <w:r>
        <w:rPr>
          <w:rFonts w:eastAsia="Calibri" w:cs="Calibri"/>
          <w:sz w:val="28"/>
          <w:szCs w:val="28"/>
          <w:u w:color="000000"/>
          <w:bdr w:val="nil"/>
          <w:lang w:val="en-US"/>
        </w:rPr>
        <w:t>“</w:t>
      </w:r>
      <w:r w:rsidRPr="00666D6C">
        <w:rPr>
          <w:rFonts w:eastAsia="Calibri" w:cs="Calibri"/>
          <w:sz w:val="28"/>
          <w:szCs w:val="28"/>
          <w:u w:color="000000"/>
          <w:bdr w:val="nil"/>
          <w:lang w:val="en-US"/>
        </w:rPr>
        <w:t>direct</w:t>
      </w:r>
      <w:r>
        <w:rPr>
          <w:rFonts w:eastAsia="Calibri" w:cs="Calibri"/>
          <w:sz w:val="28"/>
          <w:szCs w:val="28"/>
          <w:u w:color="000000"/>
          <w:bdr w:val="nil"/>
          <w:lang w:val="en-US"/>
        </w:rPr>
        <w:t>”</w:t>
      </w:r>
      <w:r w:rsidRPr="00666D6C">
        <w:rPr>
          <w:rFonts w:eastAsia="Calibri" w:cs="Calibri"/>
          <w:sz w:val="28"/>
          <w:szCs w:val="28"/>
          <w:u w:color="000000"/>
          <w:bdr w:val="nil"/>
          <w:lang w:val="en-US"/>
        </w:rPr>
        <w:t xml:space="preserve"> or </w:t>
      </w:r>
      <w:r>
        <w:rPr>
          <w:rFonts w:eastAsia="Calibri" w:cs="Calibri"/>
          <w:sz w:val="28"/>
          <w:szCs w:val="28"/>
          <w:u w:color="000000"/>
          <w:bdr w:val="nil"/>
          <w:lang w:val="en-US"/>
        </w:rPr>
        <w:t>“</w:t>
      </w:r>
      <w:r w:rsidRPr="00666D6C">
        <w:rPr>
          <w:rFonts w:eastAsia="Calibri" w:cs="Calibri"/>
          <w:sz w:val="28"/>
          <w:szCs w:val="28"/>
          <w:u w:color="000000"/>
          <w:bdr w:val="nil"/>
          <w:lang w:val="en-US"/>
        </w:rPr>
        <w:t>indirect</w:t>
      </w:r>
      <w:r>
        <w:rPr>
          <w:rFonts w:eastAsia="Calibri" w:cs="Calibri"/>
          <w:sz w:val="28"/>
          <w:szCs w:val="28"/>
          <w:u w:color="000000"/>
          <w:bdr w:val="nil"/>
          <w:lang w:val="en-US"/>
        </w:rPr>
        <w:t>”</w:t>
      </w:r>
      <w:r w:rsidRPr="00666D6C">
        <w:rPr>
          <w:rFonts w:eastAsia="Calibri" w:cs="Calibri"/>
          <w:sz w:val="28"/>
          <w:szCs w:val="28"/>
          <w:u w:color="000000"/>
          <w:bdr w:val="nil"/>
          <w:lang w:val="en-US"/>
        </w:rPr>
        <w:t xml:space="preserve"> method), investing activities or financing activities, with the latter two categories generally presented on a gross basis. To understand the above point, see 2014 Skandvik Consolidated statement of cash flows (real life application) is presented in Appendix </w:t>
      </w:r>
      <w:r>
        <w:rPr>
          <w:rFonts w:eastAsia="Calibri" w:cs="Calibri"/>
          <w:sz w:val="28"/>
          <w:szCs w:val="28"/>
          <w:u w:color="000000"/>
          <w:bdr w:val="nil"/>
          <w:lang w:val="en-US"/>
        </w:rPr>
        <w:t>A</w:t>
      </w:r>
      <w:r w:rsidRPr="00666D6C">
        <w:rPr>
          <w:rFonts w:eastAsia="Calibri" w:cs="Calibri"/>
          <w:sz w:val="28"/>
          <w:szCs w:val="28"/>
          <w:u w:color="000000"/>
          <w:bdr w:val="nil"/>
          <w:lang w:val="en-US"/>
        </w:rPr>
        <w:t xml:space="preserve"> </w:t>
      </w:r>
      <w:r>
        <w:rPr>
          <w:rFonts w:eastAsia="Calibri" w:cs="Calibri"/>
          <w:sz w:val="28"/>
          <w:szCs w:val="28"/>
          <w:u w:color="000000"/>
          <w:bdr w:val="nil"/>
          <w:lang w:val="en-US"/>
        </w:rPr>
        <w:t>(</w:t>
      </w:r>
      <w:r w:rsidR="003C1704">
        <w:rPr>
          <w:rFonts w:eastAsia="Calibri" w:cs="Calibri"/>
          <w:sz w:val="28"/>
          <w:szCs w:val="28"/>
          <w:u w:color="000000"/>
          <w:bdr w:val="nil"/>
          <w:lang w:val="en-US"/>
        </w:rPr>
        <w:t>T</w:t>
      </w:r>
      <w:r w:rsidRPr="00666D6C">
        <w:rPr>
          <w:rFonts w:eastAsia="Calibri" w:cs="Calibri"/>
          <w:sz w:val="28"/>
          <w:szCs w:val="28"/>
          <w:u w:color="000000"/>
          <w:bdr w:val="nil"/>
          <w:lang w:val="en-US"/>
        </w:rPr>
        <w:t xml:space="preserve">able </w:t>
      </w:r>
      <w:r>
        <w:rPr>
          <w:rFonts w:eastAsia="Calibri" w:cs="Calibri"/>
          <w:sz w:val="28"/>
          <w:szCs w:val="28"/>
          <w:u w:color="000000"/>
          <w:bdr w:val="nil"/>
          <w:lang w:val="en-US"/>
        </w:rPr>
        <w:t>A</w:t>
      </w:r>
      <w:r w:rsidRPr="00666D6C">
        <w:rPr>
          <w:rFonts w:eastAsia="Calibri" w:cs="Calibri"/>
          <w:sz w:val="28"/>
          <w:szCs w:val="28"/>
          <w:u w:color="000000"/>
          <w:bdr w:val="nil"/>
          <w:lang w:val="en-US"/>
        </w:rPr>
        <w:t>.2</w:t>
      </w:r>
      <w:r>
        <w:rPr>
          <w:rFonts w:eastAsia="Calibri" w:cs="Calibri"/>
          <w:sz w:val="28"/>
          <w:szCs w:val="28"/>
          <w:u w:color="000000"/>
          <w:bdr w:val="nil"/>
          <w:lang w:val="en-US"/>
        </w:rPr>
        <w:t>)</w:t>
      </w:r>
      <w:r w:rsidRPr="00666D6C">
        <w:rPr>
          <w:rFonts w:eastAsia="Calibri" w:cs="Calibri"/>
          <w:sz w:val="28"/>
          <w:szCs w:val="28"/>
          <w:u w:color="000000"/>
          <w:bdr w:val="nil"/>
          <w:lang w:val="en-US"/>
        </w:rPr>
        <w:t xml:space="preserve">.   </w:t>
      </w:r>
    </w:p>
    <w:p w14:paraId="0C9D2F45"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The definition of ordinary activities is very broad. The </w:t>
      </w:r>
      <w:r w:rsidRPr="00666D6C">
        <w:rPr>
          <w:rFonts w:eastAsia="Calibri" w:cs="Calibri"/>
          <w:b/>
          <w:bCs/>
          <w:sz w:val="28"/>
          <w:szCs w:val="28"/>
          <w:u w:color="000000"/>
          <w:bdr w:val="nil"/>
          <w:lang w:val="en-US"/>
        </w:rPr>
        <w:t>ordinary activity</w:t>
      </w:r>
      <w:r w:rsidRPr="00666D6C">
        <w:rPr>
          <w:rFonts w:eastAsia="Calibri" w:cs="Calibri"/>
          <w:sz w:val="28"/>
          <w:szCs w:val="28"/>
          <w:u w:color="000000"/>
          <w:bdr w:val="nil"/>
          <w:lang w:val="en-US"/>
        </w:rPr>
        <w:t xml:space="preserve"> is defined as the usua</w:t>
      </w:r>
      <w:r w:rsidR="00614217">
        <w:rPr>
          <w:rFonts w:eastAsia="Calibri" w:cs="Calibri"/>
          <w:sz w:val="28"/>
          <w:szCs w:val="28"/>
          <w:u w:color="000000"/>
          <w:bdr w:val="nil"/>
          <w:lang w:val="en-US"/>
        </w:rPr>
        <w:t>l trading of a company, that is</w:t>
      </w:r>
      <w:r w:rsidRPr="00666D6C">
        <w:rPr>
          <w:rFonts w:eastAsia="Calibri" w:cs="Calibri"/>
          <w:sz w:val="28"/>
          <w:szCs w:val="28"/>
          <w:u w:color="000000"/>
          <w:bdr w:val="nil"/>
          <w:lang w:val="en-US"/>
        </w:rPr>
        <w:t xml:space="preserve"> what the company usually does. Ordinary activities mean activities that are undertaken by a company as part of its business or to meet its objectives and related activities in which company engages in furtherance of, incidental to, or arising from activities undertaken to meet its objectives. Whether an item is clearly distinct from the ordinary activities of the company and is, therefore, an </w:t>
      </w:r>
      <w:r w:rsidRPr="00666D6C">
        <w:rPr>
          <w:rFonts w:eastAsia="Calibri" w:cs="Calibri"/>
          <w:b/>
          <w:bCs/>
          <w:sz w:val="28"/>
          <w:szCs w:val="28"/>
          <w:u w:color="000000"/>
          <w:bdr w:val="nil"/>
          <w:lang w:val="en-US"/>
        </w:rPr>
        <w:t>extraordinary item</w:t>
      </w:r>
      <w:r w:rsidRPr="00666D6C">
        <w:rPr>
          <w:rFonts w:eastAsia="Calibri" w:cs="Calibri"/>
          <w:sz w:val="28"/>
          <w:szCs w:val="28"/>
          <w:u w:color="000000"/>
          <w:bdr w:val="nil"/>
          <w:lang w:val="en-US"/>
        </w:rPr>
        <w:t xml:space="preserve"> determined by the nature of the transaction or other event that gives rise to that item. Extraordinary activities are attributable to transactions or other events of a type that are outside the ordinary activities of the entity and are not of a recurring nature. A transaction or event may be extraordinary for one company but not extraordinary for another because of the nature of the companies’ respective ordinary activities. Examples of transactions or other events that may give rise to extraordinary items are: (i) expropriation of assets; and (ii) an earthquake or other natural disasters.  </w:t>
      </w:r>
    </w:p>
    <w:p w14:paraId="052B12FB"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According to IAS 7, there are two methods of calculating cash flow from operating activities: (i) direct and (ii) indirect. The </w:t>
      </w:r>
      <w:r w:rsidRPr="00666D6C">
        <w:rPr>
          <w:rFonts w:eastAsia="Calibri" w:cs="Calibri"/>
          <w:b/>
          <w:bCs/>
          <w:sz w:val="28"/>
          <w:szCs w:val="28"/>
          <w:u w:color="000000"/>
          <w:bdr w:val="nil"/>
          <w:lang w:val="en-US"/>
        </w:rPr>
        <w:t>direct method</w:t>
      </w:r>
      <w:r w:rsidRPr="00666D6C">
        <w:rPr>
          <w:rFonts w:eastAsia="Calibri" w:cs="Calibri"/>
          <w:sz w:val="28"/>
          <w:szCs w:val="28"/>
          <w:u w:color="000000"/>
          <w:bdr w:val="nil"/>
          <w:lang w:val="en-US"/>
        </w:rPr>
        <w:t xml:space="preserve"> shows operating cash receipts and payments made by the company during the period. It gives more detailed information about where the cash has come from and where it has been spent. In contrast, the </w:t>
      </w:r>
      <w:r w:rsidRPr="00666D6C">
        <w:rPr>
          <w:rFonts w:eastAsia="Calibri" w:cs="Calibri"/>
          <w:b/>
          <w:bCs/>
          <w:sz w:val="28"/>
          <w:szCs w:val="28"/>
          <w:u w:color="000000"/>
          <w:bdr w:val="nil"/>
          <w:lang w:val="en-US"/>
        </w:rPr>
        <w:t>indirect method</w:t>
      </w:r>
      <w:r w:rsidRPr="00666D6C">
        <w:rPr>
          <w:rFonts w:eastAsia="Calibri" w:cs="Calibri"/>
          <w:sz w:val="28"/>
          <w:szCs w:val="28"/>
          <w:u w:color="000000"/>
          <w:bdr w:val="nil"/>
          <w:lang w:val="en-US"/>
        </w:rPr>
        <w:t xml:space="preserve"> of calculating cash flow from operating activities will show net income followed by the adjustments needed to convert the total net income to the cash amount from operating activities. Most companies find the indirect method easier to employ because it </w:t>
      </w:r>
      <w:r w:rsidR="00614217">
        <w:rPr>
          <w:rFonts w:eastAsia="Calibri" w:cs="Calibri"/>
          <w:sz w:val="28"/>
          <w:szCs w:val="28"/>
          <w:u w:color="000000"/>
          <w:bdr w:val="nil"/>
          <w:lang w:val="en-US"/>
        </w:rPr>
        <w:t xml:space="preserve">is </w:t>
      </w:r>
      <w:r w:rsidRPr="00666D6C">
        <w:rPr>
          <w:rFonts w:eastAsia="Calibri" w:cs="Calibri"/>
          <w:sz w:val="28"/>
          <w:szCs w:val="28"/>
          <w:u w:color="000000"/>
          <w:bdr w:val="nil"/>
          <w:lang w:val="en-US"/>
        </w:rPr>
        <w:t>based on the readily available information.</w:t>
      </w:r>
    </w:p>
    <w:p w14:paraId="6083E167"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sz w:val="28"/>
          <w:szCs w:val="28"/>
          <w:u w:color="000000"/>
          <w:bdr w:val="nil"/>
          <w:lang w:val="en-US"/>
        </w:rPr>
        <w:t xml:space="preserve">In corporate finance, it is important to investigate company’s financial progress during the time period being examined. Consolidated statement of profit or loss and other comprehensive income measures a company’s sales and expenses during a specified period of time. Table </w:t>
      </w:r>
      <w:r w:rsidR="002A7A75">
        <w:rPr>
          <w:rFonts w:eastAsia="Calibri" w:cs="Calibri"/>
          <w:sz w:val="28"/>
          <w:szCs w:val="28"/>
          <w:u w:color="000000"/>
          <w:bdr w:val="nil"/>
          <w:lang w:val="en-US"/>
        </w:rPr>
        <w:t>A</w:t>
      </w:r>
      <w:r w:rsidRPr="00666D6C">
        <w:rPr>
          <w:rFonts w:eastAsia="Calibri" w:cs="Calibri"/>
          <w:sz w:val="28"/>
          <w:szCs w:val="28"/>
          <w:u w:color="000000"/>
          <w:bdr w:val="nil"/>
          <w:lang w:val="en-US"/>
        </w:rPr>
        <w:t xml:space="preserve">.3 (Appendix </w:t>
      </w:r>
      <w:r w:rsidR="002A7A75">
        <w:rPr>
          <w:rFonts w:eastAsia="Calibri" w:cs="Calibri"/>
          <w:sz w:val="28"/>
          <w:szCs w:val="28"/>
          <w:u w:color="000000"/>
          <w:bdr w:val="nil"/>
          <w:lang w:val="en-US"/>
        </w:rPr>
        <w:t>A</w:t>
      </w:r>
      <w:r w:rsidRPr="00666D6C">
        <w:rPr>
          <w:rFonts w:eastAsia="Calibri" w:cs="Calibri"/>
          <w:sz w:val="28"/>
          <w:szCs w:val="28"/>
          <w:u w:color="000000"/>
          <w:bdr w:val="nil"/>
          <w:lang w:val="en-US"/>
        </w:rPr>
        <w:t xml:space="preserve">) presents a real life Consolidated statement of profit or loss and other comprehensive income of Sandvik in 2014. </w:t>
      </w:r>
      <w:r w:rsidRPr="00666D6C">
        <w:rPr>
          <w:rFonts w:eastAsia="Calibri" w:cs="Calibri"/>
          <w:b/>
          <w:bCs/>
          <w:sz w:val="28"/>
          <w:szCs w:val="28"/>
          <w:u w:color="000000"/>
          <w:bdr w:val="nil"/>
          <w:lang w:val="en-US"/>
        </w:rPr>
        <w:t>Profit</w:t>
      </w:r>
      <w:r w:rsidRPr="00666D6C">
        <w:rPr>
          <w:rFonts w:eastAsia="Calibri" w:cs="Calibri"/>
          <w:sz w:val="28"/>
          <w:szCs w:val="28"/>
          <w:u w:color="000000"/>
          <w:bdr w:val="nil"/>
          <w:lang w:val="en-US"/>
        </w:rPr>
        <w:t xml:space="preserve"> is frequently used as a measure of performance or as the basis for other </w:t>
      </w:r>
      <w:r w:rsidRPr="00666D6C">
        <w:rPr>
          <w:rFonts w:eastAsia="Calibri" w:cs="Calibri"/>
          <w:sz w:val="28"/>
          <w:szCs w:val="28"/>
          <w:u w:color="000000"/>
          <w:bdr w:val="nil"/>
          <w:lang w:val="en-US"/>
        </w:rPr>
        <w:lastRenderedPageBreak/>
        <w:t>measures, such as return on investment or earnings per share. The step by step approach to profit calculation</w:t>
      </w:r>
      <w:r w:rsidR="00614217">
        <w:rPr>
          <w:rFonts w:eastAsia="Calibri" w:cs="Calibri"/>
          <w:sz w:val="28"/>
          <w:szCs w:val="28"/>
          <w:u w:color="000000"/>
          <w:bdr w:val="nil"/>
          <w:lang w:val="en-US"/>
        </w:rPr>
        <w:t xml:space="preserve"> is</w:t>
      </w:r>
      <w:r w:rsidRPr="00666D6C">
        <w:rPr>
          <w:rFonts w:eastAsia="Calibri" w:cs="Calibri"/>
          <w:sz w:val="28"/>
          <w:szCs w:val="28"/>
          <w:u w:color="000000"/>
          <w:bdr w:val="nil"/>
          <w:lang w:val="en-US"/>
        </w:rPr>
        <w:t xml:space="preserve"> presented in </w:t>
      </w:r>
      <w:r w:rsidR="00613E76">
        <w:rPr>
          <w:rFonts w:eastAsia="Calibri" w:cs="Calibri"/>
          <w:sz w:val="28"/>
          <w:szCs w:val="28"/>
          <w:u w:color="000000"/>
          <w:bdr w:val="nil"/>
          <w:lang w:val="en-US"/>
        </w:rPr>
        <w:t>Figure</w:t>
      </w:r>
      <w:r w:rsidRPr="00666D6C">
        <w:rPr>
          <w:rFonts w:eastAsia="Calibri" w:cs="Calibri"/>
          <w:sz w:val="28"/>
          <w:szCs w:val="28"/>
          <w:u w:color="000000"/>
          <w:bdr w:val="nil"/>
          <w:lang w:val="en-US"/>
        </w:rPr>
        <w:t xml:space="preserve"> </w:t>
      </w:r>
      <w:r w:rsidR="002A7A75">
        <w:rPr>
          <w:rFonts w:eastAsia="Calibri" w:cs="Calibri"/>
          <w:sz w:val="28"/>
          <w:szCs w:val="28"/>
          <w:u w:color="000000"/>
          <w:bdr w:val="nil"/>
          <w:lang w:val="en-US"/>
        </w:rPr>
        <w:t>A</w:t>
      </w:r>
      <w:r w:rsidRPr="00666D6C">
        <w:rPr>
          <w:rFonts w:eastAsia="Calibri" w:cs="Calibri"/>
          <w:sz w:val="28"/>
          <w:szCs w:val="28"/>
          <w:u w:color="000000"/>
          <w:bdr w:val="nil"/>
          <w:lang w:val="en-US"/>
        </w:rPr>
        <w:t>.1</w:t>
      </w:r>
      <w:r w:rsidR="00510732">
        <w:rPr>
          <w:rFonts w:eastAsia="Calibri" w:cs="Calibri"/>
          <w:sz w:val="28"/>
          <w:szCs w:val="28"/>
          <w:u w:color="000000"/>
          <w:bdr w:val="nil"/>
          <w:lang w:val="en-US"/>
        </w:rPr>
        <w:t xml:space="preserve"> (</w:t>
      </w:r>
      <w:r w:rsidRPr="00666D6C">
        <w:rPr>
          <w:rFonts w:eastAsia="Calibri" w:cs="Calibri"/>
          <w:sz w:val="28"/>
          <w:szCs w:val="28"/>
          <w:u w:color="000000"/>
          <w:bdr w:val="nil"/>
          <w:lang w:val="en-US"/>
        </w:rPr>
        <w:t xml:space="preserve">Appendix </w:t>
      </w:r>
      <w:r w:rsidR="002A7A75">
        <w:rPr>
          <w:rFonts w:eastAsia="Calibri" w:cs="Calibri"/>
          <w:sz w:val="28"/>
          <w:szCs w:val="28"/>
          <w:u w:color="000000"/>
          <w:bdr w:val="nil"/>
          <w:lang w:val="en-US"/>
        </w:rPr>
        <w:t>A</w:t>
      </w:r>
      <w:r w:rsidR="00510732">
        <w:rPr>
          <w:rFonts w:eastAsia="Calibri" w:cs="Calibri"/>
          <w:sz w:val="28"/>
          <w:szCs w:val="28"/>
          <w:u w:color="000000"/>
          <w:bdr w:val="nil"/>
          <w:lang w:val="en-US"/>
        </w:rPr>
        <w:t>)</w:t>
      </w:r>
      <w:r w:rsidRPr="00666D6C">
        <w:rPr>
          <w:rFonts w:eastAsia="Calibri" w:cs="Calibri"/>
          <w:sz w:val="28"/>
          <w:szCs w:val="28"/>
          <w:u w:color="000000"/>
          <w:bdr w:val="nil"/>
          <w:lang w:val="en-US"/>
        </w:rPr>
        <w:t xml:space="preserve">. According to the Conceptual Framework for Financial Reporting, which was issued by the International Accounting Standards Board (IASB), the elements directly related to the measurement of profit are income and expenses. Income and expenses may be presented in the income statement in different ways so as to provide information that is relevant for economic decision-making. </w:t>
      </w:r>
    </w:p>
    <w:p w14:paraId="3E6B0B6D"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b/>
          <w:bCs/>
          <w:sz w:val="28"/>
          <w:szCs w:val="28"/>
          <w:u w:color="000000"/>
          <w:bdr w:val="nil"/>
          <w:lang w:val="en-US"/>
        </w:rPr>
        <w:t>Income</w:t>
      </w:r>
      <w:r w:rsidRPr="00666D6C">
        <w:rPr>
          <w:rFonts w:eastAsia="Calibri" w:cs="Calibri"/>
          <w:sz w:val="28"/>
          <w:szCs w:val="28"/>
          <w:u w:color="000000"/>
          <w:bdr w:val="nil"/>
          <w:lang w:val="en-US"/>
        </w:rPr>
        <w:t xml:space="preserve"> is increased in economic benefits during the accounting period in the form of inflows or enhancements of assets or decreases of liabilities that result in increases in equity, other than those relating to contributions from equity participants (for example owners, partners or shareholders). The definition of income encompasses both revenue and gains. </w:t>
      </w:r>
      <w:r w:rsidRPr="00666D6C">
        <w:rPr>
          <w:rFonts w:eastAsia="Calibri" w:cs="Calibri"/>
          <w:b/>
          <w:bCs/>
          <w:sz w:val="28"/>
          <w:szCs w:val="28"/>
          <w:u w:color="000000"/>
          <w:bdr w:val="nil"/>
          <w:lang w:val="en-US"/>
        </w:rPr>
        <w:t>Revenue</w:t>
      </w:r>
      <w:r w:rsidRPr="00666D6C">
        <w:rPr>
          <w:rFonts w:eastAsia="Calibri" w:cs="Calibri"/>
          <w:sz w:val="28"/>
          <w:szCs w:val="28"/>
          <w:u w:color="000000"/>
          <w:bdr w:val="nil"/>
          <w:lang w:val="en-US"/>
        </w:rPr>
        <w:t xml:space="preserve"> arises in the course of the ordinary activities of </w:t>
      </w:r>
      <w:r w:rsidR="00EC1B39">
        <w:rPr>
          <w:rFonts w:eastAsia="Calibri" w:cs="Calibri"/>
          <w:sz w:val="28"/>
          <w:szCs w:val="28"/>
          <w:u w:color="000000"/>
          <w:bdr w:val="nil"/>
          <w:lang w:val="en-US"/>
        </w:rPr>
        <w:t>the</w:t>
      </w:r>
      <w:r w:rsidRPr="00666D6C">
        <w:rPr>
          <w:rFonts w:eastAsia="Calibri" w:cs="Calibri"/>
          <w:sz w:val="28"/>
          <w:szCs w:val="28"/>
          <w:u w:color="000000"/>
          <w:bdr w:val="nil"/>
          <w:lang w:val="en-US"/>
        </w:rPr>
        <w:t xml:space="preserve"> entity and is referred to a variety of different names including sales, fees, interest, dividends, royalties and rent. </w:t>
      </w:r>
      <w:r w:rsidRPr="00666D6C">
        <w:rPr>
          <w:rFonts w:eastAsia="Calibri" w:cs="Calibri"/>
          <w:b/>
          <w:bCs/>
          <w:sz w:val="28"/>
          <w:szCs w:val="28"/>
          <w:u w:color="000000"/>
          <w:bdr w:val="nil"/>
          <w:lang w:val="en-US"/>
        </w:rPr>
        <w:t>Gains</w:t>
      </w:r>
      <w:r w:rsidRPr="00666D6C">
        <w:rPr>
          <w:rFonts w:eastAsia="Calibri" w:cs="Calibri"/>
          <w:sz w:val="28"/>
          <w:szCs w:val="28"/>
          <w:u w:color="000000"/>
          <w:bdr w:val="nil"/>
          <w:lang w:val="en-US"/>
        </w:rPr>
        <w:t xml:space="preserve"> represent other items that meet the definition of income and may, or may not, arise in the course of the ordinary activities of an entity. Gains include, for example, those arising on the disposal of non-current assets. The definition of income also includes unrealized gains; for example, those arising on the revaluation of marketable securities and those resulting from increases in the carrying amount of long-term assets. Various kinds of assets may be received or enhanced by income; examples include cash, receivables and goods and services received in exchange for goods and services supplied. Income may also result from the settlement of liabilities, for example, an entity may provide goods and services to a lender in settlement of an obligation to repay an outstanding loan.</w:t>
      </w:r>
    </w:p>
    <w:p w14:paraId="2BA23ABA"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b/>
          <w:bCs/>
          <w:sz w:val="28"/>
          <w:szCs w:val="28"/>
          <w:u w:color="000000"/>
          <w:bdr w:val="nil"/>
          <w:lang w:val="en-US"/>
        </w:rPr>
        <w:t>Expenses</w:t>
      </w:r>
      <w:r w:rsidRPr="00666D6C">
        <w:rPr>
          <w:rFonts w:eastAsia="Calibri" w:cs="Calibri"/>
          <w:sz w:val="28"/>
          <w:szCs w:val="28"/>
          <w:u w:color="000000"/>
          <w:bdr w:val="nil"/>
          <w:lang w:val="en-US"/>
        </w:rPr>
        <w:t xml:space="preserve"> are decreases in economic benefits during the accounting period in the form of outflows or depletions of assets or incurrences of liabilities that result in decreases in equity, other than those relating to distributions to equity participants. The definition of expenses encompasses losses as well as those expenses that arise in the course of the ordinary activities of the entity. Expenses that arise in the course of the ordinary activities of the entity include, for example, the cost of sales, wages, and depreciation. They usually take the form of an outflow or depletion of assets such as cash and cash equivalents, inventory, property, plant, and equipment. </w:t>
      </w:r>
      <w:r w:rsidRPr="00666D6C">
        <w:rPr>
          <w:rFonts w:eastAsia="Calibri" w:cs="Calibri"/>
          <w:b/>
          <w:bCs/>
          <w:sz w:val="28"/>
          <w:szCs w:val="28"/>
          <w:u w:color="000000"/>
          <w:bdr w:val="nil"/>
          <w:lang w:val="en-US"/>
        </w:rPr>
        <w:t>Losses</w:t>
      </w:r>
      <w:r w:rsidRPr="00666D6C">
        <w:rPr>
          <w:rFonts w:eastAsia="Calibri" w:cs="Calibri"/>
          <w:sz w:val="28"/>
          <w:szCs w:val="28"/>
          <w:u w:color="000000"/>
          <w:bdr w:val="nil"/>
          <w:lang w:val="en-US"/>
        </w:rPr>
        <w:t xml:space="preserve"> represent other items that meet the definition of expenses and may, or may not, arise in the course of the ordinary activities of the entity. Losses include, for example, those resulting from disasters such as fire and flood, as well as those arising on the disposal </w:t>
      </w:r>
      <w:r w:rsidRPr="00666D6C">
        <w:rPr>
          <w:rFonts w:eastAsia="Calibri" w:cs="Calibri"/>
          <w:sz w:val="28"/>
          <w:szCs w:val="28"/>
          <w:u w:color="000000"/>
          <w:bdr w:val="nil"/>
          <w:lang w:val="en-US"/>
        </w:rPr>
        <w:lastRenderedPageBreak/>
        <w:t xml:space="preserve">of non-current assets. The definition of expenses also includes unrealized losses, for example, those arising from the effects of increases in the rate of exchange for a foreign currency in respect of the borrowings of an entity in that currency. </w:t>
      </w:r>
    </w:p>
    <w:p w14:paraId="09B3BB27" w14:textId="77777777" w:rsidR="003C51B1" w:rsidRPr="00666D6C" w:rsidRDefault="003C51B1" w:rsidP="00EC1B39">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666D6C">
        <w:rPr>
          <w:rFonts w:eastAsia="Calibri" w:cs="Calibri"/>
          <w:b/>
          <w:bCs/>
          <w:sz w:val="28"/>
          <w:szCs w:val="28"/>
          <w:u w:color="000000"/>
          <w:bdr w:val="nil"/>
          <w:lang w:val="en-US"/>
        </w:rPr>
        <w:t>Other comprehensive income</w:t>
      </w:r>
      <w:r w:rsidRPr="00666D6C">
        <w:rPr>
          <w:rFonts w:eastAsia="Calibri" w:cs="Calibri"/>
          <w:sz w:val="28"/>
          <w:szCs w:val="28"/>
          <w:u w:color="000000"/>
          <w:bdr w:val="nil"/>
          <w:lang w:val="en-US"/>
        </w:rPr>
        <w:t xml:space="preserve"> is defined as comprising items of income and expense (including reclassification adjustments) that are not recognized in profit or loss as required or permitted by other IFRSs. </w:t>
      </w:r>
      <w:r w:rsidRPr="00666D6C">
        <w:rPr>
          <w:rFonts w:eastAsia="Calibri" w:cs="Calibri"/>
          <w:b/>
          <w:bCs/>
          <w:sz w:val="28"/>
          <w:szCs w:val="28"/>
          <w:u w:color="000000"/>
          <w:bdr w:val="nil"/>
          <w:lang w:val="en-US"/>
        </w:rPr>
        <w:t>Total comprehensive income</w:t>
      </w:r>
      <w:r w:rsidRPr="00666D6C">
        <w:rPr>
          <w:rFonts w:eastAsia="Calibri" w:cs="Calibri"/>
          <w:sz w:val="28"/>
          <w:szCs w:val="28"/>
          <w:u w:color="000000"/>
          <w:bdr w:val="nil"/>
          <w:lang w:val="en-US"/>
        </w:rPr>
        <w:t xml:space="preserve"> is defined as the change in equity during a period resulting from transactions and other events, other than those changes resulting from transactions with owners in their capacity as owners. Items that should be inserted in other comprehensive income can include: (i) foreign operations (foreign currency translation differences); (ii) equity-accounted investees (share of other comprehensive income); (iii) available for sale financial assets (net change in fair value). It is acceptable to either report components of other comprehensive income net of related tax effects, or before related tax effects with a single aggregate income tax expense or benefit shown that relates to all of the other comprehensive income items. </w:t>
      </w:r>
    </w:p>
    <w:p w14:paraId="4F1F88E1" w14:textId="77777777" w:rsidR="003C51B1" w:rsidRPr="00666D6C" w:rsidRDefault="007557BC" w:rsidP="00A31BBA">
      <w:pPr>
        <w:pStyle w:val="end2"/>
        <w:rPr>
          <w:rFonts w:eastAsia="Garamond"/>
          <w:u w:color="000000"/>
          <w:bdr w:val="nil"/>
        </w:rPr>
      </w:pPr>
      <w:r w:rsidRPr="00666D6C">
        <w:rPr>
          <w:rFonts w:eastAsia="Calibri"/>
          <w:u w:color="000000"/>
          <w:bdr w:val="nil"/>
        </w:rPr>
        <w:t>RECOMMENDED</w:t>
      </w:r>
      <w:r w:rsidR="003C51B1" w:rsidRPr="00666D6C">
        <w:rPr>
          <w:rFonts w:eastAsia="Calibri"/>
          <w:u w:color="000000"/>
          <w:bdr w:val="nil"/>
        </w:rPr>
        <w:t xml:space="preserve"> reading </w:t>
      </w:r>
    </w:p>
    <w:p w14:paraId="07D3050C" w14:textId="77777777" w:rsidR="0072591B" w:rsidRPr="00EC1B39" w:rsidRDefault="0072591B"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sidRPr="00EC1B39">
        <w:rPr>
          <w:rFonts w:ascii="Garamond" w:hAnsi="Garamond" w:cs="Calibri"/>
          <w:szCs w:val="28"/>
          <w:bdr w:val="none" w:sz="0" w:space="0" w:color="auto" w:frame="1"/>
          <w:lang w:val="en-US"/>
        </w:rPr>
        <w:t xml:space="preserve">Berk, J. B., </w:t>
      </w:r>
      <w:r w:rsidR="00EC1B39">
        <w:rPr>
          <w:rFonts w:ascii="Garamond" w:hAnsi="Garamond" w:cs="Calibri"/>
          <w:szCs w:val="28"/>
          <w:bdr w:val="none" w:sz="0" w:space="0" w:color="auto" w:frame="1"/>
          <w:lang w:val="en-US"/>
        </w:rPr>
        <w:t xml:space="preserve">and DeMarzo, P. M., 2007, </w:t>
      </w:r>
      <w:r w:rsidRPr="00EC1B39">
        <w:rPr>
          <w:rFonts w:ascii="Garamond" w:hAnsi="Garamond" w:cs="Calibri"/>
          <w:i/>
          <w:szCs w:val="28"/>
          <w:bdr w:val="none" w:sz="0" w:space="0" w:color="auto" w:frame="1"/>
          <w:lang w:val="en-US"/>
        </w:rPr>
        <w:t xml:space="preserve">Corporate </w:t>
      </w:r>
      <w:r w:rsidR="003C1704">
        <w:rPr>
          <w:rFonts w:ascii="Garamond" w:hAnsi="Garamond" w:cs="Calibri"/>
          <w:i/>
          <w:szCs w:val="28"/>
          <w:bdr w:val="none" w:sz="0" w:space="0" w:color="auto" w:frame="1"/>
          <w:lang w:val="en-US"/>
        </w:rPr>
        <w:t>F</w:t>
      </w:r>
      <w:r w:rsidRPr="00EC1B39">
        <w:rPr>
          <w:rFonts w:ascii="Garamond" w:hAnsi="Garamond" w:cs="Calibri"/>
          <w:i/>
          <w:szCs w:val="28"/>
          <w:bdr w:val="none" w:sz="0" w:space="0" w:color="auto" w:frame="1"/>
          <w:lang w:val="en-US"/>
        </w:rPr>
        <w:t>inance</w:t>
      </w:r>
      <w:r w:rsidR="00EC1B39">
        <w:rPr>
          <w:rFonts w:ascii="Garamond" w:hAnsi="Garamond" w:cs="Calibri"/>
          <w:szCs w:val="28"/>
          <w:bdr w:val="none" w:sz="0" w:space="0" w:color="auto" w:frame="1"/>
          <w:lang w:val="en-US"/>
        </w:rPr>
        <w:t xml:space="preserve">, </w:t>
      </w:r>
      <w:r w:rsidRPr="00EC1B39">
        <w:rPr>
          <w:rFonts w:ascii="Garamond" w:hAnsi="Garamond" w:cs="Calibri"/>
          <w:szCs w:val="28"/>
          <w:bdr w:val="none" w:sz="0" w:space="0" w:color="auto" w:frame="1"/>
          <w:lang w:val="en-US"/>
        </w:rPr>
        <w:t>Pearson Education.</w:t>
      </w:r>
    </w:p>
    <w:p w14:paraId="457540A7" w14:textId="77777777" w:rsidR="0072591B" w:rsidRPr="00EC1B39" w:rsidRDefault="0072591B"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sidRPr="00EC1B39">
        <w:rPr>
          <w:rFonts w:ascii="Garamond" w:hAnsi="Garamond" w:cs="Calibri"/>
          <w:szCs w:val="28"/>
          <w:bdr w:val="none" w:sz="0" w:space="0" w:color="auto" w:frame="1"/>
          <w:lang w:val="en-US"/>
        </w:rPr>
        <w:t xml:space="preserve">Bolton, P., </w:t>
      </w:r>
      <w:r w:rsidR="00EC1B39">
        <w:rPr>
          <w:rFonts w:ascii="Garamond" w:hAnsi="Garamond" w:cs="Calibri"/>
          <w:szCs w:val="28"/>
          <w:bdr w:val="none" w:sz="0" w:space="0" w:color="auto" w:frame="1"/>
          <w:lang w:val="en-US"/>
        </w:rPr>
        <w:t>and Scharfstein, D. S., 1998,</w:t>
      </w:r>
      <w:r w:rsidRPr="00EC1B39">
        <w:rPr>
          <w:rFonts w:ascii="Garamond" w:hAnsi="Garamond" w:cs="Calibri"/>
          <w:szCs w:val="28"/>
          <w:bdr w:val="none" w:sz="0" w:space="0" w:color="auto" w:frame="1"/>
          <w:lang w:val="en-US"/>
        </w:rPr>
        <w:t xml:space="preserve"> Corporate finance, the theory</w:t>
      </w:r>
      <w:r w:rsidR="00EC1B39">
        <w:rPr>
          <w:rFonts w:ascii="Garamond" w:hAnsi="Garamond" w:cs="Calibri"/>
          <w:szCs w:val="28"/>
          <w:bdr w:val="none" w:sz="0" w:space="0" w:color="auto" w:frame="1"/>
          <w:lang w:val="en-US"/>
        </w:rPr>
        <w:t xml:space="preserve"> of the firm, and organizations,</w:t>
      </w:r>
      <w:r w:rsidRPr="00EC1B39">
        <w:rPr>
          <w:rFonts w:ascii="Garamond" w:hAnsi="Garamond" w:cs="Calibri"/>
          <w:szCs w:val="28"/>
          <w:bdr w:val="none" w:sz="0" w:space="0" w:color="auto" w:frame="1"/>
          <w:lang w:val="en-US"/>
        </w:rPr>
        <w:t xml:space="preserve"> </w:t>
      </w:r>
      <w:r w:rsidRPr="00EC1B39">
        <w:rPr>
          <w:rFonts w:ascii="Garamond" w:hAnsi="Garamond" w:cs="Calibri"/>
          <w:i/>
          <w:szCs w:val="28"/>
          <w:bdr w:val="none" w:sz="0" w:space="0" w:color="auto" w:frame="1"/>
          <w:lang w:val="en-US"/>
        </w:rPr>
        <w:t>The Journal of Economic Perspectives</w:t>
      </w:r>
      <w:r w:rsidRPr="00EC1B39">
        <w:rPr>
          <w:rFonts w:ascii="Garamond" w:hAnsi="Garamond" w:cs="Calibri"/>
          <w:szCs w:val="28"/>
          <w:bdr w:val="none" w:sz="0" w:space="0" w:color="auto" w:frame="1"/>
          <w:lang w:val="en-US"/>
        </w:rPr>
        <w:t xml:space="preserve">, </w:t>
      </w:r>
      <w:r w:rsidR="00EC1B39">
        <w:rPr>
          <w:rFonts w:ascii="Garamond" w:hAnsi="Garamond" w:cs="Calibri"/>
          <w:szCs w:val="28"/>
          <w:bdr w:val="none" w:sz="0" w:space="0" w:color="auto" w:frame="1"/>
          <w:lang w:val="en-US"/>
        </w:rPr>
        <w:t xml:space="preserve">pp. </w:t>
      </w:r>
      <w:r w:rsidRPr="00EC1B39">
        <w:rPr>
          <w:rFonts w:ascii="Garamond" w:hAnsi="Garamond" w:cs="Calibri"/>
          <w:szCs w:val="28"/>
          <w:bdr w:val="none" w:sz="0" w:space="0" w:color="auto" w:frame="1"/>
          <w:lang w:val="en-US"/>
        </w:rPr>
        <w:t>95</w:t>
      </w:r>
      <w:r w:rsidR="00614217" w:rsidRPr="00EC1B39">
        <w:rPr>
          <w:rFonts w:ascii="Garamond" w:hAnsi="Garamond" w:cs="Calibri"/>
          <w:szCs w:val="28"/>
          <w:bdr w:val="none" w:sz="0" w:space="0" w:color="auto" w:frame="1"/>
          <w:lang w:val="en-US"/>
        </w:rPr>
        <w:t>–</w:t>
      </w:r>
      <w:r w:rsidRPr="00EC1B39">
        <w:rPr>
          <w:rFonts w:ascii="Garamond" w:hAnsi="Garamond" w:cs="Calibri"/>
          <w:szCs w:val="28"/>
          <w:bdr w:val="none" w:sz="0" w:space="0" w:color="auto" w:frame="1"/>
          <w:lang w:val="en-US"/>
        </w:rPr>
        <w:t>114.</w:t>
      </w:r>
    </w:p>
    <w:p w14:paraId="3E3E0F59" w14:textId="77777777" w:rsidR="0072591B" w:rsidRPr="00EC1B39" w:rsidRDefault="0072591B"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sidRPr="00EC1B39">
        <w:rPr>
          <w:rFonts w:ascii="Garamond" w:hAnsi="Garamond" w:cs="Calibri"/>
          <w:szCs w:val="28"/>
          <w:bdr w:val="none" w:sz="0" w:space="0" w:color="auto" w:frame="1"/>
          <w:lang w:val="en-US"/>
        </w:rPr>
        <w:t xml:space="preserve">Clayman, M. R., Fridson, M. S., </w:t>
      </w:r>
      <w:r w:rsidR="00EC1B39">
        <w:rPr>
          <w:rFonts w:ascii="Garamond" w:hAnsi="Garamond" w:cs="Calibri"/>
          <w:szCs w:val="28"/>
          <w:bdr w:val="none" w:sz="0" w:space="0" w:color="auto" w:frame="1"/>
          <w:lang w:val="en-US"/>
        </w:rPr>
        <w:t>and Troughton, G. H., 2012,</w:t>
      </w:r>
      <w:r w:rsidRPr="00EC1B39">
        <w:rPr>
          <w:rFonts w:ascii="Garamond" w:hAnsi="Garamond" w:cs="Calibri"/>
          <w:szCs w:val="28"/>
          <w:bdr w:val="none" w:sz="0" w:space="0" w:color="auto" w:frame="1"/>
          <w:lang w:val="en-US"/>
        </w:rPr>
        <w:t xml:space="preserve"> </w:t>
      </w:r>
      <w:r w:rsidRPr="00EC1B39">
        <w:rPr>
          <w:rFonts w:ascii="Garamond" w:hAnsi="Garamond" w:cs="Calibri"/>
          <w:i/>
          <w:szCs w:val="28"/>
          <w:bdr w:val="none" w:sz="0" w:space="0" w:color="auto" w:frame="1"/>
          <w:lang w:val="en-US"/>
        </w:rPr>
        <w:t>Corporate finance: A</w:t>
      </w:r>
      <w:r w:rsidR="003C1704">
        <w:rPr>
          <w:rFonts w:ascii="Garamond" w:hAnsi="Garamond" w:cs="Calibri"/>
          <w:i/>
          <w:szCs w:val="28"/>
          <w:bdr w:val="none" w:sz="0" w:space="0" w:color="auto" w:frame="1"/>
          <w:lang w:val="en-US"/>
        </w:rPr>
        <w:t> </w:t>
      </w:r>
      <w:r w:rsidRPr="00EC1B39">
        <w:rPr>
          <w:rFonts w:ascii="Garamond" w:hAnsi="Garamond" w:cs="Calibri"/>
          <w:i/>
          <w:szCs w:val="28"/>
          <w:bdr w:val="none" w:sz="0" w:space="0" w:color="auto" w:frame="1"/>
          <w:lang w:val="en-US"/>
        </w:rPr>
        <w:t>practical approach</w:t>
      </w:r>
      <w:r w:rsidRPr="00EC1B39">
        <w:rPr>
          <w:rFonts w:ascii="Garamond" w:hAnsi="Garamond" w:cs="Calibri"/>
          <w:szCs w:val="28"/>
          <w:bdr w:val="none" w:sz="0" w:space="0" w:color="auto" w:frame="1"/>
          <w:lang w:val="en-US"/>
        </w:rPr>
        <w:t>, John Wiley &amp; Sons.</w:t>
      </w:r>
    </w:p>
    <w:p w14:paraId="6DDFAA83" w14:textId="77777777" w:rsidR="0072591B" w:rsidRPr="00EC1B39" w:rsidRDefault="00EC1B39"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Pr>
          <w:rFonts w:ascii="Garamond" w:hAnsi="Garamond" w:cs="Calibri"/>
          <w:szCs w:val="28"/>
          <w:bdr w:val="none" w:sz="0" w:space="0" w:color="auto" w:frame="1"/>
          <w:lang w:val="en-US"/>
        </w:rPr>
        <w:t>Damodaran, A., 1996,</w:t>
      </w:r>
      <w:r w:rsidR="0072591B" w:rsidRPr="00EC1B39">
        <w:rPr>
          <w:rFonts w:ascii="Garamond" w:hAnsi="Garamond" w:cs="Calibri"/>
          <w:szCs w:val="28"/>
          <w:bdr w:val="none" w:sz="0" w:space="0" w:color="auto" w:frame="1"/>
          <w:lang w:val="en-US"/>
        </w:rPr>
        <w:t xml:space="preserve"> </w:t>
      </w:r>
      <w:r w:rsidR="0072591B" w:rsidRPr="00EC1B39">
        <w:rPr>
          <w:rFonts w:ascii="Garamond" w:hAnsi="Garamond" w:cs="Calibri"/>
          <w:i/>
          <w:szCs w:val="28"/>
          <w:bdr w:val="none" w:sz="0" w:space="0" w:color="auto" w:frame="1"/>
          <w:lang w:val="en-US"/>
        </w:rPr>
        <w:t>Corporate finance</w:t>
      </w:r>
      <w:r w:rsidR="0072591B" w:rsidRPr="00EC1B39">
        <w:rPr>
          <w:rFonts w:ascii="Garamond" w:hAnsi="Garamond" w:cs="Calibri"/>
          <w:szCs w:val="28"/>
          <w:bdr w:val="none" w:sz="0" w:space="0" w:color="auto" w:frame="1"/>
          <w:lang w:val="en-US"/>
        </w:rPr>
        <w:t>, John Wiley &amp; Sons.</w:t>
      </w:r>
    </w:p>
    <w:p w14:paraId="389D53FC" w14:textId="77777777" w:rsidR="0072591B" w:rsidRPr="00EC1B39" w:rsidRDefault="0072591B"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sidRPr="00EC1B39">
        <w:rPr>
          <w:rFonts w:ascii="Garamond" w:hAnsi="Garamond" w:cs="Calibri"/>
          <w:szCs w:val="28"/>
          <w:bdr w:val="none" w:sz="0" w:space="0" w:color="auto" w:frame="1"/>
          <w:lang w:val="en-US"/>
        </w:rPr>
        <w:t xml:space="preserve">Gitman, L. J., Juchau, R., </w:t>
      </w:r>
      <w:r w:rsidR="00EC1B39">
        <w:rPr>
          <w:rFonts w:ascii="Garamond" w:hAnsi="Garamond" w:cs="Calibri"/>
          <w:szCs w:val="28"/>
          <w:bdr w:val="none" w:sz="0" w:space="0" w:color="auto" w:frame="1"/>
          <w:lang w:val="en-US"/>
        </w:rPr>
        <w:t>and Flanagan, J., 2010,</w:t>
      </w:r>
      <w:r w:rsidRPr="00EC1B39">
        <w:rPr>
          <w:rFonts w:ascii="Garamond" w:hAnsi="Garamond" w:cs="Calibri"/>
          <w:szCs w:val="28"/>
          <w:bdr w:val="none" w:sz="0" w:space="0" w:color="auto" w:frame="1"/>
          <w:lang w:val="en-US"/>
        </w:rPr>
        <w:t xml:space="preserve"> </w:t>
      </w:r>
      <w:r w:rsidRPr="00EC1B39">
        <w:rPr>
          <w:rFonts w:ascii="Garamond" w:hAnsi="Garamond" w:cs="Calibri"/>
          <w:i/>
          <w:szCs w:val="28"/>
          <w:bdr w:val="none" w:sz="0" w:space="0" w:color="auto" w:frame="1"/>
          <w:lang w:val="en-US"/>
        </w:rPr>
        <w:t xml:space="preserve">Principles of </w:t>
      </w:r>
      <w:r w:rsidR="003C1704">
        <w:rPr>
          <w:rFonts w:ascii="Garamond" w:hAnsi="Garamond" w:cs="Calibri"/>
          <w:i/>
          <w:szCs w:val="28"/>
          <w:bdr w:val="none" w:sz="0" w:space="0" w:color="auto" w:frame="1"/>
          <w:lang w:val="en-US"/>
        </w:rPr>
        <w:t>M</w:t>
      </w:r>
      <w:r w:rsidRPr="00EC1B39">
        <w:rPr>
          <w:rFonts w:ascii="Garamond" w:hAnsi="Garamond" w:cs="Calibri"/>
          <w:i/>
          <w:szCs w:val="28"/>
          <w:bdr w:val="none" w:sz="0" w:space="0" w:color="auto" w:frame="1"/>
          <w:lang w:val="en-US"/>
        </w:rPr>
        <w:t xml:space="preserve">anagerial </w:t>
      </w:r>
      <w:r w:rsidR="003C1704">
        <w:rPr>
          <w:rFonts w:ascii="Garamond" w:hAnsi="Garamond" w:cs="Calibri"/>
          <w:i/>
          <w:szCs w:val="28"/>
          <w:bdr w:val="none" w:sz="0" w:space="0" w:color="auto" w:frame="1"/>
          <w:lang w:val="en-US"/>
        </w:rPr>
        <w:t>F</w:t>
      </w:r>
      <w:r w:rsidRPr="00EC1B39">
        <w:rPr>
          <w:rFonts w:ascii="Garamond" w:hAnsi="Garamond" w:cs="Calibri"/>
          <w:i/>
          <w:szCs w:val="28"/>
          <w:bdr w:val="none" w:sz="0" w:space="0" w:color="auto" w:frame="1"/>
          <w:lang w:val="en-US"/>
        </w:rPr>
        <w:t>inance</w:t>
      </w:r>
      <w:r w:rsidR="00EC1B39">
        <w:rPr>
          <w:rFonts w:ascii="Garamond" w:hAnsi="Garamond" w:cs="Calibri"/>
          <w:szCs w:val="28"/>
          <w:bdr w:val="none" w:sz="0" w:space="0" w:color="auto" w:frame="1"/>
          <w:lang w:val="en-US"/>
        </w:rPr>
        <w:t>,</w:t>
      </w:r>
      <w:r w:rsidRPr="00EC1B39">
        <w:rPr>
          <w:rFonts w:ascii="Garamond" w:hAnsi="Garamond" w:cs="Calibri"/>
          <w:szCs w:val="28"/>
          <w:bdr w:val="none" w:sz="0" w:space="0" w:color="auto" w:frame="1"/>
          <w:lang w:val="en-US"/>
        </w:rPr>
        <w:t xml:space="preserve"> Pearson Higher Education AU.</w:t>
      </w:r>
    </w:p>
    <w:p w14:paraId="06ABAFB6" w14:textId="77777777" w:rsidR="0072591B" w:rsidRPr="00EC1B39" w:rsidRDefault="0072591B"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sidRPr="00EC1B39">
        <w:rPr>
          <w:rFonts w:ascii="Garamond" w:hAnsi="Garamond" w:cs="Calibri"/>
          <w:szCs w:val="28"/>
          <w:bdr w:val="none" w:sz="0" w:space="0" w:color="auto" w:frame="1"/>
          <w:lang w:val="en-US"/>
        </w:rPr>
        <w:t xml:space="preserve">Graham, J. R., </w:t>
      </w:r>
      <w:r w:rsidR="00EC1B39">
        <w:rPr>
          <w:rFonts w:ascii="Garamond" w:hAnsi="Garamond" w:cs="Calibri"/>
          <w:szCs w:val="28"/>
          <w:bdr w:val="none" w:sz="0" w:space="0" w:color="auto" w:frame="1"/>
          <w:lang w:val="en-US"/>
        </w:rPr>
        <w:t>and Harvey, C. R., 2001,</w:t>
      </w:r>
      <w:r w:rsidRPr="00EC1B39">
        <w:rPr>
          <w:rFonts w:ascii="Garamond" w:hAnsi="Garamond" w:cs="Calibri"/>
          <w:szCs w:val="28"/>
          <w:bdr w:val="none" w:sz="0" w:space="0" w:color="auto" w:frame="1"/>
          <w:lang w:val="en-US"/>
        </w:rPr>
        <w:t xml:space="preserve"> The theory and practice of corporate f</w:t>
      </w:r>
      <w:r w:rsidR="00EC1B39">
        <w:rPr>
          <w:rFonts w:ascii="Garamond" w:hAnsi="Garamond" w:cs="Calibri"/>
          <w:szCs w:val="28"/>
          <w:bdr w:val="none" w:sz="0" w:space="0" w:color="auto" w:frame="1"/>
          <w:lang w:val="en-US"/>
        </w:rPr>
        <w:t>inance: Evidence from the field,</w:t>
      </w:r>
      <w:r w:rsidRPr="00EC1B39">
        <w:rPr>
          <w:rFonts w:ascii="Garamond" w:hAnsi="Garamond" w:cs="Calibri"/>
          <w:szCs w:val="28"/>
          <w:bdr w:val="none" w:sz="0" w:space="0" w:color="auto" w:frame="1"/>
          <w:lang w:val="en-US"/>
        </w:rPr>
        <w:t xml:space="preserve"> </w:t>
      </w:r>
      <w:r w:rsidRPr="00EC1B39">
        <w:rPr>
          <w:rFonts w:ascii="Garamond" w:hAnsi="Garamond" w:cs="Calibri"/>
          <w:i/>
          <w:szCs w:val="28"/>
          <w:bdr w:val="none" w:sz="0" w:space="0" w:color="auto" w:frame="1"/>
          <w:lang w:val="en-US"/>
        </w:rPr>
        <w:t xml:space="preserve">Journal of </w:t>
      </w:r>
      <w:r w:rsidR="003C1704" w:rsidRPr="00EC1B39">
        <w:rPr>
          <w:rFonts w:ascii="Garamond" w:hAnsi="Garamond" w:cs="Calibri"/>
          <w:i/>
          <w:szCs w:val="28"/>
          <w:bdr w:val="none" w:sz="0" w:space="0" w:color="auto" w:frame="1"/>
          <w:lang w:val="en-US"/>
        </w:rPr>
        <w:t>Financial Economics</w:t>
      </w:r>
      <w:r w:rsidRPr="00EC1B39">
        <w:rPr>
          <w:rFonts w:ascii="Garamond" w:hAnsi="Garamond" w:cs="Calibri"/>
          <w:szCs w:val="28"/>
          <w:bdr w:val="none" w:sz="0" w:space="0" w:color="auto" w:frame="1"/>
          <w:lang w:val="en-US"/>
        </w:rPr>
        <w:t>, 60</w:t>
      </w:r>
      <w:r w:rsidR="00614217" w:rsidRPr="00EC1B39">
        <w:rPr>
          <w:rFonts w:ascii="Garamond" w:hAnsi="Garamond" w:cs="Calibri"/>
          <w:szCs w:val="28"/>
          <w:bdr w:val="none" w:sz="0" w:space="0" w:color="auto" w:frame="1"/>
          <w:lang w:val="en-US"/>
        </w:rPr>
        <w:t xml:space="preserve"> </w:t>
      </w:r>
      <w:r w:rsidRPr="00EC1B39">
        <w:rPr>
          <w:rFonts w:ascii="Garamond" w:hAnsi="Garamond" w:cs="Calibri"/>
          <w:szCs w:val="28"/>
          <w:bdr w:val="none" w:sz="0" w:space="0" w:color="auto" w:frame="1"/>
          <w:lang w:val="en-US"/>
        </w:rPr>
        <w:t xml:space="preserve">(2), </w:t>
      </w:r>
      <w:r w:rsidR="00EC1B39">
        <w:rPr>
          <w:rFonts w:ascii="Garamond" w:hAnsi="Garamond" w:cs="Calibri"/>
          <w:szCs w:val="28"/>
          <w:bdr w:val="none" w:sz="0" w:space="0" w:color="auto" w:frame="1"/>
          <w:lang w:val="en-US"/>
        </w:rPr>
        <w:t xml:space="preserve">pp. </w:t>
      </w:r>
      <w:r w:rsidRPr="00EC1B39">
        <w:rPr>
          <w:rFonts w:ascii="Garamond" w:hAnsi="Garamond" w:cs="Calibri"/>
          <w:szCs w:val="28"/>
          <w:bdr w:val="none" w:sz="0" w:space="0" w:color="auto" w:frame="1"/>
          <w:lang w:val="en-US"/>
        </w:rPr>
        <w:t>187</w:t>
      </w:r>
      <w:r w:rsidR="00614217" w:rsidRPr="00EC1B39">
        <w:rPr>
          <w:rFonts w:ascii="Garamond" w:hAnsi="Garamond" w:cs="Calibri"/>
          <w:szCs w:val="28"/>
          <w:bdr w:val="none" w:sz="0" w:space="0" w:color="auto" w:frame="1"/>
          <w:lang w:val="en-US"/>
        </w:rPr>
        <w:t>–</w:t>
      </w:r>
      <w:r w:rsidRPr="00EC1B39">
        <w:rPr>
          <w:rFonts w:ascii="Garamond" w:hAnsi="Garamond" w:cs="Calibri"/>
          <w:szCs w:val="28"/>
          <w:bdr w:val="none" w:sz="0" w:space="0" w:color="auto" w:frame="1"/>
          <w:lang w:val="en-US"/>
        </w:rPr>
        <w:t>243.</w:t>
      </w:r>
    </w:p>
    <w:p w14:paraId="03807F56" w14:textId="77777777" w:rsidR="0072591B" w:rsidRPr="00EC1B39" w:rsidRDefault="0002556C"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Pr>
          <w:rFonts w:ascii="Garamond" w:hAnsi="Garamond" w:cs="Calibri"/>
          <w:szCs w:val="28"/>
          <w:bdr w:val="none" w:sz="0" w:space="0" w:color="auto" w:frame="1"/>
          <w:lang w:val="en-US"/>
        </w:rPr>
        <w:t>Graham, J. R., 2003,</w:t>
      </w:r>
      <w:r w:rsidR="0072591B" w:rsidRPr="00EC1B39">
        <w:rPr>
          <w:rFonts w:ascii="Garamond" w:hAnsi="Garamond" w:cs="Calibri"/>
          <w:szCs w:val="28"/>
          <w:bdr w:val="none" w:sz="0" w:space="0" w:color="auto" w:frame="1"/>
          <w:lang w:val="en-US"/>
        </w:rPr>
        <w:t xml:space="preserve"> Taxes </w:t>
      </w:r>
      <w:r>
        <w:rPr>
          <w:rFonts w:ascii="Garamond" w:hAnsi="Garamond" w:cs="Calibri"/>
          <w:szCs w:val="28"/>
          <w:bdr w:val="none" w:sz="0" w:space="0" w:color="auto" w:frame="1"/>
          <w:lang w:val="en-US"/>
        </w:rPr>
        <w:t>and corporate finance: A review,</w:t>
      </w:r>
      <w:r w:rsidR="0072591B" w:rsidRPr="00EC1B39">
        <w:rPr>
          <w:rFonts w:ascii="Garamond" w:hAnsi="Garamond" w:cs="Calibri"/>
          <w:szCs w:val="28"/>
          <w:bdr w:val="none" w:sz="0" w:space="0" w:color="auto" w:frame="1"/>
          <w:lang w:val="en-US"/>
        </w:rPr>
        <w:t xml:space="preserve"> </w:t>
      </w:r>
      <w:r w:rsidR="0072591B" w:rsidRPr="0002556C">
        <w:rPr>
          <w:rFonts w:ascii="Garamond" w:hAnsi="Garamond" w:cs="Calibri"/>
          <w:i/>
          <w:szCs w:val="28"/>
          <w:bdr w:val="none" w:sz="0" w:space="0" w:color="auto" w:frame="1"/>
          <w:lang w:val="en-US"/>
        </w:rPr>
        <w:t xml:space="preserve">Review of Financial </w:t>
      </w:r>
      <w:r w:rsidR="003C1704">
        <w:rPr>
          <w:rFonts w:ascii="Garamond" w:hAnsi="Garamond" w:cs="Calibri"/>
          <w:i/>
          <w:szCs w:val="28"/>
          <w:bdr w:val="none" w:sz="0" w:space="0" w:color="auto" w:frame="1"/>
          <w:lang w:val="en-US"/>
        </w:rPr>
        <w:t>S</w:t>
      </w:r>
      <w:r w:rsidR="0072591B" w:rsidRPr="0002556C">
        <w:rPr>
          <w:rFonts w:ascii="Garamond" w:hAnsi="Garamond" w:cs="Calibri"/>
          <w:i/>
          <w:szCs w:val="28"/>
          <w:bdr w:val="none" w:sz="0" w:space="0" w:color="auto" w:frame="1"/>
          <w:lang w:val="en-US"/>
        </w:rPr>
        <w:t>tudies</w:t>
      </w:r>
      <w:r w:rsidR="0072591B" w:rsidRPr="00EC1B39">
        <w:rPr>
          <w:rFonts w:ascii="Garamond" w:hAnsi="Garamond" w:cs="Calibri"/>
          <w:szCs w:val="28"/>
          <w:bdr w:val="none" w:sz="0" w:space="0" w:color="auto" w:frame="1"/>
          <w:lang w:val="en-US"/>
        </w:rPr>
        <w:t>, 16</w:t>
      </w:r>
      <w:r w:rsidR="00614217" w:rsidRPr="00EC1B39">
        <w:rPr>
          <w:rFonts w:ascii="Garamond" w:hAnsi="Garamond" w:cs="Calibri"/>
          <w:szCs w:val="28"/>
          <w:bdr w:val="none" w:sz="0" w:space="0" w:color="auto" w:frame="1"/>
          <w:lang w:val="en-US"/>
        </w:rPr>
        <w:t xml:space="preserve"> </w:t>
      </w:r>
      <w:r w:rsidR="0072591B" w:rsidRPr="00EC1B39">
        <w:rPr>
          <w:rFonts w:ascii="Garamond" w:hAnsi="Garamond" w:cs="Calibri"/>
          <w:szCs w:val="28"/>
          <w:bdr w:val="none" w:sz="0" w:space="0" w:color="auto" w:frame="1"/>
          <w:lang w:val="en-US"/>
        </w:rPr>
        <w:t xml:space="preserve">(4), </w:t>
      </w:r>
      <w:r>
        <w:rPr>
          <w:rFonts w:ascii="Garamond" w:hAnsi="Garamond" w:cs="Calibri"/>
          <w:szCs w:val="28"/>
          <w:bdr w:val="none" w:sz="0" w:space="0" w:color="auto" w:frame="1"/>
          <w:lang w:val="en-US"/>
        </w:rPr>
        <w:t xml:space="preserve">pp. </w:t>
      </w:r>
      <w:r w:rsidR="0072591B" w:rsidRPr="00EC1B39">
        <w:rPr>
          <w:rFonts w:ascii="Garamond" w:hAnsi="Garamond" w:cs="Calibri"/>
          <w:szCs w:val="28"/>
          <w:bdr w:val="none" w:sz="0" w:space="0" w:color="auto" w:frame="1"/>
          <w:lang w:val="en-US"/>
        </w:rPr>
        <w:t>1075</w:t>
      </w:r>
      <w:r w:rsidR="00614217" w:rsidRPr="00EC1B39">
        <w:rPr>
          <w:rFonts w:ascii="Garamond" w:hAnsi="Garamond" w:cs="Calibri"/>
          <w:szCs w:val="28"/>
          <w:bdr w:val="none" w:sz="0" w:space="0" w:color="auto" w:frame="1"/>
          <w:lang w:val="en-US"/>
        </w:rPr>
        <w:t>–</w:t>
      </w:r>
      <w:r w:rsidR="0072591B" w:rsidRPr="00EC1B39">
        <w:rPr>
          <w:rFonts w:ascii="Garamond" w:hAnsi="Garamond" w:cs="Calibri"/>
          <w:szCs w:val="28"/>
          <w:bdr w:val="none" w:sz="0" w:space="0" w:color="auto" w:frame="1"/>
          <w:lang w:val="en-US"/>
        </w:rPr>
        <w:t>1129.</w:t>
      </w:r>
    </w:p>
    <w:p w14:paraId="73A1ABC7" w14:textId="77777777" w:rsidR="0072591B" w:rsidRPr="00EC1B39" w:rsidRDefault="0002556C"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Pr>
          <w:rFonts w:ascii="Garamond" w:hAnsi="Garamond" w:cs="Calibri"/>
          <w:szCs w:val="28"/>
          <w:bdr w:val="none" w:sz="0" w:space="0" w:color="auto" w:frame="1"/>
          <w:lang w:val="en-US"/>
        </w:rPr>
        <w:t xml:space="preserve">Mayer, C., 1988, </w:t>
      </w:r>
      <w:r w:rsidR="0072591B" w:rsidRPr="00EC1B39">
        <w:rPr>
          <w:rFonts w:ascii="Garamond" w:hAnsi="Garamond" w:cs="Calibri"/>
          <w:szCs w:val="28"/>
          <w:bdr w:val="none" w:sz="0" w:space="0" w:color="auto" w:frame="1"/>
          <w:lang w:val="en-US"/>
        </w:rPr>
        <w:t>New issues in corpora</w:t>
      </w:r>
      <w:r>
        <w:rPr>
          <w:rFonts w:ascii="Garamond" w:hAnsi="Garamond" w:cs="Calibri"/>
          <w:szCs w:val="28"/>
          <w:bdr w:val="none" w:sz="0" w:space="0" w:color="auto" w:frame="1"/>
          <w:lang w:val="en-US"/>
        </w:rPr>
        <w:t>te finance,</w:t>
      </w:r>
      <w:r w:rsidR="0072591B" w:rsidRPr="00EC1B39">
        <w:rPr>
          <w:rFonts w:ascii="Garamond" w:hAnsi="Garamond" w:cs="Calibri"/>
          <w:szCs w:val="28"/>
          <w:bdr w:val="none" w:sz="0" w:space="0" w:color="auto" w:frame="1"/>
          <w:lang w:val="en-US"/>
        </w:rPr>
        <w:t xml:space="preserve"> </w:t>
      </w:r>
      <w:r w:rsidR="0072591B" w:rsidRPr="0002556C">
        <w:rPr>
          <w:rFonts w:ascii="Garamond" w:hAnsi="Garamond" w:cs="Calibri"/>
          <w:i/>
          <w:szCs w:val="28"/>
          <w:bdr w:val="none" w:sz="0" w:space="0" w:color="auto" w:frame="1"/>
          <w:lang w:val="en-US"/>
        </w:rPr>
        <w:t>European Economic Review</w:t>
      </w:r>
      <w:r w:rsidR="0072591B" w:rsidRPr="00EC1B39">
        <w:rPr>
          <w:rFonts w:ascii="Garamond" w:hAnsi="Garamond" w:cs="Calibri"/>
          <w:szCs w:val="28"/>
          <w:bdr w:val="none" w:sz="0" w:space="0" w:color="auto" w:frame="1"/>
          <w:lang w:val="en-US"/>
        </w:rPr>
        <w:t>, 32</w:t>
      </w:r>
      <w:r w:rsidR="00614217" w:rsidRPr="00EC1B39">
        <w:rPr>
          <w:rFonts w:ascii="Garamond" w:hAnsi="Garamond" w:cs="Calibri"/>
          <w:szCs w:val="28"/>
          <w:bdr w:val="none" w:sz="0" w:space="0" w:color="auto" w:frame="1"/>
          <w:lang w:val="en-US"/>
        </w:rPr>
        <w:t xml:space="preserve"> </w:t>
      </w:r>
      <w:r w:rsidR="0072591B" w:rsidRPr="00EC1B39">
        <w:rPr>
          <w:rFonts w:ascii="Garamond" w:hAnsi="Garamond" w:cs="Calibri"/>
          <w:szCs w:val="28"/>
          <w:bdr w:val="none" w:sz="0" w:space="0" w:color="auto" w:frame="1"/>
          <w:lang w:val="en-US"/>
        </w:rPr>
        <w:t xml:space="preserve">(5), </w:t>
      </w:r>
      <w:r>
        <w:rPr>
          <w:rFonts w:ascii="Garamond" w:hAnsi="Garamond" w:cs="Calibri"/>
          <w:szCs w:val="28"/>
          <w:bdr w:val="none" w:sz="0" w:space="0" w:color="auto" w:frame="1"/>
          <w:lang w:val="en-US"/>
        </w:rPr>
        <w:t xml:space="preserve">pp. </w:t>
      </w:r>
      <w:r w:rsidR="0072591B" w:rsidRPr="00EC1B39">
        <w:rPr>
          <w:rFonts w:ascii="Garamond" w:hAnsi="Garamond" w:cs="Calibri"/>
          <w:szCs w:val="28"/>
          <w:bdr w:val="none" w:sz="0" w:space="0" w:color="auto" w:frame="1"/>
          <w:lang w:val="en-US"/>
        </w:rPr>
        <w:t>1167</w:t>
      </w:r>
      <w:r w:rsidR="00614217" w:rsidRPr="00EC1B39">
        <w:rPr>
          <w:rFonts w:ascii="Garamond" w:hAnsi="Garamond" w:cs="Calibri"/>
          <w:szCs w:val="28"/>
          <w:bdr w:val="none" w:sz="0" w:space="0" w:color="auto" w:frame="1"/>
          <w:lang w:val="en-US"/>
        </w:rPr>
        <w:t>–</w:t>
      </w:r>
      <w:r w:rsidR="0072591B" w:rsidRPr="00EC1B39">
        <w:rPr>
          <w:rFonts w:ascii="Garamond" w:hAnsi="Garamond" w:cs="Calibri"/>
          <w:szCs w:val="28"/>
          <w:bdr w:val="none" w:sz="0" w:space="0" w:color="auto" w:frame="1"/>
          <w:lang w:val="en-US"/>
        </w:rPr>
        <w:t>1183.</w:t>
      </w:r>
    </w:p>
    <w:p w14:paraId="1C47F193" w14:textId="77777777" w:rsidR="0072591B" w:rsidRPr="00EC1B39" w:rsidRDefault="0072591B"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sidRPr="00EC1B39">
        <w:rPr>
          <w:rFonts w:ascii="Garamond" w:hAnsi="Garamond" w:cs="Calibri"/>
          <w:szCs w:val="28"/>
          <w:bdr w:val="none" w:sz="0" w:space="0" w:color="auto" w:frame="1"/>
          <w:lang w:val="en-US"/>
        </w:rPr>
        <w:t>Ross, S. A., Westerfield, R.,</w:t>
      </w:r>
      <w:r w:rsidR="0002556C">
        <w:rPr>
          <w:rFonts w:ascii="Garamond" w:hAnsi="Garamond" w:cs="Calibri"/>
          <w:szCs w:val="28"/>
          <w:bdr w:val="none" w:sz="0" w:space="0" w:color="auto" w:frame="1"/>
          <w:lang w:val="en-US"/>
        </w:rPr>
        <w:t xml:space="preserve"> and Jordan, B. D., 2008,</w:t>
      </w:r>
      <w:r w:rsidRPr="00EC1B39">
        <w:rPr>
          <w:rFonts w:ascii="Garamond" w:hAnsi="Garamond" w:cs="Calibri"/>
          <w:szCs w:val="28"/>
          <w:bdr w:val="none" w:sz="0" w:space="0" w:color="auto" w:frame="1"/>
          <w:lang w:val="en-US"/>
        </w:rPr>
        <w:t xml:space="preserve"> </w:t>
      </w:r>
      <w:r w:rsidRPr="0002556C">
        <w:rPr>
          <w:rFonts w:ascii="Garamond" w:hAnsi="Garamond" w:cs="Calibri"/>
          <w:i/>
          <w:szCs w:val="28"/>
          <w:bdr w:val="none" w:sz="0" w:space="0" w:color="auto" w:frame="1"/>
          <w:lang w:val="en-US"/>
        </w:rPr>
        <w:t xml:space="preserve">Fundamentals of </w:t>
      </w:r>
      <w:r w:rsidR="003C1704">
        <w:rPr>
          <w:rFonts w:ascii="Garamond" w:hAnsi="Garamond" w:cs="Calibri"/>
          <w:i/>
          <w:szCs w:val="28"/>
          <w:bdr w:val="none" w:sz="0" w:space="0" w:color="auto" w:frame="1"/>
          <w:lang w:val="en-US"/>
        </w:rPr>
        <w:t>C</w:t>
      </w:r>
      <w:r w:rsidR="003C1704" w:rsidRPr="0002556C">
        <w:rPr>
          <w:rFonts w:ascii="Garamond" w:hAnsi="Garamond" w:cs="Calibri"/>
          <w:i/>
          <w:szCs w:val="28"/>
          <w:bdr w:val="none" w:sz="0" w:space="0" w:color="auto" w:frame="1"/>
          <w:lang w:val="en-US"/>
        </w:rPr>
        <w:t>orporate Fi</w:t>
      </w:r>
      <w:r w:rsidRPr="0002556C">
        <w:rPr>
          <w:rFonts w:ascii="Garamond" w:hAnsi="Garamond" w:cs="Calibri"/>
          <w:i/>
          <w:szCs w:val="28"/>
          <w:bdr w:val="none" w:sz="0" w:space="0" w:color="auto" w:frame="1"/>
          <w:lang w:val="en-US"/>
        </w:rPr>
        <w:t>nance</w:t>
      </w:r>
      <w:r w:rsidRPr="00EC1B39">
        <w:rPr>
          <w:rFonts w:ascii="Garamond" w:hAnsi="Garamond" w:cs="Calibri"/>
          <w:szCs w:val="28"/>
          <w:bdr w:val="none" w:sz="0" w:space="0" w:color="auto" w:frame="1"/>
          <w:lang w:val="en-US"/>
        </w:rPr>
        <w:t>, Tata McGraw-Hill Education.</w:t>
      </w:r>
    </w:p>
    <w:p w14:paraId="0F0B46AF" w14:textId="77777777" w:rsidR="0072591B" w:rsidRPr="00EC1B39" w:rsidRDefault="0002556C" w:rsidP="006F749C">
      <w:pPr>
        <w:pStyle w:val="ListParagraph"/>
        <w:numPr>
          <w:ilvl w:val="3"/>
          <w:numId w:val="167"/>
        </w:numPr>
        <w:tabs>
          <w:tab w:val="clear" w:pos="3237"/>
        </w:tabs>
        <w:spacing w:line="240" w:lineRule="atLeast"/>
        <w:ind w:left="284" w:hanging="284"/>
        <w:jc w:val="both"/>
        <w:rPr>
          <w:rFonts w:ascii="Garamond" w:hAnsi="Garamond" w:cs="Calibri"/>
          <w:szCs w:val="28"/>
          <w:bdr w:val="none" w:sz="0" w:space="0" w:color="auto" w:frame="1"/>
          <w:lang w:val="en-US"/>
        </w:rPr>
      </w:pPr>
      <w:r>
        <w:rPr>
          <w:rFonts w:ascii="Garamond" w:hAnsi="Garamond" w:cs="Calibri"/>
          <w:szCs w:val="28"/>
          <w:bdr w:val="none" w:sz="0" w:space="0" w:color="auto" w:frame="1"/>
          <w:lang w:val="en-US"/>
        </w:rPr>
        <w:t>Tirole, J., 2010,</w:t>
      </w:r>
      <w:r w:rsidR="0072591B" w:rsidRPr="00EC1B39">
        <w:rPr>
          <w:rFonts w:ascii="Garamond" w:hAnsi="Garamond" w:cs="Calibri"/>
          <w:szCs w:val="28"/>
          <w:bdr w:val="none" w:sz="0" w:space="0" w:color="auto" w:frame="1"/>
          <w:lang w:val="en-US"/>
        </w:rPr>
        <w:t xml:space="preserve"> </w:t>
      </w:r>
      <w:r w:rsidR="0072591B" w:rsidRPr="0002556C">
        <w:rPr>
          <w:rFonts w:ascii="Garamond" w:hAnsi="Garamond" w:cs="Calibri"/>
          <w:i/>
          <w:szCs w:val="28"/>
          <w:bdr w:val="none" w:sz="0" w:space="0" w:color="auto" w:frame="1"/>
          <w:lang w:val="en-US"/>
        </w:rPr>
        <w:t xml:space="preserve">The </w:t>
      </w:r>
      <w:r w:rsidR="003C1704" w:rsidRPr="0002556C">
        <w:rPr>
          <w:rFonts w:ascii="Garamond" w:hAnsi="Garamond" w:cs="Calibri"/>
          <w:i/>
          <w:szCs w:val="28"/>
          <w:bdr w:val="none" w:sz="0" w:space="0" w:color="auto" w:frame="1"/>
          <w:lang w:val="en-US"/>
        </w:rPr>
        <w:t xml:space="preserve">Theory </w:t>
      </w:r>
      <w:r w:rsidR="003C1704">
        <w:rPr>
          <w:rFonts w:ascii="Garamond" w:hAnsi="Garamond" w:cs="Calibri"/>
          <w:i/>
          <w:szCs w:val="28"/>
          <w:bdr w:val="none" w:sz="0" w:space="0" w:color="auto" w:frame="1"/>
          <w:lang w:val="en-US"/>
        </w:rPr>
        <w:t>o</w:t>
      </w:r>
      <w:r w:rsidR="003C1704" w:rsidRPr="0002556C">
        <w:rPr>
          <w:rFonts w:ascii="Garamond" w:hAnsi="Garamond" w:cs="Calibri"/>
          <w:i/>
          <w:szCs w:val="28"/>
          <w:bdr w:val="none" w:sz="0" w:space="0" w:color="auto" w:frame="1"/>
          <w:lang w:val="en-US"/>
        </w:rPr>
        <w:t>f Corporate Finance</w:t>
      </w:r>
      <w:r>
        <w:rPr>
          <w:rFonts w:ascii="Garamond" w:hAnsi="Garamond" w:cs="Calibri"/>
          <w:szCs w:val="28"/>
          <w:bdr w:val="none" w:sz="0" w:space="0" w:color="auto" w:frame="1"/>
          <w:lang w:val="en-US"/>
        </w:rPr>
        <w:t>,</w:t>
      </w:r>
      <w:r w:rsidR="0072591B" w:rsidRPr="00EC1B39">
        <w:rPr>
          <w:rFonts w:ascii="Garamond" w:hAnsi="Garamond" w:cs="Calibri"/>
          <w:szCs w:val="28"/>
          <w:bdr w:val="none" w:sz="0" w:space="0" w:color="auto" w:frame="1"/>
          <w:lang w:val="en-US"/>
        </w:rPr>
        <w:t xml:space="preserve"> Princeton University Press.</w:t>
      </w:r>
    </w:p>
    <w:p w14:paraId="3EA3567B" w14:textId="77777777" w:rsidR="003C51B1" w:rsidRPr="003C51B1" w:rsidRDefault="003C51B1" w:rsidP="00A31BBA">
      <w:pPr>
        <w:pStyle w:val="end2"/>
        <w:rPr>
          <w:rFonts w:eastAsia="Garamond"/>
          <w:u w:color="000000"/>
          <w:bdr w:val="nil"/>
        </w:rPr>
      </w:pPr>
      <w:r w:rsidRPr="003C51B1">
        <w:rPr>
          <w:rFonts w:eastAsia="Calibri"/>
          <w:u w:color="000000"/>
          <w:bdr w:val="nil"/>
        </w:rPr>
        <w:lastRenderedPageBreak/>
        <w:t>Key terms</w:t>
      </w:r>
    </w:p>
    <w:tbl>
      <w:tblPr>
        <w:tblStyle w:val="TableNormal1"/>
        <w:tblW w:w="9615"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093"/>
        <w:gridCol w:w="7522"/>
      </w:tblGrid>
      <w:tr w:rsidR="003C51B1" w:rsidRPr="003C51B1" w14:paraId="0D080E7D" w14:textId="77777777" w:rsidTr="003C51B1">
        <w:trPr>
          <w:trHeight w:val="96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1B397B49"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business entity </w:t>
            </w:r>
          </w:p>
        </w:tc>
        <w:tc>
          <w:tcPr>
            <w:tcW w:w="7522" w:type="dxa"/>
            <w:tcBorders>
              <w:top w:val="nil"/>
              <w:left w:val="nil"/>
              <w:bottom w:val="nil"/>
              <w:right w:val="nil"/>
            </w:tcBorders>
            <w:shd w:val="clear" w:color="auto" w:fill="auto"/>
            <w:tcMar>
              <w:top w:w="80" w:type="dxa"/>
              <w:left w:w="80" w:type="dxa"/>
              <w:bottom w:w="80" w:type="dxa"/>
              <w:right w:w="80" w:type="dxa"/>
            </w:tcMar>
          </w:tcPr>
          <w:p w14:paraId="073B67C1"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is a commercial, corporate and/or other institution that is formed and administered as per commercial law in order to engage in business activities, usually for the sale of a product or a service, have separate property and responsible for its obligations within the property.</w:t>
            </w:r>
          </w:p>
        </w:tc>
      </w:tr>
      <w:tr w:rsidR="003C51B1" w:rsidRPr="003C51B1" w14:paraId="5990B318" w14:textId="77777777" w:rsidTr="003C51B1">
        <w:trPr>
          <w:trHeight w:val="24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09208DCE"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monetary fund  </w:t>
            </w:r>
          </w:p>
        </w:tc>
        <w:tc>
          <w:tcPr>
            <w:tcW w:w="7522" w:type="dxa"/>
            <w:tcBorders>
              <w:top w:val="nil"/>
              <w:left w:val="nil"/>
              <w:bottom w:val="nil"/>
              <w:right w:val="nil"/>
            </w:tcBorders>
            <w:shd w:val="clear" w:color="auto" w:fill="auto"/>
            <w:tcMar>
              <w:top w:w="80" w:type="dxa"/>
              <w:left w:w="80" w:type="dxa"/>
              <w:bottom w:w="80" w:type="dxa"/>
              <w:right w:w="80" w:type="dxa"/>
            </w:tcMar>
          </w:tcPr>
          <w:p w14:paraId="40ECDABF" w14:textId="77777777" w:rsidR="003C51B1" w:rsidRPr="003C51B1" w:rsidRDefault="003C51B1" w:rsidP="003C51B1">
            <w:pPr>
              <w:rPr>
                <w:rFonts w:ascii="Calibri" w:eastAsia="Calibri" w:hAnsi="Calibri" w:cs="Calibri"/>
                <w:u w:color="000000"/>
                <w:lang w:val="en-US"/>
              </w:rPr>
            </w:pPr>
            <w:r w:rsidRPr="003C51B1">
              <w:rPr>
                <w:rFonts w:eastAsia="Calibri" w:hAnsi="Calibri" w:cs="Calibri"/>
                <w:u w:color="000000"/>
                <w:lang w:val="en-US"/>
              </w:rPr>
              <w:t>is a reserve of money set aside for some purpose</w:t>
            </w:r>
            <w:r w:rsidR="00614217">
              <w:rPr>
                <w:rFonts w:eastAsia="Calibri" w:hAnsi="Calibri" w:cs="Calibri"/>
                <w:u w:color="000000"/>
                <w:lang w:val="en-US"/>
              </w:rPr>
              <w:t>.</w:t>
            </w:r>
          </w:p>
        </w:tc>
      </w:tr>
      <w:tr w:rsidR="003C51B1" w:rsidRPr="003C51B1" w14:paraId="4EE0C906" w14:textId="77777777" w:rsidTr="003C51B1">
        <w:trPr>
          <w:trHeight w:val="16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1F33742A" w14:textId="77777777" w:rsidR="003C51B1" w:rsidRPr="003C51B1" w:rsidRDefault="003C51B1" w:rsidP="00A31BBA">
            <w:pPr>
              <w:rPr>
                <w:rFonts w:ascii="Calibri" w:eastAsia="Calibri" w:hAnsi="Calibri" w:cs="Calibri"/>
                <w:u w:color="000000"/>
                <w:lang w:val="en-US"/>
              </w:rPr>
            </w:pPr>
            <w:r w:rsidRPr="003C51B1">
              <w:rPr>
                <w:rFonts w:eastAsia="Calibri" w:hAnsi="Calibri" w:cs="Calibri"/>
                <w:b/>
                <w:bCs/>
                <w:u w:color="000000"/>
                <w:lang w:val="en-US"/>
              </w:rPr>
              <w:t xml:space="preserve">authorized capital (authorized share capital, registered capital or nominal capital)  </w:t>
            </w:r>
          </w:p>
        </w:tc>
        <w:tc>
          <w:tcPr>
            <w:tcW w:w="7522" w:type="dxa"/>
            <w:tcBorders>
              <w:top w:val="nil"/>
              <w:left w:val="nil"/>
              <w:bottom w:val="nil"/>
              <w:right w:val="nil"/>
            </w:tcBorders>
            <w:shd w:val="clear" w:color="auto" w:fill="auto"/>
            <w:tcMar>
              <w:top w:w="80" w:type="dxa"/>
              <w:left w:w="80" w:type="dxa"/>
              <w:bottom w:w="80" w:type="dxa"/>
              <w:right w:w="80" w:type="dxa"/>
            </w:tcMar>
          </w:tcPr>
          <w:p w14:paraId="13FC3DEF"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is the maximum amount of share capital (the maximum value of securities) that the company is authorized by its constitutional documents to issue (allocate) to shareholders. This number is specified in the memorandum of association (or articles of incorporation in the US) when a company is incorporated, but can be changed later with shareholders' approval. Authorized capital is the main source of initial own funds and presents the upper boundary for the actually issued share capital.</w:t>
            </w:r>
          </w:p>
        </w:tc>
      </w:tr>
      <w:tr w:rsidR="003C51B1" w:rsidRPr="003C51B1" w14:paraId="1EB7B121"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208CC4CC"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issued share capital  </w:t>
            </w:r>
          </w:p>
        </w:tc>
        <w:tc>
          <w:tcPr>
            <w:tcW w:w="7522" w:type="dxa"/>
            <w:tcBorders>
              <w:top w:val="nil"/>
              <w:left w:val="nil"/>
              <w:bottom w:val="nil"/>
              <w:right w:val="nil"/>
            </w:tcBorders>
            <w:shd w:val="clear" w:color="auto" w:fill="auto"/>
            <w:tcMar>
              <w:top w:w="80" w:type="dxa"/>
              <w:left w:w="80" w:type="dxa"/>
              <w:bottom w:w="80" w:type="dxa"/>
              <w:right w:w="80" w:type="dxa"/>
            </w:tcMar>
          </w:tcPr>
          <w:p w14:paraId="536682E0"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is the total of the share capital issued (allocated) to shareholders; it may be less or equal to the authorized capital.</w:t>
            </w:r>
          </w:p>
        </w:tc>
      </w:tr>
      <w:tr w:rsidR="003C51B1" w:rsidRPr="003C51B1" w14:paraId="35913DEA" w14:textId="77777777" w:rsidTr="003C51B1">
        <w:trPr>
          <w:trHeight w:val="96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08130C18"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paid up capital  </w:t>
            </w:r>
          </w:p>
        </w:tc>
        <w:tc>
          <w:tcPr>
            <w:tcW w:w="7522" w:type="dxa"/>
            <w:tcBorders>
              <w:top w:val="nil"/>
              <w:left w:val="nil"/>
              <w:bottom w:val="nil"/>
              <w:right w:val="nil"/>
            </w:tcBorders>
            <w:shd w:val="clear" w:color="auto" w:fill="auto"/>
            <w:tcMar>
              <w:top w:w="80" w:type="dxa"/>
              <w:left w:w="80" w:type="dxa"/>
              <w:bottom w:w="80" w:type="dxa"/>
              <w:right w:w="80" w:type="dxa"/>
            </w:tcMar>
          </w:tcPr>
          <w:p w14:paraId="5DC3A4AC"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 xml:space="preserve">is </w:t>
            </w:r>
            <w:r w:rsidR="003C1704">
              <w:rPr>
                <w:rFonts w:eastAsia="Calibri" w:hAnsi="Calibri" w:cs="Calibri"/>
                <w:u w:color="000000"/>
                <w:lang w:val="en-US"/>
              </w:rPr>
              <w:t xml:space="preserve">the </w:t>
            </w:r>
            <w:r w:rsidRPr="003C51B1">
              <w:rPr>
                <w:rFonts w:eastAsia="Calibri" w:hAnsi="Calibri" w:cs="Calibri"/>
                <w:u w:color="000000"/>
                <w:lang w:val="en-US"/>
              </w:rPr>
              <w:t xml:space="preserve">amount of money that has been received from the shareholders (who have completely paid for their purchased shares) in exchange for shares; it can be less than a company's total capital because a company may not issue all of the shares that it has been authorized to sell. </w:t>
            </w:r>
          </w:p>
        </w:tc>
      </w:tr>
      <w:tr w:rsidR="003C51B1" w:rsidRPr="003C51B1" w14:paraId="7D75332C"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20011546"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unpaid capital  </w:t>
            </w:r>
          </w:p>
        </w:tc>
        <w:tc>
          <w:tcPr>
            <w:tcW w:w="7522" w:type="dxa"/>
            <w:tcBorders>
              <w:top w:val="nil"/>
              <w:left w:val="nil"/>
              <w:bottom w:val="nil"/>
              <w:right w:val="nil"/>
            </w:tcBorders>
            <w:shd w:val="clear" w:color="auto" w:fill="auto"/>
            <w:tcMar>
              <w:top w:w="80" w:type="dxa"/>
              <w:left w:w="80" w:type="dxa"/>
              <w:bottom w:w="80" w:type="dxa"/>
              <w:right w:w="80" w:type="dxa"/>
            </w:tcMar>
          </w:tcPr>
          <w:p w14:paraId="6499DB0B" w14:textId="77777777" w:rsidR="003C51B1" w:rsidRPr="003C51B1" w:rsidRDefault="003C51B1" w:rsidP="003C51B1">
            <w:pPr>
              <w:spacing w:after="120" w:line="240" w:lineRule="atLeast"/>
              <w:ind w:firstLine="33"/>
              <w:jc w:val="both"/>
              <w:rPr>
                <w:rFonts w:ascii="Calibri" w:eastAsia="Calibri" w:hAnsi="Calibri" w:cs="Calibri"/>
                <w:u w:color="000000"/>
                <w:lang w:val="en-US"/>
              </w:rPr>
            </w:pPr>
            <w:r w:rsidRPr="003C51B1">
              <w:rPr>
                <w:rFonts w:eastAsia="Calibri" w:hAnsi="Calibri" w:cs="Calibri"/>
                <w:u w:color="000000"/>
                <w:lang w:val="en-US"/>
              </w:rPr>
              <w:t xml:space="preserve">is </w:t>
            </w:r>
            <w:r w:rsidR="003C1704">
              <w:rPr>
                <w:rFonts w:eastAsia="Calibri" w:hAnsi="Calibri" w:cs="Calibri"/>
                <w:u w:color="000000"/>
                <w:lang w:val="en-US"/>
              </w:rPr>
              <w:t xml:space="preserve">the </w:t>
            </w:r>
            <w:r w:rsidRPr="003C51B1">
              <w:rPr>
                <w:rFonts w:eastAsia="Calibri" w:hAnsi="Calibri" w:cs="Calibri"/>
                <w:u w:color="000000"/>
                <w:lang w:val="en-US"/>
              </w:rPr>
              <w:t>amount of the nominal value of shares remaining unpaid by the shareholders for the shares they have bought.</w:t>
            </w:r>
          </w:p>
        </w:tc>
      </w:tr>
      <w:tr w:rsidR="003C51B1" w:rsidRPr="003C51B1" w14:paraId="3F0687FE" w14:textId="77777777" w:rsidTr="003C51B1">
        <w:trPr>
          <w:trHeight w:val="96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14391AB2" w14:textId="77777777" w:rsidR="003C51B1" w:rsidRPr="003C51B1" w:rsidRDefault="00A31BBA" w:rsidP="003C51B1">
            <w:pPr>
              <w:rPr>
                <w:rFonts w:ascii="Calibri" w:eastAsia="Calibri" w:hAnsi="Calibri" w:cs="Calibri"/>
                <w:u w:color="000000"/>
                <w:lang w:val="en-US"/>
              </w:rPr>
            </w:pPr>
            <w:r>
              <w:rPr>
                <w:rFonts w:eastAsia="Calibri" w:hAnsi="Calibri" w:cs="Calibri"/>
                <w:b/>
                <w:bCs/>
                <w:u w:color="000000"/>
                <w:lang w:val="en-US"/>
              </w:rPr>
              <w:t>depreciation fund</w:t>
            </w:r>
            <w:r>
              <w:rPr>
                <w:rFonts w:eastAsia="Calibri" w:hAnsi="Calibri" w:cs="Calibri"/>
                <w:b/>
                <w:bCs/>
                <w:u w:color="000000"/>
                <w:lang w:val="en-US"/>
              </w:rPr>
              <w:t> </w:t>
            </w:r>
            <w:r w:rsidR="003C51B1" w:rsidRPr="003C51B1">
              <w:rPr>
                <w:rFonts w:eastAsia="Calibri" w:hAnsi="Calibri" w:cs="Calibri"/>
                <w:b/>
                <w:bCs/>
                <w:u w:color="000000"/>
                <w:lang w:val="en-US"/>
              </w:rPr>
              <w:t xml:space="preserve"> </w:t>
            </w:r>
          </w:p>
        </w:tc>
        <w:tc>
          <w:tcPr>
            <w:tcW w:w="7522" w:type="dxa"/>
            <w:tcBorders>
              <w:top w:val="nil"/>
              <w:left w:val="nil"/>
              <w:bottom w:val="nil"/>
              <w:right w:val="nil"/>
            </w:tcBorders>
            <w:shd w:val="clear" w:color="auto" w:fill="auto"/>
            <w:tcMar>
              <w:top w:w="80" w:type="dxa"/>
              <w:left w:w="80" w:type="dxa"/>
              <w:bottom w:w="80" w:type="dxa"/>
              <w:right w:w="80" w:type="dxa"/>
            </w:tcMar>
          </w:tcPr>
          <w:p w14:paraId="6DC1CDF1" w14:textId="77777777" w:rsidR="003C51B1" w:rsidRPr="003C51B1" w:rsidRDefault="003C51B1" w:rsidP="000B2D7B">
            <w:pPr>
              <w:spacing w:after="120" w:line="240" w:lineRule="atLeast"/>
              <w:ind w:firstLine="33"/>
              <w:jc w:val="both"/>
              <w:rPr>
                <w:rFonts w:ascii="Calibri" w:eastAsia="Calibri" w:hAnsi="Calibri" w:cs="Calibri"/>
                <w:u w:color="000000"/>
                <w:lang w:val="en-US"/>
              </w:rPr>
            </w:pPr>
            <w:r w:rsidRPr="003C51B1">
              <w:rPr>
                <w:rFonts w:eastAsia="Calibri" w:hAnsi="Calibri" w:cs="Calibri"/>
                <w:u w:color="000000"/>
                <w:lang w:val="en-US"/>
              </w:rPr>
              <w:t>is a fund (an amount of money) set up by a company to provide money to buy new fixed assets. Every year, the fund invests an amount of money equal to an existing asset's depreciation allowance, giving the company money that can be used to buy new assets.</w:t>
            </w:r>
          </w:p>
        </w:tc>
      </w:tr>
      <w:tr w:rsidR="003C51B1" w:rsidRPr="003C51B1" w14:paraId="7A6E3D6C"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789BF542" w14:textId="77777777" w:rsidR="003C51B1" w:rsidRPr="003C51B1" w:rsidRDefault="000B2D7B" w:rsidP="000B2D7B">
            <w:pPr>
              <w:rPr>
                <w:rFonts w:ascii="Calibri" w:eastAsia="Calibri" w:hAnsi="Calibri" w:cs="Calibri"/>
                <w:u w:color="000000"/>
                <w:lang w:val="en-US"/>
              </w:rPr>
            </w:pPr>
            <w:r>
              <w:rPr>
                <w:rFonts w:eastAsia="Calibri" w:hAnsi="Calibri" w:cs="Calibri"/>
                <w:b/>
                <w:bCs/>
                <w:u w:color="000000"/>
                <w:lang w:val="en-US"/>
              </w:rPr>
              <w:t>production-</w:t>
            </w:r>
            <w:r w:rsidR="00A31BBA">
              <w:rPr>
                <w:rFonts w:eastAsia="Calibri" w:hAnsi="Calibri" w:cs="Calibri"/>
                <w:b/>
                <w:bCs/>
                <w:u w:color="000000"/>
                <w:lang w:val="en-US"/>
              </w:rPr>
              <w:t>development fund</w:t>
            </w:r>
            <w:r w:rsidR="00A31BBA">
              <w:rPr>
                <w:rFonts w:eastAsia="Calibri" w:hAnsi="Calibri" w:cs="Calibri"/>
                <w:b/>
                <w:bCs/>
                <w:u w:color="000000"/>
                <w:lang w:val="en-US"/>
              </w:rPr>
              <w:t> </w:t>
            </w:r>
            <w:r w:rsidR="003C51B1" w:rsidRPr="003C51B1">
              <w:rPr>
                <w:rFonts w:eastAsia="Calibri" w:hAnsi="Calibri" w:cs="Calibri"/>
                <w:b/>
                <w:bCs/>
                <w:u w:color="000000"/>
                <w:lang w:val="en-US"/>
              </w:rPr>
              <w:t xml:space="preserve"> </w:t>
            </w:r>
          </w:p>
        </w:tc>
        <w:tc>
          <w:tcPr>
            <w:tcW w:w="7522" w:type="dxa"/>
            <w:tcBorders>
              <w:top w:val="nil"/>
              <w:left w:val="nil"/>
              <w:bottom w:val="nil"/>
              <w:right w:val="nil"/>
            </w:tcBorders>
            <w:shd w:val="clear" w:color="auto" w:fill="auto"/>
            <w:tcMar>
              <w:top w:w="80" w:type="dxa"/>
              <w:left w:w="80" w:type="dxa"/>
              <w:bottom w:w="80" w:type="dxa"/>
              <w:right w:w="80" w:type="dxa"/>
            </w:tcMar>
          </w:tcPr>
          <w:p w14:paraId="121CEAF4"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 xml:space="preserve">is a fund (an amount </w:t>
            </w:r>
            <w:r w:rsidR="000B2D7B">
              <w:rPr>
                <w:rFonts w:eastAsia="Calibri" w:hAnsi="Calibri" w:cs="Calibri"/>
                <w:u w:color="000000"/>
                <w:lang w:val="en-US"/>
              </w:rPr>
              <w:t>of money</w:t>
            </w:r>
            <w:r w:rsidRPr="003C51B1">
              <w:rPr>
                <w:rFonts w:eastAsia="Calibri" w:hAnsi="Calibri" w:cs="Calibri"/>
                <w:u w:color="000000"/>
                <w:lang w:val="en-US"/>
              </w:rPr>
              <w:t>) set up by a company to provide funding for feature film development and production.</w:t>
            </w:r>
          </w:p>
        </w:tc>
      </w:tr>
      <w:tr w:rsidR="003C51B1" w:rsidRPr="003C51B1" w14:paraId="1541B2BE"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72374D92"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pay-roll fund  </w:t>
            </w:r>
          </w:p>
        </w:tc>
        <w:tc>
          <w:tcPr>
            <w:tcW w:w="7522" w:type="dxa"/>
            <w:tcBorders>
              <w:top w:val="nil"/>
              <w:left w:val="nil"/>
              <w:bottom w:val="nil"/>
              <w:right w:val="nil"/>
            </w:tcBorders>
            <w:shd w:val="clear" w:color="auto" w:fill="auto"/>
            <w:tcMar>
              <w:top w:w="80" w:type="dxa"/>
              <w:left w:w="80" w:type="dxa"/>
              <w:bottom w:w="80" w:type="dxa"/>
              <w:right w:w="80" w:type="dxa"/>
            </w:tcMar>
          </w:tcPr>
          <w:p w14:paraId="4EA7C51C" w14:textId="77777777" w:rsidR="003C51B1" w:rsidRPr="003C51B1" w:rsidRDefault="003C51B1" w:rsidP="000B2D7B">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is a fund (an amount of money) created by a company for the monetary payments to employees for work performed in accordance with the contract of employment.</w:t>
            </w:r>
          </w:p>
        </w:tc>
      </w:tr>
      <w:tr w:rsidR="003C51B1" w:rsidRPr="003C51B1" w14:paraId="4D0B7F76" w14:textId="77777777" w:rsidTr="003C51B1">
        <w:trPr>
          <w:trHeight w:val="96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1472E843"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dividend fund  </w:t>
            </w:r>
          </w:p>
        </w:tc>
        <w:tc>
          <w:tcPr>
            <w:tcW w:w="7522" w:type="dxa"/>
            <w:tcBorders>
              <w:top w:val="nil"/>
              <w:left w:val="nil"/>
              <w:bottom w:val="nil"/>
              <w:right w:val="nil"/>
            </w:tcBorders>
            <w:shd w:val="clear" w:color="auto" w:fill="auto"/>
            <w:tcMar>
              <w:top w:w="80" w:type="dxa"/>
              <w:left w:w="80" w:type="dxa"/>
              <w:bottom w:w="80" w:type="dxa"/>
              <w:right w:w="80" w:type="dxa"/>
            </w:tcMar>
          </w:tcPr>
          <w:p w14:paraId="1744FF86" w14:textId="77777777" w:rsidR="003C51B1" w:rsidRPr="003C51B1" w:rsidRDefault="003C51B1" w:rsidP="003C51B1">
            <w:pPr>
              <w:spacing w:after="120"/>
              <w:jc w:val="both"/>
              <w:rPr>
                <w:rFonts w:ascii="Calibri" w:eastAsia="Calibri" w:hAnsi="Calibri" w:cs="Calibri"/>
                <w:u w:color="000000"/>
                <w:lang w:val="en-US"/>
              </w:rPr>
            </w:pPr>
            <w:r w:rsidRPr="003C51B1">
              <w:rPr>
                <w:rFonts w:eastAsia="Calibri" w:hAnsi="Calibri" w:cs="Calibri"/>
                <w:u w:color="000000"/>
                <w:lang w:val="en-US"/>
              </w:rPr>
              <w:t>is a type of mutual fund typically formed in the joint stock companies for the dividend payments to shareholders on a regularly-occurring basis. It is the opposite of a growth fund, which seeks to provide investors with long-term appreciation of capital.</w:t>
            </w:r>
          </w:p>
        </w:tc>
      </w:tr>
      <w:tr w:rsidR="003C51B1" w:rsidRPr="003C51B1" w14:paraId="72DE7A54" w14:textId="77777777" w:rsidTr="003C51B1">
        <w:trPr>
          <w:trHeight w:val="72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4D25AC28"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cash inflow  </w:t>
            </w:r>
          </w:p>
        </w:tc>
        <w:tc>
          <w:tcPr>
            <w:tcW w:w="7522" w:type="dxa"/>
            <w:tcBorders>
              <w:top w:val="nil"/>
              <w:left w:val="nil"/>
              <w:bottom w:val="nil"/>
              <w:right w:val="nil"/>
            </w:tcBorders>
            <w:shd w:val="clear" w:color="auto" w:fill="auto"/>
            <w:tcMar>
              <w:top w:w="80" w:type="dxa"/>
              <w:left w:w="80" w:type="dxa"/>
              <w:bottom w:w="80" w:type="dxa"/>
              <w:right w:w="80" w:type="dxa"/>
            </w:tcMar>
          </w:tcPr>
          <w:p w14:paraId="394A4FA7" w14:textId="77777777" w:rsidR="003C51B1" w:rsidRPr="003C51B1" w:rsidRDefault="003C51B1" w:rsidP="003C1704">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 xml:space="preserve">is </w:t>
            </w:r>
            <w:r w:rsidR="003C1704">
              <w:rPr>
                <w:rFonts w:eastAsia="Calibri" w:hAnsi="Calibri" w:cs="Calibri"/>
                <w:u w:color="000000"/>
                <w:lang w:val="en-US"/>
              </w:rPr>
              <w:t>the</w:t>
            </w:r>
            <w:r w:rsidRPr="003C51B1">
              <w:rPr>
                <w:rFonts w:eastAsia="Calibri" w:hAnsi="Calibri" w:cs="Calibri"/>
                <w:u w:color="000000"/>
                <w:lang w:val="en-US"/>
              </w:rPr>
              <w:t xml:space="preserve"> amount of cash collected (revenue) from different activities that changes a cash account (and/or bank account) during a given period of time (year, month, day).</w:t>
            </w:r>
          </w:p>
        </w:tc>
      </w:tr>
      <w:tr w:rsidR="003C51B1" w:rsidRPr="003C51B1" w14:paraId="4FC06902" w14:textId="77777777" w:rsidTr="003C51B1">
        <w:trPr>
          <w:trHeight w:val="96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5C07DF5A"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lastRenderedPageBreak/>
              <w:t xml:space="preserve">core activity  </w:t>
            </w:r>
          </w:p>
        </w:tc>
        <w:tc>
          <w:tcPr>
            <w:tcW w:w="7522" w:type="dxa"/>
            <w:tcBorders>
              <w:top w:val="nil"/>
              <w:left w:val="nil"/>
              <w:bottom w:val="nil"/>
              <w:right w:val="nil"/>
            </w:tcBorders>
            <w:shd w:val="clear" w:color="auto" w:fill="auto"/>
            <w:tcMar>
              <w:top w:w="80" w:type="dxa"/>
              <w:left w:w="80" w:type="dxa"/>
              <w:bottom w:w="80" w:type="dxa"/>
              <w:right w:w="80" w:type="dxa"/>
            </w:tcMar>
          </w:tcPr>
          <w:p w14:paraId="35105CAF"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company</w:t>
            </w:r>
            <w:r w:rsidRPr="003C51B1">
              <w:rPr>
                <w:rFonts w:ascii="Calibri" w:eastAsia="Calibri" w:cs="Calibri"/>
                <w:u w:color="000000"/>
                <w:lang w:val="en-US"/>
              </w:rPr>
              <w:t>’</w:t>
            </w:r>
            <w:r w:rsidRPr="003C51B1">
              <w:rPr>
                <w:rFonts w:eastAsia="Calibri" w:hAnsi="Calibri" w:cs="Calibri"/>
                <w:u w:color="000000"/>
                <w:lang w:val="en-US"/>
              </w:rPr>
              <w:t>s core business activities, such as manufacturing, distributing, marketing and selling a product or service (for manufacturing company) or formation of portfolio investments (for an investment company), that provide the majority of a company</w:t>
            </w:r>
            <w:r w:rsidRPr="003C51B1">
              <w:rPr>
                <w:rFonts w:ascii="Calibri" w:eastAsia="Calibri" w:cs="Calibri"/>
                <w:u w:color="000000"/>
                <w:lang w:val="en-US"/>
              </w:rPr>
              <w:t>’</w:t>
            </w:r>
            <w:r w:rsidRPr="003C51B1">
              <w:rPr>
                <w:rFonts w:eastAsia="Calibri" w:hAnsi="Calibri" w:cs="Calibri"/>
                <w:u w:color="000000"/>
                <w:lang w:val="en-US"/>
              </w:rPr>
              <w:t>s cash flow and will largely determine whether a company is profitable.</w:t>
            </w:r>
          </w:p>
        </w:tc>
      </w:tr>
      <w:tr w:rsidR="003C51B1" w:rsidRPr="003C51B1" w14:paraId="6AB6DC0A"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23895DDA"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other operating activities  </w:t>
            </w:r>
          </w:p>
        </w:tc>
        <w:tc>
          <w:tcPr>
            <w:tcW w:w="7522" w:type="dxa"/>
            <w:tcBorders>
              <w:top w:val="nil"/>
              <w:left w:val="nil"/>
              <w:bottom w:val="nil"/>
              <w:right w:val="nil"/>
            </w:tcBorders>
            <w:shd w:val="clear" w:color="auto" w:fill="auto"/>
            <w:tcMar>
              <w:top w:w="80" w:type="dxa"/>
              <w:left w:w="80" w:type="dxa"/>
              <w:bottom w:w="80" w:type="dxa"/>
              <w:right w:w="80" w:type="dxa"/>
            </w:tcMar>
          </w:tcPr>
          <w:p w14:paraId="67E22BCA"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is related activities in which the entity engages in furtherance of, incidental to, or arising from principal activities.</w:t>
            </w:r>
          </w:p>
        </w:tc>
      </w:tr>
      <w:tr w:rsidR="003C51B1" w:rsidRPr="003C51B1" w14:paraId="45FB2B6A" w14:textId="77777777" w:rsidTr="003C51B1">
        <w:trPr>
          <w:trHeight w:val="96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04246EE9" w14:textId="77777777" w:rsidR="003C51B1" w:rsidRPr="003C51B1" w:rsidRDefault="00A31BBA" w:rsidP="003C51B1">
            <w:pPr>
              <w:rPr>
                <w:rFonts w:ascii="Calibri" w:eastAsia="Calibri" w:hAnsi="Calibri" w:cs="Calibri"/>
                <w:u w:color="000000"/>
                <w:lang w:val="en-US"/>
              </w:rPr>
            </w:pPr>
            <w:r>
              <w:rPr>
                <w:rFonts w:eastAsia="Calibri" w:hAnsi="Calibri" w:cs="Calibri"/>
                <w:b/>
                <w:bCs/>
                <w:u w:color="000000"/>
                <w:lang w:val="en-US"/>
              </w:rPr>
              <w:t>investing activities</w:t>
            </w:r>
            <w:r>
              <w:rPr>
                <w:rFonts w:eastAsia="Calibri" w:hAnsi="Calibri" w:cs="Calibri"/>
                <w:b/>
                <w:bCs/>
                <w:u w:color="000000"/>
                <w:lang w:val="en-US"/>
              </w:rPr>
              <w:t> </w:t>
            </w:r>
            <w:r w:rsidR="003C51B1" w:rsidRPr="003C51B1">
              <w:rPr>
                <w:rFonts w:eastAsia="Calibri" w:hAnsi="Calibri" w:cs="Calibri"/>
                <w:b/>
                <w:bCs/>
                <w:u w:color="000000"/>
                <w:lang w:val="en-US"/>
              </w:rPr>
              <w:t xml:space="preserve"> </w:t>
            </w:r>
          </w:p>
        </w:tc>
        <w:tc>
          <w:tcPr>
            <w:tcW w:w="7522" w:type="dxa"/>
            <w:tcBorders>
              <w:top w:val="nil"/>
              <w:left w:val="nil"/>
              <w:bottom w:val="nil"/>
              <w:right w:val="nil"/>
            </w:tcBorders>
            <w:shd w:val="clear" w:color="auto" w:fill="auto"/>
            <w:tcMar>
              <w:top w:w="80" w:type="dxa"/>
              <w:left w:w="80" w:type="dxa"/>
              <w:bottom w:w="80" w:type="dxa"/>
              <w:right w:w="80" w:type="dxa"/>
            </w:tcMar>
          </w:tcPr>
          <w:p w14:paraId="04BF9D1E" w14:textId="77777777" w:rsidR="003C51B1" w:rsidRPr="003C51B1" w:rsidRDefault="000B2D7B" w:rsidP="003C51B1">
            <w:pPr>
              <w:spacing w:after="120" w:line="240" w:lineRule="atLeast"/>
              <w:jc w:val="both"/>
              <w:rPr>
                <w:rFonts w:ascii="Calibri" w:eastAsia="Calibri" w:hAnsi="Calibri" w:cs="Calibri"/>
                <w:u w:color="000000"/>
                <w:lang w:val="en-US"/>
              </w:rPr>
            </w:pPr>
            <w:r>
              <w:rPr>
                <w:rFonts w:eastAsia="Calibri" w:hAnsi="Calibri" w:cs="Calibri"/>
                <w:u w:color="000000"/>
                <w:lang w:val="en-US"/>
              </w:rPr>
              <w:t>is a</w:t>
            </w:r>
            <w:r w:rsidR="003C51B1" w:rsidRPr="003C51B1">
              <w:rPr>
                <w:rFonts w:eastAsia="Calibri" w:hAnsi="Calibri" w:cs="Calibri"/>
                <w:u w:color="000000"/>
                <w:lang w:val="en-US"/>
              </w:rPr>
              <w:t xml:space="preserve"> company activity that make changes in a company's cash position resulting from investments in the financial markets and operating subsidiaries, and changes resulting from amounts spent on investments in capital assets such as plant and equipment.</w:t>
            </w:r>
          </w:p>
        </w:tc>
      </w:tr>
      <w:tr w:rsidR="003C51B1" w:rsidRPr="003C51B1" w14:paraId="2C19A94A" w14:textId="77777777" w:rsidTr="003C51B1">
        <w:trPr>
          <w:trHeight w:val="72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4FBD5F18" w14:textId="77777777" w:rsidR="003C51B1" w:rsidRPr="003C51B1" w:rsidRDefault="003C51B1" w:rsidP="00A31BBA">
            <w:pPr>
              <w:rPr>
                <w:rFonts w:ascii="Calibri" w:eastAsia="Calibri" w:hAnsi="Calibri" w:cs="Calibri"/>
                <w:u w:color="000000"/>
                <w:lang w:val="en-US"/>
              </w:rPr>
            </w:pPr>
            <w:r w:rsidRPr="003C51B1">
              <w:rPr>
                <w:rFonts w:eastAsia="Calibri" w:hAnsi="Calibri" w:cs="Calibri"/>
                <w:b/>
                <w:bCs/>
                <w:u w:color="000000"/>
                <w:lang w:val="en-US"/>
              </w:rPr>
              <w:t>financing activities</w:t>
            </w:r>
            <w:r w:rsidR="00A31BBA">
              <w:rPr>
                <w:rFonts w:eastAsia="Calibri" w:hAnsi="Calibri" w:cs="Calibri"/>
                <w:b/>
                <w:bCs/>
                <w:u w:color="000000"/>
                <w:lang w:val="en-US"/>
              </w:rPr>
              <w:t> </w:t>
            </w:r>
            <w:r w:rsidRPr="003C51B1">
              <w:rPr>
                <w:rFonts w:eastAsia="Calibri" w:hAnsi="Calibri" w:cs="Calibri"/>
                <w:b/>
                <w:bCs/>
                <w:u w:color="000000"/>
                <w:lang w:val="en-US"/>
              </w:rPr>
              <w:t xml:space="preserve"> </w:t>
            </w:r>
          </w:p>
        </w:tc>
        <w:tc>
          <w:tcPr>
            <w:tcW w:w="7522" w:type="dxa"/>
            <w:tcBorders>
              <w:top w:val="nil"/>
              <w:left w:val="nil"/>
              <w:bottom w:val="nil"/>
              <w:right w:val="nil"/>
            </w:tcBorders>
            <w:shd w:val="clear" w:color="auto" w:fill="auto"/>
            <w:tcMar>
              <w:top w:w="80" w:type="dxa"/>
              <w:left w:w="80" w:type="dxa"/>
              <w:bottom w:w="80" w:type="dxa"/>
              <w:right w:w="80" w:type="dxa"/>
            </w:tcMar>
          </w:tcPr>
          <w:p w14:paraId="2EF5F08A"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are transactions or business events that affect long-term liabilities and equity; transactions with creditors or investors used to fund either company operations or expansions.</w:t>
            </w:r>
          </w:p>
        </w:tc>
      </w:tr>
      <w:tr w:rsidR="003C51B1" w:rsidRPr="003C51B1" w14:paraId="1235F3CD"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6F803679"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cash and cash equivalents  </w:t>
            </w:r>
          </w:p>
        </w:tc>
        <w:tc>
          <w:tcPr>
            <w:tcW w:w="7522" w:type="dxa"/>
            <w:tcBorders>
              <w:top w:val="nil"/>
              <w:left w:val="nil"/>
              <w:bottom w:val="nil"/>
              <w:right w:val="nil"/>
            </w:tcBorders>
            <w:shd w:val="clear" w:color="auto" w:fill="auto"/>
            <w:tcMar>
              <w:top w:w="80" w:type="dxa"/>
              <w:left w:w="80" w:type="dxa"/>
              <w:bottom w:w="80" w:type="dxa"/>
              <w:right w:w="80" w:type="dxa"/>
            </w:tcMar>
          </w:tcPr>
          <w:p w14:paraId="24B6C1CF"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 xml:space="preserve">means bank and cash balances, short term investments which are highly liquid and can be converted into cash within three months. </w:t>
            </w:r>
          </w:p>
        </w:tc>
      </w:tr>
      <w:tr w:rsidR="003C51B1" w:rsidRPr="003C51B1" w14:paraId="2796817E" w14:textId="77777777" w:rsidTr="003C51B1">
        <w:trPr>
          <w:trHeight w:val="96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3AD6AB88"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statement of cash flow  </w:t>
            </w:r>
          </w:p>
        </w:tc>
        <w:tc>
          <w:tcPr>
            <w:tcW w:w="7522" w:type="dxa"/>
            <w:tcBorders>
              <w:top w:val="nil"/>
              <w:left w:val="nil"/>
              <w:bottom w:val="nil"/>
              <w:right w:val="nil"/>
            </w:tcBorders>
            <w:shd w:val="clear" w:color="auto" w:fill="auto"/>
            <w:tcMar>
              <w:top w:w="80" w:type="dxa"/>
              <w:left w:w="80" w:type="dxa"/>
              <w:bottom w:w="80" w:type="dxa"/>
              <w:right w:w="80" w:type="dxa"/>
            </w:tcMar>
          </w:tcPr>
          <w:p w14:paraId="587F52C0" w14:textId="77777777" w:rsidR="003C51B1" w:rsidRPr="003C51B1" w:rsidRDefault="003C51B1" w:rsidP="000B2D7B">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 xml:space="preserve">is a basic financial statement that provides information about the cash receipts and cash payments of an entity during a period, classified as operating, investing, and financing activities in a format that reconciles the beginning and ending cash balances. </w:t>
            </w:r>
          </w:p>
        </w:tc>
      </w:tr>
      <w:tr w:rsidR="003C51B1" w:rsidRPr="003C51B1" w14:paraId="5628343B"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53F28E45"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free cash flow  </w:t>
            </w:r>
          </w:p>
        </w:tc>
        <w:tc>
          <w:tcPr>
            <w:tcW w:w="7522" w:type="dxa"/>
            <w:tcBorders>
              <w:top w:val="nil"/>
              <w:left w:val="nil"/>
              <w:bottom w:val="nil"/>
              <w:right w:val="nil"/>
            </w:tcBorders>
            <w:shd w:val="clear" w:color="auto" w:fill="auto"/>
            <w:tcMar>
              <w:top w:w="80" w:type="dxa"/>
              <w:left w:w="80" w:type="dxa"/>
              <w:bottom w:w="80" w:type="dxa"/>
              <w:right w:w="80" w:type="dxa"/>
            </w:tcMar>
          </w:tcPr>
          <w:p w14:paraId="1B48E28E"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describes the cash remaining from operations after adjusting for payments of capital expenditures and dividends.</w:t>
            </w:r>
          </w:p>
        </w:tc>
      </w:tr>
      <w:tr w:rsidR="003C51B1" w:rsidRPr="003C51B1" w14:paraId="4D9C7943"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5F68A2AF"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profit  </w:t>
            </w:r>
          </w:p>
        </w:tc>
        <w:tc>
          <w:tcPr>
            <w:tcW w:w="7522" w:type="dxa"/>
            <w:tcBorders>
              <w:top w:val="nil"/>
              <w:left w:val="nil"/>
              <w:bottom w:val="nil"/>
              <w:right w:val="nil"/>
            </w:tcBorders>
            <w:shd w:val="clear" w:color="auto" w:fill="auto"/>
            <w:tcMar>
              <w:top w:w="80" w:type="dxa"/>
              <w:left w:w="80" w:type="dxa"/>
              <w:bottom w:w="80" w:type="dxa"/>
              <w:right w:w="80" w:type="dxa"/>
            </w:tcMar>
          </w:tcPr>
          <w:p w14:paraId="4C35F8F4"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is a financial benefit that is realized when the amount of revenue gained from a business activity exceeds the expenses, costs and taxes needed to sustain the activity.</w:t>
            </w:r>
          </w:p>
        </w:tc>
      </w:tr>
      <w:tr w:rsidR="003C51B1" w:rsidRPr="003C51B1" w14:paraId="59E25710"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06E4EA44" w14:textId="77777777" w:rsidR="003C51B1" w:rsidRPr="003C51B1" w:rsidRDefault="003C51B1" w:rsidP="003C51B1">
            <w:pPr>
              <w:rPr>
                <w:rFonts w:ascii="Calibri" w:eastAsia="Calibri" w:hAnsi="Calibri" w:cs="Calibri"/>
                <w:u w:color="000000"/>
                <w:lang w:val="en-US"/>
              </w:rPr>
            </w:pPr>
            <w:r w:rsidRPr="003C51B1">
              <w:rPr>
                <w:rFonts w:eastAsia="Calibri" w:hAnsi="Calibri" w:cs="Calibri"/>
                <w:b/>
                <w:bCs/>
                <w:u w:color="000000"/>
                <w:lang w:val="en-US"/>
              </w:rPr>
              <w:t xml:space="preserve">net loss  </w:t>
            </w:r>
          </w:p>
        </w:tc>
        <w:tc>
          <w:tcPr>
            <w:tcW w:w="7522" w:type="dxa"/>
            <w:tcBorders>
              <w:top w:val="nil"/>
              <w:left w:val="nil"/>
              <w:bottom w:val="nil"/>
              <w:right w:val="nil"/>
            </w:tcBorders>
            <w:shd w:val="clear" w:color="auto" w:fill="auto"/>
            <w:tcMar>
              <w:top w:w="80" w:type="dxa"/>
              <w:left w:w="80" w:type="dxa"/>
              <w:bottom w:w="80" w:type="dxa"/>
              <w:right w:w="80" w:type="dxa"/>
            </w:tcMar>
          </w:tcPr>
          <w:p w14:paraId="16FBEDE6" w14:textId="77777777" w:rsidR="003C51B1" w:rsidRPr="003C51B1" w:rsidRDefault="003C51B1" w:rsidP="003C51B1">
            <w:pPr>
              <w:spacing w:after="120" w:line="240" w:lineRule="atLeast"/>
              <w:jc w:val="both"/>
              <w:rPr>
                <w:rFonts w:ascii="Calibri" w:eastAsia="Calibri" w:hAnsi="Calibri" w:cs="Calibri"/>
                <w:u w:color="000000"/>
                <w:lang w:val="en-US"/>
              </w:rPr>
            </w:pPr>
            <w:r w:rsidRPr="003C51B1">
              <w:rPr>
                <w:rFonts w:eastAsia="Calibri" w:hAnsi="Calibri" w:cs="Calibri"/>
                <w:u w:color="000000"/>
                <w:lang w:val="en-US"/>
              </w:rPr>
              <w:t xml:space="preserve">is a result that occurs when expenses exceed the income or total revenue produced for a given period of time. </w:t>
            </w:r>
          </w:p>
        </w:tc>
      </w:tr>
    </w:tbl>
    <w:p w14:paraId="5B32D7BA" w14:textId="77777777" w:rsidR="003C51B1" w:rsidRPr="00A31BBA" w:rsidRDefault="003C51B1" w:rsidP="00A31BBA">
      <w:pPr>
        <w:pStyle w:val="end2"/>
        <w:rPr>
          <w:rFonts w:eastAsia="Garamond"/>
          <w:szCs w:val="28"/>
          <w:u w:color="000000"/>
          <w:bdr w:val="nil"/>
          <w:lang w:eastAsia="en-US"/>
        </w:rPr>
      </w:pPr>
      <w:r w:rsidRPr="00A31BBA">
        <w:rPr>
          <w:rFonts w:eastAsia="Calibri"/>
          <w:szCs w:val="28"/>
          <w:u w:color="000000"/>
          <w:bdr w:val="nil"/>
          <w:lang w:eastAsia="en-US"/>
        </w:rPr>
        <w:t>Review questions</w:t>
      </w:r>
    </w:p>
    <w:p w14:paraId="488AEF62" w14:textId="77777777" w:rsidR="003C51B1" w:rsidRPr="00A31BBA" w:rsidRDefault="003C51B1" w:rsidP="006F749C">
      <w:pPr>
        <w:numPr>
          <w:ilvl w:val="0"/>
          <w:numId w:val="67"/>
        </w:numPr>
        <w:pBdr>
          <w:top w:val="nil"/>
          <w:left w:val="nil"/>
          <w:bottom w:val="nil"/>
          <w:right w:val="nil"/>
          <w:between w:val="nil"/>
          <w:bar w:val="nil"/>
        </w:pBdr>
        <w:tabs>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What is corporate finance? Explain common and specific features of corporate finance.</w:t>
      </w:r>
    </w:p>
    <w:p w14:paraId="150E6343"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Explain the difference between public joint stock company and company with limited liability.</w:t>
      </w:r>
    </w:p>
    <w:p w14:paraId="6402C0F4"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Outline factors that determine specifics of corporate finance at business entities of different types of ownership, as well as various organizational and legal forms.</w:t>
      </w:r>
    </w:p>
    <w:p w14:paraId="58B132A5"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lastRenderedPageBreak/>
        <w:t xml:space="preserve">What is the difference between borrowed financial resources and </w:t>
      </w:r>
      <w:r w:rsidR="000B2D7B" w:rsidRPr="00A31BBA">
        <w:rPr>
          <w:rFonts w:eastAsia="Arial Unicode MS" w:cs="Arial Unicode MS"/>
          <w:sz w:val="28"/>
          <w:szCs w:val="28"/>
          <w:u w:color="000000"/>
          <w:bdr w:val="nil"/>
          <w:lang w:val="en-US"/>
        </w:rPr>
        <w:t xml:space="preserve">raised </w:t>
      </w:r>
      <w:r w:rsidRPr="00A31BBA">
        <w:rPr>
          <w:rFonts w:eastAsia="Arial Unicode MS" w:cs="Arial Unicode MS"/>
          <w:sz w:val="28"/>
          <w:szCs w:val="28"/>
          <w:u w:color="000000"/>
          <w:bdr w:val="nil"/>
          <w:lang w:val="en-US"/>
        </w:rPr>
        <w:t>financial resources?</w:t>
      </w:r>
    </w:p>
    <w:p w14:paraId="20F0D443"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 xml:space="preserve">What are some examples of investing activities on the cash flow statement? </w:t>
      </w:r>
    </w:p>
    <w:p w14:paraId="520BCC88"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 xml:space="preserve">What are some examples of financing activities on the cash flow statement? </w:t>
      </w:r>
    </w:p>
    <w:p w14:paraId="29B24E1B"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What are some examples of financing activities on the cash flow statement?</w:t>
      </w:r>
    </w:p>
    <w:p w14:paraId="386B2D56"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 xml:space="preserve">What is the difference between the direct method and the indirect method for the statement of cash flows? </w:t>
      </w:r>
    </w:p>
    <w:p w14:paraId="02B719AF"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 xml:space="preserve">What is included in cash and cash equivalents? </w:t>
      </w:r>
    </w:p>
    <w:p w14:paraId="4560EF18"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 xml:space="preserve">What is the difference between net cash flow and net income? </w:t>
      </w:r>
    </w:p>
    <w:p w14:paraId="32C13F1E"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 xml:space="preserve">What is the difference between income and profit? </w:t>
      </w:r>
    </w:p>
    <w:p w14:paraId="3A9F32BF"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What is operating profit? How could it be calculated?</w:t>
      </w:r>
    </w:p>
    <w:p w14:paraId="086AA2DB"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What is the difference between revenues and gains?</w:t>
      </w:r>
    </w:p>
    <w:p w14:paraId="7DF65A63"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What is comprehensive income?</w:t>
      </w:r>
    </w:p>
    <w:p w14:paraId="6EF675F5" w14:textId="77777777" w:rsidR="003C51B1" w:rsidRPr="00A31BBA" w:rsidRDefault="003C51B1" w:rsidP="006F749C">
      <w:pPr>
        <w:numPr>
          <w:ilvl w:val="0"/>
          <w:numId w:val="67"/>
        </w:numPr>
        <w:pBdr>
          <w:top w:val="nil"/>
          <w:left w:val="nil"/>
          <w:bottom w:val="nil"/>
          <w:right w:val="nil"/>
          <w:between w:val="nil"/>
          <w:bar w:val="nil"/>
        </w:pBdr>
        <w:tabs>
          <w:tab w:val="num" w:pos="396"/>
          <w:tab w:val="left" w:pos="644"/>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left="396" w:hanging="327"/>
        <w:rPr>
          <w:rFonts w:eastAsia="Arial Unicode MS" w:cs="Arial Unicode MS"/>
          <w:sz w:val="28"/>
          <w:szCs w:val="28"/>
          <w:u w:color="000000"/>
          <w:bdr w:val="nil"/>
          <w:lang w:val="en-US"/>
        </w:rPr>
      </w:pPr>
      <w:r w:rsidRPr="00A31BBA">
        <w:rPr>
          <w:rFonts w:eastAsia="Arial Unicode MS" w:cs="Arial Unicode MS"/>
          <w:sz w:val="28"/>
          <w:szCs w:val="28"/>
          <w:u w:color="000000"/>
          <w:bdr w:val="nil"/>
          <w:lang w:val="en-US"/>
        </w:rPr>
        <w:t>What are the elements of Consolidated statement of profit or loss and comprehensive income?</w:t>
      </w:r>
    </w:p>
    <w:p w14:paraId="00182AB9" w14:textId="77777777" w:rsidR="003C51B1" w:rsidRPr="00A31BBA" w:rsidRDefault="003C51B1" w:rsidP="00A31BBA">
      <w:pPr>
        <w:pStyle w:val="end2"/>
        <w:rPr>
          <w:rFonts w:eastAsia="Garamond"/>
          <w:u w:color="000000"/>
          <w:bdr w:val="nil"/>
          <w:lang w:eastAsia="en-US"/>
        </w:rPr>
      </w:pPr>
      <w:r w:rsidRPr="00A31BBA">
        <w:rPr>
          <w:rFonts w:eastAsia="Calibri"/>
          <w:u w:color="000000"/>
          <w:bdr w:val="nil"/>
          <w:lang w:eastAsia="en-US"/>
        </w:rPr>
        <w:t>Multiple</w:t>
      </w:r>
      <w:r w:rsidR="0002556C">
        <w:rPr>
          <w:rFonts w:eastAsia="Calibri"/>
          <w:u w:color="000000"/>
          <w:bdr w:val="nil"/>
          <w:lang w:eastAsia="en-US"/>
        </w:rPr>
        <w:t xml:space="preserve"> </w:t>
      </w:r>
      <w:r w:rsidRPr="00A31BBA">
        <w:rPr>
          <w:rFonts w:eastAsia="Calibri"/>
          <w:u w:color="000000"/>
          <w:bdr w:val="nil"/>
          <w:lang w:eastAsia="en-US"/>
        </w:rPr>
        <w:t>choice questions</w:t>
      </w:r>
    </w:p>
    <w:p w14:paraId="3A2BB248" w14:textId="77777777" w:rsidR="003C51B1" w:rsidRPr="00A31BBA"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sidRPr="00A31BBA">
        <w:rPr>
          <w:rFonts w:eastAsia="Calibri" w:cs="Calibri"/>
          <w:sz w:val="28"/>
          <w:szCs w:val="28"/>
          <w:u w:color="000000"/>
          <w:bdr w:val="nil"/>
          <w:lang w:val="en-US" w:eastAsia="en-US"/>
        </w:rPr>
        <w:t>Choose the one alternative that best completes the statement or answers the question.</w:t>
      </w:r>
    </w:p>
    <w:tbl>
      <w:tblPr>
        <w:tblW w:w="942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428"/>
      </w:tblGrid>
      <w:tr w:rsidR="003C51B1" w:rsidRPr="00A31BBA" w14:paraId="0491800C" w14:textId="77777777" w:rsidTr="00D51B4C">
        <w:trPr>
          <w:trHeight w:val="1560"/>
        </w:trPr>
        <w:tc>
          <w:tcPr>
            <w:tcW w:w="9428" w:type="dxa"/>
            <w:tcBorders>
              <w:top w:val="nil"/>
              <w:left w:val="nil"/>
              <w:bottom w:val="nil"/>
              <w:right w:val="nil"/>
            </w:tcBorders>
            <w:shd w:val="clear" w:color="auto" w:fill="auto"/>
            <w:tcMar>
              <w:top w:w="80" w:type="dxa"/>
              <w:left w:w="80" w:type="dxa"/>
              <w:bottom w:w="80" w:type="dxa"/>
              <w:right w:w="80" w:type="dxa"/>
            </w:tcMar>
          </w:tcPr>
          <w:p w14:paraId="39633B0A"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Companies can raise cash to finance their investment activities by:</w:t>
            </w:r>
          </w:p>
          <w:p w14:paraId="2EDCCFAB" w14:textId="77777777" w:rsidR="003C51B1" w:rsidRPr="00A31BBA" w:rsidRDefault="003C51B1" w:rsidP="003D693A">
            <w:pPr>
              <w:numPr>
                <w:ilvl w:val="0"/>
                <w:numId w:val="32"/>
              </w:numPr>
              <w:pBdr>
                <w:top w:val="nil"/>
                <w:left w:val="nil"/>
                <w:bottom w:val="nil"/>
                <w:right w:val="nil"/>
                <w:between w:val="nil"/>
                <w:bar w:val="nil"/>
              </w:pBdr>
              <w:shd w:val="clear" w:color="auto" w:fill="FFFFFF"/>
              <w:spacing w:line="240" w:lineRule="atLeast"/>
              <w:ind w:left="758"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making dividend payments;</w:t>
            </w:r>
          </w:p>
          <w:p w14:paraId="68178F36" w14:textId="77777777" w:rsidR="003C51B1" w:rsidRPr="00A31BBA" w:rsidRDefault="003C51B1" w:rsidP="003D693A">
            <w:pPr>
              <w:numPr>
                <w:ilvl w:val="0"/>
                <w:numId w:val="32"/>
              </w:numPr>
              <w:pBdr>
                <w:top w:val="nil"/>
                <w:left w:val="nil"/>
                <w:bottom w:val="nil"/>
                <w:right w:val="nil"/>
                <w:between w:val="nil"/>
                <w:bar w:val="nil"/>
              </w:pBdr>
              <w:shd w:val="clear" w:color="auto" w:fill="FFFFFF"/>
              <w:spacing w:line="240" w:lineRule="atLeast"/>
              <w:ind w:left="758"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selling or issuing financial instruments;</w:t>
            </w:r>
          </w:p>
          <w:p w14:paraId="6ADDFE61" w14:textId="77777777" w:rsidR="003C51B1" w:rsidRPr="00A31BBA" w:rsidRDefault="003C51B1" w:rsidP="003D693A">
            <w:pPr>
              <w:numPr>
                <w:ilvl w:val="0"/>
                <w:numId w:val="32"/>
              </w:numPr>
              <w:pBdr>
                <w:top w:val="nil"/>
                <w:left w:val="nil"/>
                <w:bottom w:val="nil"/>
                <w:right w:val="nil"/>
                <w:between w:val="nil"/>
                <w:bar w:val="nil"/>
              </w:pBdr>
              <w:shd w:val="clear" w:color="auto" w:fill="FFFFFF"/>
              <w:spacing w:line="240" w:lineRule="atLeast"/>
              <w:ind w:left="758"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buying back their financial instruments;</w:t>
            </w:r>
          </w:p>
          <w:p w14:paraId="6174C16D" w14:textId="77777777" w:rsidR="003C51B1" w:rsidRPr="00A31BBA" w:rsidRDefault="003C51B1" w:rsidP="003D693A">
            <w:pPr>
              <w:numPr>
                <w:ilvl w:val="0"/>
                <w:numId w:val="32"/>
              </w:numPr>
              <w:pBdr>
                <w:top w:val="nil"/>
                <w:left w:val="nil"/>
                <w:bottom w:val="nil"/>
                <w:right w:val="nil"/>
                <w:between w:val="nil"/>
                <w:bar w:val="nil"/>
              </w:pBdr>
              <w:shd w:val="clear" w:color="auto" w:fill="FFFFFF"/>
              <w:spacing w:line="240" w:lineRule="atLeast"/>
              <w:ind w:left="758"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not producing goods during the current quarter;</w:t>
            </w:r>
          </w:p>
          <w:p w14:paraId="572D6BE8" w14:textId="77777777" w:rsidR="003C51B1" w:rsidRPr="00A31BBA" w:rsidRDefault="003C51B1" w:rsidP="003D693A">
            <w:pPr>
              <w:numPr>
                <w:ilvl w:val="0"/>
                <w:numId w:val="32"/>
              </w:numPr>
              <w:pBdr>
                <w:top w:val="nil"/>
                <w:left w:val="nil"/>
                <w:bottom w:val="nil"/>
                <w:right w:val="nil"/>
                <w:between w:val="nil"/>
                <w:bar w:val="nil"/>
              </w:pBdr>
              <w:shd w:val="clear" w:color="auto" w:fill="FFFFFF"/>
              <w:spacing w:after="120" w:line="240" w:lineRule="atLeast"/>
              <w:ind w:left="754" w:hanging="329"/>
              <w:rPr>
                <w:rFonts w:eastAsia="Garamond"/>
                <w:i/>
                <w:iCs/>
                <w:sz w:val="28"/>
                <w:szCs w:val="28"/>
                <w:u w:color="000000"/>
                <w:bdr w:val="nil"/>
                <w:lang w:val="en-US" w:eastAsia="en-US"/>
              </w:rPr>
            </w:pPr>
            <w:r w:rsidRPr="00A31BBA">
              <w:rPr>
                <w:rFonts w:eastAsia="Calibri" w:cs="Calibri"/>
                <w:sz w:val="28"/>
                <w:szCs w:val="28"/>
                <w:u w:color="000000"/>
                <w:bdr w:val="nil"/>
                <w:lang w:val="en-US" w:eastAsia="en-US"/>
              </w:rPr>
              <w:t>none of the above answers are</w:t>
            </w:r>
            <w:r w:rsidR="000B2D7B">
              <w:rPr>
                <w:rFonts w:eastAsia="Calibri" w:cs="Calibri"/>
                <w:sz w:val="28"/>
                <w:szCs w:val="28"/>
                <w:u w:color="000000"/>
                <w:bdr w:val="nil"/>
                <w:lang w:val="en-US" w:eastAsia="en-US"/>
              </w:rPr>
              <w:t xml:space="preserve"> correct</w:t>
            </w:r>
            <w:r w:rsidRPr="00A31BBA">
              <w:rPr>
                <w:rFonts w:eastAsia="Calibri" w:cs="Calibri"/>
                <w:sz w:val="28"/>
                <w:szCs w:val="28"/>
                <w:u w:color="000000"/>
                <w:bdr w:val="nil"/>
                <w:lang w:val="en-US" w:eastAsia="en-US"/>
              </w:rPr>
              <w:t>.</w:t>
            </w:r>
          </w:p>
        </w:tc>
      </w:tr>
      <w:tr w:rsidR="003C51B1" w:rsidRPr="00A31BBA" w14:paraId="155F70F5" w14:textId="77777777" w:rsidTr="00D51B4C">
        <w:trPr>
          <w:trHeight w:val="1820"/>
        </w:trPr>
        <w:tc>
          <w:tcPr>
            <w:tcW w:w="9428" w:type="dxa"/>
            <w:tcBorders>
              <w:top w:val="nil"/>
              <w:left w:val="nil"/>
              <w:bottom w:val="nil"/>
              <w:right w:val="nil"/>
            </w:tcBorders>
            <w:shd w:val="clear" w:color="auto" w:fill="auto"/>
            <w:tcMar>
              <w:top w:w="80" w:type="dxa"/>
              <w:left w:w="80" w:type="dxa"/>
              <w:bottom w:w="80" w:type="dxa"/>
              <w:right w:w="80" w:type="dxa"/>
            </w:tcMar>
          </w:tcPr>
          <w:p w14:paraId="5CE9FAE3"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Which of the following is not a true statement concerning sole proprietorships?</w:t>
            </w:r>
          </w:p>
          <w:p w14:paraId="174ACEF4" w14:textId="77777777" w:rsidR="003C51B1" w:rsidRPr="00A31BBA" w:rsidRDefault="003C51B1" w:rsidP="006F749C">
            <w:pPr>
              <w:numPr>
                <w:ilvl w:val="0"/>
                <w:numId w:val="168"/>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the equity money that can be raised by the sole proprietor is limited to the proprietor's personal wealth;</w:t>
            </w:r>
          </w:p>
          <w:p w14:paraId="2BF21D1D" w14:textId="77777777" w:rsidR="003C51B1" w:rsidRPr="00A31BBA" w:rsidRDefault="003C51B1" w:rsidP="006F749C">
            <w:pPr>
              <w:numPr>
                <w:ilvl w:val="0"/>
                <w:numId w:val="168"/>
              </w:numPr>
              <w:pBdr>
                <w:top w:val="nil"/>
                <w:left w:val="nil"/>
                <w:bottom w:val="nil"/>
                <w:right w:val="nil"/>
                <w:between w:val="nil"/>
                <w:bar w:val="nil"/>
              </w:pBdr>
              <w:shd w:val="clear" w:color="auto" w:fill="FFFFFF"/>
              <w:spacing w:line="240" w:lineRule="atLeast"/>
              <w:ind w:left="758"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the life of the sole proprietorship is limited to the life of the sole proprietor;</w:t>
            </w:r>
          </w:p>
          <w:p w14:paraId="0253BD67" w14:textId="77777777" w:rsidR="003C51B1" w:rsidRPr="00A31BBA" w:rsidRDefault="003C51B1" w:rsidP="006F749C">
            <w:pPr>
              <w:numPr>
                <w:ilvl w:val="0"/>
                <w:numId w:val="168"/>
              </w:numPr>
              <w:pBdr>
                <w:top w:val="nil"/>
                <w:left w:val="nil"/>
                <w:bottom w:val="nil"/>
                <w:right w:val="nil"/>
                <w:between w:val="nil"/>
                <w:bar w:val="nil"/>
              </w:pBdr>
              <w:shd w:val="clear" w:color="auto" w:fill="FFFFFF"/>
              <w:spacing w:line="240" w:lineRule="atLeast"/>
              <w:ind w:left="758"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the sole proprietor has limited liability for business debts;</w:t>
            </w:r>
          </w:p>
          <w:p w14:paraId="6195C00E" w14:textId="77777777" w:rsidR="003C51B1" w:rsidRPr="00A31BBA" w:rsidRDefault="003C51B1" w:rsidP="006F749C">
            <w:pPr>
              <w:numPr>
                <w:ilvl w:val="0"/>
                <w:numId w:val="168"/>
              </w:numPr>
              <w:pBdr>
                <w:top w:val="nil"/>
                <w:left w:val="nil"/>
                <w:bottom w:val="nil"/>
                <w:right w:val="nil"/>
                <w:between w:val="nil"/>
                <w:bar w:val="nil"/>
              </w:pBdr>
              <w:shd w:val="clear" w:color="auto" w:fill="FFFFFF"/>
              <w:spacing w:line="240" w:lineRule="atLeast"/>
              <w:ind w:left="758"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the sole proprietorship is the cheapest to form;</w:t>
            </w:r>
          </w:p>
          <w:p w14:paraId="48F5B64D" w14:textId="77777777" w:rsidR="003C51B1" w:rsidRPr="00A31BBA" w:rsidRDefault="003C51B1" w:rsidP="006F749C">
            <w:pPr>
              <w:numPr>
                <w:ilvl w:val="0"/>
                <w:numId w:val="168"/>
              </w:numPr>
              <w:pBdr>
                <w:top w:val="nil"/>
                <w:left w:val="nil"/>
                <w:bottom w:val="nil"/>
                <w:right w:val="nil"/>
                <w:between w:val="nil"/>
                <w:bar w:val="nil"/>
              </w:pBdr>
              <w:shd w:val="clear" w:color="auto" w:fill="FFFFFF"/>
              <w:spacing w:after="120" w:line="240" w:lineRule="atLeast"/>
              <w:ind w:left="754" w:hanging="329"/>
              <w:rPr>
                <w:rFonts w:eastAsia="Garamond"/>
                <w:i/>
                <w:iCs/>
                <w:sz w:val="28"/>
                <w:szCs w:val="28"/>
                <w:u w:color="000000"/>
                <w:bdr w:val="nil"/>
                <w:lang w:val="en-US" w:eastAsia="en-US"/>
              </w:rPr>
            </w:pPr>
            <w:r w:rsidRPr="00A31BBA">
              <w:rPr>
                <w:rFonts w:eastAsia="Calibri" w:cs="Calibri"/>
                <w:sz w:val="28"/>
                <w:szCs w:val="28"/>
                <w:u w:color="000000"/>
                <w:bdr w:val="nil"/>
                <w:lang w:val="en-US" w:eastAsia="en-US"/>
              </w:rPr>
              <w:t>the sole proprietorship pays no corporate income tax.</w:t>
            </w:r>
          </w:p>
        </w:tc>
      </w:tr>
      <w:tr w:rsidR="003C51B1" w:rsidRPr="00A31BBA" w14:paraId="5F72D2CE" w14:textId="77777777" w:rsidTr="00D51B4C">
        <w:trPr>
          <w:trHeight w:val="1820"/>
        </w:trPr>
        <w:tc>
          <w:tcPr>
            <w:tcW w:w="9428" w:type="dxa"/>
            <w:tcBorders>
              <w:top w:val="nil"/>
              <w:left w:val="nil"/>
              <w:bottom w:val="nil"/>
              <w:right w:val="nil"/>
            </w:tcBorders>
            <w:shd w:val="clear" w:color="auto" w:fill="auto"/>
            <w:tcMar>
              <w:top w:w="80" w:type="dxa"/>
              <w:left w:w="80" w:type="dxa"/>
              <w:bottom w:w="80" w:type="dxa"/>
              <w:right w:w="80" w:type="dxa"/>
            </w:tcMar>
          </w:tcPr>
          <w:p w14:paraId="097D1756"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lastRenderedPageBreak/>
              <w:t>Which of the following would be considered a cash-flow item from a financing activity?</w:t>
            </w:r>
          </w:p>
          <w:p w14:paraId="1EF4F7CA" w14:textId="77777777" w:rsidR="003C51B1" w:rsidRPr="00A31BBA" w:rsidRDefault="003C51B1" w:rsidP="006F749C">
            <w:pPr>
              <w:numPr>
                <w:ilvl w:val="0"/>
                <w:numId w:val="169"/>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 cash outflow to the government for taxes;</w:t>
            </w:r>
          </w:p>
          <w:p w14:paraId="36D2C70B" w14:textId="77777777" w:rsidR="003C51B1" w:rsidRPr="00A31BBA" w:rsidRDefault="003C51B1" w:rsidP="006F749C">
            <w:pPr>
              <w:numPr>
                <w:ilvl w:val="0"/>
                <w:numId w:val="169"/>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 cash outflow to repurchase the firm's own common stock;</w:t>
            </w:r>
          </w:p>
          <w:p w14:paraId="4F2AAF7C" w14:textId="77777777" w:rsidR="003C51B1" w:rsidRPr="00A31BBA" w:rsidRDefault="003C51B1" w:rsidP="006F749C">
            <w:pPr>
              <w:numPr>
                <w:ilvl w:val="0"/>
                <w:numId w:val="169"/>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 cash outflow to lenders as interest;</w:t>
            </w:r>
          </w:p>
          <w:p w14:paraId="339B149E" w14:textId="77777777" w:rsidR="003C51B1" w:rsidRPr="009F59F5" w:rsidRDefault="003C51B1" w:rsidP="009F59F5">
            <w:pPr>
              <w:numPr>
                <w:ilvl w:val="0"/>
                <w:numId w:val="169"/>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 cash outflow to purchase bonds issued by another company</w:t>
            </w:r>
            <w:r w:rsidR="009F59F5">
              <w:rPr>
                <w:rFonts w:eastAsia="Calibri" w:cs="Calibri"/>
                <w:sz w:val="28"/>
                <w:szCs w:val="28"/>
                <w:u w:color="000000"/>
                <w:bdr w:val="nil"/>
                <w:lang w:val="en-US" w:eastAsia="en-US"/>
              </w:rPr>
              <w:t>.</w:t>
            </w:r>
          </w:p>
        </w:tc>
      </w:tr>
      <w:tr w:rsidR="003C51B1" w:rsidRPr="00A31BBA" w14:paraId="1BC1E5A5" w14:textId="77777777" w:rsidTr="00D51B4C">
        <w:trPr>
          <w:trHeight w:val="204"/>
        </w:trPr>
        <w:tc>
          <w:tcPr>
            <w:tcW w:w="9428" w:type="dxa"/>
            <w:tcBorders>
              <w:top w:val="nil"/>
              <w:left w:val="nil"/>
              <w:bottom w:val="nil"/>
              <w:right w:val="nil"/>
            </w:tcBorders>
            <w:shd w:val="clear" w:color="auto" w:fill="auto"/>
            <w:tcMar>
              <w:top w:w="80" w:type="dxa"/>
              <w:left w:w="80" w:type="dxa"/>
              <w:bottom w:w="80" w:type="dxa"/>
              <w:right w:w="80" w:type="dxa"/>
            </w:tcMar>
          </w:tcPr>
          <w:p w14:paraId="530E07C5"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Which of the following would be considered a cash-flow item from an operating activity?</w:t>
            </w:r>
          </w:p>
          <w:p w14:paraId="5C4CEFB9" w14:textId="77777777" w:rsidR="003C51B1" w:rsidRPr="00A31BBA" w:rsidRDefault="003C51B1" w:rsidP="006F749C">
            <w:pPr>
              <w:numPr>
                <w:ilvl w:val="0"/>
                <w:numId w:val="170"/>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 cash outflow to the government for taxes;</w:t>
            </w:r>
          </w:p>
          <w:p w14:paraId="0E958046" w14:textId="77777777" w:rsidR="003C51B1" w:rsidRPr="00A31BBA" w:rsidRDefault="003C51B1" w:rsidP="006F749C">
            <w:pPr>
              <w:numPr>
                <w:ilvl w:val="0"/>
                <w:numId w:val="170"/>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 cash outflow to repurchase the firm's own common stock;</w:t>
            </w:r>
          </w:p>
          <w:p w14:paraId="1866BEC5" w14:textId="77777777" w:rsidR="003C51B1" w:rsidRPr="00A31BBA" w:rsidRDefault="003C51B1" w:rsidP="006F749C">
            <w:pPr>
              <w:numPr>
                <w:ilvl w:val="0"/>
                <w:numId w:val="170"/>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 cash outflow to lenders as interest;</w:t>
            </w:r>
          </w:p>
          <w:p w14:paraId="38B14E07" w14:textId="77777777" w:rsidR="003C51B1" w:rsidRPr="00A31BBA" w:rsidRDefault="003C51B1" w:rsidP="006F749C">
            <w:pPr>
              <w:numPr>
                <w:ilvl w:val="0"/>
                <w:numId w:val="170"/>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 cash outflow to purchase bonds issued by another company;</w:t>
            </w:r>
          </w:p>
          <w:p w14:paraId="050B40CF" w14:textId="77777777" w:rsidR="003C51B1" w:rsidRPr="00A31BBA" w:rsidRDefault="003C51B1" w:rsidP="006F749C">
            <w:pPr>
              <w:numPr>
                <w:ilvl w:val="0"/>
                <w:numId w:val="170"/>
              </w:numPr>
              <w:pBdr>
                <w:top w:val="nil"/>
                <w:left w:val="nil"/>
                <w:bottom w:val="nil"/>
                <w:right w:val="nil"/>
                <w:between w:val="nil"/>
                <w:bar w:val="nil"/>
              </w:pBdr>
              <w:shd w:val="clear" w:color="auto" w:fill="FFFFFF"/>
              <w:spacing w:after="120" w:line="240" w:lineRule="atLeast"/>
              <w:rPr>
                <w:sz w:val="28"/>
                <w:szCs w:val="28"/>
                <w:u w:color="000000"/>
                <w:bdr w:val="nil"/>
                <w:lang w:val="en-US" w:eastAsia="en-US"/>
              </w:rPr>
            </w:pPr>
            <w:r w:rsidRPr="00A31BBA">
              <w:rPr>
                <w:rFonts w:eastAsia="Calibri" w:cs="Calibri"/>
                <w:sz w:val="28"/>
                <w:szCs w:val="28"/>
                <w:u w:color="000000"/>
                <w:bdr w:val="nil"/>
                <w:lang w:val="en-US" w:eastAsia="en-US"/>
              </w:rPr>
              <w:t>none of the above answers are</w:t>
            </w:r>
            <w:r w:rsidR="000B2D7B">
              <w:rPr>
                <w:rFonts w:eastAsia="Calibri" w:cs="Calibri"/>
                <w:sz w:val="28"/>
                <w:szCs w:val="28"/>
                <w:u w:color="000000"/>
                <w:bdr w:val="nil"/>
                <w:lang w:val="en-US" w:eastAsia="en-US"/>
              </w:rPr>
              <w:t xml:space="preserve"> correct</w:t>
            </w:r>
            <w:r w:rsidRPr="00A31BBA">
              <w:rPr>
                <w:rFonts w:eastAsia="Calibri" w:cs="Calibri"/>
                <w:sz w:val="28"/>
                <w:szCs w:val="28"/>
                <w:u w:color="000000"/>
                <w:bdr w:val="nil"/>
                <w:lang w:val="en-US" w:eastAsia="en-US"/>
              </w:rPr>
              <w:t>.</w:t>
            </w:r>
          </w:p>
        </w:tc>
      </w:tr>
      <w:tr w:rsidR="003C51B1" w:rsidRPr="00A31BBA" w14:paraId="6E678A1C" w14:textId="77777777" w:rsidTr="00D51B4C">
        <w:trPr>
          <w:trHeight w:val="1300"/>
        </w:trPr>
        <w:tc>
          <w:tcPr>
            <w:tcW w:w="9428" w:type="dxa"/>
            <w:tcBorders>
              <w:top w:val="nil"/>
              <w:left w:val="nil"/>
              <w:bottom w:val="nil"/>
              <w:right w:val="nil"/>
            </w:tcBorders>
            <w:shd w:val="clear" w:color="auto" w:fill="auto"/>
            <w:tcMar>
              <w:top w:w="80" w:type="dxa"/>
              <w:left w:w="80" w:type="dxa"/>
              <w:bottom w:w="80" w:type="dxa"/>
              <w:right w:w="80" w:type="dxa"/>
            </w:tcMar>
          </w:tcPr>
          <w:p w14:paraId="7893B75D"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Which of the following is not a cash outflow for the company?</w:t>
            </w:r>
          </w:p>
          <w:p w14:paraId="55EE757A" w14:textId="77777777" w:rsidR="003C51B1" w:rsidRPr="00A31BBA" w:rsidRDefault="003C51B1" w:rsidP="006F749C">
            <w:pPr>
              <w:numPr>
                <w:ilvl w:val="0"/>
                <w:numId w:val="171"/>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depreciation;</w:t>
            </w:r>
          </w:p>
          <w:p w14:paraId="381DAB8D" w14:textId="77777777" w:rsidR="003C51B1" w:rsidRPr="00A31BBA" w:rsidRDefault="003C51B1" w:rsidP="006F749C">
            <w:pPr>
              <w:numPr>
                <w:ilvl w:val="0"/>
                <w:numId w:val="171"/>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dividends;</w:t>
            </w:r>
          </w:p>
          <w:p w14:paraId="654B1F14" w14:textId="77777777" w:rsidR="003C51B1" w:rsidRPr="00A31BBA" w:rsidRDefault="003C51B1" w:rsidP="006F749C">
            <w:pPr>
              <w:numPr>
                <w:ilvl w:val="0"/>
                <w:numId w:val="171"/>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interest payments;</w:t>
            </w:r>
          </w:p>
          <w:p w14:paraId="0DF440D3" w14:textId="77777777" w:rsidR="003C51B1" w:rsidRPr="00A31BBA" w:rsidRDefault="003C51B1" w:rsidP="006F749C">
            <w:pPr>
              <w:numPr>
                <w:ilvl w:val="0"/>
                <w:numId w:val="171"/>
              </w:numPr>
              <w:pBdr>
                <w:top w:val="nil"/>
                <w:left w:val="nil"/>
                <w:bottom w:val="nil"/>
                <w:right w:val="nil"/>
                <w:between w:val="nil"/>
                <w:bar w:val="nil"/>
              </w:pBdr>
              <w:shd w:val="clear" w:color="auto" w:fill="FFFFFF"/>
              <w:spacing w:after="120" w:line="240" w:lineRule="atLeast"/>
              <w:rPr>
                <w:sz w:val="28"/>
                <w:szCs w:val="28"/>
                <w:u w:color="000000"/>
                <w:bdr w:val="nil"/>
                <w:lang w:val="en-US" w:eastAsia="en-US"/>
              </w:rPr>
            </w:pPr>
            <w:r w:rsidRPr="00A31BBA">
              <w:rPr>
                <w:rFonts w:eastAsia="Calibri" w:cs="Calibri"/>
                <w:sz w:val="28"/>
                <w:szCs w:val="28"/>
                <w:u w:color="000000"/>
                <w:bdr w:val="nil"/>
                <w:lang w:val="en-US" w:eastAsia="en-US"/>
              </w:rPr>
              <w:t>taxes.</w:t>
            </w:r>
          </w:p>
        </w:tc>
      </w:tr>
      <w:tr w:rsidR="003C51B1" w:rsidRPr="00A31BBA" w14:paraId="66C4A44F" w14:textId="77777777" w:rsidTr="00D51B4C">
        <w:trPr>
          <w:trHeight w:val="2080"/>
        </w:trPr>
        <w:tc>
          <w:tcPr>
            <w:tcW w:w="9428" w:type="dxa"/>
            <w:tcBorders>
              <w:top w:val="nil"/>
              <w:left w:val="nil"/>
              <w:bottom w:val="nil"/>
              <w:right w:val="nil"/>
            </w:tcBorders>
            <w:shd w:val="clear" w:color="auto" w:fill="auto"/>
            <w:tcMar>
              <w:top w:w="80" w:type="dxa"/>
              <w:left w:w="80" w:type="dxa"/>
              <w:bottom w:w="80" w:type="dxa"/>
              <w:right w:w="80" w:type="dxa"/>
            </w:tcMar>
          </w:tcPr>
          <w:p w14:paraId="152A3B80"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Which of the following attributes does not relate to the indirect method?</w:t>
            </w:r>
          </w:p>
          <w:p w14:paraId="10396390" w14:textId="77777777" w:rsidR="003C51B1" w:rsidRPr="00A31BBA" w:rsidRDefault="003C51B1" w:rsidP="006F749C">
            <w:pPr>
              <w:numPr>
                <w:ilvl w:val="0"/>
                <w:numId w:val="172"/>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it is derived from re-processing and re-classifying data from the income statement and statement of financial position;</w:t>
            </w:r>
          </w:p>
          <w:p w14:paraId="04AD386C" w14:textId="77777777" w:rsidR="003C51B1" w:rsidRPr="00A31BBA" w:rsidRDefault="003C51B1" w:rsidP="006F749C">
            <w:pPr>
              <w:numPr>
                <w:ilvl w:val="0"/>
                <w:numId w:val="172"/>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it reports major classes of operating cash receipts and payments;</w:t>
            </w:r>
          </w:p>
          <w:p w14:paraId="045A480D" w14:textId="77777777" w:rsidR="003C51B1" w:rsidRPr="00A31BBA" w:rsidRDefault="003C51B1" w:rsidP="006F749C">
            <w:pPr>
              <w:numPr>
                <w:ilvl w:val="0"/>
                <w:numId w:val="172"/>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 xml:space="preserve">it provides a useful link between </w:t>
            </w:r>
            <w:r w:rsidR="0002556C">
              <w:rPr>
                <w:rFonts w:eastAsia="Calibri" w:cs="Calibri"/>
                <w:sz w:val="28"/>
                <w:szCs w:val="28"/>
                <w:u w:color="000000"/>
                <w:bdr w:val="nil"/>
                <w:lang w:val="en-US" w:eastAsia="en-US"/>
              </w:rPr>
              <w:t xml:space="preserve">the </w:t>
            </w:r>
            <w:r w:rsidRPr="00A31BBA">
              <w:rPr>
                <w:rFonts w:eastAsia="Calibri" w:cs="Calibri"/>
                <w:sz w:val="28"/>
                <w:szCs w:val="28"/>
                <w:u w:color="000000"/>
                <w:bdr w:val="nil"/>
                <w:lang w:val="en-US" w:eastAsia="en-US"/>
              </w:rPr>
              <w:t>statement of cash flows,</w:t>
            </w:r>
            <w:r w:rsidR="0002556C">
              <w:rPr>
                <w:rFonts w:eastAsia="Calibri" w:cs="Calibri"/>
                <w:sz w:val="28"/>
                <w:szCs w:val="28"/>
                <w:u w:color="000000"/>
                <w:bdr w:val="nil"/>
                <w:lang w:val="en-US" w:eastAsia="en-US"/>
              </w:rPr>
              <w:t xml:space="preserve"> the</w:t>
            </w:r>
            <w:r w:rsidRPr="00A31BBA">
              <w:rPr>
                <w:rFonts w:eastAsia="Calibri" w:cs="Calibri"/>
                <w:sz w:val="28"/>
                <w:szCs w:val="28"/>
                <w:u w:color="000000"/>
                <w:bdr w:val="nil"/>
                <w:lang w:val="en-US" w:eastAsia="en-US"/>
              </w:rPr>
              <w:t xml:space="preserve"> income statement, and </w:t>
            </w:r>
            <w:r w:rsidR="0002556C">
              <w:rPr>
                <w:rFonts w:eastAsia="Calibri" w:cs="Calibri"/>
                <w:sz w:val="28"/>
                <w:szCs w:val="28"/>
                <w:u w:color="000000"/>
                <w:bdr w:val="nil"/>
                <w:lang w:val="en-US" w:eastAsia="en-US"/>
              </w:rPr>
              <w:t xml:space="preserve">the </w:t>
            </w:r>
            <w:r w:rsidRPr="00A31BBA">
              <w:rPr>
                <w:rFonts w:eastAsia="Calibri" w:cs="Calibri"/>
                <w:sz w:val="28"/>
                <w:szCs w:val="28"/>
                <w:u w:color="000000"/>
                <w:bdr w:val="nil"/>
                <w:lang w:val="en-US" w:eastAsia="en-US"/>
              </w:rPr>
              <w:t>statement of financial position;</w:t>
            </w:r>
          </w:p>
          <w:p w14:paraId="168AD2C6" w14:textId="77777777" w:rsidR="003C51B1" w:rsidRPr="00A31BBA" w:rsidRDefault="003C51B1" w:rsidP="006F749C">
            <w:pPr>
              <w:numPr>
                <w:ilvl w:val="0"/>
                <w:numId w:val="172"/>
              </w:numPr>
              <w:pBdr>
                <w:top w:val="nil"/>
                <w:left w:val="nil"/>
                <w:bottom w:val="nil"/>
                <w:right w:val="nil"/>
                <w:between w:val="nil"/>
                <w:bar w:val="nil"/>
              </w:pBdr>
              <w:shd w:val="clear" w:color="auto" w:fill="FFFFFF"/>
              <w:spacing w:after="120" w:line="240" w:lineRule="atLeast"/>
              <w:rPr>
                <w:sz w:val="28"/>
                <w:szCs w:val="28"/>
                <w:u w:color="000000"/>
                <w:bdr w:val="nil"/>
                <w:lang w:val="en-US" w:eastAsia="en-US"/>
              </w:rPr>
            </w:pPr>
            <w:r w:rsidRPr="00A31BBA">
              <w:rPr>
                <w:rFonts w:eastAsia="Calibri" w:cs="Calibri"/>
                <w:sz w:val="28"/>
                <w:szCs w:val="28"/>
                <w:u w:color="000000"/>
                <w:bdr w:val="nil"/>
                <w:lang w:val="en-US" w:eastAsia="en-US"/>
              </w:rPr>
              <w:t>it focuses on the difference between net income and net cash flow from operations.</w:t>
            </w:r>
          </w:p>
        </w:tc>
      </w:tr>
      <w:tr w:rsidR="003C51B1" w:rsidRPr="00A31BBA" w14:paraId="303108E6" w14:textId="77777777" w:rsidTr="00D51B4C">
        <w:trPr>
          <w:trHeight w:val="1820"/>
        </w:trPr>
        <w:tc>
          <w:tcPr>
            <w:tcW w:w="9428" w:type="dxa"/>
            <w:tcBorders>
              <w:top w:val="nil"/>
              <w:left w:val="nil"/>
              <w:bottom w:val="nil"/>
              <w:right w:val="nil"/>
            </w:tcBorders>
            <w:shd w:val="clear" w:color="auto" w:fill="auto"/>
            <w:tcMar>
              <w:top w:w="80" w:type="dxa"/>
              <w:left w:w="80" w:type="dxa"/>
              <w:bottom w:w="80" w:type="dxa"/>
              <w:right w:w="80" w:type="dxa"/>
            </w:tcMar>
          </w:tcPr>
          <w:p w14:paraId="20E05540"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A company (non-financial institution) receives dividends from its investment in shares. How should a company disclose the dividends received in the statement of cash flow under IAS 7?</w:t>
            </w:r>
          </w:p>
          <w:p w14:paraId="593336F7" w14:textId="77777777" w:rsidR="003C51B1" w:rsidRPr="00A31BBA" w:rsidRDefault="003C51B1" w:rsidP="003D693A">
            <w:pPr>
              <w:numPr>
                <w:ilvl w:val="0"/>
                <w:numId w:val="30"/>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either as operating cash inflow or as investing cash inflow;</w:t>
            </w:r>
          </w:p>
          <w:p w14:paraId="1CD07CD9" w14:textId="77777777" w:rsidR="003C51B1" w:rsidRPr="00A31BBA" w:rsidRDefault="003C51B1" w:rsidP="003D693A">
            <w:pPr>
              <w:numPr>
                <w:ilvl w:val="0"/>
                <w:numId w:val="30"/>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operating cash inflow;</w:t>
            </w:r>
          </w:p>
          <w:p w14:paraId="05523F84" w14:textId="77777777" w:rsidR="003C51B1" w:rsidRPr="00A31BBA" w:rsidRDefault="003C51B1" w:rsidP="003D693A">
            <w:pPr>
              <w:numPr>
                <w:ilvl w:val="0"/>
                <w:numId w:val="30"/>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either as operating cash inflow or as financing cash inflow;</w:t>
            </w:r>
          </w:p>
          <w:p w14:paraId="3F5B64A6" w14:textId="77777777" w:rsidR="003C51B1" w:rsidRPr="00A31BBA" w:rsidRDefault="003C51B1" w:rsidP="003D693A">
            <w:pPr>
              <w:numPr>
                <w:ilvl w:val="0"/>
                <w:numId w:val="30"/>
              </w:numPr>
              <w:pBdr>
                <w:top w:val="nil"/>
                <w:left w:val="nil"/>
                <w:bottom w:val="nil"/>
                <w:right w:val="nil"/>
                <w:between w:val="nil"/>
                <w:bar w:val="nil"/>
              </w:pBdr>
              <w:shd w:val="clear" w:color="auto" w:fill="FFFFFF"/>
              <w:spacing w:after="120" w:line="240" w:lineRule="atLeast"/>
              <w:ind w:left="754" w:hanging="329"/>
              <w:rPr>
                <w:sz w:val="28"/>
                <w:szCs w:val="28"/>
                <w:u w:color="000000"/>
                <w:bdr w:val="nil"/>
                <w:lang w:val="en-US" w:eastAsia="en-US"/>
              </w:rPr>
            </w:pPr>
            <w:r w:rsidRPr="00A31BBA">
              <w:rPr>
                <w:rFonts w:eastAsia="Calibri" w:cs="Calibri"/>
                <w:sz w:val="28"/>
                <w:szCs w:val="28"/>
                <w:u w:color="000000"/>
                <w:bdr w:val="nil"/>
                <w:lang w:val="en-US" w:eastAsia="en-US"/>
              </w:rPr>
              <w:t>financing cash flow.</w:t>
            </w:r>
          </w:p>
        </w:tc>
      </w:tr>
      <w:tr w:rsidR="003C51B1" w:rsidRPr="00A31BBA" w14:paraId="6D1A6757" w14:textId="77777777" w:rsidTr="0002556C">
        <w:trPr>
          <w:trHeight w:val="346"/>
        </w:trPr>
        <w:tc>
          <w:tcPr>
            <w:tcW w:w="9428" w:type="dxa"/>
            <w:tcBorders>
              <w:top w:val="nil"/>
              <w:left w:val="nil"/>
              <w:bottom w:val="nil"/>
              <w:right w:val="nil"/>
            </w:tcBorders>
            <w:shd w:val="clear" w:color="auto" w:fill="auto"/>
            <w:tcMar>
              <w:top w:w="80" w:type="dxa"/>
              <w:left w:w="80" w:type="dxa"/>
              <w:bottom w:w="80" w:type="dxa"/>
              <w:right w:w="80" w:type="dxa"/>
            </w:tcMar>
          </w:tcPr>
          <w:p w14:paraId="642F3C2A"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If a company issues 1 million UAH 1 shares at UAH 1.30 per share, what will be the effect on the statement of cash flows?</w:t>
            </w:r>
          </w:p>
          <w:p w14:paraId="03240495" w14:textId="77777777" w:rsidR="003C51B1" w:rsidRPr="00A31BBA" w:rsidRDefault="003C51B1" w:rsidP="003D693A">
            <w:pPr>
              <w:numPr>
                <w:ilvl w:val="0"/>
                <w:numId w:val="31"/>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cash flows from financing activities will increase by UAH 1.3 million;</w:t>
            </w:r>
          </w:p>
          <w:p w14:paraId="17D07C22" w14:textId="77777777" w:rsidR="003C51B1" w:rsidRPr="00A31BBA" w:rsidRDefault="003C51B1" w:rsidP="003D693A">
            <w:pPr>
              <w:numPr>
                <w:ilvl w:val="0"/>
                <w:numId w:val="31"/>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cash flows from investing activities will increase by UAH 1.3 million;</w:t>
            </w:r>
          </w:p>
          <w:p w14:paraId="3436DA14" w14:textId="77777777" w:rsidR="003C51B1" w:rsidRPr="00A31BBA" w:rsidRDefault="003C51B1" w:rsidP="003D693A">
            <w:pPr>
              <w:numPr>
                <w:ilvl w:val="0"/>
                <w:numId w:val="31"/>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cash flows from investing activities will increase by UAH 1.0 million;</w:t>
            </w:r>
          </w:p>
          <w:p w14:paraId="375904D0" w14:textId="77777777" w:rsidR="003C51B1" w:rsidRPr="00A31BBA" w:rsidRDefault="003C51B1" w:rsidP="003D693A">
            <w:pPr>
              <w:numPr>
                <w:ilvl w:val="0"/>
                <w:numId w:val="31"/>
              </w:numPr>
              <w:pBdr>
                <w:top w:val="nil"/>
                <w:left w:val="nil"/>
                <w:bottom w:val="nil"/>
                <w:right w:val="nil"/>
                <w:between w:val="nil"/>
                <w:bar w:val="nil"/>
              </w:pBdr>
              <w:shd w:val="clear" w:color="auto" w:fill="FFFFFF"/>
              <w:spacing w:after="120" w:line="240" w:lineRule="atLeast"/>
              <w:ind w:left="754" w:hanging="329"/>
              <w:rPr>
                <w:rFonts w:eastAsia="Garamond"/>
                <w:sz w:val="28"/>
                <w:szCs w:val="28"/>
                <w:u w:color="000000"/>
                <w:bdr w:val="nil"/>
                <w:lang w:val="en-US" w:eastAsia="en-US"/>
              </w:rPr>
            </w:pPr>
            <w:r w:rsidRPr="00A31BBA">
              <w:rPr>
                <w:rFonts w:eastAsia="Calibri" w:cs="Calibri"/>
                <w:sz w:val="28"/>
                <w:szCs w:val="28"/>
                <w:u w:color="000000"/>
                <w:bdr w:val="nil"/>
                <w:lang w:val="en-US" w:eastAsia="en-US"/>
              </w:rPr>
              <w:t>cash flows from financing activities will increase by UAH 1.0 million.</w:t>
            </w:r>
          </w:p>
        </w:tc>
      </w:tr>
      <w:tr w:rsidR="003C51B1" w:rsidRPr="00A31BBA" w14:paraId="10D3E451" w14:textId="77777777" w:rsidTr="000B2D7B">
        <w:trPr>
          <w:trHeight w:val="22"/>
        </w:trPr>
        <w:tc>
          <w:tcPr>
            <w:tcW w:w="9428" w:type="dxa"/>
            <w:tcBorders>
              <w:top w:val="nil"/>
              <w:left w:val="nil"/>
              <w:bottom w:val="nil"/>
              <w:right w:val="nil"/>
            </w:tcBorders>
            <w:shd w:val="clear" w:color="auto" w:fill="auto"/>
            <w:tcMar>
              <w:top w:w="80" w:type="dxa"/>
              <w:left w:w="80" w:type="dxa"/>
              <w:bottom w:w="80" w:type="dxa"/>
              <w:right w:w="80" w:type="dxa"/>
            </w:tcMar>
          </w:tcPr>
          <w:p w14:paraId="28FB7542" w14:textId="77777777" w:rsidR="003C51B1" w:rsidRPr="00A31BBA" w:rsidRDefault="003C51B1" w:rsidP="00BF4B7E">
            <w:pPr>
              <w:pBdr>
                <w:top w:val="nil"/>
                <w:left w:val="nil"/>
                <w:bottom w:val="nil"/>
                <w:right w:val="nil"/>
                <w:between w:val="nil"/>
                <w:bar w:val="nil"/>
              </w:pBdr>
              <w:spacing w:line="240" w:lineRule="atLeast"/>
              <w:rPr>
                <w:rFonts w:eastAsia="Garamond"/>
                <w:b/>
                <w:bCs/>
                <w:sz w:val="28"/>
                <w:szCs w:val="28"/>
                <w:u w:color="000000"/>
                <w:bdr w:val="nil"/>
                <w:lang w:val="en-US" w:eastAsia="en-US"/>
              </w:rPr>
            </w:pPr>
            <w:r w:rsidRPr="00A31BBA">
              <w:rPr>
                <w:rFonts w:eastAsia="Calibri" w:cs="Calibri"/>
                <w:b/>
                <w:bCs/>
                <w:sz w:val="28"/>
                <w:szCs w:val="28"/>
                <w:u w:color="000000"/>
                <w:bdr w:val="nil"/>
                <w:lang w:val="en-US" w:eastAsia="en-US"/>
              </w:rPr>
              <w:lastRenderedPageBreak/>
              <w:t>Refer to the following information for questions 9</w:t>
            </w:r>
            <w:r w:rsidR="000B2D7B" w:rsidRPr="000B2D7B">
              <w:rPr>
                <w:rFonts w:eastAsia="Calibri" w:cs="Calibri"/>
                <w:b/>
                <w:bCs/>
                <w:sz w:val="28"/>
                <w:szCs w:val="28"/>
                <w:u w:color="000000"/>
                <w:bdr w:val="nil"/>
                <w:lang w:val="en-US" w:eastAsia="en-US"/>
              </w:rPr>
              <w:t>–</w:t>
            </w:r>
            <w:r w:rsidRPr="00A31BBA">
              <w:rPr>
                <w:rFonts w:eastAsia="Calibri" w:cs="Calibri"/>
                <w:b/>
                <w:bCs/>
                <w:sz w:val="28"/>
                <w:szCs w:val="28"/>
                <w:u w:color="000000"/>
                <w:bdr w:val="nil"/>
                <w:lang w:val="en-US" w:eastAsia="en-US"/>
              </w:rPr>
              <w:t>10.</w:t>
            </w:r>
          </w:p>
          <w:p w14:paraId="51CE3A2B" w14:textId="77777777" w:rsidR="003C51B1" w:rsidRPr="00A31BBA" w:rsidRDefault="003C51B1" w:rsidP="00BF4B7E">
            <w:pPr>
              <w:pBdr>
                <w:top w:val="nil"/>
                <w:left w:val="nil"/>
                <w:bottom w:val="nil"/>
                <w:right w:val="nil"/>
                <w:between w:val="nil"/>
                <w:bar w:val="nil"/>
              </w:pBdr>
              <w:spacing w:line="240" w:lineRule="atLeast"/>
              <w:rPr>
                <w:rFonts w:eastAsia="Garamond"/>
                <w:sz w:val="28"/>
                <w:szCs w:val="28"/>
                <w:u w:color="000000"/>
                <w:bdr w:val="nil"/>
                <w:lang w:val="en-US" w:eastAsia="en-US"/>
              </w:rPr>
            </w:pPr>
            <w:r w:rsidRPr="00A31BBA">
              <w:rPr>
                <w:rFonts w:eastAsia="Calibri" w:cs="Calibri"/>
                <w:sz w:val="28"/>
                <w:szCs w:val="28"/>
                <w:u w:color="000000"/>
                <w:bdr w:val="nil"/>
                <w:lang w:val="en-US" w:eastAsia="en-US"/>
              </w:rPr>
              <w:t>The following information is extracted from Consolidated statement of profit or loss and comprehensive income of Bananas Company for the year ended 31 Dec 2014</w:t>
            </w:r>
          </w:p>
          <w:tbl>
            <w:tblPr>
              <w:tblStyle w:val="TableGrid"/>
              <w:tblW w:w="425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1"/>
              <w:gridCol w:w="1345"/>
            </w:tblGrid>
            <w:tr w:rsidR="00D51B4C" w14:paraId="560F512F" w14:textId="77777777" w:rsidTr="000B2D7B">
              <w:trPr>
                <w:trHeight w:val="271"/>
                <w:jc w:val="center"/>
              </w:trPr>
              <w:tc>
                <w:tcPr>
                  <w:tcW w:w="0" w:type="auto"/>
                  <w:vAlign w:val="center"/>
                </w:tcPr>
                <w:p w14:paraId="6F9A719D" w14:textId="77777777" w:rsidR="00D51B4C" w:rsidRDefault="00D51B4C" w:rsidP="00BF4B7E">
                  <w:pPr>
                    <w:spacing w:line="240" w:lineRule="atLeast"/>
                    <w:rPr>
                      <w:rFonts w:eastAsia="Calibri" w:cs="Calibri"/>
                      <w:b/>
                      <w:bCs/>
                      <w:sz w:val="28"/>
                      <w:szCs w:val="28"/>
                      <w:u w:color="000000"/>
                      <w:bdr w:val="nil"/>
                      <w:lang w:val="en-US" w:eastAsia="en-US"/>
                    </w:rPr>
                  </w:pPr>
                  <w:r w:rsidRPr="00A31BBA">
                    <w:rPr>
                      <w:rFonts w:eastAsia="Calibri" w:cs="Calibri"/>
                      <w:b/>
                      <w:bCs/>
                      <w:sz w:val="28"/>
                      <w:szCs w:val="28"/>
                      <w:u w:color="000000"/>
                      <w:bdr w:val="nil"/>
                      <w:lang w:val="en-US" w:eastAsia="en-US"/>
                    </w:rPr>
                    <w:t>December 2014</w:t>
                  </w:r>
                </w:p>
              </w:tc>
              <w:tc>
                <w:tcPr>
                  <w:tcW w:w="0" w:type="auto"/>
                  <w:vAlign w:val="center"/>
                </w:tcPr>
                <w:p w14:paraId="130586C1" w14:textId="77777777" w:rsidR="00D51B4C" w:rsidRPr="00D51B4C" w:rsidRDefault="00D51B4C" w:rsidP="00BF4B7E">
                  <w:pPr>
                    <w:pBdr>
                      <w:top w:val="nil"/>
                      <w:left w:val="nil"/>
                      <w:bottom w:val="nil"/>
                      <w:right w:val="nil"/>
                      <w:between w:val="nil"/>
                      <w:bar w:val="nil"/>
                    </w:pBdr>
                    <w:spacing w:line="240" w:lineRule="atLeast"/>
                    <w:jc w:val="center"/>
                    <w:rPr>
                      <w:rFonts w:eastAsia="Garamond"/>
                      <w:b/>
                      <w:bCs/>
                      <w:sz w:val="28"/>
                      <w:szCs w:val="28"/>
                      <w:u w:color="000000"/>
                      <w:bdr w:val="nil"/>
                      <w:lang w:val="en-US" w:eastAsia="en-US"/>
                    </w:rPr>
                  </w:pPr>
                  <w:r w:rsidRPr="00A31BBA">
                    <w:rPr>
                      <w:rFonts w:eastAsia="Calibri" w:cs="Calibri"/>
                      <w:b/>
                      <w:bCs/>
                      <w:sz w:val="28"/>
                      <w:szCs w:val="28"/>
                      <w:u w:color="000000"/>
                      <w:bdr w:val="nil"/>
                      <w:lang w:val="en-US" w:eastAsia="en-US"/>
                    </w:rPr>
                    <w:t>UAH’000</w:t>
                  </w:r>
                </w:p>
              </w:tc>
            </w:tr>
            <w:tr w:rsidR="00D51B4C" w14:paraId="1EDBC149" w14:textId="77777777" w:rsidTr="000B2D7B">
              <w:trPr>
                <w:trHeight w:val="285"/>
                <w:jc w:val="center"/>
              </w:trPr>
              <w:tc>
                <w:tcPr>
                  <w:tcW w:w="0" w:type="auto"/>
                  <w:vAlign w:val="center"/>
                </w:tcPr>
                <w:p w14:paraId="24AA6552" w14:textId="77777777" w:rsidR="00D51B4C" w:rsidRDefault="00D51B4C" w:rsidP="00BF4B7E">
                  <w:pPr>
                    <w:spacing w:line="240" w:lineRule="atLeast"/>
                    <w:rPr>
                      <w:rFonts w:eastAsia="Calibri" w:cs="Calibri"/>
                      <w:b/>
                      <w:bCs/>
                      <w:sz w:val="28"/>
                      <w:szCs w:val="28"/>
                      <w:u w:color="000000"/>
                      <w:bdr w:val="nil"/>
                      <w:lang w:val="en-US" w:eastAsia="en-US"/>
                    </w:rPr>
                  </w:pPr>
                  <w:r w:rsidRPr="00A31BBA">
                    <w:rPr>
                      <w:rFonts w:eastAsia="Calibri" w:cs="Calibri"/>
                      <w:sz w:val="28"/>
                      <w:szCs w:val="28"/>
                      <w:u w:color="000000"/>
                      <w:bdr w:val="nil"/>
                      <w:lang w:val="en-US" w:eastAsia="en-US"/>
                    </w:rPr>
                    <w:t>Sales revenue</w:t>
                  </w:r>
                </w:p>
              </w:tc>
              <w:tc>
                <w:tcPr>
                  <w:tcW w:w="0" w:type="auto"/>
                  <w:vAlign w:val="center"/>
                </w:tcPr>
                <w:p w14:paraId="37FDCE2F" w14:textId="77777777" w:rsidR="00D51B4C" w:rsidRPr="00D51B4C" w:rsidRDefault="00D51B4C" w:rsidP="00BF4B7E">
                  <w:pPr>
                    <w:pBdr>
                      <w:top w:val="nil"/>
                      <w:left w:val="nil"/>
                      <w:bottom w:val="nil"/>
                      <w:right w:val="nil"/>
                      <w:between w:val="nil"/>
                      <w:bar w:val="nil"/>
                    </w:pBdr>
                    <w:spacing w:line="240" w:lineRule="atLeast"/>
                    <w:jc w:val="center"/>
                    <w:rPr>
                      <w:rFonts w:eastAsia="Garamond"/>
                      <w:sz w:val="28"/>
                      <w:szCs w:val="28"/>
                      <w:u w:color="000000"/>
                      <w:bdr w:val="nil"/>
                      <w:lang w:val="en-US" w:eastAsia="en-US"/>
                    </w:rPr>
                  </w:pPr>
                  <w:r w:rsidRPr="00A31BBA">
                    <w:rPr>
                      <w:rFonts w:eastAsia="Calibri" w:cs="Calibri"/>
                      <w:sz w:val="28"/>
                      <w:szCs w:val="28"/>
                      <w:u w:color="000000"/>
                      <w:bdr w:val="nil"/>
                      <w:lang w:val="en-US" w:eastAsia="en-US"/>
                    </w:rPr>
                    <w:t>10,000</w:t>
                  </w:r>
                </w:p>
              </w:tc>
            </w:tr>
            <w:tr w:rsidR="00D51B4C" w14:paraId="39B35368" w14:textId="77777777" w:rsidTr="000B2D7B">
              <w:trPr>
                <w:trHeight w:val="271"/>
                <w:jc w:val="center"/>
              </w:trPr>
              <w:tc>
                <w:tcPr>
                  <w:tcW w:w="0" w:type="auto"/>
                  <w:vAlign w:val="center"/>
                </w:tcPr>
                <w:p w14:paraId="6F92C9AF" w14:textId="77777777" w:rsidR="00D51B4C" w:rsidRPr="00D51B4C" w:rsidRDefault="00D51B4C"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Cost of sales</w:t>
                  </w:r>
                </w:p>
              </w:tc>
              <w:tc>
                <w:tcPr>
                  <w:tcW w:w="0" w:type="auto"/>
                  <w:vAlign w:val="center"/>
                </w:tcPr>
                <w:p w14:paraId="6D50394E" w14:textId="77777777" w:rsidR="00D51B4C" w:rsidRDefault="00D51B4C" w:rsidP="00BF4B7E">
                  <w:pPr>
                    <w:spacing w:line="240" w:lineRule="atLeast"/>
                    <w:jc w:val="center"/>
                    <w:rPr>
                      <w:rFonts w:eastAsia="Calibri" w:cs="Calibri"/>
                      <w:b/>
                      <w:bCs/>
                      <w:sz w:val="28"/>
                      <w:szCs w:val="28"/>
                      <w:u w:color="000000"/>
                      <w:bdr w:val="nil"/>
                      <w:lang w:val="en-US" w:eastAsia="en-US"/>
                    </w:rPr>
                  </w:pPr>
                  <w:r w:rsidRPr="00A31BBA">
                    <w:rPr>
                      <w:rFonts w:eastAsia="Calibri" w:cs="Calibri"/>
                      <w:sz w:val="28"/>
                      <w:szCs w:val="28"/>
                      <w:u w:color="000000"/>
                      <w:bdr w:val="nil"/>
                      <w:lang w:val="en-US" w:eastAsia="en-US"/>
                    </w:rPr>
                    <w:t>(8,500)</w:t>
                  </w:r>
                </w:p>
              </w:tc>
            </w:tr>
            <w:tr w:rsidR="00D51B4C" w14:paraId="16E2A01F" w14:textId="77777777" w:rsidTr="000B2D7B">
              <w:trPr>
                <w:trHeight w:val="271"/>
                <w:jc w:val="center"/>
              </w:trPr>
              <w:tc>
                <w:tcPr>
                  <w:tcW w:w="0" w:type="auto"/>
                  <w:vAlign w:val="center"/>
                </w:tcPr>
                <w:p w14:paraId="2F93902E" w14:textId="77777777" w:rsidR="00D51B4C" w:rsidRDefault="00D51B4C" w:rsidP="00BF4B7E">
                  <w:pPr>
                    <w:spacing w:line="240" w:lineRule="atLeast"/>
                    <w:rPr>
                      <w:rFonts w:eastAsia="Calibri" w:cs="Calibri"/>
                      <w:b/>
                      <w:bCs/>
                      <w:sz w:val="28"/>
                      <w:szCs w:val="28"/>
                      <w:u w:color="000000"/>
                      <w:bdr w:val="nil"/>
                      <w:lang w:val="en-US" w:eastAsia="en-US"/>
                    </w:rPr>
                  </w:pPr>
                  <w:r w:rsidRPr="00A31BBA">
                    <w:rPr>
                      <w:rFonts w:eastAsia="Calibri" w:cs="Calibri"/>
                      <w:sz w:val="28"/>
                      <w:szCs w:val="28"/>
                      <w:u w:color="000000"/>
                      <w:bdr w:val="nil"/>
                      <w:lang w:val="en-US" w:eastAsia="en-US"/>
                    </w:rPr>
                    <w:t>Distribution costs</w:t>
                  </w:r>
                </w:p>
              </w:tc>
              <w:tc>
                <w:tcPr>
                  <w:tcW w:w="0" w:type="auto"/>
                  <w:vAlign w:val="center"/>
                </w:tcPr>
                <w:p w14:paraId="4B0EEE8E" w14:textId="77777777" w:rsidR="00D51B4C" w:rsidRPr="00D51B4C" w:rsidRDefault="00D51B4C" w:rsidP="00BF4B7E">
                  <w:pPr>
                    <w:pBdr>
                      <w:top w:val="nil"/>
                      <w:left w:val="nil"/>
                      <w:bottom w:val="nil"/>
                      <w:right w:val="nil"/>
                      <w:between w:val="nil"/>
                      <w:bar w:val="nil"/>
                    </w:pBdr>
                    <w:spacing w:line="240" w:lineRule="atLeast"/>
                    <w:jc w:val="center"/>
                    <w:rPr>
                      <w:rFonts w:eastAsia="Garamond"/>
                      <w:sz w:val="28"/>
                      <w:szCs w:val="28"/>
                      <w:u w:color="000000"/>
                      <w:bdr w:val="nil"/>
                      <w:lang w:val="en-US" w:eastAsia="en-US"/>
                    </w:rPr>
                  </w:pPr>
                  <w:r w:rsidRPr="00A31BBA">
                    <w:rPr>
                      <w:rFonts w:eastAsia="Calibri" w:cs="Calibri"/>
                      <w:sz w:val="28"/>
                      <w:szCs w:val="28"/>
                      <w:u w:color="000000"/>
                      <w:bdr w:val="nil"/>
                      <w:lang w:val="en-US" w:eastAsia="en-US"/>
                    </w:rPr>
                    <w:t>(300)</w:t>
                  </w:r>
                </w:p>
              </w:tc>
            </w:tr>
            <w:tr w:rsidR="00D51B4C" w14:paraId="3852B040" w14:textId="77777777" w:rsidTr="000B2D7B">
              <w:trPr>
                <w:trHeight w:val="271"/>
                <w:jc w:val="center"/>
              </w:trPr>
              <w:tc>
                <w:tcPr>
                  <w:tcW w:w="0" w:type="auto"/>
                  <w:vAlign w:val="center"/>
                </w:tcPr>
                <w:p w14:paraId="0F257345" w14:textId="77777777" w:rsidR="00D51B4C" w:rsidRDefault="00D51B4C" w:rsidP="00BF4B7E">
                  <w:pPr>
                    <w:spacing w:line="240" w:lineRule="atLeast"/>
                    <w:rPr>
                      <w:rFonts w:eastAsia="Calibri" w:cs="Calibri"/>
                      <w:b/>
                      <w:bCs/>
                      <w:sz w:val="28"/>
                      <w:szCs w:val="28"/>
                      <w:u w:color="000000"/>
                      <w:bdr w:val="nil"/>
                      <w:lang w:val="en-US" w:eastAsia="en-US"/>
                    </w:rPr>
                  </w:pPr>
                  <w:r w:rsidRPr="00A31BBA">
                    <w:rPr>
                      <w:rFonts w:eastAsia="Calibri" w:cs="Calibri"/>
                      <w:sz w:val="28"/>
                      <w:szCs w:val="28"/>
                      <w:u w:color="000000"/>
                      <w:bdr w:val="nil"/>
                      <w:lang w:val="en-US" w:eastAsia="en-US"/>
                    </w:rPr>
                    <w:t>Administrative expenses</w:t>
                  </w:r>
                </w:p>
              </w:tc>
              <w:tc>
                <w:tcPr>
                  <w:tcW w:w="0" w:type="auto"/>
                  <w:vAlign w:val="center"/>
                </w:tcPr>
                <w:p w14:paraId="2AC3E5C6" w14:textId="77777777" w:rsidR="00D51B4C" w:rsidRDefault="00D51B4C" w:rsidP="00BF4B7E">
                  <w:pPr>
                    <w:spacing w:line="240" w:lineRule="atLeast"/>
                    <w:jc w:val="center"/>
                    <w:rPr>
                      <w:rFonts w:eastAsia="Calibri" w:cs="Calibri"/>
                      <w:b/>
                      <w:bCs/>
                      <w:sz w:val="28"/>
                      <w:szCs w:val="28"/>
                      <w:u w:color="000000"/>
                      <w:bdr w:val="nil"/>
                      <w:lang w:val="en-US" w:eastAsia="en-US"/>
                    </w:rPr>
                  </w:pPr>
                  <w:r>
                    <w:rPr>
                      <w:rFonts w:eastAsia="Calibri" w:cs="Calibri"/>
                      <w:sz w:val="28"/>
                      <w:szCs w:val="28"/>
                      <w:u w:color="000000"/>
                      <w:bdr w:val="nil"/>
                      <w:lang w:val="en-US" w:eastAsia="en-US"/>
                    </w:rPr>
                    <w:t>(</w:t>
                  </w:r>
                  <w:r w:rsidRPr="00A31BBA">
                    <w:rPr>
                      <w:rFonts w:eastAsia="Calibri" w:cs="Calibri"/>
                      <w:sz w:val="28"/>
                      <w:szCs w:val="28"/>
                      <w:u w:color="000000"/>
                      <w:bdr w:val="nil"/>
                      <w:lang w:val="en-US" w:eastAsia="en-US"/>
                    </w:rPr>
                    <w:t>200)</w:t>
                  </w:r>
                </w:p>
              </w:tc>
            </w:tr>
            <w:tr w:rsidR="00D51B4C" w14:paraId="500473CE" w14:textId="77777777" w:rsidTr="000B2D7B">
              <w:trPr>
                <w:trHeight w:val="285"/>
                <w:jc w:val="center"/>
              </w:trPr>
              <w:tc>
                <w:tcPr>
                  <w:tcW w:w="0" w:type="auto"/>
                  <w:vAlign w:val="center"/>
                </w:tcPr>
                <w:p w14:paraId="5740607D" w14:textId="77777777" w:rsidR="00D51B4C" w:rsidRPr="00D51B4C" w:rsidRDefault="00D51B4C"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Net interest paid</w:t>
                  </w:r>
                </w:p>
              </w:tc>
              <w:tc>
                <w:tcPr>
                  <w:tcW w:w="0" w:type="auto"/>
                  <w:vAlign w:val="center"/>
                </w:tcPr>
                <w:p w14:paraId="5BC2820F" w14:textId="77777777" w:rsidR="00D51B4C" w:rsidRDefault="00D51B4C" w:rsidP="00BF4B7E">
                  <w:pPr>
                    <w:spacing w:line="240" w:lineRule="atLeast"/>
                    <w:jc w:val="center"/>
                    <w:rPr>
                      <w:rFonts w:eastAsia="Calibri" w:cs="Calibri"/>
                      <w:b/>
                      <w:bCs/>
                      <w:sz w:val="28"/>
                      <w:szCs w:val="28"/>
                      <w:u w:color="000000"/>
                      <w:bdr w:val="nil"/>
                      <w:lang w:val="en-US" w:eastAsia="en-US"/>
                    </w:rPr>
                  </w:pPr>
                  <w:r w:rsidRPr="00A31BBA">
                    <w:rPr>
                      <w:rFonts w:eastAsia="Calibri" w:cs="Calibri"/>
                      <w:sz w:val="28"/>
                      <w:szCs w:val="28"/>
                      <w:u w:color="000000"/>
                      <w:bdr w:val="nil"/>
                      <w:lang w:val="en-US" w:eastAsia="en-US"/>
                    </w:rPr>
                    <w:t>(150)</w:t>
                  </w:r>
                </w:p>
              </w:tc>
            </w:tr>
            <w:tr w:rsidR="00D51B4C" w14:paraId="7CB2A40B" w14:textId="77777777" w:rsidTr="000B2D7B">
              <w:trPr>
                <w:trHeight w:val="271"/>
                <w:jc w:val="center"/>
              </w:trPr>
              <w:tc>
                <w:tcPr>
                  <w:tcW w:w="0" w:type="auto"/>
                  <w:vAlign w:val="center"/>
                </w:tcPr>
                <w:p w14:paraId="55DB976D" w14:textId="77777777" w:rsidR="00D51B4C" w:rsidRDefault="00D51B4C" w:rsidP="00BF4B7E">
                  <w:pPr>
                    <w:spacing w:line="240" w:lineRule="atLeast"/>
                    <w:rPr>
                      <w:rFonts w:eastAsia="Calibri" w:cs="Calibri"/>
                      <w:b/>
                      <w:bCs/>
                      <w:sz w:val="28"/>
                      <w:szCs w:val="28"/>
                      <w:u w:color="000000"/>
                      <w:bdr w:val="nil"/>
                      <w:lang w:val="en-US" w:eastAsia="en-US"/>
                    </w:rPr>
                  </w:pPr>
                  <w:r w:rsidRPr="00A31BBA">
                    <w:rPr>
                      <w:rFonts w:eastAsia="Calibri" w:cs="Calibri"/>
                      <w:sz w:val="28"/>
                      <w:szCs w:val="28"/>
                      <w:u w:color="000000"/>
                      <w:bdr w:val="nil"/>
                      <w:lang w:val="en-US" w:eastAsia="en-US"/>
                    </w:rPr>
                    <w:t>Taxation</w:t>
                  </w:r>
                </w:p>
              </w:tc>
              <w:tc>
                <w:tcPr>
                  <w:tcW w:w="0" w:type="auto"/>
                  <w:vAlign w:val="center"/>
                </w:tcPr>
                <w:p w14:paraId="644D1885" w14:textId="77777777" w:rsidR="00D51B4C" w:rsidRDefault="00D51B4C" w:rsidP="00BF4B7E">
                  <w:pPr>
                    <w:spacing w:line="240" w:lineRule="atLeast"/>
                    <w:jc w:val="center"/>
                    <w:rPr>
                      <w:rFonts w:eastAsia="Calibri" w:cs="Calibri"/>
                      <w:b/>
                      <w:bCs/>
                      <w:sz w:val="28"/>
                      <w:szCs w:val="28"/>
                      <w:u w:color="000000"/>
                      <w:bdr w:val="nil"/>
                      <w:lang w:val="en-US" w:eastAsia="en-US"/>
                    </w:rPr>
                  </w:pPr>
                  <w:r w:rsidRPr="00A31BBA">
                    <w:rPr>
                      <w:rFonts w:eastAsia="Calibri" w:cs="Calibri"/>
                      <w:sz w:val="28"/>
                      <w:szCs w:val="28"/>
                      <w:u w:color="000000"/>
                      <w:bdr w:val="nil"/>
                      <w:lang w:val="en-US" w:eastAsia="en-US"/>
                    </w:rPr>
                    <w:t>(500</w:t>
                  </w:r>
                  <w:r>
                    <w:rPr>
                      <w:rFonts w:eastAsia="Calibri" w:cs="Calibri"/>
                      <w:sz w:val="28"/>
                      <w:szCs w:val="28"/>
                      <w:u w:color="000000"/>
                      <w:bdr w:val="nil"/>
                      <w:lang w:val="en-US" w:eastAsia="en-US"/>
                    </w:rPr>
                    <w:t>)</w:t>
                  </w:r>
                </w:p>
              </w:tc>
            </w:tr>
            <w:tr w:rsidR="00D51B4C" w14:paraId="668DED73" w14:textId="77777777" w:rsidTr="000B2D7B">
              <w:trPr>
                <w:trHeight w:val="271"/>
                <w:jc w:val="center"/>
              </w:trPr>
              <w:tc>
                <w:tcPr>
                  <w:tcW w:w="0" w:type="auto"/>
                  <w:vAlign w:val="center"/>
                </w:tcPr>
                <w:p w14:paraId="6C4C3241" w14:textId="77777777" w:rsidR="00D51B4C" w:rsidRDefault="00D51B4C" w:rsidP="00BF4B7E">
                  <w:pPr>
                    <w:spacing w:line="240" w:lineRule="atLeast"/>
                    <w:rPr>
                      <w:rFonts w:eastAsia="Calibri" w:cs="Calibri"/>
                      <w:b/>
                      <w:bCs/>
                      <w:sz w:val="28"/>
                      <w:szCs w:val="28"/>
                      <w:u w:color="000000"/>
                      <w:bdr w:val="nil"/>
                      <w:lang w:val="en-US" w:eastAsia="en-US"/>
                    </w:rPr>
                  </w:pPr>
                  <w:r w:rsidRPr="00A31BBA">
                    <w:rPr>
                      <w:rFonts w:eastAsia="Calibri" w:cs="Calibri"/>
                      <w:sz w:val="28"/>
                      <w:szCs w:val="28"/>
                      <w:u w:color="000000"/>
                      <w:bdr w:val="nil"/>
                      <w:lang w:val="en-US" w:eastAsia="en-US"/>
                    </w:rPr>
                    <w:t>Dividends</w:t>
                  </w:r>
                </w:p>
              </w:tc>
              <w:tc>
                <w:tcPr>
                  <w:tcW w:w="0" w:type="auto"/>
                  <w:vAlign w:val="center"/>
                </w:tcPr>
                <w:p w14:paraId="4230D5FC" w14:textId="77777777" w:rsidR="00D51B4C" w:rsidRDefault="00D51B4C" w:rsidP="00BF4B7E">
                  <w:pPr>
                    <w:spacing w:line="240" w:lineRule="atLeast"/>
                    <w:jc w:val="center"/>
                    <w:rPr>
                      <w:rFonts w:eastAsia="Calibri" w:cs="Calibri"/>
                      <w:b/>
                      <w:bCs/>
                      <w:sz w:val="28"/>
                      <w:szCs w:val="28"/>
                      <w:u w:color="000000"/>
                      <w:bdr w:val="nil"/>
                      <w:lang w:val="en-US" w:eastAsia="en-US"/>
                    </w:rPr>
                  </w:pPr>
                  <w:r w:rsidRPr="00A31BBA">
                    <w:rPr>
                      <w:rFonts w:eastAsia="Calibri" w:cs="Calibri"/>
                      <w:sz w:val="28"/>
                      <w:szCs w:val="28"/>
                      <w:u w:color="000000"/>
                      <w:bdr w:val="nil"/>
                      <w:lang w:val="en-US" w:eastAsia="en-US"/>
                    </w:rPr>
                    <w:t>(100)</w:t>
                  </w:r>
                </w:p>
              </w:tc>
            </w:tr>
          </w:tbl>
          <w:p w14:paraId="6DDB4ADD" w14:textId="77777777" w:rsidR="003C51B1" w:rsidRPr="00A31BBA" w:rsidRDefault="003C51B1" w:rsidP="00BF4B7E">
            <w:pPr>
              <w:pBdr>
                <w:top w:val="nil"/>
                <w:left w:val="nil"/>
                <w:bottom w:val="nil"/>
                <w:right w:val="nil"/>
                <w:between w:val="nil"/>
                <w:bar w:val="nil"/>
              </w:pBdr>
              <w:spacing w:line="240" w:lineRule="atLeast"/>
              <w:jc w:val="center"/>
              <w:rPr>
                <w:rFonts w:eastAsia="Garamond"/>
                <w:sz w:val="28"/>
                <w:szCs w:val="28"/>
                <w:u w:color="000000"/>
                <w:bdr w:val="nil"/>
                <w:lang w:val="en-US" w:eastAsia="en-US"/>
              </w:rPr>
            </w:pPr>
          </w:p>
        </w:tc>
      </w:tr>
      <w:tr w:rsidR="003C51B1" w:rsidRPr="00A31BBA" w14:paraId="6FC9AD5B" w14:textId="77777777" w:rsidTr="00D51B4C">
        <w:trPr>
          <w:trHeight w:val="1300"/>
        </w:trPr>
        <w:tc>
          <w:tcPr>
            <w:tcW w:w="9428" w:type="dxa"/>
            <w:tcBorders>
              <w:top w:val="nil"/>
              <w:left w:val="nil"/>
              <w:bottom w:val="nil"/>
              <w:right w:val="nil"/>
            </w:tcBorders>
            <w:shd w:val="clear" w:color="auto" w:fill="auto"/>
            <w:tcMar>
              <w:top w:w="80" w:type="dxa"/>
              <w:left w:w="80" w:type="dxa"/>
              <w:bottom w:w="80" w:type="dxa"/>
              <w:right w:w="80" w:type="dxa"/>
            </w:tcMar>
          </w:tcPr>
          <w:p w14:paraId="2BEABDC9"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Bananas Company’s gross profit at a year-end amounts to:</w:t>
            </w:r>
          </w:p>
          <w:p w14:paraId="677F90FF" w14:textId="77777777" w:rsidR="003C51B1" w:rsidRPr="00A31BBA" w:rsidRDefault="003C51B1" w:rsidP="006F749C">
            <w:pPr>
              <w:numPr>
                <w:ilvl w:val="0"/>
                <w:numId w:val="172"/>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1,000,000;</w:t>
            </w:r>
          </w:p>
          <w:p w14:paraId="23EA83B2" w14:textId="77777777" w:rsidR="003C51B1" w:rsidRPr="00A31BBA" w:rsidRDefault="003C51B1" w:rsidP="006F749C">
            <w:pPr>
              <w:numPr>
                <w:ilvl w:val="0"/>
                <w:numId w:val="172"/>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10,000,000;</w:t>
            </w:r>
          </w:p>
          <w:p w14:paraId="76CAFD35" w14:textId="77777777" w:rsidR="003C51B1" w:rsidRPr="00A31BBA" w:rsidRDefault="003C51B1" w:rsidP="006F749C">
            <w:pPr>
              <w:numPr>
                <w:ilvl w:val="0"/>
                <w:numId w:val="172"/>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1,500,000;</w:t>
            </w:r>
          </w:p>
          <w:p w14:paraId="6460C746" w14:textId="77777777" w:rsidR="003C51B1" w:rsidRPr="00A31BBA" w:rsidRDefault="003C51B1" w:rsidP="006F749C">
            <w:pPr>
              <w:numPr>
                <w:ilvl w:val="0"/>
                <w:numId w:val="172"/>
              </w:numPr>
              <w:pBdr>
                <w:top w:val="nil"/>
                <w:left w:val="nil"/>
                <w:bottom w:val="nil"/>
                <w:right w:val="nil"/>
                <w:between w:val="nil"/>
                <w:bar w:val="nil"/>
              </w:pBdr>
              <w:shd w:val="clear" w:color="auto" w:fill="FFFFFF"/>
              <w:spacing w:after="120" w:line="240" w:lineRule="atLeast"/>
              <w:ind w:left="754" w:hanging="329"/>
              <w:rPr>
                <w:rFonts w:eastAsia="Garamond"/>
                <w:sz w:val="28"/>
                <w:szCs w:val="28"/>
                <w:u w:color="000000"/>
                <w:bdr w:val="nil"/>
                <w:lang w:val="en-US" w:eastAsia="en-US"/>
              </w:rPr>
            </w:pPr>
            <w:r w:rsidRPr="00A31BBA">
              <w:rPr>
                <w:rFonts w:eastAsia="Calibri" w:cs="Calibri"/>
                <w:sz w:val="28"/>
                <w:szCs w:val="28"/>
                <w:u w:color="000000"/>
                <w:bdr w:val="nil"/>
                <w:lang w:val="en-US" w:eastAsia="en-US"/>
              </w:rPr>
              <w:t>1,200,000.</w:t>
            </w:r>
          </w:p>
        </w:tc>
      </w:tr>
      <w:tr w:rsidR="003C51B1" w:rsidRPr="00A31BBA" w14:paraId="5C36E7B6" w14:textId="77777777" w:rsidTr="00D51B4C">
        <w:trPr>
          <w:trHeight w:val="1300"/>
        </w:trPr>
        <w:tc>
          <w:tcPr>
            <w:tcW w:w="9428" w:type="dxa"/>
            <w:tcBorders>
              <w:top w:val="nil"/>
              <w:left w:val="nil"/>
              <w:bottom w:val="nil"/>
              <w:right w:val="nil"/>
            </w:tcBorders>
            <w:shd w:val="clear" w:color="auto" w:fill="auto"/>
            <w:tcMar>
              <w:top w:w="80" w:type="dxa"/>
              <w:left w:w="80" w:type="dxa"/>
              <w:bottom w:w="80" w:type="dxa"/>
              <w:right w:w="80" w:type="dxa"/>
            </w:tcMar>
          </w:tcPr>
          <w:p w14:paraId="270C6F9A" w14:textId="77777777" w:rsidR="003C51B1" w:rsidRPr="00A31BBA" w:rsidRDefault="003C51B1" w:rsidP="006F749C">
            <w:pPr>
              <w:numPr>
                <w:ilvl w:val="0"/>
                <w:numId w:val="68"/>
              </w:numPr>
              <w:pBdr>
                <w:top w:val="nil"/>
                <w:left w:val="nil"/>
                <w:bottom w:val="nil"/>
                <w:right w:val="nil"/>
                <w:between w:val="nil"/>
                <w:bar w:val="nil"/>
              </w:pBdr>
              <w:tabs>
                <w:tab w:val="num" w:pos="396"/>
              </w:tabs>
              <w:spacing w:line="240" w:lineRule="atLeast"/>
              <w:ind w:left="396" w:hanging="330"/>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Bananas Company’s operating profit at a year-end amounts to:</w:t>
            </w:r>
          </w:p>
          <w:p w14:paraId="23221DDF" w14:textId="77777777" w:rsidR="003C51B1" w:rsidRPr="00A31BBA" w:rsidRDefault="003C51B1" w:rsidP="003D693A">
            <w:pPr>
              <w:numPr>
                <w:ilvl w:val="0"/>
                <w:numId w:val="33"/>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1,200,000;</w:t>
            </w:r>
          </w:p>
          <w:p w14:paraId="6EE0ACF4" w14:textId="77777777" w:rsidR="003C51B1" w:rsidRPr="00A31BBA" w:rsidRDefault="003C51B1" w:rsidP="003D693A">
            <w:pPr>
              <w:numPr>
                <w:ilvl w:val="0"/>
                <w:numId w:val="33"/>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1,050,000;</w:t>
            </w:r>
          </w:p>
          <w:p w14:paraId="3C580EA4" w14:textId="77777777" w:rsidR="003C51B1" w:rsidRPr="00A31BBA" w:rsidRDefault="003C51B1" w:rsidP="003D693A">
            <w:pPr>
              <w:numPr>
                <w:ilvl w:val="0"/>
                <w:numId w:val="33"/>
              </w:numPr>
              <w:pBdr>
                <w:top w:val="nil"/>
                <w:left w:val="nil"/>
                <w:bottom w:val="nil"/>
                <w:right w:val="nil"/>
                <w:between w:val="nil"/>
                <w:bar w:val="nil"/>
              </w:pBdr>
              <w:shd w:val="clear" w:color="auto" w:fill="FFFFFF"/>
              <w:spacing w:line="240" w:lineRule="atLeast"/>
              <w:ind w:left="758" w:hanging="330"/>
              <w:rPr>
                <w:rFonts w:eastAsia="Garamond"/>
                <w:sz w:val="28"/>
                <w:szCs w:val="28"/>
                <w:u w:color="000000"/>
                <w:bdr w:val="nil"/>
                <w:lang w:val="en-US" w:eastAsia="en-US"/>
              </w:rPr>
            </w:pPr>
            <w:r w:rsidRPr="00A31BBA">
              <w:rPr>
                <w:rFonts w:eastAsia="Calibri" w:cs="Calibri"/>
                <w:sz w:val="28"/>
                <w:szCs w:val="28"/>
                <w:u w:color="000000"/>
                <w:bdr w:val="nil"/>
                <w:lang w:val="en-US" w:eastAsia="en-US"/>
              </w:rPr>
              <w:t>1,000,000;</w:t>
            </w:r>
          </w:p>
          <w:p w14:paraId="1936891D" w14:textId="77777777" w:rsidR="003C51B1" w:rsidRPr="00A31BBA" w:rsidRDefault="003C51B1" w:rsidP="003D693A">
            <w:pPr>
              <w:numPr>
                <w:ilvl w:val="0"/>
                <w:numId w:val="33"/>
              </w:numPr>
              <w:pBdr>
                <w:top w:val="nil"/>
                <w:left w:val="nil"/>
                <w:bottom w:val="nil"/>
                <w:right w:val="nil"/>
                <w:between w:val="nil"/>
                <w:bar w:val="nil"/>
              </w:pBdr>
              <w:shd w:val="clear" w:color="auto" w:fill="FFFFFF"/>
              <w:spacing w:after="120" w:line="240" w:lineRule="atLeast"/>
              <w:ind w:left="754" w:hanging="329"/>
              <w:rPr>
                <w:rFonts w:eastAsia="Garamond"/>
                <w:sz w:val="28"/>
                <w:szCs w:val="28"/>
                <w:u w:color="000000"/>
                <w:bdr w:val="nil"/>
                <w:lang w:val="en-US" w:eastAsia="en-US"/>
              </w:rPr>
            </w:pPr>
            <w:r w:rsidRPr="00A31BBA">
              <w:rPr>
                <w:rFonts w:eastAsia="Calibri" w:cs="Calibri"/>
                <w:sz w:val="28"/>
                <w:szCs w:val="28"/>
                <w:u w:color="000000"/>
                <w:bdr w:val="nil"/>
                <w:lang w:val="en-US" w:eastAsia="en-US"/>
              </w:rPr>
              <w:t>1,500,000.</w:t>
            </w:r>
          </w:p>
        </w:tc>
      </w:tr>
    </w:tbl>
    <w:p w14:paraId="41642A94" w14:textId="77777777" w:rsidR="003C51B1" w:rsidRPr="00A31BBA" w:rsidRDefault="003C51B1" w:rsidP="00BF4B7E">
      <w:pPr>
        <w:pStyle w:val="end2"/>
        <w:rPr>
          <w:rFonts w:eastAsia="Garamond"/>
          <w:bCs/>
          <w:u w:color="000000"/>
          <w:bdr w:val="nil"/>
          <w:lang w:eastAsia="en-US"/>
        </w:rPr>
      </w:pPr>
      <w:r w:rsidRPr="00A31BBA">
        <w:rPr>
          <w:rFonts w:eastAsia="Calibri" w:cs="Calibri"/>
          <w:bCs/>
          <w:u w:color="000000"/>
          <w:bdr w:val="nil"/>
          <w:lang w:eastAsia="en-US"/>
        </w:rPr>
        <w:t>Short</w:t>
      </w:r>
      <w:r w:rsidR="0002556C">
        <w:rPr>
          <w:rFonts w:eastAsia="Calibri" w:cs="Calibri"/>
          <w:bCs/>
          <w:u w:color="000000"/>
          <w:bdr w:val="nil"/>
          <w:lang w:eastAsia="en-US"/>
        </w:rPr>
        <w:t xml:space="preserve"> </w:t>
      </w:r>
      <w:r w:rsidRPr="00A31BBA">
        <w:rPr>
          <w:rFonts w:eastAsia="Calibri" w:cs="Calibri"/>
          <w:bCs/>
          <w:u w:color="000000"/>
          <w:bdr w:val="nil"/>
          <w:lang w:eastAsia="en-US"/>
        </w:rPr>
        <w:t>answer questions</w:t>
      </w:r>
    </w:p>
    <w:p w14:paraId="3AC2341A" w14:textId="77777777" w:rsidR="003C51B1" w:rsidRPr="00A31BBA" w:rsidRDefault="003C51B1" w:rsidP="00BF4B7E">
      <w:pPr>
        <w:pStyle w:val="eng3"/>
        <w:rPr>
          <w:rFonts w:eastAsia="Garamond"/>
          <w:u w:color="000000"/>
          <w:bdr w:val="nil"/>
          <w:lang w:eastAsia="en-US"/>
        </w:rPr>
      </w:pPr>
      <w:r w:rsidRPr="00A31BBA">
        <w:rPr>
          <w:rFonts w:eastAsia="Calibri"/>
          <w:u w:color="000000"/>
          <w:bdr w:val="nil"/>
          <w:lang w:eastAsia="en-US"/>
        </w:rPr>
        <w:t>Missing</w:t>
      </w:r>
      <w:r w:rsidR="0002556C">
        <w:rPr>
          <w:rFonts w:eastAsia="Calibri"/>
          <w:u w:color="000000"/>
          <w:bdr w:val="nil"/>
          <w:lang w:eastAsia="en-US"/>
        </w:rPr>
        <w:t xml:space="preserve"> </w:t>
      </w:r>
      <w:r w:rsidRPr="00A31BBA">
        <w:rPr>
          <w:rFonts w:eastAsia="Calibri"/>
          <w:u w:color="000000"/>
          <w:bdr w:val="nil"/>
          <w:lang w:eastAsia="en-US"/>
        </w:rPr>
        <w:t>word questions</w:t>
      </w:r>
    </w:p>
    <w:p w14:paraId="47559619"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60"/>
        <w:jc w:val="both"/>
        <w:rPr>
          <w:rFonts w:eastAsia="Garamond"/>
          <w:sz w:val="28"/>
          <w:szCs w:val="28"/>
          <w:u w:color="000000"/>
          <w:bdr w:val="nil"/>
          <w:lang w:val="en-US" w:eastAsia="en-US"/>
        </w:rPr>
      </w:pPr>
      <w:r w:rsidRPr="00A31BBA">
        <w:rPr>
          <w:rFonts w:eastAsia="Calibri" w:cs="Calibri"/>
          <w:sz w:val="28"/>
          <w:szCs w:val="28"/>
          <w:u w:color="000000"/>
          <w:bdr w:val="nil"/>
          <w:lang w:val="en-US" w:eastAsia="en-US"/>
        </w:rPr>
        <w:t>Choose the correct word to complete each sentence.</w:t>
      </w:r>
    </w:p>
    <w:p w14:paraId="396C0FF4"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60"/>
        <w:jc w:val="both"/>
        <w:rPr>
          <w:rFonts w:eastAsia="Garamond"/>
          <w:sz w:val="28"/>
          <w:szCs w:val="28"/>
          <w:u w:color="000000"/>
          <w:bdr w:val="nil"/>
          <w:lang w:val="en-US" w:eastAsia="en-US"/>
        </w:rPr>
      </w:pPr>
    </w:p>
    <w:p w14:paraId="01ACD970" w14:textId="77777777" w:rsidR="003C51B1" w:rsidRPr="00BF4B7E" w:rsidRDefault="003C51B1" w:rsidP="006F749C">
      <w:pPr>
        <w:pStyle w:val="ListParagraph"/>
        <w:numPr>
          <w:ilvl w:val="0"/>
          <w:numId w:val="173"/>
        </w:numPr>
        <w:spacing w:line="240" w:lineRule="atLeast"/>
        <w:ind w:left="426" w:hanging="357"/>
        <w:jc w:val="both"/>
        <w:rPr>
          <w:rFonts w:ascii="Garamond" w:hAnsi="Garamond"/>
          <w:szCs w:val="28"/>
          <w:lang w:val="en-US" w:eastAsia="ru-RU"/>
        </w:rPr>
      </w:pPr>
      <w:r w:rsidRPr="00BF4B7E">
        <w:rPr>
          <w:rFonts w:ascii="Garamond" w:hAnsi="Garamond"/>
          <w:szCs w:val="28"/>
          <w:lang w:val="en-US" w:eastAsia="ru-RU"/>
        </w:rPr>
        <w:t>Under the _____________ method of determining the net cash provided by operating activities on the statement of cash flows, depreciation is __________ to the net income for the period.</w:t>
      </w:r>
    </w:p>
    <w:p w14:paraId="5F1E5056" w14:textId="77777777" w:rsidR="003C51B1" w:rsidRPr="00BF4B7E" w:rsidRDefault="003C51B1" w:rsidP="00BF4B7E">
      <w:pPr>
        <w:spacing w:line="240" w:lineRule="atLeast"/>
        <w:ind w:left="426" w:hanging="357"/>
        <w:contextualSpacing/>
        <w:jc w:val="both"/>
        <w:rPr>
          <w:sz w:val="28"/>
          <w:szCs w:val="28"/>
          <w:lang w:val="en-US" w:eastAsia="ru-RU"/>
        </w:rPr>
      </w:pPr>
    </w:p>
    <w:p w14:paraId="28FCEB5B" w14:textId="77777777" w:rsidR="003C51B1" w:rsidRPr="00BF4B7E" w:rsidRDefault="003C51B1" w:rsidP="006F749C">
      <w:pPr>
        <w:pStyle w:val="ListParagraph"/>
        <w:numPr>
          <w:ilvl w:val="0"/>
          <w:numId w:val="173"/>
        </w:numPr>
        <w:spacing w:line="240" w:lineRule="atLeast"/>
        <w:ind w:left="426" w:hanging="357"/>
        <w:jc w:val="both"/>
        <w:rPr>
          <w:rFonts w:ascii="Garamond" w:hAnsi="Garamond"/>
          <w:szCs w:val="28"/>
          <w:lang w:val="en-US" w:eastAsia="ru-RU"/>
        </w:rPr>
      </w:pPr>
      <w:r w:rsidRPr="00BF4B7E">
        <w:rPr>
          <w:rFonts w:ascii="Garamond" w:hAnsi="Garamond"/>
          <w:szCs w:val="28"/>
          <w:lang w:val="en-US" w:eastAsia="ru-RU"/>
        </w:rPr>
        <w:t>Purchase of equipment would be considered as ___________ activity and ___________ cash for the purpose of constructing a statement of cash flows.</w:t>
      </w:r>
    </w:p>
    <w:p w14:paraId="09DDD30F" w14:textId="77777777" w:rsidR="003C51B1" w:rsidRPr="00BF4B7E" w:rsidRDefault="003C51B1" w:rsidP="00BF4B7E">
      <w:pPr>
        <w:spacing w:line="240" w:lineRule="atLeast"/>
        <w:ind w:left="426" w:hanging="357"/>
        <w:contextualSpacing/>
        <w:jc w:val="both"/>
        <w:rPr>
          <w:sz w:val="28"/>
          <w:szCs w:val="28"/>
          <w:lang w:val="en-US" w:eastAsia="ru-RU"/>
        </w:rPr>
      </w:pPr>
    </w:p>
    <w:p w14:paraId="1DF6A77D" w14:textId="77777777" w:rsidR="003C51B1" w:rsidRPr="00BF4B7E" w:rsidRDefault="003C51B1" w:rsidP="006F749C">
      <w:pPr>
        <w:pStyle w:val="ListParagraph"/>
        <w:numPr>
          <w:ilvl w:val="0"/>
          <w:numId w:val="173"/>
        </w:numPr>
        <w:spacing w:line="240" w:lineRule="atLeast"/>
        <w:ind w:left="426" w:hanging="357"/>
        <w:jc w:val="both"/>
        <w:rPr>
          <w:rFonts w:ascii="Garamond" w:hAnsi="Garamond"/>
          <w:szCs w:val="28"/>
          <w:lang w:val="en-US" w:eastAsia="ru-RU"/>
        </w:rPr>
      </w:pPr>
      <w:r w:rsidRPr="00BF4B7E">
        <w:rPr>
          <w:rFonts w:ascii="Garamond" w:hAnsi="Garamond"/>
          <w:szCs w:val="28"/>
          <w:lang w:val="en-US" w:eastAsia="ru-RU"/>
        </w:rPr>
        <w:t xml:space="preserve">Borrowing on a long-term note would be considered as ___________ activity that is ___________ cash for purposes of constructing a statement of cash flows. </w:t>
      </w:r>
    </w:p>
    <w:p w14:paraId="1A84335D" w14:textId="77777777" w:rsidR="003C51B1" w:rsidRPr="00BF4B7E" w:rsidRDefault="003C51B1" w:rsidP="00BF4B7E">
      <w:pPr>
        <w:spacing w:line="240" w:lineRule="atLeast"/>
        <w:ind w:left="426" w:hanging="357"/>
        <w:contextualSpacing/>
        <w:jc w:val="both"/>
        <w:rPr>
          <w:sz w:val="28"/>
          <w:szCs w:val="28"/>
          <w:lang w:val="en-US" w:eastAsia="ru-RU"/>
        </w:rPr>
      </w:pPr>
    </w:p>
    <w:p w14:paraId="5CB33F2A" w14:textId="77777777" w:rsidR="003C51B1" w:rsidRPr="00BF4B7E" w:rsidRDefault="003C51B1" w:rsidP="006F749C">
      <w:pPr>
        <w:pStyle w:val="ListParagraph"/>
        <w:numPr>
          <w:ilvl w:val="0"/>
          <w:numId w:val="173"/>
        </w:numPr>
        <w:spacing w:line="240" w:lineRule="atLeast"/>
        <w:ind w:left="426" w:hanging="357"/>
        <w:jc w:val="both"/>
        <w:rPr>
          <w:rFonts w:ascii="Garamond" w:hAnsi="Garamond"/>
          <w:szCs w:val="28"/>
          <w:lang w:val="en-US" w:eastAsia="ru-RU"/>
        </w:rPr>
      </w:pPr>
      <w:r w:rsidRPr="00BF4B7E">
        <w:rPr>
          <w:rFonts w:ascii="Garamond" w:hAnsi="Garamond"/>
          <w:szCs w:val="28"/>
          <w:lang w:val="en-US" w:eastAsia="ru-RU"/>
        </w:rPr>
        <w:lastRenderedPageBreak/>
        <w:t>A company disposes of equipment that it no longer uses in its business. The amount received by the company is more than the amount the asset is carried at in the accounting records. The company will report an _________________</w:t>
      </w:r>
      <w:r w:rsidR="00BF4B7E">
        <w:rPr>
          <w:rFonts w:ascii="Garamond" w:hAnsi="Garamond"/>
          <w:szCs w:val="28"/>
          <w:lang w:val="en-US" w:eastAsia="ru-RU"/>
        </w:rPr>
        <w:t>_____</w:t>
      </w:r>
      <w:r w:rsidRPr="00BF4B7E">
        <w:rPr>
          <w:rFonts w:ascii="Garamond" w:hAnsi="Garamond"/>
          <w:szCs w:val="28"/>
          <w:lang w:val="en-US" w:eastAsia="ru-RU"/>
        </w:rPr>
        <w:t>_.</w:t>
      </w:r>
    </w:p>
    <w:p w14:paraId="638B19EE" w14:textId="77777777" w:rsidR="003C51B1" w:rsidRPr="00BF4B7E" w:rsidRDefault="003C51B1" w:rsidP="00BF4B7E">
      <w:pPr>
        <w:spacing w:line="240" w:lineRule="atLeast"/>
        <w:ind w:left="426" w:hanging="357"/>
        <w:contextualSpacing/>
        <w:jc w:val="both"/>
        <w:rPr>
          <w:sz w:val="28"/>
          <w:szCs w:val="28"/>
          <w:lang w:val="en-US" w:eastAsia="ru-RU"/>
        </w:rPr>
      </w:pPr>
    </w:p>
    <w:p w14:paraId="6A6E99F9" w14:textId="77777777" w:rsidR="003C51B1" w:rsidRPr="00BF4B7E" w:rsidRDefault="003C51B1" w:rsidP="006F749C">
      <w:pPr>
        <w:pStyle w:val="ListParagraph"/>
        <w:numPr>
          <w:ilvl w:val="0"/>
          <w:numId w:val="173"/>
        </w:numPr>
        <w:spacing w:line="240" w:lineRule="atLeast"/>
        <w:ind w:left="426" w:hanging="357"/>
        <w:jc w:val="both"/>
        <w:rPr>
          <w:rFonts w:ascii="Garamond" w:hAnsi="Garamond"/>
          <w:szCs w:val="28"/>
          <w:lang w:val="en-US" w:eastAsia="ru-RU"/>
        </w:rPr>
      </w:pPr>
      <w:r w:rsidRPr="00BF4B7E">
        <w:rPr>
          <w:rFonts w:ascii="Garamond" w:hAnsi="Garamond"/>
          <w:szCs w:val="28"/>
          <w:lang w:val="en-US" w:eastAsia="ru-RU"/>
        </w:rPr>
        <w:t>The profit of a business during an accounting per</w:t>
      </w:r>
      <w:r w:rsidR="00BF4B7E">
        <w:rPr>
          <w:rFonts w:ascii="Garamond" w:hAnsi="Garamond"/>
          <w:szCs w:val="28"/>
          <w:lang w:val="en-US" w:eastAsia="ru-RU"/>
        </w:rPr>
        <w:t>iod is equal to total ______</w:t>
      </w:r>
      <w:r w:rsidRPr="00BF4B7E">
        <w:rPr>
          <w:rFonts w:ascii="Garamond" w:hAnsi="Garamond"/>
          <w:szCs w:val="28"/>
          <w:lang w:val="en-US" w:eastAsia="ru-RU"/>
        </w:rPr>
        <w:t>____ less total ________________.</w:t>
      </w:r>
    </w:p>
    <w:p w14:paraId="3015CF7B" w14:textId="77777777" w:rsidR="0002556C" w:rsidRDefault="0002556C" w:rsidP="00BF4B7E">
      <w:pPr>
        <w:pStyle w:val="eng3"/>
        <w:rPr>
          <w:rFonts w:eastAsia="Calibri"/>
          <w:u w:color="000000"/>
          <w:bdr w:val="nil"/>
          <w:lang w:eastAsia="en-US"/>
        </w:rPr>
      </w:pPr>
    </w:p>
    <w:p w14:paraId="4FC57C59" w14:textId="77777777" w:rsidR="003C51B1" w:rsidRPr="00A31BBA" w:rsidRDefault="003C51B1" w:rsidP="00BF4B7E">
      <w:pPr>
        <w:pStyle w:val="eng3"/>
        <w:rPr>
          <w:rFonts w:eastAsia="Garamond"/>
          <w:u w:color="000000"/>
          <w:bdr w:val="nil"/>
          <w:lang w:eastAsia="en-US"/>
        </w:rPr>
      </w:pPr>
      <w:r w:rsidRPr="00A31BBA">
        <w:rPr>
          <w:rFonts w:eastAsia="Calibri"/>
          <w:u w:color="000000"/>
          <w:bdr w:val="nil"/>
          <w:lang w:eastAsia="en-US"/>
        </w:rPr>
        <w:t>True/False/Uncertain questions</w:t>
      </w:r>
    </w:p>
    <w:p w14:paraId="664033ED"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60"/>
        <w:jc w:val="both"/>
        <w:rPr>
          <w:rFonts w:eastAsia="Garamond"/>
          <w:sz w:val="28"/>
          <w:szCs w:val="28"/>
          <w:u w:color="000000"/>
          <w:bdr w:val="nil"/>
          <w:lang w:val="en-US" w:eastAsia="en-US"/>
        </w:rPr>
      </w:pPr>
      <w:r w:rsidRPr="00A31BBA">
        <w:rPr>
          <w:rFonts w:eastAsia="Calibri" w:cs="Calibri"/>
          <w:sz w:val="28"/>
          <w:szCs w:val="28"/>
          <w:u w:color="000000"/>
          <w:bdr w:val="nil"/>
          <w:lang w:val="en-US" w:eastAsia="en-US"/>
        </w:rPr>
        <w:t xml:space="preserve">Decide whether the following statements are </w:t>
      </w:r>
      <w:r w:rsidR="003C1704" w:rsidRPr="00A31BBA">
        <w:rPr>
          <w:rFonts w:eastAsia="Calibri" w:cs="Calibri"/>
          <w:sz w:val="28"/>
          <w:szCs w:val="28"/>
          <w:u w:color="000000"/>
          <w:bdr w:val="nil"/>
          <w:lang w:val="en-US" w:eastAsia="en-US"/>
        </w:rPr>
        <w:t xml:space="preserve">True, False, </w:t>
      </w:r>
      <w:r w:rsidR="003C1704">
        <w:rPr>
          <w:rFonts w:eastAsia="Calibri" w:cs="Calibri"/>
          <w:sz w:val="28"/>
          <w:szCs w:val="28"/>
          <w:u w:color="000000"/>
          <w:bdr w:val="nil"/>
          <w:lang w:val="en-US" w:eastAsia="en-US"/>
        </w:rPr>
        <w:t>o</w:t>
      </w:r>
      <w:r w:rsidR="003C1704" w:rsidRPr="00A31BBA">
        <w:rPr>
          <w:rFonts w:eastAsia="Calibri" w:cs="Calibri"/>
          <w:sz w:val="28"/>
          <w:szCs w:val="28"/>
          <w:u w:color="000000"/>
          <w:bdr w:val="nil"/>
          <w:lang w:val="en-US" w:eastAsia="en-US"/>
        </w:rPr>
        <w:t>r Uncertain</w:t>
      </w:r>
      <w:r w:rsidRPr="00A31BBA">
        <w:rPr>
          <w:rFonts w:eastAsia="Calibri" w:cs="Calibri"/>
          <w:sz w:val="28"/>
          <w:szCs w:val="28"/>
          <w:u w:color="000000"/>
          <w:bdr w:val="nil"/>
          <w:lang w:val="en-US" w:eastAsia="en-US"/>
        </w:rPr>
        <w:t xml:space="preserve">. Explain your reasoning. Your score will be based not just on whether you get the </w:t>
      </w:r>
      <w:r w:rsidR="000B2D7B" w:rsidRPr="00A31BBA">
        <w:rPr>
          <w:rFonts w:eastAsia="Calibri" w:cs="Calibri"/>
          <w:sz w:val="28"/>
          <w:szCs w:val="28"/>
          <w:u w:color="000000"/>
          <w:bdr w:val="nil"/>
          <w:lang w:val="en-US" w:eastAsia="en-US"/>
        </w:rPr>
        <w:t>true, false, uncertain part ri</w:t>
      </w:r>
      <w:r w:rsidRPr="00A31BBA">
        <w:rPr>
          <w:rFonts w:eastAsia="Calibri" w:cs="Calibri"/>
          <w:sz w:val="28"/>
          <w:szCs w:val="28"/>
          <w:u w:color="000000"/>
          <w:bdr w:val="nil"/>
          <w:lang w:val="en-US" w:eastAsia="en-US"/>
        </w:rPr>
        <w:t>ght but also heavily on the quality of your explanation.</w:t>
      </w:r>
    </w:p>
    <w:p w14:paraId="481503E2"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sz w:val="28"/>
          <w:szCs w:val="28"/>
          <w:u w:color="000000"/>
          <w:bdr w:val="nil"/>
          <w:lang w:val="en-US" w:eastAsia="en-US"/>
        </w:rPr>
      </w:pPr>
    </w:p>
    <w:p w14:paraId="6942C772" w14:textId="77777777" w:rsidR="00BF4B7E" w:rsidRPr="00BF4B7E" w:rsidRDefault="003C51B1" w:rsidP="006F749C">
      <w:pPr>
        <w:pStyle w:val="ListParagraph"/>
        <w:numPr>
          <w:ilvl w:val="0"/>
          <w:numId w:val="174"/>
        </w:numPr>
        <w:spacing w:line="240" w:lineRule="atLeast"/>
        <w:ind w:left="426"/>
        <w:jc w:val="both"/>
        <w:rPr>
          <w:rFonts w:ascii="Garamond" w:hAnsi="Garamond"/>
          <w:szCs w:val="28"/>
          <w:lang w:val="en-US" w:eastAsia="ru-RU"/>
        </w:rPr>
      </w:pPr>
      <w:r w:rsidRPr="00BF4B7E">
        <w:rPr>
          <w:rFonts w:ascii="Garamond" w:hAnsi="Garamond"/>
          <w:szCs w:val="28"/>
          <w:lang w:val="en-US" w:eastAsia="ru-RU"/>
        </w:rPr>
        <w:t>The issuance of capital stock for cash at a price above par would increase the net cash</w:t>
      </w:r>
      <w:r w:rsidR="00BF4B7E" w:rsidRPr="00BF4B7E">
        <w:rPr>
          <w:rFonts w:ascii="Garamond" w:hAnsi="Garamond"/>
          <w:szCs w:val="28"/>
          <w:lang w:val="en-US" w:eastAsia="ru-RU"/>
        </w:rPr>
        <w:t xml:space="preserve"> flow from operating activities.</w:t>
      </w:r>
    </w:p>
    <w:p w14:paraId="41EA5228" w14:textId="77777777" w:rsidR="00BF4B7E" w:rsidRPr="00BF4B7E" w:rsidRDefault="00BF4B7E" w:rsidP="00BF4B7E">
      <w:pPr>
        <w:pStyle w:val="ListParagraph"/>
        <w:spacing w:line="240" w:lineRule="atLeast"/>
        <w:ind w:left="426"/>
        <w:jc w:val="both"/>
        <w:rPr>
          <w:rFonts w:ascii="Garamond" w:hAnsi="Garamond"/>
          <w:szCs w:val="28"/>
          <w:lang w:val="en-US" w:eastAsia="ru-RU"/>
        </w:rPr>
      </w:pPr>
    </w:p>
    <w:p w14:paraId="555E9807" w14:textId="77777777" w:rsidR="003C51B1" w:rsidRPr="00BF4B7E" w:rsidRDefault="003C51B1" w:rsidP="006F749C">
      <w:pPr>
        <w:pStyle w:val="ListParagraph"/>
        <w:numPr>
          <w:ilvl w:val="0"/>
          <w:numId w:val="174"/>
        </w:numPr>
        <w:spacing w:line="240" w:lineRule="atLeast"/>
        <w:ind w:left="426"/>
        <w:jc w:val="both"/>
        <w:rPr>
          <w:rFonts w:ascii="Garamond" w:hAnsi="Garamond"/>
          <w:szCs w:val="28"/>
          <w:lang w:val="en-US" w:eastAsia="ru-RU"/>
        </w:rPr>
      </w:pPr>
      <w:r w:rsidRPr="00BF4B7E">
        <w:rPr>
          <w:rFonts w:ascii="Garamond" w:hAnsi="Garamond"/>
          <w:szCs w:val="28"/>
          <w:lang w:val="en-US" w:eastAsia="ru-RU"/>
        </w:rPr>
        <w:t xml:space="preserve">An important distinction between the direct method and the indirect method of preparing a </w:t>
      </w:r>
      <w:r w:rsidR="003C1704">
        <w:rPr>
          <w:rFonts w:ascii="Garamond" w:hAnsi="Garamond"/>
          <w:szCs w:val="28"/>
          <w:lang w:val="en-US" w:eastAsia="ru-RU"/>
        </w:rPr>
        <w:t>statement of cash flows is that</w:t>
      </w:r>
      <w:r w:rsidRPr="00BF4B7E">
        <w:rPr>
          <w:rFonts w:ascii="Garamond" w:hAnsi="Garamond"/>
          <w:szCs w:val="28"/>
          <w:lang w:val="en-US" w:eastAsia="ru-RU"/>
        </w:rPr>
        <w:t xml:space="preserve"> </w:t>
      </w:r>
      <w:r w:rsidR="000B2D7B">
        <w:rPr>
          <w:rFonts w:ascii="Garamond" w:hAnsi="Garamond"/>
          <w:szCs w:val="28"/>
          <w:lang w:val="en-US" w:eastAsia="ru-RU"/>
        </w:rPr>
        <w:t>t</w:t>
      </w:r>
      <w:r w:rsidRPr="00BF4B7E">
        <w:rPr>
          <w:rFonts w:ascii="Garamond" w:hAnsi="Garamond"/>
          <w:szCs w:val="28"/>
          <w:lang w:val="en-US" w:eastAsia="ru-RU"/>
        </w:rPr>
        <w:t>he direct method reconciles accrual-based net income with net cash flow from operations</w:t>
      </w:r>
      <w:r w:rsidR="003C1704">
        <w:rPr>
          <w:rFonts w:ascii="Garamond" w:hAnsi="Garamond"/>
          <w:szCs w:val="28"/>
          <w:lang w:val="en-US" w:eastAsia="ru-RU"/>
        </w:rPr>
        <w:t>, and</w:t>
      </w:r>
      <w:r w:rsidRPr="00BF4B7E">
        <w:rPr>
          <w:rFonts w:ascii="Garamond" w:hAnsi="Garamond"/>
          <w:szCs w:val="28"/>
          <w:lang w:val="en-US" w:eastAsia="ru-RU"/>
        </w:rPr>
        <w:t xml:space="preserve"> the indirect method shows the specific cash inflows and outflows constituting the operating activities.</w:t>
      </w:r>
    </w:p>
    <w:p w14:paraId="28FB3A08" w14:textId="77777777" w:rsidR="00BF4B7E" w:rsidRPr="00BF4B7E" w:rsidRDefault="00BF4B7E" w:rsidP="00BF4B7E">
      <w:pPr>
        <w:pStyle w:val="ListParagraph"/>
        <w:spacing w:line="240" w:lineRule="atLeast"/>
        <w:ind w:left="426"/>
        <w:jc w:val="both"/>
        <w:rPr>
          <w:rFonts w:ascii="Garamond" w:hAnsi="Garamond"/>
          <w:szCs w:val="28"/>
          <w:lang w:val="en-US" w:eastAsia="ru-RU"/>
        </w:rPr>
      </w:pPr>
    </w:p>
    <w:p w14:paraId="48EE178D" w14:textId="77777777" w:rsidR="00BF4B7E" w:rsidRPr="00BF4B7E" w:rsidRDefault="003C51B1" w:rsidP="006F749C">
      <w:pPr>
        <w:pStyle w:val="ListParagraph"/>
        <w:numPr>
          <w:ilvl w:val="0"/>
          <w:numId w:val="174"/>
        </w:numPr>
        <w:spacing w:line="240" w:lineRule="atLeast"/>
        <w:ind w:left="426"/>
        <w:jc w:val="both"/>
        <w:rPr>
          <w:rFonts w:ascii="Garamond" w:hAnsi="Garamond"/>
          <w:szCs w:val="28"/>
          <w:lang w:val="en-US" w:eastAsia="ru-RU"/>
        </w:rPr>
      </w:pPr>
      <w:r w:rsidRPr="00BF4B7E">
        <w:rPr>
          <w:rFonts w:ascii="Garamond" w:hAnsi="Garamond"/>
          <w:szCs w:val="28"/>
          <w:lang w:val="en-US" w:eastAsia="ru-RU"/>
        </w:rPr>
        <w:t>The same amount of “net cash provided by operating activities” will be obtained regardless of whether the direct method or the indirect method is used to construct the statement of cash flows.</w:t>
      </w:r>
    </w:p>
    <w:p w14:paraId="710A6379" w14:textId="77777777" w:rsidR="003C51B1" w:rsidRPr="00BF4B7E" w:rsidRDefault="003C51B1" w:rsidP="00BF4B7E">
      <w:pPr>
        <w:pStyle w:val="ListParagraph"/>
        <w:spacing w:line="240" w:lineRule="atLeast"/>
        <w:ind w:left="426"/>
        <w:jc w:val="both"/>
        <w:rPr>
          <w:rFonts w:ascii="Garamond" w:hAnsi="Garamond"/>
          <w:szCs w:val="28"/>
          <w:lang w:val="en-US" w:eastAsia="ru-RU"/>
        </w:rPr>
      </w:pPr>
    </w:p>
    <w:p w14:paraId="3696FE56" w14:textId="77777777" w:rsidR="003C51B1" w:rsidRPr="00BF4B7E" w:rsidRDefault="003C51B1" w:rsidP="006F749C">
      <w:pPr>
        <w:pStyle w:val="ListParagraph"/>
        <w:numPr>
          <w:ilvl w:val="0"/>
          <w:numId w:val="174"/>
        </w:numPr>
        <w:spacing w:line="240" w:lineRule="atLeast"/>
        <w:ind w:left="426"/>
        <w:jc w:val="both"/>
        <w:rPr>
          <w:rFonts w:ascii="Garamond" w:hAnsi="Garamond"/>
          <w:szCs w:val="28"/>
          <w:lang w:val="en-US" w:eastAsia="ru-RU"/>
        </w:rPr>
      </w:pPr>
      <w:r w:rsidRPr="00BF4B7E">
        <w:rPr>
          <w:rFonts w:ascii="Garamond" w:hAnsi="Garamond"/>
          <w:szCs w:val="28"/>
          <w:lang w:val="en-US" w:eastAsia="ru-RU"/>
        </w:rPr>
        <w:t>Interest expense would be classified under operating activities.</w:t>
      </w:r>
    </w:p>
    <w:p w14:paraId="59A7F9F0" w14:textId="77777777" w:rsidR="00BF4B7E" w:rsidRPr="00BF4B7E" w:rsidRDefault="00BF4B7E" w:rsidP="00BF4B7E">
      <w:pPr>
        <w:pStyle w:val="ListParagraph"/>
        <w:spacing w:line="240" w:lineRule="atLeast"/>
        <w:ind w:left="426"/>
        <w:jc w:val="both"/>
        <w:rPr>
          <w:rFonts w:ascii="Garamond" w:hAnsi="Garamond"/>
          <w:szCs w:val="28"/>
          <w:lang w:val="en-US" w:eastAsia="ru-RU"/>
        </w:rPr>
      </w:pPr>
    </w:p>
    <w:p w14:paraId="1C2C5E15" w14:textId="77777777" w:rsidR="003C51B1" w:rsidRPr="00BF4B7E" w:rsidRDefault="003C51B1" w:rsidP="006F749C">
      <w:pPr>
        <w:pStyle w:val="ListParagraph"/>
        <w:numPr>
          <w:ilvl w:val="0"/>
          <w:numId w:val="174"/>
        </w:numPr>
        <w:spacing w:line="240" w:lineRule="atLeast"/>
        <w:ind w:left="426"/>
        <w:jc w:val="both"/>
        <w:rPr>
          <w:rFonts w:ascii="Garamond" w:hAnsi="Garamond"/>
          <w:szCs w:val="28"/>
          <w:lang w:val="en-US" w:eastAsia="ru-RU"/>
        </w:rPr>
      </w:pPr>
      <w:r w:rsidRPr="00BF4B7E">
        <w:rPr>
          <w:rFonts w:ascii="Garamond" w:hAnsi="Garamond"/>
          <w:szCs w:val="28"/>
          <w:lang w:val="en-US" w:eastAsia="ru-RU"/>
        </w:rPr>
        <w:t>The following items could be classified as operating expenses: advertising, selling and administrative, lease payments, and depreciation.</w:t>
      </w:r>
    </w:p>
    <w:p w14:paraId="6D2202B3" w14:textId="77777777" w:rsidR="003C51B1" w:rsidRPr="00A31BBA" w:rsidRDefault="003C51B1" w:rsidP="00BF4B7E">
      <w:pPr>
        <w:pStyle w:val="end2"/>
        <w:rPr>
          <w:rFonts w:eastAsia="Garamond"/>
          <w:u w:color="000000"/>
          <w:bdr w:val="nil"/>
          <w:lang w:eastAsia="en-US"/>
        </w:rPr>
      </w:pPr>
      <w:r w:rsidRPr="00A31BBA">
        <w:rPr>
          <w:rFonts w:eastAsia="Calibri"/>
          <w:u w:color="000000"/>
          <w:bdr w:val="nil"/>
          <w:lang w:eastAsia="en-US"/>
        </w:rPr>
        <w:t>Computation problems</w:t>
      </w:r>
    </w:p>
    <w:p w14:paraId="4CCE7A46" w14:textId="77777777" w:rsidR="003C51B1" w:rsidRPr="00BF4B7E" w:rsidRDefault="003C51B1" w:rsidP="006F749C">
      <w:pPr>
        <w:pStyle w:val="ListParagraph"/>
        <w:numPr>
          <w:ilvl w:val="0"/>
          <w:numId w:val="175"/>
        </w:numPr>
        <w:spacing w:line="240" w:lineRule="atLeast"/>
        <w:ind w:left="426"/>
        <w:jc w:val="both"/>
        <w:rPr>
          <w:rFonts w:ascii="Garamond" w:hAnsi="Garamond"/>
          <w:szCs w:val="28"/>
          <w:lang w:val="en-US" w:eastAsia="ru-RU"/>
        </w:rPr>
      </w:pPr>
      <w:r w:rsidRPr="00BF4B7E">
        <w:rPr>
          <w:rFonts w:ascii="Garamond" w:hAnsi="Garamond"/>
          <w:szCs w:val="28"/>
          <w:lang w:val="en-US" w:eastAsia="ru-RU"/>
        </w:rPr>
        <w:t>For the following items indicate whether they will have a positive or negative effect on cash.</w:t>
      </w:r>
    </w:p>
    <w:p w14:paraId="2835A2D4"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sidRPr="00A31BBA">
        <w:rPr>
          <w:rFonts w:eastAsia="Calibri" w:cs="Calibri"/>
          <w:sz w:val="28"/>
          <w:szCs w:val="28"/>
          <w:u w:color="000000"/>
          <w:bdr w:val="nil"/>
          <w:lang w:val="en-US" w:eastAsia="en-US"/>
        </w:rPr>
        <w:t xml:space="preserve">Note, that a </w:t>
      </w:r>
      <w:r w:rsidRPr="00A31BBA">
        <w:rPr>
          <w:rFonts w:eastAsia="Calibri" w:cs="Calibri"/>
          <w:b/>
          <w:bCs/>
          <w:sz w:val="28"/>
          <w:szCs w:val="28"/>
          <w:u w:color="000000"/>
          <w:bdr w:val="nil"/>
          <w:lang w:val="en-US" w:eastAsia="en-US"/>
        </w:rPr>
        <w:t>positive effect</w:t>
      </w:r>
      <w:r w:rsidRPr="00A31BBA">
        <w:rPr>
          <w:rFonts w:eastAsia="Calibri" w:cs="Calibri"/>
          <w:sz w:val="28"/>
          <w:szCs w:val="28"/>
          <w:u w:color="000000"/>
          <w:bdr w:val="nil"/>
          <w:lang w:val="en-US" w:eastAsia="en-US"/>
        </w:rPr>
        <w:t xml:space="preserve"> could also be thought of as a source of cash, an </w:t>
      </w:r>
      <w:r w:rsidRPr="000B2D7B">
        <w:rPr>
          <w:rFonts w:eastAsia="Calibri" w:cs="Calibri"/>
          <w:sz w:val="28"/>
          <w:szCs w:val="28"/>
          <w:bdr w:val="nil"/>
          <w:lang w:val="en-US" w:eastAsia="en-US"/>
        </w:rPr>
        <w:t>increase in cash</w:t>
      </w:r>
      <w:r w:rsidRPr="00A31BBA">
        <w:rPr>
          <w:rFonts w:eastAsia="Calibri" w:cs="Calibri"/>
          <w:sz w:val="28"/>
          <w:szCs w:val="28"/>
          <w:u w:color="000000"/>
          <w:bdr w:val="nil"/>
          <w:lang w:val="en-US" w:eastAsia="en-US"/>
        </w:rPr>
        <w:t xml:space="preserve">, or a positive amount on the cash flow statement; a </w:t>
      </w:r>
      <w:r w:rsidRPr="00A31BBA">
        <w:rPr>
          <w:rFonts w:eastAsia="Calibri" w:cs="Calibri"/>
          <w:b/>
          <w:bCs/>
          <w:sz w:val="28"/>
          <w:szCs w:val="28"/>
          <w:u w:color="000000"/>
          <w:bdr w:val="nil"/>
          <w:lang w:val="en-US" w:eastAsia="en-US"/>
        </w:rPr>
        <w:t xml:space="preserve">negative effect </w:t>
      </w:r>
      <w:r w:rsidRPr="00A31BBA">
        <w:rPr>
          <w:rFonts w:eastAsia="Calibri" w:cs="Calibri"/>
          <w:sz w:val="28"/>
          <w:szCs w:val="28"/>
          <w:u w:color="000000"/>
          <w:bdr w:val="nil"/>
          <w:lang w:val="en-US" w:eastAsia="en-US"/>
        </w:rPr>
        <w:t>could also be thought of as a use of cash</w:t>
      </w:r>
      <w:r w:rsidRPr="000B2D7B">
        <w:rPr>
          <w:rFonts w:eastAsia="Calibri" w:cs="Calibri"/>
          <w:sz w:val="28"/>
          <w:szCs w:val="28"/>
          <w:bdr w:val="nil"/>
          <w:lang w:val="en-US" w:eastAsia="en-US"/>
        </w:rPr>
        <w:t>, a decrease in cash</w:t>
      </w:r>
      <w:r w:rsidRPr="00A31BBA">
        <w:rPr>
          <w:rFonts w:eastAsia="Calibri" w:cs="Calibri"/>
          <w:sz w:val="28"/>
          <w:szCs w:val="28"/>
          <w:u w:color="000000"/>
          <w:bdr w:val="nil"/>
          <w:lang w:val="en-US" w:eastAsia="en-US"/>
        </w:rPr>
        <w:t>, or a negative amount on the cash flow statement.</w:t>
      </w:r>
    </w:p>
    <w:p w14:paraId="2CB458DD" w14:textId="77777777" w:rsidR="003C51B1" w:rsidRPr="00A31BBA" w:rsidRDefault="000B2D7B"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Pr>
          <w:rFonts w:eastAsia="Calibri" w:cs="Calibri"/>
          <w:sz w:val="28"/>
          <w:szCs w:val="28"/>
          <w:u w:color="000000"/>
          <w:bdr w:val="nil"/>
          <w:lang w:val="en-US" w:eastAsia="en-US"/>
        </w:rPr>
        <w:t>A.</w:t>
      </w:r>
      <w:r w:rsidR="003C51B1" w:rsidRPr="00A31BBA">
        <w:rPr>
          <w:rFonts w:eastAsia="Calibri" w:cs="Calibri"/>
          <w:sz w:val="28"/>
          <w:szCs w:val="28"/>
          <w:u w:color="000000"/>
          <w:bdr w:val="nil"/>
          <w:lang w:val="en-US" w:eastAsia="en-US"/>
        </w:rPr>
        <w:t xml:space="preserve"> A decrease in </w:t>
      </w:r>
      <w:r w:rsidRPr="00A31BBA">
        <w:rPr>
          <w:rFonts w:eastAsia="Calibri" w:cs="Calibri"/>
          <w:sz w:val="28"/>
          <w:szCs w:val="28"/>
          <w:u w:color="000000"/>
          <w:bdr w:val="nil"/>
          <w:lang w:val="en-US" w:eastAsia="en-US"/>
        </w:rPr>
        <w:t xml:space="preserve">supplies on </w:t>
      </w:r>
      <w:r w:rsidR="003C51B1" w:rsidRPr="00A31BBA">
        <w:rPr>
          <w:rFonts w:eastAsia="Calibri" w:cs="Calibri"/>
          <w:sz w:val="28"/>
          <w:szCs w:val="28"/>
          <w:u w:color="000000"/>
          <w:bdr w:val="nil"/>
          <w:lang w:val="en-US" w:eastAsia="en-US"/>
        </w:rPr>
        <w:t>hand.</w:t>
      </w:r>
    </w:p>
    <w:p w14:paraId="1DC1D274" w14:textId="77777777" w:rsidR="003C51B1" w:rsidRPr="00A31BBA" w:rsidRDefault="000B2D7B"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Pr>
          <w:rFonts w:eastAsia="Calibri" w:cs="Calibri"/>
          <w:sz w:val="28"/>
          <w:szCs w:val="28"/>
          <w:u w:color="000000"/>
          <w:bdr w:val="nil"/>
          <w:lang w:val="en-US" w:eastAsia="en-US"/>
        </w:rPr>
        <w:t>B.</w:t>
      </w:r>
      <w:r w:rsidR="003C51B1" w:rsidRPr="00A31BBA">
        <w:rPr>
          <w:rFonts w:eastAsia="Calibri" w:cs="Calibri"/>
          <w:sz w:val="28"/>
          <w:szCs w:val="28"/>
          <w:u w:color="000000"/>
          <w:bdr w:val="nil"/>
          <w:lang w:val="en-US" w:eastAsia="en-US"/>
        </w:rPr>
        <w:t xml:space="preserve"> The proceeds from the sale of equipment formerly used in the business.</w:t>
      </w:r>
    </w:p>
    <w:p w14:paraId="2FB38083" w14:textId="77777777" w:rsidR="003C51B1" w:rsidRPr="00A31BBA" w:rsidRDefault="000B2D7B"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Pr>
          <w:rFonts w:eastAsia="Calibri" w:cs="Calibri"/>
          <w:sz w:val="28"/>
          <w:szCs w:val="28"/>
          <w:u w:color="000000"/>
          <w:bdr w:val="nil"/>
          <w:lang w:val="en-US" w:eastAsia="en-US"/>
        </w:rPr>
        <w:t>C.</w:t>
      </w:r>
      <w:r w:rsidR="003C51B1" w:rsidRPr="00A31BBA">
        <w:rPr>
          <w:rFonts w:eastAsia="Calibri" w:cs="Calibri"/>
          <w:sz w:val="28"/>
          <w:szCs w:val="28"/>
          <w:u w:color="000000"/>
          <w:bdr w:val="nil"/>
          <w:lang w:val="en-US" w:eastAsia="en-US"/>
        </w:rPr>
        <w:t xml:space="preserve"> The loss on the </w:t>
      </w:r>
      <w:r>
        <w:rPr>
          <w:rFonts w:eastAsia="Calibri" w:cs="Calibri"/>
          <w:sz w:val="28"/>
          <w:szCs w:val="28"/>
          <w:u w:color="000000"/>
          <w:bdr w:val="nil"/>
          <w:lang w:val="en-US" w:eastAsia="en-US"/>
        </w:rPr>
        <w:t>s</w:t>
      </w:r>
      <w:r w:rsidR="003C51B1" w:rsidRPr="00A31BBA">
        <w:rPr>
          <w:rFonts w:eastAsia="Calibri" w:cs="Calibri"/>
          <w:sz w:val="28"/>
          <w:szCs w:val="28"/>
          <w:u w:color="000000"/>
          <w:bdr w:val="nil"/>
          <w:lang w:val="en-US" w:eastAsia="en-US"/>
        </w:rPr>
        <w:t xml:space="preserve">ale of </w:t>
      </w:r>
      <w:r>
        <w:rPr>
          <w:rFonts w:eastAsia="Calibri" w:cs="Calibri"/>
          <w:sz w:val="28"/>
          <w:szCs w:val="28"/>
          <w:u w:color="000000"/>
          <w:bdr w:val="nil"/>
          <w:lang w:val="en-US" w:eastAsia="en-US"/>
        </w:rPr>
        <w:t>e</w:t>
      </w:r>
      <w:r w:rsidR="003C51B1" w:rsidRPr="00A31BBA">
        <w:rPr>
          <w:rFonts w:eastAsia="Calibri" w:cs="Calibri"/>
          <w:sz w:val="28"/>
          <w:szCs w:val="28"/>
          <w:u w:color="000000"/>
          <w:bdr w:val="nil"/>
          <w:lang w:val="en-US" w:eastAsia="en-US"/>
        </w:rPr>
        <w:t>quipment in the previous question.</w:t>
      </w:r>
    </w:p>
    <w:p w14:paraId="1455E94D" w14:textId="77777777" w:rsidR="003C51B1" w:rsidRPr="00A31BBA" w:rsidRDefault="000B2D7B"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Pr>
          <w:rFonts w:eastAsia="Calibri" w:cs="Calibri"/>
          <w:sz w:val="28"/>
          <w:szCs w:val="28"/>
          <w:u w:color="000000"/>
          <w:bdr w:val="nil"/>
          <w:lang w:val="en-US" w:eastAsia="en-US"/>
        </w:rPr>
        <w:t>D.</w:t>
      </w:r>
      <w:r w:rsidR="003C51B1" w:rsidRPr="00A31BBA">
        <w:rPr>
          <w:rFonts w:eastAsia="Calibri" w:cs="Calibri"/>
          <w:sz w:val="28"/>
          <w:szCs w:val="28"/>
          <w:u w:color="000000"/>
          <w:bdr w:val="nil"/>
          <w:lang w:val="en-US" w:eastAsia="en-US"/>
        </w:rPr>
        <w:t xml:space="preserve"> An increase in </w:t>
      </w:r>
      <w:r w:rsidRPr="00A31BBA">
        <w:rPr>
          <w:rFonts w:eastAsia="Calibri" w:cs="Calibri"/>
          <w:sz w:val="28"/>
          <w:szCs w:val="28"/>
          <w:u w:color="000000"/>
          <w:bdr w:val="nil"/>
          <w:lang w:val="en-US" w:eastAsia="en-US"/>
        </w:rPr>
        <w:t>the current liability income taxes payable.</w:t>
      </w:r>
    </w:p>
    <w:p w14:paraId="3EE3DBEE" w14:textId="77777777" w:rsidR="003C51B1" w:rsidRPr="00A31BBA" w:rsidRDefault="000B2D7B" w:rsidP="00BF4B7E">
      <w:pPr>
        <w:pBdr>
          <w:top w:val="nil"/>
          <w:left w:val="nil"/>
          <w:bottom w:val="nil"/>
          <w:right w:val="nil"/>
          <w:between w:val="nil"/>
          <w:bar w:val="nil"/>
        </w:pBdr>
        <w:tabs>
          <w:tab w:val="left" w:pos="708"/>
          <w:tab w:val="left" w:pos="1416"/>
          <w:tab w:val="left" w:pos="2124"/>
          <w:tab w:val="left" w:pos="2832"/>
          <w:tab w:val="left" w:pos="3540"/>
        </w:tabs>
        <w:spacing w:line="240" w:lineRule="atLeast"/>
        <w:ind w:firstLine="357"/>
        <w:jc w:val="both"/>
        <w:rPr>
          <w:rFonts w:eastAsia="Garamond"/>
          <w:sz w:val="28"/>
          <w:szCs w:val="28"/>
          <w:u w:color="000000"/>
          <w:bdr w:val="nil"/>
          <w:lang w:val="en-US" w:eastAsia="en-US"/>
        </w:rPr>
      </w:pPr>
      <w:r>
        <w:rPr>
          <w:rFonts w:eastAsia="Calibri" w:cs="Calibri"/>
          <w:sz w:val="28"/>
          <w:szCs w:val="28"/>
          <w:u w:color="000000"/>
          <w:bdr w:val="nil"/>
          <w:lang w:val="en-US" w:eastAsia="en-US"/>
        </w:rPr>
        <w:lastRenderedPageBreak/>
        <w:t>E.</w:t>
      </w:r>
      <w:r w:rsidR="003C51B1" w:rsidRPr="00A31BBA">
        <w:rPr>
          <w:rFonts w:eastAsia="Calibri" w:cs="Calibri"/>
          <w:sz w:val="28"/>
          <w:szCs w:val="28"/>
          <w:u w:color="000000"/>
          <w:bdr w:val="nil"/>
          <w:lang w:val="en-US" w:eastAsia="en-US"/>
        </w:rPr>
        <w:t xml:space="preserve"> A decrease in </w:t>
      </w:r>
      <w:r w:rsidRPr="00A31BBA">
        <w:rPr>
          <w:rFonts w:eastAsia="Calibri" w:cs="Calibri"/>
          <w:sz w:val="28"/>
          <w:szCs w:val="28"/>
          <w:u w:color="000000"/>
          <w:bdr w:val="nil"/>
          <w:lang w:val="en-US" w:eastAsia="en-US"/>
        </w:rPr>
        <w:t>accounts payable.</w:t>
      </w:r>
      <w:r>
        <w:rPr>
          <w:rFonts w:eastAsia="Calibri" w:cs="Calibri"/>
          <w:sz w:val="28"/>
          <w:szCs w:val="28"/>
          <w:u w:color="000000"/>
          <w:bdr w:val="nil"/>
          <w:lang w:val="en-US" w:eastAsia="en-US"/>
        </w:rPr>
        <w:tab/>
      </w:r>
      <w:r w:rsidR="00BF4B7E">
        <w:rPr>
          <w:rFonts w:eastAsia="Calibri" w:cs="Calibri"/>
          <w:sz w:val="28"/>
          <w:szCs w:val="28"/>
          <w:u w:color="000000"/>
          <w:bdr w:val="nil"/>
          <w:lang w:val="en-US" w:eastAsia="en-US"/>
        </w:rPr>
        <w:tab/>
      </w:r>
      <w:r w:rsidR="00BF4B7E">
        <w:rPr>
          <w:rFonts w:eastAsia="Calibri" w:cs="Calibri"/>
          <w:sz w:val="28"/>
          <w:szCs w:val="28"/>
          <w:u w:color="000000"/>
          <w:bdr w:val="nil"/>
          <w:lang w:val="en-US" w:eastAsia="en-US"/>
        </w:rPr>
        <w:tab/>
      </w:r>
      <w:r w:rsidR="00BF4B7E">
        <w:rPr>
          <w:rFonts w:eastAsia="Calibri" w:cs="Calibri"/>
          <w:sz w:val="28"/>
          <w:szCs w:val="28"/>
          <w:u w:color="000000"/>
          <w:bdr w:val="nil"/>
          <w:lang w:val="en-US" w:eastAsia="en-US"/>
        </w:rPr>
        <w:tab/>
      </w:r>
      <w:r w:rsidR="00BF4B7E">
        <w:rPr>
          <w:rFonts w:eastAsia="Calibri" w:cs="Calibri"/>
          <w:sz w:val="28"/>
          <w:szCs w:val="28"/>
          <w:u w:color="000000"/>
          <w:bdr w:val="nil"/>
          <w:lang w:val="en-US" w:eastAsia="en-US"/>
        </w:rPr>
        <w:tab/>
      </w:r>
    </w:p>
    <w:p w14:paraId="467912B3" w14:textId="77777777" w:rsidR="003C51B1" w:rsidRPr="00A31BBA" w:rsidRDefault="000B2D7B"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Pr>
          <w:rFonts w:eastAsia="Calibri" w:cs="Calibri"/>
          <w:sz w:val="28"/>
          <w:szCs w:val="28"/>
          <w:u w:color="000000"/>
          <w:bdr w:val="nil"/>
          <w:lang w:val="en-US" w:eastAsia="en-US"/>
        </w:rPr>
        <w:t>F.</w:t>
      </w:r>
      <w:r w:rsidR="003C51B1" w:rsidRPr="00A31BBA">
        <w:rPr>
          <w:rFonts w:eastAsia="Calibri" w:cs="Calibri"/>
          <w:sz w:val="28"/>
          <w:szCs w:val="28"/>
          <w:u w:color="000000"/>
          <w:bdr w:val="nil"/>
          <w:lang w:val="en-US" w:eastAsia="en-US"/>
        </w:rPr>
        <w:t xml:space="preserve"> Dividends declared and paid.</w:t>
      </w:r>
    </w:p>
    <w:p w14:paraId="2DCF43AE" w14:textId="77777777" w:rsidR="003C51B1" w:rsidRPr="00A31BBA" w:rsidRDefault="000B2D7B"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Pr>
          <w:rFonts w:eastAsia="Calibri" w:cs="Calibri"/>
          <w:sz w:val="28"/>
          <w:szCs w:val="28"/>
          <w:u w:color="000000"/>
          <w:bdr w:val="nil"/>
          <w:lang w:val="en-US" w:eastAsia="en-US"/>
        </w:rPr>
        <w:t>G.</w:t>
      </w:r>
      <w:r w:rsidR="003C51B1" w:rsidRPr="00A31BBA">
        <w:rPr>
          <w:rFonts w:eastAsia="Calibri" w:cs="Calibri"/>
          <w:sz w:val="28"/>
          <w:szCs w:val="28"/>
          <w:u w:color="000000"/>
          <w:bdr w:val="nil"/>
          <w:lang w:val="en-US" w:eastAsia="en-US"/>
        </w:rPr>
        <w:t xml:space="preserve"> Proceeds from the </w:t>
      </w:r>
      <w:r w:rsidRPr="00A31BBA">
        <w:rPr>
          <w:rFonts w:eastAsia="Calibri" w:cs="Calibri"/>
          <w:sz w:val="28"/>
          <w:szCs w:val="28"/>
          <w:u w:color="000000"/>
          <w:bdr w:val="nil"/>
          <w:lang w:val="en-US" w:eastAsia="en-US"/>
        </w:rPr>
        <w:t>issuance of preferred stock.</w:t>
      </w:r>
    </w:p>
    <w:p w14:paraId="03643E36" w14:textId="77777777" w:rsidR="003C51B1" w:rsidRPr="00A31BBA" w:rsidRDefault="000B2D7B"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Pr>
          <w:rFonts w:eastAsia="Calibri" w:cs="Calibri"/>
          <w:sz w:val="28"/>
          <w:szCs w:val="28"/>
          <w:u w:color="000000"/>
          <w:bdr w:val="nil"/>
          <w:lang w:val="en-US" w:eastAsia="en-US"/>
        </w:rPr>
        <w:t>H.</w:t>
      </w:r>
      <w:r w:rsidR="003C51B1" w:rsidRPr="00A31BBA">
        <w:rPr>
          <w:rFonts w:eastAsia="Calibri" w:cs="Calibri"/>
          <w:sz w:val="28"/>
          <w:szCs w:val="28"/>
          <w:u w:color="000000"/>
          <w:bdr w:val="nil"/>
          <w:lang w:val="en-US" w:eastAsia="en-US"/>
        </w:rPr>
        <w:t xml:space="preserve"> An increase in the long-term asset </w:t>
      </w:r>
      <w:r w:rsidRPr="00A31BBA">
        <w:rPr>
          <w:rFonts w:eastAsia="Calibri" w:cs="Calibri"/>
          <w:sz w:val="28"/>
          <w:szCs w:val="28"/>
          <w:u w:color="000000"/>
          <w:bdr w:val="nil"/>
          <w:lang w:val="en-US" w:eastAsia="en-US"/>
        </w:rPr>
        <w:t>investment in another company.</w:t>
      </w:r>
    </w:p>
    <w:p w14:paraId="37B3427C" w14:textId="77777777" w:rsidR="00BF4B7E" w:rsidRDefault="00BF4B7E"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Calibri" w:cs="Calibri"/>
          <w:sz w:val="28"/>
          <w:szCs w:val="28"/>
          <w:u w:color="000000"/>
          <w:bdr w:val="nil"/>
          <w:lang w:val="en-US" w:eastAsia="en-US"/>
        </w:rPr>
      </w:pPr>
    </w:p>
    <w:p w14:paraId="730A509B" w14:textId="77777777" w:rsidR="003C51B1" w:rsidRPr="00BF4B7E" w:rsidRDefault="003C51B1" w:rsidP="006F749C">
      <w:pPr>
        <w:pStyle w:val="ListParagraph"/>
        <w:numPr>
          <w:ilvl w:val="0"/>
          <w:numId w:val="175"/>
        </w:numPr>
        <w:spacing w:line="240" w:lineRule="atLeast"/>
        <w:ind w:left="426"/>
        <w:jc w:val="both"/>
        <w:rPr>
          <w:rFonts w:ascii="Garamond" w:hAnsi="Garamond"/>
          <w:szCs w:val="28"/>
          <w:lang w:val="en-US" w:eastAsia="ru-RU"/>
        </w:rPr>
      </w:pPr>
      <w:r w:rsidRPr="00BF4B7E">
        <w:rPr>
          <w:rFonts w:ascii="Garamond" w:hAnsi="Garamond"/>
          <w:szCs w:val="28"/>
          <w:lang w:val="en-US" w:eastAsia="ru-RU"/>
        </w:rPr>
        <w:t xml:space="preserve">For each of the following items shown in </w:t>
      </w:r>
      <w:r w:rsidR="000B2D7B">
        <w:rPr>
          <w:rFonts w:ascii="Garamond" w:hAnsi="Garamond"/>
          <w:szCs w:val="28"/>
          <w:lang w:val="en-US" w:eastAsia="ru-RU"/>
        </w:rPr>
        <w:t xml:space="preserve">the </w:t>
      </w:r>
      <w:r w:rsidR="00883B46">
        <w:rPr>
          <w:rFonts w:ascii="Garamond" w:hAnsi="Garamond"/>
          <w:szCs w:val="28"/>
          <w:lang w:val="en-US" w:eastAsia="ru-RU"/>
        </w:rPr>
        <w:t>box</w:t>
      </w:r>
      <w:r w:rsidRPr="00BF4B7E">
        <w:rPr>
          <w:rFonts w:ascii="Garamond" w:hAnsi="Garamond"/>
          <w:szCs w:val="28"/>
          <w:lang w:val="en-US" w:eastAsia="ru-RU"/>
        </w:rPr>
        <w:t>, indicate which part will be affected.</w:t>
      </w:r>
    </w:p>
    <w:p w14:paraId="6DC34809"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Garamond"/>
          <w:b/>
          <w:bCs/>
          <w:sz w:val="28"/>
          <w:szCs w:val="28"/>
          <w:u w:color="000000"/>
          <w:bdr w:val="nil"/>
          <w:lang w:val="en-US" w:eastAsia="en-US"/>
        </w:rPr>
      </w:pPr>
      <w:r w:rsidRPr="00A31BBA">
        <w:rPr>
          <w:rFonts w:eastAsia="Calibri" w:cs="Calibri"/>
          <w:b/>
          <w:bCs/>
          <w:sz w:val="28"/>
          <w:szCs w:val="28"/>
          <w:u w:color="000000"/>
          <w:bdr w:val="nil"/>
          <w:lang w:val="en-US" w:eastAsia="en-US"/>
        </w:rPr>
        <w:t>Company’s activity during the period</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54"/>
        <w:gridCol w:w="1277"/>
        <w:gridCol w:w="1277"/>
        <w:gridCol w:w="1417"/>
        <w:gridCol w:w="1532"/>
      </w:tblGrid>
      <w:tr w:rsidR="00883B46" w:rsidRPr="00A31BBA" w14:paraId="56BF2183" w14:textId="77777777" w:rsidTr="00883B46">
        <w:trPr>
          <w:trHeight w:val="20"/>
          <w:jc w:val="center"/>
        </w:trPr>
        <w:tc>
          <w:tcPr>
            <w:tcW w:w="2091" w:type="pct"/>
            <w:shd w:val="clear" w:color="auto" w:fill="D9D9D9" w:themeFill="background1" w:themeFillShade="D9"/>
            <w:tcMar>
              <w:top w:w="0" w:type="dxa"/>
              <w:left w:w="28" w:type="dxa"/>
              <w:bottom w:w="0" w:type="dxa"/>
              <w:right w:w="28" w:type="dxa"/>
            </w:tcMar>
          </w:tcPr>
          <w:p w14:paraId="77AF7987"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D9D9D9" w:themeFill="background1" w:themeFillShade="D9"/>
            <w:tcMar>
              <w:top w:w="0" w:type="dxa"/>
              <w:left w:w="28" w:type="dxa"/>
              <w:bottom w:w="0" w:type="dxa"/>
              <w:right w:w="28" w:type="dxa"/>
            </w:tcMar>
          </w:tcPr>
          <w:p w14:paraId="21D61E6A"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Operating</w:t>
            </w:r>
          </w:p>
        </w:tc>
        <w:tc>
          <w:tcPr>
            <w:tcW w:w="675" w:type="pct"/>
            <w:shd w:val="clear" w:color="auto" w:fill="D9D9D9" w:themeFill="background1" w:themeFillShade="D9"/>
            <w:tcMar>
              <w:top w:w="0" w:type="dxa"/>
              <w:left w:w="28" w:type="dxa"/>
              <w:bottom w:w="0" w:type="dxa"/>
              <w:right w:w="28" w:type="dxa"/>
            </w:tcMar>
          </w:tcPr>
          <w:p w14:paraId="2E59916A"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Investing</w:t>
            </w:r>
          </w:p>
        </w:tc>
        <w:tc>
          <w:tcPr>
            <w:tcW w:w="749" w:type="pct"/>
            <w:shd w:val="clear" w:color="auto" w:fill="D9D9D9" w:themeFill="background1" w:themeFillShade="D9"/>
            <w:tcMar>
              <w:top w:w="0" w:type="dxa"/>
              <w:left w:w="28" w:type="dxa"/>
              <w:bottom w:w="0" w:type="dxa"/>
              <w:right w:w="28" w:type="dxa"/>
            </w:tcMar>
          </w:tcPr>
          <w:p w14:paraId="3D2C5F3B"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Financing</w:t>
            </w:r>
          </w:p>
        </w:tc>
        <w:tc>
          <w:tcPr>
            <w:tcW w:w="810" w:type="pct"/>
            <w:shd w:val="clear" w:color="auto" w:fill="D9D9D9" w:themeFill="background1" w:themeFillShade="D9"/>
            <w:tcMar>
              <w:top w:w="0" w:type="dxa"/>
              <w:left w:w="28" w:type="dxa"/>
              <w:bottom w:w="0" w:type="dxa"/>
              <w:right w:w="28" w:type="dxa"/>
            </w:tcMar>
          </w:tcPr>
          <w:p w14:paraId="6A4E3E76"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Supplemental</w:t>
            </w:r>
          </w:p>
        </w:tc>
      </w:tr>
      <w:tr w:rsidR="00883B46" w:rsidRPr="00A31BBA" w14:paraId="6DCFEEC3" w14:textId="77777777" w:rsidTr="00883B46">
        <w:trPr>
          <w:trHeight w:val="20"/>
          <w:jc w:val="center"/>
        </w:trPr>
        <w:tc>
          <w:tcPr>
            <w:tcW w:w="2091" w:type="pct"/>
            <w:shd w:val="clear" w:color="auto" w:fill="auto"/>
            <w:tcMar>
              <w:top w:w="0" w:type="dxa"/>
              <w:left w:w="28" w:type="dxa"/>
              <w:bottom w:w="0" w:type="dxa"/>
              <w:right w:w="28" w:type="dxa"/>
            </w:tcMar>
          </w:tcPr>
          <w:p w14:paraId="7D7586F6" w14:textId="77777777" w:rsidR="003C51B1" w:rsidRPr="00A31BBA" w:rsidRDefault="000B2D7B"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Depreciation expense</w:t>
            </w:r>
          </w:p>
        </w:tc>
        <w:tc>
          <w:tcPr>
            <w:tcW w:w="675" w:type="pct"/>
            <w:shd w:val="clear" w:color="auto" w:fill="auto"/>
            <w:tcMar>
              <w:top w:w="0" w:type="dxa"/>
              <w:left w:w="28" w:type="dxa"/>
              <w:bottom w:w="0" w:type="dxa"/>
              <w:right w:w="28" w:type="dxa"/>
            </w:tcMar>
          </w:tcPr>
          <w:p w14:paraId="20C78C8C"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auto"/>
            <w:tcMar>
              <w:top w:w="0" w:type="dxa"/>
              <w:left w:w="28" w:type="dxa"/>
              <w:bottom w:w="0" w:type="dxa"/>
              <w:right w:w="28" w:type="dxa"/>
            </w:tcMar>
          </w:tcPr>
          <w:p w14:paraId="22679008"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749" w:type="pct"/>
            <w:shd w:val="clear" w:color="auto" w:fill="auto"/>
            <w:tcMar>
              <w:top w:w="0" w:type="dxa"/>
              <w:left w:w="28" w:type="dxa"/>
              <w:bottom w:w="0" w:type="dxa"/>
              <w:right w:w="28" w:type="dxa"/>
            </w:tcMar>
          </w:tcPr>
          <w:p w14:paraId="7A0D4D15"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810" w:type="pct"/>
            <w:shd w:val="clear" w:color="auto" w:fill="auto"/>
            <w:tcMar>
              <w:top w:w="0" w:type="dxa"/>
              <w:left w:w="28" w:type="dxa"/>
              <w:bottom w:w="0" w:type="dxa"/>
              <w:right w:w="28" w:type="dxa"/>
            </w:tcMar>
          </w:tcPr>
          <w:p w14:paraId="6B531816"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883B46" w:rsidRPr="00A31BBA" w14:paraId="3C5E7F3B" w14:textId="77777777" w:rsidTr="00883B46">
        <w:trPr>
          <w:trHeight w:val="20"/>
          <w:jc w:val="center"/>
        </w:trPr>
        <w:tc>
          <w:tcPr>
            <w:tcW w:w="2091" w:type="pct"/>
            <w:shd w:val="clear" w:color="auto" w:fill="auto"/>
            <w:tcMar>
              <w:top w:w="0" w:type="dxa"/>
              <w:left w:w="28" w:type="dxa"/>
              <w:bottom w:w="0" w:type="dxa"/>
              <w:right w:w="28" w:type="dxa"/>
            </w:tcMar>
          </w:tcPr>
          <w:p w14:paraId="5D07A8E6"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Proceeds from the sale of equipment used in the business</w:t>
            </w:r>
          </w:p>
        </w:tc>
        <w:tc>
          <w:tcPr>
            <w:tcW w:w="675" w:type="pct"/>
            <w:shd w:val="clear" w:color="auto" w:fill="auto"/>
            <w:tcMar>
              <w:top w:w="0" w:type="dxa"/>
              <w:left w:w="28" w:type="dxa"/>
              <w:bottom w:w="0" w:type="dxa"/>
              <w:right w:w="28" w:type="dxa"/>
            </w:tcMar>
          </w:tcPr>
          <w:p w14:paraId="09E7555A"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auto"/>
            <w:tcMar>
              <w:top w:w="0" w:type="dxa"/>
              <w:left w:w="28" w:type="dxa"/>
              <w:bottom w:w="0" w:type="dxa"/>
              <w:right w:w="28" w:type="dxa"/>
            </w:tcMar>
          </w:tcPr>
          <w:p w14:paraId="0AC2105A"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749" w:type="pct"/>
            <w:shd w:val="clear" w:color="auto" w:fill="auto"/>
            <w:tcMar>
              <w:top w:w="0" w:type="dxa"/>
              <w:left w:w="28" w:type="dxa"/>
              <w:bottom w:w="0" w:type="dxa"/>
              <w:right w:w="28" w:type="dxa"/>
            </w:tcMar>
          </w:tcPr>
          <w:p w14:paraId="51F9F814"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810" w:type="pct"/>
            <w:shd w:val="clear" w:color="auto" w:fill="auto"/>
            <w:tcMar>
              <w:top w:w="0" w:type="dxa"/>
              <w:left w:w="28" w:type="dxa"/>
              <w:bottom w:w="0" w:type="dxa"/>
              <w:right w:w="28" w:type="dxa"/>
            </w:tcMar>
          </w:tcPr>
          <w:p w14:paraId="7DAEF79F"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883B46" w:rsidRPr="00A31BBA" w14:paraId="50EB50D6" w14:textId="77777777" w:rsidTr="00883B46">
        <w:trPr>
          <w:trHeight w:val="20"/>
          <w:jc w:val="center"/>
        </w:trPr>
        <w:tc>
          <w:tcPr>
            <w:tcW w:w="2091" w:type="pct"/>
            <w:shd w:val="clear" w:color="auto" w:fill="auto"/>
            <w:tcMar>
              <w:top w:w="0" w:type="dxa"/>
              <w:left w:w="28" w:type="dxa"/>
              <w:bottom w:w="0" w:type="dxa"/>
              <w:right w:w="28" w:type="dxa"/>
            </w:tcMar>
          </w:tcPr>
          <w:p w14:paraId="1043C6A4"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 xml:space="preserve">Gain on the </w:t>
            </w:r>
            <w:r w:rsidR="000B2D7B" w:rsidRPr="00A31BBA">
              <w:rPr>
                <w:rFonts w:eastAsia="Calibri" w:cs="Calibri"/>
                <w:sz w:val="28"/>
                <w:szCs w:val="28"/>
                <w:u w:color="000000"/>
                <w:bdr w:val="nil"/>
                <w:lang w:val="en-US" w:eastAsia="en-US"/>
              </w:rPr>
              <w:t>sale of automobile formerly used in the business</w:t>
            </w:r>
          </w:p>
        </w:tc>
        <w:tc>
          <w:tcPr>
            <w:tcW w:w="675" w:type="pct"/>
            <w:shd w:val="clear" w:color="auto" w:fill="auto"/>
            <w:tcMar>
              <w:top w:w="0" w:type="dxa"/>
              <w:left w:w="28" w:type="dxa"/>
              <w:bottom w:w="0" w:type="dxa"/>
              <w:right w:w="28" w:type="dxa"/>
            </w:tcMar>
          </w:tcPr>
          <w:p w14:paraId="13282AA4"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auto"/>
            <w:tcMar>
              <w:top w:w="0" w:type="dxa"/>
              <w:left w:w="28" w:type="dxa"/>
              <w:bottom w:w="0" w:type="dxa"/>
              <w:right w:w="28" w:type="dxa"/>
            </w:tcMar>
          </w:tcPr>
          <w:p w14:paraId="06F89DBD"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749" w:type="pct"/>
            <w:shd w:val="clear" w:color="auto" w:fill="auto"/>
            <w:tcMar>
              <w:top w:w="0" w:type="dxa"/>
              <w:left w:w="28" w:type="dxa"/>
              <w:bottom w:w="0" w:type="dxa"/>
              <w:right w:w="28" w:type="dxa"/>
            </w:tcMar>
          </w:tcPr>
          <w:p w14:paraId="0AC80C11"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810" w:type="pct"/>
            <w:shd w:val="clear" w:color="auto" w:fill="auto"/>
            <w:tcMar>
              <w:top w:w="0" w:type="dxa"/>
              <w:left w:w="28" w:type="dxa"/>
              <w:bottom w:w="0" w:type="dxa"/>
              <w:right w:w="28" w:type="dxa"/>
            </w:tcMar>
          </w:tcPr>
          <w:p w14:paraId="3783A8B1"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883B46" w:rsidRPr="00A31BBA" w14:paraId="1BEC03BA" w14:textId="77777777" w:rsidTr="00883B46">
        <w:trPr>
          <w:trHeight w:val="20"/>
          <w:jc w:val="center"/>
        </w:trPr>
        <w:tc>
          <w:tcPr>
            <w:tcW w:w="2091" w:type="pct"/>
            <w:shd w:val="clear" w:color="auto" w:fill="auto"/>
            <w:tcMar>
              <w:top w:w="0" w:type="dxa"/>
              <w:left w:w="28" w:type="dxa"/>
              <w:bottom w:w="0" w:type="dxa"/>
              <w:right w:w="28" w:type="dxa"/>
            </w:tcMar>
          </w:tcPr>
          <w:p w14:paraId="6E8906F8"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Declaration and payment of dividends on company's stock</w:t>
            </w:r>
          </w:p>
        </w:tc>
        <w:tc>
          <w:tcPr>
            <w:tcW w:w="675" w:type="pct"/>
            <w:shd w:val="clear" w:color="auto" w:fill="auto"/>
            <w:tcMar>
              <w:top w:w="0" w:type="dxa"/>
              <w:left w:w="28" w:type="dxa"/>
              <w:bottom w:w="0" w:type="dxa"/>
              <w:right w:w="28" w:type="dxa"/>
            </w:tcMar>
          </w:tcPr>
          <w:p w14:paraId="19DD4125"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auto"/>
            <w:tcMar>
              <w:top w:w="0" w:type="dxa"/>
              <w:left w:w="28" w:type="dxa"/>
              <w:bottom w:w="0" w:type="dxa"/>
              <w:right w:w="28" w:type="dxa"/>
            </w:tcMar>
          </w:tcPr>
          <w:p w14:paraId="5818F53E"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749" w:type="pct"/>
            <w:shd w:val="clear" w:color="auto" w:fill="auto"/>
            <w:tcMar>
              <w:top w:w="0" w:type="dxa"/>
              <w:left w:w="28" w:type="dxa"/>
              <w:bottom w:w="0" w:type="dxa"/>
              <w:right w:w="28" w:type="dxa"/>
            </w:tcMar>
          </w:tcPr>
          <w:p w14:paraId="50852C55"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810" w:type="pct"/>
            <w:shd w:val="clear" w:color="auto" w:fill="auto"/>
            <w:tcMar>
              <w:top w:w="0" w:type="dxa"/>
              <w:left w:w="28" w:type="dxa"/>
              <w:bottom w:w="0" w:type="dxa"/>
              <w:right w:w="28" w:type="dxa"/>
            </w:tcMar>
          </w:tcPr>
          <w:p w14:paraId="2002866F"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883B46" w:rsidRPr="00A31BBA" w14:paraId="03623731" w14:textId="77777777" w:rsidTr="00883B46">
        <w:trPr>
          <w:trHeight w:val="20"/>
          <w:jc w:val="center"/>
        </w:trPr>
        <w:tc>
          <w:tcPr>
            <w:tcW w:w="2091" w:type="pct"/>
            <w:shd w:val="clear" w:color="auto" w:fill="auto"/>
            <w:tcMar>
              <w:top w:w="0" w:type="dxa"/>
              <w:left w:w="28" w:type="dxa"/>
              <w:bottom w:w="0" w:type="dxa"/>
              <w:right w:w="28" w:type="dxa"/>
            </w:tcMar>
          </w:tcPr>
          <w:p w14:paraId="4857C146" w14:textId="77777777" w:rsidR="003C51B1" w:rsidRPr="00A31BBA" w:rsidRDefault="003C51B1" w:rsidP="000B2D7B">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The retirement of long-ter</w:t>
            </w:r>
            <w:r w:rsidR="000B2D7B" w:rsidRPr="00A31BBA">
              <w:rPr>
                <w:rFonts w:eastAsia="Calibri" w:cs="Calibri"/>
                <w:sz w:val="28"/>
                <w:szCs w:val="28"/>
                <w:u w:color="000000"/>
                <w:bdr w:val="nil"/>
                <w:lang w:val="en-US" w:eastAsia="en-US"/>
              </w:rPr>
              <w:t>m bonds payable</w:t>
            </w:r>
          </w:p>
        </w:tc>
        <w:tc>
          <w:tcPr>
            <w:tcW w:w="675" w:type="pct"/>
            <w:shd w:val="clear" w:color="auto" w:fill="auto"/>
            <w:tcMar>
              <w:top w:w="0" w:type="dxa"/>
              <w:left w:w="28" w:type="dxa"/>
              <w:bottom w:w="0" w:type="dxa"/>
              <w:right w:w="28" w:type="dxa"/>
            </w:tcMar>
          </w:tcPr>
          <w:p w14:paraId="699E77F0"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auto"/>
            <w:tcMar>
              <w:top w:w="0" w:type="dxa"/>
              <w:left w:w="28" w:type="dxa"/>
              <w:bottom w:w="0" w:type="dxa"/>
              <w:right w:w="28" w:type="dxa"/>
            </w:tcMar>
          </w:tcPr>
          <w:p w14:paraId="7F6C2666"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749" w:type="pct"/>
            <w:shd w:val="clear" w:color="auto" w:fill="auto"/>
            <w:tcMar>
              <w:top w:w="0" w:type="dxa"/>
              <w:left w:w="28" w:type="dxa"/>
              <w:bottom w:w="0" w:type="dxa"/>
              <w:right w:w="28" w:type="dxa"/>
            </w:tcMar>
          </w:tcPr>
          <w:p w14:paraId="730A0CB0"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810" w:type="pct"/>
            <w:shd w:val="clear" w:color="auto" w:fill="auto"/>
            <w:tcMar>
              <w:top w:w="0" w:type="dxa"/>
              <w:left w:w="28" w:type="dxa"/>
              <w:bottom w:w="0" w:type="dxa"/>
              <w:right w:w="28" w:type="dxa"/>
            </w:tcMar>
          </w:tcPr>
          <w:p w14:paraId="6395C2E2"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883B46" w:rsidRPr="00A31BBA" w14:paraId="6EE22376" w14:textId="77777777" w:rsidTr="00883B46">
        <w:trPr>
          <w:trHeight w:val="20"/>
          <w:jc w:val="center"/>
        </w:trPr>
        <w:tc>
          <w:tcPr>
            <w:tcW w:w="2091" w:type="pct"/>
            <w:shd w:val="clear" w:color="auto" w:fill="auto"/>
            <w:tcMar>
              <w:top w:w="0" w:type="dxa"/>
              <w:left w:w="28" w:type="dxa"/>
              <w:bottom w:w="0" w:type="dxa"/>
              <w:right w:w="28" w:type="dxa"/>
            </w:tcMar>
          </w:tcPr>
          <w:p w14:paraId="69EBF32B"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 xml:space="preserve">Purchase of </w:t>
            </w:r>
            <w:r w:rsidR="000B2D7B" w:rsidRPr="00A31BBA">
              <w:rPr>
                <w:rFonts w:eastAsia="Calibri" w:cs="Calibri"/>
                <w:sz w:val="28"/>
                <w:szCs w:val="28"/>
                <w:u w:color="000000"/>
                <w:bdr w:val="nil"/>
                <w:lang w:val="en-US" w:eastAsia="en-US"/>
              </w:rPr>
              <w:t>treasury stock (company's own stock)</w:t>
            </w:r>
          </w:p>
        </w:tc>
        <w:tc>
          <w:tcPr>
            <w:tcW w:w="675" w:type="pct"/>
            <w:shd w:val="clear" w:color="auto" w:fill="auto"/>
            <w:tcMar>
              <w:top w:w="0" w:type="dxa"/>
              <w:left w:w="28" w:type="dxa"/>
              <w:bottom w:w="0" w:type="dxa"/>
              <w:right w:w="28" w:type="dxa"/>
            </w:tcMar>
          </w:tcPr>
          <w:p w14:paraId="1BDCA472"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auto"/>
            <w:tcMar>
              <w:top w:w="0" w:type="dxa"/>
              <w:left w:w="28" w:type="dxa"/>
              <w:bottom w:w="0" w:type="dxa"/>
              <w:right w:w="28" w:type="dxa"/>
            </w:tcMar>
          </w:tcPr>
          <w:p w14:paraId="7A9D6B7F"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749" w:type="pct"/>
            <w:shd w:val="clear" w:color="auto" w:fill="auto"/>
            <w:tcMar>
              <w:top w:w="0" w:type="dxa"/>
              <w:left w:w="28" w:type="dxa"/>
              <w:bottom w:w="0" w:type="dxa"/>
              <w:right w:w="28" w:type="dxa"/>
            </w:tcMar>
          </w:tcPr>
          <w:p w14:paraId="0431EF49"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810" w:type="pct"/>
            <w:shd w:val="clear" w:color="auto" w:fill="auto"/>
            <w:tcMar>
              <w:top w:w="0" w:type="dxa"/>
              <w:left w:w="28" w:type="dxa"/>
              <w:bottom w:w="0" w:type="dxa"/>
              <w:right w:w="28" w:type="dxa"/>
            </w:tcMar>
          </w:tcPr>
          <w:p w14:paraId="0AB578A6"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883B46" w:rsidRPr="00A31BBA" w14:paraId="0E51A535" w14:textId="77777777" w:rsidTr="00883B46">
        <w:trPr>
          <w:trHeight w:val="20"/>
          <w:jc w:val="center"/>
        </w:trPr>
        <w:tc>
          <w:tcPr>
            <w:tcW w:w="2091" w:type="pct"/>
            <w:shd w:val="clear" w:color="auto" w:fill="auto"/>
            <w:tcMar>
              <w:top w:w="0" w:type="dxa"/>
              <w:left w:w="28" w:type="dxa"/>
              <w:bottom w:w="0" w:type="dxa"/>
              <w:right w:w="28" w:type="dxa"/>
            </w:tcMar>
          </w:tcPr>
          <w:p w14:paraId="747757AE"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The exchange/conversion of long-term bonds into common stock</w:t>
            </w:r>
          </w:p>
        </w:tc>
        <w:tc>
          <w:tcPr>
            <w:tcW w:w="675" w:type="pct"/>
            <w:shd w:val="clear" w:color="auto" w:fill="auto"/>
            <w:tcMar>
              <w:top w:w="0" w:type="dxa"/>
              <w:left w:w="28" w:type="dxa"/>
              <w:bottom w:w="0" w:type="dxa"/>
              <w:right w:w="28" w:type="dxa"/>
            </w:tcMar>
          </w:tcPr>
          <w:p w14:paraId="216BAB1E"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auto"/>
            <w:tcMar>
              <w:top w:w="0" w:type="dxa"/>
              <w:left w:w="28" w:type="dxa"/>
              <w:bottom w:w="0" w:type="dxa"/>
              <w:right w:w="28" w:type="dxa"/>
            </w:tcMar>
          </w:tcPr>
          <w:p w14:paraId="3A906FF2"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749" w:type="pct"/>
            <w:shd w:val="clear" w:color="auto" w:fill="auto"/>
            <w:tcMar>
              <w:top w:w="0" w:type="dxa"/>
              <w:left w:w="28" w:type="dxa"/>
              <w:bottom w:w="0" w:type="dxa"/>
              <w:right w:w="28" w:type="dxa"/>
            </w:tcMar>
          </w:tcPr>
          <w:p w14:paraId="52236CC8"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810" w:type="pct"/>
            <w:shd w:val="clear" w:color="auto" w:fill="auto"/>
            <w:tcMar>
              <w:top w:w="0" w:type="dxa"/>
              <w:left w:w="28" w:type="dxa"/>
              <w:bottom w:w="0" w:type="dxa"/>
              <w:right w:w="28" w:type="dxa"/>
            </w:tcMar>
          </w:tcPr>
          <w:p w14:paraId="341114A4"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883B46" w:rsidRPr="00A31BBA" w14:paraId="0454F286" w14:textId="77777777" w:rsidTr="00883B46">
        <w:trPr>
          <w:trHeight w:val="20"/>
          <w:jc w:val="center"/>
        </w:trPr>
        <w:tc>
          <w:tcPr>
            <w:tcW w:w="2091" w:type="pct"/>
            <w:shd w:val="clear" w:color="auto" w:fill="auto"/>
            <w:tcMar>
              <w:top w:w="0" w:type="dxa"/>
              <w:left w:w="28" w:type="dxa"/>
              <w:bottom w:w="0" w:type="dxa"/>
              <w:right w:w="28" w:type="dxa"/>
            </w:tcMar>
          </w:tcPr>
          <w:p w14:paraId="6D3B9C9F"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 xml:space="preserve">The proceeds from issuing </w:t>
            </w:r>
            <w:r w:rsidR="000B2D7B" w:rsidRPr="00A31BBA">
              <w:rPr>
                <w:rFonts w:eastAsia="Calibri" w:cs="Calibri"/>
                <w:sz w:val="28"/>
                <w:szCs w:val="28"/>
                <w:u w:color="000000"/>
                <w:bdr w:val="nil"/>
                <w:lang w:val="en-US" w:eastAsia="en-US"/>
              </w:rPr>
              <w:t>additional common stock</w:t>
            </w:r>
          </w:p>
        </w:tc>
        <w:tc>
          <w:tcPr>
            <w:tcW w:w="675" w:type="pct"/>
            <w:shd w:val="clear" w:color="auto" w:fill="auto"/>
            <w:tcMar>
              <w:top w:w="0" w:type="dxa"/>
              <w:left w:w="28" w:type="dxa"/>
              <w:bottom w:w="0" w:type="dxa"/>
              <w:right w:w="28" w:type="dxa"/>
            </w:tcMar>
          </w:tcPr>
          <w:p w14:paraId="22F46CB6"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auto"/>
            <w:tcMar>
              <w:top w:w="0" w:type="dxa"/>
              <w:left w:w="28" w:type="dxa"/>
              <w:bottom w:w="0" w:type="dxa"/>
              <w:right w:w="28" w:type="dxa"/>
            </w:tcMar>
          </w:tcPr>
          <w:p w14:paraId="15FB39A4"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749" w:type="pct"/>
            <w:shd w:val="clear" w:color="auto" w:fill="auto"/>
            <w:tcMar>
              <w:top w:w="0" w:type="dxa"/>
              <w:left w:w="28" w:type="dxa"/>
              <w:bottom w:w="0" w:type="dxa"/>
              <w:right w:w="28" w:type="dxa"/>
            </w:tcMar>
          </w:tcPr>
          <w:p w14:paraId="61DF12E8"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810" w:type="pct"/>
            <w:shd w:val="clear" w:color="auto" w:fill="auto"/>
            <w:tcMar>
              <w:top w:w="0" w:type="dxa"/>
              <w:left w:w="28" w:type="dxa"/>
              <w:bottom w:w="0" w:type="dxa"/>
              <w:right w:w="28" w:type="dxa"/>
            </w:tcMar>
          </w:tcPr>
          <w:p w14:paraId="45E52F50"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883B46" w:rsidRPr="00A31BBA" w14:paraId="67C54B75" w14:textId="77777777" w:rsidTr="00883B46">
        <w:trPr>
          <w:trHeight w:val="20"/>
          <w:jc w:val="center"/>
        </w:trPr>
        <w:tc>
          <w:tcPr>
            <w:tcW w:w="2091" w:type="pct"/>
            <w:shd w:val="clear" w:color="auto" w:fill="auto"/>
            <w:tcMar>
              <w:top w:w="0" w:type="dxa"/>
              <w:left w:w="28" w:type="dxa"/>
              <w:bottom w:w="0" w:type="dxa"/>
              <w:right w:w="28" w:type="dxa"/>
            </w:tcMar>
          </w:tcPr>
          <w:p w14:paraId="49E8A5B8" w14:textId="77777777" w:rsidR="003C51B1" w:rsidRPr="00A31BBA" w:rsidRDefault="003C51B1" w:rsidP="000B2D7B">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The amortization of the cost of an intangible asset</w:t>
            </w:r>
          </w:p>
        </w:tc>
        <w:tc>
          <w:tcPr>
            <w:tcW w:w="675" w:type="pct"/>
            <w:shd w:val="clear" w:color="auto" w:fill="auto"/>
            <w:tcMar>
              <w:top w:w="0" w:type="dxa"/>
              <w:left w:w="28" w:type="dxa"/>
              <w:bottom w:w="0" w:type="dxa"/>
              <w:right w:w="28" w:type="dxa"/>
            </w:tcMar>
          </w:tcPr>
          <w:p w14:paraId="7D2A4FAB"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675" w:type="pct"/>
            <w:shd w:val="clear" w:color="auto" w:fill="auto"/>
            <w:tcMar>
              <w:top w:w="0" w:type="dxa"/>
              <w:left w:w="28" w:type="dxa"/>
              <w:bottom w:w="0" w:type="dxa"/>
              <w:right w:w="28" w:type="dxa"/>
            </w:tcMar>
          </w:tcPr>
          <w:p w14:paraId="5B3F4C6E"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749" w:type="pct"/>
            <w:shd w:val="clear" w:color="auto" w:fill="auto"/>
            <w:tcMar>
              <w:top w:w="0" w:type="dxa"/>
              <w:left w:w="28" w:type="dxa"/>
              <w:bottom w:w="0" w:type="dxa"/>
              <w:right w:w="28" w:type="dxa"/>
            </w:tcMar>
          </w:tcPr>
          <w:p w14:paraId="2663F4CD"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810" w:type="pct"/>
            <w:shd w:val="clear" w:color="auto" w:fill="auto"/>
            <w:tcMar>
              <w:top w:w="0" w:type="dxa"/>
              <w:left w:w="28" w:type="dxa"/>
              <w:bottom w:w="0" w:type="dxa"/>
              <w:right w:w="28" w:type="dxa"/>
            </w:tcMar>
          </w:tcPr>
          <w:p w14:paraId="63B311F8"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bl>
    <w:p w14:paraId="16ECA4B8"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Garamond"/>
          <w:b/>
          <w:bCs/>
          <w:sz w:val="28"/>
          <w:szCs w:val="28"/>
          <w:u w:color="000000"/>
          <w:bdr w:val="nil"/>
          <w:lang w:val="en-US" w:eastAsia="en-US"/>
        </w:rPr>
      </w:pPr>
    </w:p>
    <w:p w14:paraId="0F77D8D3" w14:textId="77777777" w:rsidR="003C51B1" w:rsidRPr="00883B46" w:rsidRDefault="003C51B1" w:rsidP="006F749C">
      <w:pPr>
        <w:pStyle w:val="ListParagraph"/>
        <w:numPr>
          <w:ilvl w:val="0"/>
          <w:numId w:val="175"/>
        </w:numPr>
        <w:spacing w:line="240" w:lineRule="atLeast"/>
        <w:ind w:left="426"/>
        <w:jc w:val="both"/>
        <w:rPr>
          <w:rFonts w:ascii="Garamond" w:hAnsi="Garamond"/>
          <w:szCs w:val="28"/>
          <w:lang w:val="en-US" w:eastAsia="ru-RU"/>
        </w:rPr>
      </w:pPr>
      <w:r w:rsidRPr="00883B46">
        <w:rPr>
          <w:rFonts w:ascii="Garamond" w:hAnsi="Garamond"/>
          <w:szCs w:val="28"/>
          <w:lang w:val="en-US" w:eastAsia="ru-RU"/>
        </w:rPr>
        <w:t>The following extracts financial statement of Korwell Ltd.</w:t>
      </w:r>
    </w:p>
    <w:p w14:paraId="03C5D00D"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b/>
          <w:bCs/>
          <w:sz w:val="28"/>
          <w:szCs w:val="28"/>
          <w:u w:color="000000"/>
          <w:bdr w:val="nil"/>
          <w:lang w:val="en-US" w:eastAsia="en-US"/>
        </w:rPr>
      </w:pPr>
      <w:r w:rsidRPr="00A31BBA">
        <w:rPr>
          <w:rFonts w:eastAsia="Calibri" w:cs="Calibri"/>
          <w:b/>
          <w:bCs/>
          <w:sz w:val="28"/>
          <w:szCs w:val="28"/>
          <w:u w:color="000000"/>
          <w:bdr w:val="nil"/>
          <w:lang w:val="en-US" w:eastAsia="en-US"/>
        </w:rPr>
        <w:t>Statement of financial position extracts at:</w:t>
      </w:r>
    </w:p>
    <w:tbl>
      <w:tblPr>
        <w:tblW w:w="5676"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124"/>
        <w:gridCol w:w="1276"/>
        <w:gridCol w:w="1276"/>
      </w:tblGrid>
      <w:tr w:rsidR="003C51B1" w:rsidRPr="00A31BBA" w14:paraId="416410CA"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D9D9D9"/>
            <w:tcMar>
              <w:top w:w="0" w:type="dxa"/>
              <w:left w:w="28" w:type="dxa"/>
              <w:bottom w:w="0" w:type="dxa"/>
              <w:right w:w="28" w:type="dxa"/>
            </w:tcMar>
          </w:tcPr>
          <w:p w14:paraId="56CB3B71"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i/>
                <w:iCs/>
                <w:sz w:val="28"/>
                <w:szCs w:val="28"/>
                <w:u w:color="000000"/>
                <w:bdr w:val="nil"/>
                <w:lang w:val="en-US" w:eastAsia="en-US"/>
              </w:rPr>
              <w:t>In thousands of hryvnias</w:t>
            </w:r>
          </w:p>
        </w:tc>
        <w:tc>
          <w:tcPr>
            <w:tcW w:w="1276" w:type="dxa"/>
            <w:tcBorders>
              <w:top w:val="single" w:sz="4" w:space="0" w:color="BFBFBF"/>
              <w:left w:val="single" w:sz="4" w:space="0" w:color="BFBFBF"/>
              <w:bottom w:val="single" w:sz="4" w:space="0" w:color="BFBFBF"/>
              <w:right w:val="single" w:sz="4" w:space="0" w:color="BFBFBF"/>
            </w:tcBorders>
            <w:shd w:val="clear" w:color="auto" w:fill="D9D9D9"/>
            <w:tcMar>
              <w:top w:w="0" w:type="dxa"/>
              <w:left w:w="28" w:type="dxa"/>
              <w:bottom w:w="0" w:type="dxa"/>
              <w:right w:w="28" w:type="dxa"/>
            </w:tcMar>
          </w:tcPr>
          <w:p w14:paraId="4DB44B25"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2015</w:t>
            </w:r>
          </w:p>
        </w:tc>
        <w:tc>
          <w:tcPr>
            <w:tcW w:w="1276" w:type="dxa"/>
            <w:tcBorders>
              <w:top w:val="single" w:sz="4" w:space="0" w:color="BFBFBF"/>
              <w:left w:val="single" w:sz="4" w:space="0" w:color="BFBFBF"/>
              <w:bottom w:val="single" w:sz="4" w:space="0" w:color="BFBFBF"/>
              <w:right w:val="single" w:sz="4" w:space="0" w:color="BFBFBF"/>
            </w:tcBorders>
            <w:shd w:val="clear" w:color="auto" w:fill="D9D9D9"/>
            <w:tcMar>
              <w:top w:w="0" w:type="dxa"/>
              <w:left w:w="28" w:type="dxa"/>
              <w:bottom w:w="0" w:type="dxa"/>
              <w:right w:w="28" w:type="dxa"/>
            </w:tcMar>
          </w:tcPr>
          <w:p w14:paraId="18B3B644"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2014</w:t>
            </w:r>
          </w:p>
        </w:tc>
      </w:tr>
      <w:tr w:rsidR="003C51B1" w:rsidRPr="00A31BBA" w14:paraId="791EA534"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36E4F72A"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Current assets</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08EAE1AD" w14:textId="77777777" w:rsidR="003C51B1" w:rsidRPr="00A31BBA" w:rsidRDefault="003C51B1" w:rsidP="00BF4B7E">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35E04E0A" w14:textId="77777777" w:rsidR="003C51B1" w:rsidRPr="00A31BBA" w:rsidRDefault="003C51B1" w:rsidP="00BF4B7E">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40CE67D2"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27B4B859"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Inventories</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B10FCEE"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2,000</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35C4250E"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2,500</w:t>
            </w:r>
          </w:p>
        </w:tc>
      </w:tr>
      <w:tr w:rsidR="003C51B1" w:rsidRPr="00A31BBA" w14:paraId="17D3FD60"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4971C60B"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Receivables</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2CC77D46"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1,500</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C1DA1C5"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1,375</w:t>
            </w:r>
          </w:p>
        </w:tc>
      </w:tr>
      <w:tr w:rsidR="003C51B1" w:rsidRPr="00A31BBA" w14:paraId="3AB7923E"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3AAC1AA0" w14:textId="77777777" w:rsidR="003C51B1" w:rsidRPr="00A31BBA" w:rsidRDefault="003C51B1" w:rsidP="00BF4B7E">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786424A" w14:textId="77777777" w:rsidR="003C51B1" w:rsidRPr="00A31BBA" w:rsidRDefault="003C51B1" w:rsidP="00BF4B7E">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4AA0CBD" w14:textId="77777777" w:rsidR="003C51B1" w:rsidRPr="00A31BBA" w:rsidRDefault="003C51B1" w:rsidP="00BF4B7E">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190FED5F"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2F721770"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Current liabilities</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46F9DF08" w14:textId="77777777" w:rsidR="003C51B1" w:rsidRPr="00A31BBA" w:rsidRDefault="003C51B1" w:rsidP="00BF4B7E">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AEE0A59" w14:textId="77777777" w:rsidR="003C51B1" w:rsidRPr="00A31BBA" w:rsidRDefault="003C51B1" w:rsidP="00BF4B7E">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555FFB90"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131224B7"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Trade payables</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3A1733BB"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(1,400)</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27287011"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(1,875)</w:t>
            </w:r>
          </w:p>
        </w:tc>
      </w:tr>
      <w:tr w:rsidR="003C51B1" w:rsidRPr="00A31BBA" w14:paraId="7B58EAB4"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E42B6C7"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Income tax</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406AC69C"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(100)</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B52321A"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(200)</w:t>
            </w:r>
          </w:p>
        </w:tc>
      </w:tr>
    </w:tbl>
    <w:p w14:paraId="1D3104BD" w14:textId="77777777" w:rsidR="003C51B1"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b/>
          <w:bCs/>
          <w:sz w:val="28"/>
          <w:szCs w:val="28"/>
          <w:u w:color="000000"/>
          <w:bdr w:val="nil"/>
          <w:lang w:val="en-US" w:eastAsia="en-US"/>
        </w:rPr>
      </w:pPr>
    </w:p>
    <w:p w14:paraId="7C8F782F" w14:textId="77777777" w:rsidR="00E723D8" w:rsidRDefault="00E723D8"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b/>
          <w:bCs/>
          <w:sz w:val="28"/>
          <w:szCs w:val="28"/>
          <w:u w:color="000000"/>
          <w:bdr w:val="nil"/>
          <w:lang w:val="en-US" w:eastAsia="en-US"/>
        </w:rPr>
      </w:pPr>
    </w:p>
    <w:p w14:paraId="2702A5C0" w14:textId="77777777" w:rsidR="0002556C" w:rsidRDefault="0002556C"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b/>
          <w:bCs/>
          <w:sz w:val="28"/>
          <w:szCs w:val="28"/>
          <w:u w:color="000000"/>
          <w:bdr w:val="nil"/>
          <w:lang w:val="en-US" w:eastAsia="en-US"/>
        </w:rPr>
      </w:pPr>
    </w:p>
    <w:p w14:paraId="2B9D8833" w14:textId="77777777" w:rsidR="0002556C" w:rsidRDefault="0002556C"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b/>
          <w:bCs/>
          <w:sz w:val="28"/>
          <w:szCs w:val="28"/>
          <w:u w:color="000000"/>
          <w:bdr w:val="nil"/>
          <w:lang w:val="en-US" w:eastAsia="en-US"/>
        </w:rPr>
      </w:pPr>
    </w:p>
    <w:p w14:paraId="557ED103" w14:textId="77777777" w:rsidR="0002556C" w:rsidRPr="00A31BBA" w:rsidRDefault="0002556C"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b/>
          <w:bCs/>
          <w:sz w:val="28"/>
          <w:szCs w:val="28"/>
          <w:u w:color="000000"/>
          <w:bdr w:val="nil"/>
          <w:lang w:val="en-US" w:eastAsia="en-US"/>
        </w:rPr>
      </w:pPr>
    </w:p>
    <w:p w14:paraId="7D253AAD"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b/>
          <w:bCs/>
          <w:sz w:val="28"/>
          <w:szCs w:val="28"/>
          <w:u w:color="000000"/>
          <w:bdr w:val="nil"/>
          <w:lang w:val="en-US" w:eastAsia="en-US"/>
        </w:rPr>
      </w:pPr>
      <w:r w:rsidRPr="00A31BBA">
        <w:rPr>
          <w:rFonts w:eastAsia="Calibri" w:cs="Calibri"/>
          <w:b/>
          <w:bCs/>
          <w:sz w:val="28"/>
          <w:szCs w:val="28"/>
          <w:u w:color="000000"/>
          <w:bdr w:val="nil"/>
          <w:lang w:val="en-US" w:eastAsia="en-US"/>
        </w:rPr>
        <w:lastRenderedPageBreak/>
        <w:t>Income statement for the year end</w:t>
      </w:r>
      <w:r w:rsidR="000B2D7B">
        <w:rPr>
          <w:rFonts w:eastAsia="Calibri" w:cs="Calibri"/>
          <w:b/>
          <w:bCs/>
          <w:sz w:val="28"/>
          <w:szCs w:val="28"/>
          <w:u w:color="000000"/>
          <w:bdr w:val="nil"/>
          <w:lang w:val="en-US" w:eastAsia="en-US"/>
        </w:rPr>
        <w:t>ed</w:t>
      </w:r>
      <w:r w:rsidRPr="00A31BBA">
        <w:rPr>
          <w:rFonts w:eastAsia="Calibri" w:cs="Calibri"/>
          <w:b/>
          <w:bCs/>
          <w:sz w:val="28"/>
          <w:szCs w:val="28"/>
          <w:u w:color="000000"/>
          <w:bdr w:val="nil"/>
          <w:lang w:val="en-US" w:eastAsia="en-US"/>
        </w:rPr>
        <w:t xml:space="preserve"> 31</w:t>
      </w:r>
      <w:r w:rsidRPr="00A31BBA">
        <w:rPr>
          <w:rFonts w:eastAsia="Calibri" w:cs="Calibri"/>
          <w:b/>
          <w:bCs/>
          <w:sz w:val="28"/>
          <w:szCs w:val="28"/>
          <w:u w:color="000000"/>
          <w:bdr w:val="nil"/>
          <w:vertAlign w:val="superscript"/>
          <w:lang w:val="en-US" w:eastAsia="en-US"/>
        </w:rPr>
        <w:t>st</w:t>
      </w:r>
      <w:r w:rsidRPr="00A31BBA">
        <w:rPr>
          <w:rFonts w:eastAsia="Calibri" w:cs="Calibri"/>
          <w:b/>
          <w:bCs/>
          <w:sz w:val="28"/>
          <w:szCs w:val="28"/>
          <w:u w:color="000000"/>
          <w:bdr w:val="nil"/>
          <w:lang w:val="en-US" w:eastAsia="en-US"/>
        </w:rPr>
        <w:t xml:space="preserve"> March 2015</w:t>
      </w:r>
    </w:p>
    <w:tbl>
      <w:tblPr>
        <w:tblW w:w="440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124"/>
        <w:gridCol w:w="1276"/>
      </w:tblGrid>
      <w:tr w:rsidR="003C51B1" w:rsidRPr="00A31BBA" w14:paraId="654E6F46" w14:textId="77777777" w:rsidTr="00883B46">
        <w:trPr>
          <w:trHeight w:val="73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D9D9D9"/>
            <w:tcMar>
              <w:top w:w="0" w:type="dxa"/>
              <w:left w:w="28" w:type="dxa"/>
              <w:bottom w:w="0" w:type="dxa"/>
              <w:right w:w="28" w:type="dxa"/>
            </w:tcMar>
          </w:tcPr>
          <w:p w14:paraId="1848EFD8" w14:textId="77777777" w:rsidR="003C51B1" w:rsidRPr="00A31BBA" w:rsidRDefault="003C51B1" w:rsidP="00BF4B7E">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276" w:type="dxa"/>
            <w:tcBorders>
              <w:top w:val="single" w:sz="4" w:space="0" w:color="BFBFBF"/>
              <w:left w:val="single" w:sz="4" w:space="0" w:color="BFBFBF"/>
              <w:bottom w:val="single" w:sz="4" w:space="0" w:color="BFBFBF"/>
              <w:right w:val="single" w:sz="4" w:space="0" w:color="BFBFBF"/>
            </w:tcBorders>
            <w:shd w:val="clear" w:color="auto" w:fill="D9D9D9"/>
            <w:tcMar>
              <w:top w:w="0" w:type="dxa"/>
              <w:left w:w="28" w:type="dxa"/>
              <w:bottom w:w="0" w:type="dxa"/>
              <w:right w:w="28" w:type="dxa"/>
            </w:tcMar>
          </w:tcPr>
          <w:p w14:paraId="4125E1A6"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 thousands of hryvnias</w:t>
            </w:r>
          </w:p>
        </w:tc>
      </w:tr>
      <w:tr w:rsidR="003C51B1" w:rsidRPr="00A31BBA" w14:paraId="32FC9209"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0D0FC5B2"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Sales revenue</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311FFB68"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5,700</w:t>
            </w:r>
          </w:p>
        </w:tc>
      </w:tr>
      <w:tr w:rsidR="003C51B1" w:rsidRPr="00A31BBA" w14:paraId="3800EAA4"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1E7B212A"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Cost of sales</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4B3FD14"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(3,500)</w:t>
            </w:r>
          </w:p>
        </w:tc>
      </w:tr>
      <w:tr w:rsidR="003C51B1" w:rsidRPr="00A31BBA" w14:paraId="3E5C9BD3"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16367185"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Gross profit</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41ADA9EC"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2,200</w:t>
            </w:r>
          </w:p>
        </w:tc>
      </w:tr>
      <w:tr w:rsidR="003C51B1" w:rsidRPr="00A31BBA" w14:paraId="387D0072"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01D2C65F"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Admin and selling expenses</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0E10E063"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(1,000)</w:t>
            </w:r>
          </w:p>
        </w:tc>
      </w:tr>
      <w:tr w:rsidR="003C51B1" w:rsidRPr="00A31BBA" w14:paraId="6E163D7D"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2E86F506"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Operating profit</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0A72B855"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1,200</w:t>
            </w:r>
          </w:p>
        </w:tc>
      </w:tr>
      <w:tr w:rsidR="003C51B1" w:rsidRPr="00A31BBA" w14:paraId="6DEE2FD8"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6641CF7B"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Interest expense</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05C19141"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(200)</w:t>
            </w:r>
          </w:p>
        </w:tc>
      </w:tr>
      <w:tr w:rsidR="003C51B1" w:rsidRPr="00A31BBA" w14:paraId="71F3E9F9"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65AE6B60"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Investment income</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6F5A3018"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500</w:t>
            </w:r>
          </w:p>
        </w:tc>
      </w:tr>
      <w:tr w:rsidR="003C51B1" w:rsidRPr="00A31BBA" w14:paraId="4F534456"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3563ECD2"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Net profit before tax</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580F567"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1,500</w:t>
            </w:r>
          </w:p>
        </w:tc>
      </w:tr>
      <w:tr w:rsidR="003C51B1" w:rsidRPr="00A31BBA" w14:paraId="3CAA7EDF"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487181DD"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Income tax expense</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458FE755"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(270)</w:t>
            </w:r>
          </w:p>
        </w:tc>
      </w:tr>
      <w:tr w:rsidR="003C51B1" w:rsidRPr="00A31BBA" w14:paraId="482D9C90"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3D2066D"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Profit for the year</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B4D867F"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1,230</w:t>
            </w:r>
          </w:p>
        </w:tc>
      </w:tr>
      <w:tr w:rsidR="003C51B1" w:rsidRPr="00A31BBA" w14:paraId="64AEFD8C"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18DC25C5"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Dividends</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0A1A7CB"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(730)</w:t>
            </w:r>
          </w:p>
        </w:tc>
      </w:tr>
      <w:tr w:rsidR="003C51B1" w:rsidRPr="00A31BBA" w14:paraId="07C1519D" w14:textId="77777777" w:rsidTr="00883B46">
        <w:trPr>
          <w:trHeight w:val="250"/>
          <w:jc w:val="center"/>
        </w:trPr>
        <w:tc>
          <w:tcPr>
            <w:tcW w:w="3124"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2841C5CB" w14:textId="77777777" w:rsidR="003C51B1" w:rsidRPr="00A31BBA" w:rsidRDefault="003C51B1" w:rsidP="00BF4B7E">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Retained profit for the year</w:t>
            </w:r>
          </w:p>
        </w:tc>
        <w:tc>
          <w:tcPr>
            <w:tcW w:w="1276"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E4DBFBA"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500</w:t>
            </w:r>
          </w:p>
        </w:tc>
      </w:tr>
    </w:tbl>
    <w:p w14:paraId="1E649E13"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b/>
          <w:bCs/>
          <w:sz w:val="28"/>
          <w:szCs w:val="28"/>
          <w:u w:color="000000"/>
          <w:bdr w:val="nil"/>
          <w:lang w:val="en-US" w:eastAsia="en-US"/>
        </w:rPr>
      </w:pPr>
    </w:p>
    <w:p w14:paraId="1510EE8F"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sidRPr="00A31BBA">
        <w:rPr>
          <w:rFonts w:eastAsia="Calibri" w:cs="Calibri"/>
          <w:sz w:val="28"/>
          <w:szCs w:val="28"/>
          <w:u w:color="000000"/>
          <w:bdr w:val="nil"/>
          <w:lang w:val="en-US" w:eastAsia="en-US"/>
        </w:rPr>
        <w:t xml:space="preserve">Additional information: </w:t>
      </w:r>
      <w:r w:rsidR="0065175A">
        <w:rPr>
          <w:rFonts w:eastAsia="Calibri" w:cs="Calibri"/>
          <w:sz w:val="28"/>
          <w:szCs w:val="28"/>
          <w:u w:color="000000"/>
          <w:bdr w:val="nil"/>
          <w:lang w:val="en-US" w:eastAsia="en-US"/>
        </w:rPr>
        <w:t>d</w:t>
      </w:r>
      <w:r w:rsidRPr="00A31BBA">
        <w:rPr>
          <w:rFonts w:eastAsia="Calibri" w:cs="Calibri"/>
          <w:sz w:val="28"/>
          <w:szCs w:val="28"/>
          <w:u w:color="000000"/>
          <w:bdr w:val="nil"/>
          <w:lang w:val="en-US" w:eastAsia="en-US"/>
        </w:rPr>
        <w:t>epreciation of UAH 50,000 has been charged to the cost of sales in the income statement. Calculate the operating cash flow as per IAS 7</w:t>
      </w:r>
      <w:r w:rsidR="003C1704">
        <w:rPr>
          <w:rFonts w:eastAsia="Calibri" w:cs="Calibri"/>
          <w:sz w:val="28"/>
          <w:szCs w:val="28"/>
          <w:u w:color="000000"/>
          <w:bdr w:val="nil"/>
          <w:lang w:val="en-US" w:eastAsia="en-US"/>
        </w:rPr>
        <w:t>,</w:t>
      </w:r>
      <w:r w:rsidRPr="00A31BBA">
        <w:rPr>
          <w:rFonts w:eastAsia="Calibri" w:cs="Calibri"/>
          <w:sz w:val="28"/>
          <w:szCs w:val="28"/>
          <w:u w:color="000000"/>
          <w:bdr w:val="nil"/>
          <w:lang w:val="en-US" w:eastAsia="en-US"/>
        </w:rPr>
        <w:t xml:space="preserve"> using the direct method. </w:t>
      </w:r>
    </w:p>
    <w:p w14:paraId="459CAB81"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266C5F9D" w14:textId="77777777" w:rsidR="003C51B1" w:rsidRPr="00883B46" w:rsidRDefault="003C51B1" w:rsidP="006F749C">
      <w:pPr>
        <w:pStyle w:val="ListParagraph"/>
        <w:numPr>
          <w:ilvl w:val="0"/>
          <w:numId w:val="175"/>
        </w:numPr>
        <w:spacing w:line="240" w:lineRule="atLeast"/>
        <w:ind w:left="426"/>
        <w:jc w:val="both"/>
        <w:rPr>
          <w:rFonts w:ascii="Garamond" w:hAnsi="Garamond"/>
          <w:szCs w:val="28"/>
          <w:lang w:val="en-US" w:eastAsia="ru-RU"/>
        </w:rPr>
      </w:pPr>
      <w:r w:rsidRPr="00883B46">
        <w:rPr>
          <w:rFonts w:ascii="Garamond" w:hAnsi="Garamond"/>
          <w:szCs w:val="28"/>
          <w:lang w:val="en-US" w:eastAsia="ru-RU"/>
        </w:rPr>
        <w:t>The opening balance for a property, plant and equipment account was UAH 85 million. The closing balance was UAH 105 million.</w:t>
      </w:r>
    </w:p>
    <w:p w14:paraId="269CC528"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b/>
          <w:bCs/>
          <w:sz w:val="28"/>
          <w:szCs w:val="28"/>
          <w:u w:color="000000"/>
          <w:bdr w:val="nil"/>
          <w:lang w:val="en-US" w:eastAsia="en-US"/>
        </w:rPr>
      </w:pPr>
      <w:r w:rsidRPr="00A31BBA">
        <w:rPr>
          <w:rFonts w:eastAsia="Calibri" w:cs="Calibri"/>
          <w:b/>
          <w:bCs/>
          <w:sz w:val="28"/>
          <w:szCs w:val="28"/>
          <w:u w:color="000000"/>
          <w:bdr w:val="nil"/>
          <w:lang w:val="en-US" w:eastAsia="en-US"/>
        </w:rPr>
        <w:t>During the year disposal was:</w:t>
      </w:r>
    </w:p>
    <w:tbl>
      <w:tblPr>
        <w:tblW w:w="4252" w:type="dxa"/>
        <w:tblInd w:w="506" w:type="dxa"/>
        <w:tblBorders>
          <w:top w:val="single" w:sz="8" w:space="0" w:color="BFBFBF"/>
          <w:left w:val="single" w:sz="8" w:space="0" w:color="BFBFBF"/>
          <w:bottom w:val="single" w:sz="8" w:space="0" w:color="BFBFBF"/>
          <w:right w:val="single" w:sz="8" w:space="0" w:color="BFBFBF"/>
          <w:insideH w:val="single" w:sz="8" w:space="0" w:color="BFBFBF"/>
        </w:tblBorders>
        <w:tblLayout w:type="fixed"/>
        <w:tblLook w:val="04A0" w:firstRow="1" w:lastRow="0" w:firstColumn="1" w:lastColumn="0" w:noHBand="0" w:noVBand="1"/>
      </w:tblPr>
      <w:tblGrid>
        <w:gridCol w:w="2943"/>
        <w:gridCol w:w="1309"/>
      </w:tblGrid>
      <w:tr w:rsidR="003C51B1" w:rsidRPr="00A31BBA" w14:paraId="32AC3BD8" w14:textId="77777777" w:rsidTr="00883B46">
        <w:trPr>
          <w:trHeight w:val="260"/>
        </w:trPr>
        <w:tc>
          <w:tcPr>
            <w:tcW w:w="2943" w:type="dxa"/>
            <w:shd w:val="clear" w:color="auto" w:fill="D9D9D9"/>
            <w:tcMar>
              <w:top w:w="0" w:type="dxa"/>
              <w:left w:w="28" w:type="dxa"/>
              <w:bottom w:w="0" w:type="dxa"/>
              <w:right w:w="28" w:type="dxa"/>
            </w:tcMar>
          </w:tcPr>
          <w:p w14:paraId="67444F12" w14:textId="77777777" w:rsidR="003C51B1" w:rsidRPr="00A31BBA" w:rsidRDefault="003C51B1" w:rsidP="00BF4B7E">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09" w:type="dxa"/>
            <w:shd w:val="clear" w:color="auto" w:fill="D9D9D9"/>
            <w:tcMar>
              <w:top w:w="0" w:type="dxa"/>
              <w:left w:w="28" w:type="dxa"/>
              <w:bottom w:w="0" w:type="dxa"/>
              <w:right w:w="28" w:type="dxa"/>
            </w:tcMar>
          </w:tcPr>
          <w:p w14:paraId="429A4094"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UAH m</w:t>
            </w:r>
            <w:r w:rsidR="00883B46">
              <w:rPr>
                <w:rFonts w:eastAsia="Calibri" w:cs="Calibri"/>
                <w:b/>
                <w:bCs/>
                <w:sz w:val="28"/>
                <w:szCs w:val="28"/>
                <w:u w:color="000000"/>
                <w:bdr w:val="nil"/>
                <w:lang w:val="en-US" w:eastAsia="en-US"/>
              </w:rPr>
              <w:t>illion</w:t>
            </w:r>
          </w:p>
        </w:tc>
      </w:tr>
      <w:tr w:rsidR="003C51B1" w:rsidRPr="00A31BBA" w14:paraId="2E6F89CB" w14:textId="77777777" w:rsidTr="00883B46">
        <w:trPr>
          <w:trHeight w:val="260"/>
        </w:trPr>
        <w:tc>
          <w:tcPr>
            <w:tcW w:w="2943" w:type="dxa"/>
            <w:shd w:val="clear" w:color="auto" w:fill="auto"/>
            <w:tcMar>
              <w:top w:w="0" w:type="dxa"/>
              <w:left w:w="28" w:type="dxa"/>
              <w:bottom w:w="0" w:type="dxa"/>
              <w:right w:w="28" w:type="dxa"/>
            </w:tcMar>
          </w:tcPr>
          <w:p w14:paraId="14808B4A" w14:textId="77777777" w:rsidR="003C51B1" w:rsidRPr="00A31BBA" w:rsidRDefault="003C51B1" w:rsidP="00BF4B7E">
            <w:pPr>
              <w:pBdr>
                <w:top w:val="nil"/>
                <w:left w:val="nil"/>
                <w:bottom w:val="nil"/>
                <w:right w:val="nil"/>
                <w:between w:val="nil"/>
                <w:bar w:val="nil"/>
              </w:pBdr>
              <w:spacing w:line="240" w:lineRule="atLeast"/>
              <w:jc w:val="both"/>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Original cost</w:t>
            </w:r>
          </w:p>
        </w:tc>
        <w:tc>
          <w:tcPr>
            <w:tcW w:w="1309" w:type="dxa"/>
            <w:shd w:val="clear" w:color="auto" w:fill="auto"/>
            <w:tcMar>
              <w:top w:w="0" w:type="dxa"/>
              <w:left w:w="28" w:type="dxa"/>
              <w:bottom w:w="0" w:type="dxa"/>
              <w:right w:w="28" w:type="dxa"/>
            </w:tcMar>
          </w:tcPr>
          <w:p w14:paraId="226C43BE"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ind w:firstLine="357"/>
              <w:jc w:val="both"/>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9</w:t>
            </w:r>
          </w:p>
        </w:tc>
      </w:tr>
      <w:tr w:rsidR="003C51B1" w:rsidRPr="00A31BBA" w14:paraId="54A11E22" w14:textId="77777777" w:rsidTr="00883B46">
        <w:trPr>
          <w:trHeight w:val="260"/>
        </w:trPr>
        <w:tc>
          <w:tcPr>
            <w:tcW w:w="2943" w:type="dxa"/>
            <w:shd w:val="clear" w:color="auto" w:fill="auto"/>
            <w:tcMar>
              <w:top w:w="0" w:type="dxa"/>
              <w:left w:w="28" w:type="dxa"/>
              <w:bottom w:w="0" w:type="dxa"/>
              <w:right w:w="28" w:type="dxa"/>
            </w:tcMar>
          </w:tcPr>
          <w:p w14:paraId="08060C50" w14:textId="77777777" w:rsidR="003C51B1" w:rsidRPr="00A31BBA" w:rsidRDefault="003C51B1" w:rsidP="00BF4B7E">
            <w:pPr>
              <w:pBdr>
                <w:top w:val="nil"/>
                <w:left w:val="nil"/>
                <w:bottom w:val="nil"/>
                <w:right w:val="nil"/>
                <w:between w:val="nil"/>
                <w:bar w:val="nil"/>
              </w:pBdr>
              <w:spacing w:line="240" w:lineRule="atLeast"/>
              <w:jc w:val="both"/>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Accumulated depreciation</w:t>
            </w:r>
          </w:p>
        </w:tc>
        <w:tc>
          <w:tcPr>
            <w:tcW w:w="1309" w:type="dxa"/>
            <w:shd w:val="clear" w:color="auto" w:fill="auto"/>
            <w:tcMar>
              <w:top w:w="0" w:type="dxa"/>
              <w:left w:w="28" w:type="dxa"/>
              <w:bottom w:w="0" w:type="dxa"/>
              <w:right w:w="28" w:type="dxa"/>
            </w:tcMar>
          </w:tcPr>
          <w:p w14:paraId="6B130B30"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ind w:firstLine="357"/>
              <w:jc w:val="both"/>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7</w:t>
            </w:r>
          </w:p>
        </w:tc>
      </w:tr>
      <w:tr w:rsidR="003C51B1" w:rsidRPr="00A31BBA" w14:paraId="03DDECB9" w14:textId="77777777" w:rsidTr="00883B46">
        <w:trPr>
          <w:trHeight w:val="260"/>
        </w:trPr>
        <w:tc>
          <w:tcPr>
            <w:tcW w:w="2943" w:type="dxa"/>
            <w:shd w:val="clear" w:color="auto" w:fill="auto"/>
            <w:tcMar>
              <w:top w:w="0" w:type="dxa"/>
              <w:left w:w="28" w:type="dxa"/>
              <w:bottom w:w="0" w:type="dxa"/>
              <w:right w:w="28" w:type="dxa"/>
            </w:tcMar>
          </w:tcPr>
          <w:p w14:paraId="440DD532" w14:textId="77777777" w:rsidR="003C51B1" w:rsidRPr="00A31BBA" w:rsidRDefault="003C51B1" w:rsidP="00BF4B7E">
            <w:pPr>
              <w:pBdr>
                <w:top w:val="nil"/>
                <w:left w:val="nil"/>
                <w:bottom w:val="nil"/>
                <w:right w:val="nil"/>
                <w:between w:val="nil"/>
                <w:bar w:val="nil"/>
              </w:pBdr>
              <w:spacing w:line="240" w:lineRule="atLeast"/>
              <w:jc w:val="both"/>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Sales proceeds</w:t>
            </w:r>
          </w:p>
        </w:tc>
        <w:tc>
          <w:tcPr>
            <w:tcW w:w="1309" w:type="dxa"/>
            <w:shd w:val="clear" w:color="auto" w:fill="auto"/>
            <w:tcMar>
              <w:top w:w="0" w:type="dxa"/>
              <w:left w:w="28" w:type="dxa"/>
              <w:bottom w:w="0" w:type="dxa"/>
              <w:right w:w="28" w:type="dxa"/>
            </w:tcMar>
          </w:tcPr>
          <w:p w14:paraId="61B8A6A5"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ind w:firstLine="357"/>
              <w:jc w:val="both"/>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w:t>
            </w:r>
          </w:p>
        </w:tc>
      </w:tr>
    </w:tbl>
    <w:p w14:paraId="73CF3472"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left="534" w:hanging="177"/>
        <w:jc w:val="both"/>
        <w:rPr>
          <w:rFonts w:eastAsia="Garamond"/>
          <w:b/>
          <w:bCs/>
          <w:sz w:val="28"/>
          <w:szCs w:val="28"/>
          <w:u w:color="000000"/>
          <w:bdr w:val="nil"/>
          <w:lang w:val="en-US" w:eastAsia="en-US"/>
        </w:rPr>
      </w:pPr>
    </w:p>
    <w:p w14:paraId="6F1BDEF0"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sidRPr="00A31BBA">
        <w:rPr>
          <w:rFonts w:eastAsia="Calibri" w:cs="Calibri"/>
          <w:sz w:val="28"/>
          <w:szCs w:val="28"/>
          <w:u w:color="000000"/>
          <w:bdr w:val="nil"/>
          <w:lang w:val="en-US" w:eastAsia="en-US"/>
        </w:rPr>
        <w:t>Additional information: (i) revaluation of property resulted in an increase of UAH</w:t>
      </w:r>
      <w:r w:rsidR="00AC46AE">
        <w:rPr>
          <w:rFonts w:eastAsia="Calibri" w:cs="Calibri"/>
          <w:sz w:val="28"/>
          <w:szCs w:val="28"/>
          <w:u w:color="000000"/>
          <w:bdr w:val="nil"/>
          <w:lang w:val="en-US" w:eastAsia="en-US"/>
        </w:rPr>
        <w:t> </w:t>
      </w:r>
      <w:r w:rsidRPr="00A31BBA">
        <w:rPr>
          <w:rFonts w:eastAsia="Calibri" w:cs="Calibri"/>
          <w:sz w:val="28"/>
          <w:szCs w:val="28"/>
          <w:u w:color="000000"/>
          <w:bdr w:val="nil"/>
          <w:lang w:val="en-US" w:eastAsia="en-US"/>
        </w:rPr>
        <w:t>1 million; (ii) new finance leases of UAH 14 million were also capitalized; (iii) depreciation of UAH 13 million was charged to the income statement for the period.</w:t>
      </w:r>
    </w:p>
    <w:p w14:paraId="1B44A230"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sidRPr="00A31BBA">
        <w:rPr>
          <w:rFonts w:eastAsia="Calibri" w:cs="Calibri"/>
          <w:sz w:val="28"/>
          <w:szCs w:val="28"/>
          <w:u w:color="000000"/>
          <w:bdr w:val="nil"/>
          <w:lang w:val="en-US" w:eastAsia="en-US"/>
        </w:rPr>
        <w:t>Calculate the cash flow that will appear in investing activities in the statement of cash flows relating to non-current assets.</w:t>
      </w:r>
    </w:p>
    <w:p w14:paraId="330ECECD"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5A204D43" w14:textId="77777777" w:rsidR="00883B46" w:rsidRPr="00883B46" w:rsidRDefault="00883B46" w:rsidP="006F749C">
      <w:pPr>
        <w:pStyle w:val="ListParagraph"/>
        <w:numPr>
          <w:ilvl w:val="0"/>
          <w:numId w:val="175"/>
        </w:numPr>
        <w:spacing w:line="240" w:lineRule="atLeast"/>
        <w:ind w:left="426"/>
        <w:jc w:val="both"/>
        <w:rPr>
          <w:rFonts w:ascii="Garamond" w:hAnsi="Garamond"/>
          <w:szCs w:val="28"/>
          <w:lang w:val="en-US" w:eastAsia="ru-RU"/>
        </w:rPr>
      </w:pPr>
      <w:r w:rsidRPr="00883B46">
        <w:rPr>
          <w:rFonts w:ascii="Garamond" w:hAnsi="Garamond"/>
          <w:szCs w:val="28"/>
          <w:lang w:val="en-US" w:eastAsia="ru-RU"/>
        </w:rPr>
        <w:t xml:space="preserve">Company’s pays UAH 140,000 to produce some goods (cost of sale). It sells those goods for UAH 240,000, including VAT. During a month a company incurred the following expenses: associated with the general administration of the business </w:t>
      </w:r>
      <w:r w:rsidR="003C1704">
        <w:rPr>
          <w:rFonts w:cs="Calibri"/>
          <w:szCs w:val="28"/>
          <w:bdr w:val="none" w:sz="0" w:space="0" w:color="auto" w:frame="1"/>
          <w:lang w:val="en-US"/>
        </w:rPr>
        <w:t>–</w:t>
      </w:r>
      <w:r w:rsidRPr="00883B46">
        <w:rPr>
          <w:rFonts w:ascii="Garamond" w:hAnsi="Garamond"/>
          <w:szCs w:val="28"/>
          <w:lang w:val="en-US" w:eastAsia="ru-RU"/>
        </w:rPr>
        <w:t xml:space="preserve"> UAH 24,000; incurred by the sales department </w:t>
      </w:r>
      <w:r w:rsidR="0065175A">
        <w:rPr>
          <w:rFonts w:cs="Calibri"/>
          <w:szCs w:val="28"/>
          <w:bdr w:val="none" w:sz="0" w:space="0" w:color="auto" w:frame="1"/>
          <w:lang w:val="en-US"/>
        </w:rPr>
        <w:t>–</w:t>
      </w:r>
      <w:r w:rsidRPr="00883B46">
        <w:rPr>
          <w:rFonts w:ascii="Garamond" w:hAnsi="Garamond"/>
          <w:szCs w:val="28"/>
          <w:lang w:val="en-US" w:eastAsia="ru-RU"/>
        </w:rPr>
        <w:t xml:space="preserve"> UAH 8,000; other operating expenses </w:t>
      </w:r>
      <w:r w:rsidR="0065175A">
        <w:rPr>
          <w:rFonts w:cs="Calibri"/>
          <w:szCs w:val="28"/>
          <w:bdr w:val="none" w:sz="0" w:space="0" w:color="auto" w:frame="1"/>
          <w:lang w:val="en-US"/>
        </w:rPr>
        <w:t>–</w:t>
      </w:r>
      <w:r w:rsidRPr="00883B46">
        <w:rPr>
          <w:rFonts w:ascii="Garamond" w:hAnsi="Garamond"/>
          <w:szCs w:val="28"/>
          <w:lang w:val="en-US" w:eastAsia="ru-RU"/>
        </w:rPr>
        <w:t xml:space="preserve"> 3,000. Calculate operating</w:t>
      </w:r>
      <w:r w:rsidR="0065175A">
        <w:rPr>
          <w:rFonts w:ascii="Garamond" w:hAnsi="Garamond"/>
          <w:szCs w:val="28"/>
          <w:lang w:val="en-US" w:eastAsia="ru-RU"/>
        </w:rPr>
        <w:t xml:space="preserve"> profit/</w:t>
      </w:r>
      <w:r w:rsidRPr="00883B46">
        <w:rPr>
          <w:rFonts w:ascii="Garamond" w:hAnsi="Garamond"/>
          <w:szCs w:val="28"/>
          <w:lang w:val="en-US" w:eastAsia="ru-RU"/>
        </w:rPr>
        <w:t>loss.</w:t>
      </w:r>
    </w:p>
    <w:p w14:paraId="2440E56C" w14:textId="77777777" w:rsidR="00AC46AE" w:rsidRPr="00AC46AE" w:rsidRDefault="00AC46AE" w:rsidP="006F749C">
      <w:pPr>
        <w:pStyle w:val="ListParagraph"/>
        <w:numPr>
          <w:ilvl w:val="0"/>
          <w:numId w:val="175"/>
        </w:numPr>
        <w:spacing w:after="0" w:line="240" w:lineRule="atLeast"/>
        <w:ind w:left="426"/>
        <w:jc w:val="both"/>
        <w:rPr>
          <w:rFonts w:ascii="Garamond" w:hAnsi="Garamond"/>
          <w:szCs w:val="28"/>
          <w:lang w:val="en-US" w:eastAsia="ru-RU"/>
        </w:rPr>
      </w:pPr>
      <w:r w:rsidRPr="00AC46AE">
        <w:rPr>
          <w:rFonts w:ascii="Garamond" w:hAnsi="Garamond"/>
          <w:szCs w:val="28"/>
          <w:lang w:val="en-US" w:eastAsia="ru-RU"/>
        </w:rPr>
        <w:lastRenderedPageBreak/>
        <w:t>Listed below are several transactions that took place during the calendar year of operations for the Klims law firm:</w:t>
      </w:r>
    </w:p>
    <w:p w14:paraId="68AE3128" w14:textId="77777777" w:rsidR="00AC46AE" w:rsidRPr="00AC46AE" w:rsidRDefault="00AC46AE" w:rsidP="006F749C">
      <w:pPr>
        <w:pStyle w:val="ListParagraph"/>
        <w:numPr>
          <w:ilvl w:val="0"/>
          <w:numId w:val="176"/>
        </w:numPr>
        <w:spacing w:line="240" w:lineRule="atLeast"/>
        <w:jc w:val="both"/>
        <w:rPr>
          <w:rFonts w:ascii="Garamond" w:hAnsi="Garamond"/>
          <w:szCs w:val="28"/>
          <w:lang w:val="en-US" w:eastAsia="ru-RU"/>
        </w:rPr>
      </w:pPr>
      <w:r w:rsidRPr="00AC46AE">
        <w:rPr>
          <w:rFonts w:ascii="Garamond" w:hAnsi="Garamond"/>
          <w:szCs w:val="28"/>
          <w:lang w:val="en-US" w:eastAsia="ru-RU"/>
        </w:rPr>
        <w:t>Revenue – UAH 70,000;</w:t>
      </w:r>
    </w:p>
    <w:p w14:paraId="7DA0ABF6" w14:textId="77777777" w:rsidR="00AC46AE" w:rsidRPr="00AC46AE" w:rsidRDefault="00AC46AE" w:rsidP="006F749C">
      <w:pPr>
        <w:pStyle w:val="ListParagraph"/>
        <w:numPr>
          <w:ilvl w:val="0"/>
          <w:numId w:val="176"/>
        </w:numPr>
        <w:spacing w:line="240" w:lineRule="atLeast"/>
        <w:jc w:val="both"/>
        <w:rPr>
          <w:rFonts w:ascii="Garamond" w:hAnsi="Garamond"/>
          <w:szCs w:val="28"/>
          <w:lang w:val="en-US" w:eastAsia="ru-RU"/>
        </w:rPr>
      </w:pPr>
      <w:r w:rsidRPr="00AC46AE">
        <w:rPr>
          <w:rFonts w:ascii="Garamond" w:hAnsi="Garamond"/>
          <w:szCs w:val="28"/>
          <w:lang w:val="en-US" w:eastAsia="ru-RU"/>
        </w:rPr>
        <w:t>Cost of sales – UAH 40,000:</w:t>
      </w:r>
    </w:p>
    <w:p w14:paraId="17F1F3CE" w14:textId="77777777" w:rsidR="00AC46AE" w:rsidRPr="00AC46AE" w:rsidRDefault="00AC46AE" w:rsidP="006F749C">
      <w:pPr>
        <w:pStyle w:val="ListParagraph"/>
        <w:numPr>
          <w:ilvl w:val="0"/>
          <w:numId w:val="176"/>
        </w:numPr>
        <w:spacing w:line="240" w:lineRule="atLeast"/>
        <w:jc w:val="both"/>
        <w:rPr>
          <w:rFonts w:ascii="Garamond" w:hAnsi="Garamond"/>
          <w:szCs w:val="28"/>
          <w:lang w:val="en-US" w:eastAsia="ru-RU"/>
        </w:rPr>
      </w:pPr>
      <w:r w:rsidRPr="00AC46AE">
        <w:rPr>
          <w:rFonts w:ascii="Garamond" w:hAnsi="Garamond"/>
          <w:szCs w:val="28"/>
          <w:lang w:val="en-US" w:eastAsia="ru-RU"/>
        </w:rPr>
        <w:t>Administrative expenses – UAH 8,300;</w:t>
      </w:r>
    </w:p>
    <w:p w14:paraId="3822EDD8" w14:textId="77777777" w:rsidR="00AC46AE" w:rsidRPr="00AC46AE" w:rsidRDefault="00AC46AE" w:rsidP="006F749C">
      <w:pPr>
        <w:pStyle w:val="ListParagraph"/>
        <w:numPr>
          <w:ilvl w:val="0"/>
          <w:numId w:val="176"/>
        </w:numPr>
        <w:spacing w:line="240" w:lineRule="atLeast"/>
        <w:jc w:val="both"/>
        <w:rPr>
          <w:rFonts w:ascii="Garamond" w:hAnsi="Garamond"/>
          <w:szCs w:val="28"/>
          <w:lang w:val="en-US" w:eastAsia="ru-RU"/>
        </w:rPr>
      </w:pPr>
      <w:r w:rsidRPr="00AC46AE">
        <w:rPr>
          <w:rFonts w:ascii="Garamond" w:hAnsi="Garamond"/>
          <w:szCs w:val="28"/>
          <w:lang w:val="en-US" w:eastAsia="ru-RU"/>
        </w:rPr>
        <w:t>Sellingand distribution expenses – UAH 10,650;</w:t>
      </w:r>
    </w:p>
    <w:p w14:paraId="2F0B404D" w14:textId="77777777" w:rsidR="00AC46AE" w:rsidRPr="00AC46AE" w:rsidRDefault="00AC46AE" w:rsidP="006F749C">
      <w:pPr>
        <w:pStyle w:val="ListParagraph"/>
        <w:numPr>
          <w:ilvl w:val="0"/>
          <w:numId w:val="176"/>
        </w:numPr>
        <w:spacing w:line="240" w:lineRule="atLeast"/>
        <w:jc w:val="both"/>
        <w:rPr>
          <w:rFonts w:ascii="Garamond" w:hAnsi="Garamond"/>
          <w:szCs w:val="28"/>
          <w:lang w:val="en-US" w:eastAsia="ru-RU"/>
        </w:rPr>
      </w:pPr>
      <w:r w:rsidRPr="00AC46AE">
        <w:rPr>
          <w:rFonts w:ascii="Garamond" w:hAnsi="Garamond"/>
          <w:szCs w:val="28"/>
          <w:lang w:val="en-US" w:eastAsia="ru-RU"/>
        </w:rPr>
        <w:t>Other operating expenses – UAH 3,000;</w:t>
      </w:r>
    </w:p>
    <w:p w14:paraId="5DAE92BA" w14:textId="77777777" w:rsidR="00AC46AE" w:rsidRPr="00AC46AE" w:rsidRDefault="00AC46AE" w:rsidP="006F749C">
      <w:pPr>
        <w:pStyle w:val="ListParagraph"/>
        <w:numPr>
          <w:ilvl w:val="0"/>
          <w:numId w:val="176"/>
        </w:numPr>
        <w:spacing w:line="240" w:lineRule="atLeast"/>
        <w:jc w:val="both"/>
        <w:rPr>
          <w:rFonts w:ascii="Garamond" w:hAnsi="Garamond"/>
          <w:szCs w:val="28"/>
          <w:lang w:val="en-US" w:eastAsia="ru-RU"/>
        </w:rPr>
      </w:pPr>
      <w:r w:rsidRPr="00AC46AE">
        <w:rPr>
          <w:rFonts w:ascii="Garamond" w:hAnsi="Garamond"/>
          <w:szCs w:val="28"/>
          <w:lang w:val="en-US" w:eastAsia="ru-RU"/>
        </w:rPr>
        <w:t>Financial expenses – UAH 10,000;</w:t>
      </w:r>
    </w:p>
    <w:p w14:paraId="0D3FD1B9" w14:textId="77777777" w:rsidR="00AC46AE" w:rsidRPr="00AC46AE" w:rsidRDefault="00AC46AE" w:rsidP="006F749C">
      <w:pPr>
        <w:pStyle w:val="ListParagraph"/>
        <w:numPr>
          <w:ilvl w:val="0"/>
          <w:numId w:val="176"/>
        </w:numPr>
        <w:spacing w:line="240" w:lineRule="atLeast"/>
        <w:jc w:val="both"/>
        <w:rPr>
          <w:rFonts w:ascii="Garamond" w:hAnsi="Garamond"/>
          <w:szCs w:val="28"/>
          <w:lang w:val="en-US" w:eastAsia="ru-RU"/>
        </w:rPr>
      </w:pPr>
      <w:r w:rsidRPr="00AC46AE">
        <w:rPr>
          <w:rFonts w:ascii="Garamond" w:hAnsi="Garamond"/>
          <w:szCs w:val="28"/>
          <w:lang w:val="en-US" w:eastAsia="ru-RU"/>
        </w:rPr>
        <w:t>Other income – UAH 300.</w:t>
      </w:r>
    </w:p>
    <w:p w14:paraId="645D6C1D" w14:textId="77777777" w:rsidR="00AC46AE" w:rsidRDefault="00AC46AE" w:rsidP="00AC46AE">
      <w:pPr>
        <w:pStyle w:val="ListParagraph"/>
        <w:spacing w:line="240" w:lineRule="atLeast"/>
        <w:ind w:left="426"/>
        <w:jc w:val="both"/>
        <w:rPr>
          <w:rFonts w:ascii="Garamond" w:hAnsi="Garamond"/>
          <w:szCs w:val="28"/>
          <w:lang w:val="en-US" w:eastAsia="ru-RU"/>
        </w:rPr>
      </w:pPr>
      <w:r w:rsidRPr="00AC46AE">
        <w:rPr>
          <w:rFonts w:ascii="Garamond" w:hAnsi="Garamond"/>
          <w:szCs w:val="28"/>
          <w:lang w:val="en-US" w:eastAsia="ru-RU"/>
        </w:rPr>
        <w:t>Required: (i) calculate corporate profit or loss, and (ii) prepare Consolidated statement of profit or loss and other comprehensive income.</w:t>
      </w:r>
    </w:p>
    <w:p w14:paraId="6F09806E" w14:textId="77777777" w:rsidR="003C51B1" w:rsidRPr="00AC46AE" w:rsidRDefault="003C51B1" w:rsidP="006F749C">
      <w:pPr>
        <w:pStyle w:val="ListParagraph"/>
        <w:numPr>
          <w:ilvl w:val="0"/>
          <w:numId w:val="175"/>
        </w:numPr>
        <w:spacing w:line="240" w:lineRule="atLeast"/>
        <w:jc w:val="both"/>
        <w:rPr>
          <w:rFonts w:ascii="Garamond" w:hAnsi="Garamond"/>
          <w:szCs w:val="28"/>
          <w:lang w:val="en-US" w:eastAsia="ru-RU"/>
        </w:rPr>
      </w:pPr>
      <w:r w:rsidRPr="00AC46AE">
        <w:rPr>
          <w:rFonts w:ascii="Garamond" w:hAnsi="Garamond"/>
          <w:szCs w:val="28"/>
          <w:lang w:val="en-US" w:eastAsia="ru-RU"/>
        </w:rPr>
        <w:t>The extract financial statement of Vortex plc. for the year ended 31 December 2015 is presented below.</w:t>
      </w:r>
    </w:p>
    <w:p w14:paraId="5A90EB61"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Garamond"/>
          <w:b/>
          <w:bCs/>
          <w:sz w:val="28"/>
          <w:szCs w:val="28"/>
          <w:u w:color="000000"/>
          <w:bdr w:val="nil"/>
          <w:lang w:val="en-US" w:eastAsia="en-US"/>
        </w:rPr>
      </w:pPr>
      <w:r w:rsidRPr="00A31BBA">
        <w:rPr>
          <w:rFonts w:eastAsia="Calibri" w:cs="Calibri"/>
          <w:b/>
          <w:bCs/>
          <w:sz w:val="28"/>
          <w:szCs w:val="28"/>
          <w:u w:color="000000"/>
          <w:bdr w:val="nil"/>
          <w:lang w:val="en-US" w:eastAsia="en-US"/>
        </w:rPr>
        <w:t>Statement of financial position at December</w:t>
      </w:r>
    </w:p>
    <w:tbl>
      <w:tblPr>
        <w:tblW w:w="9677"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289"/>
        <w:gridCol w:w="1177"/>
        <w:gridCol w:w="1325"/>
        <w:gridCol w:w="1137"/>
        <w:gridCol w:w="1749"/>
      </w:tblGrid>
      <w:tr w:rsidR="003C51B1" w:rsidRPr="00A31BBA" w14:paraId="26F6F09D"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D9D9D9"/>
            <w:tcMar>
              <w:top w:w="0" w:type="dxa"/>
              <w:left w:w="28" w:type="dxa"/>
              <w:bottom w:w="0" w:type="dxa"/>
              <w:right w:w="28" w:type="dxa"/>
            </w:tcMar>
            <w:vAlign w:val="bottom"/>
          </w:tcPr>
          <w:p w14:paraId="04A2C5FA"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i/>
                <w:iCs/>
                <w:sz w:val="28"/>
                <w:szCs w:val="28"/>
                <w:u w:color="000000"/>
                <w:bdr w:val="nil"/>
                <w:lang w:val="en-US" w:eastAsia="en-US"/>
              </w:rPr>
              <w:t>In thousands of hryvnias</w:t>
            </w:r>
          </w:p>
        </w:tc>
        <w:tc>
          <w:tcPr>
            <w:tcW w:w="2502" w:type="dxa"/>
            <w:gridSpan w:val="2"/>
            <w:tcBorders>
              <w:top w:val="single" w:sz="6" w:space="0" w:color="BFBFBF"/>
              <w:left w:val="single" w:sz="6" w:space="0" w:color="BFBFBF"/>
              <w:bottom w:val="single" w:sz="6" w:space="0" w:color="BFBFBF"/>
              <w:right w:val="single" w:sz="6" w:space="0" w:color="BFBFBF"/>
            </w:tcBorders>
            <w:shd w:val="clear" w:color="auto" w:fill="D9D9D9"/>
            <w:tcMar>
              <w:top w:w="0" w:type="dxa"/>
              <w:left w:w="28" w:type="dxa"/>
              <w:bottom w:w="0" w:type="dxa"/>
              <w:right w:w="28" w:type="dxa"/>
            </w:tcMar>
            <w:vAlign w:val="center"/>
          </w:tcPr>
          <w:p w14:paraId="7391C436" w14:textId="77777777" w:rsidR="003C51B1" w:rsidRPr="00A31BBA" w:rsidRDefault="003C51B1" w:rsidP="00883B46">
            <w:pPr>
              <w:pBdr>
                <w:top w:val="nil"/>
                <w:left w:val="nil"/>
                <w:bottom w:val="nil"/>
                <w:right w:val="nil"/>
                <w:between w:val="nil"/>
                <w:bar w:val="nil"/>
              </w:pBdr>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2015</w:t>
            </w:r>
          </w:p>
        </w:tc>
        <w:tc>
          <w:tcPr>
            <w:tcW w:w="2885" w:type="dxa"/>
            <w:gridSpan w:val="2"/>
            <w:tcBorders>
              <w:top w:val="single" w:sz="6" w:space="0" w:color="BFBFBF"/>
              <w:left w:val="single" w:sz="6" w:space="0" w:color="BFBFBF"/>
              <w:bottom w:val="single" w:sz="6" w:space="0" w:color="BFBFBF"/>
              <w:right w:val="single" w:sz="6" w:space="0" w:color="BFBFBF"/>
            </w:tcBorders>
            <w:shd w:val="clear" w:color="auto" w:fill="D9D9D9"/>
            <w:tcMar>
              <w:top w:w="0" w:type="dxa"/>
              <w:left w:w="28" w:type="dxa"/>
              <w:bottom w:w="0" w:type="dxa"/>
              <w:right w:w="28" w:type="dxa"/>
            </w:tcMar>
            <w:vAlign w:val="center"/>
          </w:tcPr>
          <w:p w14:paraId="3A2134E4" w14:textId="77777777" w:rsidR="003C51B1" w:rsidRPr="00A31BBA" w:rsidRDefault="003C51B1" w:rsidP="00883B46">
            <w:pPr>
              <w:pBdr>
                <w:top w:val="nil"/>
                <w:left w:val="nil"/>
                <w:bottom w:val="nil"/>
                <w:right w:val="nil"/>
                <w:between w:val="nil"/>
                <w:bar w:val="nil"/>
              </w:pBdr>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2014</w:t>
            </w:r>
          </w:p>
        </w:tc>
      </w:tr>
      <w:tr w:rsidR="003C51B1" w:rsidRPr="00A31BBA" w14:paraId="4F34528C" w14:textId="77777777" w:rsidTr="00883B46">
        <w:trPr>
          <w:trHeight w:val="259"/>
          <w:jc w:val="center"/>
        </w:trPr>
        <w:tc>
          <w:tcPr>
            <w:tcW w:w="9677" w:type="dxa"/>
            <w:gridSpan w:val="5"/>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A796C15"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Non-current assets</w:t>
            </w:r>
          </w:p>
        </w:tc>
      </w:tr>
      <w:tr w:rsidR="003C51B1" w:rsidRPr="00A31BBA" w14:paraId="728D8689"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54F946F"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Plant, property, and equipment</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8FE3C6A"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C60A365"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628</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2694152"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AFBA249"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514</w:t>
            </w:r>
          </w:p>
        </w:tc>
      </w:tr>
      <w:tr w:rsidR="003C51B1" w:rsidRPr="00A31BBA" w14:paraId="548DE4A0" w14:textId="77777777" w:rsidTr="00883B46">
        <w:trPr>
          <w:trHeight w:val="259"/>
          <w:jc w:val="center"/>
        </w:trPr>
        <w:tc>
          <w:tcPr>
            <w:tcW w:w="9677" w:type="dxa"/>
            <w:gridSpan w:val="5"/>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A6F2291"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Current assets</w:t>
            </w:r>
          </w:p>
        </w:tc>
      </w:tr>
      <w:tr w:rsidR="003C51B1" w:rsidRPr="00A31BBA" w14:paraId="635E5E9E"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288A0B2"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Inventories</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E89ACF3"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214</w:t>
            </w: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2BCA969"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ABC17C1"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210</w:t>
            </w: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CE835A2"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260C9C33"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660BA47"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Trade receivables</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7D6F855"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168</w:t>
            </w: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D0193BE"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08DC912"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147</w:t>
            </w: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A67AAB4"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5E7E5972"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CD11E14"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Bank</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D7BBF08"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7</w:t>
            </w: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F5C609C"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5F31E2E"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w:t>
            </w: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AD9BEEE"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73B4B50E"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03A51F7"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8674B9E"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DCCD2E7"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389</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5C3ADF9"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EF6234A"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357</w:t>
            </w:r>
          </w:p>
        </w:tc>
      </w:tr>
      <w:tr w:rsidR="003C51B1" w:rsidRPr="00A31BBA" w14:paraId="24E2292D"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692DEEE"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B7F529C"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E911824"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1,017</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F580573"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ED60DF4"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871</w:t>
            </w:r>
          </w:p>
        </w:tc>
      </w:tr>
      <w:tr w:rsidR="003C51B1" w:rsidRPr="00A31BBA" w14:paraId="5C438702" w14:textId="77777777" w:rsidTr="00883B46">
        <w:trPr>
          <w:trHeight w:val="259"/>
          <w:jc w:val="center"/>
        </w:trPr>
        <w:tc>
          <w:tcPr>
            <w:tcW w:w="9677" w:type="dxa"/>
            <w:gridSpan w:val="5"/>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13526D9B"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Capital and reserves</w:t>
            </w:r>
          </w:p>
        </w:tc>
      </w:tr>
      <w:tr w:rsidR="003C51B1" w:rsidRPr="00A31BBA" w14:paraId="2F99C257"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59F3E4E"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Share capital (UAH 1 ordinary shares)</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926035C"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25BD622"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250</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832BDE7"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DAC21CE"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200</w:t>
            </w:r>
          </w:p>
        </w:tc>
      </w:tr>
      <w:tr w:rsidR="003C51B1" w:rsidRPr="00A31BBA" w14:paraId="35063052"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8C149AA"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Share premium account</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A33D23A"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114E23F"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70</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938694B"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42C5D5B"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60</w:t>
            </w:r>
          </w:p>
        </w:tc>
      </w:tr>
      <w:tr w:rsidR="003C51B1" w:rsidRPr="00A31BBA" w14:paraId="13636F19"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9787F79"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Revaluation reserve</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EBF1BF3"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4A00EB1"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110</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B609F33"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4C84DF5"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100</w:t>
            </w:r>
          </w:p>
        </w:tc>
      </w:tr>
      <w:tr w:rsidR="003C51B1" w:rsidRPr="00A31BBA" w14:paraId="09D30734"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8A9C34F"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Profit and loss account</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3B69480"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1E6BD46F"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314</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9C16950"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BF1E45F"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282</w:t>
            </w:r>
          </w:p>
        </w:tc>
      </w:tr>
      <w:tr w:rsidR="003C51B1" w:rsidRPr="00A31BBA" w14:paraId="12CC0681"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FC7FE93"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67E3F72"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454BD6D"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744</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1F3BD3C"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EAFA14E"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642</w:t>
            </w:r>
          </w:p>
        </w:tc>
      </w:tr>
      <w:tr w:rsidR="003C51B1" w:rsidRPr="00A31BBA" w14:paraId="146BAF31" w14:textId="77777777" w:rsidTr="00883B46">
        <w:trPr>
          <w:trHeight w:val="259"/>
          <w:jc w:val="center"/>
        </w:trPr>
        <w:tc>
          <w:tcPr>
            <w:tcW w:w="9677" w:type="dxa"/>
            <w:gridSpan w:val="5"/>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8223C2F"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Non-current liabilities</w:t>
            </w:r>
          </w:p>
        </w:tc>
      </w:tr>
      <w:tr w:rsidR="003C51B1" w:rsidRPr="00A31BBA" w14:paraId="2D7146CB"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22CB5A9"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10</w:t>
            </w:r>
            <w:r w:rsidR="0065175A">
              <w:rPr>
                <w:rFonts w:eastAsia="Calibri" w:cs="Calibri"/>
                <w:sz w:val="28"/>
                <w:szCs w:val="28"/>
                <w:u w:color="000000"/>
                <w:bdr w:val="nil"/>
                <w:lang w:val="en-US" w:eastAsia="en-US"/>
              </w:rPr>
              <w:t xml:space="preserve"> </w:t>
            </w:r>
            <w:r w:rsidRPr="00A31BBA">
              <w:rPr>
                <w:rFonts w:eastAsia="Calibri" w:cs="Calibri"/>
                <w:sz w:val="28"/>
                <w:szCs w:val="28"/>
                <w:u w:color="000000"/>
                <w:bdr w:val="nil"/>
                <w:lang w:val="en-US" w:eastAsia="en-US"/>
              </w:rPr>
              <w:t>% debentures</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841B31E"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B814B82"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80</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A3AA13F"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648AF14"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50</w:t>
            </w:r>
          </w:p>
        </w:tc>
      </w:tr>
      <w:tr w:rsidR="003C51B1" w:rsidRPr="00A31BBA" w14:paraId="6ADD5F85" w14:textId="77777777" w:rsidTr="00883B46">
        <w:trPr>
          <w:trHeight w:val="259"/>
          <w:jc w:val="center"/>
        </w:trPr>
        <w:tc>
          <w:tcPr>
            <w:tcW w:w="9677" w:type="dxa"/>
            <w:gridSpan w:val="5"/>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DB599E2"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Current liabilities</w:t>
            </w:r>
          </w:p>
        </w:tc>
      </w:tr>
      <w:tr w:rsidR="003C51B1" w:rsidRPr="00A31BBA" w14:paraId="7A499C5C"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9A66B39"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Trade payables</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106C57EE"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136</w:t>
            </w: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776005B"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4F8740E"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121</w:t>
            </w: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A89247C"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052ADF69"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500643D"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Income tax payable</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B126AE1"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39</w:t>
            </w: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C9AF0CF"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F152271"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28</w:t>
            </w: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8D742CF"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1570275B"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8C97B50"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Dividends payable</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448C806F"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18</w:t>
            </w: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D27EA07"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F4A083A"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16</w:t>
            </w: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62A7250"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51E41A22"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AA27BB2" w14:textId="77777777" w:rsidR="003C51B1" w:rsidRPr="00A31BBA" w:rsidRDefault="003C51B1" w:rsidP="00883B46">
            <w:pPr>
              <w:pBdr>
                <w:top w:val="nil"/>
                <w:left w:val="nil"/>
                <w:bottom w:val="nil"/>
                <w:right w:val="nil"/>
                <w:between w:val="nil"/>
                <w:bar w:val="nil"/>
              </w:pBdr>
              <w:tabs>
                <w:tab w:val="left" w:pos="708"/>
                <w:tab w:val="left" w:pos="1416"/>
                <w:tab w:val="left" w:pos="2124"/>
              </w:tabs>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 xml:space="preserve">Bank overdraft </w:t>
            </w: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16700088"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w:t>
            </w: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1D122F7"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F375B76"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14</w:t>
            </w: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9BC8FC3"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r>
      <w:tr w:rsidR="003C51B1" w:rsidRPr="00A31BBA" w14:paraId="4C3BE067"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6CB7294"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5F764A5"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EDCCF5A"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193</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280B9F7D"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60F2588C"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179</w:t>
            </w:r>
          </w:p>
        </w:tc>
      </w:tr>
      <w:tr w:rsidR="003C51B1" w:rsidRPr="00A31BBA" w14:paraId="234BDE6D" w14:textId="77777777" w:rsidTr="00883B46">
        <w:trPr>
          <w:trHeight w:val="259"/>
          <w:jc w:val="center"/>
        </w:trPr>
        <w:tc>
          <w:tcPr>
            <w:tcW w:w="428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301CBEB0"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17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9CC35A9"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325"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0A33786D"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1,017</w:t>
            </w:r>
          </w:p>
        </w:tc>
        <w:tc>
          <w:tcPr>
            <w:tcW w:w="1137"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739FB3E1"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1749" w:type="dxa"/>
            <w:tcBorders>
              <w:top w:val="single" w:sz="6" w:space="0" w:color="BFBFBF"/>
              <w:left w:val="single" w:sz="6" w:space="0" w:color="BFBFBF"/>
              <w:bottom w:val="single" w:sz="6" w:space="0" w:color="BFBFBF"/>
              <w:right w:val="single" w:sz="6" w:space="0" w:color="BFBFBF"/>
            </w:tcBorders>
            <w:shd w:val="clear" w:color="auto" w:fill="auto"/>
            <w:tcMar>
              <w:top w:w="0" w:type="dxa"/>
              <w:left w:w="28" w:type="dxa"/>
              <w:bottom w:w="0" w:type="dxa"/>
              <w:right w:w="28" w:type="dxa"/>
            </w:tcMar>
          </w:tcPr>
          <w:p w14:paraId="50C4A71D"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jc w:val="center"/>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871</w:t>
            </w:r>
          </w:p>
        </w:tc>
      </w:tr>
    </w:tbl>
    <w:p w14:paraId="30A0BBBD" w14:textId="77777777" w:rsidR="003C51B1"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Garamond"/>
          <w:b/>
          <w:bCs/>
          <w:sz w:val="28"/>
          <w:szCs w:val="28"/>
          <w:u w:color="000000"/>
          <w:bdr w:val="nil"/>
          <w:lang w:val="en-US" w:eastAsia="en-US"/>
        </w:rPr>
      </w:pPr>
    </w:p>
    <w:p w14:paraId="214F07B8" w14:textId="77777777" w:rsidR="0002556C" w:rsidRDefault="0002556C"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Garamond"/>
          <w:b/>
          <w:bCs/>
          <w:sz w:val="28"/>
          <w:szCs w:val="28"/>
          <w:u w:color="000000"/>
          <w:bdr w:val="nil"/>
          <w:lang w:val="en-US" w:eastAsia="en-US"/>
        </w:rPr>
      </w:pPr>
    </w:p>
    <w:p w14:paraId="6FE7F150" w14:textId="77777777" w:rsidR="009F59F5" w:rsidRDefault="009F59F5"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Garamond"/>
          <w:b/>
          <w:bCs/>
          <w:sz w:val="28"/>
          <w:szCs w:val="28"/>
          <w:u w:color="000000"/>
          <w:bdr w:val="nil"/>
          <w:lang w:val="en-US" w:eastAsia="en-US"/>
        </w:rPr>
      </w:pPr>
    </w:p>
    <w:p w14:paraId="3021713D" w14:textId="77777777" w:rsidR="0002556C" w:rsidRPr="00A31BBA" w:rsidRDefault="0002556C"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Garamond"/>
          <w:b/>
          <w:bCs/>
          <w:sz w:val="28"/>
          <w:szCs w:val="28"/>
          <w:u w:color="000000"/>
          <w:bdr w:val="nil"/>
          <w:lang w:val="en-US" w:eastAsia="en-US"/>
        </w:rPr>
      </w:pPr>
    </w:p>
    <w:p w14:paraId="0E020FA6"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709"/>
        <w:jc w:val="center"/>
        <w:rPr>
          <w:rFonts w:eastAsia="Garamond"/>
          <w:b/>
          <w:bCs/>
          <w:sz w:val="28"/>
          <w:szCs w:val="28"/>
          <w:u w:color="000000"/>
          <w:bdr w:val="nil"/>
          <w:lang w:val="en-US" w:eastAsia="en-US"/>
        </w:rPr>
      </w:pPr>
      <w:r w:rsidRPr="00A31BBA">
        <w:rPr>
          <w:rFonts w:eastAsia="Calibri" w:cs="Calibri"/>
          <w:b/>
          <w:bCs/>
          <w:sz w:val="28"/>
          <w:szCs w:val="28"/>
          <w:u w:color="000000"/>
          <w:bdr w:val="nil"/>
          <w:lang w:val="en-US" w:eastAsia="en-US"/>
        </w:rPr>
        <w:lastRenderedPageBreak/>
        <w:t>Income statement for the year end</w:t>
      </w:r>
      <w:r w:rsidR="0065175A">
        <w:rPr>
          <w:rFonts w:eastAsia="Calibri" w:cs="Calibri"/>
          <w:b/>
          <w:bCs/>
          <w:sz w:val="28"/>
          <w:szCs w:val="28"/>
          <w:u w:color="000000"/>
          <w:bdr w:val="nil"/>
          <w:lang w:val="en-US" w:eastAsia="en-US"/>
        </w:rPr>
        <w:t>ed</w:t>
      </w:r>
      <w:r w:rsidRPr="00A31BBA">
        <w:rPr>
          <w:rFonts w:eastAsia="Calibri" w:cs="Calibri"/>
          <w:b/>
          <w:bCs/>
          <w:sz w:val="28"/>
          <w:szCs w:val="28"/>
          <w:u w:color="000000"/>
          <w:bdr w:val="nil"/>
          <w:lang w:val="en-US" w:eastAsia="en-US"/>
        </w:rPr>
        <w:t xml:space="preserve"> 31</w:t>
      </w:r>
      <w:r w:rsidRPr="00A31BBA">
        <w:rPr>
          <w:rFonts w:eastAsia="Calibri" w:cs="Calibri"/>
          <w:b/>
          <w:bCs/>
          <w:sz w:val="28"/>
          <w:szCs w:val="28"/>
          <w:u w:color="000000"/>
          <w:bdr w:val="nil"/>
          <w:vertAlign w:val="superscript"/>
          <w:lang w:val="en-US" w:eastAsia="en-US"/>
        </w:rPr>
        <w:t>st</w:t>
      </w:r>
      <w:r w:rsidRPr="00A31BBA">
        <w:rPr>
          <w:rFonts w:eastAsia="Calibri" w:cs="Calibri"/>
          <w:b/>
          <w:bCs/>
          <w:sz w:val="28"/>
          <w:szCs w:val="28"/>
          <w:u w:color="000000"/>
          <w:bdr w:val="nil"/>
          <w:lang w:val="en-US" w:eastAsia="en-US"/>
        </w:rPr>
        <w:t xml:space="preserve"> December 2015</w:t>
      </w:r>
    </w:p>
    <w:tbl>
      <w:tblPr>
        <w:tblW w:w="7113"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202"/>
        <w:gridCol w:w="2911"/>
      </w:tblGrid>
      <w:tr w:rsidR="003C51B1" w:rsidRPr="00A31BBA" w14:paraId="124ADF2D" w14:textId="77777777" w:rsidTr="00883B46">
        <w:trPr>
          <w:trHeight w:val="199"/>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D9D9D9"/>
            <w:tcMar>
              <w:top w:w="0" w:type="dxa"/>
              <w:left w:w="28" w:type="dxa"/>
              <w:bottom w:w="0" w:type="dxa"/>
              <w:right w:w="28" w:type="dxa"/>
            </w:tcMar>
          </w:tcPr>
          <w:p w14:paraId="001F08A8" w14:textId="77777777" w:rsidR="003C51B1" w:rsidRPr="00A31BBA" w:rsidRDefault="003C51B1" w:rsidP="00883B46">
            <w:pPr>
              <w:pBdr>
                <w:top w:val="nil"/>
                <w:left w:val="nil"/>
                <w:bottom w:val="nil"/>
                <w:right w:val="nil"/>
                <w:between w:val="nil"/>
                <w:bar w:val="nil"/>
              </w:pBdr>
              <w:spacing w:line="240" w:lineRule="atLeast"/>
              <w:ind w:firstLine="709"/>
              <w:rPr>
                <w:rFonts w:eastAsia="Calibri" w:cs="Calibri"/>
                <w:sz w:val="28"/>
                <w:szCs w:val="28"/>
                <w:u w:color="000000"/>
                <w:bdr w:val="nil"/>
                <w:lang w:val="en-US" w:eastAsia="en-US"/>
              </w:rPr>
            </w:pPr>
          </w:p>
        </w:tc>
        <w:tc>
          <w:tcPr>
            <w:tcW w:w="2911" w:type="dxa"/>
            <w:tcBorders>
              <w:top w:val="single" w:sz="4" w:space="0" w:color="BFBFBF"/>
              <w:left w:val="single" w:sz="4" w:space="0" w:color="BFBFBF"/>
              <w:bottom w:val="single" w:sz="4" w:space="0" w:color="BFBFBF"/>
              <w:right w:val="single" w:sz="4" w:space="0" w:color="BFBFBF"/>
            </w:tcBorders>
            <w:shd w:val="clear" w:color="auto" w:fill="D9D9D9"/>
            <w:tcMar>
              <w:top w:w="0" w:type="dxa"/>
              <w:left w:w="28" w:type="dxa"/>
              <w:bottom w:w="0" w:type="dxa"/>
              <w:right w:w="28" w:type="dxa"/>
            </w:tcMar>
          </w:tcPr>
          <w:p w14:paraId="419BD518"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 thousands of hryvnias</w:t>
            </w:r>
          </w:p>
        </w:tc>
      </w:tr>
      <w:tr w:rsidR="003C51B1" w:rsidRPr="00A31BBA" w14:paraId="6DCC0FD4"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D6080F6"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Sales revenue</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A403F5F"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600</w:t>
            </w:r>
          </w:p>
        </w:tc>
      </w:tr>
      <w:tr w:rsidR="003C51B1" w:rsidRPr="00A31BBA" w14:paraId="7093672F"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48881C92"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Cost of sales</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28BCDDBD"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(319)</w:t>
            </w:r>
          </w:p>
        </w:tc>
      </w:tr>
      <w:tr w:rsidR="003C51B1" w:rsidRPr="00A31BBA" w14:paraId="1F6D903F"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61EA79DF"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Gross profit</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B524D54"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281</w:t>
            </w:r>
          </w:p>
        </w:tc>
      </w:tr>
      <w:tr w:rsidR="003C51B1" w:rsidRPr="00A31BBA" w14:paraId="3756FB9D"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4943769C"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Other operating expenses</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3C2A2194"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(186)</w:t>
            </w:r>
          </w:p>
        </w:tc>
      </w:tr>
      <w:tr w:rsidR="003C51B1" w:rsidRPr="00A31BBA" w14:paraId="6A74D24B"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1EFF8F80"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Operating profit</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4D30F6B1"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95</w:t>
            </w:r>
          </w:p>
        </w:tc>
      </w:tr>
      <w:tr w:rsidR="003C51B1" w:rsidRPr="00A31BBA" w14:paraId="7DDD58D8"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1EB479F7"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Interest payable</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0CB7AFBB"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(8)</w:t>
            </w:r>
          </w:p>
        </w:tc>
      </w:tr>
      <w:tr w:rsidR="003C51B1" w:rsidRPr="00A31BBA" w14:paraId="3938C350"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2FA65459"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Profit before tax</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1AFEBA2B"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87</w:t>
            </w:r>
          </w:p>
        </w:tc>
      </w:tr>
      <w:tr w:rsidR="003C51B1" w:rsidRPr="00A31BBA" w14:paraId="72866823"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1A996AC"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 xml:space="preserve">Income tax </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20630AE"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(16)</w:t>
            </w:r>
          </w:p>
        </w:tc>
      </w:tr>
      <w:tr w:rsidR="003C51B1" w:rsidRPr="00A31BBA" w14:paraId="2F9DDCA0"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2955FA55"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Profit after tax</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62714CD8"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71</w:t>
            </w:r>
          </w:p>
        </w:tc>
      </w:tr>
      <w:tr w:rsidR="003C51B1" w:rsidRPr="00A31BBA" w14:paraId="3153DFA7"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5625BE04"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Dividends</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00F77BC5"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(24)</w:t>
            </w:r>
          </w:p>
        </w:tc>
      </w:tr>
      <w:tr w:rsidR="003C51B1" w:rsidRPr="00A31BBA" w14:paraId="2F808138" w14:textId="77777777" w:rsidTr="00883B46">
        <w:trPr>
          <w:trHeight w:val="250"/>
          <w:jc w:val="center"/>
        </w:trPr>
        <w:tc>
          <w:tcPr>
            <w:tcW w:w="4202"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79B7CE27" w14:textId="77777777" w:rsidR="003C51B1" w:rsidRPr="00A31BBA" w:rsidRDefault="003C51B1" w:rsidP="00883B46">
            <w:pPr>
              <w:pBdr>
                <w:top w:val="nil"/>
                <w:left w:val="nil"/>
                <w:bottom w:val="nil"/>
                <w:right w:val="nil"/>
                <w:between w:val="nil"/>
                <w:bar w:val="nil"/>
              </w:pBdr>
              <w:spacing w:line="240" w:lineRule="atLeast"/>
              <w:rPr>
                <w:rFonts w:eastAsia="Calibri" w:cs="Calibri"/>
                <w:sz w:val="28"/>
                <w:szCs w:val="28"/>
                <w:u w:color="000000"/>
                <w:bdr w:val="nil"/>
                <w:lang w:val="en-US" w:eastAsia="en-US"/>
              </w:rPr>
            </w:pPr>
            <w:r w:rsidRPr="00A31BBA">
              <w:rPr>
                <w:rFonts w:eastAsia="Calibri" w:cs="Calibri"/>
                <w:b/>
                <w:bCs/>
                <w:sz w:val="28"/>
                <w:szCs w:val="28"/>
                <w:u w:color="000000"/>
                <w:bdr w:val="nil"/>
                <w:lang w:val="en-US" w:eastAsia="en-US"/>
              </w:rPr>
              <w:t>Retained profit for the year</w:t>
            </w:r>
          </w:p>
        </w:tc>
        <w:tc>
          <w:tcPr>
            <w:tcW w:w="2911" w:type="dxa"/>
            <w:tcBorders>
              <w:top w:val="single" w:sz="4" w:space="0" w:color="BFBFBF"/>
              <w:left w:val="single" w:sz="4" w:space="0" w:color="BFBFBF"/>
              <w:bottom w:val="single" w:sz="4" w:space="0" w:color="BFBFBF"/>
              <w:right w:val="single" w:sz="4" w:space="0" w:color="BFBFBF"/>
            </w:tcBorders>
            <w:shd w:val="clear" w:color="auto" w:fill="auto"/>
            <w:tcMar>
              <w:top w:w="0" w:type="dxa"/>
              <w:left w:w="28" w:type="dxa"/>
              <w:bottom w:w="0" w:type="dxa"/>
              <w:right w:w="28" w:type="dxa"/>
            </w:tcMar>
          </w:tcPr>
          <w:p w14:paraId="1B6C9443" w14:textId="77777777" w:rsidR="003C51B1" w:rsidRPr="00A31BBA" w:rsidRDefault="003C51B1" w:rsidP="00883B46">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cs="Calibri"/>
                <w:sz w:val="28"/>
                <w:szCs w:val="28"/>
                <w:u w:color="000000"/>
                <w:bdr w:val="nil"/>
                <w:lang w:val="en-US" w:eastAsia="en-US"/>
              </w:rPr>
            </w:pPr>
            <w:r w:rsidRPr="00A31BBA">
              <w:rPr>
                <w:rFonts w:eastAsia="Calibri" w:cs="Calibri"/>
                <w:sz w:val="28"/>
                <w:szCs w:val="28"/>
                <w:u w:color="000000"/>
                <w:bdr w:val="nil"/>
                <w:lang w:val="en-US" w:eastAsia="en-US"/>
              </w:rPr>
              <w:t>47</w:t>
            </w:r>
          </w:p>
        </w:tc>
      </w:tr>
    </w:tbl>
    <w:p w14:paraId="6FEA01A1"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rPr>
          <w:rFonts w:eastAsia="Garamond"/>
          <w:sz w:val="28"/>
          <w:szCs w:val="28"/>
          <w:u w:color="000000"/>
          <w:bdr w:val="nil"/>
          <w:lang w:val="en-US" w:eastAsia="en-US"/>
        </w:rPr>
      </w:pPr>
    </w:p>
    <w:p w14:paraId="7F4D77D8"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426"/>
        <w:rPr>
          <w:rFonts w:eastAsia="Garamond"/>
          <w:sz w:val="28"/>
          <w:szCs w:val="28"/>
          <w:u w:color="000000"/>
          <w:bdr w:val="nil"/>
          <w:lang w:val="en-US" w:eastAsia="en-US"/>
        </w:rPr>
      </w:pPr>
      <w:r w:rsidRPr="00A31BBA">
        <w:rPr>
          <w:rFonts w:eastAsia="Calibri" w:cs="Calibri"/>
          <w:sz w:val="28"/>
          <w:szCs w:val="28"/>
          <w:u w:color="000000"/>
          <w:bdr w:val="nil"/>
          <w:lang w:val="en-US" w:eastAsia="en-US"/>
        </w:rPr>
        <w:t xml:space="preserve">Additional information: </w:t>
      </w:r>
      <w:r w:rsidR="0065175A">
        <w:rPr>
          <w:rFonts w:eastAsia="Calibri" w:cs="Calibri"/>
          <w:sz w:val="28"/>
          <w:szCs w:val="28"/>
          <w:u w:color="000000"/>
          <w:bdr w:val="nil"/>
          <w:lang w:val="en-US" w:eastAsia="en-US"/>
        </w:rPr>
        <w:t>o</w:t>
      </w:r>
      <w:r w:rsidRPr="00A31BBA">
        <w:rPr>
          <w:rFonts w:eastAsia="Calibri" w:cs="Calibri"/>
          <w:sz w:val="28"/>
          <w:szCs w:val="28"/>
          <w:u w:color="000000"/>
          <w:bdr w:val="nil"/>
          <w:lang w:val="en-US" w:eastAsia="en-US"/>
        </w:rPr>
        <w:t>ther operating expenses include depreciation of UAH 42,000. Prepare a statement of cash flows in accordance with IAS 7, using the indirect method.</w:t>
      </w:r>
    </w:p>
    <w:p w14:paraId="59FB8B22"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22158653" w14:textId="77777777" w:rsidR="003C51B1" w:rsidRPr="00AC46AE" w:rsidRDefault="00AC46AE" w:rsidP="006F749C">
      <w:pPr>
        <w:pStyle w:val="ListParagraph"/>
        <w:numPr>
          <w:ilvl w:val="0"/>
          <w:numId w:val="175"/>
        </w:numPr>
        <w:spacing w:line="240" w:lineRule="atLeast"/>
        <w:jc w:val="both"/>
        <w:rPr>
          <w:rFonts w:ascii="Garamond" w:hAnsi="Garamond"/>
          <w:szCs w:val="28"/>
          <w:lang w:val="en-US" w:eastAsia="ru-RU"/>
        </w:rPr>
      </w:pPr>
      <w:r w:rsidRPr="00AC46AE">
        <w:rPr>
          <w:rFonts w:ascii="Garamond" w:hAnsi="Garamond"/>
          <w:szCs w:val="28"/>
          <w:lang w:val="en-US" w:eastAsia="ru-RU"/>
        </w:rPr>
        <w:t xml:space="preserve">The company plans to produce 2,500 units, cost of sales </w:t>
      </w:r>
      <w:r w:rsidR="0065175A">
        <w:rPr>
          <w:rFonts w:cs="Calibri"/>
          <w:szCs w:val="28"/>
          <w:bdr w:val="none" w:sz="0" w:space="0" w:color="auto" w:frame="1"/>
          <w:lang w:val="en-US"/>
        </w:rPr>
        <w:t>–</w:t>
      </w:r>
      <w:r w:rsidRPr="00AC46AE">
        <w:rPr>
          <w:rFonts w:ascii="Garamond" w:hAnsi="Garamond"/>
          <w:szCs w:val="28"/>
          <w:lang w:val="en-US" w:eastAsia="ru-RU"/>
        </w:rPr>
        <w:t xml:space="preserve"> 350 UAH per unit, the level of profitability </w:t>
      </w:r>
      <w:r w:rsidR="0065175A">
        <w:rPr>
          <w:rFonts w:cs="Calibri"/>
          <w:szCs w:val="28"/>
          <w:bdr w:val="none" w:sz="0" w:space="0" w:color="auto" w:frame="1"/>
          <w:lang w:val="en-US"/>
        </w:rPr>
        <w:t>–</w:t>
      </w:r>
      <w:r w:rsidRPr="00AC46AE">
        <w:rPr>
          <w:rFonts w:ascii="Garamond" w:hAnsi="Garamond"/>
          <w:szCs w:val="28"/>
          <w:lang w:val="en-US" w:eastAsia="ru-RU"/>
        </w:rPr>
        <w:t xml:space="preserve"> 25</w:t>
      </w:r>
      <w:r w:rsidR="0065175A">
        <w:rPr>
          <w:rFonts w:ascii="Garamond" w:hAnsi="Garamond"/>
          <w:szCs w:val="28"/>
          <w:lang w:val="en-US" w:eastAsia="ru-RU"/>
        </w:rPr>
        <w:t xml:space="preserve"> </w:t>
      </w:r>
      <w:r w:rsidRPr="00AC46AE">
        <w:rPr>
          <w:rFonts w:ascii="Garamond" w:hAnsi="Garamond"/>
          <w:szCs w:val="28"/>
          <w:lang w:val="en-US" w:eastAsia="ru-RU"/>
        </w:rPr>
        <w:t xml:space="preserve">%. Calculate the net sales and gross profit, if the company </w:t>
      </w:r>
      <w:r w:rsidR="003C1704">
        <w:rPr>
          <w:rFonts w:ascii="Garamond" w:hAnsi="Garamond"/>
          <w:szCs w:val="28"/>
          <w:lang w:val="en-US" w:eastAsia="ru-RU"/>
        </w:rPr>
        <w:t xml:space="preserve">is </w:t>
      </w:r>
      <w:r w:rsidRPr="00AC46AE">
        <w:rPr>
          <w:rFonts w:ascii="Garamond" w:hAnsi="Garamond"/>
          <w:szCs w:val="28"/>
          <w:lang w:val="en-US" w:eastAsia="ru-RU"/>
        </w:rPr>
        <w:t xml:space="preserve">registered as </w:t>
      </w:r>
      <w:r w:rsidR="003C1704">
        <w:rPr>
          <w:rFonts w:ascii="Garamond" w:hAnsi="Garamond"/>
          <w:szCs w:val="28"/>
          <w:lang w:val="en-US" w:eastAsia="ru-RU"/>
        </w:rPr>
        <w:t xml:space="preserve">a </w:t>
      </w:r>
      <w:r w:rsidRPr="00AC46AE">
        <w:rPr>
          <w:rFonts w:ascii="Garamond" w:hAnsi="Garamond"/>
          <w:szCs w:val="28"/>
          <w:lang w:val="en-US" w:eastAsia="ru-RU"/>
        </w:rPr>
        <w:t>VAT payer.</w:t>
      </w:r>
    </w:p>
    <w:p w14:paraId="2ECED201" w14:textId="77777777" w:rsidR="003C51B1" w:rsidRPr="00A31BBA"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4F5B3E83" w14:textId="77777777" w:rsidR="003C51B1" w:rsidRPr="003C51B1"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u w:color="000000"/>
          <w:bdr w:val="nil"/>
          <w:lang w:val="en-US" w:eastAsia="en-US"/>
        </w:rPr>
      </w:pPr>
    </w:p>
    <w:p w14:paraId="7A7A12BC" w14:textId="77777777" w:rsidR="003C51B1" w:rsidRPr="003C51B1"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u w:color="000000"/>
          <w:bdr w:val="nil"/>
          <w:lang w:val="en-US" w:eastAsia="en-US"/>
        </w:rPr>
      </w:pPr>
    </w:p>
    <w:p w14:paraId="382DACC2" w14:textId="77777777" w:rsidR="003C51B1" w:rsidRPr="003C51B1" w:rsidRDefault="003C51B1" w:rsidP="00BF4B7E">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u w:color="000000"/>
          <w:bdr w:val="nil"/>
          <w:lang w:val="en-US" w:eastAsia="en-US"/>
        </w:rPr>
      </w:pPr>
    </w:p>
    <w:p w14:paraId="4B496F0F"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5B367175"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52AB7BA1"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17B2BF6F"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3F66C709"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64EE8992"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2E20960F"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33298621"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5B0B812B"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63673F03"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0AE9419E"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3186F09D"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20C982F1"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6DB10B19"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3C03BD16"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eastAsia="Garamond"/>
          <w:u w:color="000000"/>
          <w:bdr w:val="nil"/>
          <w:lang w:val="en-US" w:eastAsia="en-US"/>
        </w:rPr>
      </w:pPr>
    </w:p>
    <w:p w14:paraId="7679CA55" w14:textId="77777777" w:rsidR="003C51B1" w:rsidRPr="002A7A75" w:rsidRDefault="003C51B1" w:rsidP="00510732">
      <w:pPr>
        <w:pStyle w:val="end2"/>
        <w:rPr>
          <w:rFonts w:eastAsia="Garamond"/>
          <w:u w:color="000000"/>
          <w:bdr w:val="nil"/>
          <w:lang w:eastAsia="en-US"/>
        </w:rPr>
      </w:pPr>
      <w:r w:rsidRPr="002A7A75">
        <w:rPr>
          <w:rFonts w:eastAsia="Calibri"/>
          <w:u w:color="000000"/>
          <w:bdr w:val="nil"/>
          <w:lang w:eastAsia="en-US"/>
        </w:rPr>
        <w:lastRenderedPageBreak/>
        <w:t xml:space="preserve">Appendix </w:t>
      </w:r>
      <w:r w:rsidR="002A7A75">
        <w:rPr>
          <w:rFonts w:eastAsia="Calibri"/>
          <w:u w:color="000000"/>
          <w:bdr w:val="nil"/>
          <w:lang w:eastAsia="en-US"/>
        </w:rPr>
        <w:t>A</w:t>
      </w:r>
    </w:p>
    <w:p w14:paraId="39541AD0" w14:textId="77777777" w:rsidR="003C51B1" w:rsidRPr="002A7A75" w:rsidRDefault="003C51B1" w:rsidP="003C170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rPr>
          <w:rFonts w:eastAsia="Garamond"/>
          <w:b/>
          <w:bCs/>
          <w:sz w:val="28"/>
          <w:u w:color="000000"/>
          <w:bdr w:val="nil"/>
          <w:lang w:val="en-US" w:eastAsia="en-US"/>
        </w:rPr>
      </w:pPr>
      <w:r w:rsidRPr="002A7A75">
        <w:rPr>
          <w:rFonts w:eastAsia="Calibri" w:hAnsi="Calibri" w:cs="Calibri"/>
          <w:b/>
          <w:bCs/>
          <w:sz w:val="28"/>
          <w:u w:color="000000"/>
          <w:bdr w:val="nil"/>
          <w:lang w:val="en-US" w:eastAsia="en-US"/>
        </w:rPr>
        <w:t xml:space="preserve">Table </w:t>
      </w:r>
      <w:r w:rsidR="002A7A75">
        <w:rPr>
          <w:rFonts w:eastAsia="Calibri" w:hAnsi="Calibri" w:cs="Calibri"/>
          <w:b/>
          <w:bCs/>
          <w:sz w:val="28"/>
          <w:u w:color="000000"/>
          <w:bdr w:val="nil"/>
          <w:lang w:val="en-US" w:eastAsia="en-US"/>
        </w:rPr>
        <w:t>A</w:t>
      </w:r>
      <w:r w:rsidRPr="002A7A75">
        <w:rPr>
          <w:rFonts w:eastAsia="Calibri" w:hAnsi="Calibri" w:cs="Calibri"/>
          <w:b/>
          <w:bCs/>
          <w:sz w:val="28"/>
          <w:u w:color="000000"/>
          <w:bdr w:val="nil"/>
          <w:lang w:val="en-US" w:eastAsia="en-US"/>
        </w:rPr>
        <w:t>.1</w:t>
      </w:r>
      <w:r w:rsidR="0002556C">
        <w:rPr>
          <w:rFonts w:eastAsia="Garamond"/>
          <w:b/>
          <w:bCs/>
          <w:sz w:val="28"/>
          <w:u w:color="000000"/>
          <w:bdr w:val="nil"/>
          <w:lang w:val="en-US" w:eastAsia="en-US"/>
        </w:rPr>
        <w:t xml:space="preserve"> </w:t>
      </w:r>
      <w:r w:rsidR="0002556C" w:rsidRPr="00EC1B39">
        <w:rPr>
          <w:rFonts w:eastAsia="Calibri" w:cs="Calibri"/>
          <w:sz w:val="28"/>
          <w:szCs w:val="28"/>
          <w:bdr w:val="none" w:sz="0" w:space="0" w:color="auto" w:frame="1"/>
          <w:lang w:val="en-US"/>
        </w:rPr>
        <w:t>–</w:t>
      </w:r>
      <w:r w:rsidR="0002556C">
        <w:rPr>
          <w:rFonts w:eastAsia="Calibri" w:cs="Calibri"/>
          <w:sz w:val="28"/>
          <w:szCs w:val="28"/>
          <w:bdr w:val="none" w:sz="0" w:space="0" w:color="auto" w:frame="1"/>
          <w:lang w:val="en-US"/>
        </w:rPr>
        <w:t xml:space="preserve"> </w:t>
      </w:r>
      <w:r w:rsidRPr="002A7A75">
        <w:rPr>
          <w:rFonts w:eastAsia="Calibri" w:hAnsi="Calibri" w:cs="Calibri"/>
          <w:b/>
          <w:bCs/>
          <w:sz w:val="28"/>
          <w:u w:color="000000"/>
          <w:bdr w:val="nil"/>
          <w:lang w:val="en-US" w:eastAsia="en-US"/>
        </w:rPr>
        <w:t>List of important financial ratios for financial market analysis</w:t>
      </w:r>
    </w:p>
    <w:tbl>
      <w:tblPr>
        <w:tblW w:w="5000"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421"/>
        <w:gridCol w:w="1545"/>
        <w:gridCol w:w="1436"/>
        <w:gridCol w:w="1122"/>
        <w:gridCol w:w="155"/>
        <w:gridCol w:w="1230"/>
        <w:gridCol w:w="1377"/>
        <w:gridCol w:w="1275"/>
      </w:tblGrid>
      <w:tr w:rsidR="003C51B1" w:rsidRPr="002A7A75" w14:paraId="31D32DE3" w14:textId="77777777" w:rsidTr="0002556C">
        <w:trPr>
          <w:trHeight w:val="20"/>
          <w:jc w:val="center"/>
        </w:trPr>
        <w:tc>
          <w:tcPr>
            <w:tcW w:w="743" w:type="pct"/>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A9561AC" w14:textId="77777777" w:rsidR="003C51B1" w:rsidRPr="002A7A75" w:rsidRDefault="003C51B1" w:rsidP="002A7A75">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i/>
                <w:iCs/>
                <w:sz w:val="22"/>
                <w:szCs w:val="20"/>
                <w:u w:color="000000"/>
                <w:bdr w:val="nil"/>
                <w:lang w:val="en-US" w:eastAsia="en-US"/>
              </w:rPr>
              <w:t>Factors</w:t>
            </w:r>
          </w:p>
        </w:tc>
        <w:tc>
          <w:tcPr>
            <w:tcW w:w="3590" w:type="pct"/>
            <w:gridSpan w:val="6"/>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7FD0E197" w14:textId="77777777" w:rsidR="003C51B1" w:rsidRPr="002A7A75" w:rsidRDefault="0065175A"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s>
              <w:spacing w:line="240" w:lineRule="atLeast"/>
              <w:jc w:val="center"/>
              <w:rPr>
                <w:rFonts w:ascii="Calibri" w:eastAsia="Calibri" w:hAnsi="Calibri" w:cs="Calibri"/>
                <w:sz w:val="22"/>
                <w:u w:color="000000"/>
                <w:bdr w:val="nil"/>
                <w:lang w:val="en-US" w:eastAsia="en-US"/>
              </w:rPr>
            </w:pPr>
            <w:r>
              <w:rPr>
                <w:rFonts w:eastAsia="Garamond"/>
                <w:b/>
                <w:bCs/>
                <w:i/>
                <w:iCs/>
                <w:sz w:val="22"/>
                <w:szCs w:val="20"/>
                <w:u w:color="000000"/>
                <w:bdr w:val="nil"/>
                <w:lang w:val="en-US" w:eastAsia="en-US"/>
              </w:rPr>
              <w:tab/>
              <w:t>Companies that operate</w:t>
            </w:r>
            <w:r w:rsidR="003C51B1" w:rsidRPr="002A7A75">
              <w:rPr>
                <w:rFonts w:eastAsia="Garamond"/>
                <w:b/>
                <w:bCs/>
                <w:i/>
                <w:iCs/>
                <w:sz w:val="22"/>
                <w:szCs w:val="20"/>
                <w:u w:color="000000"/>
                <w:bdr w:val="nil"/>
                <w:lang w:val="en-US" w:eastAsia="en-US"/>
              </w:rPr>
              <w:t xml:space="preserve"> on the basis of collective property</w:t>
            </w:r>
          </w:p>
        </w:tc>
        <w:tc>
          <w:tcPr>
            <w:tcW w:w="667" w:type="pct"/>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0B6B6375"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b/>
                <w:bCs/>
                <w:i/>
                <w:iCs/>
                <w:sz w:val="22"/>
                <w:szCs w:val="20"/>
                <w:u w:color="000000"/>
                <w:bdr w:val="nil"/>
                <w:lang w:val="en-US" w:eastAsia="en-US"/>
              </w:rPr>
              <w:t>Privately-owned company</w:t>
            </w:r>
          </w:p>
        </w:tc>
      </w:tr>
      <w:tr w:rsidR="003C51B1" w:rsidRPr="002A7A75" w14:paraId="3DC2B5BD" w14:textId="77777777" w:rsidTr="0002556C">
        <w:trPr>
          <w:trHeight w:val="250"/>
          <w:jc w:val="center"/>
        </w:trPr>
        <w:tc>
          <w:tcPr>
            <w:tcW w:w="743" w:type="pct"/>
            <w:vMerge/>
            <w:tcBorders>
              <w:top w:val="single" w:sz="4" w:space="0" w:color="000000"/>
              <w:left w:val="single" w:sz="4" w:space="0" w:color="000000"/>
              <w:bottom w:val="single" w:sz="4" w:space="0" w:color="000000"/>
              <w:right w:val="single" w:sz="4" w:space="0" w:color="000000"/>
            </w:tcBorders>
            <w:shd w:val="clear" w:color="auto" w:fill="auto"/>
          </w:tcPr>
          <w:p w14:paraId="0D9421A7" w14:textId="77777777" w:rsidR="003C51B1" w:rsidRPr="002A7A75" w:rsidRDefault="003C51B1" w:rsidP="002A7A75">
            <w:pPr>
              <w:pBdr>
                <w:top w:val="nil"/>
                <w:left w:val="nil"/>
                <w:bottom w:val="nil"/>
                <w:right w:val="nil"/>
                <w:between w:val="nil"/>
                <w:bar w:val="nil"/>
              </w:pBdr>
              <w:spacing w:line="240" w:lineRule="atLeast"/>
              <w:ind w:firstLine="709"/>
              <w:rPr>
                <w:rFonts w:ascii="Calibri" w:eastAsia="Calibri" w:hAnsi="Calibri" w:cs="Calibri"/>
                <w:sz w:val="22"/>
                <w:u w:color="000000"/>
                <w:bdr w:val="nil"/>
                <w:lang w:val="en-US" w:eastAsia="en-US"/>
              </w:rPr>
            </w:pPr>
          </w:p>
        </w:tc>
        <w:tc>
          <w:tcPr>
            <w:tcW w:w="808" w:type="pct"/>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06DBC263"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b/>
                <w:bCs/>
                <w:i/>
                <w:iCs/>
                <w:sz w:val="22"/>
                <w:szCs w:val="20"/>
                <w:u w:color="000000"/>
                <w:bdr w:val="nil"/>
                <w:lang w:val="en-US" w:eastAsia="en-US"/>
              </w:rPr>
              <w:t>Public Joint Stock Company</w:t>
            </w:r>
          </w:p>
        </w:tc>
        <w:tc>
          <w:tcPr>
            <w:tcW w:w="2782" w:type="pct"/>
            <w:gridSpan w:val="5"/>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7BD04B7" w14:textId="77777777" w:rsidR="003C51B1" w:rsidRPr="002A7A75" w:rsidRDefault="003C51B1" w:rsidP="002A7A75">
            <w:pPr>
              <w:widowControl w:val="0"/>
              <w:pBdr>
                <w:top w:val="nil"/>
                <w:left w:val="nil"/>
                <w:bottom w:val="nil"/>
                <w:right w:val="nil"/>
                <w:between w:val="nil"/>
                <w:bar w:val="nil"/>
              </w:pBdr>
              <w:spacing w:line="240" w:lineRule="atLeast"/>
              <w:jc w:val="center"/>
              <w:rPr>
                <w:rFonts w:ascii="Calibri" w:eastAsia="Calibri" w:hAnsi="Calibri" w:cs="Calibri"/>
                <w:sz w:val="22"/>
                <w:u w:color="000000"/>
                <w:bdr w:val="nil"/>
                <w:lang w:val="en-US" w:eastAsia="en-US"/>
              </w:rPr>
            </w:pPr>
            <w:r w:rsidRPr="002A7A75">
              <w:rPr>
                <w:rFonts w:eastAsia="Calibri" w:hAnsi="Calibri" w:cs="Calibri"/>
                <w:b/>
                <w:bCs/>
                <w:i/>
                <w:iCs/>
                <w:sz w:val="22"/>
                <w:szCs w:val="20"/>
                <w:u w:color="000000"/>
                <w:bdr w:val="nil"/>
                <w:lang w:val="en-US" w:eastAsia="en-US"/>
              </w:rPr>
              <w:t>Company</w:t>
            </w:r>
          </w:p>
        </w:tc>
        <w:tc>
          <w:tcPr>
            <w:tcW w:w="667" w:type="pct"/>
            <w:vMerge/>
            <w:tcBorders>
              <w:top w:val="single" w:sz="4" w:space="0" w:color="000000"/>
              <w:left w:val="single" w:sz="4" w:space="0" w:color="000000"/>
              <w:bottom w:val="single" w:sz="4" w:space="0" w:color="000000"/>
              <w:right w:val="single" w:sz="4" w:space="0" w:color="000000"/>
            </w:tcBorders>
            <w:shd w:val="clear" w:color="auto" w:fill="auto"/>
          </w:tcPr>
          <w:p w14:paraId="696AB586" w14:textId="77777777" w:rsidR="003C51B1" w:rsidRPr="002A7A75" w:rsidRDefault="003C51B1" w:rsidP="002A7A75">
            <w:pPr>
              <w:pBdr>
                <w:top w:val="nil"/>
                <w:left w:val="nil"/>
                <w:bottom w:val="nil"/>
                <w:right w:val="nil"/>
                <w:between w:val="nil"/>
                <w:bar w:val="nil"/>
              </w:pBdr>
              <w:spacing w:line="240" w:lineRule="atLeast"/>
              <w:ind w:firstLine="709"/>
              <w:rPr>
                <w:rFonts w:ascii="Calibri" w:eastAsia="Calibri" w:hAnsi="Calibri" w:cs="Calibri"/>
                <w:sz w:val="22"/>
                <w:u w:color="000000"/>
                <w:bdr w:val="nil"/>
                <w:lang w:val="en-US" w:eastAsia="en-US"/>
              </w:rPr>
            </w:pPr>
          </w:p>
        </w:tc>
      </w:tr>
      <w:tr w:rsidR="003C51B1" w:rsidRPr="002A7A75" w14:paraId="0FEEE05E" w14:textId="77777777" w:rsidTr="0002556C">
        <w:trPr>
          <w:trHeight w:val="490"/>
          <w:jc w:val="center"/>
        </w:trPr>
        <w:tc>
          <w:tcPr>
            <w:tcW w:w="743" w:type="pct"/>
            <w:vMerge/>
            <w:tcBorders>
              <w:top w:val="single" w:sz="4" w:space="0" w:color="000000"/>
              <w:left w:val="single" w:sz="4" w:space="0" w:color="000000"/>
              <w:bottom w:val="single" w:sz="4" w:space="0" w:color="000000"/>
              <w:right w:val="single" w:sz="4" w:space="0" w:color="000000"/>
            </w:tcBorders>
            <w:shd w:val="clear" w:color="auto" w:fill="auto"/>
          </w:tcPr>
          <w:p w14:paraId="71C2E840" w14:textId="77777777" w:rsidR="003C51B1" w:rsidRPr="002A7A75" w:rsidRDefault="003C51B1" w:rsidP="002A7A75">
            <w:pPr>
              <w:pBdr>
                <w:top w:val="nil"/>
                <w:left w:val="nil"/>
                <w:bottom w:val="nil"/>
                <w:right w:val="nil"/>
                <w:between w:val="nil"/>
                <w:bar w:val="nil"/>
              </w:pBdr>
              <w:spacing w:line="240" w:lineRule="atLeast"/>
              <w:ind w:firstLine="709"/>
              <w:rPr>
                <w:rFonts w:ascii="Calibri" w:eastAsia="Calibri" w:hAnsi="Calibri" w:cs="Calibri"/>
                <w:sz w:val="22"/>
                <w:u w:color="000000"/>
                <w:bdr w:val="nil"/>
                <w:lang w:val="en-US" w:eastAsia="en-US"/>
              </w:rPr>
            </w:pPr>
          </w:p>
        </w:tc>
        <w:tc>
          <w:tcPr>
            <w:tcW w:w="808" w:type="pct"/>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D54E239" w14:textId="77777777" w:rsidR="003C51B1" w:rsidRPr="002A7A75" w:rsidRDefault="003C51B1" w:rsidP="002A7A75">
            <w:pPr>
              <w:pBdr>
                <w:top w:val="nil"/>
                <w:left w:val="nil"/>
                <w:bottom w:val="nil"/>
                <w:right w:val="nil"/>
                <w:between w:val="nil"/>
                <w:bar w:val="nil"/>
              </w:pBdr>
              <w:spacing w:line="240" w:lineRule="atLeast"/>
              <w:ind w:firstLine="709"/>
              <w:rPr>
                <w:rFonts w:ascii="Calibri" w:eastAsia="Calibri" w:hAnsi="Calibri" w:cs="Calibri"/>
                <w:sz w:val="22"/>
                <w:u w:color="000000"/>
                <w:bdr w:val="nil"/>
                <w:lang w:val="en-US" w:eastAsia="en-US"/>
              </w:rPr>
            </w:pPr>
          </w:p>
        </w:tc>
        <w:tc>
          <w:tcPr>
            <w:tcW w:w="75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C779208"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b/>
                <w:bCs/>
                <w:i/>
                <w:iCs/>
                <w:sz w:val="22"/>
                <w:szCs w:val="20"/>
                <w:u w:color="000000"/>
                <w:bdr w:val="nil"/>
                <w:lang w:val="en-US" w:eastAsia="en-US"/>
              </w:rPr>
              <w:t>Limited Liability</w:t>
            </w:r>
          </w:p>
        </w:tc>
        <w:tc>
          <w:tcPr>
            <w:tcW w:w="668" w:type="pct"/>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229F0E8"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b/>
                <w:bCs/>
                <w:i/>
                <w:iCs/>
                <w:sz w:val="22"/>
                <w:szCs w:val="20"/>
                <w:u w:color="000000"/>
                <w:bdr w:val="nil"/>
                <w:lang w:val="en-US" w:eastAsia="en-US"/>
              </w:rPr>
              <w:t>Additional Liability</w:t>
            </w:r>
          </w:p>
        </w:tc>
        <w:tc>
          <w:tcPr>
            <w:tcW w:w="64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0E0BD05F"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b/>
                <w:bCs/>
                <w:i/>
                <w:iCs/>
                <w:sz w:val="22"/>
                <w:szCs w:val="20"/>
                <w:u w:color="000000"/>
                <w:bdr w:val="nil"/>
                <w:lang w:val="en-US" w:eastAsia="en-US"/>
              </w:rPr>
              <w:t>Full</w:t>
            </w:r>
          </w:p>
        </w:tc>
        <w:tc>
          <w:tcPr>
            <w:tcW w:w="72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7645890D"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b/>
                <w:bCs/>
                <w:i/>
                <w:iCs/>
                <w:sz w:val="22"/>
                <w:szCs w:val="20"/>
                <w:u w:color="000000"/>
                <w:bdr w:val="nil"/>
                <w:lang w:val="en-US" w:eastAsia="en-US"/>
              </w:rPr>
              <w:t>Commandite</w:t>
            </w:r>
          </w:p>
        </w:tc>
        <w:tc>
          <w:tcPr>
            <w:tcW w:w="667" w:type="pct"/>
            <w:vMerge/>
            <w:tcBorders>
              <w:top w:val="single" w:sz="4" w:space="0" w:color="000000"/>
              <w:left w:val="single" w:sz="4" w:space="0" w:color="000000"/>
              <w:bottom w:val="single" w:sz="4" w:space="0" w:color="000000"/>
              <w:right w:val="single" w:sz="4" w:space="0" w:color="000000"/>
            </w:tcBorders>
            <w:shd w:val="clear" w:color="auto" w:fill="auto"/>
          </w:tcPr>
          <w:p w14:paraId="64A7AEEF" w14:textId="77777777" w:rsidR="003C51B1" w:rsidRPr="002A7A75" w:rsidRDefault="003C51B1" w:rsidP="002A7A75">
            <w:pPr>
              <w:pBdr>
                <w:top w:val="nil"/>
                <w:left w:val="nil"/>
                <w:bottom w:val="nil"/>
                <w:right w:val="nil"/>
                <w:between w:val="nil"/>
                <w:bar w:val="nil"/>
              </w:pBdr>
              <w:spacing w:line="240" w:lineRule="atLeast"/>
              <w:ind w:firstLine="709"/>
              <w:rPr>
                <w:rFonts w:ascii="Calibri" w:eastAsia="Calibri" w:hAnsi="Calibri" w:cs="Calibri"/>
                <w:sz w:val="22"/>
                <w:u w:color="000000"/>
                <w:bdr w:val="nil"/>
                <w:lang w:val="en-US" w:eastAsia="en-US"/>
              </w:rPr>
            </w:pPr>
          </w:p>
        </w:tc>
      </w:tr>
      <w:tr w:rsidR="003C51B1" w:rsidRPr="002A7A75" w14:paraId="4671BEC3" w14:textId="77777777" w:rsidTr="0002556C">
        <w:trPr>
          <w:trHeight w:val="490"/>
          <w:jc w:val="center"/>
        </w:trPr>
        <w:tc>
          <w:tcPr>
            <w:tcW w:w="74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A222BF2"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Capital</w:t>
            </w:r>
          </w:p>
        </w:tc>
        <w:tc>
          <w:tcPr>
            <w:tcW w:w="80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BFCCCC9"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Divided into shares</w:t>
            </w:r>
          </w:p>
        </w:tc>
        <w:tc>
          <w:tcPr>
            <w:tcW w:w="2782" w:type="pct"/>
            <w:gridSpan w:val="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C492E1C" w14:textId="77777777" w:rsidR="003C51B1" w:rsidRPr="002A7A75" w:rsidRDefault="003C51B1" w:rsidP="002A7A75">
            <w:pPr>
              <w:widowControl w:val="0"/>
              <w:pBdr>
                <w:top w:val="nil"/>
                <w:left w:val="nil"/>
                <w:bottom w:val="nil"/>
                <w:right w:val="nil"/>
                <w:between w:val="nil"/>
                <w:bar w:val="nil"/>
              </w:pBdr>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Divided into corporate stock</w:t>
            </w:r>
          </w:p>
        </w:tc>
        <w:tc>
          <w:tcPr>
            <w:tcW w:w="667"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E7AC202"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One owner</w:t>
            </w:r>
          </w:p>
        </w:tc>
      </w:tr>
      <w:tr w:rsidR="003C51B1" w:rsidRPr="002A7A75" w14:paraId="73016A89" w14:textId="77777777" w:rsidTr="0002556C">
        <w:trPr>
          <w:trHeight w:val="1210"/>
          <w:jc w:val="center"/>
        </w:trPr>
        <w:tc>
          <w:tcPr>
            <w:tcW w:w="74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B0183B"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Profit distribution</w:t>
            </w:r>
          </w:p>
        </w:tc>
        <w:tc>
          <w:tcPr>
            <w:tcW w:w="80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29E5DA9"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In accordance with the dividend policy. Dividend per share is calculated</w:t>
            </w:r>
          </w:p>
        </w:tc>
        <w:tc>
          <w:tcPr>
            <w:tcW w:w="2782" w:type="pct"/>
            <w:gridSpan w:val="5"/>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07BE825" w14:textId="77777777" w:rsidR="003C51B1" w:rsidRPr="002A7A75" w:rsidRDefault="003C51B1" w:rsidP="0065175A">
            <w:pPr>
              <w:pBdr>
                <w:top w:val="nil"/>
                <w:left w:val="nil"/>
                <w:bottom w:val="nil"/>
                <w:right w:val="nil"/>
                <w:between w:val="nil"/>
                <w:bar w:val="nil"/>
              </w:pBdr>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 the consent of all partners involved. Their rights and liabilities are fixed in Articles of Association</w:t>
            </w:r>
          </w:p>
        </w:tc>
        <w:tc>
          <w:tcPr>
            <w:tcW w:w="667"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C85C5C8"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At the discretion of owner</w:t>
            </w:r>
          </w:p>
        </w:tc>
      </w:tr>
      <w:tr w:rsidR="003C51B1" w:rsidRPr="002A7A75" w14:paraId="19EDB712" w14:textId="77777777" w:rsidTr="0002556C">
        <w:trPr>
          <w:trHeight w:val="970"/>
          <w:jc w:val="center"/>
        </w:trPr>
        <w:tc>
          <w:tcPr>
            <w:tcW w:w="74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6104A8"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Investment opportunities from external sources</w:t>
            </w:r>
          </w:p>
        </w:tc>
        <w:tc>
          <w:tcPr>
            <w:tcW w:w="80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CFC504F"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High. Through loans and securities issuance</w:t>
            </w:r>
          </w:p>
        </w:tc>
        <w:tc>
          <w:tcPr>
            <w:tcW w:w="3449" w:type="pct"/>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6A1D824" w14:textId="77777777" w:rsidR="003C51B1" w:rsidRPr="002A7A75" w:rsidRDefault="003C51B1" w:rsidP="002A7A75">
            <w:pPr>
              <w:pBdr>
                <w:top w:val="nil"/>
                <w:left w:val="nil"/>
                <w:bottom w:val="nil"/>
                <w:right w:val="nil"/>
                <w:between w:val="nil"/>
                <w:bar w:val="nil"/>
              </w:pBdr>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Relatively limited by the property value and company attractiveness</w:t>
            </w:r>
          </w:p>
        </w:tc>
      </w:tr>
      <w:tr w:rsidR="003C51B1" w:rsidRPr="002A7A75" w14:paraId="0C4DF034" w14:textId="77777777" w:rsidTr="0002556C">
        <w:trPr>
          <w:trHeight w:val="2650"/>
          <w:jc w:val="center"/>
        </w:trPr>
        <w:tc>
          <w:tcPr>
            <w:tcW w:w="74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F94E6C9"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Financial owners liability</w:t>
            </w:r>
          </w:p>
        </w:tc>
        <w:tc>
          <w:tcPr>
            <w:tcW w:w="80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E667E2B"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Within shares they own</w:t>
            </w:r>
          </w:p>
        </w:tc>
        <w:tc>
          <w:tcPr>
            <w:tcW w:w="75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D030698"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Within corporate stock they own</w:t>
            </w:r>
          </w:p>
        </w:tc>
        <w:tc>
          <w:tcPr>
            <w:tcW w:w="587"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820E04A"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Within corporate stock, they own and their property as a multiple of corporate stock they own</w:t>
            </w:r>
          </w:p>
        </w:tc>
        <w:tc>
          <w:tcPr>
            <w:tcW w:w="724"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0496661"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Joint responsibility within their property</w:t>
            </w:r>
          </w:p>
        </w:tc>
        <w:tc>
          <w:tcPr>
            <w:tcW w:w="720"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AE95582"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 xml:space="preserve">Joint responsibility within property of one group of partners and within corporate stock </w:t>
            </w:r>
            <w:r w:rsidRPr="002A7A75">
              <w:rPr>
                <w:rFonts w:ascii="Calibri" w:eastAsia="Calibri" w:cs="Calibri"/>
                <w:sz w:val="22"/>
                <w:szCs w:val="20"/>
                <w:u w:color="000000"/>
                <w:bdr w:val="nil"/>
                <w:lang w:val="en-US" w:eastAsia="en-US"/>
              </w:rPr>
              <w:t>–</w:t>
            </w:r>
            <w:r w:rsidRPr="002A7A75">
              <w:rPr>
                <w:rFonts w:ascii="Calibri" w:eastAsia="Calibri" w:cs="Calibri"/>
                <w:sz w:val="22"/>
                <w:szCs w:val="20"/>
                <w:u w:color="000000"/>
                <w:bdr w:val="nil"/>
                <w:lang w:val="en-US" w:eastAsia="en-US"/>
              </w:rPr>
              <w:t xml:space="preserve"> </w:t>
            </w:r>
            <w:r w:rsidRPr="002A7A75">
              <w:rPr>
                <w:rFonts w:eastAsia="Calibri" w:hAnsi="Calibri" w:cs="Calibri"/>
                <w:sz w:val="22"/>
                <w:szCs w:val="20"/>
                <w:u w:color="000000"/>
                <w:bdr w:val="nil"/>
                <w:lang w:val="en-US" w:eastAsia="en-US"/>
              </w:rPr>
              <w:t>second group</w:t>
            </w:r>
          </w:p>
        </w:tc>
        <w:tc>
          <w:tcPr>
            <w:tcW w:w="667"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4820D89"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Within company</w:t>
            </w:r>
            <w:r w:rsidRPr="002A7A75">
              <w:rPr>
                <w:rFonts w:ascii="Calibri" w:eastAsia="Calibri" w:cs="Calibri"/>
                <w:sz w:val="22"/>
                <w:szCs w:val="20"/>
                <w:u w:color="000000"/>
                <w:bdr w:val="nil"/>
                <w:lang w:val="en-US" w:eastAsia="en-US"/>
              </w:rPr>
              <w:t>’</w:t>
            </w:r>
            <w:r w:rsidRPr="002A7A75">
              <w:rPr>
                <w:rFonts w:eastAsia="Calibri" w:hAnsi="Calibri" w:cs="Calibri"/>
                <w:sz w:val="22"/>
                <w:szCs w:val="20"/>
                <w:u w:color="000000"/>
                <w:bdr w:val="nil"/>
                <w:lang w:val="en-US" w:eastAsia="en-US"/>
              </w:rPr>
              <w:t>s capital</w:t>
            </w:r>
          </w:p>
        </w:tc>
      </w:tr>
      <w:tr w:rsidR="003C51B1" w:rsidRPr="002A7A75" w14:paraId="32B0A135" w14:textId="77777777" w:rsidTr="0002556C">
        <w:trPr>
          <w:trHeight w:val="970"/>
          <w:jc w:val="center"/>
        </w:trPr>
        <w:tc>
          <w:tcPr>
            <w:tcW w:w="74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504AD8B"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Authorized capital</w:t>
            </w:r>
          </w:p>
        </w:tc>
        <w:tc>
          <w:tcPr>
            <w:tcW w:w="80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F827F3E"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The minimum size set by law (1250 minimum wages)</w:t>
            </w:r>
          </w:p>
        </w:tc>
        <w:tc>
          <w:tcPr>
            <w:tcW w:w="3449" w:type="pct"/>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C584DE2" w14:textId="77777777" w:rsidR="003C51B1" w:rsidRPr="002A7A75" w:rsidRDefault="003C51B1" w:rsidP="002A7A75">
            <w:pPr>
              <w:widowControl w:val="0"/>
              <w:pBdr>
                <w:top w:val="nil"/>
                <w:left w:val="nil"/>
                <w:bottom w:val="nil"/>
                <w:right w:val="nil"/>
                <w:between w:val="nil"/>
                <w:bar w:val="nil"/>
              </w:pBdr>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Any size</w:t>
            </w:r>
          </w:p>
        </w:tc>
      </w:tr>
      <w:tr w:rsidR="003C51B1" w:rsidRPr="002A7A75" w14:paraId="1B09E273" w14:textId="77777777" w:rsidTr="0002556C">
        <w:trPr>
          <w:trHeight w:val="1930"/>
          <w:jc w:val="center"/>
        </w:trPr>
        <w:tc>
          <w:tcPr>
            <w:tcW w:w="74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253A62"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Government</w:t>
            </w:r>
          </w:p>
        </w:tc>
        <w:tc>
          <w:tcPr>
            <w:tcW w:w="80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83D8A0E"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 w:val="left" w:pos="29028"/>
                <w:tab w:val="left" w:pos="29736"/>
                <w:tab w:val="left" w:pos="30444"/>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By bodies fixed in Articles of Association (general meeting, supervisory board, executive board, audit committee)</w:t>
            </w:r>
          </w:p>
        </w:tc>
        <w:tc>
          <w:tcPr>
            <w:tcW w:w="75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BE62DBA" w14:textId="77777777" w:rsidR="003C51B1" w:rsidRPr="002A7A75" w:rsidRDefault="003C51B1" w:rsidP="0065175A">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 the consent of all partners involved</w:t>
            </w:r>
          </w:p>
        </w:tc>
        <w:tc>
          <w:tcPr>
            <w:tcW w:w="587"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8750EF6" w14:textId="77777777" w:rsidR="003C51B1" w:rsidRPr="002A7A75" w:rsidRDefault="003C51B1" w:rsidP="0065175A">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 the consent of all partners involved</w:t>
            </w:r>
          </w:p>
        </w:tc>
        <w:tc>
          <w:tcPr>
            <w:tcW w:w="724"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CBDDC5" w14:textId="77777777" w:rsidR="003C51B1" w:rsidRPr="002A7A75" w:rsidRDefault="003C51B1" w:rsidP="0065175A">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 the consent of all partners involved</w:t>
            </w:r>
          </w:p>
        </w:tc>
        <w:tc>
          <w:tcPr>
            <w:tcW w:w="720"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1077F59" w14:textId="77777777" w:rsidR="003C51B1" w:rsidRPr="002A7A75" w:rsidRDefault="003C51B1" w:rsidP="0065175A">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By partners with full liability</w:t>
            </w:r>
          </w:p>
        </w:tc>
        <w:tc>
          <w:tcPr>
            <w:tcW w:w="667"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7AD3654"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At the discretion of owner</w:t>
            </w:r>
          </w:p>
        </w:tc>
      </w:tr>
      <w:tr w:rsidR="003C51B1" w:rsidRPr="002A7A75" w14:paraId="6AFAEC13" w14:textId="77777777" w:rsidTr="0002556C">
        <w:trPr>
          <w:trHeight w:val="490"/>
          <w:jc w:val="center"/>
        </w:trPr>
        <w:tc>
          <w:tcPr>
            <w:tcW w:w="74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5411683"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Memorandum</w:t>
            </w:r>
          </w:p>
        </w:tc>
        <w:tc>
          <w:tcPr>
            <w:tcW w:w="2146"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D099D66"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Composed and operates</w:t>
            </w:r>
          </w:p>
        </w:tc>
        <w:tc>
          <w:tcPr>
            <w:tcW w:w="1444"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E8048E" w14:textId="77777777" w:rsidR="003C51B1" w:rsidRPr="002A7A75" w:rsidRDefault="003C51B1" w:rsidP="002A7A75">
            <w:pPr>
              <w:widowControl w:val="0"/>
              <w:pBdr>
                <w:top w:val="nil"/>
                <w:left w:val="nil"/>
                <w:bottom w:val="nil"/>
                <w:right w:val="nil"/>
                <w:between w:val="nil"/>
                <w:bar w:val="nil"/>
              </w:pBdr>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Composed and operates.  Recorded during registration.</w:t>
            </w:r>
          </w:p>
        </w:tc>
        <w:tc>
          <w:tcPr>
            <w:tcW w:w="667"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03A5C3" w14:textId="77777777" w:rsidR="003C51B1" w:rsidRPr="002A7A75" w:rsidRDefault="003C51B1"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Absent</w:t>
            </w:r>
          </w:p>
        </w:tc>
      </w:tr>
    </w:tbl>
    <w:p w14:paraId="373F849F" w14:textId="77777777" w:rsidR="0002556C" w:rsidRDefault="0002556C">
      <w:pPr>
        <w:rPr>
          <w:lang w:val="en-US"/>
        </w:rPr>
      </w:pPr>
    </w:p>
    <w:tbl>
      <w:tblPr>
        <w:tblW w:w="5000"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416"/>
        <w:gridCol w:w="1698"/>
        <w:gridCol w:w="1275"/>
        <w:gridCol w:w="1140"/>
        <w:gridCol w:w="1383"/>
        <w:gridCol w:w="1377"/>
        <w:gridCol w:w="1272"/>
      </w:tblGrid>
      <w:tr w:rsidR="0002556C" w:rsidRPr="002A7A75" w14:paraId="297A6E00" w14:textId="77777777" w:rsidTr="0002556C">
        <w:trPr>
          <w:trHeight w:val="20"/>
          <w:jc w:val="center"/>
        </w:trPr>
        <w:tc>
          <w:tcPr>
            <w:tcW w:w="5000" w:type="pct"/>
            <w:gridSpan w:val="7"/>
            <w:tcBorders>
              <w:top w:val="nil"/>
              <w:left w:val="nil"/>
              <w:right w:val="nil"/>
            </w:tcBorders>
            <w:shd w:val="clear" w:color="auto" w:fill="auto"/>
            <w:tcMar>
              <w:top w:w="80" w:type="dxa"/>
              <w:left w:w="80" w:type="dxa"/>
              <w:bottom w:w="80" w:type="dxa"/>
              <w:right w:w="80" w:type="dxa"/>
            </w:tcMar>
            <w:vAlign w:val="center"/>
          </w:tcPr>
          <w:p w14:paraId="1ACF9B02" w14:textId="77777777" w:rsidR="0002556C" w:rsidRPr="00505A1C" w:rsidRDefault="00505A1C" w:rsidP="00505A1C">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eastAsia="Calibri" w:hAnsi="Calibri" w:cs="Calibri"/>
                <w:bCs/>
                <w:iCs/>
                <w:u w:color="000000"/>
                <w:bdr w:val="nil"/>
                <w:lang w:val="en-US" w:eastAsia="en-US"/>
              </w:rPr>
            </w:pPr>
            <w:r w:rsidRPr="00505A1C">
              <w:rPr>
                <w:rFonts w:eastAsia="Calibri" w:hAnsi="Calibri" w:cs="Calibri"/>
                <w:bCs/>
                <w:iCs/>
                <w:sz w:val="28"/>
                <w:u w:color="000000"/>
                <w:bdr w:val="nil"/>
                <w:lang w:val="en-US" w:eastAsia="en-US"/>
              </w:rPr>
              <w:lastRenderedPageBreak/>
              <w:t xml:space="preserve">Continuation of </w:t>
            </w:r>
            <w:r>
              <w:rPr>
                <w:rFonts w:eastAsia="Calibri" w:hAnsi="Calibri" w:cs="Calibri"/>
                <w:bCs/>
                <w:iCs/>
                <w:sz w:val="28"/>
                <w:u w:color="000000"/>
                <w:bdr w:val="nil"/>
                <w:lang w:val="en-US" w:eastAsia="en-US"/>
              </w:rPr>
              <w:t xml:space="preserve">the </w:t>
            </w:r>
            <w:r w:rsidRPr="00505A1C">
              <w:rPr>
                <w:rFonts w:eastAsia="Calibri" w:hAnsi="Calibri" w:cs="Calibri"/>
                <w:bCs/>
                <w:iCs/>
                <w:sz w:val="28"/>
                <w:u w:color="000000"/>
                <w:bdr w:val="nil"/>
                <w:lang w:val="en-US" w:eastAsia="en-US"/>
              </w:rPr>
              <w:t>Table A.1</w:t>
            </w:r>
          </w:p>
        </w:tc>
      </w:tr>
      <w:tr w:rsidR="0002556C" w:rsidRPr="002A7A75" w14:paraId="37C6A8CF" w14:textId="77777777" w:rsidTr="005F27C2">
        <w:trPr>
          <w:trHeight w:val="20"/>
          <w:jc w:val="center"/>
        </w:trPr>
        <w:tc>
          <w:tcPr>
            <w:tcW w:w="741" w:type="pct"/>
            <w:vMerge w:val="restart"/>
            <w:tcBorders>
              <w:top w:val="single" w:sz="4" w:space="0" w:color="000000"/>
              <w:left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8DABA69" w14:textId="77777777" w:rsidR="0002556C" w:rsidRPr="0002556C" w:rsidRDefault="0002556C" w:rsidP="0002556C">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hAnsi="Calibri" w:cs="Calibri"/>
                <w:b/>
                <w:bCs/>
                <w:i/>
                <w:iCs/>
                <w:sz w:val="22"/>
                <w:szCs w:val="20"/>
                <w:u w:color="000000"/>
                <w:bdr w:val="nil"/>
                <w:lang w:val="en-US" w:eastAsia="en-US"/>
              </w:rPr>
            </w:pPr>
            <w:r w:rsidRPr="0002556C">
              <w:rPr>
                <w:rFonts w:eastAsia="Calibri" w:hAnsi="Calibri" w:cs="Calibri"/>
                <w:b/>
                <w:bCs/>
                <w:i/>
                <w:iCs/>
                <w:sz w:val="22"/>
                <w:szCs w:val="20"/>
                <w:u w:color="000000"/>
                <w:bdr w:val="nil"/>
                <w:lang w:val="en-US" w:eastAsia="en-US"/>
              </w:rPr>
              <w:t>Factors</w:t>
            </w:r>
          </w:p>
        </w:tc>
        <w:tc>
          <w:tcPr>
            <w:tcW w:w="3594" w:type="pct"/>
            <w:gridSpan w:val="5"/>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A2E21C3" w14:textId="77777777" w:rsidR="0002556C" w:rsidRPr="0002556C" w:rsidRDefault="0002556C" w:rsidP="005F27C2">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s>
              <w:spacing w:line="240" w:lineRule="atLeast"/>
              <w:jc w:val="center"/>
              <w:rPr>
                <w:rFonts w:ascii="Calibri" w:eastAsia="Calibri" w:hAnsi="Calibri" w:cs="Calibri"/>
                <w:sz w:val="22"/>
                <w:u w:color="000000"/>
                <w:bdr w:val="nil"/>
                <w:lang w:val="en-US" w:eastAsia="en-US"/>
              </w:rPr>
            </w:pPr>
            <w:r w:rsidRPr="0002556C">
              <w:rPr>
                <w:rFonts w:eastAsia="Garamond"/>
                <w:b/>
                <w:bCs/>
                <w:iCs/>
                <w:sz w:val="22"/>
                <w:szCs w:val="20"/>
                <w:u w:color="000000"/>
                <w:bdr w:val="nil"/>
                <w:lang w:val="en-US" w:eastAsia="en-US"/>
              </w:rPr>
              <w:tab/>
              <w:t>Companies that operate on the basis of collective property</w:t>
            </w:r>
          </w:p>
        </w:tc>
        <w:tc>
          <w:tcPr>
            <w:tcW w:w="665" w:type="pct"/>
            <w:vMerge w:val="restart"/>
            <w:tcBorders>
              <w:top w:val="single" w:sz="4" w:space="0" w:color="000000"/>
              <w:left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6D22AF4" w14:textId="77777777" w:rsidR="0002556C" w:rsidRPr="0002556C" w:rsidRDefault="0002556C" w:rsidP="005F27C2">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ascii="Calibri" w:eastAsia="Calibri" w:hAnsi="Calibri" w:cs="Calibri"/>
                <w:sz w:val="22"/>
                <w:u w:color="000000"/>
                <w:bdr w:val="nil"/>
                <w:lang w:val="en-US" w:eastAsia="en-US"/>
              </w:rPr>
            </w:pPr>
            <w:r w:rsidRPr="0002556C">
              <w:rPr>
                <w:rFonts w:eastAsia="Calibri" w:hAnsi="Calibri" w:cs="Calibri"/>
                <w:b/>
                <w:bCs/>
                <w:iCs/>
                <w:sz w:val="22"/>
                <w:szCs w:val="20"/>
                <w:u w:color="000000"/>
                <w:bdr w:val="nil"/>
                <w:lang w:val="en-US" w:eastAsia="en-US"/>
              </w:rPr>
              <w:t>Privately-owned company</w:t>
            </w:r>
          </w:p>
        </w:tc>
      </w:tr>
      <w:tr w:rsidR="0002556C" w:rsidRPr="002A7A75" w14:paraId="01FB2877" w14:textId="77777777" w:rsidTr="0002556C">
        <w:trPr>
          <w:trHeight w:val="20"/>
          <w:jc w:val="center"/>
        </w:trPr>
        <w:tc>
          <w:tcPr>
            <w:tcW w:w="741" w:type="pct"/>
            <w:vMerge/>
            <w:tcBorders>
              <w:left w:val="single" w:sz="4" w:space="0" w:color="000000"/>
              <w:right w:val="single" w:sz="4" w:space="0" w:color="000000"/>
            </w:tcBorders>
            <w:shd w:val="clear" w:color="auto" w:fill="auto"/>
            <w:tcMar>
              <w:top w:w="80" w:type="dxa"/>
              <w:left w:w="80" w:type="dxa"/>
              <w:bottom w:w="80" w:type="dxa"/>
              <w:right w:w="80" w:type="dxa"/>
            </w:tcMar>
            <w:vAlign w:val="center"/>
          </w:tcPr>
          <w:p w14:paraId="5B46E2B1"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eastAsia="Calibri" w:hAnsi="Calibri" w:cs="Calibri"/>
                <w:sz w:val="22"/>
                <w:szCs w:val="20"/>
                <w:u w:color="000000"/>
                <w:bdr w:val="nil"/>
                <w:lang w:val="en-US" w:eastAsia="en-US"/>
              </w:rPr>
            </w:pPr>
          </w:p>
        </w:tc>
        <w:tc>
          <w:tcPr>
            <w:tcW w:w="888" w:type="pct"/>
            <w:vMerge w:val="restart"/>
            <w:tcBorders>
              <w:top w:val="single" w:sz="4" w:space="0" w:color="000000"/>
              <w:left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97383CE" w14:textId="77777777" w:rsidR="0002556C" w:rsidRPr="0002556C" w:rsidRDefault="0002556C" w:rsidP="0002556C">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hAnsi="Calibri" w:cs="Calibri"/>
                <w:b/>
                <w:bCs/>
                <w:i/>
                <w:iCs/>
                <w:sz w:val="22"/>
                <w:szCs w:val="20"/>
                <w:u w:color="000000"/>
                <w:bdr w:val="nil"/>
                <w:lang w:val="en-US" w:eastAsia="en-US"/>
              </w:rPr>
            </w:pPr>
            <w:r w:rsidRPr="002A7A75">
              <w:rPr>
                <w:rFonts w:eastAsia="Calibri" w:hAnsi="Calibri" w:cs="Calibri"/>
                <w:b/>
                <w:bCs/>
                <w:i/>
                <w:iCs/>
                <w:sz w:val="22"/>
                <w:szCs w:val="20"/>
                <w:u w:color="000000"/>
                <w:bdr w:val="nil"/>
                <w:lang w:val="en-US" w:eastAsia="en-US"/>
              </w:rPr>
              <w:t>Public Joint Stock Company</w:t>
            </w:r>
          </w:p>
        </w:tc>
        <w:tc>
          <w:tcPr>
            <w:tcW w:w="2706" w:type="pct"/>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F945810" w14:textId="77777777" w:rsidR="0002556C" w:rsidRPr="0002556C" w:rsidRDefault="0002556C" w:rsidP="0002556C">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hAnsi="Calibri" w:cs="Calibri"/>
                <w:b/>
                <w:bCs/>
                <w:i/>
                <w:iCs/>
                <w:sz w:val="22"/>
                <w:szCs w:val="20"/>
                <w:u w:color="000000"/>
                <w:bdr w:val="nil"/>
                <w:lang w:val="en-US" w:eastAsia="en-US"/>
              </w:rPr>
            </w:pPr>
            <w:r w:rsidRPr="002A7A75">
              <w:rPr>
                <w:rFonts w:eastAsia="Calibri" w:hAnsi="Calibri" w:cs="Calibri"/>
                <w:b/>
                <w:bCs/>
                <w:i/>
                <w:iCs/>
                <w:sz w:val="22"/>
                <w:szCs w:val="20"/>
                <w:u w:color="000000"/>
                <w:bdr w:val="nil"/>
                <w:lang w:val="en-US" w:eastAsia="en-US"/>
              </w:rPr>
              <w:t>Company</w:t>
            </w:r>
          </w:p>
        </w:tc>
        <w:tc>
          <w:tcPr>
            <w:tcW w:w="665" w:type="pct"/>
            <w:vMerge/>
            <w:tcBorders>
              <w:left w:val="single" w:sz="4" w:space="0" w:color="000000"/>
              <w:right w:val="single" w:sz="4" w:space="0" w:color="000000"/>
            </w:tcBorders>
            <w:shd w:val="clear" w:color="auto" w:fill="auto"/>
            <w:tcMar>
              <w:top w:w="80" w:type="dxa"/>
              <w:left w:w="80" w:type="dxa"/>
              <w:bottom w:w="80" w:type="dxa"/>
              <w:right w:w="80" w:type="dxa"/>
            </w:tcMar>
            <w:vAlign w:val="center"/>
          </w:tcPr>
          <w:p w14:paraId="29036309"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eastAsia="Calibri" w:hAnsi="Calibri" w:cs="Calibri"/>
                <w:sz w:val="22"/>
                <w:szCs w:val="20"/>
                <w:u w:color="000000"/>
                <w:bdr w:val="nil"/>
                <w:lang w:val="en-US" w:eastAsia="en-US"/>
              </w:rPr>
            </w:pPr>
          </w:p>
        </w:tc>
      </w:tr>
      <w:tr w:rsidR="0002556C" w:rsidRPr="002A7A75" w14:paraId="5AEA5CC2" w14:textId="77777777" w:rsidTr="0002556C">
        <w:trPr>
          <w:trHeight w:val="352"/>
          <w:jc w:val="center"/>
        </w:trPr>
        <w:tc>
          <w:tcPr>
            <w:tcW w:w="741" w:type="pct"/>
            <w:vMerge/>
            <w:tcBorders>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4C08B1"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eastAsia="Calibri" w:hAnsi="Calibri" w:cs="Calibri"/>
                <w:sz w:val="22"/>
                <w:szCs w:val="20"/>
                <w:u w:color="000000"/>
                <w:bdr w:val="nil"/>
                <w:lang w:val="en-US" w:eastAsia="en-US"/>
              </w:rPr>
            </w:pPr>
          </w:p>
        </w:tc>
        <w:tc>
          <w:tcPr>
            <w:tcW w:w="888" w:type="pct"/>
            <w:vMerge/>
            <w:tcBorders>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tcPr>
          <w:p w14:paraId="4EF62F44" w14:textId="77777777" w:rsidR="0002556C" w:rsidRPr="0002556C" w:rsidRDefault="0002556C" w:rsidP="0002556C">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hAnsi="Calibri" w:cs="Calibri"/>
                <w:b/>
                <w:bCs/>
                <w:i/>
                <w:iCs/>
                <w:sz w:val="22"/>
                <w:szCs w:val="20"/>
                <w:u w:color="000000"/>
                <w:bdr w:val="nil"/>
                <w:lang w:val="en-US" w:eastAsia="en-US"/>
              </w:rPr>
            </w:pPr>
          </w:p>
        </w:tc>
        <w:tc>
          <w:tcPr>
            <w:tcW w:w="667"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58020B0" w14:textId="77777777" w:rsidR="0002556C" w:rsidRPr="0002556C" w:rsidRDefault="0002556C" w:rsidP="0002556C">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jc w:val="center"/>
              <w:rPr>
                <w:rFonts w:eastAsia="Calibri" w:hAnsi="Calibri" w:cs="Calibri"/>
                <w:b/>
                <w:bCs/>
                <w:i/>
                <w:iCs/>
                <w:sz w:val="22"/>
                <w:szCs w:val="20"/>
                <w:u w:color="000000"/>
                <w:bdr w:val="nil"/>
                <w:lang w:val="en-US" w:eastAsia="en-US"/>
              </w:rPr>
            </w:pPr>
            <w:r w:rsidRPr="002A7A75">
              <w:rPr>
                <w:rFonts w:eastAsia="Calibri" w:hAnsi="Calibri" w:cs="Calibri"/>
                <w:b/>
                <w:bCs/>
                <w:i/>
                <w:iCs/>
                <w:sz w:val="22"/>
                <w:szCs w:val="20"/>
                <w:u w:color="000000"/>
                <w:bdr w:val="nil"/>
                <w:lang w:val="en-US" w:eastAsia="en-US"/>
              </w:rPr>
              <w:t>Limited Liability</w:t>
            </w:r>
          </w:p>
        </w:tc>
        <w:tc>
          <w:tcPr>
            <w:tcW w:w="59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2F72E9BD" w14:textId="77777777" w:rsidR="0002556C" w:rsidRPr="0002556C" w:rsidRDefault="0002556C" w:rsidP="0002556C">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hAnsi="Calibri" w:cs="Calibri"/>
                <w:b/>
                <w:bCs/>
                <w:i/>
                <w:iCs/>
                <w:sz w:val="22"/>
                <w:szCs w:val="20"/>
                <w:u w:color="000000"/>
                <w:bdr w:val="nil"/>
                <w:lang w:val="en-US" w:eastAsia="en-US"/>
              </w:rPr>
            </w:pPr>
            <w:r w:rsidRPr="002A7A75">
              <w:rPr>
                <w:rFonts w:eastAsia="Calibri" w:hAnsi="Calibri" w:cs="Calibri"/>
                <w:b/>
                <w:bCs/>
                <w:i/>
                <w:iCs/>
                <w:sz w:val="22"/>
                <w:szCs w:val="20"/>
                <w:u w:color="000000"/>
                <w:bdr w:val="nil"/>
                <w:lang w:val="en-US" w:eastAsia="en-US"/>
              </w:rPr>
              <w:t>Additional Liability</w:t>
            </w:r>
          </w:p>
        </w:tc>
        <w:tc>
          <w:tcPr>
            <w:tcW w:w="72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67DBD6B" w14:textId="77777777" w:rsidR="0002556C" w:rsidRPr="0002556C" w:rsidRDefault="0002556C" w:rsidP="0002556C">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jc w:val="center"/>
              <w:rPr>
                <w:rFonts w:eastAsia="Calibri" w:hAnsi="Calibri" w:cs="Calibri"/>
                <w:b/>
                <w:bCs/>
                <w:i/>
                <w:iCs/>
                <w:sz w:val="22"/>
                <w:szCs w:val="20"/>
                <w:u w:color="000000"/>
                <w:bdr w:val="nil"/>
                <w:lang w:val="en-US" w:eastAsia="en-US"/>
              </w:rPr>
            </w:pPr>
            <w:r w:rsidRPr="002A7A75">
              <w:rPr>
                <w:rFonts w:eastAsia="Calibri" w:hAnsi="Calibri" w:cs="Calibri"/>
                <w:b/>
                <w:bCs/>
                <w:i/>
                <w:iCs/>
                <w:sz w:val="22"/>
                <w:szCs w:val="20"/>
                <w:u w:color="000000"/>
                <w:bdr w:val="nil"/>
                <w:lang w:val="en-US" w:eastAsia="en-US"/>
              </w:rPr>
              <w:t>Full</w:t>
            </w:r>
          </w:p>
        </w:tc>
        <w:tc>
          <w:tcPr>
            <w:tcW w:w="72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00D88FD6" w14:textId="77777777" w:rsidR="0002556C" w:rsidRPr="0002556C" w:rsidRDefault="0002556C" w:rsidP="0002556C">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s>
              <w:spacing w:line="240" w:lineRule="atLeast"/>
              <w:jc w:val="center"/>
              <w:rPr>
                <w:rFonts w:eastAsia="Calibri" w:hAnsi="Calibri" w:cs="Calibri"/>
                <w:b/>
                <w:bCs/>
                <w:i/>
                <w:iCs/>
                <w:sz w:val="22"/>
                <w:szCs w:val="20"/>
                <w:u w:color="000000"/>
                <w:bdr w:val="nil"/>
                <w:lang w:val="en-US" w:eastAsia="en-US"/>
              </w:rPr>
            </w:pPr>
            <w:r w:rsidRPr="002A7A75">
              <w:rPr>
                <w:rFonts w:eastAsia="Calibri" w:hAnsi="Calibri" w:cs="Calibri"/>
                <w:b/>
                <w:bCs/>
                <w:i/>
                <w:iCs/>
                <w:sz w:val="22"/>
                <w:szCs w:val="20"/>
                <w:u w:color="000000"/>
                <w:bdr w:val="nil"/>
                <w:lang w:val="en-US" w:eastAsia="en-US"/>
              </w:rPr>
              <w:t>Commandite</w:t>
            </w:r>
          </w:p>
        </w:tc>
        <w:tc>
          <w:tcPr>
            <w:tcW w:w="665" w:type="pct"/>
            <w:vMerge/>
            <w:tcBorders>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12AFAE"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eastAsia="Calibri" w:hAnsi="Calibri" w:cs="Calibri"/>
                <w:sz w:val="22"/>
                <w:szCs w:val="20"/>
                <w:u w:color="000000"/>
                <w:bdr w:val="nil"/>
                <w:lang w:val="en-US" w:eastAsia="en-US"/>
              </w:rPr>
            </w:pPr>
          </w:p>
        </w:tc>
      </w:tr>
      <w:tr w:rsidR="0002556C" w:rsidRPr="002A7A75" w14:paraId="3B9B09AC" w14:textId="77777777" w:rsidTr="0002556C">
        <w:trPr>
          <w:trHeight w:val="730"/>
          <w:jc w:val="center"/>
        </w:trPr>
        <w:tc>
          <w:tcPr>
            <w:tcW w:w="74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BF56CCE"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Articles of Association</w:t>
            </w:r>
          </w:p>
        </w:tc>
        <w:tc>
          <w:tcPr>
            <w:tcW w:w="88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15C19C4" w14:textId="77777777" w:rsidR="0002556C" w:rsidRPr="002A7A75" w:rsidRDefault="0002556C" w:rsidP="0065175A">
            <w:pPr>
              <w:pBdr>
                <w:top w:val="nil"/>
                <w:left w:val="nil"/>
                <w:bottom w:val="nil"/>
                <w:right w:val="nil"/>
                <w:between w:val="nil"/>
                <w:bar w:val="nil"/>
              </w:pBdr>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Recorded during registration</w:t>
            </w:r>
          </w:p>
        </w:tc>
        <w:tc>
          <w:tcPr>
            <w:tcW w:w="667"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5554282" w14:textId="77777777" w:rsidR="0002556C" w:rsidRPr="002A7A75" w:rsidRDefault="0002556C" w:rsidP="002A7A75">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Recorded during registration</w:t>
            </w:r>
          </w:p>
        </w:tc>
        <w:tc>
          <w:tcPr>
            <w:tcW w:w="59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2E52196" w14:textId="77777777" w:rsidR="0002556C" w:rsidRPr="002A7A75" w:rsidRDefault="0002556C" w:rsidP="0065175A">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Recorded during registration</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463F5A" w14:textId="77777777" w:rsidR="0002556C" w:rsidRPr="002A7A75" w:rsidRDefault="0002556C" w:rsidP="002A7A75">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Absent</w:t>
            </w:r>
          </w:p>
        </w:tc>
        <w:tc>
          <w:tcPr>
            <w:tcW w:w="720"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0F91A96" w14:textId="77777777" w:rsidR="0002556C" w:rsidRPr="002A7A75" w:rsidRDefault="0002556C" w:rsidP="002A7A75">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Absent</w:t>
            </w:r>
          </w:p>
        </w:tc>
        <w:tc>
          <w:tcPr>
            <w:tcW w:w="665"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F7DE3DB"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Recorded during registration</w:t>
            </w:r>
          </w:p>
        </w:tc>
      </w:tr>
      <w:tr w:rsidR="0002556C" w:rsidRPr="002A7A75" w14:paraId="6CBF764E" w14:textId="77777777" w:rsidTr="0002556C">
        <w:trPr>
          <w:trHeight w:val="1450"/>
          <w:jc w:val="center"/>
        </w:trPr>
        <w:tc>
          <w:tcPr>
            <w:tcW w:w="74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5CEDF67"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Transparency (Information on business)</w:t>
            </w:r>
          </w:p>
        </w:tc>
        <w:tc>
          <w:tcPr>
            <w:tcW w:w="88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C5D5D0B" w14:textId="77777777" w:rsidR="0002556C" w:rsidRPr="002A7A75" w:rsidRDefault="0002556C" w:rsidP="0065175A">
            <w:pPr>
              <w:widowControl w:val="0"/>
              <w:pBdr>
                <w:top w:val="nil"/>
                <w:left w:val="nil"/>
                <w:bottom w:val="nil"/>
                <w:right w:val="nil"/>
                <w:between w:val="nil"/>
                <w:bar w:val="nil"/>
              </w:pBdr>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Annual financial statements are published. Information confirmed by an auditor</w:t>
            </w:r>
          </w:p>
        </w:tc>
        <w:tc>
          <w:tcPr>
            <w:tcW w:w="667"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C734AF"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None, except that which is required for registration and financial statements</w:t>
            </w:r>
          </w:p>
        </w:tc>
        <w:tc>
          <w:tcPr>
            <w:tcW w:w="2704" w:type="pct"/>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93CCE34" w14:textId="77777777" w:rsidR="0002556C" w:rsidRPr="002A7A75" w:rsidRDefault="0002556C" w:rsidP="002A7A75">
            <w:pPr>
              <w:pBdr>
                <w:top w:val="nil"/>
                <w:left w:val="nil"/>
                <w:bottom w:val="nil"/>
                <w:right w:val="nil"/>
                <w:between w:val="nil"/>
                <w:bar w:val="nil"/>
              </w:pBdr>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None, except that which is required for registration and financial statements</w:t>
            </w:r>
          </w:p>
        </w:tc>
      </w:tr>
      <w:tr w:rsidR="0002556C" w:rsidRPr="002A7A75" w14:paraId="6296CCD9" w14:textId="77777777" w:rsidTr="0002556C">
        <w:trPr>
          <w:trHeight w:val="1210"/>
          <w:jc w:val="center"/>
        </w:trPr>
        <w:tc>
          <w:tcPr>
            <w:tcW w:w="74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82A913D"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Removing partnership share</w:t>
            </w:r>
          </w:p>
        </w:tc>
        <w:tc>
          <w:tcPr>
            <w:tcW w:w="88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4129139" w14:textId="77777777" w:rsidR="0002556C" w:rsidRPr="002A7A75" w:rsidRDefault="0002556C" w:rsidP="002A7A75">
            <w:pPr>
              <w:widowControl w:val="0"/>
              <w:pBdr>
                <w:top w:val="nil"/>
                <w:left w:val="nil"/>
                <w:bottom w:val="nil"/>
                <w:right w:val="nil"/>
                <w:between w:val="nil"/>
                <w:bar w:val="nil"/>
              </w:pBdr>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Not applicable. Shareholders withdraw their capital by selling shares</w:t>
            </w:r>
          </w:p>
        </w:tc>
        <w:tc>
          <w:tcPr>
            <w:tcW w:w="2706" w:type="pct"/>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5A1D29" w14:textId="77777777" w:rsidR="0002556C" w:rsidRPr="002A7A75" w:rsidRDefault="0002556C" w:rsidP="0065175A">
            <w:pPr>
              <w:pBdr>
                <w:top w:val="nil"/>
                <w:left w:val="nil"/>
                <w:bottom w:val="nil"/>
                <w:right w:val="nil"/>
                <w:between w:val="nil"/>
                <w:bar w:val="nil"/>
              </w:pBdr>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 the consent of all partners involved</w:t>
            </w:r>
          </w:p>
        </w:tc>
        <w:tc>
          <w:tcPr>
            <w:tcW w:w="665"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71D857D"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At the discretion of owner</w:t>
            </w:r>
          </w:p>
        </w:tc>
      </w:tr>
      <w:tr w:rsidR="0002556C" w:rsidRPr="002A7A75" w14:paraId="543B84F8" w14:textId="77777777" w:rsidTr="0002556C">
        <w:trPr>
          <w:trHeight w:val="730"/>
          <w:jc w:val="center"/>
        </w:trPr>
        <w:tc>
          <w:tcPr>
            <w:tcW w:w="74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E3D82C3"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Company's voluntary liquidation</w:t>
            </w:r>
          </w:p>
        </w:tc>
        <w:tc>
          <w:tcPr>
            <w:tcW w:w="88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8CE5C31" w14:textId="77777777" w:rsidR="0002556C" w:rsidRPr="002A7A75" w:rsidRDefault="0002556C" w:rsidP="0065175A">
            <w:pPr>
              <w:widowControl w:val="0"/>
              <w:pBdr>
                <w:top w:val="nil"/>
                <w:left w:val="nil"/>
                <w:bottom w:val="nil"/>
                <w:right w:val="nil"/>
                <w:between w:val="nil"/>
                <w:bar w:val="nil"/>
              </w:pBdr>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 the consent of shareholders</w:t>
            </w:r>
          </w:p>
        </w:tc>
        <w:tc>
          <w:tcPr>
            <w:tcW w:w="2706" w:type="pct"/>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B3861E" w14:textId="77777777" w:rsidR="0002556C" w:rsidRPr="002A7A75" w:rsidRDefault="0002556C" w:rsidP="0065175A">
            <w:pPr>
              <w:pBdr>
                <w:top w:val="nil"/>
                <w:left w:val="nil"/>
                <w:bottom w:val="nil"/>
                <w:right w:val="nil"/>
                <w:between w:val="nil"/>
                <w:bar w:val="nil"/>
              </w:pBdr>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With the consent of all partners involved</w:t>
            </w:r>
          </w:p>
        </w:tc>
        <w:tc>
          <w:tcPr>
            <w:tcW w:w="665"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52CD6DB"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At the discretion of owner</w:t>
            </w:r>
          </w:p>
        </w:tc>
      </w:tr>
      <w:tr w:rsidR="0002556C" w:rsidRPr="002A7A75" w14:paraId="063FF0D6" w14:textId="77777777" w:rsidTr="0002556C">
        <w:trPr>
          <w:trHeight w:val="1450"/>
          <w:jc w:val="center"/>
        </w:trPr>
        <w:tc>
          <w:tcPr>
            <w:tcW w:w="74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A691037"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Executive body</w:t>
            </w:r>
          </w:p>
        </w:tc>
        <w:tc>
          <w:tcPr>
            <w:tcW w:w="88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B9FB397" w14:textId="77777777" w:rsidR="0002556C" w:rsidRPr="002A7A75" w:rsidRDefault="0002556C" w:rsidP="002A7A75">
            <w:pPr>
              <w:widowControl w:val="0"/>
              <w:pBdr>
                <w:top w:val="nil"/>
                <w:left w:val="nil"/>
                <w:bottom w:val="nil"/>
                <w:right w:val="nil"/>
                <w:between w:val="nil"/>
                <w:bar w:val="nil"/>
              </w:pBdr>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Executive board or other body fixed in Articles of Association</w:t>
            </w:r>
          </w:p>
        </w:tc>
        <w:tc>
          <w:tcPr>
            <w:tcW w:w="1263"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8B9AF1A" w14:textId="77777777" w:rsidR="0002556C" w:rsidRPr="002A7A75" w:rsidRDefault="0002556C" w:rsidP="002A7A75">
            <w:pPr>
              <w:widowControl w:val="0"/>
              <w:pBdr>
                <w:top w:val="nil"/>
                <w:left w:val="nil"/>
                <w:bottom w:val="nil"/>
                <w:right w:val="nil"/>
                <w:between w:val="nil"/>
                <w:bar w:val="nil"/>
              </w:pBdr>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Collegial (board) or sole (director) executive body</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67F4D0A"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Business management is carried out by all members or by one or several of them</w:t>
            </w:r>
          </w:p>
        </w:tc>
        <w:tc>
          <w:tcPr>
            <w:tcW w:w="720"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CBB553F"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By partners with full liability</w:t>
            </w:r>
          </w:p>
        </w:tc>
        <w:tc>
          <w:tcPr>
            <w:tcW w:w="665"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C218D8" w14:textId="77777777" w:rsidR="0002556C" w:rsidRPr="002A7A75" w:rsidRDefault="0002556C" w:rsidP="002A7A75">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At the discretion of owner</w:t>
            </w:r>
          </w:p>
        </w:tc>
      </w:tr>
      <w:tr w:rsidR="0002556C" w:rsidRPr="002A7A75" w14:paraId="7444FF58" w14:textId="77777777" w:rsidTr="0002556C">
        <w:trPr>
          <w:trHeight w:val="970"/>
          <w:jc w:val="center"/>
        </w:trPr>
        <w:tc>
          <w:tcPr>
            <w:tcW w:w="74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E06F777"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Corporate governance structure</w:t>
            </w:r>
          </w:p>
        </w:tc>
        <w:tc>
          <w:tcPr>
            <w:tcW w:w="88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C507323" w14:textId="77777777" w:rsidR="0002556C" w:rsidRPr="002A7A75" w:rsidRDefault="0002556C" w:rsidP="002A7A75">
            <w:pPr>
              <w:widowControl w:val="0"/>
              <w:pBdr>
                <w:top w:val="nil"/>
                <w:left w:val="nil"/>
                <w:bottom w:val="nil"/>
                <w:right w:val="nil"/>
                <w:between w:val="nil"/>
                <w:bar w:val="nil"/>
              </w:pBdr>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CEO and executive board members, Audit Commission, Supervisory Board</w:t>
            </w:r>
          </w:p>
        </w:tc>
        <w:tc>
          <w:tcPr>
            <w:tcW w:w="1263" w:type="pct"/>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55DD690" w14:textId="77777777" w:rsidR="0002556C" w:rsidRPr="002A7A75" w:rsidRDefault="0002556C" w:rsidP="002A7A75">
            <w:pPr>
              <w:widowControl w:val="0"/>
              <w:pBdr>
                <w:top w:val="nil"/>
                <w:left w:val="nil"/>
                <w:bottom w:val="nil"/>
                <w:right w:val="nil"/>
                <w:between w:val="nil"/>
                <w:bar w:val="nil"/>
              </w:pBdr>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Board (or director), Audit Commission</w:t>
            </w:r>
          </w:p>
        </w:tc>
        <w:tc>
          <w:tcPr>
            <w:tcW w:w="72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BFD2BC7"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Defined by participants</w:t>
            </w:r>
          </w:p>
        </w:tc>
        <w:tc>
          <w:tcPr>
            <w:tcW w:w="720"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A85467C"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Defined by full liability participants</w:t>
            </w:r>
          </w:p>
        </w:tc>
        <w:tc>
          <w:tcPr>
            <w:tcW w:w="665"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5EDF10A" w14:textId="77777777" w:rsidR="0002556C" w:rsidRPr="002A7A75" w:rsidRDefault="0002556C" w:rsidP="002A7A75">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At the discretion of owner</w:t>
            </w:r>
          </w:p>
        </w:tc>
      </w:tr>
      <w:tr w:rsidR="0002556C" w:rsidRPr="002A7A75" w14:paraId="49960D57" w14:textId="77777777" w:rsidTr="0002556C">
        <w:trPr>
          <w:trHeight w:val="730"/>
          <w:jc w:val="center"/>
        </w:trPr>
        <w:tc>
          <w:tcPr>
            <w:tcW w:w="74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604D6B2"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Highest governance body</w:t>
            </w:r>
          </w:p>
        </w:tc>
        <w:tc>
          <w:tcPr>
            <w:tcW w:w="88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2AD2A94" w14:textId="77777777" w:rsidR="0002556C" w:rsidRPr="002A7A75" w:rsidRDefault="0002556C" w:rsidP="002A7A75">
            <w:pPr>
              <w:widowControl w:val="0"/>
              <w:pBdr>
                <w:top w:val="nil"/>
                <w:left w:val="nil"/>
                <w:bottom w:val="nil"/>
                <w:right w:val="nil"/>
                <w:between w:val="nil"/>
                <w:bar w:val="nil"/>
              </w:pBdr>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General meeting of shareholders</w:t>
            </w:r>
          </w:p>
        </w:tc>
        <w:tc>
          <w:tcPr>
            <w:tcW w:w="1986" w:type="pct"/>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8474748" w14:textId="77777777" w:rsidR="0002556C" w:rsidRPr="002A7A75" w:rsidRDefault="0002556C" w:rsidP="002A7A75">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tLeast"/>
              <w:jc w:val="center"/>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Participants' Meeting</w:t>
            </w:r>
          </w:p>
        </w:tc>
        <w:tc>
          <w:tcPr>
            <w:tcW w:w="720"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18674FD"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Full liability Participants' Meeting</w:t>
            </w:r>
          </w:p>
        </w:tc>
        <w:tc>
          <w:tcPr>
            <w:tcW w:w="665"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E42F3F6" w14:textId="77777777" w:rsidR="0002556C" w:rsidRPr="002A7A75" w:rsidRDefault="0002556C" w:rsidP="002A7A75">
            <w:pPr>
              <w:widowControl w:val="0"/>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s>
              <w:spacing w:line="240" w:lineRule="atLeast"/>
              <w:rPr>
                <w:rFonts w:ascii="Calibri" w:eastAsia="Calibri" w:hAnsi="Calibri" w:cs="Calibri"/>
                <w:sz w:val="22"/>
                <w:u w:color="000000"/>
                <w:bdr w:val="nil"/>
                <w:lang w:val="en-US" w:eastAsia="en-US"/>
              </w:rPr>
            </w:pPr>
            <w:r w:rsidRPr="002A7A75">
              <w:rPr>
                <w:rFonts w:eastAsia="Calibri" w:hAnsi="Calibri" w:cs="Calibri"/>
                <w:sz w:val="22"/>
                <w:szCs w:val="20"/>
                <w:u w:color="000000"/>
                <w:bdr w:val="nil"/>
                <w:lang w:val="en-US" w:eastAsia="en-US"/>
              </w:rPr>
              <w:t>Owner</w:t>
            </w:r>
          </w:p>
        </w:tc>
      </w:tr>
    </w:tbl>
    <w:p w14:paraId="1C8AAECE"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108" w:firstLine="249"/>
        <w:jc w:val="center"/>
        <w:rPr>
          <w:rFonts w:eastAsia="Garamond"/>
          <w:b/>
          <w:bCs/>
          <w:u w:color="000000"/>
          <w:bdr w:val="nil"/>
          <w:lang w:val="en-US" w:eastAsia="en-US"/>
        </w:rPr>
      </w:pPr>
    </w:p>
    <w:p w14:paraId="0F60D368"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109AE399"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211A1B82"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019E032D"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25EC8AA0" w14:textId="77777777" w:rsidR="003C51B1" w:rsidRPr="002A7A75" w:rsidRDefault="003C51B1" w:rsidP="00505A1C">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709"/>
        <w:rPr>
          <w:rFonts w:eastAsia="Garamond"/>
          <w:b/>
          <w:bCs/>
          <w:sz w:val="28"/>
          <w:u w:color="000000"/>
          <w:bdr w:val="nil"/>
          <w:lang w:val="en-US" w:eastAsia="en-US"/>
        </w:rPr>
      </w:pPr>
      <w:r w:rsidRPr="002A7A75">
        <w:rPr>
          <w:rFonts w:eastAsia="Calibri" w:hAnsi="Calibri" w:cs="Calibri"/>
          <w:b/>
          <w:bCs/>
          <w:sz w:val="28"/>
          <w:u w:color="000000"/>
          <w:bdr w:val="nil"/>
          <w:lang w:val="en-US" w:eastAsia="en-US"/>
        </w:rPr>
        <w:lastRenderedPageBreak/>
        <w:t xml:space="preserve">Table </w:t>
      </w:r>
      <w:r w:rsidR="002A7A75">
        <w:rPr>
          <w:rFonts w:eastAsia="Calibri" w:hAnsi="Calibri" w:cs="Calibri"/>
          <w:b/>
          <w:bCs/>
          <w:sz w:val="28"/>
          <w:u w:color="000000"/>
          <w:bdr w:val="nil"/>
          <w:lang w:val="en-US" w:eastAsia="en-US"/>
        </w:rPr>
        <w:t>A</w:t>
      </w:r>
      <w:r w:rsidRPr="002A7A75">
        <w:rPr>
          <w:rFonts w:eastAsia="Calibri" w:hAnsi="Calibri" w:cs="Calibri"/>
          <w:b/>
          <w:bCs/>
          <w:sz w:val="28"/>
          <w:u w:color="000000"/>
          <w:bdr w:val="nil"/>
          <w:lang w:val="en-US" w:eastAsia="en-US"/>
        </w:rPr>
        <w:t>.2</w:t>
      </w:r>
      <w:r w:rsidR="00505A1C">
        <w:rPr>
          <w:rFonts w:eastAsia="Garamond"/>
          <w:b/>
          <w:bCs/>
          <w:sz w:val="28"/>
          <w:u w:color="000000"/>
          <w:bdr w:val="nil"/>
          <w:lang w:val="en-US" w:eastAsia="en-US"/>
        </w:rPr>
        <w:t xml:space="preserve"> – </w:t>
      </w:r>
      <w:r w:rsidRPr="002A7A75">
        <w:rPr>
          <w:rFonts w:eastAsia="Calibri" w:hAnsi="Calibri" w:cs="Calibri"/>
          <w:b/>
          <w:bCs/>
          <w:sz w:val="28"/>
          <w:u w:color="000000"/>
          <w:bdr w:val="nil"/>
          <w:lang w:val="en-US" w:eastAsia="en-US"/>
        </w:rPr>
        <w:t>Consolidated statement of cash flows of Sandvik</w:t>
      </w:r>
    </w:p>
    <w:p w14:paraId="7E8ED538"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jc w:val="right"/>
        <w:rPr>
          <w:rFonts w:eastAsia="Garamond"/>
          <w:b/>
          <w:bCs/>
          <w:u w:color="000000"/>
          <w:bdr w:val="nil"/>
          <w:lang w:val="en-US" w:eastAsia="en-US"/>
        </w:rPr>
      </w:pPr>
      <w:r w:rsidRPr="003C51B1">
        <w:rPr>
          <w:rFonts w:ascii="Calibri" w:eastAsia="Calibri" w:hAnsi="Calibri" w:cs="Calibri"/>
          <w:noProof/>
          <w:u w:color="000000"/>
          <w:bdr w:val="nil"/>
          <w:lang w:val="ru-RU" w:eastAsia="ru-RU"/>
        </w:rPr>
        <w:drawing>
          <wp:inline distT="0" distB="0" distL="0" distR="0" wp14:anchorId="4CF3E3CB" wp14:editId="4376B65E">
            <wp:extent cx="5969635" cy="4850291"/>
            <wp:effectExtent l="0" t="0" r="0" b="0"/>
            <wp:docPr id="1073742012"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pic:nvPicPr>
                  <pic:blipFill>
                    <a:blip r:embed="rId35"/>
                    <a:stretch>
                      <a:fillRect/>
                    </a:stretch>
                  </pic:blipFill>
                  <pic:spPr>
                    <a:xfrm>
                      <a:off x="0" y="0"/>
                      <a:ext cx="5969635" cy="4850291"/>
                    </a:xfrm>
                    <a:prstGeom prst="rect">
                      <a:avLst/>
                    </a:prstGeom>
                    <a:ln w="12700">
                      <a:noFill/>
                      <a:miter lim="400000"/>
                    </a:ln>
                  </pic:spPr>
                </pic:pic>
              </a:graphicData>
            </a:graphic>
          </wp:inline>
        </w:drawing>
      </w:r>
    </w:p>
    <w:p w14:paraId="4896BA6B"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597A80B3"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4BA82719"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0CF0BC48"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0A73D39A"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18896C53"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6B0D7A86"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7F2266BB"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65CBFE1B"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5DE03A7B"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7E30775E"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24604690"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1C7FCE11"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6E112E27"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24246F0D" w14:textId="77777777" w:rsid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Garamond"/>
          <w:b/>
          <w:bCs/>
          <w:u w:color="000000"/>
          <w:bdr w:val="nil"/>
          <w:lang w:val="en-US" w:eastAsia="en-US"/>
        </w:rPr>
      </w:pPr>
    </w:p>
    <w:p w14:paraId="24C51A52" w14:textId="77777777" w:rsidR="00505A1C" w:rsidRDefault="00505A1C"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right"/>
        <w:rPr>
          <w:rFonts w:eastAsia="Calibri" w:hAnsi="Calibri" w:cs="Calibri"/>
          <w:b/>
          <w:bCs/>
          <w:sz w:val="28"/>
          <w:u w:color="000000"/>
          <w:bdr w:val="nil"/>
          <w:lang w:val="en-US" w:eastAsia="en-US"/>
        </w:rPr>
      </w:pPr>
    </w:p>
    <w:p w14:paraId="388F720A" w14:textId="77777777" w:rsidR="003C51B1" w:rsidRPr="002A7A75" w:rsidRDefault="003C51B1" w:rsidP="00505A1C">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709"/>
        <w:jc w:val="both"/>
        <w:rPr>
          <w:rFonts w:eastAsia="Garamond"/>
          <w:b/>
          <w:bCs/>
          <w:sz w:val="28"/>
          <w:u w:color="000000"/>
          <w:bdr w:val="nil"/>
          <w:lang w:val="en-US" w:eastAsia="en-US"/>
        </w:rPr>
      </w:pPr>
      <w:r w:rsidRPr="002A7A75">
        <w:rPr>
          <w:rFonts w:eastAsia="Calibri" w:hAnsi="Calibri" w:cs="Calibri"/>
          <w:b/>
          <w:bCs/>
          <w:sz w:val="28"/>
          <w:u w:color="000000"/>
          <w:bdr w:val="nil"/>
          <w:lang w:val="en-US" w:eastAsia="en-US"/>
        </w:rPr>
        <w:lastRenderedPageBreak/>
        <w:t xml:space="preserve">Table </w:t>
      </w:r>
      <w:r w:rsidR="002A7A75">
        <w:rPr>
          <w:rFonts w:eastAsia="Calibri" w:hAnsi="Calibri" w:cs="Calibri"/>
          <w:b/>
          <w:bCs/>
          <w:sz w:val="28"/>
          <w:u w:color="000000"/>
          <w:bdr w:val="nil"/>
          <w:lang w:val="en-US" w:eastAsia="en-US"/>
        </w:rPr>
        <w:t>A</w:t>
      </w:r>
      <w:r w:rsidRPr="002A7A75">
        <w:rPr>
          <w:rFonts w:eastAsia="Calibri" w:hAnsi="Calibri" w:cs="Calibri"/>
          <w:b/>
          <w:bCs/>
          <w:sz w:val="28"/>
          <w:u w:color="000000"/>
          <w:bdr w:val="nil"/>
          <w:lang w:val="en-US" w:eastAsia="en-US"/>
        </w:rPr>
        <w:t>.3</w:t>
      </w:r>
      <w:r w:rsidR="00505A1C">
        <w:rPr>
          <w:rFonts w:eastAsia="Garamond"/>
          <w:b/>
          <w:bCs/>
          <w:sz w:val="28"/>
          <w:u w:color="000000"/>
          <w:bdr w:val="nil"/>
          <w:lang w:val="en-US" w:eastAsia="en-US"/>
        </w:rPr>
        <w:t xml:space="preserve"> – </w:t>
      </w:r>
      <w:r w:rsidRPr="002A7A75">
        <w:rPr>
          <w:rFonts w:eastAsia="Calibri" w:hAnsi="Calibri" w:cs="Calibri"/>
          <w:b/>
          <w:bCs/>
          <w:sz w:val="28"/>
          <w:u w:color="000000"/>
          <w:bdr w:val="nil"/>
          <w:lang w:val="en-US" w:eastAsia="en-US"/>
        </w:rPr>
        <w:t>Consolidated statement of profit or loss and other comprehensive</w:t>
      </w:r>
      <w:r w:rsidR="002A7A75">
        <w:rPr>
          <w:rFonts w:eastAsia="Calibri" w:hAnsi="Calibri" w:cs="Calibri"/>
          <w:b/>
          <w:bCs/>
          <w:sz w:val="28"/>
          <w:u w:color="000000"/>
          <w:bdr w:val="nil"/>
          <w:lang w:val="en-US" w:eastAsia="en-US"/>
        </w:rPr>
        <w:t xml:space="preserve"> </w:t>
      </w:r>
      <w:r w:rsidRPr="002A7A75">
        <w:rPr>
          <w:rFonts w:eastAsia="Calibri" w:hAnsi="Calibri" w:cs="Calibri"/>
          <w:b/>
          <w:bCs/>
          <w:sz w:val="28"/>
          <w:u w:color="000000"/>
          <w:bdr w:val="nil"/>
          <w:lang w:val="en-US" w:eastAsia="en-US"/>
        </w:rPr>
        <w:t>income of Sandvik</w:t>
      </w:r>
    </w:p>
    <w:p w14:paraId="7216B096"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jc w:val="both"/>
        <w:rPr>
          <w:rFonts w:ascii="Calibri" w:eastAsia="Calibri" w:hAnsi="Calibri" w:cs="Calibri"/>
          <w:u w:color="000000"/>
          <w:bdr w:val="nil"/>
          <w:lang w:val="en-US" w:eastAsia="en-US"/>
        </w:rPr>
      </w:pPr>
      <w:r w:rsidRPr="003C51B1">
        <w:rPr>
          <w:rFonts w:ascii="Calibri" w:eastAsia="Calibri" w:hAnsi="Calibri" w:cs="Calibri"/>
          <w:noProof/>
          <w:u w:color="000000"/>
          <w:bdr w:val="nil"/>
          <w:lang w:val="ru-RU" w:eastAsia="ru-RU"/>
        </w:rPr>
        <w:drawing>
          <wp:inline distT="0" distB="0" distL="0" distR="0" wp14:anchorId="3C3F02E6" wp14:editId="585F07B9">
            <wp:extent cx="5969635" cy="5107681"/>
            <wp:effectExtent l="0" t="0" r="0" b="0"/>
            <wp:docPr id="1073742013"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pic:nvPicPr>
                  <pic:blipFill>
                    <a:blip r:embed="rId36"/>
                    <a:stretch>
                      <a:fillRect/>
                    </a:stretch>
                  </pic:blipFill>
                  <pic:spPr>
                    <a:xfrm>
                      <a:off x="0" y="0"/>
                      <a:ext cx="5969635" cy="5107681"/>
                    </a:xfrm>
                    <a:prstGeom prst="rect">
                      <a:avLst/>
                    </a:prstGeom>
                    <a:ln w="12700">
                      <a:noFill/>
                      <a:miter lim="400000"/>
                    </a:ln>
                  </pic:spPr>
                </pic:pic>
              </a:graphicData>
            </a:graphic>
          </wp:inline>
        </w:drawing>
      </w:r>
    </w:p>
    <w:p w14:paraId="6B816B37"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5EFB1F6E"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62F1A1F0"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6ADE725D"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72D6557D"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239A986B" w14:textId="77777777" w:rsidR="003C51B1" w:rsidRPr="003C51B1"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u w:color="000000"/>
          <w:bdr w:val="nil"/>
          <w:lang w:val="en-US" w:eastAsia="en-US"/>
        </w:rPr>
      </w:pPr>
    </w:p>
    <w:p w14:paraId="7CD60C05" w14:textId="77777777" w:rsidR="003C51B1" w:rsidRPr="002A7A75" w:rsidRDefault="003C51B1" w:rsidP="003C51B1">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12" w:lineRule="auto"/>
        <w:ind w:firstLine="357"/>
        <w:jc w:val="both"/>
        <w:rPr>
          <w:rFonts w:ascii="Calibri" w:eastAsia="Calibri" w:hAnsi="Calibri" w:cs="Calibri"/>
          <w:sz w:val="28"/>
          <w:u w:color="000000"/>
          <w:bdr w:val="nil"/>
          <w:lang w:val="en-US" w:eastAsia="en-US"/>
        </w:rPr>
      </w:pPr>
      <w:r w:rsidRPr="002A7A75">
        <w:rPr>
          <w:rFonts w:eastAsia="Garamond"/>
          <w:noProof/>
          <w:sz w:val="28"/>
          <w:u w:color="000000"/>
          <w:bdr w:val="nil"/>
          <w:lang w:val="ru-RU" w:eastAsia="ru-RU"/>
        </w:rPr>
        <w:lastRenderedPageBreak/>
        <mc:AlternateContent>
          <mc:Choice Requires="wpg">
            <w:drawing>
              <wp:inline distT="0" distB="0" distL="0" distR="0" wp14:anchorId="50B819B3" wp14:editId="41BECB88">
                <wp:extent cx="5486465" cy="4463911"/>
                <wp:effectExtent l="0" t="0" r="0" b="0"/>
                <wp:docPr id="1073741960" name="officeArt object"/>
                <wp:cNvGraphicFramePr/>
                <a:graphic xmlns:a="http://schemas.openxmlformats.org/drawingml/2006/main">
                  <a:graphicData uri="http://schemas.microsoft.com/office/word/2010/wordprocessingGroup">
                    <wpg:wgp>
                      <wpg:cNvGrpSpPr/>
                      <wpg:grpSpPr>
                        <a:xfrm>
                          <a:off x="0" y="0"/>
                          <a:ext cx="5486465" cy="4463911"/>
                          <a:chOff x="0" y="0"/>
                          <a:chExt cx="5486464" cy="4463910"/>
                        </a:xfrm>
                      </wpg:grpSpPr>
                      <wpg:grpSp>
                        <wpg:cNvPr id="1073741961" name="Group 1073741829"/>
                        <wpg:cNvGrpSpPr/>
                        <wpg:grpSpPr>
                          <a:xfrm>
                            <a:off x="0" y="0"/>
                            <a:ext cx="5486465" cy="282801"/>
                            <a:chOff x="0" y="0"/>
                            <a:chExt cx="5486464" cy="282800"/>
                          </a:xfrm>
                        </wpg:grpSpPr>
                        <wps:wsp>
                          <wps:cNvPr id="1073741962" name="Shape 1073741827"/>
                          <wps:cNvSpPr/>
                          <wps:spPr>
                            <a:xfrm>
                              <a:off x="0" y="-1"/>
                              <a:ext cx="5486465" cy="282802"/>
                            </a:xfrm>
                            <a:prstGeom prst="rect">
                              <a:avLst/>
                            </a:prstGeom>
                            <a:solidFill>
                              <a:srgbClr val="FFFFFF"/>
                            </a:solidFill>
                            <a:ln w="6350">
                              <a:solidFill>
                                <a:srgbClr val="000000"/>
                              </a:solidFill>
                              <a:round/>
                            </a:ln>
                          </wps:spPr>
                          <wps:bodyPr/>
                        </wps:wsp>
                        <wps:wsp>
                          <wps:cNvPr id="1073741963" name="Shape 1073741828"/>
                          <wps:cNvSpPr/>
                          <wps:spPr>
                            <a:xfrm>
                              <a:off x="0" y="-1"/>
                              <a:ext cx="5486465" cy="282802"/>
                            </a:xfrm>
                            <a:prstGeom prst="rect">
                              <a:avLst/>
                            </a:prstGeom>
                            <a:noFill/>
                            <a:ln w="12700">
                              <a:noFill/>
                              <a:miter lim="400000"/>
                            </a:ln>
                          </wps:spPr>
                          <wps:txbx>
                            <w:txbxContent>
                              <w:p w14:paraId="41E0695F" w14:textId="77777777" w:rsidR="00B56753" w:rsidRPr="002A7A75" w:rsidRDefault="00B56753" w:rsidP="003C51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sz w:val="28"/>
                                  </w:rPr>
                                </w:pPr>
                                <w:r w:rsidRPr="002A7A75">
                                  <w:rPr>
                                    <w:sz w:val="28"/>
                                    <w:lang w:val="en-US"/>
                                  </w:rPr>
                                  <w:t>Revenue</w:t>
                                </w:r>
                              </w:p>
                            </w:txbxContent>
                          </wps:txbx>
                          <wps:bodyPr wrap="square" lIns="45719" tIns="45719" rIns="45719" bIns="45719" numCol="1" anchor="t"/>
                        </wps:wsp>
                      </wpg:grpSp>
                      <wps:wsp>
                        <wps:cNvPr id="1073741964" name="Shape 1073741830"/>
                        <wps:cNvSpPr/>
                        <wps:spPr>
                          <a:xfrm>
                            <a:off x="2508429" y="257700"/>
                            <a:ext cx="456507" cy="228602"/>
                          </a:xfrm>
                          <a:prstGeom prst="rect">
                            <a:avLst/>
                          </a:prstGeom>
                          <a:noFill/>
                          <a:ln w="12700">
                            <a:noFill/>
                            <a:miter lim="400000"/>
                          </a:ln>
                        </wps:spPr>
                        <wps:txbx>
                          <w:txbxContent>
                            <w:p w14:paraId="352691CD" w14:textId="77777777" w:rsidR="00B56753" w:rsidRDefault="00B56753" w:rsidP="003C51B1">
                              <w:pPr>
                                <w:pStyle w:val="NormalWeb"/>
                                <w:tabs>
                                  <w:tab w:val="left" w:pos="708"/>
                                </w:tabs>
                                <w:spacing w:before="0" w:after="0"/>
                                <w:jc w:val="center"/>
                              </w:pPr>
                              <w:r>
                                <w:rPr>
                                  <w:rFonts w:hAnsi="Garamond"/>
                                  <w:sz w:val="22"/>
                                  <w:szCs w:val="22"/>
                                </w:rPr>
                                <w:t>–</w:t>
                              </w:r>
                            </w:p>
                          </w:txbxContent>
                        </wps:txbx>
                        <wps:bodyPr wrap="square" lIns="45719" tIns="45719" rIns="45719" bIns="45719" numCol="1" anchor="t"/>
                      </wps:wsp>
                      <wpg:grpSp>
                        <wpg:cNvPr id="1073741965" name="Group 1073741833"/>
                        <wpg:cNvGrpSpPr/>
                        <wpg:grpSpPr>
                          <a:xfrm>
                            <a:off x="0" y="486301"/>
                            <a:ext cx="5486465" cy="282601"/>
                            <a:chOff x="0" y="0"/>
                            <a:chExt cx="5486464" cy="282600"/>
                          </a:xfrm>
                        </wpg:grpSpPr>
                        <wps:wsp>
                          <wps:cNvPr id="1073741966" name="Shape 1073741831"/>
                          <wps:cNvSpPr/>
                          <wps:spPr>
                            <a:xfrm>
                              <a:off x="0" y="-1"/>
                              <a:ext cx="5486465" cy="282602"/>
                            </a:xfrm>
                            <a:prstGeom prst="rect">
                              <a:avLst/>
                            </a:prstGeom>
                            <a:solidFill>
                              <a:srgbClr val="FFFFFF"/>
                            </a:solidFill>
                            <a:ln w="6350">
                              <a:solidFill>
                                <a:srgbClr val="000000"/>
                              </a:solidFill>
                              <a:round/>
                            </a:ln>
                          </wps:spPr>
                          <wps:bodyPr/>
                        </wps:wsp>
                        <wps:wsp>
                          <wps:cNvPr id="1073741967" name="Shape 1073741832"/>
                          <wps:cNvSpPr/>
                          <wps:spPr>
                            <a:xfrm>
                              <a:off x="0" y="-1"/>
                              <a:ext cx="5486465" cy="282602"/>
                            </a:xfrm>
                            <a:prstGeom prst="rect">
                              <a:avLst/>
                            </a:prstGeom>
                            <a:noFill/>
                            <a:ln w="12700">
                              <a:noFill/>
                              <a:miter lim="400000"/>
                            </a:ln>
                          </wps:spPr>
                          <wps:txbx>
                            <w:txbxContent>
                              <w:p w14:paraId="54B43452" w14:textId="77777777" w:rsidR="00B56753" w:rsidRPr="002A7A75" w:rsidRDefault="00B56753" w:rsidP="003C51B1">
                                <w:pPr>
                                  <w:pStyle w:val="NormalWe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sz w:val="28"/>
                                    <w:lang w:val="en-US"/>
                                  </w:rPr>
                                  <w:t>Cost of sales</w:t>
                                </w:r>
                              </w:p>
                            </w:txbxContent>
                          </wps:txbx>
                          <wps:bodyPr wrap="square" lIns="45719" tIns="45719" rIns="45719" bIns="45719" numCol="1" anchor="t"/>
                        </wps:wsp>
                      </wpg:grpSp>
                      <wps:wsp>
                        <wps:cNvPr id="1073741968" name="Shape 1073741834"/>
                        <wps:cNvSpPr/>
                        <wps:spPr>
                          <a:xfrm>
                            <a:off x="2508429" y="768901"/>
                            <a:ext cx="456507" cy="228602"/>
                          </a:xfrm>
                          <a:prstGeom prst="rect">
                            <a:avLst/>
                          </a:prstGeom>
                          <a:noFill/>
                          <a:ln w="12700">
                            <a:noFill/>
                            <a:miter lim="400000"/>
                          </a:ln>
                        </wps:spPr>
                        <wps:txbx>
                          <w:txbxContent>
                            <w:p w14:paraId="0722B41C" w14:textId="77777777" w:rsidR="00B56753" w:rsidRDefault="00B56753" w:rsidP="003C51B1">
                              <w:pPr>
                                <w:pStyle w:val="NormalWeb"/>
                                <w:tabs>
                                  <w:tab w:val="left" w:pos="708"/>
                                </w:tabs>
                                <w:spacing w:before="0" w:after="0"/>
                                <w:jc w:val="center"/>
                              </w:pPr>
                              <w:r>
                                <w:rPr>
                                  <w:rFonts w:ascii="Garamond"/>
                                  <w:sz w:val="22"/>
                                  <w:szCs w:val="22"/>
                                  <w:lang w:val="en-US"/>
                                </w:rPr>
                                <w:t>=</w:t>
                              </w:r>
                            </w:p>
                          </w:txbxContent>
                        </wps:txbx>
                        <wps:bodyPr wrap="square" lIns="45719" tIns="45719" rIns="45719" bIns="45719" numCol="1" anchor="t"/>
                      </wps:wsp>
                      <wpg:grpSp>
                        <wpg:cNvPr id="1073741969" name="Group 1073741837"/>
                        <wpg:cNvGrpSpPr/>
                        <wpg:grpSpPr>
                          <a:xfrm>
                            <a:off x="0" y="989002"/>
                            <a:ext cx="5486465" cy="282501"/>
                            <a:chOff x="0" y="0"/>
                            <a:chExt cx="5486464" cy="282500"/>
                          </a:xfrm>
                        </wpg:grpSpPr>
                        <wps:wsp>
                          <wps:cNvPr id="1073741970" name="Shape 1073741835"/>
                          <wps:cNvSpPr/>
                          <wps:spPr>
                            <a:xfrm>
                              <a:off x="0" y="0"/>
                              <a:ext cx="5486465" cy="282501"/>
                            </a:xfrm>
                            <a:prstGeom prst="rect">
                              <a:avLst/>
                            </a:prstGeom>
                            <a:solidFill>
                              <a:srgbClr val="FFFFFF"/>
                            </a:solidFill>
                            <a:ln w="6350">
                              <a:solidFill>
                                <a:srgbClr val="000000"/>
                              </a:solidFill>
                              <a:round/>
                            </a:ln>
                          </wps:spPr>
                          <wps:bodyPr/>
                        </wps:wsp>
                        <wps:wsp>
                          <wps:cNvPr id="1073741971" name="Shape 1073741836"/>
                          <wps:cNvSpPr/>
                          <wps:spPr>
                            <a:xfrm>
                              <a:off x="0" y="0"/>
                              <a:ext cx="5486465" cy="282501"/>
                            </a:xfrm>
                            <a:prstGeom prst="rect">
                              <a:avLst/>
                            </a:prstGeom>
                            <a:noFill/>
                            <a:ln w="12700">
                              <a:noFill/>
                              <a:miter lim="400000"/>
                            </a:ln>
                          </wps:spPr>
                          <wps:txbx>
                            <w:txbxContent>
                              <w:p w14:paraId="7A1C17EF" w14:textId="77777777" w:rsidR="00B56753" w:rsidRPr="002A7A75" w:rsidRDefault="00B56753" w:rsidP="003C51B1">
                                <w:pPr>
                                  <w:pStyle w:val="NormalWe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b/>
                                    <w:bCs/>
                                    <w:sz w:val="28"/>
                                    <w:lang w:val="en-US"/>
                                  </w:rPr>
                                  <w:t>Gross profit</w:t>
                                </w:r>
                              </w:p>
                            </w:txbxContent>
                          </wps:txbx>
                          <wps:bodyPr wrap="square" lIns="45719" tIns="45719" rIns="45719" bIns="45719" numCol="1" anchor="t"/>
                        </wps:wsp>
                      </wpg:grpSp>
                      <wpg:grpSp>
                        <wpg:cNvPr id="1073741972" name="Group 1073741840"/>
                        <wpg:cNvGrpSpPr/>
                        <wpg:grpSpPr>
                          <a:xfrm>
                            <a:off x="0" y="1442603"/>
                            <a:ext cx="1093513" cy="423402"/>
                            <a:chOff x="0" y="0"/>
                            <a:chExt cx="1093512" cy="423400"/>
                          </a:xfrm>
                        </wpg:grpSpPr>
                        <wps:wsp>
                          <wps:cNvPr id="1073741973" name="Shape 1073741838"/>
                          <wps:cNvSpPr/>
                          <wps:spPr>
                            <a:xfrm>
                              <a:off x="0" y="0"/>
                              <a:ext cx="1093513" cy="423401"/>
                            </a:xfrm>
                            <a:prstGeom prst="rect">
                              <a:avLst/>
                            </a:prstGeom>
                            <a:solidFill>
                              <a:srgbClr val="FFFFFF"/>
                            </a:solidFill>
                            <a:ln w="6350">
                              <a:solidFill>
                                <a:srgbClr val="000000"/>
                              </a:solidFill>
                              <a:round/>
                            </a:ln>
                          </wps:spPr>
                          <wps:bodyPr/>
                        </wps:wsp>
                        <wps:wsp>
                          <wps:cNvPr id="1073741974" name="Shape 1073741839"/>
                          <wps:cNvSpPr/>
                          <wps:spPr>
                            <a:xfrm>
                              <a:off x="0" y="0"/>
                              <a:ext cx="1093513" cy="423401"/>
                            </a:xfrm>
                            <a:prstGeom prst="rect">
                              <a:avLst/>
                            </a:prstGeom>
                            <a:noFill/>
                            <a:ln w="12700">
                              <a:noFill/>
                              <a:miter lim="400000"/>
                            </a:ln>
                          </wps:spPr>
                          <wps:txbx>
                            <w:txbxContent>
                              <w:p w14:paraId="02098C96" w14:textId="77777777" w:rsidR="00B56753" w:rsidRDefault="00B56753" w:rsidP="003C51B1">
                                <w:pPr>
                                  <w:pStyle w:val="NormalWeb"/>
                                  <w:tabs>
                                    <w:tab w:val="left" w:pos="708"/>
                                    <w:tab w:val="left" w:pos="1416"/>
                                  </w:tabs>
                                  <w:spacing w:before="0" w:after="0"/>
                                  <w:jc w:val="center"/>
                                </w:pPr>
                                <w:r>
                                  <w:rPr>
                                    <w:rFonts w:ascii="Garamond"/>
                                    <w:lang w:val="en-US"/>
                                  </w:rPr>
                                  <w:t>Other income</w:t>
                                </w:r>
                              </w:p>
                            </w:txbxContent>
                          </wps:txbx>
                          <wps:bodyPr wrap="square" lIns="45719" tIns="45719" rIns="45719" bIns="45719" numCol="1" anchor="ctr"/>
                        </wps:wsp>
                      </wpg:grpSp>
                      <wps:wsp>
                        <wps:cNvPr id="1073741975" name="Shape 1073741841"/>
                        <wps:cNvSpPr/>
                        <wps:spPr>
                          <a:xfrm>
                            <a:off x="283603" y="1260802"/>
                            <a:ext cx="456006" cy="228002"/>
                          </a:xfrm>
                          <a:prstGeom prst="rect">
                            <a:avLst/>
                          </a:prstGeom>
                          <a:noFill/>
                          <a:ln w="12700">
                            <a:noFill/>
                            <a:miter lim="400000"/>
                          </a:ln>
                        </wps:spPr>
                        <wps:txbx>
                          <w:txbxContent>
                            <w:p w14:paraId="48432F1F" w14:textId="77777777" w:rsidR="00B56753" w:rsidRDefault="00B56753" w:rsidP="003C51B1">
                              <w:pPr>
                                <w:pStyle w:val="NormalWeb"/>
                                <w:tabs>
                                  <w:tab w:val="left" w:pos="708"/>
                                </w:tabs>
                                <w:spacing w:before="0" w:after="0"/>
                                <w:jc w:val="center"/>
                              </w:pPr>
                              <w:r>
                                <w:rPr>
                                  <w:rFonts w:ascii="Garamond"/>
                                  <w:sz w:val="22"/>
                                  <w:szCs w:val="22"/>
                                  <w:lang w:val="en-US"/>
                                </w:rPr>
                                <w:t>+</w:t>
                              </w:r>
                            </w:p>
                          </w:txbxContent>
                        </wps:txbx>
                        <wps:bodyPr wrap="square" lIns="45719" tIns="45719" rIns="45719" bIns="45719" numCol="1" anchor="t"/>
                      </wps:wsp>
                      <wpg:grpSp>
                        <wpg:cNvPr id="1073741976" name="Group 1073741844"/>
                        <wpg:cNvGrpSpPr/>
                        <wpg:grpSpPr>
                          <a:xfrm>
                            <a:off x="1282715" y="1442103"/>
                            <a:ext cx="1451018" cy="423802"/>
                            <a:chOff x="0" y="0"/>
                            <a:chExt cx="1451017" cy="423800"/>
                          </a:xfrm>
                        </wpg:grpSpPr>
                        <wps:wsp>
                          <wps:cNvPr id="1073741977" name="Shape 1073741842"/>
                          <wps:cNvSpPr/>
                          <wps:spPr>
                            <a:xfrm>
                              <a:off x="-1" y="0"/>
                              <a:ext cx="1451019" cy="423801"/>
                            </a:xfrm>
                            <a:prstGeom prst="rect">
                              <a:avLst/>
                            </a:prstGeom>
                            <a:solidFill>
                              <a:srgbClr val="FFFFFF"/>
                            </a:solidFill>
                            <a:ln w="6350">
                              <a:solidFill>
                                <a:srgbClr val="000000"/>
                              </a:solidFill>
                              <a:round/>
                            </a:ln>
                          </wps:spPr>
                          <wps:bodyPr/>
                        </wps:wsp>
                        <wps:wsp>
                          <wps:cNvPr id="1073741978" name="Shape 1073741843"/>
                          <wps:cNvSpPr/>
                          <wps:spPr>
                            <a:xfrm>
                              <a:off x="-1" y="0"/>
                              <a:ext cx="1451019" cy="423801"/>
                            </a:xfrm>
                            <a:prstGeom prst="rect">
                              <a:avLst/>
                            </a:prstGeom>
                            <a:noFill/>
                            <a:ln w="12700">
                              <a:noFill/>
                              <a:miter lim="400000"/>
                            </a:ln>
                          </wps:spPr>
                          <wps:txbx>
                            <w:txbxContent>
                              <w:p w14:paraId="73A9DF3B" w14:textId="77777777" w:rsidR="00B56753" w:rsidRPr="002A7A75" w:rsidRDefault="00B56753" w:rsidP="003C51B1">
                                <w:pPr>
                                  <w:pStyle w:val="NormalWeb"/>
                                  <w:tabs>
                                    <w:tab w:val="left" w:pos="708"/>
                                    <w:tab w:val="left" w:pos="1416"/>
                                    <w:tab w:val="left" w:pos="2124"/>
                                  </w:tabs>
                                  <w:spacing w:before="0" w:after="0"/>
                                  <w:jc w:val="center"/>
                                </w:pPr>
                                <w:r w:rsidRPr="002A7A75">
                                  <w:rPr>
                                    <w:rFonts w:ascii="Garamond"/>
                                    <w:lang w:val="en-US"/>
                                  </w:rPr>
                                  <w:t>Selling and distribution expenses</w:t>
                                </w:r>
                              </w:p>
                            </w:txbxContent>
                          </wps:txbx>
                          <wps:bodyPr wrap="square" lIns="45719" tIns="45719" rIns="45719" bIns="45719" numCol="1" anchor="ctr"/>
                        </wps:wsp>
                      </wpg:grpSp>
                      <wpg:grpSp>
                        <wpg:cNvPr id="1073741979" name="Group 1073741847"/>
                        <wpg:cNvGrpSpPr/>
                        <wpg:grpSpPr>
                          <a:xfrm>
                            <a:off x="2875433" y="1442203"/>
                            <a:ext cx="1300217" cy="424302"/>
                            <a:chOff x="0" y="0"/>
                            <a:chExt cx="1300215" cy="424300"/>
                          </a:xfrm>
                        </wpg:grpSpPr>
                        <wps:wsp>
                          <wps:cNvPr id="1073741980" name="Shape 1073741845"/>
                          <wps:cNvSpPr/>
                          <wps:spPr>
                            <a:xfrm>
                              <a:off x="0" y="0"/>
                              <a:ext cx="1300216" cy="424301"/>
                            </a:xfrm>
                            <a:prstGeom prst="rect">
                              <a:avLst/>
                            </a:prstGeom>
                            <a:solidFill>
                              <a:srgbClr val="FFFFFF"/>
                            </a:solidFill>
                            <a:ln w="6350">
                              <a:solidFill>
                                <a:srgbClr val="000000"/>
                              </a:solidFill>
                              <a:round/>
                            </a:ln>
                          </wps:spPr>
                          <wps:bodyPr/>
                        </wps:wsp>
                        <wps:wsp>
                          <wps:cNvPr id="1073741981" name="Shape 1073741846"/>
                          <wps:cNvSpPr/>
                          <wps:spPr>
                            <a:xfrm>
                              <a:off x="0" y="0"/>
                              <a:ext cx="1300216" cy="424301"/>
                            </a:xfrm>
                            <a:prstGeom prst="rect">
                              <a:avLst/>
                            </a:prstGeom>
                            <a:noFill/>
                            <a:ln w="12700">
                              <a:noFill/>
                              <a:miter lim="400000"/>
                            </a:ln>
                          </wps:spPr>
                          <wps:txbx>
                            <w:txbxContent>
                              <w:p w14:paraId="4A1B7B4F" w14:textId="77777777" w:rsidR="00B56753" w:rsidRDefault="00B56753" w:rsidP="003C51B1">
                                <w:pPr>
                                  <w:pStyle w:val="NormalWeb"/>
                                  <w:tabs>
                                    <w:tab w:val="left" w:pos="708"/>
                                    <w:tab w:val="left" w:pos="1416"/>
                                  </w:tabs>
                                  <w:spacing w:before="0" w:after="0"/>
                                  <w:jc w:val="center"/>
                                </w:pPr>
                                <w:r>
                                  <w:rPr>
                                    <w:rFonts w:ascii="Garamond"/>
                                    <w:lang w:val="en-US"/>
                                  </w:rPr>
                                  <w:t>Administrative expenses</w:t>
                                </w:r>
                              </w:p>
                            </w:txbxContent>
                          </wps:txbx>
                          <wps:bodyPr wrap="square" lIns="45719" tIns="45719" rIns="45719" bIns="45719" numCol="1" anchor="ctr"/>
                        </wps:wsp>
                      </wpg:grpSp>
                      <wpg:grpSp>
                        <wpg:cNvPr id="1073741982" name="Group 1073741850"/>
                        <wpg:cNvGrpSpPr/>
                        <wpg:grpSpPr>
                          <a:xfrm>
                            <a:off x="4317151" y="1442203"/>
                            <a:ext cx="1168014" cy="423702"/>
                            <a:chOff x="0" y="0"/>
                            <a:chExt cx="1168013" cy="423700"/>
                          </a:xfrm>
                        </wpg:grpSpPr>
                        <wps:wsp>
                          <wps:cNvPr id="1073741983" name="Shape 1073741848"/>
                          <wps:cNvSpPr/>
                          <wps:spPr>
                            <a:xfrm>
                              <a:off x="0" y="0"/>
                              <a:ext cx="1168014" cy="423701"/>
                            </a:xfrm>
                            <a:prstGeom prst="rect">
                              <a:avLst/>
                            </a:prstGeom>
                            <a:solidFill>
                              <a:srgbClr val="FFFFFF"/>
                            </a:solidFill>
                            <a:ln w="6350">
                              <a:solidFill>
                                <a:srgbClr val="000000"/>
                              </a:solidFill>
                              <a:round/>
                            </a:ln>
                          </wps:spPr>
                          <wps:bodyPr/>
                        </wps:wsp>
                        <wps:wsp>
                          <wps:cNvPr id="1073741984" name="Shape 1073741849"/>
                          <wps:cNvSpPr/>
                          <wps:spPr>
                            <a:xfrm>
                              <a:off x="0" y="0"/>
                              <a:ext cx="1168014" cy="423701"/>
                            </a:xfrm>
                            <a:prstGeom prst="rect">
                              <a:avLst/>
                            </a:prstGeom>
                            <a:noFill/>
                            <a:ln w="12700">
                              <a:noFill/>
                              <a:miter lim="400000"/>
                            </a:ln>
                          </wps:spPr>
                          <wps:txbx>
                            <w:txbxContent>
                              <w:p w14:paraId="5A403274" w14:textId="77777777" w:rsidR="00B56753" w:rsidRDefault="00B56753" w:rsidP="003C51B1">
                                <w:pPr>
                                  <w:pStyle w:val="NormalWeb"/>
                                  <w:tabs>
                                    <w:tab w:val="left" w:pos="708"/>
                                    <w:tab w:val="left" w:pos="1416"/>
                                  </w:tabs>
                                  <w:spacing w:before="0" w:after="0"/>
                                  <w:jc w:val="center"/>
                                </w:pPr>
                                <w:r>
                                  <w:rPr>
                                    <w:rFonts w:ascii="Garamond"/>
                                    <w:lang w:val="en-US"/>
                                  </w:rPr>
                                  <w:t>Other expenses</w:t>
                                </w:r>
                              </w:p>
                            </w:txbxContent>
                          </wps:txbx>
                          <wps:bodyPr wrap="square" lIns="45719" tIns="45719" rIns="45719" bIns="45719" numCol="1" anchor="ctr"/>
                        </wps:wsp>
                      </wpg:grpSp>
                      <wps:wsp>
                        <wps:cNvPr id="1073741985" name="Shape 1073741851"/>
                        <wps:cNvSpPr/>
                        <wps:spPr>
                          <a:xfrm>
                            <a:off x="3290839" y="1232702"/>
                            <a:ext cx="455906" cy="228002"/>
                          </a:xfrm>
                          <a:prstGeom prst="rect">
                            <a:avLst/>
                          </a:prstGeom>
                          <a:noFill/>
                          <a:ln w="12700">
                            <a:noFill/>
                            <a:miter lim="400000"/>
                          </a:ln>
                        </wps:spPr>
                        <wps:txbx>
                          <w:txbxContent>
                            <w:p w14:paraId="012D00C4" w14:textId="77777777" w:rsidR="00B56753" w:rsidRDefault="00B56753" w:rsidP="003C51B1">
                              <w:pPr>
                                <w:pStyle w:val="NormalWeb"/>
                                <w:tabs>
                                  <w:tab w:val="left" w:pos="708"/>
                                </w:tabs>
                                <w:spacing w:before="0" w:after="0"/>
                                <w:jc w:val="center"/>
                              </w:pPr>
                              <w:r>
                                <w:rPr>
                                  <w:rFonts w:hAnsi="Garamond"/>
                                  <w:sz w:val="22"/>
                                  <w:szCs w:val="22"/>
                                </w:rPr>
                                <w:t>–</w:t>
                              </w:r>
                            </w:p>
                          </w:txbxContent>
                        </wps:txbx>
                        <wps:bodyPr wrap="square" lIns="45719" tIns="45719" rIns="45719" bIns="45719" numCol="1" anchor="t"/>
                      </wps:wsp>
                      <wps:wsp>
                        <wps:cNvPr id="1073741986" name="Shape 1073741852"/>
                        <wps:cNvSpPr/>
                        <wps:spPr>
                          <a:xfrm>
                            <a:off x="1784121" y="1223802"/>
                            <a:ext cx="455906" cy="228002"/>
                          </a:xfrm>
                          <a:prstGeom prst="rect">
                            <a:avLst/>
                          </a:prstGeom>
                          <a:noFill/>
                          <a:ln w="12700">
                            <a:noFill/>
                            <a:miter lim="400000"/>
                          </a:ln>
                        </wps:spPr>
                        <wps:txbx>
                          <w:txbxContent>
                            <w:p w14:paraId="5BF4FFF4" w14:textId="77777777" w:rsidR="00B56753" w:rsidRDefault="00B56753" w:rsidP="003C51B1">
                              <w:pPr>
                                <w:pStyle w:val="NormalWeb"/>
                                <w:tabs>
                                  <w:tab w:val="left" w:pos="708"/>
                                </w:tabs>
                                <w:spacing w:before="0" w:after="0"/>
                                <w:jc w:val="center"/>
                              </w:pPr>
                              <w:r>
                                <w:rPr>
                                  <w:rFonts w:hAnsi="Garamond"/>
                                  <w:sz w:val="22"/>
                                  <w:szCs w:val="22"/>
                                </w:rPr>
                                <w:t>–</w:t>
                              </w:r>
                            </w:p>
                          </w:txbxContent>
                        </wps:txbx>
                        <wps:bodyPr wrap="square" lIns="45719" tIns="45719" rIns="45719" bIns="45719" numCol="1" anchor="t"/>
                      </wps:wsp>
                      <wps:wsp>
                        <wps:cNvPr id="1073741987" name="Shape 1073741853"/>
                        <wps:cNvSpPr/>
                        <wps:spPr>
                          <a:xfrm>
                            <a:off x="4657755" y="1223102"/>
                            <a:ext cx="455906" cy="228002"/>
                          </a:xfrm>
                          <a:prstGeom prst="rect">
                            <a:avLst/>
                          </a:prstGeom>
                          <a:noFill/>
                          <a:ln w="12700">
                            <a:noFill/>
                            <a:miter lim="400000"/>
                          </a:ln>
                        </wps:spPr>
                        <wps:txbx>
                          <w:txbxContent>
                            <w:p w14:paraId="291CFA73" w14:textId="77777777" w:rsidR="00B56753" w:rsidRDefault="00B56753" w:rsidP="003C51B1">
                              <w:pPr>
                                <w:pStyle w:val="NormalWeb"/>
                                <w:tabs>
                                  <w:tab w:val="left" w:pos="708"/>
                                </w:tabs>
                                <w:spacing w:before="0" w:after="0"/>
                                <w:jc w:val="center"/>
                              </w:pPr>
                              <w:r>
                                <w:rPr>
                                  <w:rFonts w:hAnsi="Garamond"/>
                                  <w:sz w:val="22"/>
                                  <w:szCs w:val="22"/>
                                </w:rPr>
                                <w:t>–</w:t>
                              </w:r>
                            </w:p>
                          </w:txbxContent>
                        </wps:txbx>
                        <wps:bodyPr wrap="square" lIns="45719" tIns="45719" rIns="45719" bIns="45719" numCol="1" anchor="t"/>
                      </wps:wsp>
                      <wps:wsp>
                        <wps:cNvPr id="1073741988" name="Shape 1073741854"/>
                        <wps:cNvSpPr/>
                        <wps:spPr>
                          <a:xfrm>
                            <a:off x="2583830" y="1914504"/>
                            <a:ext cx="455907" cy="227901"/>
                          </a:xfrm>
                          <a:prstGeom prst="rect">
                            <a:avLst/>
                          </a:prstGeom>
                          <a:noFill/>
                          <a:ln w="12700">
                            <a:noFill/>
                            <a:miter lim="400000"/>
                          </a:ln>
                        </wps:spPr>
                        <wps:txbx>
                          <w:txbxContent>
                            <w:p w14:paraId="1A917777" w14:textId="77777777" w:rsidR="00B56753" w:rsidRDefault="00B56753" w:rsidP="003C51B1">
                              <w:pPr>
                                <w:pStyle w:val="NormalWeb"/>
                                <w:tabs>
                                  <w:tab w:val="left" w:pos="708"/>
                                </w:tabs>
                                <w:spacing w:before="0" w:after="0"/>
                                <w:jc w:val="center"/>
                              </w:pPr>
                              <w:r>
                                <w:rPr>
                                  <w:rFonts w:ascii="Garamond"/>
                                  <w:sz w:val="22"/>
                                  <w:szCs w:val="22"/>
                                  <w:lang w:val="en-US"/>
                                </w:rPr>
                                <w:t>=</w:t>
                              </w:r>
                            </w:p>
                          </w:txbxContent>
                        </wps:txbx>
                        <wps:bodyPr wrap="square" lIns="45719" tIns="45719" rIns="45719" bIns="45719" numCol="1" anchor="t"/>
                      </wps:wsp>
                      <wpg:grpSp>
                        <wpg:cNvPr id="1073741989" name="Group 1073741857"/>
                        <wpg:cNvGrpSpPr/>
                        <wpg:grpSpPr>
                          <a:xfrm>
                            <a:off x="600" y="2123404"/>
                            <a:ext cx="5485865" cy="282002"/>
                            <a:chOff x="0" y="0"/>
                            <a:chExt cx="5485864" cy="282000"/>
                          </a:xfrm>
                        </wpg:grpSpPr>
                        <wps:wsp>
                          <wps:cNvPr id="1073741990" name="Shape 1073741855"/>
                          <wps:cNvSpPr/>
                          <wps:spPr>
                            <a:xfrm>
                              <a:off x="0" y="0"/>
                              <a:ext cx="5485865" cy="282001"/>
                            </a:xfrm>
                            <a:prstGeom prst="rect">
                              <a:avLst/>
                            </a:prstGeom>
                            <a:solidFill>
                              <a:srgbClr val="FFFFFF"/>
                            </a:solidFill>
                            <a:ln w="6350">
                              <a:solidFill>
                                <a:srgbClr val="000000"/>
                              </a:solidFill>
                              <a:round/>
                            </a:ln>
                          </wps:spPr>
                          <wps:bodyPr/>
                        </wps:wsp>
                        <wps:wsp>
                          <wps:cNvPr id="1073741991" name="Shape 1073741856"/>
                          <wps:cNvSpPr/>
                          <wps:spPr>
                            <a:xfrm>
                              <a:off x="0" y="0"/>
                              <a:ext cx="5485865" cy="282001"/>
                            </a:xfrm>
                            <a:prstGeom prst="rect">
                              <a:avLst/>
                            </a:prstGeom>
                            <a:noFill/>
                            <a:ln w="12700">
                              <a:noFill/>
                              <a:miter lim="400000"/>
                            </a:ln>
                          </wps:spPr>
                          <wps:txbx>
                            <w:txbxContent>
                              <w:p w14:paraId="0B7D3A85" w14:textId="77777777" w:rsidR="00B56753" w:rsidRPr="002A7A75" w:rsidRDefault="00B56753" w:rsidP="003C51B1">
                                <w:pPr>
                                  <w:pStyle w:val="NormalWe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b/>
                                    <w:bCs/>
                                    <w:sz w:val="28"/>
                                    <w:lang w:val="en-US"/>
                                  </w:rPr>
                                  <w:t>Operating profit</w:t>
                                </w:r>
                              </w:p>
                            </w:txbxContent>
                          </wps:txbx>
                          <wps:bodyPr wrap="square" lIns="45719" tIns="45719" rIns="45719" bIns="45719" numCol="1" anchor="t"/>
                        </wps:wsp>
                      </wpg:grpSp>
                      <wpg:grpSp>
                        <wpg:cNvPr id="1073741992" name="Group 1073741860"/>
                        <wpg:cNvGrpSpPr/>
                        <wpg:grpSpPr>
                          <a:xfrm>
                            <a:off x="0" y="2563805"/>
                            <a:ext cx="2733633" cy="422902"/>
                            <a:chOff x="0" y="0"/>
                            <a:chExt cx="2733632" cy="422900"/>
                          </a:xfrm>
                        </wpg:grpSpPr>
                        <wps:wsp>
                          <wps:cNvPr id="1073741993" name="Shape 1073741858"/>
                          <wps:cNvSpPr/>
                          <wps:spPr>
                            <a:xfrm>
                              <a:off x="0" y="0"/>
                              <a:ext cx="2733633" cy="422901"/>
                            </a:xfrm>
                            <a:prstGeom prst="rect">
                              <a:avLst/>
                            </a:prstGeom>
                            <a:solidFill>
                              <a:srgbClr val="FFFFFF"/>
                            </a:solidFill>
                            <a:ln w="6350">
                              <a:solidFill>
                                <a:srgbClr val="000000"/>
                              </a:solidFill>
                              <a:round/>
                            </a:ln>
                          </wps:spPr>
                          <wps:bodyPr/>
                        </wps:wsp>
                        <wps:wsp>
                          <wps:cNvPr id="1073741994" name="Shape 1073741859"/>
                          <wps:cNvSpPr/>
                          <wps:spPr>
                            <a:xfrm>
                              <a:off x="0" y="0"/>
                              <a:ext cx="2733633" cy="422901"/>
                            </a:xfrm>
                            <a:prstGeom prst="rect">
                              <a:avLst/>
                            </a:prstGeom>
                            <a:noFill/>
                            <a:ln w="12700">
                              <a:noFill/>
                              <a:miter lim="400000"/>
                            </a:ln>
                          </wps:spPr>
                          <wps:txbx>
                            <w:txbxContent>
                              <w:p w14:paraId="0C38AE1F" w14:textId="77777777" w:rsidR="00B56753" w:rsidRPr="002A7A75" w:rsidRDefault="00B56753" w:rsidP="003C51B1">
                                <w:pPr>
                                  <w:pStyle w:val="NormalWeb"/>
                                  <w:tabs>
                                    <w:tab w:val="left" w:pos="708"/>
                                    <w:tab w:val="left" w:pos="1416"/>
                                    <w:tab w:val="left" w:pos="2124"/>
                                    <w:tab w:val="left" w:pos="2832"/>
                                    <w:tab w:val="left" w:pos="3540"/>
                                    <w:tab w:val="left" w:pos="4248"/>
                                  </w:tabs>
                                  <w:spacing w:before="0" w:after="0"/>
                                  <w:jc w:val="center"/>
                                  <w:rPr>
                                    <w:sz w:val="28"/>
                                  </w:rPr>
                                </w:pPr>
                                <w:r w:rsidRPr="002A7A75">
                                  <w:rPr>
                                    <w:rFonts w:ascii="Garamond"/>
                                    <w:sz w:val="28"/>
                                    <w:lang w:val="en-US"/>
                                  </w:rPr>
                                  <w:t>Finance income</w:t>
                                </w:r>
                              </w:p>
                            </w:txbxContent>
                          </wps:txbx>
                          <wps:bodyPr wrap="square" lIns="45719" tIns="45719" rIns="45719" bIns="45719" numCol="1" anchor="ctr"/>
                        </wps:wsp>
                      </wpg:grpSp>
                      <wpg:grpSp>
                        <wpg:cNvPr id="1073741995" name="Group 1073741863"/>
                        <wpg:cNvGrpSpPr/>
                        <wpg:grpSpPr>
                          <a:xfrm>
                            <a:off x="2875333" y="2563705"/>
                            <a:ext cx="2609332" cy="423502"/>
                            <a:chOff x="0" y="0"/>
                            <a:chExt cx="2609330" cy="423500"/>
                          </a:xfrm>
                        </wpg:grpSpPr>
                        <wps:wsp>
                          <wps:cNvPr id="1073741996" name="Shape 1073741861"/>
                          <wps:cNvSpPr/>
                          <wps:spPr>
                            <a:xfrm>
                              <a:off x="0" y="0"/>
                              <a:ext cx="2609331" cy="423501"/>
                            </a:xfrm>
                            <a:prstGeom prst="rect">
                              <a:avLst/>
                            </a:prstGeom>
                            <a:solidFill>
                              <a:srgbClr val="FFFFFF"/>
                            </a:solidFill>
                            <a:ln w="6350">
                              <a:solidFill>
                                <a:srgbClr val="000000"/>
                              </a:solidFill>
                              <a:round/>
                            </a:ln>
                          </wps:spPr>
                          <wps:bodyPr/>
                        </wps:wsp>
                        <wps:wsp>
                          <wps:cNvPr id="1073741997" name="Shape 1073741862"/>
                          <wps:cNvSpPr/>
                          <wps:spPr>
                            <a:xfrm>
                              <a:off x="0" y="0"/>
                              <a:ext cx="2609331" cy="423501"/>
                            </a:xfrm>
                            <a:prstGeom prst="rect">
                              <a:avLst/>
                            </a:prstGeom>
                            <a:noFill/>
                            <a:ln w="12700">
                              <a:noFill/>
                              <a:miter lim="400000"/>
                            </a:ln>
                          </wps:spPr>
                          <wps:txbx>
                            <w:txbxContent>
                              <w:p w14:paraId="46BED75C" w14:textId="77777777" w:rsidR="00B56753" w:rsidRPr="002A7A75" w:rsidRDefault="00B56753" w:rsidP="003C51B1">
                                <w:pPr>
                                  <w:pStyle w:val="NormalWeb"/>
                                  <w:tabs>
                                    <w:tab w:val="left" w:pos="708"/>
                                    <w:tab w:val="left" w:pos="1416"/>
                                    <w:tab w:val="left" w:pos="2124"/>
                                    <w:tab w:val="left" w:pos="2832"/>
                                    <w:tab w:val="left" w:pos="3540"/>
                                  </w:tabs>
                                  <w:spacing w:before="0" w:after="0"/>
                                  <w:jc w:val="center"/>
                                  <w:rPr>
                                    <w:sz w:val="28"/>
                                  </w:rPr>
                                </w:pPr>
                                <w:r w:rsidRPr="002A7A75">
                                  <w:rPr>
                                    <w:rFonts w:ascii="Garamond"/>
                                    <w:sz w:val="28"/>
                                    <w:lang w:val="en-US"/>
                                  </w:rPr>
                                  <w:t>Finance cost</w:t>
                                </w:r>
                              </w:p>
                            </w:txbxContent>
                          </wps:txbx>
                          <wps:bodyPr wrap="square" lIns="45719" tIns="45719" rIns="45719" bIns="45719" numCol="1" anchor="ctr"/>
                        </wps:wsp>
                      </wpg:grpSp>
                      <wps:wsp>
                        <wps:cNvPr id="1073741998" name="Shape 1073741864"/>
                        <wps:cNvSpPr/>
                        <wps:spPr>
                          <a:xfrm>
                            <a:off x="1150713" y="2373305"/>
                            <a:ext cx="455306" cy="227401"/>
                          </a:xfrm>
                          <a:prstGeom prst="rect">
                            <a:avLst/>
                          </a:prstGeom>
                          <a:noFill/>
                          <a:ln w="12700">
                            <a:noFill/>
                            <a:miter lim="400000"/>
                          </a:ln>
                        </wps:spPr>
                        <wps:txbx>
                          <w:txbxContent>
                            <w:p w14:paraId="3EC4C1D4" w14:textId="77777777" w:rsidR="00B56753" w:rsidRDefault="00B56753" w:rsidP="003C51B1">
                              <w:pPr>
                                <w:pStyle w:val="NormalWeb"/>
                                <w:tabs>
                                  <w:tab w:val="left" w:pos="708"/>
                                </w:tabs>
                                <w:spacing w:before="0" w:after="0"/>
                                <w:jc w:val="center"/>
                              </w:pPr>
                              <w:r>
                                <w:rPr>
                                  <w:rFonts w:ascii="Garamond"/>
                                  <w:sz w:val="22"/>
                                  <w:szCs w:val="22"/>
                                  <w:lang w:val="en-US"/>
                                </w:rPr>
                                <w:t>+</w:t>
                              </w:r>
                            </w:p>
                          </w:txbxContent>
                        </wps:txbx>
                        <wps:bodyPr wrap="square" lIns="45719" tIns="45719" rIns="45719" bIns="45719" numCol="1" anchor="t"/>
                      </wps:wsp>
                      <wps:wsp>
                        <wps:cNvPr id="1073741999" name="Shape 1073741865"/>
                        <wps:cNvSpPr/>
                        <wps:spPr>
                          <a:xfrm>
                            <a:off x="3940746" y="2358505"/>
                            <a:ext cx="455307" cy="227401"/>
                          </a:xfrm>
                          <a:prstGeom prst="rect">
                            <a:avLst/>
                          </a:prstGeom>
                          <a:noFill/>
                          <a:ln w="12700">
                            <a:noFill/>
                            <a:miter lim="400000"/>
                          </a:ln>
                        </wps:spPr>
                        <wps:txbx>
                          <w:txbxContent>
                            <w:p w14:paraId="20713908" w14:textId="77777777" w:rsidR="00B56753" w:rsidRDefault="00B56753" w:rsidP="003C51B1">
                              <w:pPr>
                                <w:pStyle w:val="NormalWeb"/>
                                <w:tabs>
                                  <w:tab w:val="left" w:pos="708"/>
                                </w:tabs>
                                <w:spacing w:before="0" w:after="0"/>
                                <w:jc w:val="center"/>
                              </w:pPr>
                              <w:r>
                                <w:rPr>
                                  <w:rFonts w:hAnsi="Garamond"/>
                                  <w:sz w:val="22"/>
                                  <w:szCs w:val="22"/>
                                </w:rPr>
                                <w:t>–</w:t>
                              </w:r>
                            </w:p>
                          </w:txbxContent>
                        </wps:txbx>
                        <wps:bodyPr wrap="square" lIns="45719" tIns="45719" rIns="45719" bIns="45719" numCol="1" anchor="t"/>
                      </wps:wsp>
                      <wps:wsp>
                        <wps:cNvPr id="1073742000" name="Shape 1073741866"/>
                        <wps:cNvSpPr/>
                        <wps:spPr>
                          <a:xfrm>
                            <a:off x="2583730" y="2986706"/>
                            <a:ext cx="455306" cy="227302"/>
                          </a:xfrm>
                          <a:prstGeom prst="rect">
                            <a:avLst/>
                          </a:prstGeom>
                          <a:noFill/>
                          <a:ln w="12700">
                            <a:noFill/>
                            <a:miter lim="400000"/>
                          </a:ln>
                        </wps:spPr>
                        <wps:txbx>
                          <w:txbxContent>
                            <w:p w14:paraId="1783020D" w14:textId="77777777" w:rsidR="00B56753" w:rsidRDefault="00B56753" w:rsidP="003C51B1">
                              <w:pPr>
                                <w:pStyle w:val="NormalWeb"/>
                                <w:tabs>
                                  <w:tab w:val="left" w:pos="708"/>
                                </w:tabs>
                                <w:spacing w:before="0" w:after="0"/>
                                <w:jc w:val="center"/>
                              </w:pPr>
                              <w:r>
                                <w:rPr>
                                  <w:rFonts w:ascii="Garamond"/>
                                  <w:sz w:val="22"/>
                                  <w:szCs w:val="22"/>
                                  <w:lang w:val="en-US"/>
                                </w:rPr>
                                <w:t>=</w:t>
                              </w:r>
                            </w:p>
                          </w:txbxContent>
                        </wps:txbx>
                        <wps:bodyPr wrap="square" lIns="45719" tIns="45719" rIns="45719" bIns="45719" numCol="1" anchor="t"/>
                      </wps:wsp>
                      <wpg:grpSp>
                        <wpg:cNvPr id="1073742001" name="Group 1073741869"/>
                        <wpg:cNvGrpSpPr/>
                        <wpg:grpSpPr>
                          <a:xfrm>
                            <a:off x="0" y="3224107"/>
                            <a:ext cx="5485165" cy="281301"/>
                            <a:chOff x="0" y="0"/>
                            <a:chExt cx="5485164" cy="281300"/>
                          </a:xfrm>
                        </wpg:grpSpPr>
                        <wps:wsp>
                          <wps:cNvPr id="1073742002" name="Shape 1073741867"/>
                          <wps:cNvSpPr/>
                          <wps:spPr>
                            <a:xfrm>
                              <a:off x="0" y="0"/>
                              <a:ext cx="5485165" cy="281301"/>
                            </a:xfrm>
                            <a:prstGeom prst="rect">
                              <a:avLst/>
                            </a:prstGeom>
                            <a:solidFill>
                              <a:srgbClr val="FFFFFF"/>
                            </a:solidFill>
                            <a:ln w="6350">
                              <a:solidFill>
                                <a:srgbClr val="000000"/>
                              </a:solidFill>
                              <a:round/>
                            </a:ln>
                          </wps:spPr>
                          <wps:bodyPr/>
                        </wps:wsp>
                        <wps:wsp>
                          <wps:cNvPr id="1073742003" name="Shape 1073741868"/>
                          <wps:cNvSpPr/>
                          <wps:spPr>
                            <a:xfrm>
                              <a:off x="0" y="0"/>
                              <a:ext cx="5485165" cy="281301"/>
                            </a:xfrm>
                            <a:prstGeom prst="rect">
                              <a:avLst/>
                            </a:prstGeom>
                            <a:noFill/>
                            <a:ln w="12700">
                              <a:noFill/>
                              <a:miter lim="400000"/>
                            </a:ln>
                          </wps:spPr>
                          <wps:txbx>
                            <w:txbxContent>
                              <w:p w14:paraId="495E4AD1" w14:textId="77777777" w:rsidR="00B56753" w:rsidRPr="002A7A75" w:rsidRDefault="00B56753" w:rsidP="003C51B1">
                                <w:pPr>
                                  <w:pStyle w:val="NormalWe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b/>
                                    <w:bCs/>
                                    <w:sz w:val="28"/>
                                    <w:lang w:val="en-US"/>
                                  </w:rPr>
                                  <w:t>Profit before tax</w:t>
                                </w:r>
                              </w:p>
                            </w:txbxContent>
                          </wps:txbx>
                          <wps:bodyPr wrap="square" lIns="45719" tIns="45719" rIns="45719" bIns="45719" numCol="1" anchor="t"/>
                        </wps:wsp>
                      </wpg:grpSp>
                      <wps:wsp>
                        <wps:cNvPr id="1073742004" name="Shape 1073741870"/>
                        <wps:cNvSpPr/>
                        <wps:spPr>
                          <a:xfrm>
                            <a:off x="2508929" y="3451107"/>
                            <a:ext cx="455907" cy="227902"/>
                          </a:xfrm>
                          <a:prstGeom prst="rect">
                            <a:avLst/>
                          </a:prstGeom>
                          <a:noFill/>
                          <a:ln w="12700">
                            <a:noFill/>
                            <a:miter lim="400000"/>
                          </a:ln>
                        </wps:spPr>
                        <wps:txbx>
                          <w:txbxContent>
                            <w:p w14:paraId="79558670" w14:textId="77777777" w:rsidR="00B56753" w:rsidRDefault="00B56753" w:rsidP="003C51B1">
                              <w:pPr>
                                <w:pStyle w:val="NormalWeb"/>
                                <w:tabs>
                                  <w:tab w:val="left" w:pos="708"/>
                                </w:tabs>
                                <w:spacing w:before="0" w:after="0"/>
                                <w:jc w:val="center"/>
                              </w:pPr>
                              <w:r>
                                <w:rPr>
                                  <w:rFonts w:hAnsi="Garamond"/>
                                  <w:sz w:val="22"/>
                                  <w:szCs w:val="22"/>
                                </w:rPr>
                                <w:t>–</w:t>
                              </w:r>
                            </w:p>
                          </w:txbxContent>
                        </wps:txbx>
                        <wps:bodyPr wrap="square" lIns="45719" tIns="45719" rIns="45719" bIns="45719" numCol="1" anchor="t"/>
                      </wps:wsp>
                      <wpg:grpSp>
                        <wpg:cNvPr id="1073742005" name="Group 1073741873"/>
                        <wpg:cNvGrpSpPr/>
                        <wpg:grpSpPr>
                          <a:xfrm>
                            <a:off x="600" y="3679708"/>
                            <a:ext cx="5485865" cy="281901"/>
                            <a:chOff x="0" y="0"/>
                            <a:chExt cx="5485864" cy="281900"/>
                          </a:xfrm>
                        </wpg:grpSpPr>
                        <wps:wsp>
                          <wps:cNvPr id="1073742006" name="Shape 1073741871"/>
                          <wps:cNvSpPr/>
                          <wps:spPr>
                            <a:xfrm>
                              <a:off x="0" y="0"/>
                              <a:ext cx="5485865" cy="281901"/>
                            </a:xfrm>
                            <a:prstGeom prst="rect">
                              <a:avLst/>
                            </a:prstGeom>
                            <a:solidFill>
                              <a:srgbClr val="FFFFFF"/>
                            </a:solidFill>
                            <a:ln w="6350">
                              <a:solidFill>
                                <a:srgbClr val="000000"/>
                              </a:solidFill>
                              <a:round/>
                            </a:ln>
                          </wps:spPr>
                          <wps:bodyPr/>
                        </wps:wsp>
                        <wps:wsp>
                          <wps:cNvPr id="1073742007" name="Shape 1073741872"/>
                          <wps:cNvSpPr/>
                          <wps:spPr>
                            <a:xfrm>
                              <a:off x="0" y="0"/>
                              <a:ext cx="5485865" cy="281901"/>
                            </a:xfrm>
                            <a:prstGeom prst="rect">
                              <a:avLst/>
                            </a:prstGeom>
                            <a:noFill/>
                            <a:ln w="12700">
                              <a:noFill/>
                              <a:miter lim="400000"/>
                            </a:ln>
                          </wps:spPr>
                          <wps:txbx>
                            <w:txbxContent>
                              <w:p w14:paraId="40357810" w14:textId="77777777" w:rsidR="00B56753" w:rsidRPr="002A7A75" w:rsidRDefault="00B56753" w:rsidP="003C51B1">
                                <w:pPr>
                                  <w:pStyle w:val="NormalWe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sz w:val="28"/>
                                    <w:lang w:val="en-US"/>
                                  </w:rPr>
                                  <w:t>Income tax expense</w:t>
                                </w:r>
                              </w:p>
                            </w:txbxContent>
                          </wps:txbx>
                          <wps:bodyPr wrap="square" lIns="45719" tIns="45719" rIns="45719" bIns="45719" numCol="1" anchor="t"/>
                        </wps:wsp>
                      </wpg:grpSp>
                      <wps:wsp>
                        <wps:cNvPr id="1073742008" name="Shape 1073741874"/>
                        <wps:cNvSpPr/>
                        <wps:spPr>
                          <a:xfrm>
                            <a:off x="2508929" y="3962208"/>
                            <a:ext cx="455907" cy="228002"/>
                          </a:xfrm>
                          <a:prstGeom prst="rect">
                            <a:avLst/>
                          </a:prstGeom>
                          <a:noFill/>
                          <a:ln w="12700">
                            <a:noFill/>
                            <a:miter lim="400000"/>
                          </a:ln>
                        </wps:spPr>
                        <wps:txbx>
                          <w:txbxContent>
                            <w:p w14:paraId="1CABA9B7" w14:textId="77777777" w:rsidR="00B56753" w:rsidRDefault="00B56753" w:rsidP="003C51B1">
                              <w:pPr>
                                <w:pStyle w:val="NormalWeb"/>
                                <w:tabs>
                                  <w:tab w:val="left" w:pos="708"/>
                                </w:tabs>
                                <w:spacing w:before="0" w:after="0"/>
                                <w:jc w:val="center"/>
                              </w:pPr>
                              <w:r>
                                <w:rPr>
                                  <w:rFonts w:ascii="Garamond"/>
                                  <w:sz w:val="22"/>
                                  <w:szCs w:val="22"/>
                                  <w:lang w:val="en-US"/>
                                </w:rPr>
                                <w:t>=</w:t>
                              </w:r>
                            </w:p>
                          </w:txbxContent>
                        </wps:txbx>
                        <wps:bodyPr wrap="square" lIns="45719" tIns="45719" rIns="45719" bIns="45719" numCol="1" anchor="t"/>
                      </wps:wsp>
                      <wpg:grpSp>
                        <wpg:cNvPr id="1073742009" name="Group 1073741877"/>
                        <wpg:cNvGrpSpPr/>
                        <wpg:grpSpPr>
                          <a:xfrm>
                            <a:off x="600" y="4181909"/>
                            <a:ext cx="5485865" cy="282002"/>
                            <a:chOff x="0" y="0"/>
                            <a:chExt cx="5485864" cy="282000"/>
                          </a:xfrm>
                        </wpg:grpSpPr>
                        <wps:wsp>
                          <wps:cNvPr id="1073742010" name="Shape 1073741875"/>
                          <wps:cNvSpPr/>
                          <wps:spPr>
                            <a:xfrm>
                              <a:off x="0" y="0"/>
                              <a:ext cx="5485865" cy="282001"/>
                            </a:xfrm>
                            <a:prstGeom prst="rect">
                              <a:avLst/>
                            </a:prstGeom>
                            <a:solidFill>
                              <a:srgbClr val="FFFFFF"/>
                            </a:solidFill>
                            <a:ln w="6350">
                              <a:solidFill>
                                <a:srgbClr val="000000"/>
                              </a:solidFill>
                              <a:round/>
                            </a:ln>
                          </wps:spPr>
                          <wps:bodyPr/>
                        </wps:wsp>
                        <wps:wsp>
                          <wps:cNvPr id="1073742011" name="Shape 1073741876"/>
                          <wps:cNvSpPr/>
                          <wps:spPr>
                            <a:xfrm>
                              <a:off x="0" y="0"/>
                              <a:ext cx="5485865" cy="282001"/>
                            </a:xfrm>
                            <a:prstGeom prst="rect">
                              <a:avLst/>
                            </a:prstGeom>
                            <a:noFill/>
                            <a:ln w="12700">
                              <a:noFill/>
                              <a:miter lim="400000"/>
                            </a:ln>
                          </wps:spPr>
                          <wps:txbx>
                            <w:txbxContent>
                              <w:p w14:paraId="4635B6C9" w14:textId="77777777" w:rsidR="00B56753" w:rsidRPr="002A7A75" w:rsidRDefault="00B56753" w:rsidP="003C51B1">
                                <w:pPr>
                                  <w:pStyle w:val="NormalWe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b/>
                                    <w:bCs/>
                                    <w:sz w:val="28"/>
                                    <w:lang w:val="en-US"/>
                                  </w:rPr>
                                  <w:t>Profit</w:t>
                                </w:r>
                              </w:p>
                            </w:txbxContent>
                          </wps:txbx>
                          <wps:bodyPr wrap="square" lIns="45719" tIns="45719" rIns="45719" bIns="45719" numCol="1" anchor="t"/>
                        </wps:wsp>
                      </wpg:grpSp>
                    </wpg:wgp>
                  </a:graphicData>
                </a:graphic>
              </wp:inline>
            </w:drawing>
          </mc:Choice>
          <mc:Fallback>
            <w:pict>
              <v:group id="_x0000_s1199" style="width:6in;height:351.5pt;mso-position-horizontal-relative:char;mso-position-vertical-relative:line" coordsize="54864,446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">
                <v:group id="Group 1073741829" o:spid="_x0000_s1200" style="position:absolute;width:54864;height:2828" coordsize="54864,28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DYXOD1yQAA&#10;AOMAAAAPAAAAAAAAAAAAAAAAAKoCAABkcnMvZG93bnJldi54bWxQSwUGAAAAAAQABAD6AAAAoAMA&#10;AAAA&#10;">
                  <v:rect id="Shape 1073741827" o:spid="_x0000_s1201" style="position:absolute;width:54864;height:28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tWuMcA&#10;AADjAAAADwAAAGRycy9kb3ducmV2LnhtbERPS2sCMRC+C/0PYQreNOsDt90aRUWh4Elb8DrdjLvb&#10;biZLEnXrrzeC4HG+90znranFmZyvLCsY9BMQxLnVFRcKvr82vTcQPiBrrC2Tgn/yMJ+9dKaYaXvh&#10;HZ33oRAxhH2GCsoQmkxKn5dk0PdtQxy5o3UGQzxdIbXDSww3tRwmyUQarDg2lNjQqqT8b38yCuzv&#10;cn2oFodVs3VyZK5XGX7yo1Ld13bxASJQG57ih/tTx/lJOkrHg/fJEO4/RQDk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JLVrjHAAAA4wAAAA8AAAAAAAAAAAAAAAAAmAIAAGRy&#10;cy9kb3ducmV2LnhtbFBLBQYAAAAABAAEAPUAAACMAwAAAAA=&#10;" strokeweight=".5pt">
                    <v:stroke joinstyle="round"/>
                  </v:rect>
                  <v:rect id="Shape 1073741828" o:spid="_x0000_s1202" style="position:absolute;width:54864;height:28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urTccA&#10;AADjAAAADwAAAGRycy9kb3ducmV2LnhtbERPX0/CMBB/N/E7NGfim7RjCG5QCCFiTHgS/QCX9VgH&#10;63VZO5jf3pqY+Hi//7fajK4VV+pD41lDNlEgiCtvGq41fH3un15AhIhssPVMGr4pwGZ9f7fC0vgb&#10;f9D1GGuRQjiUqMHG2JVShsqSwzDxHXHiTr53GNPZ19L0eEvhrpVTpebSYcOpwWJHO0vV5Tg4DTI7&#10;5G3hhmI62uE1n6nn8/6t0/rxYdwuQUQa47/4z/1u0ny1yBezrJjn8PtTAkC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Lq03HAAAA4wAAAA8AAAAAAAAAAAAAAAAAmAIAAGRy&#10;cy9kb3ducmV2LnhtbFBLBQYAAAAABAAEAPUAAACMAwAAAAA=&#10;" filled="f" stroked="f" strokeweight="1pt">
                    <v:stroke miterlimit="4"/>
                    <v:textbox inset="1.27mm,1.27mm,1.27mm,1.27mm">
                      <w:txbxContent>
                        <w:p w:rsidR="00B56753" w:rsidRPr="002A7A75" w:rsidRDefault="00B56753" w:rsidP="003C51B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sz w:val="28"/>
                            </w:rPr>
                          </w:pPr>
                          <w:r w:rsidRPr="002A7A75">
                            <w:rPr>
                              <w:sz w:val="28"/>
                              <w:lang w:val="en-US"/>
                            </w:rPr>
                            <w:t>Revenue</w:t>
                          </w:r>
                        </w:p>
                      </w:txbxContent>
                    </v:textbox>
                  </v:rect>
                </v:group>
                <v:rect id="Shape 1073741830" o:spid="_x0000_s1203" style="position:absolute;left:25084;top:2577;width:4565;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zOccA&#10;AADjAAAADwAAAGRycy9kb3ducmV2LnhtbERPX0vDMBB/F/Ydwg18c0nXutm6bIzhRNiT0w9wNGdT&#10;bS6lSbf67Y0g+Hi//7fZTa4TFxpC61lDtlAgiGtvWm40vL8d7x5AhIhssPNMGr4pwG47u9lgZfyV&#10;X+lyjo1IIRwq1GBj7CspQ23JYVj4njhxH35wGNM5NNIMeE3hrpNLpVbSYcupwWJPB0v113l0GmR2&#10;yrvSjeVysuNTXqj7z+Nzr/XtfNo/gog0xX/xn/vFpPlqna+LrFwV8PtTAkB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iMznHAAAA4wAAAA8AAAAAAAAAAAAAAAAAmAIAAGRy&#10;cy9kb3ducmV2LnhtbFBLBQYAAAAABAAEAPUAAACMAw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hAnsi="Garamond"/>
                            <w:sz w:val="22"/>
                            <w:szCs w:val="22"/>
                          </w:rPr>
                          <w:t>–</w:t>
                        </w:r>
                      </w:p>
                    </w:txbxContent>
                  </v:textbox>
                </v:rect>
                <v:group id="Group 1073741833" o:spid="_x0000_s1204" style="position:absolute;top:4863;width:54864;height:2826" coordsize="54864,28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dn5vbIAAAA&#10;4wAAAA8AAAAAAAAAAAAAAAAAqgIAAGRycy9kb3ducmV2LnhtbFBLBQYAAAAABAAEAPoAAACfAwAA&#10;AAA=&#10;">
                  <v:rect id="Shape 1073741831" o:spid="_x0000_s1205" style="position:absolute;width:54864;height:2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BQu8cA&#10;AADjAAAADwAAAGRycy9kb3ducmV2LnhtbERPX2vCMBB/F/wO4YS9aaqOOjujONlA2JM68PVszraz&#10;uZQk0+qnN8LAx/v9v9miNbU4k/OVZQXDQQKCOLe64kLBz+6r/wbCB2SNtWVScCUPi3m3M8NM2wtv&#10;6LwNhYgh7DNUUIbQZFL6vCSDfmAb4sgdrTMY4ukKqR1eYrip5ShJUmmw4thQYkOrkvLT9s8osL8f&#10;n/tquV81306Oze0mwyE/KvXSa5fvIAK14Sn+d691nJ9MxpPX4TRN4fFTBED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1wULvHAAAA4wAAAA8AAAAAAAAAAAAAAAAAmAIAAGRy&#10;cy9kb3ducmV2LnhtbFBLBQYAAAAABAAEAPUAAACMAwAAAAA=&#10;" strokeweight=".5pt">
                    <v:stroke joinstyle="round"/>
                  </v:rect>
                  <v:rect id="Shape 1073741832" o:spid="_x0000_s1206" style="position:absolute;width:54864;height:2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CtTscA&#10;AADjAAAADwAAAGRycy9kb3ducmV2LnhtbERPX0vDMBB/F/Ydwg18c0nXudq6bIzhRNiT0w9wNGdT&#10;bS6lSbf67Y0g+Hi//7fZTa4TFxpC61lDtlAgiGtvWm40vL8d7x5AhIhssPNMGr4pwG47u9lgZfyV&#10;X+lyjo1IIRwq1GBj7CspQ23JYVj4njhxH35wGNM5NNIMeE3hrpNLpdbSYcupwWJPB0v113l0GmR2&#10;yrvSjeVysuNTvlL3n8fnXuvb+bR/BBFpiv/iP/eLSfNVkRerrFwX8PtTAkB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jwrU7HAAAA4wAAAA8AAAAAAAAAAAAAAAAAmAIAAGRy&#10;cy9kb3ducmV2LnhtbFBLBQYAAAAABAAEAPUAAACMAwAAAAA=&#10;" filled="f" stroked="f" strokeweight="1pt">
                    <v:stroke miterlimit="4"/>
                    <v:textbox inset="1.27mm,1.27mm,1.27mm,1.27mm">
                      <w:txbxContent>
                        <w:p w:rsidR="00B56753" w:rsidRPr="002A7A75" w:rsidRDefault="00B56753" w:rsidP="003C51B1">
                          <w:pPr>
                            <w:pStyle w:val="af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sz w:val="28"/>
                              <w:lang w:val="en-US"/>
                            </w:rPr>
                            <w:t>Cost of sales</w:t>
                          </w:r>
                        </w:p>
                      </w:txbxContent>
                    </v:textbox>
                  </v:rect>
                </v:group>
                <v:rect id="Shape 1073741834" o:spid="_x0000_s1207" style="position:absolute;left:25084;top:7689;width:4565;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85PMoA&#10;AADjAAAADwAAAGRycy9kb3ducmV2LnhtbESPQU/DMAyF70j8h8hI3FjSdWy0LJsQYgiJE4MfYDWm&#10;KTRO1aRb+ff4gMTRfs/vfd7u59CrE42pi2yhWBhQxE10HbcWPt4PN3egUkZ22EcmCz+UYL+7vNhi&#10;7eKZ3+h0zK2SEE41WvA5D7XWqfEUMC3iQCzaZxwDZhnHVrsRzxIeer00Zq0DdiwNHgd69NR8H6dg&#10;QRevZV+FqVrOfnoqV+b26/A8WHt9NT/cg8o053/z3/WLE3yzKTeroloLtPwkC9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lvOTzKAAAA4wAAAA8AAAAAAAAAAAAAAAAAmAIA&#10;AGRycy9kb3ducmV2LnhtbFBLBQYAAAAABAAEAPUAAACPAw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ascii="Garamond"/>
                            <w:sz w:val="22"/>
                            <w:szCs w:val="22"/>
                            <w:lang w:val="en-US"/>
                          </w:rPr>
                          <w:t>=</w:t>
                        </w:r>
                      </w:p>
                    </w:txbxContent>
                  </v:textbox>
                </v:rect>
                <v:group id="Group 1073741837" o:spid="_x0000_s1208" style="position:absolute;top:9890;width:54864;height:2825" coordsize="54864,28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Yq7PPIAAAA&#10;4wAAAA8AAAAAAAAAAAAAAAAAqgIAAGRycy9kb3ducmV2LnhtbFBLBQYAAAAABAAEAPoAAACfAwAA&#10;AAA=&#10;">
                  <v:rect id="Shape 1073741835" o:spid="_x0000_s1209" style="position:absolute;width:54864;height:2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z7icsA&#10;AADjAAAADwAAAGRycy9kb3ducmV2LnhtbESPQW/CMAyF75P2HyJP2m2kjIluHQExxKRJnIBJXL3G&#10;tN0ap0oCdPx6fEDiaPv5vfdNZr1r1ZFCbDwbGA4yUMSltw1XBr63n0+voGJCtth6JgP/FGE2vb+b&#10;YGH9idd03KRKiQnHAg3UKXWF1rGsyWEc+I5YbnsfHCYZQ6VtwJOYu1Y/Z9lYO2xYEmrsaFFT+bc5&#10;OAP+92O5a+a7RbcKeuTOZ51+yr0xjw/9/B1Uoj7dxNfvLyv1s3yUvwzfcqEQJlmAnl4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oDPuJywAAAOMAAAAPAAAAAAAAAAAAAAAAAJgC&#10;AABkcnMvZG93bnJldi54bWxQSwUGAAAAAAQABAD1AAAAkAMAAAAA&#10;" strokeweight=".5pt">
                    <v:stroke joinstyle="round"/>
                  </v:rect>
                  <v:rect id="Shape 1073741836" o:spid="_x0000_s1210" style="position:absolute;width:54864;height:2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wGfMcA&#10;AADjAAAADwAAAGRycy9kb3ducmV2LnhtbERPX0vDMBB/F/Ydwg18c0nXaW23bIzhRPDJ6Qc4mltT&#10;bS6lSbf67Y0g+Hi//7fZTa4TFxpC61lDtlAgiGtvWm40fLwf7x5BhIhssPNMGr4pwG47u9lgZfyV&#10;3+hyio1IIRwq1GBj7CspQ23JYVj4njhxZz84jOkcGmkGvKZw18mlUg/SYcupwWJPB0v112l0GmT2&#10;mnelG8vlZMenfKXuP4/Pvda382m/BhFpiv/iP/eLSfNVkRerrCwy+P0pASC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2MBnzHAAAA4wAAAA8AAAAAAAAAAAAAAAAAmAIAAGRy&#10;cy9kb3ducmV2LnhtbFBLBQYAAAAABAAEAPUAAACMAwAAAAA=&#10;" filled="f" stroked="f" strokeweight="1pt">
                    <v:stroke miterlimit="4"/>
                    <v:textbox inset="1.27mm,1.27mm,1.27mm,1.27mm">
                      <w:txbxContent>
                        <w:p w:rsidR="00B56753" w:rsidRPr="002A7A75" w:rsidRDefault="00B56753" w:rsidP="003C51B1">
                          <w:pPr>
                            <w:pStyle w:val="af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b/>
                              <w:bCs/>
                              <w:sz w:val="28"/>
                              <w:lang w:val="en-US"/>
                            </w:rPr>
                            <w:t>Gross profit</w:t>
                          </w:r>
                        </w:p>
                      </w:txbxContent>
                    </v:textbox>
                  </v:rect>
                </v:group>
                <v:group id="Group 1073741840" o:spid="_x0000_s1211" style="position:absolute;top:14426;width:10935;height:4234" coordsize="10935,42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tV+hfyQAA&#10;AOMAAAAPAAAAAAAAAAAAAAAAAKoCAABkcnMvZG93bnJldi54bWxQSwUGAAAAAAQABAD6AAAAoAMA&#10;AAAA&#10;">
                  <v:rect id="Shape 1073741838" o:spid="_x0000_s1212" style="position:absolute;width:10935;height:4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5l/scA&#10;AADjAAAADwAAAGRycy9kb3ducmV2LnhtbERPX2vCMBB/H/gdwgl7m6mrWO2M4mQDYU+rgq+35my7&#10;NZeSZFr99GYg7PF+/2+x6k0rTuR8Y1nBeJSAIC6tbrhSsN+9P81A+ICssbVMCi7kYbUcPCww1/bM&#10;n3QqQiViCPscFdQhdLmUvqzJoB/ZjjhyR+sMhni6SmqH5xhuWvmcJFNpsOHYUGNHm5rKn+LXKLDf&#10;r2+HZn3YdB9OpuZ6leGrPCr1OOzXLyAC9eFffHdvdZyfZGk2Gc+zFP5+igDI5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jeZf7HAAAA4wAAAA8AAAAAAAAAAAAAAAAAmAIAAGRy&#10;cy9kb3ducmV2LnhtbFBLBQYAAAAABAAEAPUAAACMAwAAAAA=&#10;" strokeweight=".5pt">
                    <v:stroke joinstyle="round"/>
                  </v:rect>
                  <v:rect id="Shape 1073741839" o:spid="_x0000_s1213" style="position:absolute;width:10935;height:42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uF7scA&#10;AADjAAAADwAAAGRycy9kb3ducmV2LnhtbERPzWrCQBC+C32HZQq96SY2NDZ1I1IoihfJzwMM2WkS&#10;mp0N2VXj27uFQo/z/c92N5tBXGlyvWUF8SoCQdxY3XOroK6+lhsQziNrHCyTgjs52OVPiy1m2t64&#10;oGvpWxFC2GWooPN+zKR0TUcG3cqOxIH7tpNBH86plXrCWwg3g1xH0Zs02HNo6HCkz46an/JiFJwu&#10;w6Zsq3Nd+Pp8OrjK9nORKPXyPO8/QHia/b/4z33UYX6UvqZJ/J4m8PtTAEDm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bhe7HAAAA4wAAAA8AAAAAAAAAAAAAAAAAmAIAAGRy&#10;cy9kb3ducmV2LnhtbFBLBQYAAAAABAAEAPUAAACMAwAAAAA=&#10;" filled="f" stroked="f" strokeweight="1pt">
                    <v:stroke miterlimit="4"/>
                    <v:textbox inset="1.27mm,1.27mm,1.27mm,1.27mm">
                      <w:txbxContent>
                        <w:p w:rsidR="00B56753" w:rsidRDefault="00B56753" w:rsidP="003C51B1">
                          <w:pPr>
                            <w:pStyle w:val="afc"/>
                            <w:tabs>
                              <w:tab w:val="left" w:pos="708"/>
                              <w:tab w:val="left" w:pos="1416"/>
                            </w:tabs>
                            <w:spacing w:before="0" w:after="0"/>
                            <w:jc w:val="center"/>
                          </w:pPr>
                          <w:r>
                            <w:rPr>
                              <w:rFonts w:ascii="Garamond"/>
                              <w:lang w:val="en-US"/>
                            </w:rPr>
                            <w:t>Other income</w:t>
                          </w:r>
                        </w:p>
                      </w:txbxContent>
                    </v:textbox>
                  </v:rect>
                </v:group>
                <v:rect id="Shape 1073741841" o:spid="_x0000_s1214" style="position:absolute;left:2836;top:12608;width:4560;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cAf8cA&#10;AADjAAAADwAAAGRycy9kb3ducmV2LnhtbERPX0vDMBB/F/Ydwg18c0nXzdq6bAxxIuzJ6Qc4mrOp&#10;ay6lSbf67Y0g+Hi//7fZTa4TFxpC61lDtlAgiGtvWm40fLwf7h5AhIhssPNMGr4pwG47u9lgZfyV&#10;3+hyio1IIRwq1GBj7CspQ23JYVj4njhxn35wGNM5NNIMeE3hrpNLpe6lw5ZTg8WenizV59PoNMjs&#10;mHelG8vlZMfnfKXWX4eXXuvb+bR/BBFpiv/iP/erSfNVkRerrCzW8PtTAkB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3AH/HAAAA4wAAAA8AAAAAAAAAAAAAAAAAmAIAAGRy&#10;cy9kb3ducmV2LnhtbFBLBQYAAAAABAAEAPUAAACMAw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ascii="Garamond"/>
                            <w:sz w:val="22"/>
                            <w:szCs w:val="22"/>
                            <w:lang w:val="en-US"/>
                          </w:rPr>
                          <w:t>+</w:t>
                        </w:r>
                      </w:p>
                    </w:txbxContent>
                  </v:textbox>
                </v:rect>
                <v:group id="Group 1073741844" o:spid="_x0000_s1215" style="position:absolute;left:12827;top:14421;width:14510;height:4238" coordsize="14510,42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DSbO5cyQAA&#10;AOMAAAAPAAAAAAAAAAAAAAAAAKoCAABkcnMvZG93bnJldi54bWxQSwUGAAAAAAQABAD6AAAAoAMA&#10;AAAA&#10;">
                  <v:rect id="Shape 1073741842" o:spid="_x0000_s1216" style="position:absolute;width:14510;height:4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j/ccA&#10;AADjAAAADwAAAGRycy9kb3ducmV2LnhtbERPS2sCMRC+F/wPYYTeatYHbrs1ikoLBU8+wOt0M+6u&#10;biZLkurqr28EweN875nMWlOLMzlfWVbQ7yUgiHOrKy4U7Lbfb+8gfEDWWFsmBVfyMJt2XiaYaXvh&#10;NZ03oRAxhH2GCsoQmkxKn5dk0PdsQxy5g3UGQzxdIbXDSww3tRwkyVgarDg2lNjQsqT8tPkzCuxx&#10;8bWv5vtls3JyaG43GX7zg1Kv3Xb+CSJQG57ih/tHx/lJOkxH/Y80hftPEQA5/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lY/3HAAAA4wAAAA8AAAAAAAAAAAAAAAAAmAIAAGRy&#10;cy9kb3ducmV2LnhtbFBLBQYAAAAABAAEAPUAAACMAwAAAAA=&#10;" strokeweight=".5pt">
                    <v:stroke joinstyle="round"/>
                  </v:rect>
                  <v:rect id="Shape 1073741843" o:spid="_x0000_s1217" style="position:absolute;width:14510;height:4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aP68oA&#10;AADjAAAADwAAAGRycy9kb3ducmV2LnhtbESPzW7CQAyE75V4h5WRuJUNLWogZUGoUtWKC8rPA1hZ&#10;N4nIeqPsAuHt60OlHu0Zz3zeHSbXqxuNofNsYLVMQBHX3nbcGKjKz+cNqBCRLfaeycCDAhz2s6cd&#10;ZtbfOadbERslIRwyNNDGOGRah7olh2HpB2LRfvzoMMo4NtqOeJdw1+uXJHnTDjuWhhYH+mipvhRX&#10;Z+B07TdFU56rPFbn01cofTfla2MW8+n4DirSFP/Nf9ffVvCT9DVdr7apQMtPsgC9/wU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mWj+vKAAAA4wAAAA8AAAAAAAAAAAAAAAAAmAIA&#10;AGRycy9kb3ducmV2LnhtbFBLBQYAAAAABAAEAPUAAACPAwAAAAA=&#10;" filled="f" stroked="f" strokeweight="1pt">
                    <v:stroke miterlimit="4"/>
                    <v:textbox inset="1.27mm,1.27mm,1.27mm,1.27mm">
                      <w:txbxContent>
                        <w:p w:rsidR="00B56753" w:rsidRPr="002A7A75" w:rsidRDefault="00B56753" w:rsidP="003C51B1">
                          <w:pPr>
                            <w:pStyle w:val="afc"/>
                            <w:tabs>
                              <w:tab w:val="left" w:pos="708"/>
                              <w:tab w:val="left" w:pos="1416"/>
                              <w:tab w:val="left" w:pos="2124"/>
                            </w:tabs>
                            <w:spacing w:before="0" w:after="0"/>
                            <w:jc w:val="center"/>
                          </w:pPr>
                          <w:r w:rsidRPr="002A7A75">
                            <w:rPr>
                              <w:rFonts w:ascii="Garamond"/>
                              <w:lang w:val="en-US"/>
                            </w:rPr>
                            <w:t>Selling and distribution expenses</w:t>
                          </w:r>
                        </w:p>
                      </w:txbxContent>
                    </v:textbox>
                  </v:rect>
                </v:group>
                <v:group id="Group 1073741847" o:spid="_x0000_s1218" style="position:absolute;left:28754;top:14422;width:13002;height:4243" coordsize="13002,42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j83ouyQAA&#10;AOMAAAAPAAAAAAAAAAAAAAAAAKoCAABkcnMvZG93bnJldi54bWxQSwUGAAAAAAQABAD6AAAAoAMA&#10;AAAA&#10;">
                  <v:rect id="Shape 1073741845" o:spid="_x0000_s1219" style="position:absolute;width:13002;height:4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mLrssA&#10;AADjAAAADwAAAGRycy9kb3ducmV2LnhtbESPQW/CMAyF70j7D5En7QYpYxpQCIghJk3aaYDE1TSm&#10;LWucKgnQ8evnw6QdbT+/9775snONulKItWcDw0EGirjwtubSwH733p+AignZYuOZDPxQhOXioTfH&#10;3Pobf9F1m0olJhxzNFCl1OZax6Iih3HgW2K5nXxwmGQMpbYBb2LuGv2cZa/aYc2SUGFL64qK7+3F&#10;GfDnt82hXh3W7WfQI3e/63QsTsY8PXarGahEXfoX/31/WKmfjUfjl+F0IhTCJAvQi1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d2YuuywAAAOMAAAAPAAAAAAAAAAAAAAAAAJgC&#10;AABkcnMvZG93bnJldi54bWxQSwUGAAAAAAQABAD1AAAAkAMAAAAA&#10;" strokeweight=".5pt">
                    <v:stroke joinstyle="round"/>
                  </v:rect>
                  <v:rect id="Shape 1073741846" o:spid="_x0000_s1220" style="position:absolute;width:13002;height:42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lWUcYA&#10;AADjAAAADwAAAGRycy9kb3ducmV2LnhtbERPzWrCQBC+C77DMkJvuomVJo2uIoVi8SL5eYAhO02C&#10;2dmQXTW+fbdQ6HG+/9kdJtOLO42us6wgXkUgiGurO24UVOXnMgXhPLLG3jIpeJKDw34+22Gm7YNz&#10;uhe+ESGEXYYKWu+HTEpXt2TQrexAHLhvOxr04RwbqUd8hHDTy3UUvUmDHYeGFgf6aKm+Fjej4Hzr&#10;06IpL1Xuq8v55ErbTflGqZfFdNyC8DT5f/Gf+0uH+VHymmzi9zSG358CAH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XlWUcYAAADjAAAADwAAAAAAAAAAAAAAAACYAgAAZHJz&#10;L2Rvd25yZXYueG1sUEsFBgAAAAAEAAQA9QAAAIsDAAAAAA==&#10;" filled="f" stroked="f" strokeweight="1pt">
                    <v:stroke miterlimit="4"/>
                    <v:textbox inset="1.27mm,1.27mm,1.27mm,1.27mm">
                      <w:txbxContent>
                        <w:p w:rsidR="00B56753" w:rsidRDefault="00B56753" w:rsidP="003C51B1">
                          <w:pPr>
                            <w:pStyle w:val="afc"/>
                            <w:tabs>
                              <w:tab w:val="left" w:pos="708"/>
                              <w:tab w:val="left" w:pos="1416"/>
                            </w:tabs>
                            <w:spacing w:before="0" w:after="0"/>
                            <w:jc w:val="center"/>
                          </w:pPr>
                          <w:r>
                            <w:rPr>
                              <w:rFonts w:ascii="Garamond"/>
                              <w:lang w:val="en-US"/>
                            </w:rPr>
                            <w:t>Administrative expenses</w:t>
                          </w:r>
                        </w:p>
                      </w:txbxContent>
                    </v:textbox>
                  </v:rect>
                </v:group>
                <v:group id="Group 1073741850" o:spid="_x0000_s1221" style="position:absolute;left:43171;top:14422;width:11680;height:4237" coordsize="11680,42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iCmHjIAAAA&#10;4wAAAA8AAAAAAAAAAAAAAAAAqgIAAGRycy9kb3ducmV2LnhtbFBLBQYAAAAABAAEAPoAAACfAwAA&#10;AAA=&#10;">
                  <v:rect id="Shape 1073741848" o:spid="_x0000_s1222" style="position:absolute;width:11680;height:4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sV2ccA&#10;AADjAAAADwAAAGRycy9kb3ducmV2LnhtbERPS2sCMRC+F/wPYQRvNWtXql03ipUWCj1pC17HzexD&#10;N5Mlibr665tCocf53pOvetOKCznfWFYwGScgiAurG64UfH+9P85B+ICssbVMCm7kYbUcPOSYaXvl&#10;LV12oRIxhH2GCuoQukxKX9Rk0I9tRxy50jqDIZ6uktrhNYabVj4lybM02HBsqLGjTU3FaXc2Cuzx&#10;9W3frPeb7tPJ1NzvMhyKUqnRsF8vQATqw7/4z/2h4/xkls6mk5d5Cr8/RQD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0LFdnHAAAA4wAAAA8AAAAAAAAAAAAAAAAAmAIAAGRy&#10;cy9kb3ducmV2LnhtbFBLBQYAAAAABAAEAPUAAACMAwAAAAA=&#10;" strokeweight=".5pt">
                    <v:stroke joinstyle="round"/>
                  </v:rect>
                  <v:rect id="Shape 1073741849" o:spid="_x0000_s1223" style="position:absolute;width:11680;height:42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71ycYA&#10;AADjAAAADwAAAGRycy9kb3ducmV2LnhtbERPzWrCQBC+F3yHZYTe6kYbmhhdRQrF4kXy8wBDdkyC&#10;2dmQXTW+fbdQ6HG+/9nuJ9OLO42us6xguYhAENdWd9woqMqvtxSE88gae8uk4EkO9rvZyxYzbR+c&#10;073wjQgh7DJU0Ho/ZFK6uiWDbmEH4sBd7GjQh3NspB7xEcJNL1dR9CENdhwaWhzos6X6WtyMgtOt&#10;T4umPFe5r86noyttN+WxUq/z6bAB4Wny/+I/97cO86PkPYmX6zSG358CAHL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Q71ycYAAADjAAAADwAAAAAAAAAAAAAAAACYAgAAZHJz&#10;L2Rvd25yZXYueG1sUEsFBgAAAAAEAAQA9QAAAIsDAAAAAA==&#10;" filled="f" stroked="f" strokeweight="1pt">
                    <v:stroke miterlimit="4"/>
                    <v:textbox inset="1.27mm,1.27mm,1.27mm,1.27mm">
                      <w:txbxContent>
                        <w:p w:rsidR="00B56753" w:rsidRDefault="00B56753" w:rsidP="003C51B1">
                          <w:pPr>
                            <w:pStyle w:val="afc"/>
                            <w:tabs>
                              <w:tab w:val="left" w:pos="708"/>
                              <w:tab w:val="left" w:pos="1416"/>
                            </w:tabs>
                            <w:spacing w:before="0" w:after="0"/>
                            <w:jc w:val="center"/>
                          </w:pPr>
                          <w:r>
                            <w:rPr>
                              <w:rFonts w:ascii="Garamond"/>
                              <w:lang w:val="en-US"/>
                            </w:rPr>
                            <w:t>Other expenses</w:t>
                          </w:r>
                        </w:p>
                      </w:txbxContent>
                    </v:textbox>
                  </v:rect>
                </v:group>
                <v:rect id="Shape 1073741851" o:spid="_x0000_s1224" style="position:absolute;left:32908;top:12327;width:4559;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JwWMcA&#10;AADjAAAADwAAAGRycy9kb3ducmV2LnhtbERPX0/CMBB/N/E7NEfim7RjIGxQiDFiTHwS/QCX9VwH&#10;63VZO5jf3pKQ+Hi//7fZja4VZ+pD41lDNlUgiCtvGq41fH/tH1cgQkQ22HomDb8UYLe9v9tgafyF&#10;P+l8iLVIIRxK1GBj7EopQ2XJYZj6jjhxP753GNPZ19L0eEnhrpUzpZ6kw4ZTg8WOXixVp8PgNMjs&#10;I28LNxSz0Q6v+Vwtjvu3TuuHyfi8BhFpjP/im/vdpPlqmS/nWbFawPWnBID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icFjHAAAA4wAAAA8AAAAAAAAAAAAAAAAAmAIAAGRy&#10;cy9kb3ducmV2LnhtbFBLBQYAAAAABAAEAPUAAACMAw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hAnsi="Garamond"/>
                            <w:sz w:val="22"/>
                            <w:szCs w:val="22"/>
                          </w:rPr>
                          <w:t>–</w:t>
                        </w:r>
                      </w:p>
                    </w:txbxContent>
                  </v:textbox>
                </v:rect>
                <v:rect id="Shape 1073741852" o:spid="_x0000_s1225" style="position:absolute;left:17841;top:12238;width:4559;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DuL8cA&#10;AADjAAAADwAAAGRycy9kb3ducmV2LnhtbERPX0/CMBB/N/E7NGfim7RjCGxQCCFiTHwS/QCX9VgH&#10;63VZO5jf3pqY+Hi//7fejq4VV+pD41lDNlEgiCtvGq41fH0enpYgQkQ22HomDd8UYLu5v1tjafyN&#10;P+h6jLVIIRxK1GBj7EopQ2XJYZj4jjhxJ987jOnsa2l6vKVw18qpUnPpsOHUYLGjvaXqchycBpm9&#10;523hhmI62uEln6nn8+G10/rxYdytQEQa47/4z/1m0ny1yBezrFjO4fenBID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ew7i/HAAAA4wAAAA8AAAAAAAAAAAAAAAAAmAIAAGRy&#10;cy9kb3ducmV2LnhtbFBLBQYAAAAABAAEAPUAAACMAw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hAnsi="Garamond"/>
                            <w:sz w:val="22"/>
                            <w:szCs w:val="22"/>
                          </w:rPr>
                          <w:t>–</w:t>
                        </w:r>
                      </w:p>
                    </w:txbxContent>
                  </v:textbox>
                </v:rect>
                <v:rect id="Shape 1073741853" o:spid="_x0000_s1226" style="position:absolute;left:46577;top:12231;width:4559;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xLtMcA&#10;AADjAAAADwAAAGRycy9kb3ducmV2LnhtbERPX0vDMBB/F/Ydwg18c0nXade6bIzhRNiT0w9wNGdT&#10;bS6lSbf67Y0g+Hi//7fZTa4TFxpC61lDtlAgiGtvWm40vL8d79YgQkQ22HkmDd8UYLed3WywMv7K&#10;r3Q5x0akEA4VarAx9pWUobbkMCx8T5y4Dz84jOkcGmkGvKZw18mlUg/SYcupwWJPB0v113l0GmR2&#10;yrvSjeVysuNTvlL3n8fnXuvb+bR/BBFpiv/iP/eLSfNVkRerrFwX8PtTAkB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j8S7THAAAA4wAAAA8AAAAAAAAAAAAAAAAAmAIAAGRy&#10;cy9kb3ducmV2LnhtbFBLBQYAAAAABAAEAPUAAACMAw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hAnsi="Garamond"/>
                            <w:sz w:val="22"/>
                            <w:szCs w:val="22"/>
                          </w:rPr>
                          <w:t>–</w:t>
                        </w:r>
                      </w:p>
                    </w:txbxContent>
                  </v:textbox>
                </v:rect>
                <v:rect id="Shape 1073741854" o:spid="_x0000_s1227" style="position:absolute;left:25838;top:19145;width:4559;height:2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PfxsoA&#10;AADjAAAADwAAAGRycy9kb3ducmV2LnhtbESPQU/DMAyF70j8h8hI3FjSdbC1LJsQYgiJE4MfYDWm&#10;KTRO1aRb+ff4gMTRfs/vfd7u59CrE42pi2yhWBhQxE10HbcWPt4PNxtQKSM77COThR9KsN9dXmyx&#10;dvHMb3Q65lZJCKcaLfich1rr1HgKmBZxIBbtM44Bs4xjq92IZwkPvV4ac6cDdiwNHgd69NR8H6dg&#10;QRevZV+FqVrOfnoqV+b26/A8WHt9NT/cg8o053/z3/WLE3yzLterotoItPwkC9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lj38bKAAAA4wAAAA8AAAAAAAAAAAAAAAAAmAIA&#10;AGRycy9kb3ducmV2LnhtbFBLBQYAAAAABAAEAPUAAACPAw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ascii="Garamond"/>
                            <w:sz w:val="22"/>
                            <w:szCs w:val="22"/>
                            <w:lang w:val="en-US"/>
                          </w:rPr>
                          <w:t>=</w:t>
                        </w:r>
                      </w:p>
                    </w:txbxContent>
                  </v:textbox>
                </v:rect>
                <v:group id="Group 1073741857" o:spid="_x0000_s1228" style="position:absolute;left:6;top:21234;width:54858;height:2820" coordsize="54858,28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YmCgnIAAAA&#10;4wAAAA8AAAAAAAAAAAAAAAAAqgIAAGRycy9kb3ducmV2LnhtbFBLBQYAAAAABAAEAPoAAACfAwAA&#10;AAA=&#10;">
                  <v:rect id="Shape 1073741855" o:spid="_x0000_s1229" style="position:absolute;width:54858;height:2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Adc8sA&#10;AADjAAAADwAAAGRycy9kb3ducmV2LnhtbESPQW/CMAyF70j7D5En7QYpYxpQCIghJk3aaYDE1TSm&#10;LWucKgnQ8evnw6QdbT+/9775snONulKItWcDw0EGirjwtubSwH733p+AignZYuOZDPxQhOXioTfH&#10;3Pobf9F1m0olJhxzNFCl1OZax6Iih3HgW2K5nXxwmGQMpbYBb2LuGv2cZa/aYc2SUGFL64qK7+3F&#10;GfDnt82hXh3W7WfQI3e/63QsTsY8PXarGahEXfoX/31/WKmfjUfjl+F0KhTCJAvQi1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YAB1zywAAAOMAAAAPAAAAAAAAAAAAAAAAAJgC&#10;AABkcnMvZG93bnJldi54bWxQSwUGAAAAAAQABAD1AAAAkAMAAAAA&#10;" strokeweight=".5pt">
                    <v:stroke joinstyle="round"/>
                  </v:rect>
                  <v:rect id="Shape 1073741856" o:spid="_x0000_s1230" style="position:absolute;width:54858;height:2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ghscA&#10;AADjAAAADwAAAGRycy9kb3ducmV2LnhtbERPX0/CMBB/N/E7NGfCm7RjKG5SiDFATHgC/QCX9Vyn&#10;63VZOxjfnpKY+Hi//7dcj64VJ+pD41lDNlUgiCtvGq41fH1uH19AhIhssPVMGi4UYL26v1tiafyZ&#10;D3Q6xlqkEA4larAxdqWUobLkMEx9R5y4b987jOnsa2l6PKdw18qZUs/SYcOpwWJH75aq3+PgNMhs&#10;n7eFG4rZaIdNPldPP9tdp/XkYXx7BRFpjP/iP/eHSfPVIl/Ms6LI4PZTAk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2A4IbHAAAA4wAAAA8AAAAAAAAAAAAAAAAAmAIAAGRy&#10;cy9kb3ducmV2LnhtbFBLBQYAAAAABAAEAPUAAACMAwAAAAA=&#10;" filled="f" stroked="f" strokeweight="1pt">
                    <v:stroke miterlimit="4"/>
                    <v:textbox inset="1.27mm,1.27mm,1.27mm,1.27mm">
                      <w:txbxContent>
                        <w:p w:rsidR="00B56753" w:rsidRPr="002A7A75" w:rsidRDefault="00B56753" w:rsidP="003C51B1">
                          <w:pPr>
                            <w:pStyle w:val="af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b/>
                              <w:bCs/>
                              <w:sz w:val="28"/>
                              <w:lang w:val="en-US"/>
                            </w:rPr>
                            <w:t>Operating profit</w:t>
                          </w:r>
                        </w:p>
                      </w:txbxContent>
                    </v:textbox>
                  </v:rect>
                </v:group>
                <v:group id="Group 1073741860" o:spid="_x0000_s1231" style="position:absolute;top:25638;width:27336;height:4229" coordsize="27336,42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AdWw6lyQAA&#10;AOMAAAAPAAAAAAAAAAAAAAAAAKoCAABkcnMvZG93bnJldi54bWxQSwUGAAAAAAQABAD6AAAAoAMA&#10;AAAA&#10;">
                  <v:rect id="Shape 1073741858" o:spid="_x0000_s1232" style="position:absolute;width:27336;height:4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KDBMcA&#10;AADjAAAADwAAAGRycy9kb3ducmV2LnhtbERPS2sCMRC+C/6HMEJvmtUtVVejqCgUevIBXsfNuLvt&#10;ZrIkqW799U2h4HG+98yXranFjZyvLCsYDhIQxLnVFRcKTsddfwLCB2SNtWVS8EMelotuZ46Ztnfe&#10;0+0QChFD2GeooAyhyaT0eUkG/cA2xJG7WmcwxNMVUju8x3BTy1GSvEmDFceGEhvalJR/Hb6NAvu5&#10;3p6r1XnTfDiZmsdDhkt+Veql165mIAK14Sn+d7/rOD8Zp+PX4XSawt9PEQC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jSgwTHAAAA4wAAAA8AAAAAAAAAAAAAAAAAmAIAAGRy&#10;cy9kb3ducmV2LnhtbFBLBQYAAAAABAAEAPUAAACMAwAAAAA=&#10;" strokeweight=".5pt">
                    <v:stroke joinstyle="round"/>
                  </v:rect>
                  <v:rect id="Shape 1073741859" o:spid="_x0000_s1233" style="position:absolute;width:27336;height:42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djFMYA&#10;AADjAAAADwAAAGRycy9kb3ducmV2LnhtbERP24rCMBB9X9h/CLPg25qqxUs1igiyiy/SywcMzdgW&#10;m0lponb/fiMIPs65z2Y3mFbcqXeNZQWTcQSCuLS64UpBkR+/lyCcR9bYWiYFf+Rgt/382GCi7YNT&#10;ume+EiGEXYIKau+7REpX1mTQjW1HHLiL7Q36cPaV1D0+Qrhp5TSK5tJgw6Ghxo4ONZXX7GYUnG7t&#10;Mqvyc5H64nz6cblthjRWavQ17NcgPA3+LX65f3WYHy1mi3iyWsXw/CkAIL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NdjFMYAAADjAAAADwAAAAAAAAAAAAAAAACYAgAAZHJz&#10;L2Rvd25yZXYueG1sUEsFBgAAAAAEAAQA9QAAAIsDAAAAAA==&#10;" filled="f" stroked="f" strokeweight="1pt">
                    <v:stroke miterlimit="4"/>
                    <v:textbox inset="1.27mm,1.27mm,1.27mm,1.27mm">
                      <w:txbxContent>
                        <w:p w:rsidR="00B56753" w:rsidRPr="002A7A75" w:rsidRDefault="00B56753" w:rsidP="003C51B1">
                          <w:pPr>
                            <w:pStyle w:val="afc"/>
                            <w:tabs>
                              <w:tab w:val="left" w:pos="708"/>
                              <w:tab w:val="left" w:pos="1416"/>
                              <w:tab w:val="left" w:pos="2124"/>
                              <w:tab w:val="left" w:pos="2832"/>
                              <w:tab w:val="left" w:pos="3540"/>
                              <w:tab w:val="left" w:pos="4248"/>
                            </w:tabs>
                            <w:spacing w:before="0" w:after="0"/>
                            <w:jc w:val="center"/>
                            <w:rPr>
                              <w:sz w:val="28"/>
                            </w:rPr>
                          </w:pPr>
                          <w:r w:rsidRPr="002A7A75">
                            <w:rPr>
                              <w:rFonts w:ascii="Garamond"/>
                              <w:sz w:val="28"/>
                              <w:lang w:val="en-US"/>
                            </w:rPr>
                            <w:t>Finance income</w:t>
                          </w:r>
                        </w:p>
                      </w:txbxContent>
                    </v:textbox>
                  </v:rect>
                </v:group>
                <v:group id="Group 1073741863" o:spid="_x0000_s1234" style="position:absolute;left:28753;top:25637;width:26093;height:4235" coordsize="26093,42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KyltHIAAAA&#10;4wAAAA8AAAAAAAAAAAAAAAAAqgIAAGRycy9kb3ducmV2LnhtbFBLBQYAAAAABAAEAPoAAACfAwAA&#10;AAA=&#10;">
                  <v:rect id="Shape 1073741861" o:spid="_x0000_s1235" style="position:absolute;width:26093;height:4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UgnMcA&#10;AADjAAAADwAAAGRycy9kb3ducmV2LnhtbERPS2sCMRC+F/wPYQRvNasWt65GUWmh4MkHeJ1uxt3V&#10;zWRJUt3665uC4HG+98wWranFlZyvLCsY9BMQxLnVFRcKDvvP13cQPiBrrC2Tgl/ysJh3XmaYaXvj&#10;LV13oRAxhH2GCsoQmkxKn5dk0PdtQxy5k3UGQzxdIbXDWww3tRwmyVgarDg2lNjQuqT8svsxCux5&#10;9XGslsd1s3FyZO53Gb7zk1K9brucggjUhqf44f7ScX6SjtK3wWQyhv+fIgBy/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lIJzHAAAA4wAAAA8AAAAAAAAAAAAAAAAAmAIAAGRy&#10;cy9kb3ducmV2LnhtbFBLBQYAAAAABAAEAPUAAACMAwAAAAA=&#10;" strokeweight=".5pt">
                    <v:stroke joinstyle="round"/>
                  </v:rect>
                  <v:rect id="Shape 1073741862" o:spid="_x0000_s1236" style="position:absolute;width:26093;height:4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X9Y8YA&#10;AADjAAAADwAAAGRycy9kb3ducmV2LnhtbERP24rCMBB9X9h/CLPg25p6wWo1igiyiy/SywcMzdgW&#10;m0lponb/fiMIPs65z2Y3mFbcqXeNZQWTcQSCuLS64UpBkR+/lyCcR9bYWiYFf+Rgt/382GCi7YNT&#10;ume+EiGEXYIKau+7REpX1mTQjW1HHLiL7Q36cPaV1D0+Qrhp5TSKFtJgw6Ghxo4ONZXX7GYUnG7t&#10;Mqvyc5H64nz6cblthnSu1Ohr2K9BeBr8W/xy/+owP4pn8XyyWsXw/CkAIL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AX9Y8YAAADjAAAADwAAAAAAAAAAAAAAAACYAgAAZHJz&#10;L2Rvd25yZXYueG1sUEsFBgAAAAAEAAQA9QAAAIsDAAAAAA==&#10;" filled="f" stroked="f" strokeweight="1pt">
                    <v:stroke miterlimit="4"/>
                    <v:textbox inset="1.27mm,1.27mm,1.27mm,1.27mm">
                      <w:txbxContent>
                        <w:p w:rsidR="00B56753" w:rsidRPr="002A7A75" w:rsidRDefault="00B56753" w:rsidP="003C51B1">
                          <w:pPr>
                            <w:pStyle w:val="afc"/>
                            <w:tabs>
                              <w:tab w:val="left" w:pos="708"/>
                              <w:tab w:val="left" w:pos="1416"/>
                              <w:tab w:val="left" w:pos="2124"/>
                              <w:tab w:val="left" w:pos="2832"/>
                              <w:tab w:val="left" w:pos="3540"/>
                            </w:tabs>
                            <w:spacing w:before="0" w:after="0"/>
                            <w:jc w:val="center"/>
                            <w:rPr>
                              <w:sz w:val="28"/>
                            </w:rPr>
                          </w:pPr>
                          <w:r w:rsidRPr="002A7A75">
                            <w:rPr>
                              <w:rFonts w:ascii="Garamond"/>
                              <w:sz w:val="28"/>
                              <w:lang w:val="en-US"/>
                            </w:rPr>
                            <w:t>Finance cost</w:t>
                          </w:r>
                        </w:p>
                      </w:txbxContent>
                    </v:textbox>
                  </v:rect>
                </v:group>
                <v:rect id="Shape 1073741864" o:spid="_x0000_s1237" style="position:absolute;left:11507;top:23733;width:4553;height:2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pJG8oA&#10;AADjAAAADwAAAGRycy9kb3ducmV2LnhtbESPQU/DMAyF70j8h8hI3FjSdTBalk0IMYS0E4MfYDWm&#10;KTRO1aRb+ff4gMTRfs/vfd7s5tCrE42pi2yhWBhQxE10HbcWPt73N/egUkZ22EcmCz+UYLe9vNhg&#10;7eKZ3+h0zK2SEE41WvA5D7XWqfEUMC3iQCzaZxwDZhnHVrsRzxIeer005k4H7FgaPA705Kn5Pk7B&#10;gi4OZV+FqVrOfnouV+b2a/8yWHt9NT8+gMo053/z3/WrE3yzLteroqoEWn6SBejt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Jy6SRvKAAAA4wAAAA8AAAAAAAAAAAAAAAAAmAIA&#10;AGRycy9kb3ducmV2LnhtbFBLBQYAAAAABAAEAPUAAACPAw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ascii="Garamond"/>
                            <w:sz w:val="22"/>
                            <w:szCs w:val="22"/>
                            <w:lang w:val="en-US"/>
                          </w:rPr>
                          <w:t>+</w:t>
                        </w:r>
                      </w:p>
                    </w:txbxContent>
                  </v:textbox>
                </v:rect>
                <v:rect id="Shape 1073741865" o:spid="_x0000_s1238" style="position:absolute;left:39407;top:23585;width:4553;height:2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sgMYA&#10;AADjAAAADwAAAGRycy9kb3ducmV2LnhtbERPX0vDMBB/F/wO4QTfXNJ1OlOXjTGcCD45/QBHczbd&#10;mktp0q1+eyMIPt7v/602k+/EmYbYBjZQzBQI4jrYlhsDnx/7u0cQMSFb7AKTgW+KsFlfX62wsuHC&#10;73Q+pEbkEI4VGnAp9ZWUsXbkMc5CT5y5rzB4TPkcGmkHvORw38m5Ug/SY8u5wWFPO0f16TB6A7J4&#10;KzvtRz2f3PhcLtT9cf/SG3N7M22fQCSa0r/4z/1q83y1LJeLQmsNvz9lA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bsgMYAAADjAAAADwAAAAAAAAAAAAAAAACYAgAAZHJz&#10;L2Rvd25yZXYueG1sUEsFBgAAAAAEAAQA9QAAAIsDA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hAnsi="Garamond"/>
                            <w:sz w:val="22"/>
                            <w:szCs w:val="22"/>
                          </w:rPr>
                          <w:t>–</w:t>
                        </w:r>
                      </w:p>
                    </w:txbxContent>
                  </v:textbox>
                </v:rect>
                <v:rect id="Shape 1073741866" o:spid="_x0000_s1239" style="position:absolute;left:25837;top:29867;width:4553;height:22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P7JckA&#10;AADjAAAADwAAAGRycy9kb3ducmV2LnhtbESPQU/DMAyF70j8h8iTuLFk62CsLJsQYghpJwY/wGpM&#10;U9Y4VZNu5d/jw6Qdn9/zZ7/1dgytOlGfmsgWZlMDiriKruHawvfX7v4JVMrIDtvIZOGPEmw3tzdr&#10;LF088yedDrlWAuFUogWfc1dqnSpPAdM0dsTi/cQ+YBbZ19r1eBZ4aPXcmEcdsGG54LGjV0/V8TAE&#10;C3q2L9pVGFbz0Q9vxcI8/O7eO2vvJuPLM6hMY76GL9sfTt43y2K5EK60kE4yAL35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1P7JckAAADjAAAADwAAAAAAAAAAAAAAAACYAgAA&#10;ZHJzL2Rvd25yZXYueG1sUEsFBgAAAAAEAAQA9QAAAI4DA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ascii="Garamond"/>
                            <w:sz w:val="22"/>
                            <w:szCs w:val="22"/>
                            <w:lang w:val="en-US"/>
                          </w:rPr>
                          <w:t>=</w:t>
                        </w:r>
                      </w:p>
                    </w:txbxContent>
                  </v:textbox>
                </v:rect>
                <v:group id="Group 1073741869" o:spid="_x0000_s1240" style="position:absolute;top:32241;width:54851;height:2813" coordsize="54851,28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">
                  <v:rect id="Shape 1073741867" o:spid="_x0000_s1241" style="position:absolute;width:54851;height:28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" strokeweight=".5pt">
                    <v:stroke joinstyle="round"/>
                  </v:rect>
                  <v:rect id="Shape 1073741868" o:spid="_x0000_s1242" style="position:absolute;width:54851;height:28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FlUskA&#10;AADjAAAADwAAAGRycy9kb3ducmV2LnhtbESPwW7CMBBE75X6D9ZW6q3YEFpKikEIFYTEibQfsIq3&#10;cSBeR7ED6d/XSEg97s7M29nFanCNuFAXas8axiMFgrj0puZKw/fX9uUdRIjIBhvPpOGXAqyWjw8L&#10;zI2/8pEuRaxEgnDIUYONsc2lDKUlh2HkW+Kk/fjOYUxjV0nT4TXBXSMnSr1JhzWnCxZb2lgqz0Xv&#10;NMjxIWvmrp9PBtt/ZlP1etruWq2fn4b1B4hIQ/w339N7k+qrWTabJm4Gt5/SAuTyD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4FlUskAAADjAAAADwAAAAAAAAAAAAAAAACYAgAA&#10;ZHJzL2Rvd25yZXYueG1sUEsFBgAAAAAEAAQA9QAAAI4DAAAAAA==&#10;" filled="f" stroked="f" strokeweight="1pt">
                    <v:stroke miterlimit="4"/>
                    <v:textbox inset="1.27mm,1.27mm,1.27mm,1.27mm">
                      <w:txbxContent>
                        <w:p w:rsidR="00B56753" w:rsidRPr="002A7A75" w:rsidRDefault="00B56753" w:rsidP="003C51B1">
                          <w:pPr>
                            <w:pStyle w:val="af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b/>
                              <w:bCs/>
                              <w:sz w:val="28"/>
                              <w:lang w:val="en-US"/>
                            </w:rPr>
                            <w:t>Profit before tax</w:t>
                          </w:r>
                        </w:p>
                      </w:txbxContent>
                    </v:textbox>
                  </v:rect>
                </v:group>
                <v:rect id="Shape 1073741870" o:spid="_x0000_s1243" style="position:absolute;left:25089;top:34511;width:4559;height:2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j9JskA&#10;AADjAAAADwAAAGRycy9kb3ducmV2LnhtbESPwW7CMBBE75X6D9ZW4gY2JJQSMKiqoKrECdoPWMVL&#10;HIjXUexA+vd1pUo97s7M29n1dnCNuFEXas8aphMFgrj0puZKw9fnfvwCIkRkg41n0vBNAbabx4c1&#10;Fsbf+Ui3U6xEgnAoUIONsS2kDKUlh2HiW+KknX3nMKaxq6Tp8J7grpEzpZ6lw5rTBYstvVkqr6fe&#10;aZDTQ9YsXb+cDbbfZbmaX/bvrdajp+F1BSLSEP/Nf+kPk+qrRbbIEzeH35/SAuTm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Gj9JskAAADjAAAADwAAAAAAAAAAAAAAAACYAgAA&#10;ZHJzL2Rvd25yZXYueG1sUEsFBgAAAAAEAAQA9QAAAI4DA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hAnsi="Garamond"/>
                            <w:sz w:val="22"/>
                            <w:szCs w:val="22"/>
                          </w:rPr>
                          <w:t>–</w:t>
                        </w:r>
                      </w:p>
                    </w:txbxContent>
                  </v:textbox>
                </v:rect>
                <v:group id="Group 1073741873" o:spid="_x0000_s1244" style="position:absolute;left:6;top:36797;width:54858;height:2819" coordsize="54858,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">
                  <v:rect id="Shape 1073741871" o:spid="_x0000_s1245" style="position:absolute;width:54858;height:2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qepMoA&#10;AADjAAAADwAAAGRycy9kb3ducmV2LnhtbESPT2vCQBDF7wW/wzJCb3XjH2qJriFKC4Weagtep9kx&#10;iWZnw+42Sf30rlDwOPPe+82bdTaYRnTkfG1ZwXSSgCAurK65VPD99fb0AsIHZI2NZVLwRx6yzehh&#10;jam2PX9Stw+liBD2KSqoQmhTKX1RkUE/sS1x1I7WGQxxdKXUDvsIN42cJcmzNFhzvFBhS7uKivP+&#10;1yiwp+3roc4Pu/bDybm5XGT4KY5KPY6HfAUi0BDu5v/0u471k+V8ubhx4fZTXIDcXA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k6nqTKAAAA4wAAAA8AAAAAAAAAAAAAAAAAmAIA&#10;AGRycy9kb3ducmV2LnhtbFBLBQYAAAAABAAEAPUAAACPAwAAAAA=&#10;" strokeweight=".5pt">
                    <v:stroke joinstyle="round"/>
                  </v:rect>
                  <v:rect id="Shape 1073741872" o:spid="_x0000_s1246" style="position:absolute;width:54858;height:2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pjUckA&#10;AADjAAAADwAAAGRycy9kb3ducmV2LnhtbESPwW7CMBBE75X6D9ZW4gY2BJoSMKiqAFXqqbQfsIqX&#10;OBCvo9iB9O9rpEo97s7M29n1dnCNuFIXas8aphMFgrj0puZKw/fXfvwCIkRkg41n0vBDAbabx4c1&#10;Fsbf+JOux1iJBOFQoAYbY1tIGUpLDsPEt8RJO/nOYUxjV0nT4S3BXSNnSj1LhzWnCxZberNUXo69&#10;0yCnH1mzdP1yNth+l83V4rw/tFqPnobXFYhIQ/w3/6XfTaqv8iyfJ24O95/SAuTm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LpjUckAAADjAAAADwAAAAAAAAAAAAAAAACYAgAA&#10;ZHJzL2Rvd25yZXYueG1sUEsFBgAAAAAEAAQA9QAAAI4DAAAAAA==&#10;" filled="f" stroked="f" strokeweight="1pt">
                    <v:stroke miterlimit="4"/>
                    <v:textbox inset="1.27mm,1.27mm,1.27mm,1.27mm">
                      <w:txbxContent>
                        <w:p w:rsidR="00B56753" w:rsidRPr="002A7A75" w:rsidRDefault="00B56753" w:rsidP="003C51B1">
                          <w:pPr>
                            <w:pStyle w:val="af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sz w:val="28"/>
                              <w:lang w:val="en-US"/>
                            </w:rPr>
                            <w:t>Income tax expense</w:t>
                          </w:r>
                        </w:p>
                      </w:txbxContent>
                    </v:textbox>
                  </v:rect>
                </v:group>
                <v:rect id="Shape 1073741874" o:spid="_x0000_s1247" style="position:absolute;left:25089;top:39622;width:4559;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X3I8kA&#10;AADjAAAADwAAAGRycy9kb3ducmV2LnhtbESPQU/DMAyF70j8h8iTuLFk62CsLJsQYghpJwY/wGpM&#10;U9Y4VZNu5d/jw6Qdn/38+b31dgytOlGfmsgWZlMDiriKruHawvfX7v4JVMrIDtvIZOGPEmw3tzdr&#10;LF088yedDrlWAuFUogWfc1dqnSpPAdM0dsSy+4l9wCyyr7Xr8Szw0Oq5MY86YMPywWNHr56q42EI&#10;FvRsX7SrMKzmox/eioV5+N29d9beTcaXZ1CZxnw1X64/nMQ3y2K5EK6Elk4yAL35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SX3I8kAAADjAAAADwAAAAAAAAAAAAAAAACYAgAA&#10;ZHJzL2Rvd25yZXYueG1sUEsFBgAAAAAEAAQA9QAAAI4DAAAAAA==&#10;" filled="f" stroked="f" strokeweight="1pt">
                  <v:stroke miterlimit="4"/>
                  <v:textbox inset="1.27mm,1.27mm,1.27mm,1.27mm">
                    <w:txbxContent>
                      <w:p w:rsidR="00B56753" w:rsidRDefault="00B56753" w:rsidP="003C51B1">
                        <w:pPr>
                          <w:pStyle w:val="afc"/>
                          <w:tabs>
                            <w:tab w:val="left" w:pos="708"/>
                          </w:tabs>
                          <w:spacing w:before="0" w:after="0"/>
                          <w:jc w:val="center"/>
                        </w:pPr>
                        <w:r>
                          <w:rPr>
                            <w:rFonts w:ascii="Garamond"/>
                            <w:sz w:val="22"/>
                            <w:szCs w:val="22"/>
                            <w:lang w:val="en-US"/>
                          </w:rPr>
                          <w:t>=</w:t>
                        </w:r>
                      </w:p>
                    </w:txbxContent>
                  </v:textbox>
                </v:rect>
                <v:group id="Group 1073741877" o:spid="_x0000_s1248" style="position:absolute;left:6;top:41819;width:54858;height:2820" coordsize="54858,28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">
                  <v:rect id="Shape 1073741875" o:spid="_x0000_s1249" style="position:absolute;width:54858;height:2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" strokeweight=".5pt">
                    <v:stroke joinstyle="round"/>
                  </v:rect>
                  <v:rect id="Shape 1073741876" o:spid="_x0000_s1250" style="position:absolute;width:54858;height:2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bIY8cA&#10;AADjAAAADwAAAGRycy9kb3ducmV2LnhtbERPX0/CMBB/N+E7NEfim7TbEGRSiDFCTHgC/ACX9Vyn&#10;63VZO5jf3pKY+Hi//7fejq4VF+pD41lDNlMgiCtvGq41fJx3D08gQkQ22HomDT8UYLuZ3K2xNP7K&#10;R7qcYi1SCIcSNdgYu1LKUFlyGGa+I07cp+8dxnT2tTQ9XlO4a2Wu1EI6bDg1WOzo1VL1fRqcBpkd&#10;inblhlU+2uGtmKvHr92+0/p+Or48g4g0xn/xn/vdpPlqWSznucoyuP2UAJ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nGyGPHAAAA4wAAAA8AAAAAAAAAAAAAAAAAmAIAAGRy&#10;cy9kb3ducmV2LnhtbFBLBQYAAAAABAAEAPUAAACMAwAAAAA=&#10;" filled="f" stroked="f" strokeweight="1pt">
                    <v:stroke miterlimit="4"/>
                    <v:textbox inset="1.27mm,1.27mm,1.27mm,1.27mm">
                      <w:txbxContent>
                        <w:p w:rsidR="00B56753" w:rsidRPr="002A7A75" w:rsidRDefault="00B56753" w:rsidP="003C51B1">
                          <w:pPr>
                            <w:pStyle w:val="af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0" w:after="0"/>
                            <w:jc w:val="center"/>
                            <w:rPr>
                              <w:sz w:val="28"/>
                            </w:rPr>
                          </w:pPr>
                          <w:r w:rsidRPr="002A7A75">
                            <w:rPr>
                              <w:rFonts w:ascii="Garamond"/>
                              <w:b/>
                              <w:bCs/>
                              <w:sz w:val="28"/>
                              <w:lang w:val="en-US"/>
                            </w:rPr>
                            <w:t>Profit</w:t>
                          </w:r>
                        </w:p>
                      </w:txbxContent>
                    </v:textbox>
                  </v:rect>
                </v:group>
                <w10:anchorlock/>
              </v:group>
            </w:pict>
          </mc:Fallback>
        </mc:AlternateContent>
      </w:r>
    </w:p>
    <w:p w14:paraId="3A982323" w14:textId="77777777" w:rsidR="003C51B1" w:rsidRPr="002A7A75" w:rsidRDefault="003C51B1" w:rsidP="003C51B1">
      <w:pPr>
        <w:pBdr>
          <w:top w:val="nil"/>
          <w:left w:val="nil"/>
          <w:bottom w:val="nil"/>
          <w:right w:val="nil"/>
          <w:between w:val="nil"/>
          <w:bar w:val="nil"/>
        </w:pBdr>
        <w:tabs>
          <w:tab w:val="left" w:pos="3162"/>
          <w:tab w:val="left" w:pos="3540"/>
          <w:tab w:val="left" w:pos="4248"/>
          <w:tab w:val="left" w:pos="4956"/>
          <w:tab w:val="left" w:pos="5664"/>
          <w:tab w:val="left" w:pos="6372"/>
          <w:tab w:val="left" w:pos="7080"/>
          <w:tab w:val="left" w:pos="7788"/>
          <w:tab w:val="left" w:pos="8496"/>
          <w:tab w:val="left" w:pos="9204"/>
        </w:tabs>
        <w:jc w:val="center"/>
        <w:rPr>
          <w:rFonts w:ascii="Calibri" w:eastAsia="Calibri" w:hAnsi="Calibri" w:cs="Calibri"/>
          <w:sz w:val="28"/>
          <w:u w:color="000000"/>
          <w:bdr w:val="nil"/>
          <w:lang w:val="en-US" w:eastAsia="en-US"/>
        </w:rPr>
      </w:pPr>
      <w:r w:rsidRPr="002A7A75">
        <w:rPr>
          <w:rFonts w:eastAsia="Calibri" w:hAnsi="Calibri" w:cs="Calibri"/>
          <w:b/>
          <w:bCs/>
          <w:sz w:val="28"/>
          <w:u w:color="000000"/>
          <w:bdr w:val="nil"/>
          <w:lang w:val="en-US" w:eastAsia="en-US"/>
        </w:rPr>
        <w:t xml:space="preserve">Figure </w:t>
      </w:r>
      <w:r w:rsidR="002A7A75" w:rsidRPr="002A7A75">
        <w:rPr>
          <w:rFonts w:eastAsia="Calibri" w:hAnsi="Calibri" w:cs="Calibri"/>
          <w:b/>
          <w:bCs/>
          <w:sz w:val="28"/>
          <w:u w:color="000000"/>
          <w:bdr w:val="nil"/>
          <w:lang w:val="en-US" w:eastAsia="en-US"/>
        </w:rPr>
        <w:t>A</w:t>
      </w:r>
      <w:r w:rsidRPr="002A7A75">
        <w:rPr>
          <w:rFonts w:eastAsia="Calibri" w:hAnsi="Calibri" w:cs="Calibri"/>
          <w:b/>
          <w:bCs/>
          <w:sz w:val="28"/>
          <w:u w:color="000000"/>
          <w:bdr w:val="nil"/>
          <w:lang w:val="en-US" w:eastAsia="en-US"/>
        </w:rPr>
        <w:t>.1</w:t>
      </w:r>
      <w:r w:rsidR="00505A1C">
        <w:rPr>
          <w:rFonts w:eastAsia="Calibri" w:hAnsi="Calibri" w:cs="Calibri"/>
          <w:b/>
          <w:bCs/>
          <w:sz w:val="28"/>
          <w:u w:color="000000"/>
          <w:bdr w:val="nil"/>
          <w:lang w:val="en-US" w:eastAsia="en-US"/>
        </w:rPr>
        <w:t xml:space="preserve"> </w:t>
      </w:r>
      <w:r w:rsidR="00505A1C">
        <w:rPr>
          <w:rFonts w:eastAsia="Garamond"/>
          <w:b/>
          <w:bCs/>
          <w:sz w:val="28"/>
          <w:u w:color="000000"/>
          <w:bdr w:val="nil"/>
          <w:lang w:val="en-US" w:eastAsia="en-US"/>
        </w:rPr>
        <w:t>–</w:t>
      </w:r>
      <w:r w:rsidRPr="002A7A75">
        <w:rPr>
          <w:rFonts w:eastAsia="Calibri" w:hAnsi="Calibri" w:cs="Calibri"/>
          <w:b/>
          <w:bCs/>
          <w:sz w:val="28"/>
          <w:u w:color="000000"/>
          <w:bdr w:val="nil"/>
          <w:lang w:val="en-US" w:eastAsia="en-US"/>
        </w:rPr>
        <w:t xml:space="preserve"> Step by step approach to profit calculation</w:t>
      </w:r>
    </w:p>
    <w:p w14:paraId="7988D133" w14:textId="77777777" w:rsidR="003C51B1" w:rsidRPr="003C51B1" w:rsidRDefault="003C51B1" w:rsidP="003C51B1">
      <w:pPr>
        <w:keepNext/>
        <w:keepLines/>
        <w:pBdr>
          <w:top w:val="nil"/>
          <w:left w:val="nil"/>
          <w:bottom w:val="nil"/>
          <w:right w:val="nil"/>
          <w:between w:val="nil"/>
          <w:bar w:val="nil"/>
        </w:pBdr>
        <w:spacing w:after="240"/>
        <w:jc w:val="center"/>
        <w:outlineLvl w:val="0"/>
        <w:rPr>
          <w:rFonts w:eastAsia="Garamond"/>
          <w:b/>
          <w:bCs/>
          <w:caps/>
          <w:spacing w:val="20"/>
          <w:kern w:val="16"/>
          <w:u w:color="000000"/>
          <w:bdr w:val="nil"/>
          <w:lang w:val="en-US"/>
        </w:rPr>
      </w:pPr>
    </w:p>
    <w:p w14:paraId="10CE896A" w14:textId="77777777" w:rsidR="003C51B1" w:rsidRDefault="003C51B1" w:rsidP="003C51B1">
      <w:pPr>
        <w:keepNext/>
        <w:keepLines/>
        <w:pBdr>
          <w:top w:val="nil"/>
          <w:left w:val="nil"/>
          <w:bottom w:val="nil"/>
          <w:right w:val="nil"/>
          <w:between w:val="nil"/>
          <w:bar w:val="nil"/>
        </w:pBdr>
        <w:spacing w:after="240"/>
        <w:jc w:val="center"/>
        <w:outlineLvl w:val="0"/>
        <w:rPr>
          <w:rFonts w:eastAsia="Garamond"/>
          <w:b/>
          <w:bCs/>
          <w:caps/>
          <w:spacing w:val="20"/>
          <w:kern w:val="16"/>
          <w:u w:color="000000"/>
          <w:bdr w:val="nil"/>
          <w:lang w:val="en-US"/>
        </w:rPr>
      </w:pPr>
      <w:r w:rsidRPr="003C51B1">
        <w:rPr>
          <w:rFonts w:eastAsia="Garamond"/>
          <w:b/>
          <w:bCs/>
          <w:caps/>
          <w:spacing w:val="20"/>
          <w:kern w:val="16"/>
          <w:u w:color="000000"/>
          <w:bdr w:val="nil"/>
          <w:lang w:val="en-US"/>
        </w:rPr>
        <w:br/>
      </w:r>
    </w:p>
    <w:p w14:paraId="5E7A72F6" w14:textId="77777777" w:rsidR="003C51B1" w:rsidRDefault="003C51B1">
      <w:pPr>
        <w:rPr>
          <w:rFonts w:eastAsia="Garamond"/>
          <w:b/>
          <w:bCs/>
          <w:caps/>
          <w:spacing w:val="20"/>
          <w:kern w:val="16"/>
          <w:u w:color="000000"/>
          <w:bdr w:val="nil"/>
          <w:lang w:val="en-US"/>
        </w:rPr>
      </w:pPr>
      <w:r>
        <w:rPr>
          <w:rFonts w:eastAsia="Garamond"/>
          <w:b/>
          <w:bCs/>
          <w:caps/>
          <w:spacing w:val="20"/>
          <w:kern w:val="16"/>
          <w:u w:color="000000"/>
          <w:bdr w:val="nil"/>
          <w:lang w:val="en-US"/>
        </w:rPr>
        <w:br w:type="page"/>
      </w:r>
    </w:p>
    <w:p w14:paraId="1A991DD6" w14:textId="77777777" w:rsidR="003C51B1" w:rsidRPr="003C51B1" w:rsidRDefault="0065175A" w:rsidP="002A7A75">
      <w:pPr>
        <w:pStyle w:val="eng"/>
        <w:rPr>
          <w:rFonts w:eastAsia="Garamond"/>
          <w:u w:color="000000"/>
          <w:bdr w:val="nil"/>
          <w:lang w:val="en-US" w:eastAsia="en-US"/>
        </w:rPr>
      </w:pPr>
      <w:r>
        <w:rPr>
          <w:rFonts w:eastAsia="Calibri"/>
          <w:u w:color="000000"/>
          <w:bdr w:val="nil"/>
          <w:lang w:val="en-US" w:eastAsia="en-US"/>
        </w:rPr>
        <w:lastRenderedPageBreak/>
        <w:t>Chapter 8</w:t>
      </w:r>
      <w:r w:rsidR="003C1704">
        <w:rPr>
          <w:rFonts w:eastAsia="Calibri"/>
          <w:u w:color="000000"/>
          <w:bdr w:val="nil"/>
          <w:lang w:val="en-US" w:eastAsia="en-US"/>
        </w:rPr>
        <w:t>:</w:t>
      </w:r>
      <w:r w:rsidR="003C51B1" w:rsidRPr="003C51B1">
        <w:rPr>
          <w:rFonts w:eastAsia="Calibri"/>
          <w:u w:color="000000"/>
          <w:bdr w:val="nil"/>
          <w:lang w:val="en-US" w:eastAsia="en-US"/>
        </w:rPr>
        <w:t xml:space="preserve"> </w:t>
      </w:r>
    </w:p>
    <w:p w14:paraId="7F1A65BE" w14:textId="77777777" w:rsidR="003C51B1" w:rsidRPr="003C51B1" w:rsidRDefault="0065175A" w:rsidP="002A7A75">
      <w:pPr>
        <w:pStyle w:val="eng"/>
        <w:rPr>
          <w:rFonts w:eastAsia="Garamond"/>
          <w:u w:color="000000"/>
          <w:bdr w:val="nil"/>
          <w:lang w:val="en-US" w:eastAsia="en-US"/>
        </w:rPr>
      </w:pPr>
      <w:r>
        <w:rPr>
          <w:rFonts w:eastAsia="Calibri"/>
          <w:u w:color="000000"/>
          <w:bdr w:val="nil"/>
          <w:lang w:val="en-US" w:eastAsia="en-US"/>
        </w:rPr>
        <w:t>Financial analysis</w:t>
      </w:r>
    </w:p>
    <w:p w14:paraId="32BE2369" w14:textId="77777777" w:rsidR="003C51B1" w:rsidRPr="003C51B1" w:rsidRDefault="003C51B1" w:rsidP="002A7A75">
      <w:pPr>
        <w:pStyle w:val="end2"/>
        <w:rPr>
          <w:rFonts w:eastAsia="Garamond"/>
          <w:u w:color="000000"/>
          <w:bdr w:val="nil"/>
          <w:lang w:eastAsia="en-US"/>
        </w:rPr>
      </w:pPr>
      <w:r w:rsidRPr="003C51B1">
        <w:rPr>
          <w:rFonts w:eastAsia="Calibri"/>
          <w:u w:color="000000"/>
          <w:bdr w:val="nil"/>
          <w:lang w:eastAsia="en-US"/>
        </w:rPr>
        <w:t>summary</w:t>
      </w:r>
    </w:p>
    <w:p w14:paraId="43613083"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Understanding the financial statements of a firm is critical since it is often the only source of information with which we must make investment decisions. </w:t>
      </w:r>
      <w:r w:rsidRPr="002A7A75">
        <w:rPr>
          <w:rFonts w:eastAsia="Calibri" w:cs="Calibri"/>
          <w:b/>
          <w:bCs/>
          <w:sz w:val="28"/>
          <w:szCs w:val="28"/>
          <w:u w:color="000000"/>
          <w:bdr w:val="nil"/>
          <w:lang w:val="en-US" w:eastAsia="en-US"/>
        </w:rPr>
        <w:t>Financial analysis</w:t>
      </w:r>
      <w:r w:rsidRPr="002A7A75">
        <w:rPr>
          <w:rFonts w:eastAsia="Calibri" w:cs="Calibri"/>
          <w:sz w:val="28"/>
          <w:szCs w:val="28"/>
          <w:u w:color="000000"/>
          <w:bdr w:val="nil"/>
          <w:lang w:val="en-US" w:eastAsia="en-US"/>
        </w:rPr>
        <w:t xml:space="preserve"> is a process of selecting, evaluating, and interpreting financial data, along with other pertinent information, in order to assist in investment and financial decision-making or formulate an assessment of a company’s present and future financial condition and performance. The financial analysis may be used internally to evaluate issues such as employee performance, the efficiency of operations, and credit policies, and externally to evaluate potential investments and the credit-worthiness of borrowers, among other things. Typically, financial analysis is used to analyze whether an entity is stable, solvent, liquid, or profitable enough to be invested in.</w:t>
      </w:r>
    </w:p>
    <w:p w14:paraId="028EE25E"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The analyst draws the </w:t>
      </w:r>
      <w:r w:rsidRPr="002A7A75">
        <w:rPr>
          <w:rFonts w:eastAsia="Calibri" w:cs="Calibri"/>
          <w:b/>
          <w:bCs/>
          <w:sz w:val="28"/>
          <w:szCs w:val="28"/>
          <w:u w:color="000000"/>
          <w:bdr w:val="nil"/>
          <w:lang w:val="en-US" w:eastAsia="en-US"/>
        </w:rPr>
        <w:t>financial data needed</w:t>
      </w:r>
      <w:r w:rsidRPr="002A7A75">
        <w:rPr>
          <w:rFonts w:eastAsia="Calibri" w:cs="Calibri"/>
          <w:sz w:val="28"/>
          <w:szCs w:val="28"/>
          <w:u w:color="000000"/>
          <w:bdr w:val="nil"/>
          <w:lang w:val="en-US" w:eastAsia="en-US"/>
        </w:rPr>
        <w:t xml:space="preserve"> in financial analysis from many sources. The primary source is the data provided by the company itself in its annual report and required disclosures. The annual report according IAS 1 covers the form and content of financial statements, the main components of which are: (i) Statement </w:t>
      </w:r>
      <w:r w:rsidR="0065175A">
        <w:rPr>
          <w:rFonts w:eastAsia="Calibri" w:cs="Calibri"/>
          <w:sz w:val="28"/>
          <w:szCs w:val="28"/>
          <w:u w:color="000000"/>
          <w:bdr w:val="nil"/>
          <w:lang w:val="en-US" w:eastAsia="en-US"/>
        </w:rPr>
        <w:t>o</w:t>
      </w:r>
      <w:r w:rsidR="0065175A" w:rsidRPr="002A7A75">
        <w:rPr>
          <w:rFonts w:eastAsia="Calibri" w:cs="Calibri"/>
          <w:sz w:val="28"/>
          <w:szCs w:val="28"/>
          <w:u w:color="000000"/>
          <w:bdr w:val="nil"/>
          <w:lang w:val="en-US" w:eastAsia="en-US"/>
        </w:rPr>
        <w:t>f Financial Position</w:t>
      </w:r>
      <w:r w:rsidRPr="002A7A75">
        <w:rPr>
          <w:rFonts w:eastAsia="Calibri" w:cs="Calibri"/>
          <w:sz w:val="28"/>
          <w:szCs w:val="28"/>
          <w:u w:color="000000"/>
          <w:bdr w:val="nil"/>
          <w:lang w:val="en-US" w:eastAsia="en-US"/>
        </w:rPr>
        <w:t xml:space="preserve">; (ii) Statement of </w:t>
      </w:r>
      <w:r w:rsidR="0065175A">
        <w:rPr>
          <w:rFonts w:eastAsia="Calibri" w:cs="Calibri"/>
          <w:sz w:val="28"/>
          <w:szCs w:val="28"/>
          <w:u w:color="000000"/>
          <w:bdr w:val="nil"/>
          <w:lang w:val="en-US" w:eastAsia="en-US"/>
        </w:rPr>
        <w:t>P</w:t>
      </w:r>
      <w:r w:rsidRPr="002A7A75">
        <w:rPr>
          <w:rFonts w:eastAsia="Calibri" w:cs="Calibri"/>
          <w:sz w:val="28"/>
          <w:szCs w:val="28"/>
          <w:u w:color="000000"/>
          <w:bdr w:val="nil"/>
          <w:lang w:val="en-US" w:eastAsia="en-US"/>
        </w:rPr>
        <w:t xml:space="preserve">rofit or </w:t>
      </w:r>
      <w:r w:rsidR="0065175A">
        <w:rPr>
          <w:rFonts w:eastAsia="Calibri" w:cs="Calibri"/>
          <w:sz w:val="28"/>
          <w:szCs w:val="28"/>
          <w:u w:color="000000"/>
          <w:bdr w:val="nil"/>
          <w:lang w:val="en-US" w:eastAsia="en-US"/>
        </w:rPr>
        <w:t>L</w:t>
      </w:r>
      <w:r w:rsidRPr="002A7A75">
        <w:rPr>
          <w:rFonts w:eastAsia="Calibri" w:cs="Calibri"/>
          <w:sz w:val="28"/>
          <w:szCs w:val="28"/>
          <w:u w:color="000000"/>
          <w:bdr w:val="nil"/>
          <w:lang w:val="en-US" w:eastAsia="en-US"/>
        </w:rPr>
        <w:t xml:space="preserve">oss and </w:t>
      </w:r>
      <w:r w:rsidR="0065175A">
        <w:rPr>
          <w:rFonts w:eastAsia="Calibri" w:cs="Calibri"/>
          <w:sz w:val="28"/>
          <w:szCs w:val="28"/>
          <w:u w:color="000000"/>
          <w:bdr w:val="nil"/>
          <w:lang w:val="en-US" w:eastAsia="en-US"/>
        </w:rPr>
        <w:t>C</w:t>
      </w:r>
      <w:r w:rsidRPr="002A7A75">
        <w:rPr>
          <w:rFonts w:eastAsia="Calibri" w:cs="Calibri"/>
          <w:sz w:val="28"/>
          <w:szCs w:val="28"/>
          <w:u w:color="000000"/>
          <w:bdr w:val="nil"/>
          <w:lang w:val="en-US" w:eastAsia="en-US"/>
        </w:rPr>
        <w:t xml:space="preserve">omprehensive </w:t>
      </w:r>
      <w:r w:rsidR="0065175A">
        <w:rPr>
          <w:rFonts w:eastAsia="Calibri" w:cs="Calibri"/>
          <w:sz w:val="28"/>
          <w:szCs w:val="28"/>
          <w:u w:color="000000"/>
          <w:bdr w:val="nil"/>
          <w:lang w:val="en-US" w:eastAsia="en-US"/>
        </w:rPr>
        <w:t>I</w:t>
      </w:r>
      <w:r w:rsidRPr="002A7A75">
        <w:rPr>
          <w:rFonts w:eastAsia="Calibri" w:cs="Calibri"/>
          <w:sz w:val="28"/>
          <w:szCs w:val="28"/>
          <w:u w:color="000000"/>
          <w:bdr w:val="nil"/>
          <w:lang w:val="en-US" w:eastAsia="en-US"/>
        </w:rPr>
        <w:t xml:space="preserve">ncome; (iii) Statement of </w:t>
      </w:r>
      <w:r w:rsidR="0065175A">
        <w:rPr>
          <w:rFonts w:eastAsia="Calibri" w:cs="Calibri"/>
          <w:sz w:val="28"/>
          <w:szCs w:val="28"/>
          <w:u w:color="000000"/>
          <w:bdr w:val="nil"/>
          <w:lang w:val="en-US" w:eastAsia="en-US"/>
        </w:rPr>
        <w:t>C</w:t>
      </w:r>
      <w:r w:rsidRPr="002A7A75">
        <w:rPr>
          <w:rFonts w:eastAsia="Calibri" w:cs="Calibri"/>
          <w:sz w:val="28"/>
          <w:szCs w:val="28"/>
          <w:u w:color="000000"/>
          <w:bdr w:val="nil"/>
          <w:lang w:val="en-US" w:eastAsia="en-US"/>
        </w:rPr>
        <w:t xml:space="preserve">hanges in </w:t>
      </w:r>
      <w:r w:rsidR="0065175A">
        <w:rPr>
          <w:rFonts w:eastAsia="Calibri" w:cs="Calibri"/>
          <w:sz w:val="28"/>
          <w:szCs w:val="28"/>
          <w:u w:color="000000"/>
          <w:bdr w:val="nil"/>
          <w:lang w:val="en-US" w:eastAsia="en-US"/>
        </w:rPr>
        <w:t>E</w:t>
      </w:r>
      <w:r w:rsidRPr="002A7A75">
        <w:rPr>
          <w:rFonts w:eastAsia="Calibri" w:cs="Calibri"/>
          <w:sz w:val="28"/>
          <w:szCs w:val="28"/>
          <w:u w:color="000000"/>
          <w:bdr w:val="nil"/>
          <w:lang w:val="en-US" w:eastAsia="en-US"/>
        </w:rPr>
        <w:t xml:space="preserve">quity; (iv) Statement of </w:t>
      </w:r>
      <w:r w:rsidR="0065175A">
        <w:rPr>
          <w:rFonts w:eastAsia="Calibri" w:cs="Calibri"/>
          <w:sz w:val="28"/>
          <w:szCs w:val="28"/>
          <w:u w:color="000000"/>
          <w:bdr w:val="nil"/>
          <w:lang w:val="en-US" w:eastAsia="en-US"/>
        </w:rPr>
        <w:t>C</w:t>
      </w:r>
      <w:r w:rsidRPr="002A7A75">
        <w:rPr>
          <w:rFonts w:eastAsia="Calibri" w:cs="Calibri"/>
          <w:sz w:val="28"/>
          <w:szCs w:val="28"/>
          <w:u w:color="000000"/>
          <w:bdr w:val="nil"/>
          <w:lang w:val="en-US" w:eastAsia="en-US"/>
        </w:rPr>
        <w:t xml:space="preserve">ash </w:t>
      </w:r>
      <w:r w:rsidR="0065175A">
        <w:rPr>
          <w:rFonts w:eastAsia="Calibri" w:cs="Calibri"/>
          <w:sz w:val="28"/>
          <w:szCs w:val="28"/>
          <w:u w:color="000000"/>
          <w:bdr w:val="nil"/>
          <w:lang w:val="en-US" w:eastAsia="en-US"/>
        </w:rPr>
        <w:t>F</w:t>
      </w:r>
      <w:r w:rsidRPr="002A7A75">
        <w:rPr>
          <w:rFonts w:eastAsia="Calibri" w:cs="Calibri"/>
          <w:sz w:val="28"/>
          <w:szCs w:val="28"/>
          <w:u w:color="000000"/>
          <w:bdr w:val="nil"/>
          <w:lang w:val="en-US" w:eastAsia="en-US"/>
        </w:rPr>
        <w:t xml:space="preserve">lows; (v) Notes to the </w:t>
      </w:r>
      <w:r w:rsidR="0065175A">
        <w:rPr>
          <w:rFonts w:eastAsia="Calibri" w:cs="Calibri"/>
          <w:sz w:val="28"/>
          <w:szCs w:val="28"/>
          <w:u w:color="000000"/>
          <w:bdr w:val="nil"/>
          <w:lang w:val="en-US" w:eastAsia="en-US"/>
        </w:rPr>
        <w:t>F</w:t>
      </w:r>
      <w:r w:rsidRPr="002A7A75">
        <w:rPr>
          <w:rFonts w:eastAsia="Calibri" w:cs="Calibri"/>
          <w:sz w:val="28"/>
          <w:szCs w:val="28"/>
          <w:u w:color="000000"/>
          <w:bdr w:val="nil"/>
          <w:lang w:val="en-US" w:eastAsia="en-US"/>
        </w:rPr>
        <w:t xml:space="preserve">inancial </w:t>
      </w:r>
      <w:r w:rsidR="0065175A">
        <w:rPr>
          <w:rFonts w:eastAsia="Calibri" w:cs="Calibri"/>
          <w:sz w:val="28"/>
          <w:szCs w:val="28"/>
          <w:u w:color="000000"/>
          <w:bdr w:val="nil"/>
          <w:lang w:val="en-US" w:eastAsia="en-US"/>
        </w:rPr>
        <w:t>S</w:t>
      </w:r>
      <w:r w:rsidRPr="002A7A75">
        <w:rPr>
          <w:rFonts w:eastAsia="Calibri" w:cs="Calibri"/>
          <w:sz w:val="28"/>
          <w:szCs w:val="28"/>
          <w:u w:color="000000"/>
          <w:bdr w:val="nil"/>
          <w:lang w:val="en-US" w:eastAsia="en-US"/>
        </w:rPr>
        <w:t xml:space="preserve">tatements. Certain businesses are required by securities laws to disclose additional information. Besides information that companies are required to disclose through financial statements, other information is readily available for financial analysis. For example, </w:t>
      </w:r>
      <w:r w:rsidRPr="002A7A75">
        <w:rPr>
          <w:rFonts w:eastAsia="Calibri" w:cs="Calibri"/>
          <w:b/>
          <w:bCs/>
          <w:sz w:val="28"/>
          <w:szCs w:val="28"/>
          <w:u w:color="000000"/>
          <w:bdr w:val="nil"/>
          <w:lang w:val="en-US" w:eastAsia="en-US"/>
        </w:rPr>
        <w:t>market data</w:t>
      </w:r>
      <w:r w:rsidRPr="002A7A75">
        <w:rPr>
          <w:rFonts w:eastAsia="Calibri" w:cs="Calibri"/>
          <w:sz w:val="28"/>
          <w:szCs w:val="28"/>
          <w:u w:color="000000"/>
          <w:bdr w:val="nil"/>
          <w:lang w:val="en-US" w:eastAsia="en-US"/>
        </w:rPr>
        <w:t xml:space="preserve"> (such as the market prices of securities of publicly-traded corporation or information on stock price indices for industries and for the market) can be found in the financial press and the electronic media. Another source of information is </w:t>
      </w:r>
      <w:r w:rsidRPr="002A7A75">
        <w:rPr>
          <w:rFonts w:eastAsia="Calibri" w:cs="Calibri"/>
          <w:b/>
          <w:bCs/>
          <w:sz w:val="28"/>
          <w:szCs w:val="28"/>
          <w:u w:color="000000"/>
          <w:bdr w:val="nil"/>
          <w:lang w:val="en-US" w:eastAsia="en-US"/>
        </w:rPr>
        <w:t>economic data</w:t>
      </w:r>
      <w:r w:rsidRPr="002A7A75">
        <w:rPr>
          <w:rFonts w:eastAsia="Calibri" w:cs="Calibri"/>
          <w:sz w:val="28"/>
          <w:szCs w:val="28"/>
          <w:u w:color="000000"/>
          <w:bdr w:val="nil"/>
          <w:lang w:val="en-US" w:eastAsia="en-US"/>
        </w:rPr>
        <w:t xml:space="preserve"> (such as the Gross Domestic Product and Consumer Price Index), can be found in electronic media and official state databases. </w:t>
      </w:r>
    </w:p>
    <w:p w14:paraId="3E8EDC48"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Financial statement analysis is an exceptionally powerful tool for a variety of users of financial statements, each having different objectives in learning about the financial circumstances of the entity. </w:t>
      </w:r>
      <w:r w:rsidRPr="002A7A75">
        <w:rPr>
          <w:rFonts w:eastAsia="Calibri" w:cs="Calibri"/>
          <w:b/>
          <w:bCs/>
          <w:sz w:val="28"/>
          <w:szCs w:val="28"/>
          <w:u w:color="000000"/>
          <w:bdr w:val="nil"/>
          <w:lang w:val="en-US" w:eastAsia="en-US"/>
        </w:rPr>
        <w:t>Users of financial statement analysis</w:t>
      </w:r>
      <w:r w:rsidRPr="002A7A75">
        <w:rPr>
          <w:rFonts w:eastAsia="Calibri" w:cs="Calibri"/>
          <w:sz w:val="28"/>
          <w:szCs w:val="28"/>
          <w:u w:color="000000"/>
          <w:bdr w:val="nil"/>
          <w:lang w:val="en-US" w:eastAsia="en-US"/>
        </w:rPr>
        <w:t xml:space="preserve"> are</w:t>
      </w:r>
      <w:r w:rsidR="0065175A">
        <w:rPr>
          <w:rFonts w:eastAsia="Calibri" w:cs="Calibri"/>
          <w:sz w:val="28"/>
          <w:szCs w:val="28"/>
          <w:u w:color="000000"/>
          <w:bdr w:val="nil"/>
          <w:lang w:val="en-US" w:eastAsia="en-US"/>
        </w:rPr>
        <w:t xml:space="preserve"> the</w:t>
      </w:r>
      <w:r w:rsidRPr="002A7A75">
        <w:rPr>
          <w:rFonts w:eastAsia="Calibri" w:cs="Calibri"/>
          <w:sz w:val="28"/>
          <w:szCs w:val="28"/>
          <w:u w:color="000000"/>
          <w:bdr w:val="nil"/>
          <w:lang w:val="en-US" w:eastAsia="en-US"/>
        </w:rPr>
        <w:t xml:space="preserve"> following: (i) creditors (anyone who has lent funds to a company is interested in its </w:t>
      </w:r>
      <w:r w:rsidRPr="002A7A75">
        <w:rPr>
          <w:rFonts w:eastAsia="Calibri" w:cs="Calibri"/>
          <w:sz w:val="28"/>
          <w:szCs w:val="28"/>
          <w:u w:color="000000"/>
          <w:bdr w:val="nil"/>
          <w:lang w:val="en-US" w:eastAsia="en-US"/>
        </w:rPr>
        <w:lastRenderedPageBreak/>
        <w:t>ability to pay back the debt, and so will focus on various cash flow measures); (ii) investors (both current and prospective investors examine financial statements to learn about a company's ability to continue issuing dividends, or to generate cash flow, or to continue growing at its historical rate); (iii) management (the company controller prepares an ongoing analysis of the company's financial results, particularly in relation to a number of operational metrics that are not seen by outside entities); (iv) regulatory authorities.</w:t>
      </w:r>
    </w:p>
    <w:p w14:paraId="09A58F7A"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There are two key </w:t>
      </w:r>
      <w:r w:rsidRPr="002A7A75">
        <w:rPr>
          <w:rFonts w:eastAsia="Calibri" w:cs="Calibri"/>
          <w:b/>
          <w:bCs/>
          <w:sz w:val="28"/>
          <w:szCs w:val="28"/>
          <w:u w:color="000000"/>
          <w:bdr w:val="nil"/>
          <w:lang w:val="en-US" w:eastAsia="en-US"/>
        </w:rPr>
        <w:t>methods for analyzing financial statements</w:t>
      </w:r>
      <w:r w:rsidRPr="002A7A75">
        <w:rPr>
          <w:rFonts w:eastAsia="Calibri" w:cs="Calibri"/>
          <w:sz w:val="28"/>
          <w:szCs w:val="28"/>
          <w:u w:color="000000"/>
          <w:bdr w:val="nil"/>
          <w:lang w:val="en-US" w:eastAsia="en-US"/>
        </w:rPr>
        <w:t xml:space="preserve">: (i) horizontal analysis and (ii) vertical analysis. </w:t>
      </w:r>
    </w:p>
    <w:p w14:paraId="2F7DF338"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t>Horizontal analysis</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dynamic analysis</w:t>
      </w:r>
      <w:r w:rsidRPr="002A7A75">
        <w:rPr>
          <w:rFonts w:eastAsia="Calibri" w:cs="Calibri"/>
          <w:sz w:val="28"/>
          <w:szCs w:val="28"/>
          <w:u w:color="000000"/>
          <w:bdr w:val="nil"/>
          <w:lang w:val="en-US" w:eastAsia="en-US"/>
        </w:rPr>
        <w:t xml:space="preserve">) is the comparison of financial information over a series of reporting periods while </w:t>
      </w:r>
      <w:r w:rsidRPr="002A7A75">
        <w:rPr>
          <w:rFonts w:eastAsia="Calibri" w:cs="Calibri"/>
          <w:b/>
          <w:bCs/>
          <w:sz w:val="28"/>
          <w:szCs w:val="28"/>
          <w:u w:color="000000"/>
          <w:bdr w:val="nil"/>
          <w:lang w:val="en-US" w:eastAsia="en-US"/>
        </w:rPr>
        <w:t>vertical analysis</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static analysis</w:t>
      </w:r>
      <w:r w:rsidRPr="002A7A75">
        <w:rPr>
          <w:rFonts w:eastAsia="Calibri" w:cs="Calibri"/>
          <w:sz w:val="28"/>
          <w:szCs w:val="28"/>
          <w:u w:color="000000"/>
          <w:bdr w:val="nil"/>
          <w:lang w:val="en-US" w:eastAsia="en-US"/>
        </w:rPr>
        <w:t>) is the proportional analysis of a financial statement, where each line item on a financial statement is listed as a percentage of another item. Thus, the horizontal analysis is the review of the results of multiple time periods, while vertical analysis is the review of the proportion of accounts to each other within a single period. There is an assortment of tools and techniques that could be employed in analyzing financial statements, they are: comparative financial statements analysis, statement of changes in working capital, common size analysis, trend analysis, ratio analysis, etc.</w:t>
      </w:r>
    </w:p>
    <w:p w14:paraId="0DE87228"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t>Comparative financial statements analysis</w:t>
      </w:r>
      <w:r w:rsidRPr="002A7A75">
        <w:rPr>
          <w:rFonts w:eastAsia="Calibri" w:cs="Calibri"/>
          <w:sz w:val="28"/>
          <w:szCs w:val="28"/>
          <w:u w:color="000000"/>
          <w:bdr w:val="nil"/>
          <w:lang w:val="en-US" w:eastAsia="en-US"/>
        </w:rPr>
        <w:t xml:space="preserve"> is an important method of analysis which is used to make the comparison between two financial statements. It is a technique of horizontal analysis that provides meaningful information when compared to the similar data from Statement of </w:t>
      </w:r>
      <w:r w:rsidR="0065175A">
        <w:rPr>
          <w:rFonts w:eastAsia="Calibri" w:cs="Calibri"/>
          <w:sz w:val="28"/>
          <w:szCs w:val="28"/>
          <w:u w:color="000000"/>
          <w:bdr w:val="nil"/>
          <w:lang w:val="en-US" w:eastAsia="en-US"/>
        </w:rPr>
        <w:t>F</w:t>
      </w:r>
      <w:r w:rsidRPr="002A7A75">
        <w:rPr>
          <w:rFonts w:eastAsia="Calibri" w:cs="Calibri"/>
          <w:sz w:val="28"/>
          <w:szCs w:val="28"/>
          <w:u w:color="000000"/>
          <w:bdr w:val="nil"/>
          <w:lang w:val="en-US" w:eastAsia="en-US"/>
        </w:rPr>
        <w:t xml:space="preserve">inancial </w:t>
      </w:r>
      <w:r w:rsidR="0065175A">
        <w:rPr>
          <w:rFonts w:eastAsia="Calibri" w:cs="Calibri"/>
          <w:sz w:val="28"/>
          <w:szCs w:val="28"/>
          <w:u w:color="000000"/>
          <w:bdr w:val="nil"/>
          <w:lang w:val="en-US" w:eastAsia="en-US"/>
        </w:rPr>
        <w:t>P</w:t>
      </w:r>
      <w:r w:rsidRPr="002A7A75">
        <w:rPr>
          <w:rFonts w:eastAsia="Calibri" w:cs="Calibri"/>
          <w:sz w:val="28"/>
          <w:szCs w:val="28"/>
          <w:u w:color="000000"/>
          <w:bdr w:val="nil"/>
          <w:lang w:val="en-US" w:eastAsia="en-US"/>
        </w:rPr>
        <w:t xml:space="preserve">osition or Statement of </w:t>
      </w:r>
      <w:r w:rsidR="0065175A">
        <w:rPr>
          <w:rFonts w:eastAsia="Calibri" w:cs="Calibri"/>
          <w:sz w:val="28"/>
          <w:szCs w:val="28"/>
          <w:u w:color="000000"/>
          <w:bdr w:val="nil"/>
          <w:lang w:val="en-US" w:eastAsia="en-US"/>
        </w:rPr>
        <w:t>P</w:t>
      </w:r>
      <w:r w:rsidRPr="002A7A75">
        <w:rPr>
          <w:rFonts w:eastAsia="Calibri" w:cs="Calibri"/>
          <w:sz w:val="28"/>
          <w:szCs w:val="28"/>
          <w:u w:color="000000"/>
          <w:bdr w:val="nil"/>
          <w:lang w:val="en-US" w:eastAsia="en-US"/>
        </w:rPr>
        <w:t xml:space="preserve">rofit or </w:t>
      </w:r>
      <w:r w:rsidR="0065175A">
        <w:rPr>
          <w:rFonts w:eastAsia="Calibri" w:cs="Calibri"/>
          <w:sz w:val="28"/>
          <w:szCs w:val="28"/>
          <w:u w:color="000000"/>
          <w:bdr w:val="nil"/>
          <w:lang w:val="en-US" w:eastAsia="en-US"/>
        </w:rPr>
        <w:t>L</w:t>
      </w:r>
      <w:r w:rsidRPr="002A7A75">
        <w:rPr>
          <w:rFonts w:eastAsia="Calibri" w:cs="Calibri"/>
          <w:sz w:val="28"/>
          <w:szCs w:val="28"/>
          <w:u w:color="000000"/>
          <w:bdr w:val="nil"/>
          <w:lang w:val="en-US" w:eastAsia="en-US"/>
        </w:rPr>
        <w:t xml:space="preserve">oss and </w:t>
      </w:r>
      <w:r w:rsidR="0065175A">
        <w:rPr>
          <w:rFonts w:eastAsia="Calibri" w:cs="Calibri"/>
          <w:sz w:val="28"/>
          <w:szCs w:val="28"/>
          <w:u w:color="000000"/>
          <w:bdr w:val="nil"/>
          <w:lang w:val="en-US" w:eastAsia="en-US"/>
        </w:rPr>
        <w:t>C</w:t>
      </w:r>
      <w:r w:rsidRPr="002A7A75">
        <w:rPr>
          <w:rFonts w:eastAsia="Calibri" w:cs="Calibri"/>
          <w:sz w:val="28"/>
          <w:szCs w:val="28"/>
          <w:u w:color="000000"/>
          <w:bdr w:val="nil"/>
          <w:lang w:val="en-US" w:eastAsia="en-US"/>
        </w:rPr>
        <w:t xml:space="preserve">omprehensive </w:t>
      </w:r>
      <w:r w:rsidR="0065175A">
        <w:rPr>
          <w:rFonts w:eastAsia="Calibri" w:cs="Calibri"/>
          <w:sz w:val="28"/>
          <w:szCs w:val="28"/>
          <w:u w:color="000000"/>
          <w:bdr w:val="nil"/>
          <w:lang w:val="en-US" w:eastAsia="en-US"/>
        </w:rPr>
        <w:t>I</w:t>
      </w:r>
      <w:r w:rsidRPr="002A7A75">
        <w:rPr>
          <w:rFonts w:eastAsia="Calibri" w:cs="Calibri"/>
          <w:sz w:val="28"/>
          <w:szCs w:val="28"/>
          <w:u w:color="000000"/>
          <w:bdr w:val="nil"/>
          <w:lang w:val="en-US" w:eastAsia="en-US"/>
        </w:rPr>
        <w:t xml:space="preserve">ncome of prior periods; thus, the absolute change from one period to another may be determined. </w:t>
      </w:r>
    </w:p>
    <w:p w14:paraId="29700E99"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t>Common-size analysis</w:t>
      </w:r>
      <w:r w:rsidRPr="002A7A75">
        <w:rPr>
          <w:rFonts w:eastAsia="Calibri" w:cs="Calibri"/>
          <w:sz w:val="28"/>
          <w:szCs w:val="28"/>
          <w:u w:color="000000"/>
          <w:bdr w:val="nil"/>
          <w:lang w:val="en-US" w:eastAsia="en-US"/>
        </w:rPr>
        <w:t xml:space="preserve"> expresses financial data, including entire financial statements, in relation to a single financial statement item or base. It could be either </w:t>
      </w:r>
      <w:r w:rsidRPr="002A7A75">
        <w:rPr>
          <w:rFonts w:eastAsia="Calibri" w:cs="Calibri"/>
          <w:b/>
          <w:bCs/>
          <w:sz w:val="28"/>
          <w:szCs w:val="28"/>
          <w:u w:color="000000"/>
          <w:bdr w:val="nil"/>
          <w:lang w:val="en-US" w:eastAsia="en-US"/>
        </w:rPr>
        <w:t>vertical common-size analysis</w:t>
      </w:r>
      <w:r w:rsidRPr="002A7A75">
        <w:rPr>
          <w:rFonts w:eastAsia="Calibri" w:cs="Calibri"/>
          <w:sz w:val="28"/>
          <w:szCs w:val="28"/>
          <w:u w:color="000000"/>
          <w:bdr w:val="nil"/>
          <w:lang w:val="en-US" w:eastAsia="en-US"/>
        </w:rPr>
        <w:t xml:space="preserve"> (for example, for statement of financial position each item should be divided by the same period’s total assets; the results expressed as a percentage) or </w:t>
      </w:r>
      <w:r w:rsidRPr="002A7A75">
        <w:rPr>
          <w:rFonts w:eastAsia="Calibri" w:cs="Calibri"/>
          <w:b/>
          <w:bCs/>
          <w:sz w:val="28"/>
          <w:szCs w:val="28"/>
          <w:u w:color="000000"/>
          <w:bdr w:val="nil"/>
          <w:lang w:val="en-US" w:eastAsia="en-US"/>
        </w:rPr>
        <w:t>horizontal common-size analysis</w:t>
      </w:r>
      <w:r w:rsidRPr="002A7A75">
        <w:rPr>
          <w:rFonts w:eastAsia="Calibri" w:cs="Calibri"/>
          <w:sz w:val="28"/>
          <w:szCs w:val="28"/>
          <w:u w:color="000000"/>
          <w:bdr w:val="nil"/>
          <w:lang w:val="en-US" w:eastAsia="en-US"/>
        </w:rPr>
        <w:t xml:space="preserve"> (for example, for calculating percentage increase or decrease of each line item from the prior year. Alternative presentation is to calculate each item relative to its value in a base year.). </w:t>
      </w:r>
    </w:p>
    <w:p w14:paraId="4AECC18C"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t>Trend analysis</w:t>
      </w:r>
      <w:r w:rsidRPr="002A7A75">
        <w:rPr>
          <w:rFonts w:eastAsia="Calibri" w:cs="Calibri"/>
          <w:sz w:val="28"/>
          <w:szCs w:val="28"/>
          <w:u w:color="000000"/>
          <w:bdr w:val="nil"/>
          <w:lang w:val="en-US" w:eastAsia="en-US"/>
        </w:rPr>
        <w:t xml:space="preserve"> is the main tool of horizontal analysis. It poses a method of time series data analysis involving calculating ratios of different items and their </w:t>
      </w:r>
      <w:r w:rsidRPr="002A7A75">
        <w:rPr>
          <w:rFonts w:eastAsia="Calibri" w:cs="Calibri"/>
          <w:sz w:val="28"/>
          <w:szCs w:val="28"/>
          <w:u w:color="000000"/>
          <w:bdr w:val="nil"/>
          <w:lang w:val="en-US" w:eastAsia="en-US"/>
        </w:rPr>
        <w:lastRenderedPageBreak/>
        <w:t xml:space="preserve">comparison over a significantly long period in order to (i) determine a relationship between associated factors or variables, and (ii) indicate the trend or direction. Trend analysis could be a useful tool for identification either the financial health of a company is improving or deteriorating in the lapse of time. </w:t>
      </w:r>
    </w:p>
    <w:p w14:paraId="77C9FA03"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The most popular and widely used tool </w:t>
      </w:r>
      <w:r w:rsidR="00505A1C">
        <w:rPr>
          <w:rFonts w:eastAsia="Calibri" w:cs="Calibri"/>
          <w:sz w:val="28"/>
          <w:szCs w:val="28"/>
          <w:u w:color="000000"/>
          <w:bdr w:val="nil"/>
          <w:lang w:val="en-US" w:eastAsia="en-US"/>
        </w:rPr>
        <w:t>for</w:t>
      </w:r>
      <w:r w:rsidRPr="002A7A75">
        <w:rPr>
          <w:rFonts w:eastAsia="Calibri" w:cs="Calibri"/>
          <w:sz w:val="28"/>
          <w:szCs w:val="28"/>
          <w:u w:color="000000"/>
          <w:bdr w:val="nil"/>
          <w:lang w:val="en-US" w:eastAsia="en-US"/>
        </w:rPr>
        <w:t xml:space="preserve"> analysis </w:t>
      </w:r>
      <w:r w:rsidR="00505A1C">
        <w:rPr>
          <w:rFonts w:eastAsia="Calibri" w:cs="Calibri"/>
          <w:sz w:val="28"/>
          <w:szCs w:val="28"/>
          <w:u w:color="000000"/>
          <w:bdr w:val="nil"/>
          <w:lang w:val="en-US" w:eastAsia="en-US"/>
        </w:rPr>
        <w:t>of</w:t>
      </w:r>
      <w:r w:rsidRPr="002A7A75">
        <w:rPr>
          <w:rFonts w:eastAsia="Calibri" w:cs="Calibri"/>
          <w:sz w:val="28"/>
          <w:szCs w:val="28"/>
          <w:u w:color="000000"/>
          <w:bdr w:val="nil"/>
          <w:lang w:val="en-US" w:eastAsia="en-US"/>
        </w:rPr>
        <w:t xml:space="preserve"> financial statements is </w:t>
      </w:r>
      <w:r w:rsidRPr="002A7A75">
        <w:rPr>
          <w:rFonts w:eastAsia="Calibri" w:cs="Calibri"/>
          <w:b/>
          <w:bCs/>
          <w:sz w:val="28"/>
          <w:szCs w:val="28"/>
          <w:u w:color="000000"/>
          <w:bdr w:val="nil"/>
          <w:lang w:val="en-US" w:eastAsia="en-US"/>
        </w:rPr>
        <w:t>ratio analysis</w:t>
      </w:r>
      <w:r w:rsidRPr="002A7A75">
        <w:rPr>
          <w:rFonts w:eastAsia="Calibri" w:cs="Calibri"/>
          <w:sz w:val="28"/>
          <w:szCs w:val="28"/>
          <w:u w:color="000000"/>
          <w:bdr w:val="nil"/>
          <w:lang w:val="en-US" w:eastAsia="en-US"/>
        </w:rPr>
        <w:t xml:space="preserve">. Ratio analysis is a quantitative analysis of data contained in a company’s financial statements. The ratios of one item from the </w:t>
      </w:r>
      <w:r w:rsidR="0065175A">
        <w:rPr>
          <w:rFonts w:eastAsia="Calibri" w:cs="Calibri"/>
          <w:sz w:val="28"/>
          <w:szCs w:val="28"/>
          <w:u w:color="000000"/>
          <w:bdr w:val="nil"/>
          <w:lang w:val="en-US" w:eastAsia="en-US"/>
        </w:rPr>
        <w:t>S</w:t>
      </w:r>
      <w:r w:rsidRPr="002A7A75">
        <w:rPr>
          <w:rFonts w:eastAsia="Calibri" w:cs="Calibri"/>
          <w:sz w:val="28"/>
          <w:szCs w:val="28"/>
          <w:u w:color="000000"/>
          <w:bdr w:val="nil"/>
          <w:lang w:val="en-US" w:eastAsia="en-US"/>
        </w:rPr>
        <w:t xml:space="preserve">tatement of </w:t>
      </w:r>
      <w:r w:rsidR="0065175A">
        <w:rPr>
          <w:rFonts w:eastAsia="Calibri" w:cs="Calibri"/>
          <w:sz w:val="28"/>
          <w:szCs w:val="28"/>
          <w:u w:color="000000"/>
          <w:bdr w:val="nil"/>
          <w:lang w:val="en-US" w:eastAsia="en-US"/>
        </w:rPr>
        <w:t>F</w:t>
      </w:r>
      <w:r w:rsidRPr="002A7A75">
        <w:rPr>
          <w:rFonts w:eastAsia="Calibri" w:cs="Calibri"/>
          <w:sz w:val="28"/>
          <w:szCs w:val="28"/>
          <w:u w:color="000000"/>
          <w:bdr w:val="nil"/>
          <w:lang w:val="en-US" w:eastAsia="en-US"/>
        </w:rPr>
        <w:t xml:space="preserve">inancial </w:t>
      </w:r>
      <w:r w:rsidR="0065175A">
        <w:rPr>
          <w:rFonts w:eastAsia="Calibri" w:cs="Calibri"/>
          <w:sz w:val="28"/>
          <w:szCs w:val="28"/>
          <w:u w:color="000000"/>
          <w:bdr w:val="nil"/>
          <w:lang w:val="en-US" w:eastAsia="en-US"/>
        </w:rPr>
        <w:t>P</w:t>
      </w:r>
      <w:r w:rsidRPr="002A7A75">
        <w:rPr>
          <w:rFonts w:eastAsia="Calibri" w:cs="Calibri"/>
          <w:sz w:val="28"/>
          <w:szCs w:val="28"/>
          <w:u w:color="000000"/>
          <w:bdr w:val="nil"/>
          <w:lang w:val="en-US" w:eastAsia="en-US"/>
        </w:rPr>
        <w:t xml:space="preserve">osition, </w:t>
      </w:r>
      <w:r w:rsidR="0065175A">
        <w:rPr>
          <w:rFonts w:eastAsia="Calibri" w:cs="Calibri"/>
          <w:sz w:val="28"/>
          <w:szCs w:val="28"/>
          <w:u w:color="000000"/>
          <w:bdr w:val="nil"/>
          <w:lang w:val="en-US" w:eastAsia="en-US"/>
        </w:rPr>
        <w:t>S</w:t>
      </w:r>
      <w:r w:rsidRPr="002A7A75">
        <w:rPr>
          <w:rFonts w:eastAsia="Calibri" w:cs="Calibri"/>
          <w:sz w:val="28"/>
          <w:szCs w:val="28"/>
          <w:u w:color="000000"/>
          <w:bdr w:val="nil"/>
          <w:lang w:val="en-US" w:eastAsia="en-US"/>
        </w:rPr>
        <w:t xml:space="preserve">tatement of </w:t>
      </w:r>
      <w:r w:rsidR="0065175A">
        <w:rPr>
          <w:rFonts w:eastAsia="Calibri" w:cs="Calibri"/>
          <w:sz w:val="28"/>
          <w:szCs w:val="28"/>
          <w:u w:color="000000"/>
          <w:bdr w:val="nil"/>
          <w:lang w:val="en-US" w:eastAsia="en-US"/>
        </w:rPr>
        <w:t>P</w:t>
      </w:r>
      <w:r w:rsidRPr="002A7A75">
        <w:rPr>
          <w:rFonts w:eastAsia="Calibri" w:cs="Calibri"/>
          <w:sz w:val="28"/>
          <w:szCs w:val="28"/>
          <w:u w:color="000000"/>
          <w:bdr w:val="nil"/>
          <w:lang w:val="en-US" w:eastAsia="en-US"/>
        </w:rPr>
        <w:t xml:space="preserve">rofit or </w:t>
      </w:r>
      <w:r w:rsidR="0065175A">
        <w:rPr>
          <w:rFonts w:eastAsia="Calibri" w:cs="Calibri"/>
          <w:sz w:val="28"/>
          <w:szCs w:val="28"/>
          <w:u w:color="000000"/>
          <w:bdr w:val="nil"/>
          <w:lang w:val="en-US" w:eastAsia="en-US"/>
        </w:rPr>
        <w:t>L</w:t>
      </w:r>
      <w:r w:rsidRPr="002A7A75">
        <w:rPr>
          <w:rFonts w:eastAsia="Calibri" w:cs="Calibri"/>
          <w:sz w:val="28"/>
          <w:szCs w:val="28"/>
          <w:u w:color="000000"/>
          <w:bdr w:val="nil"/>
          <w:lang w:val="en-US" w:eastAsia="en-US"/>
        </w:rPr>
        <w:t xml:space="preserve">oss and </w:t>
      </w:r>
      <w:r w:rsidR="0065175A">
        <w:rPr>
          <w:rFonts w:eastAsia="Calibri" w:cs="Calibri"/>
          <w:sz w:val="28"/>
          <w:szCs w:val="28"/>
          <w:u w:color="000000"/>
          <w:bdr w:val="nil"/>
          <w:lang w:val="en-US" w:eastAsia="en-US"/>
        </w:rPr>
        <w:t>C</w:t>
      </w:r>
      <w:r w:rsidRPr="002A7A75">
        <w:rPr>
          <w:rFonts w:eastAsia="Calibri" w:cs="Calibri"/>
          <w:sz w:val="28"/>
          <w:szCs w:val="28"/>
          <w:u w:color="000000"/>
          <w:bdr w:val="nil"/>
          <w:lang w:val="en-US" w:eastAsia="en-US"/>
        </w:rPr>
        <w:t xml:space="preserve">omprehensive </w:t>
      </w:r>
      <w:r w:rsidR="0065175A">
        <w:rPr>
          <w:rFonts w:eastAsia="Calibri" w:cs="Calibri"/>
          <w:sz w:val="28"/>
          <w:szCs w:val="28"/>
          <w:u w:color="000000"/>
          <w:bdr w:val="nil"/>
          <w:lang w:val="en-US" w:eastAsia="en-US"/>
        </w:rPr>
        <w:t>I</w:t>
      </w:r>
      <w:r w:rsidRPr="002A7A75">
        <w:rPr>
          <w:rFonts w:eastAsia="Calibri" w:cs="Calibri"/>
          <w:sz w:val="28"/>
          <w:szCs w:val="28"/>
          <w:u w:color="000000"/>
          <w:bdr w:val="nil"/>
          <w:lang w:val="en-US" w:eastAsia="en-US"/>
        </w:rPr>
        <w:t xml:space="preserve">ncome, </w:t>
      </w:r>
      <w:r w:rsidR="0065175A">
        <w:rPr>
          <w:rFonts w:eastAsia="Calibri" w:cs="Calibri"/>
          <w:sz w:val="28"/>
          <w:szCs w:val="28"/>
          <w:u w:color="000000"/>
          <w:bdr w:val="nil"/>
          <w:lang w:val="en-US" w:eastAsia="en-US"/>
        </w:rPr>
        <w:t>S</w:t>
      </w:r>
      <w:r w:rsidRPr="002A7A75">
        <w:rPr>
          <w:rFonts w:eastAsia="Calibri" w:cs="Calibri"/>
          <w:sz w:val="28"/>
          <w:szCs w:val="28"/>
          <w:u w:color="000000"/>
          <w:bdr w:val="nil"/>
          <w:lang w:val="en-US" w:eastAsia="en-US"/>
        </w:rPr>
        <w:t xml:space="preserve">tatement of </w:t>
      </w:r>
      <w:r w:rsidR="0065175A">
        <w:rPr>
          <w:rFonts w:eastAsia="Calibri" w:cs="Calibri"/>
          <w:sz w:val="28"/>
          <w:szCs w:val="28"/>
          <w:u w:color="000000"/>
          <w:bdr w:val="nil"/>
          <w:lang w:val="en-US" w:eastAsia="en-US"/>
        </w:rPr>
        <w:t>C</w:t>
      </w:r>
      <w:r w:rsidRPr="002A7A75">
        <w:rPr>
          <w:rFonts w:eastAsia="Calibri" w:cs="Calibri"/>
          <w:sz w:val="28"/>
          <w:szCs w:val="28"/>
          <w:u w:color="000000"/>
          <w:bdr w:val="nil"/>
          <w:lang w:val="en-US" w:eastAsia="en-US"/>
        </w:rPr>
        <w:t xml:space="preserve">ash </w:t>
      </w:r>
      <w:r w:rsidR="0065175A">
        <w:rPr>
          <w:rFonts w:eastAsia="Calibri" w:cs="Calibri"/>
          <w:sz w:val="28"/>
          <w:szCs w:val="28"/>
          <w:u w:color="000000"/>
          <w:bdr w:val="nil"/>
          <w:lang w:val="en-US" w:eastAsia="en-US"/>
        </w:rPr>
        <w:t>F</w:t>
      </w:r>
      <w:r w:rsidRPr="002A7A75">
        <w:rPr>
          <w:rFonts w:eastAsia="Calibri" w:cs="Calibri"/>
          <w:sz w:val="28"/>
          <w:szCs w:val="28"/>
          <w:u w:color="000000"/>
          <w:bdr w:val="nil"/>
          <w:lang w:val="en-US" w:eastAsia="en-US"/>
        </w:rPr>
        <w:t xml:space="preserve">low – or a combination of items from </w:t>
      </w:r>
      <w:r w:rsidR="0065175A">
        <w:rPr>
          <w:rFonts w:eastAsia="Calibri" w:cs="Calibri"/>
          <w:sz w:val="28"/>
          <w:szCs w:val="28"/>
          <w:u w:color="000000"/>
          <w:bdr w:val="nil"/>
          <w:lang w:val="en-US" w:eastAsia="en-US"/>
        </w:rPr>
        <w:t>F</w:t>
      </w:r>
      <w:r w:rsidRPr="002A7A75">
        <w:rPr>
          <w:rFonts w:eastAsia="Calibri" w:cs="Calibri"/>
          <w:sz w:val="28"/>
          <w:szCs w:val="28"/>
          <w:u w:color="000000"/>
          <w:bdr w:val="nil"/>
          <w:lang w:val="en-US" w:eastAsia="en-US"/>
        </w:rPr>
        <w:t xml:space="preserve">inancial </w:t>
      </w:r>
      <w:r w:rsidR="0065175A">
        <w:rPr>
          <w:rFonts w:eastAsia="Calibri" w:cs="Calibri"/>
          <w:sz w:val="28"/>
          <w:szCs w:val="28"/>
          <w:u w:color="000000"/>
          <w:bdr w:val="nil"/>
          <w:lang w:val="en-US" w:eastAsia="en-US"/>
        </w:rPr>
        <w:t>S</w:t>
      </w:r>
      <w:r w:rsidRPr="002A7A75">
        <w:rPr>
          <w:rFonts w:eastAsia="Calibri" w:cs="Calibri"/>
          <w:sz w:val="28"/>
          <w:szCs w:val="28"/>
          <w:u w:color="000000"/>
          <w:bdr w:val="nil"/>
          <w:lang w:val="en-US" w:eastAsia="en-US"/>
        </w:rPr>
        <w:t>tatements – to another item or combination are then calculated. The ratios calculation makes good sense when compared with other companies in the same sector or industry averages (to make comparative evaluations) or when compared over time is studied for trends (to check if a company’s position is improving or deteriorating).  Ratio analysis is a cornerstone of fundamental analysis and used to evaluate various aspects of a company’s operating and financial performance.  According to the type of information the ratio provides they could be classified as follows: (i) liquidity ratios, (ii) profitability ratios, (iii) activity ratios (efficiency ratios), (iv) solvency ratios (debt ratios or leveraging ratios), and (v) market ratios (valuation ratios)</w:t>
      </w:r>
      <w:r w:rsidRPr="00BC2E5D">
        <w:rPr>
          <w:rFonts w:eastAsia="Calibri" w:cs="Calibri"/>
          <w:color w:val="auto"/>
          <w:sz w:val="28"/>
          <w:szCs w:val="28"/>
          <w:u w:color="000000"/>
          <w:bdr w:val="nil"/>
          <w:lang w:val="en-US" w:eastAsia="en-US"/>
        </w:rPr>
        <w:t xml:space="preserve">. Financial ratio calculation </w:t>
      </w:r>
      <w:r w:rsidR="0065175A">
        <w:rPr>
          <w:rFonts w:eastAsia="Calibri" w:cs="Calibri"/>
          <w:color w:val="auto"/>
          <w:sz w:val="28"/>
          <w:szCs w:val="28"/>
          <w:u w:color="000000"/>
          <w:bdr w:val="nil"/>
          <w:lang w:val="en-US" w:eastAsia="en-US"/>
        </w:rPr>
        <w:t xml:space="preserve">is </w:t>
      </w:r>
      <w:r w:rsidRPr="00BC2E5D">
        <w:rPr>
          <w:rFonts w:eastAsia="Calibri" w:cs="Calibri"/>
          <w:color w:val="auto"/>
          <w:sz w:val="28"/>
          <w:szCs w:val="28"/>
          <w:u w:color="000000"/>
          <w:bdr w:val="nil"/>
          <w:lang w:val="en-US" w:eastAsia="en-US"/>
        </w:rPr>
        <w:t xml:space="preserve">presented in the table </w:t>
      </w:r>
      <w:r w:rsidR="00BC2E5D" w:rsidRPr="00BC2E5D">
        <w:rPr>
          <w:rFonts w:eastAsia="Calibri" w:cs="Calibri"/>
          <w:color w:val="auto"/>
          <w:sz w:val="28"/>
          <w:szCs w:val="28"/>
          <w:u w:color="FF0000"/>
          <w:bdr w:val="nil"/>
          <w:lang w:val="en-US" w:eastAsia="en-US"/>
        </w:rPr>
        <w:t>B</w:t>
      </w:r>
      <w:r w:rsidRPr="00BC2E5D">
        <w:rPr>
          <w:rFonts w:eastAsia="Calibri" w:cs="Calibri"/>
          <w:color w:val="auto"/>
          <w:sz w:val="28"/>
          <w:szCs w:val="28"/>
          <w:u w:color="FF0000"/>
          <w:bdr w:val="nil"/>
          <w:lang w:val="en-US" w:eastAsia="en-US"/>
        </w:rPr>
        <w:t xml:space="preserve">.1 (Appendix </w:t>
      </w:r>
      <w:r w:rsidR="00BC2E5D" w:rsidRPr="00BC2E5D">
        <w:rPr>
          <w:rFonts w:eastAsia="Calibri" w:cs="Calibri"/>
          <w:color w:val="auto"/>
          <w:sz w:val="28"/>
          <w:szCs w:val="28"/>
          <w:u w:color="FF0000"/>
          <w:bdr w:val="nil"/>
          <w:lang w:val="en-US" w:eastAsia="en-US"/>
        </w:rPr>
        <w:t>B</w:t>
      </w:r>
      <w:r w:rsidRPr="00BC2E5D">
        <w:rPr>
          <w:rFonts w:eastAsia="Calibri" w:cs="Calibri"/>
          <w:color w:val="auto"/>
          <w:sz w:val="28"/>
          <w:szCs w:val="28"/>
          <w:u w:color="FF0000"/>
          <w:bdr w:val="nil"/>
          <w:lang w:val="en-US" w:eastAsia="en-US"/>
        </w:rPr>
        <w:t>).</w:t>
      </w:r>
      <w:r w:rsidRPr="00BC2E5D">
        <w:rPr>
          <w:rFonts w:eastAsia="Calibri" w:cs="Calibri"/>
          <w:color w:val="auto"/>
          <w:sz w:val="28"/>
          <w:szCs w:val="28"/>
          <w:u w:color="000000"/>
          <w:bdr w:val="nil"/>
          <w:lang w:val="en-US" w:eastAsia="en-US"/>
        </w:rPr>
        <w:t xml:space="preserve"> </w:t>
      </w:r>
    </w:p>
    <w:p w14:paraId="1A894359"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t xml:space="preserve">Liquidity ratios </w:t>
      </w:r>
      <w:r w:rsidRPr="002A7A75">
        <w:rPr>
          <w:rFonts w:eastAsia="Calibri" w:cs="Calibri"/>
          <w:sz w:val="28"/>
          <w:szCs w:val="28"/>
          <w:u w:color="000000"/>
          <w:bdr w:val="nil"/>
          <w:lang w:val="en-US" w:eastAsia="en-US"/>
        </w:rPr>
        <w:t xml:space="preserve">help </w:t>
      </w:r>
      <w:r w:rsidR="0065175A">
        <w:rPr>
          <w:rFonts w:eastAsia="Calibri" w:cs="Calibri"/>
          <w:sz w:val="28"/>
          <w:szCs w:val="28"/>
          <w:u w:color="000000"/>
          <w:bdr w:val="nil"/>
          <w:lang w:val="en-US" w:eastAsia="en-US"/>
        </w:rPr>
        <w:t>F</w:t>
      </w:r>
      <w:r w:rsidRPr="002A7A75">
        <w:rPr>
          <w:rFonts w:eastAsia="Calibri" w:cs="Calibri"/>
          <w:sz w:val="28"/>
          <w:szCs w:val="28"/>
          <w:u w:color="000000"/>
          <w:bdr w:val="nil"/>
          <w:lang w:val="en-US" w:eastAsia="en-US"/>
        </w:rPr>
        <w:t xml:space="preserve">inancial </w:t>
      </w:r>
      <w:r w:rsidR="0065175A">
        <w:rPr>
          <w:rFonts w:eastAsia="Calibri" w:cs="Calibri"/>
          <w:sz w:val="28"/>
          <w:szCs w:val="28"/>
          <w:u w:color="000000"/>
          <w:bdr w:val="nil"/>
          <w:lang w:val="en-US" w:eastAsia="en-US"/>
        </w:rPr>
        <w:t>S</w:t>
      </w:r>
      <w:r w:rsidRPr="002A7A75">
        <w:rPr>
          <w:rFonts w:eastAsia="Calibri" w:cs="Calibri"/>
          <w:sz w:val="28"/>
          <w:szCs w:val="28"/>
          <w:u w:color="000000"/>
          <w:bdr w:val="nil"/>
          <w:lang w:val="en-US" w:eastAsia="en-US"/>
        </w:rPr>
        <w:t xml:space="preserve">tatement users evaluate a company’s ability using assets that are most readily converted into cash to meet its immediate needs or current obligations. In other words, liquidity ratios evaluate the ability of a company to convert its current assets into cash and pay short-term, immediate obligations. Current assets are often referred to as working capital because these assets represent the resources needed for the day-to-day operations of the company's long-term, capital investments. Current assets are used to satisfy short-term obligations or current liabilities. The current liabilities have </w:t>
      </w:r>
      <w:r w:rsidR="0065175A">
        <w:rPr>
          <w:rFonts w:eastAsia="Calibri" w:cs="Calibri"/>
          <w:sz w:val="28"/>
          <w:szCs w:val="28"/>
          <w:u w:color="000000"/>
          <w:bdr w:val="nil"/>
          <w:lang w:val="en-US" w:eastAsia="en-US"/>
        </w:rPr>
        <w:t xml:space="preserve">the </w:t>
      </w:r>
      <w:r w:rsidRPr="002A7A75">
        <w:rPr>
          <w:rFonts w:eastAsia="Calibri" w:cs="Calibri"/>
          <w:sz w:val="28"/>
          <w:szCs w:val="28"/>
          <w:u w:color="000000"/>
          <w:bdr w:val="nil"/>
          <w:lang w:val="en-US" w:eastAsia="en-US"/>
        </w:rPr>
        <w:t>following common characteristics: (i) borrowed funds for use that must be repaid within the fiscal year (12 months) or the normal operating cycle, (ii) a duty to another party that involves the payment of an economic benefit, (iii) a duty that obligates the company to another without avoiding settlement, and (iv) a past transaction that obligates the company. The amount by which current assets exceed current liabilities is referred to as the net working capital.</w:t>
      </w:r>
    </w:p>
    <w:p w14:paraId="1EE9635C"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There are three </w:t>
      </w:r>
      <w:r w:rsidRPr="002A7A75">
        <w:rPr>
          <w:rFonts w:eastAsia="Calibri" w:cs="Calibri"/>
          <w:b/>
          <w:bCs/>
          <w:sz w:val="28"/>
          <w:szCs w:val="28"/>
          <w:u w:color="000000"/>
          <w:bdr w:val="nil"/>
          <w:lang w:val="en-US" w:eastAsia="en-US"/>
        </w:rPr>
        <w:t xml:space="preserve">commonly used liquidity ratios </w:t>
      </w:r>
      <w:r w:rsidRPr="002A7A75">
        <w:rPr>
          <w:rFonts w:eastAsia="Calibri" w:cs="Calibri"/>
          <w:sz w:val="28"/>
          <w:szCs w:val="28"/>
          <w:u w:color="000000"/>
          <w:bdr w:val="nil"/>
          <w:lang w:val="en-US" w:eastAsia="en-US"/>
        </w:rPr>
        <w:t>(definitions and interpretations):</w:t>
      </w:r>
    </w:p>
    <w:p w14:paraId="7A957279"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lastRenderedPageBreak/>
        <w:t xml:space="preserve">1. </w:t>
      </w:r>
      <w:r w:rsidRPr="002A7A75">
        <w:rPr>
          <w:rFonts w:eastAsia="Calibri" w:cs="Calibri"/>
          <w:b/>
          <w:bCs/>
          <w:sz w:val="28"/>
          <w:szCs w:val="28"/>
          <w:u w:color="000000"/>
          <w:bdr w:val="nil"/>
          <w:lang w:val="en-US" w:eastAsia="en-US"/>
        </w:rPr>
        <w:t>Current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working capital ratio</w:t>
      </w:r>
      <w:r w:rsidRPr="002A7A75">
        <w:rPr>
          <w:rFonts w:eastAsia="Calibri" w:cs="Calibri"/>
          <w:sz w:val="28"/>
          <w:szCs w:val="28"/>
          <w:u w:color="000000"/>
          <w:bdr w:val="nil"/>
          <w:lang w:val="en-US" w:eastAsia="en-US"/>
        </w:rPr>
        <w:t>) compares a company's current assets to its current liabilities. Thus, it indicates a company's ability to satisfy its current liabilities with its current assets and could be used to evaluate short-term solvency position. Short-term solvency refers to the ability of a company to pay ( the company has enough resources to pay) its short-term obligations when they become due over the fiscal year. Acceptable current ratios vary from industry to industry and are general between 1.0 and 3 for healthy businesses.</w:t>
      </w:r>
    </w:p>
    <w:p w14:paraId="525572AF"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If a company's </w:t>
      </w:r>
      <w:r w:rsidRPr="002A7A75">
        <w:rPr>
          <w:rFonts w:eastAsia="Calibri" w:cs="Calibri"/>
          <w:b/>
          <w:bCs/>
          <w:sz w:val="28"/>
          <w:szCs w:val="28"/>
          <w:u w:color="000000"/>
          <w:bdr w:val="nil"/>
          <w:lang w:val="en-US" w:eastAsia="en-US"/>
        </w:rPr>
        <w:t>current ratio is 1 or more means</w:t>
      </w:r>
      <w:r w:rsidRPr="002A7A75">
        <w:rPr>
          <w:rFonts w:eastAsia="Calibri" w:cs="Calibri"/>
          <w:sz w:val="28"/>
          <w:szCs w:val="28"/>
          <w:u w:color="000000"/>
          <w:bdr w:val="nil"/>
          <w:lang w:val="en-US" w:eastAsia="en-US"/>
        </w:rPr>
        <w:t xml:space="preserve">, then it is more likely to meet its liabilities which fall due in the fiscal year and generally indicates good short-term financial strength (the company should not face any liquidity problem). If current liabilities exceed current assets (the </w:t>
      </w:r>
      <w:r w:rsidRPr="002A7A75">
        <w:rPr>
          <w:rFonts w:eastAsia="Calibri" w:cs="Calibri"/>
          <w:b/>
          <w:bCs/>
          <w:sz w:val="28"/>
          <w:szCs w:val="28"/>
          <w:u w:color="000000"/>
          <w:bdr w:val="nil"/>
          <w:lang w:val="en-US" w:eastAsia="en-US"/>
        </w:rPr>
        <w:t>current ratio is below 1</w:t>
      </w:r>
      <w:r w:rsidRPr="002A7A75">
        <w:rPr>
          <w:rFonts w:eastAsia="Calibri" w:cs="Calibri"/>
          <w:sz w:val="28"/>
          <w:szCs w:val="28"/>
          <w:u w:color="000000"/>
          <w:bdr w:val="nil"/>
          <w:lang w:val="en-US" w:eastAsia="en-US"/>
        </w:rPr>
        <w:t xml:space="preserve">), then the company may have problems meeting its short-term obligations (may indicate liquidity problems). In general, the higher current ratio is better. If a company has </w:t>
      </w:r>
      <w:r w:rsidRPr="002A7A75">
        <w:rPr>
          <w:rFonts w:eastAsia="Calibri" w:cs="Calibri"/>
          <w:b/>
          <w:bCs/>
          <w:sz w:val="28"/>
          <w:szCs w:val="28"/>
          <w:u w:color="000000"/>
          <w:bdr w:val="nil"/>
          <w:lang w:val="en-US" w:eastAsia="en-US"/>
        </w:rPr>
        <w:t>abnormally high value of the current ratio</w:t>
      </w:r>
      <w:r w:rsidRPr="002A7A75">
        <w:rPr>
          <w:rFonts w:eastAsia="Calibri" w:cs="Calibri"/>
          <w:sz w:val="28"/>
          <w:szCs w:val="28"/>
          <w:u w:color="000000"/>
          <w:bdr w:val="nil"/>
          <w:lang w:val="en-US" w:eastAsia="en-US"/>
        </w:rPr>
        <w:t xml:space="preserve">, then </w:t>
      </w:r>
      <w:r w:rsidR="0065175A">
        <w:rPr>
          <w:rFonts w:eastAsia="Calibri" w:cs="Calibri"/>
          <w:sz w:val="28"/>
          <w:szCs w:val="28"/>
          <w:u w:color="000000"/>
          <w:bdr w:val="nil"/>
          <w:lang w:val="en-US" w:eastAsia="en-US"/>
        </w:rPr>
        <w:t>it</w:t>
      </w:r>
      <w:r w:rsidRPr="002A7A75">
        <w:rPr>
          <w:rFonts w:eastAsia="Calibri" w:cs="Calibri"/>
          <w:sz w:val="28"/>
          <w:szCs w:val="28"/>
          <w:u w:color="000000"/>
          <w:bdr w:val="nil"/>
          <w:lang w:val="en-US" w:eastAsia="en-US"/>
        </w:rPr>
        <w:t xml:space="preserve"> may not be efficiently using its current assets (indicate the existence of idle or underutilized resources in the company) or its short-term financing facilities. A very high current ratio may hurt a company’s profitability and efficiency.</w:t>
      </w:r>
    </w:p>
    <w:p w14:paraId="331D7E9D"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2. </w:t>
      </w:r>
      <w:r w:rsidRPr="002A7A75">
        <w:rPr>
          <w:rFonts w:eastAsia="Calibri" w:cs="Calibri"/>
          <w:b/>
          <w:bCs/>
          <w:sz w:val="28"/>
          <w:szCs w:val="28"/>
          <w:u w:color="000000"/>
          <w:bdr w:val="nil"/>
          <w:lang w:val="en-US" w:eastAsia="en-US"/>
        </w:rPr>
        <w:t>Quick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acid test ratio</w:t>
      </w:r>
      <w:r w:rsidRPr="002A7A75">
        <w:rPr>
          <w:rFonts w:eastAsia="Calibri" w:cs="Calibri"/>
          <w:sz w:val="28"/>
          <w:szCs w:val="28"/>
          <w:u w:color="000000"/>
          <w:bdr w:val="nil"/>
          <w:lang w:val="en-US" w:eastAsia="en-US"/>
        </w:rPr>
        <w:t xml:space="preserve"> and </w:t>
      </w:r>
      <w:r w:rsidRPr="002A7A75">
        <w:rPr>
          <w:rFonts w:eastAsia="Calibri" w:cs="Calibri"/>
          <w:b/>
          <w:bCs/>
          <w:sz w:val="28"/>
          <w:szCs w:val="28"/>
          <w:u w:color="000000"/>
          <w:bdr w:val="nil"/>
          <w:lang w:val="en-US" w:eastAsia="en-US"/>
        </w:rPr>
        <w:t>liquid ratio</w:t>
      </w:r>
      <w:r w:rsidRPr="002A7A75">
        <w:rPr>
          <w:rFonts w:eastAsia="Calibri" w:cs="Calibri"/>
          <w:sz w:val="28"/>
          <w:szCs w:val="28"/>
          <w:u w:color="000000"/>
          <w:bdr w:val="nil"/>
          <w:lang w:val="en-US" w:eastAsia="en-US"/>
        </w:rPr>
        <w:t xml:space="preserve">) indicates a company's ability to satisfy short-term debts by using the most liquid assets (quick assets). It shows a company's ability to pay short-term debts immediately. It measures the relationship between quick assets and current liabilities. Quick assets equal to total current assets minus inventories and prepaid expenses. Generally, </w:t>
      </w:r>
      <w:r w:rsidRPr="002A7A75">
        <w:rPr>
          <w:rFonts w:eastAsia="Calibri" w:cs="Calibri"/>
          <w:b/>
          <w:bCs/>
          <w:sz w:val="28"/>
          <w:szCs w:val="28"/>
          <w:u w:color="000000"/>
          <w:bdr w:val="nil"/>
          <w:lang w:val="en-US" w:eastAsia="en-US"/>
        </w:rPr>
        <w:t>a quick ratio of</w:t>
      </w:r>
      <w:r w:rsidRPr="002A7A75">
        <w:rPr>
          <w:rFonts w:eastAsia="Calibri" w:cs="Calibri"/>
          <w:sz w:val="28"/>
          <w:szCs w:val="28"/>
          <w:u w:color="000000"/>
          <w:bdr w:val="nil"/>
          <w:lang w:val="en-US" w:eastAsia="en-US"/>
        </w:rPr>
        <w:t xml:space="preserve"> </w:t>
      </w:r>
      <w:r w:rsidRPr="002A7A75">
        <w:rPr>
          <w:rFonts w:eastAsia="Calibri" w:cs="Calibri"/>
          <w:b/>
          <w:bCs/>
          <w:sz w:val="28"/>
          <w:szCs w:val="28"/>
          <w:u w:color="000000"/>
          <w:bdr w:val="nil"/>
          <w:lang w:val="en-US" w:eastAsia="en-US"/>
        </w:rPr>
        <w:t>0.6–0.8</w:t>
      </w:r>
      <w:r w:rsidRPr="002A7A75">
        <w:rPr>
          <w:rFonts w:eastAsia="Calibri" w:cs="Calibri"/>
          <w:sz w:val="28"/>
          <w:szCs w:val="28"/>
          <w:u w:color="000000"/>
          <w:bdr w:val="nil"/>
          <w:lang w:val="en-US" w:eastAsia="en-US"/>
        </w:rPr>
        <w:t xml:space="preserve"> is considered satisfactory. However, like current ratio, this ratio should also be interpreted carefully. If </w:t>
      </w:r>
      <w:r w:rsidRPr="002A7A75">
        <w:rPr>
          <w:rFonts w:eastAsia="Calibri" w:cs="Calibri"/>
          <w:b/>
          <w:bCs/>
          <w:sz w:val="28"/>
          <w:szCs w:val="28"/>
          <w:u w:color="000000"/>
          <w:bdr w:val="nil"/>
          <w:lang w:val="en-US" w:eastAsia="en-US"/>
        </w:rPr>
        <w:t>the quick ratio of</w:t>
      </w:r>
      <w:r w:rsidRPr="002A7A75">
        <w:rPr>
          <w:rFonts w:eastAsia="Calibri" w:cs="Calibri"/>
          <w:sz w:val="28"/>
          <w:szCs w:val="28"/>
          <w:u w:color="000000"/>
          <w:bdr w:val="nil"/>
          <w:lang w:val="en-US" w:eastAsia="en-US"/>
        </w:rPr>
        <w:t xml:space="preserve"> </w:t>
      </w:r>
      <w:r w:rsidRPr="002A7A75">
        <w:rPr>
          <w:rFonts w:eastAsia="Calibri" w:cs="Calibri"/>
          <w:b/>
          <w:bCs/>
          <w:sz w:val="28"/>
          <w:szCs w:val="28"/>
          <w:u w:color="000000"/>
          <w:bdr w:val="nil"/>
          <w:lang w:val="en-US" w:eastAsia="en-US"/>
        </w:rPr>
        <w:t>less than 0.6–0.8</w:t>
      </w:r>
      <w:r w:rsidRPr="002A7A75">
        <w:rPr>
          <w:rFonts w:eastAsia="Calibri" w:cs="Calibri"/>
          <w:sz w:val="28"/>
          <w:szCs w:val="28"/>
          <w:u w:color="000000"/>
          <w:bdr w:val="nil"/>
          <w:lang w:val="en-US" w:eastAsia="en-US"/>
        </w:rPr>
        <w:t xml:space="preserve"> indicates that a company would not be able to repay all its debts by using its cash and near cash current assets (i.</w:t>
      </w:r>
      <w:r w:rsidR="0065175A">
        <w:rPr>
          <w:rFonts w:eastAsia="Calibri" w:cs="Calibri"/>
          <w:sz w:val="28"/>
          <w:szCs w:val="28"/>
          <w:u w:color="000000"/>
          <w:bdr w:val="nil"/>
          <w:lang w:val="en-US" w:eastAsia="en-US"/>
        </w:rPr>
        <w:t xml:space="preserve"> </w:t>
      </w:r>
      <w:r w:rsidRPr="002A7A75">
        <w:rPr>
          <w:rFonts w:eastAsia="Calibri" w:cs="Calibri"/>
          <w:sz w:val="28"/>
          <w:szCs w:val="28"/>
          <w:u w:color="000000"/>
          <w:bdr w:val="nil"/>
          <w:lang w:val="en-US" w:eastAsia="en-US"/>
        </w:rPr>
        <w:t xml:space="preserve">e. accounts receivable and marketable securities). If a company has </w:t>
      </w:r>
      <w:r w:rsidRPr="002A7A75">
        <w:rPr>
          <w:rFonts w:eastAsia="Calibri" w:cs="Calibri"/>
          <w:b/>
          <w:bCs/>
          <w:sz w:val="28"/>
          <w:szCs w:val="28"/>
          <w:u w:color="000000"/>
          <w:bdr w:val="nil"/>
          <w:lang w:val="en-US" w:eastAsia="en-US"/>
        </w:rPr>
        <w:t>abnormally high value of quick ratio</w:t>
      </w:r>
      <w:r w:rsidR="0065175A">
        <w:rPr>
          <w:rFonts w:eastAsia="Calibri" w:cs="Calibri"/>
          <w:b/>
          <w:bCs/>
          <w:sz w:val="28"/>
          <w:szCs w:val="28"/>
          <w:u w:color="000000"/>
          <w:bdr w:val="nil"/>
          <w:lang w:val="en-US" w:eastAsia="en-US"/>
        </w:rPr>
        <w:t xml:space="preserve">, </w:t>
      </w:r>
      <w:r w:rsidR="0065175A" w:rsidRPr="0065175A">
        <w:rPr>
          <w:rFonts w:eastAsia="Calibri" w:cs="Calibri"/>
          <w:bCs/>
          <w:sz w:val="28"/>
          <w:szCs w:val="28"/>
          <w:u w:color="000000"/>
          <w:bdr w:val="nil"/>
          <w:lang w:val="en-US" w:eastAsia="en-US"/>
        </w:rPr>
        <w:t>it</w:t>
      </w:r>
      <w:r w:rsidRPr="002A7A75">
        <w:rPr>
          <w:rFonts w:eastAsia="Calibri" w:cs="Calibri"/>
          <w:sz w:val="28"/>
          <w:szCs w:val="28"/>
          <w:u w:color="000000"/>
          <w:bdr w:val="nil"/>
          <w:lang w:val="en-US" w:eastAsia="en-US"/>
        </w:rPr>
        <w:t xml:space="preserve"> may indicate inefficiency, for the reason that company has idle liquid assets which could have been used to create additional projects thus increasing profits.</w:t>
      </w:r>
    </w:p>
    <w:p w14:paraId="0D8F1B1D"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3. </w:t>
      </w:r>
      <w:r w:rsidRPr="002A7A75">
        <w:rPr>
          <w:rFonts w:eastAsia="Calibri" w:cs="Calibri"/>
          <w:b/>
          <w:bCs/>
          <w:sz w:val="28"/>
          <w:szCs w:val="28"/>
          <w:u w:color="000000"/>
          <w:bdr w:val="nil"/>
          <w:lang w:val="en-US" w:eastAsia="en-US"/>
        </w:rPr>
        <w:t>Absolute liquid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cash ratio</w:t>
      </w:r>
      <w:r w:rsidRPr="002A7A75">
        <w:rPr>
          <w:rFonts w:eastAsia="Calibri" w:cs="Calibri"/>
          <w:sz w:val="28"/>
          <w:szCs w:val="28"/>
          <w:u w:color="000000"/>
          <w:bdr w:val="nil"/>
          <w:lang w:val="en-US" w:eastAsia="en-US"/>
        </w:rPr>
        <w:t>) indicates a company's ability to repay its current liabilities in the immediate short term by only using its cash and cash equivalents and nothing else. The absolute liquid ratio is computed by dividing the absolute liquid assets by current liabilities. The normal value of cash ratio is somewhere below 1.00.</w:t>
      </w:r>
    </w:p>
    <w:p w14:paraId="460FE55A"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lastRenderedPageBreak/>
        <w:t>Solvency ratios</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long-term solvency ratios</w:t>
      </w:r>
      <w:r w:rsidRPr="002A7A75">
        <w:rPr>
          <w:rFonts w:eastAsia="Calibri" w:cs="Calibri"/>
          <w:sz w:val="28"/>
          <w:szCs w:val="28"/>
          <w:u w:color="000000"/>
          <w:bdr w:val="nil"/>
          <w:lang w:val="en-US" w:eastAsia="en-US"/>
        </w:rPr>
        <w:t>) assess a company's ability to repay its principal amount long-term obligations such as bank loans, bonds payable, debentures, etc.</w:t>
      </w:r>
    </w:p>
    <w:p w14:paraId="6ADE81EA"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Solvency ratios used to assess a company’s financial risk and used to analyze company’s capital structure, evaluate the company’s ability to pay interest on long-term borrowings and repay the principal amount of the long-term loans. There are two </w:t>
      </w:r>
      <w:r w:rsidRPr="002A7A75">
        <w:rPr>
          <w:rFonts w:eastAsia="Calibri" w:cs="Calibri"/>
          <w:b/>
          <w:bCs/>
          <w:sz w:val="28"/>
          <w:szCs w:val="28"/>
          <w:u w:color="000000"/>
          <w:bdr w:val="nil"/>
          <w:lang w:val="en-US" w:eastAsia="en-US"/>
        </w:rPr>
        <w:t xml:space="preserve">types </w:t>
      </w:r>
      <w:r w:rsidRPr="002A7A75">
        <w:rPr>
          <w:rFonts w:eastAsia="Calibri" w:cs="Calibri"/>
          <w:sz w:val="28"/>
          <w:szCs w:val="28"/>
          <w:u w:color="000000"/>
          <w:bdr w:val="nil"/>
          <w:lang w:val="en-US" w:eastAsia="en-US"/>
        </w:rPr>
        <w:t xml:space="preserve">of solvency ratios: </w:t>
      </w:r>
      <w:r w:rsidRPr="002A7A75">
        <w:rPr>
          <w:rFonts w:eastAsia="Calibri" w:cs="Calibri"/>
          <w:b/>
          <w:bCs/>
          <w:sz w:val="28"/>
          <w:szCs w:val="28"/>
          <w:u w:color="000000"/>
          <w:bdr w:val="nil"/>
          <w:lang w:val="en-US" w:eastAsia="en-US"/>
        </w:rPr>
        <w:t>component percentages</w:t>
      </w:r>
      <w:r w:rsidRPr="002A7A75">
        <w:rPr>
          <w:rFonts w:eastAsia="Calibri" w:cs="Calibri"/>
          <w:sz w:val="28"/>
          <w:szCs w:val="28"/>
          <w:u w:color="000000"/>
          <w:bdr w:val="nil"/>
          <w:lang w:val="en-US" w:eastAsia="en-US"/>
        </w:rPr>
        <w:t xml:space="preserve"> (involve comparing the elements in the capital structure) and </w:t>
      </w:r>
      <w:r w:rsidRPr="002A7A75">
        <w:rPr>
          <w:rFonts w:eastAsia="Calibri" w:cs="Calibri"/>
          <w:b/>
          <w:bCs/>
          <w:sz w:val="28"/>
          <w:szCs w:val="28"/>
          <w:u w:color="000000"/>
          <w:bdr w:val="nil"/>
          <w:lang w:val="en-US" w:eastAsia="en-US"/>
        </w:rPr>
        <w:t>coverage ratios</w:t>
      </w:r>
      <w:r w:rsidRPr="002A7A75">
        <w:rPr>
          <w:rFonts w:eastAsia="Calibri" w:cs="Calibri"/>
          <w:sz w:val="28"/>
          <w:szCs w:val="28"/>
          <w:u w:color="000000"/>
          <w:bdr w:val="nil"/>
          <w:lang w:val="en-US" w:eastAsia="en-US"/>
        </w:rPr>
        <w:t xml:space="preserve"> (measure the ability to meet interest and other fixed financing costs). Some </w:t>
      </w:r>
      <w:r w:rsidRPr="002A7A75">
        <w:rPr>
          <w:rFonts w:eastAsia="Calibri" w:cs="Calibri"/>
          <w:b/>
          <w:bCs/>
          <w:sz w:val="28"/>
          <w:szCs w:val="28"/>
          <w:u w:color="000000"/>
          <w:bdr w:val="nil"/>
          <w:lang w:val="en-US" w:eastAsia="en-US"/>
        </w:rPr>
        <w:t>frequently used long-term solvency ratios</w:t>
      </w:r>
      <w:r w:rsidRPr="002A7A75">
        <w:rPr>
          <w:rFonts w:eastAsia="Calibri" w:cs="Calibri"/>
          <w:sz w:val="28"/>
          <w:szCs w:val="28"/>
          <w:u w:color="000000"/>
          <w:bdr w:val="nil"/>
          <w:lang w:val="en-US" w:eastAsia="en-US"/>
        </w:rPr>
        <w:t xml:space="preserve"> are given below:</w:t>
      </w:r>
    </w:p>
    <w:p w14:paraId="752ACE23"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1. </w:t>
      </w:r>
      <w:r w:rsidRPr="002A7A75">
        <w:rPr>
          <w:rFonts w:eastAsia="Calibri" w:cs="Calibri"/>
          <w:b/>
          <w:bCs/>
          <w:sz w:val="28"/>
          <w:szCs w:val="28"/>
          <w:u w:color="000000"/>
          <w:bdr w:val="nil"/>
          <w:lang w:val="en-US" w:eastAsia="en-US"/>
        </w:rPr>
        <w:t>Debt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debt to assets ratio</w:t>
      </w:r>
      <w:r w:rsidRPr="002A7A75">
        <w:rPr>
          <w:rFonts w:eastAsia="Calibri" w:cs="Calibri"/>
          <w:sz w:val="28"/>
          <w:szCs w:val="28"/>
          <w:u w:color="000000"/>
          <w:bdr w:val="nil"/>
          <w:lang w:val="en-US" w:eastAsia="en-US"/>
        </w:rPr>
        <w:t>) is a ratio which measures company’s debt (a sum of long-term and short-term debt) level as a percentage of its total assets. Thus, identifies the extent of a company’s leverage and the measure of a business’s financial risk, the risk that the business’ total assets may not be sufficient to pay off its debts, and thereon – interest. The debt ratio is a principal indicator of company’s long-term financial sustainability. If the percentage is too high (</w:t>
      </w:r>
      <w:r w:rsidRPr="002A7A75">
        <w:rPr>
          <w:rFonts w:eastAsia="Calibri" w:cs="Calibri"/>
          <w:b/>
          <w:bCs/>
          <w:sz w:val="28"/>
          <w:szCs w:val="28"/>
          <w:u w:color="000000"/>
          <w:bdr w:val="nil"/>
          <w:lang w:val="en-US" w:eastAsia="en-US"/>
        </w:rPr>
        <w:t>high debt ratio</w:t>
      </w:r>
      <w:r w:rsidRPr="002A7A75">
        <w:rPr>
          <w:rFonts w:eastAsia="Calibri" w:cs="Calibri"/>
          <w:sz w:val="28"/>
          <w:szCs w:val="28"/>
          <w:u w:color="000000"/>
          <w:bdr w:val="nil"/>
          <w:lang w:val="en-US" w:eastAsia="en-US"/>
        </w:rPr>
        <w:t xml:space="preserve">), it might indicate that it is too difficult for the company to pay off its debts and continue operations (high risk for both debt holders and equity investors). Due to the high risk, the company may have difficulties in raising money in good terms or may not be able to obtain money at all. If the company has </w:t>
      </w:r>
      <w:r w:rsidRPr="002A7A75">
        <w:rPr>
          <w:rFonts w:eastAsia="Calibri" w:cs="Calibri"/>
          <w:b/>
          <w:bCs/>
          <w:sz w:val="28"/>
          <w:szCs w:val="28"/>
          <w:u w:color="000000"/>
          <w:bdr w:val="nil"/>
          <w:lang w:val="en-US" w:eastAsia="en-US"/>
        </w:rPr>
        <w:t>very low debt ratio</w:t>
      </w:r>
      <w:r w:rsidRPr="002A7A75">
        <w:rPr>
          <w:rFonts w:eastAsia="Calibri" w:cs="Calibri"/>
          <w:sz w:val="28"/>
          <w:szCs w:val="28"/>
          <w:u w:color="000000"/>
          <w:bdr w:val="nil"/>
          <w:lang w:val="en-US" w:eastAsia="en-US"/>
        </w:rPr>
        <w:t>, then</w:t>
      </w:r>
      <w:r w:rsidRPr="002A7A75">
        <w:rPr>
          <w:rFonts w:eastAsia="Calibri" w:cs="Calibri"/>
          <w:b/>
          <w:bCs/>
          <w:sz w:val="28"/>
          <w:szCs w:val="28"/>
          <w:u w:color="000000"/>
          <w:bdr w:val="nil"/>
          <w:lang w:val="en-US" w:eastAsia="en-US"/>
        </w:rPr>
        <w:t xml:space="preserve"> </w:t>
      </w:r>
      <w:r w:rsidRPr="002A7A75">
        <w:rPr>
          <w:rFonts w:eastAsia="Calibri" w:cs="Calibri"/>
          <w:sz w:val="28"/>
          <w:szCs w:val="28"/>
          <w:u w:color="000000"/>
          <w:bdr w:val="nil"/>
          <w:lang w:val="en-US" w:eastAsia="en-US"/>
        </w:rPr>
        <w:t>the company’s assets are sufficient to meet its obligations, however, may indicate the existence of idle or underutilized financial resources which m</w:t>
      </w:r>
      <w:r w:rsidR="0065175A">
        <w:rPr>
          <w:rFonts w:eastAsia="Calibri" w:cs="Calibri"/>
          <w:sz w:val="28"/>
          <w:szCs w:val="28"/>
          <w:u w:color="000000"/>
          <w:bdr w:val="nil"/>
          <w:lang w:val="en-US" w:eastAsia="en-US"/>
        </w:rPr>
        <w:t>ay</w:t>
      </w:r>
      <w:r w:rsidRPr="002A7A75">
        <w:rPr>
          <w:rFonts w:eastAsia="Calibri" w:cs="Calibri"/>
          <w:sz w:val="28"/>
          <w:szCs w:val="28"/>
          <w:u w:color="000000"/>
          <w:bdr w:val="nil"/>
          <w:lang w:val="en-US" w:eastAsia="en-US"/>
        </w:rPr>
        <w:t xml:space="preserve"> negative</w:t>
      </w:r>
      <w:r w:rsidR="0065175A">
        <w:rPr>
          <w:rFonts w:eastAsia="Calibri" w:cs="Calibri"/>
          <w:sz w:val="28"/>
          <w:szCs w:val="28"/>
          <w:u w:color="000000"/>
          <w:bdr w:val="nil"/>
          <w:lang w:val="en-US" w:eastAsia="en-US"/>
        </w:rPr>
        <w:t>ly</w:t>
      </w:r>
      <w:r w:rsidRPr="002A7A75">
        <w:rPr>
          <w:rFonts w:eastAsia="Calibri" w:cs="Calibri"/>
          <w:sz w:val="28"/>
          <w:szCs w:val="28"/>
          <w:u w:color="000000"/>
          <w:bdr w:val="nil"/>
          <w:lang w:val="en-US" w:eastAsia="en-US"/>
        </w:rPr>
        <w:t xml:space="preserve"> result in restricted growth.</w:t>
      </w:r>
    </w:p>
    <w:p w14:paraId="063316B8"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2. </w:t>
      </w:r>
      <w:r w:rsidRPr="002A7A75">
        <w:rPr>
          <w:rFonts w:eastAsia="Calibri" w:cs="Calibri"/>
          <w:b/>
          <w:bCs/>
          <w:sz w:val="28"/>
          <w:szCs w:val="28"/>
          <w:u w:color="000000"/>
          <w:bdr w:val="nil"/>
          <w:lang w:val="en-US" w:eastAsia="en-US"/>
        </w:rPr>
        <w:t>Debt to equity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external-internal equity ratio</w:t>
      </w:r>
      <w:r w:rsidRPr="002A7A75">
        <w:rPr>
          <w:rFonts w:eastAsia="Calibri" w:cs="Calibri"/>
          <w:sz w:val="28"/>
          <w:szCs w:val="28"/>
          <w:u w:color="000000"/>
          <w:bdr w:val="nil"/>
          <w:lang w:val="en-US" w:eastAsia="en-US"/>
        </w:rPr>
        <w:t>) measures the degree to which the company’s assets</w:t>
      </w:r>
      <w:r w:rsidR="0065175A">
        <w:rPr>
          <w:rFonts w:eastAsia="Calibri" w:cs="Calibri"/>
          <w:sz w:val="28"/>
          <w:szCs w:val="28"/>
          <w:u w:color="000000"/>
          <w:bdr w:val="nil"/>
          <w:lang w:val="en-US" w:eastAsia="en-US"/>
        </w:rPr>
        <w:t xml:space="preserve"> are</w:t>
      </w:r>
      <w:r w:rsidRPr="002A7A75">
        <w:rPr>
          <w:rFonts w:eastAsia="Calibri" w:cs="Calibri"/>
          <w:sz w:val="28"/>
          <w:szCs w:val="28"/>
          <w:u w:color="000000"/>
          <w:bdr w:val="nil"/>
          <w:lang w:val="en-US" w:eastAsia="en-US"/>
        </w:rPr>
        <w:t xml:space="preserve"> financed by the debts (provided by creditors) and the shareholders' equity (provided by principal stockholders/shareholders). It indicates the soundness of the company’s long-term financial policies. Debt to equity ratio could vary from industry to industry. If a company's </w:t>
      </w:r>
      <w:r w:rsidRPr="002A7A75">
        <w:rPr>
          <w:rFonts w:eastAsia="Calibri" w:cs="Calibri"/>
          <w:b/>
          <w:bCs/>
          <w:sz w:val="28"/>
          <w:szCs w:val="28"/>
          <w:u w:color="000000"/>
          <w:bdr w:val="nil"/>
          <w:lang w:val="en-US" w:eastAsia="en-US"/>
        </w:rPr>
        <w:t>debt to equity ratio is 1</w:t>
      </w:r>
      <w:r w:rsidRPr="002A7A75">
        <w:rPr>
          <w:rFonts w:eastAsia="Calibri" w:cs="Calibri"/>
          <w:sz w:val="28"/>
          <w:szCs w:val="28"/>
          <w:u w:color="000000"/>
          <w:bdr w:val="nil"/>
          <w:lang w:val="en-US" w:eastAsia="en-US"/>
        </w:rPr>
        <w:t>,</w:t>
      </w:r>
      <w:r w:rsidR="0065175A">
        <w:rPr>
          <w:rFonts w:eastAsia="Calibri" w:cs="Calibri"/>
          <w:sz w:val="28"/>
          <w:szCs w:val="28"/>
          <w:u w:color="000000"/>
          <w:bdr w:val="nil"/>
          <w:lang w:val="en-US" w:eastAsia="en-US"/>
        </w:rPr>
        <w:t xml:space="preserve"> it</w:t>
      </w:r>
      <w:r w:rsidRPr="002A7A75">
        <w:rPr>
          <w:rFonts w:eastAsia="Calibri" w:cs="Calibri"/>
          <w:sz w:val="28"/>
          <w:szCs w:val="28"/>
          <w:u w:color="000000"/>
          <w:bdr w:val="nil"/>
          <w:lang w:val="en-US" w:eastAsia="en-US"/>
        </w:rPr>
        <w:t xml:space="preserve"> means that creditors and stockholders equally contribute to the company’s assets and </w:t>
      </w:r>
      <w:r w:rsidR="0065175A">
        <w:rPr>
          <w:rFonts w:eastAsia="Calibri" w:cs="Calibri"/>
          <w:sz w:val="28"/>
          <w:szCs w:val="28"/>
          <w:u w:color="000000"/>
          <w:bdr w:val="nil"/>
          <w:lang w:val="en-US" w:eastAsia="en-US"/>
        </w:rPr>
        <w:t xml:space="preserve">are </w:t>
      </w:r>
      <w:r w:rsidRPr="002A7A75">
        <w:rPr>
          <w:rFonts w:eastAsia="Calibri" w:cs="Calibri"/>
          <w:sz w:val="28"/>
          <w:szCs w:val="28"/>
          <w:u w:color="000000"/>
          <w:bdr w:val="nil"/>
          <w:lang w:val="en-US" w:eastAsia="en-US"/>
        </w:rPr>
        <w:t xml:space="preserve">normally considered satisfactory for most of the companies. A </w:t>
      </w:r>
      <w:r w:rsidRPr="002A7A75">
        <w:rPr>
          <w:rFonts w:eastAsia="Calibri" w:cs="Calibri"/>
          <w:b/>
          <w:bCs/>
          <w:sz w:val="28"/>
          <w:szCs w:val="28"/>
          <w:u w:color="000000"/>
          <w:bdr w:val="nil"/>
          <w:lang w:val="en-US" w:eastAsia="en-US"/>
        </w:rPr>
        <w:t xml:space="preserve">value of debt-to-equity ratio lower than 1 </w:t>
      </w:r>
      <w:r w:rsidRPr="002A7A75">
        <w:rPr>
          <w:rFonts w:eastAsia="Calibri" w:cs="Calibri"/>
          <w:sz w:val="28"/>
          <w:szCs w:val="28"/>
          <w:u w:color="000000"/>
          <w:bdr w:val="nil"/>
          <w:lang w:val="en-US" w:eastAsia="en-US"/>
        </w:rPr>
        <w:t>means that more company’s assets a</w:t>
      </w:r>
      <w:r w:rsidR="0065175A">
        <w:rPr>
          <w:rFonts w:eastAsia="Calibri" w:cs="Calibri"/>
          <w:sz w:val="28"/>
          <w:szCs w:val="28"/>
          <w:u w:color="000000"/>
          <w:bdr w:val="nil"/>
          <w:lang w:val="en-US" w:eastAsia="en-US"/>
        </w:rPr>
        <w:t>re financed by shareholders than</w:t>
      </w:r>
      <w:r w:rsidRPr="002A7A75">
        <w:rPr>
          <w:rFonts w:eastAsia="Calibri" w:cs="Calibri"/>
          <w:sz w:val="28"/>
          <w:szCs w:val="28"/>
          <w:u w:color="000000"/>
          <w:bdr w:val="nil"/>
          <w:lang w:val="en-US" w:eastAsia="en-US"/>
        </w:rPr>
        <w:t xml:space="preserve"> those financed by money of creditors' and vice versa. </w:t>
      </w:r>
      <w:r w:rsidRPr="002A7A75">
        <w:rPr>
          <w:rFonts w:eastAsia="Calibri" w:cs="Calibri"/>
          <w:b/>
          <w:bCs/>
          <w:sz w:val="28"/>
          <w:szCs w:val="28"/>
          <w:u w:color="000000"/>
          <w:bdr w:val="nil"/>
          <w:lang w:val="en-US" w:eastAsia="en-US"/>
        </w:rPr>
        <w:t>A low debt-to-equity ratio</w:t>
      </w:r>
      <w:r w:rsidRPr="002A7A75">
        <w:rPr>
          <w:rFonts w:eastAsia="Calibri" w:cs="Calibri"/>
          <w:sz w:val="28"/>
          <w:szCs w:val="28"/>
          <w:u w:color="000000"/>
          <w:bdr w:val="nil"/>
          <w:lang w:val="en-US" w:eastAsia="en-US"/>
        </w:rPr>
        <w:t xml:space="preserve"> </w:t>
      </w:r>
      <w:r w:rsidR="006A7885">
        <w:rPr>
          <w:rFonts w:eastAsia="Calibri" w:cs="Calibri"/>
          <w:sz w:val="28"/>
          <w:szCs w:val="28"/>
          <w:u w:color="000000"/>
          <w:bdr w:val="nil"/>
          <w:lang w:val="en-US" w:eastAsia="en-US"/>
        </w:rPr>
        <w:t xml:space="preserve">is </w:t>
      </w:r>
      <w:r w:rsidRPr="002A7A75">
        <w:rPr>
          <w:rFonts w:eastAsia="Calibri" w:cs="Calibri"/>
          <w:sz w:val="28"/>
          <w:szCs w:val="28"/>
          <w:u w:color="000000"/>
          <w:bdr w:val="nil"/>
          <w:lang w:val="en-US" w:eastAsia="en-US"/>
        </w:rPr>
        <w:t>more favorable to creditors because it indicat</w:t>
      </w:r>
      <w:r w:rsidR="006A7885">
        <w:rPr>
          <w:rFonts w:eastAsia="Calibri" w:cs="Calibri"/>
          <w:sz w:val="28"/>
          <w:szCs w:val="28"/>
          <w:u w:color="000000"/>
          <w:bdr w:val="nil"/>
          <w:lang w:val="en-US" w:eastAsia="en-US"/>
        </w:rPr>
        <w:t>es</w:t>
      </w:r>
      <w:r w:rsidRPr="002A7A75">
        <w:rPr>
          <w:rFonts w:eastAsia="Calibri" w:cs="Calibri"/>
          <w:sz w:val="28"/>
          <w:szCs w:val="28"/>
          <w:u w:color="000000"/>
          <w:bdr w:val="nil"/>
          <w:lang w:val="en-US" w:eastAsia="en-US"/>
        </w:rPr>
        <w:t xml:space="preserve"> less risk, and thus greater protection to their money. An </w:t>
      </w:r>
      <w:r w:rsidRPr="002A7A75">
        <w:rPr>
          <w:rFonts w:eastAsia="Calibri" w:cs="Calibri"/>
          <w:b/>
          <w:bCs/>
          <w:sz w:val="28"/>
          <w:szCs w:val="28"/>
          <w:u w:color="000000"/>
          <w:bdr w:val="nil"/>
          <w:lang w:val="en-US" w:eastAsia="en-US"/>
        </w:rPr>
        <w:lastRenderedPageBreak/>
        <w:t>increasing trend of debt-to-equity ratio</w:t>
      </w:r>
      <w:r w:rsidRPr="002A7A75">
        <w:rPr>
          <w:rFonts w:eastAsia="Calibri" w:cs="Calibri"/>
          <w:sz w:val="28"/>
          <w:szCs w:val="28"/>
          <w:u w:color="000000"/>
          <w:bdr w:val="nil"/>
          <w:lang w:val="en-US" w:eastAsia="en-US"/>
        </w:rPr>
        <w:t xml:space="preserve"> is unfavorable because it means that the percentage of the company’s assets which are financed by the debts is increasing, the company relies more on external lenders at higher risk, especially at higher interest rates.</w:t>
      </w:r>
    </w:p>
    <w:p w14:paraId="70FB4A03"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3. </w:t>
      </w:r>
      <w:r w:rsidRPr="002A7A75">
        <w:rPr>
          <w:rFonts w:eastAsia="Calibri" w:cs="Calibri"/>
          <w:b/>
          <w:bCs/>
          <w:sz w:val="28"/>
          <w:szCs w:val="28"/>
          <w:u w:color="000000"/>
          <w:bdr w:val="nil"/>
          <w:lang w:val="en-US" w:eastAsia="en-US"/>
        </w:rPr>
        <w:t>Solvency ratio</w:t>
      </w:r>
      <w:r w:rsidRPr="002A7A75">
        <w:rPr>
          <w:rFonts w:eastAsia="Calibri" w:cs="Calibri"/>
          <w:sz w:val="28"/>
          <w:szCs w:val="28"/>
          <w:u w:color="000000"/>
          <w:bdr w:val="nil"/>
          <w:lang w:val="en-US" w:eastAsia="en-US"/>
        </w:rPr>
        <w:t xml:space="preserve"> measures company’s ability to meet its short-term and long-term liabilities. In other words, it determines whether the company has sufficient cash flow to meet its debts as they come. </w:t>
      </w:r>
      <w:r w:rsidR="00505A1C">
        <w:rPr>
          <w:rFonts w:eastAsia="Calibri" w:cs="Calibri"/>
          <w:b/>
          <w:bCs/>
          <w:sz w:val="28"/>
          <w:szCs w:val="28"/>
          <w:u w:color="000000"/>
          <w:bdr w:val="nil"/>
          <w:lang w:val="en-US" w:eastAsia="en-US"/>
        </w:rPr>
        <w:t>The h</w:t>
      </w:r>
      <w:r w:rsidRPr="002A7A75">
        <w:rPr>
          <w:rFonts w:eastAsia="Calibri" w:cs="Calibri"/>
          <w:b/>
          <w:bCs/>
          <w:sz w:val="28"/>
          <w:szCs w:val="28"/>
          <w:u w:color="000000"/>
          <w:bdr w:val="nil"/>
          <w:lang w:val="en-US" w:eastAsia="en-US"/>
        </w:rPr>
        <w:t>igher a company's solvency ratio</w:t>
      </w:r>
      <w:r w:rsidRPr="002A7A75">
        <w:rPr>
          <w:rFonts w:eastAsia="Calibri" w:cs="Calibri"/>
          <w:sz w:val="28"/>
          <w:szCs w:val="28"/>
          <w:u w:color="000000"/>
          <w:bdr w:val="nil"/>
          <w:lang w:val="en-US" w:eastAsia="en-US"/>
        </w:rPr>
        <w:t xml:space="preserve">, the greater the probability that it will meet financial obligations; companies with </w:t>
      </w:r>
      <w:r w:rsidRPr="002A7A75">
        <w:rPr>
          <w:rFonts w:eastAsia="Calibri" w:cs="Calibri"/>
          <w:b/>
          <w:bCs/>
          <w:sz w:val="28"/>
          <w:szCs w:val="28"/>
          <w:u w:color="000000"/>
          <w:bdr w:val="nil"/>
          <w:lang w:val="en-US" w:eastAsia="en-US"/>
        </w:rPr>
        <w:t>lower scores</w:t>
      </w:r>
      <w:r w:rsidRPr="002A7A75">
        <w:rPr>
          <w:rFonts w:eastAsia="Calibri" w:cs="Calibri"/>
          <w:sz w:val="28"/>
          <w:szCs w:val="28"/>
          <w:u w:color="000000"/>
          <w:bdr w:val="nil"/>
          <w:lang w:val="en-US" w:eastAsia="en-US"/>
        </w:rPr>
        <w:t xml:space="preserve"> are seen as posing a greater risk to banks and creditors.</w:t>
      </w:r>
    </w:p>
    <w:p w14:paraId="735345A1"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i/>
          <w:iCs/>
          <w:sz w:val="28"/>
          <w:szCs w:val="28"/>
          <w:u w:color="000000"/>
          <w:bdr w:val="nil"/>
          <w:lang w:val="en-US" w:eastAsia="en-US"/>
        </w:rPr>
      </w:pPr>
      <w:r w:rsidRPr="002A7A75">
        <w:rPr>
          <w:rFonts w:eastAsia="Calibri" w:cs="Calibri"/>
          <w:sz w:val="28"/>
          <w:szCs w:val="28"/>
          <w:u w:color="000000"/>
          <w:bdr w:val="nil"/>
          <w:lang w:val="en-US" w:eastAsia="en-US"/>
        </w:rPr>
        <w:t xml:space="preserve">4. </w:t>
      </w:r>
      <w:r w:rsidRPr="002A7A75">
        <w:rPr>
          <w:rFonts w:eastAsia="Calibri" w:cs="Calibri"/>
          <w:b/>
          <w:bCs/>
          <w:sz w:val="28"/>
          <w:szCs w:val="28"/>
          <w:u w:color="000000"/>
          <w:bdr w:val="nil"/>
          <w:lang w:val="en-US" w:eastAsia="en-US"/>
        </w:rPr>
        <w:t xml:space="preserve">Working capital to stockholder’s equity ratio </w:t>
      </w:r>
      <w:r w:rsidRPr="002A7A75">
        <w:rPr>
          <w:rFonts w:eastAsia="Calibri" w:cs="Calibri"/>
          <w:sz w:val="28"/>
          <w:szCs w:val="28"/>
          <w:u w:color="000000"/>
          <w:bdr w:val="nil"/>
          <w:lang w:val="en-US" w:eastAsia="en-US"/>
        </w:rPr>
        <w:t xml:space="preserve">measures the percentage of the company’s stockholder’s equity used for financing its ongoing business operations and percentage the company is capitalized. A </w:t>
      </w:r>
      <w:r w:rsidRPr="002A7A75">
        <w:rPr>
          <w:rFonts w:eastAsia="Calibri" w:cs="Calibri"/>
          <w:b/>
          <w:bCs/>
          <w:sz w:val="28"/>
          <w:szCs w:val="28"/>
          <w:u w:color="000000"/>
          <w:bdr w:val="nil"/>
          <w:lang w:val="en-US" w:eastAsia="en-US"/>
        </w:rPr>
        <w:t>low working capital to stockholder’s equity ratio</w:t>
      </w:r>
      <w:r w:rsidRPr="002A7A75">
        <w:rPr>
          <w:rFonts w:eastAsia="Calibri" w:cs="Calibri"/>
          <w:sz w:val="28"/>
          <w:szCs w:val="28"/>
          <w:u w:color="000000"/>
          <w:bdr w:val="nil"/>
          <w:lang w:val="en-US" w:eastAsia="en-US"/>
        </w:rPr>
        <w:t xml:space="preserve"> means </w:t>
      </w:r>
      <w:r w:rsidR="006A7885">
        <w:rPr>
          <w:rFonts w:eastAsia="Calibri" w:cs="Calibri"/>
          <w:sz w:val="28"/>
          <w:szCs w:val="28"/>
          <w:u w:color="000000"/>
          <w:bdr w:val="nil"/>
          <w:lang w:val="en-US" w:eastAsia="en-US"/>
        </w:rPr>
        <w:t xml:space="preserve">that </w:t>
      </w:r>
      <w:r w:rsidRPr="002A7A75">
        <w:rPr>
          <w:rFonts w:eastAsia="Calibri" w:cs="Calibri"/>
          <w:sz w:val="28"/>
          <w:szCs w:val="28"/>
          <w:u w:color="000000"/>
          <w:bdr w:val="nil"/>
          <w:lang w:val="en-US" w:eastAsia="en-US"/>
        </w:rPr>
        <w:t xml:space="preserve">the company is keeping a large portion of its equity in capitalized form and </w:t>
      </w:r>
      <w:r w:rsidRPr="002A7A75">
        <w:rPr>
          <w:rFonts w:eastAsia="Calibri" w:cs="Calibri"/>
          <w:b/>
          <w:bCs/>
          <w:sz w:val="28"/>
          <w:szCs w:val="28"/>
          <w:u w:color="000000"/>
          <w:bdr w:val="nil"/>
          <w:lang w:val="en-US" w:eastAsia="en-US"/>
        </w:rPr>
        <w:t>high scores</w:t>
      </w:r>
      <w:r w:rsidRPr="002A7A75">
        <w:rPr>
          <w:rFonts w:eastAsia="Calibri" w:cs="Calibri"/>
          <w:sz w:val="28"/>
          <w:szCs w:val="28"/>
          <w:u w:color="000000"/>
          <w:bdr w:val="nil"/>
          <w:lang w:val="en-US" w:eastAsia="en-US"/>
        </w:rPr>
        <w:t xml:space="preserve"> mean</w:t>
      </w:r>
      <w:r w:rsidR="006A7885">
        <w:rPr>
          <w:rFonts w:eastAsia="Calibri" w:cs="Calibri"/>
          <w:sz w:val="28"/>
          <w:szCs w:val="28"/>
          <w:u w:color="000000"/>
          <w:bdr w:val="nil"/>
          <w:lang w:val="en-US" w:eastAsia="en-US"/>
        </w:rPr>
        <w:t xml:space="preserve"> that</w:t>
      </w:r>
      <w:r w:rsidRPr="002A7A75">
        <w:rPr>
          <w:rFonts w:eastAsia="Calibri" w:cs="Calibri"/>
          <w:sz w:val="28"/>
          <w:szCs w:val="28"/>
          <w:u w:color="000000"/>
          <w:bdr w:val="nil"/>
          <w:lang w:val="en-US" w:eastAsia="en-US"/>
        </w:rPr>
        <w:t xml:space="preserve"> the company is paying a large portion of its equity to its current operating activities (which in turn mean greater profit gains in future periods). In general, high scores of working capital to stockholder’s equity ratio are preferred.</w:t>
      </w:r>
    </w:p>
    <w:p w14:paraId="5CA32AF2"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t>Profitability ratios</w:t>
      </w:r>
      <w:r w:rsidRPr="002A7A75">
        <w:rPr>
          <w:rFonts w:eastAsia="Calibri" w:cs="Calibri"/>
          <w:sz w:val="28"/>
          <w:szCs w:val="28"/>
          <w:u w:color="000000"/>
          <w:bdr w:val="nil"/>
          <w:lang w:val="en-US" w:eastAsia="en-US"/>
        </w:rPr>
        <w:t xml:space="preserve"> measure the company’s ability to efficient </w:t>
      </w:r>
      <w:r w:rsidR="007074BC" w:rsidRPr="002A7A75">
        <w:rPr>
          <w:rFonts w:eastAsia="Calibri" w:cs="Calibri"/>
          <w:sz w:val="28"/>
          <w:szCs w:val="28"/>
          <w:u w:color="000000"/>
          <w:bdr w:val="nil"/>
          <w:lang w:val="en-US" w:eastAsia="en-US"/>
        </w:rPr>
        <w:t xml:space="preserve">employment </w:t>
      </w:r>
      <w:r w:rsidRPr="002A7A75">
        <w:rPr>
          <w:rFonts w:eastAsia="Calibri" w:cs="Calibri"/>
          <w:sz w:val="28"/>
          <w:szCs w:val="28"/>
          <w:u w:color="000000"/>
          <w:bdr w:val="nil"/>
          <w:lang w:val="en-US" w:eastAsia="en-US"/>
        </w:rPr>
        <w:t xml:space="preserve">management to earn the profit for </w:t>
      </w:r>
      <w:r w:rsidR="007074BC">
        <w:rPr>
          <w:rFonts w:eastAsia="Calibri" w:cs="Calibri"/>
          <w:sz w:val="28"/>
          <w:szCs w:val="28"/>
          <w:u w:color="000000"/>
          <w:bdr w:val="nil"/>
          <w:lang w:val="en-US" w:eastAsia="en-US"/>
        </w:rPr>
        <w:t>company’</w:t>
      </w:r>
      <w:r w:rsidRPr="002A7A75">
        <w:rPr>
          <w:rFonts w:eastAsia="Calibri" w:cs="Calibri"/>
          <w:sz w:val="28"/>
          <w:szCs w:val="28"/>
          <w:u w:color="000000"/>
          <w:bdr w:val="nil"/>
          <w:lang w:val="en-US" w:eastAsia="en-US"/>
        </w:rPr>
        <w:t>s owners. While liquidity ratios and solvency ratios explain the company’s financial position, profitability ratios and efficiency ratios communicate its financial performance for a particular period of time. The</w:t>
      </w:r>
      <w:r w:rsidR="007074BC">
        <w:rPr>
          <w:rFonts w:eastAsia="Calibri" w:cs="Calibri"/>
          <w:sz w:val="28"/>
          <w:szCs w:val="28"/>
          <w:u w:color="000000"/>
          <w:bdr w:val="nil"/>
          <w:lang w:val="en-US" w:eastAsia="en-US"/>
        </w:rPr>
        <w:t xml:space="preserve"> following are the</w:t>
      </w:r>
      <w:r w:rsidRPr="002A7A75">
        <w:rPr>
          <w:rFonts w:eastAsia="Calibri" w:cs="Calibri"/>
          <w:sz w:val="28"/>
          <w:szCs w:val="28"/>
          <w:u w:color="000000"/>
          <w:bdr w:val="nil"/>
          <w:lang w:val="en-US" w:eastAsia="en-US"/>
        </w:rPr>
        <w:t xml:space="preserve"> </w:t>
      </w:r>
      <w:r w:rsidRPr="002A7A75">
        <w:rPr>
          <w:rFonts w:eastAsia="Calibri" w:cs="Calibri"/>
          <w:b/>
          <w:bCs/>
          <w:sz w:val="28"/>
          <w:szCs w:val="28"/>
          <w:u w:color="000000"/>
          <w:bdr w:val="nil"/>
          <w:lang w:val="en-US" w:eastAsia="en-US"/>
        </w:rPr>
        <w:t>most common</w:t>
      </w:r>
      <w:r w:rsidR="007074BC">
        <w:rPr>
          <w:rFonts w:eastAsia="Calibri" w:cs="Calibri"/>
          <w:b/>
          <w:bCs/>
          <w:sz w:val="28"/>
          <w:szCs w:val="28"/>
          <w:u w:color="000000"/>
          <w:bdr w:val="nil"/>
          <w:lang w:val="en-US" w:eastAsia="en-US"/>
        </w:rPr>
        <w:t>ly</w:t>
      </w:r>
      <w:r w:rsidRPr="002A7A75">
        <w:rPr>
          <w:rFonts w:eastAsia="Calibri" w:cs="Calibri"/>
          <w:b/>
          <w:bCs/>
          <w:sz w:val="28"/>
          <w:szCs w:val="28"/>
          <w:u w:color="000000"/>
          <w:bdr w:val="nil"/>
          <w:lang w:val="en-US" w:eastAsia="en-US"/>
        </w:rPr>
        <w:t xml:space="preserve"> used profitability ratios</w:t>
      </w:r>
      <w:r w:rsidRPr="002A7A75">
        <w:rPr>
          <w:rFonts w:eastAsia="Calibri" w:cs="Calibri"/>
          <w:sz w:val="28"/>
          <w:szCs w:val="28"/>
          <w:u w:color="000000"/>
          <w:bdr w:val="nil"/>
          <w:lang w:val="en-US" w:eastAsia="en-US"/>
        </w:rPr>
        <w:t>:</w:t>
      </w:r>
    </w:p>
    <w:p w14:paraId="7AB370AF"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1. </w:t>
      </w:r>
      <w:r w:rsidRPr="002A7A75">
        <w:rPr>
          <w:rFonts w:eastAsia="Calibri" w:cs="Calibri"/>
          <w:b/>
          <w:bCs/>
          <w:sz w:val="28"/>
          <w:szCs w:val="28"/>
          <w:u w:color="000000"/>
          <w:bdr w:val="nil"/>
          <w:lang w:val="en-US" w:eastAsia="en-US"/>
        </w:rPr>
        <w:t>Return on assets ratio (ROA)</w:t>
      </w:r>
      <w:r w:rsidRPr="002A7A75">
        <w:rPr>
          <w:rFonts w:eastAsia="Calibri" w:cs="Calibri"/>
          <w:sz w:val="28"/>
          <w:szCs w:val="28"/>
          <w:u w:color="000000"/>
          <w:bdr w:val="nil"/>
          <w:lang w:val="en-US" w:eastAsia="en-US"/>
        </w:rPr>
        <w:t xml:space="preserve"> measure</w:t>
      </w:r>
      <w:r w:rsidR="006A7885">
        <w:rPr>
          <w:rFonts w:eastAsia="Calibri" w:cs="Calibri"/>
          <w:sz w:val="28"/>
          <w:szCs w:val="28"/>
          <w:u w:color="000000"/>
          <w:bdr w:val="nil"/>
          <w:lang w:val="en-US" w:eastAsia="en-US"/>
        </w:rPr>
        <w:t>s</w:t>
      </w:r>
      <w:r w:rsidRPr="002A7A75">
        <w:rPr>
          <w:rFonts w:eastAsia="Calibri" w:cs="Calibri"/>
          <w:sz w:val="28"/>
          <w:szCs w:val="28"/>
          <w:u w:color="000000"/>
          <w:bdr w:val="nil"/>
          <w:lang w:val="en-US" w:eastAsia="en-US"/>
        </w:rPr>
        <w:t xml:space="preserve"> how profitable a company's assets are in generating annual net income (usually displayed as a percentage). ROA indicates the number of hryvnias earned on each hryvnia of assets they control. Thus, </w:t>
      </w:r>
      <w:r w:rsidRPr="002A7A75">
        <w:rPr>
          <w:rFonts w:eastAsia="Calibri" w:cs="Calibri"/>
          <w:b/>
          <w:bCs/>
          <w:sz w:val="28"/>
          <w:szCs w:val="28"/>
          <w:u w:color="000000"/>
          <w:bdr w:val="nil"/>
          <w:lang w:val="en-US" w:eastAsia="en-US"/>
        </w:rPr>
        <w:t>higher values of ROA</w:t>
      </w:r>
      <w:r w:rsidRPr="002A7A75">
        <w:rPr>
          <w:rFonts w:eastAsia="Calibri" w:cs="Calibri"/>
          <w:sz w:val="28"/>
          <w:szCs w:val="28"/>
          <w:u w:color="000000"/>
          <w:bdr w:val="nil"/>
          <w:lang w:val="en-US" w:eastAsia="en-US"/>
        </w:rPr>
        <w:t xml:space="preserve"> show that business is more profitable. ROA calculation makes good sense when compared competing companies in the same industry. </w:t>
      </w:r>
    </w:p>
    <w:p w14:paraId="50F6E38F"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2. </w:t>
      </w:r>
      <w:r w:rsidRPr="002A7A75">
        <w:rPr>
          <w:rFonts w:eastAsia="Calibri" w:cs="Calibri"/>
          <w:b/>
          <w:bCs/>
          <w:sz w:val="28"/>
          <w:szCs w:val="28"/>
          <w:u w:color="000000"/>
          <w:bdr w:val="nil"/>
          <w:lang w:val="en-US" w:eastAsia="en-US"/>
        </w:rPr>
        <w:t>Return on equity ratio (ROE)</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return on shareholders’ investment ratio</w:t>
      </w:r>
      <w:r w:rsidRPr="002A7A75">
        <w:rPr>
          <w:rFonts w:eastAsia="Calibri" w:cs="Calibri"/>
          <w:sz w:val="28"/>
          <w:szCs w:val="28"/>
          <w:u w:color="000000"/>
          <w:bdr w:val="nil"/>
          <w:lang w:val="en-US" w:eastAsia="en-US"/>
        </w:rPr>
        <w:t xml:space="preserve"> and </w:t>
      </w:r>
      <w:r w:rsidRPr="002A7A75">
        <w:rPr>
          <w:rFonts w:eastAsia="Calibri" w:cs="Calibri"/>
          <w:b/>
          <w:bCs/>
          <w:sz w:val="28"/>
          <w:szCs w:val="28"/>
          <w:u w:color="000000"/>
          <w:bdr w:val="nil"/>
          <w:lang w:val="en-US" w:eastAsia="en-US"/>
        </w:rPr>
        <w:t>return on capital</w:t>
      </w:r>
      <w:r w:rsidRPr="002A7A75">
        <w:rPr>
          <w:rFonts w:eastAsia="Calibri" w:cs="Calibri"/>
          <w:sz w:val="28"/>
          <w:szCs w:val="28"/>
          <w:u w:color="000000"/>
          <w:bdr w:val="nil"/>
          <w:lang w:val="en-US" w:eastAsia="en-US"/>
        </w:rPr>
        <w:t xml:space="preserve">) shows net income as a percentage of shareholder equity. </w:t>
      </w:r>
      <w:r w:rsidR="006A7885">
        <w:rPr>
          <w:rFonts w:eastAsia="Calibri" w:cs="Calibri"/>
          <w:sz w:val="28"/>
          <w:szCs w:val="28"/>
          <w:u w:color="000000"/>
          <w:bdr w:val="nil"/>
          <w:lang w:val="en-US" w:eastAsia="en-US"/>
        </w:rPr>
        <w:t>It is c</w:t>
      </w:r>
      <w:r w:rsidRPr="002A7A75">
        <w:rPr>
          <w:rFonts w:eastAsia="Calibri" w:cs="Calibri"/>
          <w:sz w:val="28"/>
          <w:szCs w:val="28"/>
          <w:u w:color="000000"/>
          <w:bdr w:val="nil"/>
          <w:lang w:val="en-US" w:eastAsia="en-US"/>
        </w:rPr>
        <w:t xml:space="preserve">alculated by dividing a company's net income </w:t>
      </w:r>
      <w:r w:rsidR="006A7885">
        <w:rPr>
          <w:rFonts w:eastAsia="Calibri" w:cs="Calibri"/>
          <w:sz w:val="28"/>
          <w:szCs w:val="28"/>
          <w:u w:color="000000"/>
          <w:bdr w:val="nil"/>
          <w:lang w:val="en-US" w:eastAsia="en-US"/>
        </w:rPr>
        <w:t>for</w:t>
      </w:r>
      <w:r w:rsidRPr="002A7A75">
        <w:rPr>
          <w:rFonts w:eastAsia="Calibri" w:cs="Calibri"/>
          <w:sz w:val="28"/>
          <w:szCs w:val="28"/>
          <w:u w:color="000000"/>
          <w:bdr w:val="nil"/>
          <w:lang w:val="en-US" w:eastAsia="en-US"/>
        </w:rPr>
        <w:t xml:space="preserve"> a year to its stockholders' equity during that year and </w:t>
      </w:r>
      <w:r w:rsidR="006A7885">
        <w:rPr>
          <w:rFonts w:eastAsia="Calibri" w:cs="Calibri"/>
          <w:sz w:val="28"/>
          <w:szCs w:val="28"/>
          <w:u w:color="000000"/>
          <w:bdr w:val="nil"/>
          <w:lang w:val="en-US" w:eastAsia="en-US"/>
        </w:rPr>
        <w:t xml:space="preserve">is </w:t>
      </w:r>
      <w:r w:rsidRPr="002A7A75">
        <w:rPr>
          <w:rFonts w:eastAsia="Calibri" w:cs="Calibri"/>
          <w:sz w:val="28"/>
          <w:szCs w:val="28"/>
          <w:u w:color="000000"/>
          <w:bdr w:val="nil"/>
          <w:lang w:val="en-US" w:eastAsia="en-US"/>
        </w:rPr>
        <w:t xml:space="preserve">usually expressed in percentage. </w:t>
      </w:r>
      <w:r w:rsidRPr="002A7A75">
        <w:rPr>
          <w:rFonts w:eastAsia="Calibri" w:cs="Calibri"/>
          <w:b/>
          <w:bCs/>
          <w:sz w:val="28"/>
          <w:szCs w:val="28"/>
          <w:u w:color="000000"/>
          <w:bdr w:val="nil"/>
          <w:lang w:val="en-US" w:eastAsia="en-US"/>
        </w:rPr>
        <w:t>Higher ROE</w:t>
      </w:r>
      <w:r w:rsidRPr="002A7A75">
        <w:rPr>
          <w:rFonts w:eastAsia="Calibri" w:cs="Calibri"/>
          <w:sz w:val="28"/>
          <w:szCs w:val="28"/>
          <w:u w:color="000000"/>
          <w:bdr w:val="nil"/>
          <w:lang w:val="en-US" w:eastAsia="en-US"/>
        </w:rPr>
        <w:t xml:space="preserve"> means a higher return on shareholders’ investment. Investors search for the highest return on their investment and a company that has highest ROE in the industry attracts more investors.</w:t>
      </w:r>
    </w:p>
    <w:p w14:paraId="2A84B3B3"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lastRenderedPageBreak/>
        <w:t xml:space="preserve">3. </w:t>
      </w:r>
      <w:r w:rsidRPr="002A7A75">
        <w:rPr>
          <w:rFonts w:eastAsia="Calibri" w:cs="Calibri"/>
          <w:b/>
          <w:bCs/>
          <w:sz w:val="28"/>
          <w:szCs w:val="28"/>
          <w:u w:color="000000"/>
          <w:bdr w:val="nil"/>
          <w:lang w:val="en-US" w:eastAsia="en-US"/>
        </w:rPr>
        <w:t>Return on invested capital (ROIC)</w:t>
      </w:r>
      <w:r w:rsidRPr="002A7A75">
        <w:rPr>
          <w:rFonts w:eastAsia="Calibri" w:cs="Calibri"/>
          <w:sz w:val="28"/>
          <w:szCs w:val="28"/>
          <w:u w:color="000000"/>
          <w:bdr w:val="nil"/>
          <w:lang w:val="en-US" w:eastAsia="en-US"/>
        </w:rPr>
        <w:t xml:space="preserve"> measures the return that investment generates for stockholders who have provided capital. It indicates company’s management efficiency at turning capital into profits.</w:t>
      </w:r>
    </w:p>
    <w:p w14:paraId="3FEEB032"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4. </w:t>
      </w:r>
      <w:r w:rsidRPr="002A7A75">
        <w:rPr>
          <w:rFonts w:eastAsia="Calibri" w:cs="Calibri"/>
          <w:b/>
          <w:bCs/>
          <w:sz w:val="28"/>
          <w:szCs w:val="28"/>
          <w:u w:color="000000"/>
          <w:bdr w:val="nil"/>
          <w:lang w:val="en-US" w:eastAsia="en-US"/>
        </w:rPr>
        <w:t xml:space="preserve">Return on sales (ROS) </w:t>
      </w:r>
      <w:r w:rsidRPr="002A7A75">
        <w:rPr>
          <w:rFonts w:eastAsia="Calibri" w:cs="Calibri"/>
          <w:sz w:val="28"/>
          <w:szCs w:val="28"/>
          <w:u w:color="000000"/>
          <w:bdr w:val="nil"/>
          <w:lang w:val="en-US" w:eastAsia="en-US"/>
        </w:rPr>
        <w:t xml:space="preserve">(also referred as </w:t>
      </w:r>
      <w:r w:rsidRPr="002A7A75">
        <w:rPr>
          <w:rFonts w:eastAsia="Calibri" w:cs="Calibri"/>
          <w:b/>
          <w:bCs/>
          <w:sz w:val="28"/>
          <w:szCs w:val="28"/>
          <w:u w:color="000000"/>
          <w:bdr w:val="nil"/>
          <w:lang w:val="en-US" w:eastAsia="en-US"/>
        </w:rPr>
        <w:t>net profit (NP) margin</w:t>
      </w:r>
      <w:r w:rsidRPr="002A7A75">
        <w:rPr>
          <w:rFonts w:eastAsia="Calibri" w:cs="Calibri"/>
          <w:sz w:val="28"/>
          <w:szCs w:val="28"/>
          <w:u w:color="000000"/>
          <w:bdr w:val="nil"/>
          <w:lang w:val="en-US" w:eastAsia="en-US"/>
        </w:rPr>
        <w:t>) measures the percentage of the company’s net income to its net sales. It represents the proportion of sales that is le</w:t>
      </w:r>
      <w:r w:rsidR="00505A1C">
        <w:rPr>
          <w:rFonts w:eastAsia="Calibri" w:cs="Calibri"/>
          <w:sz w:val="28"/>
          <w:szCs w:val="28"/>
          <w:u w:color="000000"/>
          <w:bdr w:val="nil"/>
          <w:lang w:val="en-US" w:eastAsia="en-US"/>
        </w:rPr>
        <w:t>ft over after all</w:t>
      </w:r>
      <w:r w:rsidRPr="002A7A75">
        <w:rPr>
          <w:rFonts w:eastAsia="Calibri" w:cs="Calibri"/>
          <w:sz w:val="28"/>
          <w:szCs w:val="28"/>
          <w:u w:color="000000"/>
          <w:bdr w:val="nil"/>
          <w:lang w:val="en-US" w:eastAsia="en-US"/>
        </w:rPr>
        <w:t xml:space="preserve"> relevant expenses have been adjusted. Net profit margin is used to compare the profitability of competitors in the same industry or profitability potential of different industries. Influenced by different factors companies in some industries are able to generate high net profit margin, other industries offer very narrow margins.</w:t>
      </w:r>
    </w:p>
    <w:p w14:paraId="42EA43A8"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5. </w:t>
      </w:r>
      <w:r w:rsidRPr="002A7A75">
        <w:rPr>
          <w:rFonts w:eastAsia="Calibri" w:cs="Calibri"/>
          <w:b/>
          <w:bCs/>
          <w:sz w:val="28"/>
          <w:szCs w:val="28"/>
          <w:u w:color="000000"/>
          <w:bdr w:val="nil"/>
          <w:lang w:val="en-US" w:eastAsia="en-US"/>
        </w:rPr>
        <w:t>Gross profit (GP) margin</w:t>
      </w:r>
      <w:r w:rsidRPr="002A7A75">
        <w:rPr>
          <w:rFonts w:eastAsia="Calibri" w:cs="Calibri"/>
          <w:sz w:val="28"/>
          <w:szCs w:val="28"/>
          <w:u w:color="000000"/>
          <w:bdr w:val="nil"/>
          <w:lang w:val="en-US" w:eastAsia="en-US"/>
        </w:rPr>
        <w:t xml:space="preserve"> measures company's ability to make </w:t>
      </w:r>
      <w:r w:rsidR="006A7885" w:rsidRPr="002A7A75">
        <w:rPr>
          <w:rFonts w:eastAsia="Calibri" w:cs="Calibri"/>
          <w:sz w:val="28"/>
          <w:szCs w:val="28"/>
          <w:u w:color="000000"/>
          <w:bdr w:val="nil"/>
          <w:lang w:val="en-US" w:eastAsia="en-US"/>
        </w:rPr>
        <w:t xml:space="preserve">profitably </w:t>
      </w:r>
      <w:r w:rsidRPr="002A7A75">
        <w:rPr>
          <w:rFonts w:eastAsia="Calibri" w:cs="Calibri"/>
          <w:sz w:val="28"/>
          <w:szCs w:val="28"/>
          <w:u w:color="000000"/>
          <w:bdr w:val="nil"/>
          <w:lang w:val="en-US" w:eastAsia="en-US"/>
        </w:rPr>
        <w:t xml:space="preserve">a product or supply a service by comparing the gross profit and total net sales revenue. It is a popular tool to evaluate if a company sufficient to cover all expenses and provide for profit. Generally, a </w:t>
      </w:r>
      <w:r w:rsidRPr="002A7A75">
        <w:rPr>
          <w:rFonts w:eastAsia="Calibri" w:cs="Calibri"/>
          <w:b/>
          <w:bCs/>
          <w:sz w:val="28"/>
          <w:szCs w:val="28"/>
          <w:u w:color="000000"/>
          <w:bdr w:val="nil"/>
          <w:lang w:val="en-US" w:eastAsia="en-US"/>
        </w:rPr>
        <w:t>higher ratio</w:t>
      </w:r>
      <w:r w:rsidRPr="002A7A75">
        <w:rPr>
          <w:rFonts w:eastAsia="Calibri" w:cs="Calibri"/>
          <w:sz w:val="28"/>
          <w:szCs w:val="28"/>
          <w:u w:color="000000"/>
          <w:bdr w:val="nil"/>
          <w:lang w:val="en-US" w:eastAsia="en-US"/>
        </w:rPr>
        <w:t xml:space="preserve"> is considered better.</w:t>
      </w:r>
    </w:p>
    <w:p w14:paraId="3032678A"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6.</w:t>
      </w:r>
      <w:r w:rsidRPr="002A7A75">
        <w:rPr>
          <w:rFonts w:eastAsia="Calibri" w:cs="Calibri"/>
          <w:b/>
          <w:bCs/>
          <w:sz w:val="28"/>
          <w:szCs w:val="28"/>
          <w:u w:color="000000"/>
          <w:bdr w:val="nil"/>
          <w:lang w:val="en-US" w:eastAsia="en-US"/>
        </w:rPr>
        <w:t xml:space="preserve"> Expense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an expense to sales ratio</w:t>
      </w:r>
      <w:r w:rsidRPr="002A7A75">
        <w:rPr>
          <w:rFonts w:eastAsia="Calibri" w:cs="Calibri"/>
          <w:sz w:val="28"/>
          <w:szCs w:val="28"/>
          <w:u w:color="000000"/>
          <w:bdr w:val="nil"/>
          <w:lang w:val="en-US" w:eastAsia="en-US"/>
        </w:rPr>
        <w:t xml:space="preserve">) defines the relationship between an individual expense or group of expenses (such as administrative expenses, sales expenses, the cost of goods sold) and sales. The expense ratio is expressed in percentage. A </w:t>
      </w:r>
      <w:r w:rsidRPr="002A7A75">
        <w:rPr>
          <w:rFonts w:eastAsia="Calibri" w:cs="Calibri"/>
          <w:b/>
          <w:bCs/>
          <w:sz w:val="28"/>
          <w:szCs w:val="28"/>
          <w:u w:color="000000"/>
          <w:bdr w:val="nil"/>
          <w:lang w:val="en-US" w:eastAsia="en-US"/>
        </w:rPr>
        <w:t>lower ratio</w:t>
      </w:r>
      <w:r w:rsidRPr="002A7A75">
        <w:rPr>
          <w:rFonts w:eastAsia="Calibri" w:cs="Calibri"/>
          <w:sz w:val="28"/>
          <w:szCs w:val="28"/>
          <w:u w:color="000000"/>
          <w:bdr w:val="nil"/>
          <w:lang w:val="en-US" w:eastAsia="en-US"/>
        </w:rPr>
        <w:t xml:space="preserve"> means more profitability and a </w:t>
      </w:r>
      <w:r w:rsidRPr="002A7A75">
        <w:rPr>
          <w:rFonts w:eastAsia="Calibri" w:cs="Calibri"/>
          <w:b/>
          <w:bCs/>
          <w:sz w:val="28"/>
          <w:szCs w:val="28"/>
          <w:u w:color="000000"/>
          <w:bdr w:val="nil"/>
          <w:lang w:val="en-US" w:eastAsia="en-US"/>
        </w:rPr>
        <w:t>higher ratio</w:t>
      </w:r>
      <w:r w:rsidRPr="002A7A75">
        <w:rPr>
          <w:rFonts w:eastAsia="Calibri" w:cs="Calibri"/>
          <w:sz w:val="28"/>
          <w:szCs w:val="28"/>
          <w:u w:color="000000"/>
          <w:bdr w:val="nil"/>
          <w:lang w:val="en-US" w:eastAsia="en-US"/>
        </w:rPr>
        <w:t xml:space="preserve"> mean less profitability. </w:t>
      </w:r>
    </w:p>
    <w:p w14:paraId="18BAD501"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7. </w:t>
      </w:r>
      <w:r w:rsidRPr="002A7A75">
        <w:rPr>
          <w:rFonts w:eastAsia="Calibri" w:cs="Calibri"/>
          <w:b/>
          <w:bCs/>
          <w:sz w:val="28"/>
          <w:szCs w:val="28"/>
          <w:u w:color="000000"/>
          <w:bdr w:val="nil"/>
          <w:lang w:val="en-US" w:eastAsia="en-US"/>
        </w:rPr>
        <w:t>Operating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operating expense ratio (OER)</w:t>
      </w:r>
      <w:r w:rsidRPr="002A7A75">
        <w:rPr>
          <w:rFonts w:eastAsia="Calibri" w:cs="Calibri"/>
          <w:sz w:val="28"/>
          <w:szCs w:val="28"/>
          <w:u w:color="000000"/>
          <w:bdr w:val="nil"/>
          <w:lang w:val="en-US" w:eastAsia="en-US"/>
        </w:rPr>
        <w:t xml:space="preserve">) is computed by dividing operating expenses by net sales. It shows whether the cost component in the sales figure is within normal range. A </w:t>
      </w:r>
      <w:r w:rsidRPr="002A7A75">
        <w:rPr>
          <w:rFonts w:eastAsia="Calibri" w:cs="Calibri"/>
          <w:b/>
          <w:bCs/>
          <w:sz w:val="28"/>
          <w:szCs w:val="28"/>
          <w:u w:color="000000"/>
          <w:bdr w:val="nil"/>
          <w:lang w:val="en-US" w:eastAsia="en-US"/>
        </w:rPr>
        <w:t>low operating ratio</w:t>
      </w:r>
      <w:r w:rsidRPr="002A7A75">
        <w:rPr>
          <w:rFonts w:eastAsia="Calibri" w:cs="Calibri"/>
          <w:sz w:val="28"/>
          <w:szCs w:val="28"/>
          <w:u w:color="000000"/>
          <w:bdr w:val="nil"/>
          <w:lang w:val="en-US" w:eastAsia="en-US"/>
        </w:rPr>
        <w:t xml:space="preserve"> means high net profit ratio i.</w:t>
      </w:r>
      <w:r w:rsidR="006A7885">
        <w:rPr>
          <w:rFonts w:eastAsia="Calibri" w:cs="Calibri"/>
          <w:sz w:val="28"/>
          <w:szCs w:val="28"/>
          <w:u w:color="000000"/>
          <w:bdr w:val="nil"/>
          <w:lang w:val="en-US" w:eastAsia="en-US"/>
        </w:rPr>
        <w:t xml:space="preserve"> </w:t>
      </w:r>
      <w:r w:rsidRPr="002A7A75">
        <w:rPr>
          <w:rFonts w:eastAsia="Calibri" w:cs="Calibri"/>
          <w:sz w:val="28"/>
          <w:szCs w:val="28"/>
          <w:u w:color="000000"/>
          <w:bdr w:val="nil"/>
          <w:lang w:val="en-US" w:eastAsia="en-US"/>
        </w:rPr>
        <w:t>e., more operating profit, thus indicat</w:t>
      </w:r>
      <w:r w:rsidR="006A7885">
        <w:rPr>
          <w:rFonts w:eastAsia="Calibri" w:cs="Calibri"/>
          <w:sz w:val="28"/>
          <w:szCs w:val="28"/>
          <w:u w:color="000000"/>
          <w:bdr w:val="nil"/>
          <w:lang w:val="en-US" w:eastAsia="en-US"/>
        </w:rPr>
        <w:t>ing</w:t>
      </w:r>
      <w:r w:rsidRPr="002A7A75">
        <w:rPr>
          <w:rFonts w:eastAsia="Calibri" w:cs="Calibri"/>
          <w:sz w:val="28"/>
          <w:szCs w:val="28"/>
          <w:u w:color="000000"/>
          <w:bdr w:val="nil"/>
          <w:lang w:val="en-US" w:eastAsia="en-US"/>
        </w:rPr>
        <w:t xml:space="preserve"> company’s operational efficiency.</w:t>
      </w:r>
    </w:p>
    <w:p w14:paraId="528A3FDC"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t>Activity ratios</w:t>
      </w:r>
      <w:r w:rsidRPr="002A7A75">
        <w:rPr>
          <w:rFonts w:eastAsia="Calibri" w:cs="Calibri"/>
          <w:sz w:val="28"/>
          <w:szCs w:val="28"/>
          <w:u w:color="000000"/>
          <w:bdr w:val="nil"/>
          <w:lang w:val="en-US" w:eastAsia="en-US"/>
        </w:rPr>
        <w:t xml:space="preserve"> assess the efficiency of the company in generating revenues and profits by converting its production into cash or sales. These ratios attempt to find out how frequently the inventories (and other assets) are converted into cash or sales and, therefore, are frequently used in conjunction with liquidity ratios for a deep analysis of liquidity. </w:t>
      </w:r>
      <w:r w:rsidRPr="002A7A75">
        <w:rPr>
          <w:rFonts w:eastAsia="Calibri" w:cs="Calibri"/>
          <w:b/>
          <w:bCs/>
          <w:sz w:val="28"/>
          <w:szCs w:val="28"/>
          <w:u w:color="000000"/>
          <w:bdr w:val="nil"/>
          <w:lang w:val="en-US" w:eastAsia="en-US"/>
        </w:rPr>
        <w:t>Key activity ratios</w:t>
      </w:r>
      <w:r w:rsidRPr="002A7A75">
        <w:rPr>
          <w:rFonts w:eastAsia="Calibri" w:cs="Calibri"/>
          <w:sz w:val="28"/>
          <w:szCs w:val="28"/>
          <w:u w:color="000000"/>
          <w:bdr w:val="nil"/>
          <w:lang w:val="en-US" w:eastAsia="en-US"/>
        </w:rPr>
        <w:t xml:space="preserve"> are:</w:t>
      </w:r>
    </w:p>
    <w:p w14:paraId="1CC0B31D"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1. </w:t>
      </w:r>
      <w:r w:rsidRPr="002A7A75">
        <w:rPr>
          <w:rFonts w:eastAsia="Calibri" w:cs="Calibri"/>
          <w:b/>
          <w:bCs/>
          <w:sz w:val="28"/>
          <w:szCs w:val="28"/>
          <w:u w:color="000000"/>
          <w:bdr w:val="nil"/>
          <w:lang w:val="en-US" w:eastAsia="en-US"/>
        </w:rPr>
        <w:t>Asset turnover ratio</w:t>
      </w:r>
      <w:r w:rsidRPr="002A7A75">
        <w:rPr>
          <w:rFonts w:eastAsia="Calibri" w:cs="Calibri"/>
          <w:sz w:val="28"/>
          <w:szCs w:val="28"/>
          <w:u w:color="000000"/>
          <w:bdr w:val="nil"/>
          <w:lang w:val="en-US" w:eastAsia="en-US"/>
        </w:rPr>
        <w:t xml:space="preserve"> measure</w:t>
      </w:r>
      <w:r w:rsidR="006A7885">
        <w:rPr>
          <w:rFonts w:eastAsia="Calibri" w:cs="Calibri"/>
          <w:sz w:val="28"/>
          <w:szCs w:val="28"/>
          <w:u w:color="000000"/>
          <w:bdr w:val="nil"/>
          <w:lang w:val="en-US" w:eastAsia="en-US"/>
        </w:rPr>
        <w:t>s</w:t>
      </w:r>
      <w:r w:rsidRPr="002A7A75">
        <w:rPr>
          <w:rFonts w:eastAsia="Calibri" w:cs="Calibri"/>
          <w:sz w:val="28"/>
          <w:szCs w:val="28"/>
          <w:u w:color="000000"/>
          <w:bdr w:val="nil"/>
          <w:lang w:val="en-US" w:eastAsia="en-US"/>
        </w:rPr>
        <w:t xml:space="preserve"> of management's ability to use assets to produce sales.  It measures a number of sales (revenues) generated per hryvnia of assets for a given period. A </w:t>
      </w:r>
      <w:r w:rsidRPr="002A7A75">
        <w:rPr>
          <w:rFonts w:eastAsia="Calibri" w:cs="Calibri"/>
          <w:b/>
          <w:bCs/>
          <w:sz w:val="28"/>
          <w:szCs w:val="28"/>
          <w:u w:color="000000"/>
          <w:bdr w:val="nil"/>
          <w:lang w:val="en-US" w:eastAsia="en-US"/>
        </w:rPr>
        <w:t>higher value of asset turnover ratio</w:t>
      </w:r>
      <w:r w:rsidRPr="002A7A75">
        <w:rPr>
          <w:rFonts w:eastAsia="Calibri" w:cs="Calibri"/>
          <w:sz w:val="28"/>
          <w:szCs w:val="28"/>
          <w:u w:color="000000"/>
          <w:bdr w:val="nil"/>
          <w:lang w:val="en-US" w:eastAsia="en-US"/>
        </w:rPr>
        <w:t xml:space="preserve"> suggests that company’s management is making better use of its resources, which could</w:t>
      </w:r>
      <w:r w:rsidR="006A7885">
        <w:rPr>
          <w:rFonts w:eastAsia="Calibri" w:cs="Calibri"/>
          <w:sz w:val="28"/>
          <w:szCs w:val="28"/>
          <w:u w:color="000000"/>
          <w:bdr w:val="nil"/>
          <w:lang w:val="en-US" w:eastAsia="en-US"/>
        </w:rPr>
        <w:t xml:space="preserve"> be</w:t>
      </w:r>
      <w:r w:rsidRPr="002A7A75">
        <w:rPr>
          <w:rFonts w:eastAsia="Calibri" w:cs="Calibri"/>
          <w:sz w:val="28"/>
          <w:szCs w:val="28"/>
          <w:u w:color="000000"/>
          <w:bdr w:val="nil"/>
          <w:lang w:val="en-US" w:eastAsia="en-US"/>
        </w:rPr>
        <w:t xml:space="preserve"> translate</w:t>
      </w:r>
      <w:r w:rsidR="006A7885">
        <w:rPr>
          <w:rFonts w:eastAsia="Calibri" w:cs="Calibri"/>
          <w:sz w:val="28"/>
          <w:szCs w:val="28"/>
          <w:u w:color="000000"/>
          <w:bdr w:val="nil"/>
          <w:lang w:val="en-US" w:eastAsia="en-US"/>
        </w:rPr>
        <w:t>d</w:t>
      </w:r>
      <w:r w:rsidRPr="002A7A75">
        <w:rPr>
          <w:rFonts w:eastAsia="Calibri" w:cs="Calibri"/>
          <w:sz w:val="28"/>
          <w:szCs w:val="28"/>
          <w:u w:color="000000"/>
          <w:bdr w:val="nil"/>
          <w:lang w:val="en-US" w:eastAsia="en-US"/>
        </w:rPr>
        <w:t xml:space="preserve"> into a higher rate of return on total assets, and vice versa.</w:t>
      </w:r>
    </w:p>
    <w:p w14:paraId="27A4315C"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lastRenderedPageBreak/>
        <w:t xml:space="preserve">2. </w:t>
      </w:r>
      <w:r w:rsidRPr="002A7A75">
        <w:rPr>
          <w:rFonts w:eastAsia="Calibri" w:cs="Calibri"/>
          <w:b/>
          <w:bCs/>
          <w:sz w:val="28"/>
          <w:szCs w:val="28"/>
          <w:u w:color="000000"/>
          <w:bdr w:val="nil"/>
          <w:lang w:val="en-US" w:eastAsia="en-US"/>
        </w:rPr>
        <w:t>A fixed asset turnover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sales to fixed assets ratio</w:t>
      </w:r>
      <w:r w:rsidRPr="002A7A75">
        <w:rPr>
          <w:rFonts w:eastAsia="Calibri" w:cs="Calibri"/>
          <w:sz w:val="28"/>
          <w:szCs w:val="28"/>
          <w:u w:color="000000"/>
          <w:bdr w:val="nil"/>
          <w:lang w:val="en-US" w:eastAsia="en-US"/>
        </w:rPr>
        <w:t>) measure</w:t>
      </w:r>
      <w:r w:rsidR="006A7885">
        <w:rPr>
          <w:rFonts w:eastAsia="Calibri" w:cs="Calibri"/>
          <w:sz w:val="28"/>
          <w:szCs w:val="28"/>
          <w:u w:color="000000"/>
          <w:bdr w:val="nil"/>
          <w:lang w:val="en-US" w:eastAsia="en-US"/>
        </w:rPr>
        <w:t>s</w:t>
      </w:r>
      <w:r w:rsidRPr="002A7A75">
        <w:rPr>
          <w:rFonts w:eastAsia="Calibri" w:cs="Calibri"/>
          <w:sz w:val="28"/>
          <w:szCs w:val="28"/>
          <w:u w:color="000000"/>
          <w:bdr w:val="nil"/>
          <w:lang w:val="en-US" w:eastAsia="en-US"/>
        </w:rPr>
        <w:t xml:space="preserve"> of management's ability to fixed assets to generate its sales revenue. It indicates fixed asset utilization measure that allows </w:t>
      </w:r>
      <w:r w:rsidR="006A7885">
        <w:rPr>
          <w:rFonts w:eastAsia="Calibri" w:cs="Calibri"/>
          <w:sz w:val="28"/>
          <w:szCs w:val="28"/>
          <w:u w:color="000000"/>
          <w:bdr w:val="nil"/>
          <w:lang w:val="en-US" w:eastAsia="en-US"/>
        </w:rPr>
        <w:t xml:space="preserve">to </w:t>
      </w:r>
      <w:r w:rsidRPr="002A7A75">
        <w:rPr>
          <w:rFonts w:eastAsia="Calibri" w:cs="Calibri"/>
          <w:sz w:val="28"/>
          <w:szCs w:val="28"/>
          <w:u w:color="000000"/>
          <w:bdr w:val="nil"/>
          <w:lang w:val="en-US" w:eastAsia="en-US"/>
        </w:rPr>
        <w:t>understand</w:t>
      </w:r>
      <w:r w:rsidR="006A7885">
        <w:rPr>
          <w:rFonts w:eastAsia="Calibri" w:cs="Calibri"/>
          <w:sz w:val="28"/>
          <w:szCs w:val="28"/>
          <w:u w:color="000000"/>
          <w:bdr w:val="nil"/>
          <w:lang w:val="en-US" w:eastAsia="en-US"/>
        </w:rPr>
        <w:t xml:space="preserve"> whether </w:t>
      </w:r>
      <w:r w:rsidRPr="002A7A75">
        <w:rPr>
          <w:rFonts w:eastAsia="Calibri" w:cs="Calibri"/>
          <w:sz w:val="28"/>
          <w:szCs w:val="28"/>
          <w:u w:color="000000"/>
          <w:bdr w:val="nil"/>
          <w:lang w:val="en-US" w:eastAsia="en-US"/>
        </w:rPr>
        <w:t>a company requires a large investment in property, plant, and equipment in order to generate sales revenues. Companies with fixed asset turnover ratios that are higher than their industry average, or have ratios that increase over time, are desirable.</w:t>
      </w:r>
    </w:p>
    <w:p w14:paraId="61065762"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3. </w:t>
      </w:r>
      <w:r w:rsidRPr="002A7A75">
        <w:rPr>
          <w:rFonts w:eastAsia="Calibri" w:cs="Calibri"/>
          <w:b/>
          <w:bCs/>
          <w:sz w:val="28"/>
          <w:szCs w:val="28"/>
          <w:u w:color="000000"/>
          <w:bdr w:val="nil"/>
          <w:lang w:val="en-US" w:eastAsia="en-US"/>
        </w:rPr>
        <w:t>Inventory turnover ratio</w:t>
      </w:r>
      <w:r w:rsidRPr="002A7A75">
        <w:rPr>
          <w:rFonts w:eastAsia="Calibri" w:cs="Calibri"/>
          <w:sz w:val="28"/>
          <w:szCs w:val="28"/>
          <w:u w:color="000000"/>
          <w:bdr w:val="nil"/>
          <w:lang w:val="en-US" w:eastAsia="en-US"/>
        </w:rPr>
        <w:t xml:space="preserve"> measures the number of times per period company sells and replaces its entire batch of inventories during a certain period of time. It evaluates the liquidity of the company’s inventories. Dividing the cost of goods sold during a period (which equals  the total cost of inventories sold) by the cost of average inventories balance maintained by company gives hryvnias of sales made per hryvnia of cash tied up in inventories.</w:t>
      </w:r>
    </w:p>
    <w:p w14:paraId="4B5336F3"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Inventory turnover ratio varies significantly among industries. Businesses which trade perishable goods have very higher turnover compared to those dealing in durables. Hence, a comparison should be done between companies in the same industry or over time (trend analysis). In general, a </w:t>
      </w:r>
      <w:r w:rsidRPr="002A7A75">
        <w:rPr>
          <w:rFonts w:eastAsia="Calibri" w:cs="Calibri"/>
          <w:b/>
          <w:bCs/>
          <w:sz w:val="28"/>
          <w:szCs w:val="28"/>
          <w:u w:color="000000"/>
          <w:bdr w:val="nil"/>
          <w:lang w:val="en-US" w:eastAsia="en-US"/>
        </w:rPr>
        <w:t>high inventory turnover ratio</w:t>
      </w:r>
      <w:r w:rsidRPr="002A7A75">
        <w:rPr>
          <w:rFonts w:eastAsia="Calibri" w:cs="Calibri"/>
          <w:sz w:val="28"/>
          <w:szCs w:val="28"/>
          <w:u w:color="000000"/>
          <w:bdr w:val="nil"/>
          <w:lang w:val="en-US" w:eastAsia="en-US"/>
        </w:rPr>
        <w:t xml:space="preserve"> indicates efficient inventories management. A </w:t>
      </w:r>
      <w:r w:rsidRPr="002A7A75">
        <w:rPr>
          <w:rFonts w:eastAsia="Calibri" w:cs="Calibri"/>
          <w:b/>
          <w:bCs/>
          <w:sz w:val="28"/>
          <w:szCs w:val="28"/>
          <w:u w:color="000000"/>
          <w:bdr w:val="nil"/>
          <w:lang w:val="en-US" w:eastAsia="en-US"/>
        </w:rPr>
        <w:t>low inventory turnover ratio i</w:t>
      </w:r>
      <w:r w:rsidRPr="002A7A75">
        <w:rPr>
          <w:rFonts w:eastAsia="Calibri" w:cs="Calibri"/>
          <w:sz w:val="28"/>
          <w:szCs w:val="28"/>
          <w:u w:color="000000"/>
          <w:bdr w:val="nil"/>
          <w:lang w:val="en-US" w:eastAsia="en-US"/>
        </w:rPr>
        <w:t>ndicates slow moving or obsolete inventories in stock and may also be the result of slow-down in demand or overstocking of inventories.</w:t>
      </w:r>
    </w:p>
    <w:p w14:paraId="526FD4C7"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4. </w:t>
      </w:r>
      <w:r w:rsidRPr="002A7A75">
        <w:rPr>
          <w:rFonts w:eastAsia="Calibri" w:cs="Calibri"/>
          <w:b/>
          <w:bCs/>
          <w:sz w:val="28"/>
          <w:szCs w:val="28"/>
          <w:u w:color="000000"/>
          <w:bdr w:val="nil"/>
          <w:lang w:val="en-US" w:eastAsia="en-US"/>
        </w:rPr>
        <w:t>Days inventories outstanding</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DIO</w:t>
      </w:r>
      <w:r w:rsidRPr="002A7A75">
        <w:rPr>
          <w:rFonts w:eastAsia="Calibri" w:cs="Calibri"/>
          <w:sz w:val="28"/>
          <w:szCs w:val="28"/>
          <w:u w:color="000000"/>
          <w:bdr w:val="nil"/>
          <w:lang w:val="en-US" w:eastAsia="en-US"/>
        </w:rPr>
        <w:t xml:space="preserve"> or </w:t>
      </w:r>
      <w:r w:rsidRPr="002A7A75">
        <w:rPr>
          <w:rFonts w:eastAsia="Calibri" w:cs="Calibri"/>
          <w:b/>
          <w:bCs/>
          <w:sz w:val="28"/>
          <w:szCs w:val="28"/>
          <w:u w:color="000000"/>
          <w:bdr w:val="nil"/>
          <w:lang w:val="en-US" w:eastAsia="en-US"/>
        </w:rPr>
        <w:t>days' sales in inventory</w:t>
      </w:r>
      <w:r w:rsidRPr="002A7A75">
        <w:rPr>
          <w:rFonts w:eastAsia="Calibri" w:cs="Calibri"/>
          <w:sz w:val="28"/>
          <w:szCs w:val="28"/>
          <w:u w:color="000000"/>
          <w:bdr w:val="nil"/>
          <w:lang w:val="en-US" w:eastAsia="en-US"/>
        </w:rPr>
        <w:t xml:space="preserve"> or simply </w:t>
      </w:r>
      <w:r w:rsidRPr="002A7A75">
        <w:rPr>
          <w:rFonts w:eastAsia="Calibri" w:cs="Calibri"/>
          <w:b/>
          <w:bCs/>
          <w:sz w:val="28"/>
          <w:szCs w:val="28"/>
          <w:u w:color="000000"/>
          <w:bdr w:val="nil"/>
          <w:lang w:val="en-US" w:eastAsia="en-US"/>
        </w:rPr>
        <w:t>days of inventory</w:t>
      </w:r>
      <w:r w:rsidRPr="002A7A75">
        <w:rPr>
          <w:rFonts w:eastAsia="Calibri" w:cs="Calibri"/>
          <w:sz w:val="28"/>
          <w:szCs w:val="28"/>
          <w:u w:color="000000"/>
          <w:bdr w:val="nil"/>
          <w:lang w:val="en-US" w:eastAsia="en-US"/>
        </w:rPr>
        <w:t xml:space="preserve">) measures the number of days a company takes to sell its average balance of inventory. It is also an estimate of the number of days for which the average balance of inventory will be sufficient. </w:t>
      </w:r>
      <w:r w:rsidRPr="002A7A75">
        <w:rPr>
          <w:rFonts w:eastAsia="Calibri" w:cs="Calibri"/>
          <w:b/>
          <w:bCs/>
          <w:sz w:val="28"/>
          <w:szCs w:val="28"/>
          <w:u w:color="000000"/>
          <w:bdr w:val="nil"/>
          <w:lang w:val="en-US" w:eastAsia="en-US"/>
        </w:rPr>
        <w:t>Lower values of DIO</w:t>
      </w:r>
      <w:r w:rsidRPr="002A7A75">
        <w:rPr>
          <w:rFonts w:eastAsia="Calibri" w:cs="Calibri"/>
          <w:sz w:val="28"/>
          <w:szCs w:val="28"/>
          <w:u w:color="000000"/>
          <w:bdr w:val="nil"/>
          <w:lang w:val="en-US" w:eastAsia="en-US"/>
        </w:rPr>
        <w:t xml:space="preserve"> are generally favorable and </w:t>
      </w:r>
      <w:r w:rsidRPr="002A7A75">
        <w:rPr>
          <w:rFonts w:eastAsia="Calibri" w:cs="Calibri"/>
          <w:b/>
          <w:bCs/>
          <w:sz w:val="28"/>
          <w:szCs w:val="28"/>
          <w:u w:color="000000"/>
          <w:bdr w:val="nil"/>
          <w:lang w:val="en-US" w:eastAsia="en-US"/>
        </w:rPr>
        <w:t>higher values</w:t>
      </w:r>
      <w:r w:rsidRPr="002A7A75">
        <w:rPr>
          <w:rFonts w:eastAsia="Calibri" w:cs="Calibri"/>
          <w:sz w:val="28"/>
          <w:szCs w:val="28"/>
          <w:u w:color="000000"/>
          <w:bdr w:val="nil"/>
          <w:lang w:val="en-US" w:eastAsia="en-US"/>
        </w:rPr>
        <w:t xml:space="preserve"> are unfavorable.</w:t>
      </w:r>
    </w:p>
    <w:p w14:paraId="2742C198"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5. </w:t>
      </w:r>
      <w:r w:rsidRPr="002A7A75">
        <w:rPr>
          <w:rFonts w:eastAsia="Calibri" w:cs="Calibri"/>
          <w:b/>
          <w:bCs/>
          <w:sz w:val="28"/>
          <w:szCs w:val="28"/>
          <w:u w:color="000000"/>
          <w:bdr w:val="nil"/>
          <w:lang w:val="en-US" w:eastAsia="en-US"/>
        </w:rPr>
        <w:t>Accounts payable turnover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creditors’ turnover ratio</w:t>
      </w:r>
      <w:r w:rsidRPr="002A7A75">
        <w:rPr>
          <w:rFonts w:eastAsia="Calibri" w:cs="Calibri"/>
          <w:sz w:val="28"/>
          <w:szCs w:val="28"/>
          <w:u w:color="000000"/>
          <w:bdr w:val="nil"/>
          <w:lang w:val="en-US" w:eastAsia="en-US"/>
        </w:rPr>
        <w:t xml:space="preserve"> or </w:t>
      </w:r>
      <w:r w:rsidRPr="002A7A75">
        <w:rPr>
          <w:rFonts w:eastAsia="Calibri" w:cs="Calibri"/>
          <w:b/>
          <w:bCs/>
          <w:sz w:val="28"/>
          <w:szCs w:val="28"/>
          <w:u w:color="000000"/>
          <w:bdr w:val="nil"/>
          <w:lang w:val="en-US" w:eastAsia="en-US"/>
        </w:rPr>
        <w:t>creditors’ velocity</w:t>
      </w:r>
      <w:r w:rsidRPr="002A7A75">
        <w:rPr>
          <w:rFonts w:eastAsia="Calibri" w:cs="Calibri"/>
          <w:sz w:val="28"/>
          <w:szCs w:val="28"/>
          <w:u w:color="000000"/>
          <w:bdr w:val="nil"/>
          <w:lang w:val="en-US" w:eastAsia="en-US"/>
        </w:rPr>
        <w:t>) me</w:t>
      </w:r>
      <w:r w:rsidR="006A7885">
        <w:rPr>
          <w:rFonts w:eastAsia="Calibri" w:cs="Calibri"/>
          <w:sz w:val="28"/>
          <w:szCs w:val="28"/>
          <w:u w:color="000000"/>
          <w:bdr w:val="nil"/>
          <w:lang w:val="en-US" w:eastAsia="en-US"/>
        </w:rPr>
        <w:t>asures company’s ability to pay</w:t>
      </w:r>
      <w:r w:rsidRPr="002A7A75">
        <w:rPr>
          <w:rFonts w:eastAsia="Calibri" w:cs="Calibri"/>
          <w:sz w:val="28"/>
          <w:szCs w:val="28"/>
          <w:u w:color="000000"/>
          <w:bdr w:val="nil"/>
          <w:lang w:val="en-US" w:eastAsia="en-US"/>
        </w:rPr>
        <w:t xml:space="preserve"> off its creditors (suppliers). It measures the number of times (on average) a company pays its suppliers during a specific accounting period (typically one year). Accounts payables turnover trends can help a company assess its cash collection on credit sales and indicates the creditworthiness of the company. A </w:t>
      </w:r>
      <w:r w:rsidRPr="002A7A75">
        <w:rPr>
          <w:rFonts w:eastAsia="Calibri" w:cs="Calibri"/>
          <w:b/>
          <w:bCs/>
          <w:sz w:val="28"/>
          <w:szCs w:val="28"/>
          <w:u w:color="000000"/>
          <w:bdr w:val="nil"/>
          <w:lang w:val="en-US" w:eastAsia="en-US"/>
        </w:rPr>
        <w:t>high ratio</w:t>
      </w:r>
      <w:r w:rsidRPr="002A7A75">
        <w:rPr>
          <w:rFonts w:eastAsia="Calibri" w:cs="Calibri"/>
          <w:sz w:val="28"/>
          <w:szCs w:val="28"/>
          <w:u w:color="000000"/>
          <w:bdr w:val="nil"/>
          <w:lang w:val="en-US" w:eastAsia="en-US"/>
        </w:rPr>
        <w:t xml:space="preserve"> means the prompt payment to suppliers for the goods purchased on credit and a </w:t>
      </w:r>
      <w:r w:rsidRPr="002A7A75">
        <w:rPr>
          <w:rFonts w:eastAsia="Calibri" w:cs="Calibri"/>
          <w:b/>
          <w:bCs/>
          <w:sz w:val="28"/>
          <w:szCs w:val="28"/>
          <w:u w:color="000000"/>
          <w:bdr w:val="nil"/>
          <w:lang w:val="en-US" w:eastAsia="en-US"/>
        </w:rPr>
        <w:t>low ratio</w:t>
      </w:r>
      <w:r w:rsidRPr="002A7A75">
        <w:rPr>
          <w:rFonts w:eastAsia="Calibri" w:cs="Calibri"/>
          <w:sz w:val="28"/>
          <w:szCs w:val="28"/>
          <w:u w:color="000000"/>
          <w:bdr w:val="nil"/>
          <w:lang w:val="en-US" w:eastAsia="en-US"/>
        </w:rPr>
        <w:t xml:space="preserve"> may be a sign of delayed payment and may indicate inefficiency in collecting outstanding sales.</w:t>
      </w:r>
    </w:p>
    <w:p w14:paraId="47099BE4"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6.</w:t>
      </w:r>
      <w:r w:rsidRPr="002A7A75">
        <w:rPr>
          <w:rFonts w:eastAsia="Calibri" w:cs="Calibri"/>
          <w:b/>
          <w:bCs/>
          <w:sz w:val="28"/>
          <w:szCs w:val="28"/>
          <w:u w:color="000000"/>
          <w:bdr w:val="nil"/>
          <w:lang w:val="en-US" w:eastAsia="en-US"/>
        </w:rPr>
        <w:t xml:space="preserve"> Day’s payable outstanding (DPO)</w:t>
      </w:r>
      <w:r w:rsidRPr="002A7A75">
        <w:rPr>
          <w:rFonts w:eastAsia="Calibri" w:cs="Calibri"/>
          <w:sz w:val="28"/>
          <w:szCs w:val="28"/>
          <w:u w:color="000000"/>
          <w:bdr w:val="nil"/>
          <w:lang w:val="en-US" w:eastAsia="en-US"/>
        </w:rPr>
        <w:t xml:space="preserve"> is the accounts payable turnover expressed in days.</w:t>
      </w:r>
    </w:p>
    <w:p w14:paraId="56AE5218"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lastRenderedPageBreak/>
        <w:t xml:space="preserve">7. </w:t>
      </w:r>
      <w:r w:rsidRPr="002A7A75">
        <w:rPr>
          <w:rFonts w:eastAsia="Calibri" w:cs="Calibri"/>
          <w:b/>
          <w:bCs/>
          <w:sz w:val="28"/>
          <w:szCs w:val="28"/>
          <w:u w:color="000000"/>
          <w:bdr w:val="nil"/>
          <w:lang w:val="en-US" w:eastAsia="en-US"/>
        </w:rPr>
        <w:t>Accounts receivable turnover</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debtors’ turnover ratio</w:t>
      </w:r>
      <w:r w:rsidRPr="002A7A75">
        <w:rPr>
          <w:rFonts w:eastAsia="Calibri" w:cs="Calibri"/>
          <w:sz w:val="28"/>
          <w:szCs w:val="28"/>
          <w:u w:color="000000"/>
          <w:bdr w:val="nil"/>
          <w:lang w:val="en-US" w:eastAsia="en-US"/>
        </w:rPr>
        <w:t xml:space="preserve">) indicates the velocity of a company's debt collection, the number of times average company collects outstanding cash balances from its customers during an accounting period. Accounts receivable turnover is the useful tool in conjunction with short-term solvency ratios. However, solvency ratios indicate the liquidity of the company as a whole and accounts receivable turnover ratio measures the liquidity of accounts receivables. In general, a </w:t>
      </w:r>
      <w:r w:rsidRPr="002A7A75">
        <w:rPr>
          <w:rFonts w:eastAsia="Calibri" w:cs="Calibri"/>
          <w:b/>
          <w:bCs/>
          <w:sz w:val="28"/>
          <w:szCs w:val="28"/>
          <w:u w:color="000000"/>
          <w:bdr w:val="nil"/>
          <w:lang w:val="en-US" w:eastAsia="en-US"/>
        </w:rPr>
        <w:t xml:space="preserve">high ratio </w:t>
      </w:r>
      <w:r w:rsidRPr="002A7A75">
        <w:rPr>
          <w:rFonts w:eastAsia="Calibri" w:cs="Calibri"/>
          <w:sz w:val="28"/>
          <w:szCs w:val="28"/>
          <w:u w:color="000000"/>
          <w:bdr w:val="nil"/>
          <w:lang w:val="en-US" w:eastAsia="en-US"/>
        </w:rPr>
        <w:t xml:space="preserve">indicates that the receivables are more liquid (collected promptly), and a </w:t>
      </w:r>
      <w:r w:rsidRPr="002A7A75">
        <w:rPr>
          <w:rFonts w:eastAsia="Calibri" w:cs="Calibri"/>
          <w:b/>
          <w:bCs/>
          <w:sz w:val="28"/>
          <w:szCs w:val="28"/>
          <w:u w:color="000000"/>
          <w:bdr w:val="nil"/>
          <w:lang w:val="en-US" w:eastAsia="en-US"/>
        </w:rPr>
        <w:t>low ratio</w:t>
      </w:r>
      <w:r w:rsidRPr="002A7A75">
        <w:rPr>
          <w:rFonts w:eastAsia="Calibri" w:cs="Calibri"/>
          <w:sz w:val="28"/>
          <w:szCs w:val="28"/>
          <w:u w:color="000000"/>
          <w:bdr w:val="nil"/>
          <w:lang w:val="en-US" w:eastAsia="en-US"/>
        </w:rPr>
        <w:t xml:space="preserve"> indicates less liquid receivables and may reduce the true company’s liquidity even if the current and quick ratios are satisfactory. </w:t>
      </w:r>
    </w:p>
    <w:p w14:paraId="78903B81"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8. A popular variant of the receivables turnover ratio is to convert it into </w:t>
      </w:r>
      <w:r w:rsidRPr="002A7A75">
        <w:rPr>
          <w:rFonts w:eastAsia="Calibri" w:cs="Calibri"/>
          <w:b/>
          <w:bCs/>
          <w:sz w:val="28"/>
          <w:szCs w:val="28"/>
          <w:u w:color="000000"/>
          <w:bdr w:val="nil"/>
          <w:lang w:val="en-US" w:eastAsia="en-US"/>
        </w:rPr>
        <w:t>day’s sales outstanding</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DSO</w:t>
      </w:r>
      <w:r w:rsidRPr="002A7A75">
        <w:rPr>
          <w:rFonts w:eastAsia="Calibri" w:cs="Calibri"/>
          <w:sz w:val="28"/>
          <w:szCs w:val="28"/>
          <w:u w:color="000000"/>
          <w:bdr w:val="nil"/>
          <w:lang w:val="en-US" w:eastAsia="en-US"/>
        </w:rPr>
        <w:t xml:space="preserve"> or </w:t>
      </w:r>
      <w:r w:rsidRPr="002A7A75">
        <w:rPr>
          <w:rFonts w:eastAsia="Calibri" w:cs="Calibri"/>
          <w:b/>
          <w:bCs/>
          <w:sz w:val="28"/>
          <w:szCs w:val="28"/>
          <w:u w:color="000000"/>
          <w:bdr w:val="nil"/>
          <w:lang w:val="en-US" w:eastAsia="en-US"/>
        </w:rPr>
        <w:t>average collection period in terms of days</w:t>
      </w:r>
      <w:r w:rsidRPr="002A7A75">
        <w:rPr>
          <w:rFonts w:eastAsia="Calibri" w:cs="Calibri"/>
          <w:sz w:val="28"/>
          <w:szCs w:val="28"/>
          <w:u w:color="000000"/>
          <w:bdr w:val="nil"/>
          <w:lang w:val="en-US" w:eastAsia="en-US"/>
        </w:rPr>
        <w:t xml:space="preserve">), that measures the number of days (on average) </w:t>
      </w:r>
      <w:r w:rsidR="006A7885">
        <w:rPr>
          <w:rFonts w:eastAsia="Calibri" w:cs="Calibri"/>
          <w:sz w:val="28"/>
          <w:szCs w:val="28"/>
          <w:u w:color="000000"/>
          <w:bdr w:val="nil"/>
          <w:lang w:val="en-US" w:eastAsia="en-US"/>
        </w:rPr>
        <w:t>needed for</w:t>
      </w:r>
      <w:r w:rsidRPr="002A7A75">
        <w:rPr>
          <w:rFonts w:eastAsia="Calibri" w:cs="Calibri"/>
          <w:sz w:val="28"/>
          <w:szCs w:val="28"/>
          <w:u w:color="000000"/>
          <w:bdr w:val="nil"/>
          <w:lang w:val="en-US" w:eastAsia="en-US"/>
        </w:rPr>
        <w:t xml:space="preserve"> a company to collect its accounts receivables or convert receivables into cash.</w:t>
      </w:r>
    </w:p>
    <w:p w14:paraId="5047CD6E"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9. </w:t>
      </w:r>
      <w:r w:rsidRPr="002A7A75">
        <w:rPr>
          <w:rFonts w:eastAsia="Calibri" w:cs="Calibri"/>
          <w:b/>
          <w:bCs/>
          <w:sz w:val="28"/>
          <w:szCs w:val="28"/>
          <w:u w:color="000000"/>
          <w:bdr w:val="nil"/>
          <w:lang w:val="en-US" w:eastAsia="en-US"/>
        </w:rPr>
        <w:t>Equity turnover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capital turnover</w:t>
      </w:r>
      <w:r w:rsidRPr="002A7A75">
        <w:rPr>
          <w:rFonts w:eastAsia="Calibri" w:cs="Calibri"/>
          <w:sz w:val="28"/>
          <w:szCs w:val="28"/>
          <w:u w:color="000000"/>
          <w:bdr w:val="nil"/>
          <w:lang w:val="en-US" w:eastAsia="en-US"/>
        </w:rPr>
        <w:t xml:space="preserve"> or </w:t>
      </w:r>
      <w:r w:rsidRPr="002A7A75">
        <w:rPr>
          <w:rFonts w:eastAsia="Calibri" w:cs="Calibri"/>
          <w:b/>
          <w:bCs/>
          <w:sz w:val="28"/>
          <w:szCs w:val="28"/>
          <w:u w:color="000000"/>
          <w:bdr w:val="nil"/>
          <w:lang w:val="en-US" w:eastAsia="en-US"/>
        </w:rPr>
        <w:t>sales to equity ratio</w:t>
      </w:r>
      <w:r w:rsidRPr="002A7A75">
        <w:rPr>
          <w:rFonts w:eastAsia="Calibri" w:cs="Calibri"/>
          <w:sz w:val="28"/>
          <w:szCs w:val="28"/>
          <w:u w:color="000000"/>
          <w:bdr w:val="nil"/>
          <w:lang w:val="en-US" w:eastAsia="en-US"/>
        </w:rPr>
        <w:t>) measures the proportion of a number of sales that a company can generate with a given amount of stockholders' equity. It is also an asset utilization metric that indicates the level of capital investment (equity) needed in a specific industry in order to generate or support a given level of sales.</w:t>
      </w:r>
    </w:p>
    <w:p w14:paraId="6DA0E1AE"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10. </w:t>
      </w:r>
      <w:r w:rsidRPr="002A7A75">
        <w:rPr>
          <w:rFonts w:eastAsia="Calibri" w:cs="Calibri"/>
          <w:b/>
          <w:bCs/>
          <w:sz w:val="28"/>
          <w:szCs w:val="28"/>
          <w:u w:color="000000"/>
          <w:bdr w:val="nil"/>
          <w:lang w:val="en-US" w:eastAsia="en-US"/>
        </w:rPr>
        <w:t>Operating cycle</w:t>
      </w:r>
      <w:r w:rsidRPr="002A7A75">
        <w:rPr>
          <w:rFonts w:eastAsia="Calibri" w:cs="Calibri"/>
          <w:sz w:val="28"/>
          <w:szCs w:val="28"/>
          <w:u w:color="000000"/>
          <w:bdr w:val="nil"/>
          <w:lang w:val="en-US" w:eastAsia="en-US"/>
        </w:rPr>
        <w:t xml:space="preserve"> </w:t>
      </w:r>
      <w:r w:rsidRPr="002A7A75">
        <w:rPr>
          <w:rFonts w:eastAsia="Calibri" w:cs="Calibri"/>
          <w:b/>
          <w:bCs/>
          <w:sz w:val="28"/>
          <w:szCs w:val="28"/>
          <w:u w:color="000000"/>
          <w:bdr w:val="nil"/>
          <w:lang w:val="en-US" w:eastAsia="en-US"/>
        </w:rPr>
        <w:t>(OC)</w:t>
      </w:r>
      <w:r w:rsidRPr="002A7A75">
        <w:rPr>
          <w:rFonts w:eastAsia="Calibri" w:cs="Calibri"/>
          <w:sz w:val="28"/>
          <w:szCs w:val="28"/>
          <w:u w:color="000000"/>
          <w:bdr w:val="nil"/>
          <w:lang w:val="en-US" w:eastAsia="en-US"/>
        </w:rPr>
        <w:t xml:space="preserve"> determines the length of time that elapses between the moment company’s investment in inventory and the time to be collected in cash from customers.</w:t>
      </w:r>
    </w:p>
    <w:p w14:paraId="4FFEBF8E"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11. </w:t>
      </w:r>
      <w:r w:rsidRPr="002A7A75">
        <w:rPr>
          <w:rFonts w:eastAsia="Calibri" w:cs="Calibri"/>
          <w:b/>
          <w:bCs/>
          <w:sz w:val="28"/>
          <w:szCs w:val="28"/>
          <w:u w:color="000000"/>
          <w:bdr w:val="nil"/>
          <w:lang w:val="en-US" w:eastAsia="en-US"/>
        </w:rPr>
        <w:t>Net operating cycle</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cash conversion cycle (CCC)</w:t>
      </w:r>
      <w:r w:rsidRPr="002A7A75">
        <w:rPr>
          <w:rFonts w:eastAsia="Calibri" w:cs="Calibri"/>
          <w:sz w:val="28"/>
          <w:szCs w:val="28"/>
          <w:u w:color="000000"/>
          <w:bdr w:val="nil"/>
          <w:lang w:val="en-US" w:eastAsia="en-US"/>
        </w:rPr>
        <w:t>) determines the length of time it takes for a company’s investment in inventory to generate cash, considering that some or all of the inventory is purchased using credit. The length of the operating cycle (OC) and cash conversion cycles (CCC) is a factor that determines how much liquidity a company needs.</w:t>
      </w:r>
    </w:p>
    <w:p w14:paraId="7B078146"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t>Market ratios</w:t>
      </w:r>
      <w:r w:rsidRPr="002A7A75">
        <w:rPr>
          <w:rFonts w:eastAsia="Calibri" w:cs="Calibri"/>
          <w:sz w:val="28"/>
          <w:szCs w:val="28"/>
          <w:u w:color="000000"/>
          <w:bdr w:val="nil"/>
          <w:lang w:val="en-US" w:eastAsia="en-US"/>
        </w:rPr>
        <w:t xml:space="preserve"> evaluate the current market price of a share of common stock versus an indicator of the company's ability to generate profits or assets held by the company. Market ratios are commonly used by current and potential investors to determine whether a company's shares are overpriced or underpriced. Some </w:t>
      </w:r>
      <w:r w:rsidRPr="002A7A75">
        <w:rPr>
          <w:rFonts w:eastAsia="Calibri" w:cs="Calibri"/>
          <w:b/>
          <w:bCs/>
          <w:sz w:val="28"/>
          <w:szCs w:val="28"/>
          <w:u w:color="000000"/>
          <w:bdr w:val="nil"/>
          <w:lang w:val="en-US" w:eastAsia="en-US"/>
        </w:rPr>
        <w:t>frequently used market ratios</w:t>
      </w:r>
      <w:r w:rsidRPr="002A7A75">
        <w:rPr>
          <w:rFonts w:eastAsia="Calibri" w:cs="Calibri"/>
          <w:sz w:val="28"/>
          <w:szCs w:val="28"/>
          <w:u w:color="000000"/>
          <w:bdr w:val="nil"/>
          <w:lang w:val="en-US" w:eastAsia="en-US"/>
        </w:rPr>
        <w:t xml:space="preserve"> are given below:</w:t>
      </w:r>
    </w:p>
    <w:p w14:paraId="69F760B3"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1. </w:t>
      </w:r>
      <w:r w:rsidRPr="002A7A75">
        <w:rPr>
          <w:rFonts w:eastAsia="Calibri" w:cs="Calibri"/>
          <w:b/>
          <w:bCs/>
          <w:sz w:val="28"/>
          <w:szCs w:val="28"/>
          <w:u w:color="000000"/>
          <w:bdr w:val="nil"/>
          <w:lang w:val="en-US" w:eastAsia="en-US"/>
        </w:rPr>
        <w:t>The earnings per share (EPS) ratio</w:t>
      </w:r>
      <w:r w:rsidRPr="002A7A75">
        <w:rPr>
          <w:rFonts w:eastAsia="Calibri" w:cs="Calibri"/>
          <w:sz w:val="28"/>
          <w:szCs w:val="28"/>
          <w:u w:color="000000"/>
          <w:bdr w:val="nil"/>
          <w:lang w:val="en-US" w:eastAsia="en-US"/>
        </w:rPr>
        <w:t xml:space="preserve"> measures the portion of company’s profits (net income) as generated for each share of common stock outstanding. It is usually expressed in hryvnias. A </w:t>
      </w:r>
      <w:r w:rsidRPr="002A7A75">
        <w:rPr>
          <w:rFonts w:eastAsia="Calibri" w:cs="Calibri"/>
          <w:b/>
          <w:bCs/>
          <w:sz w:val="28"/>
          <w:szCs w:val="28"/>
          <w:u w:color="000000"/>
          <w:bdr w:val="nil"/>
          <w:lang w:val="en-US" w:eastAsia="en-US"/>
        </w:rPr>
        <w:t xml:space="preserve">higher EPS </w:t>
      </w:r>
      <w:r w:rsidRPr="002A7A75">
        <w:rPr>
          <w:rFonts w:eastAsia="Calibri" w:cs="Calibri"/>
          <w:sz w:val="28"/>
          <w:szCs w:val="28"/>
          <w:u w:color="000000"/>
          <w:bdr w:val="nil"/>
          <w:lang w:val="en-US" w:eastAsia="en-US"/>
        </w:rPr>
        <w:t xml:space="preserve">implies higher earnings, strong financial </w:t>
      </w:r>
      <w:r w:rsidRPr="002A7A75">
        <w:rPr>
          <w:rFonts w:eastAsia="Calibri" w:cs="Calibri"/>
          <w:sz w:val="28"/>
          <w:szCs w:val="28"/>
          <w:u w:color="000000"/>
          <w:bdr w:val="nil"/>
          <w:lang w:val="en-US" w:eastAsia="en-US"/>
        </w:rPr>
        <w:lastRenderedPageBreak/>
        <w:t xml:space="preserve">position and, therefore, a reliable company to invest money. A </w:t>
      </w:r>
      <w:r w:rsidRPr="002A7A75">
        <w:rPr>
          <w:rFonts w:eastAsia="Calibri" w:cs="Calibri"/>
          <w:b/>
          <w:bCs/>
          <w:sz w:val="28"/>
          <w:szCs w:val="28"/>
          <w:u w:color="000000"/>
          <w:bdr w:val="nil"/>
          <w:lang w:val="en-US" w:eastAsia="en-US"/>
        </w:rPr>
        <w:t>consistent improvement in EPS</w:t>
      </w:r>
      <w:r w:rsidRPr="002A7A75">
        <w:rPr>
          <w:rFonts w:eastAsia="Calibri" w:cs="Calibri"/>
          <w:sz w:val="28"/>
          <w:szCs w:val="28"/>
          <w:u w:color="000000"/>
          <w:bdr w:val="nil"/>
          <w:lang w:val="en-US" w:eastAsia="en-US"/>
        </w:rPr>
        <w:t xml:space="preserve"> year after year is the indication of continuous improvement in the earning power of the company.</w:t>
      </w:r>
    </w:p>
    <w:p w14:paraId="5245A00C"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2. </w:t>
      </w:r>
      <w:r w:rsidRPr="002A7A75">
        <w:rPr>
          <w:rFonts w:eastAsia="Calibri" w:cs="Calibri"/>
          <w:b/>
          <w:bCs/>
          <w:sz w:val="28"/>
          <w:szCs w:val="28"/>
          <w:u w:color="000000"/>
          <w:bdr w:val="nil"/>
          <w:lang w:val="en-US" w:eastAsia="en-US"/>
        </w:rPr>
        <w:t>Price to earnings (P/E) ratio</w:t>
      </w:r>
      <w:r w:rsidRPr="002A7A75">
        <w:rPr>
          <w:rFonts w:eastAsia="Calibri" w:cs="Calibri"/>
          <w:sz w:val="28"/>
          <w:szCs w:val="28"/>
          <w:u w:color="000000"/>
          <w:bdr w:val="nil"/>
          <w:lang w:val="en-US" w:eastAsia="en-US"/>
        </w:rPr>
        <w:t xml:space="preserve"> measures how many times the earnings per share have been covered by the current market price of an ordinary share. The result of calculation indicates whether the share price of a company is fairly valued, undervalued or overvalued. A </w:t>
      </w:r>
      <w:r w:rsidRPr="002A7A75">
        <w:rPr>
          <w:rFonts w:eastAsia="Calibri" w:cs="Calibri"/>
          <w:b/>
          <w:bCs/>
          <w:sz w:val="28"/>
          <w:szCs w:val="28"/>
          <w:u w:color="000000"/>
          <w:bdr w:val="nil"/>
          <w:lang w:val="en-US" w:eastAsia="en-US"/>
        </w:rPr>
        <w:t>higher P/E ratio</w:t>
      </w:r>
      <w:r w:rsidRPr="002A7A75">
        <w:rPr>
          <w:rFonts w:eastAsia="Calibri" w:cs="Calibri"/>
          <w:sz w:val="28"/>
          <w:szCs w:val="28"/>
          <w:u w:color="000000"/>
          <w:bdr w:val="nil"/>
          <w:lang w:val="en-US" w:eastAsia="en-US"/>
        </w:rPr>
        <w:t xml:space="preserve"> is the indication of the strong position of the company in the market. </w:t>
      </w:r>
    </w:p>
    <w:p w14:paraId="5419D136"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3. </w:t>
      </w:r>
      <w:r w:rsidRPr="002A7A75">
        <w:rPr>
          <w:rFonts w:eastAsia="Calibri" w:cs="Calibri"/>
          <w:b/>
          <w:bCs/>
          <w:sz w:val="28"/>
          <w:szCs w:val="28"/>
          <w:u w:color="000000"/>
          <w:bdr w:val="nil"/>
          <w:lang w:val="en-US" w:eastAsia="en-US"/>
        </w:rPr>
        <w:t>Price to book (P/B)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the market to book ratio</w:t>
      </w:r>
      <w:r w:rsidRPr="002A7A75">
        <w:rPr>
          <w:rFonts w:eastAsia="Calibri" w:cs="Calibri"/>
          <w:sz w:val="28"/>
          <w:szCs w:val="28"/>
          <w:u w:color="000000"/>
          <w:bdr w:val="nil"/>
          <w:lang w:val="en-US" w:eastAsia="en-US"/>
        </w:rPr>
        <w:t>) measures the proportion of the current market price per share of a company's common stock to the book value of each share. It indicates whether general value</w:t>
      </w:r>
      <w:r w:rsidR="006A7885">
        <w:rPr>
          <w:rFonts w:eastAsia="Calibri" w:cs="Calibri"/>
          <w:sz w:val="28"/>
          <w:szCs w:val="28"/>
          <w:u w:color="000000"/>
          <w:bdr w:val="nil"/>
          <w:lang w:val="en-US" w:eastAsia="en-US"/>
        </w:rPr>
        <w:t xml:space="preserve"> of</w:t>
      </w:r>
      <w:r w:rsidRPr="002A7A75">
        <w:rPr>
          <w:rFonts w:eastAsia="Calibri" w:cs="Calibri"/>
          <w:sz w:val="28"/>
          <w:szCs w:val="28"/>
          <w:u w:color="000000"/>
          <w:bdr w:val="nil"/>
          <w:lang w:val="en-US" w:eastAsia="en-US"/>
        </w:rPr>
        <w:t xml:space="preserve"> the company</w:t>
      </w:r>
      <w:r w:rsidR="006A7885">
        <w:rPr>
          <w:rFonts w:eastAsia="Calibri" w:cs="Calibri"/>
          <w:sz w:val="28"/>
          <w:szCs w:val="28"/>
          <w:u w:color="000000"/>
          <w:bdr w:val="nil"/>
          <w:lang w:val="en-US" w:eastAsia="en-US"/>
        </w:rPr>
        <w:t xml:space="preserve"> is</w:t>
      </w:r>
      <w:r w:rsidRPr="002A7A75">
        <w:rPr>
          <w:rFonts w:eastAsia="Calibri" w:cs="Calibri"/>
          <w:sz w:val="28"/>
          <w:szCs w:val="28"/>
          <w:u w:color="000000"/>
          <w:bdr w:val="nil"/>
          <w:lang w:val="en-US" w:eastAsia="en-US"/>
        </w:rPr>
        <w:t xml:space="preserve"> above, at or below the face value of the company's assets as they appear in its financial reports. In general, </w:t>
      </w:r>
      <w:r w:rsidRPr="002A7A75">
        <w:rPr>
          <w:rFonts w:eastAsia="Calibri" w:cs="Calibri"/>
          <w:b/>
          <w:bCs/>
          <w:sz w:val="28"/>
          <w:szCs w:val="28"/>
          <w:u w:color="000000"/>
          <w:bdr w:val="nil"/>
          <w:lang w:val="en-US" w:eastAsia="en-US"/>
        </w:rPr>
        <w:t>higher P/B ratio</w:t>
      </w:r>
      <w:r w:rsidRPr="002A7A75">
        <w:rPr>
          <w:rFonts w:eastAsia="Calibri" w:cs="Calibri"/>
          <w:sz w:val="28"/>
          <w:szCs w:val="28"/>
          <w:u w:color="000000"/>
          <w:bdr w:val="nil"/>
          <w:lang w:val="en-US" w:eastAsia="en-US"/>
        </w:rPr>
        <w:t xml:space="preserve"> is preferred, since it indicates</w:t>
      </w:r>
      <w:r w:rsidR="006A7885">
        <w:rPr>
          <w:rFonts w:eastAsia="Calibri" w:cs="Calibri"/>
          <w:sz w:val="28"/>
          <w:szCs w:val="28"/>
          <w:u w:color="000000"/>
          <w:bdr w:val="nil"/>
          <w:lang w:val="en-US" w:eastAsia="en-US"/>
        </w:rPr>
        <w:t xml:space="preserve"> that</w:t>
      </w:r>
      <w:r w:rsidRPr="002A7A75">
        <w:rPr>
          <w:rFonts w:eastAsia="Calibri" w:cs="Calibri"/>
          <w:sz w:val="28"/>
          <w:szCs w:val="28"/>
          <w:u w:color="000000"/>
          <w:bdr w:val="nil"/>
          <w:lang w:val="en-US" w:eastAsia="en-US"/>
        </w:rPr>
        <w:t xml:space="preserve"> a larger market premium is being paid by investors relative to the net book value of the assets owned by the company.  </w:t>
      </w:r>
    </w:p>
    <w:p w14:paraId="7D7BF12F"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4. </w:t>
      </w:r>
      <w:r w:rsidRPr="002A7A75">
        <w:rPr>
          <w:rFonts w:eastAsia="Calibri" w:cs="Calibri"/>
          <w:b/>
          <w:bCs/>
          <w:sz w:val="28"/>
          <w:szCs w:val="28"/>
          <w:u w:color="000000"/>
          <w:bdr w:val="nil"/>
          <w:lang w:val="en-US" w:eastAsia="en-US"/>
        </w:rPr>
        <w:t>Dividend payout ratio</w:t>
      </w:r>
      <w:r w:rsidRPr="002A7A75">
        <w:rPr>
          <w:rFonts w:eastAsia="Calibri" w:cs="Calibri"/>
          <w:sz w:val="28"/>
          <w:szCs w:val="28"/>
          <w:u w:color="000000"/>
          <w:bdr w:val="nil"/>
          <w:lang w:val="en-US" w:eastAsia="en-US"/>
        </w:rPr>
        <w:t xml:space="preserve"> measures the percentage of the current earnings the company pays out to investors in the form of dividends and percentage the company is plowing back (reinvest) in projects for growth in future. A </w:t>
      </w:r>
      <w:r w:rsidRPr="002A7A75">
        <w:rPr>
          <w:rFonts w:eastAsia="Calibri" w:cs="Calibri"/>
          <w:b/>
          <w:bCs/>
          <w:sz w:val="28"/>
          <w:szCs w:val="28"/>
          <w:u w:color="000000"/>
          <w:bdr w:val="nil"/>
          <w:lang w:val="en-US" w:eastAsia="en-US"/>
        </w:rPr>
        <w:t>low dividend payout ratio</w:t>
      </w:r>
      <w:r w:rsidRPr="002A7A75">
        <w:rPr>
          <w:rFonts w:eastAsia="Calibri" w:cs="Calibri"/>
          <w:sz w:val="28"/>
          <w:szCs w:val="28"/>
          <w:u w:color="000000"/>
          <w:bdr w:val="nil"/>
          <w:lang w:val="en-US" w:eastAsia="en-US"/>
        </w:rPr>
        <w:t xml:space="preserve"> means</w:t>
      </w:r>
      <w:r w:rsidR="006A7885">
        <w:rPr>
          <w:rFonts w:eastAsia="Calibri" w:cs="Calibri"/>
          <w:sz w:val="28"/>
          <w:szCs w:val="28"/>
          <w:u w:color="000000"/>
          <w:bdr w:val="nil"/>
          <w:lang w:val="en-US" w:eastAsia="en-US"/>
        </w:rPr>
        <w:t xml:space="preserve"> that</w:t>
      </w:r>
      <w:r w:rsidRPr="002A7A75">
        <w:rPr>
          <w:rFonts w:eastAsia="Calibri" w:cs="Calibri"/>
          <w:sz w:val="28"/>
          <w:szCs w:val="28"/>
          <w:u w:color="000000"/>
          <w:bdr w:val="nil"/>
          <w:lang w:val="en-US" w:eastAsia="en-US"/>
        </w:rPr>
        <w:t xml:space="preserve"> the company is keeping a large portion of its earnings for growth in future and a </w:t>
      </w:r>
      <w:r w:rsidRPr="002A7A75">
        <w:rPr>
          <w:rFonts w:eastAsia="Calibri" w:cs="Calibri"/>
          <w:b/>
          <w:bCs/>
          <w:sz w:val="28"/>
          <w:szCs w:val="28"/>
          <w:u w:color="000000"/>
          <w:bdr w:val="nil"/>
          <w:lang w:val="en-US" w:eastAsia="en-US"/>
        </w:rPr>
        <w:t>high dividend payout ratio</w:t>
      </w:r>
      <w:r w:rsidRPr="002A7A75">
        <w:rPr>
          <w:rFonts w:eastAsia="Calibri" w:cs="Calibri"/>
          <w:sz w:val="28"/>
          <w:szCs w:val="28"/>
          <w:u w:color="000000"/>
          <w:bdr w:val="nil"/>
          <w:lang w:val="en-US" w:eastAsia="en-US"/>
        </w:rPr>
        <w:t xml:space="preserve"> means</w:t>
      </w:r>
      <w:r w:rsidR="006A7885">
        <w:rPr>
          <w:rFonts w:eastAsia="Calibri" w:cs="Calibri"/>
          <w:sz w:val="28"/>
          <w:szCs w:val="28"/>
          <w:u w:color="000000"/>
          <w:bdr w:val="nil"/>
          <w:lang w:val="en-US" w:eastAsia="en-US"/>
        </w:rPr>
        <w:t xml:space="preserve"> that</w:t>
      </w:r>
      <w:r w:rsidRPr="002A7A75">
        <w:rPr>
          <w:rFonts w:eastAsia="Calibri" w:cs="Calibri"/>
          <w:sz w:val="28"/>
          <w:szCs w:val="28"/>
          <w:u w:color="000000"/>
          <w:bdr w:val="nil"/>
          <w:lang w:val="en-US" w:eastAsia="en-US"/>
        </w:rPr>
        <w:t xml:space="preserve"> the company is paying a large portion of its earnings to its common shareholders (which in turn mean less capital gains in future periods). Whether a payout ratio is good or bad depends on the intention of the investor (capital gains or dividends).</w:t>
      </w:r>
    </w:p>
    <w:p w14:paraId="16E09FD9"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sz w:val="28"/>
          <w:szCs w:val="28"/>
          <w:u w:color="000000"/>
          <w:bdr w:val="nil"/>
          <w:lang w:val="en-US" w:eastAsia="en-US"/>
        </w:rPr>
        <w:t xml:space="preserve">5. </w:t>
      </w:r>
      <w:r w:rsidRPr="002A7A75">
        <w:rPr>
          <w:rFonts w:eastAsia="Calibri" w:cs="Calibri"/>
          <w:b/>
          <w:bCs/>
          <w:sz w:val="28"/>
          <w:szCs w:val="28"/>
          <w:u w:color="000000"/>
          <w:bdr w:val="nil"/>
          <w:lang w:val="en-US" w:eastAsia="en-US"/>
        </w:rPr>
        <w:t>Dividend yield ratio</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dividend yield percentage</w:t>
      </w:r>
      <w:r w:rsidRPr="002A7A75">
        <w:rPr>
          <w:rFonts w:eastAsia="Calibri" w:cs="Calibri"/>
          <w:sz w:val="28"/>
          <w:szCs w:val="28"/>
          <w:u w:color="000000"/>
          <w:bdr w:val="nil"/>
          <w:lang w:val="en-US" w:eastAsia="en-US"/>
        </w:rPr>
        <w:t>) measures the percentage of the market price of a share a company annually pays to its stockholders in the form of dividends. It is a very useful tool for investors looking for dividend income on a continuous basis.</w:t>
      </w:r>
    </w:p>
    <w:p w14:paraId="42610067" w14:textId="77777777" w:rsidR="003C51B1" w:rsidRPr="002A7A75" w:rsidRDefault="003C51B1" w:rsidP="00505A1C">
      <w:pPr>
        <w:pBdr>
          <w:top w:val="nil"/>
          <w:left w:val="nil"/>
          <w:bottom w:val="nil"/>
          <w:right w:val="nil"/>
          <w:between w:val="nil"/>
          <w:bar w:val="nil"/>
        </w:pBdr>
        <w:spacing w:line="312" w:lineRule="auto"/>
        <w:ind w:firstLine="709"/>
        <w:jc w:val="both"/>
        <w:rPr>
          <w:rFonts w:eastAsia="Garamond"/>
          <w:sz w:val="28"/>
          <w:szCs w:val="28"/>
          <w:u w:color="000000"/>
          <w:bdr w:val="nil"/>
          <w:lang w:val="en-US" w:eastAsia="en-US"/>
        </w:rPr>
      </w:pPr>
      <w:r w:rsidRPr="002A7A75">
        <w:rPr>
          <w:rFonts w:eastAsia="Calibri" w:cs="Calibri"/>
          <w:b/>
          <w:bCs/>
          <w:sz w:val="28"/>
          <w:szCs w:val="28"/>
          <w:u w:color="000000"/>
          <w:bdr w:val="nil"/>
          <w:lang w:val="en-US" w:eastAsia="en-US"/>
        </w:rPr>
        <w:t>DuPont analysis</w:t>
      </w:r>
      <w:r w:rsidRPr="002A7A75">
        <w:rPr>
          <w:rFonts w:eastAsia="Calibri" w:cs="Calibri"/>
          <w:sz w:val="28"/>
          <w:szCs w:val="28"/>
          <w:u w:color="000000"/>
          <w:bdr w:val="nil"/>
          <w:lang w:val="en-US" w:eastAsia="en-US"/>
        </w:rPr>
        <w:t xml:space="preserve"> (also referred as the </w:t>
      </w:r>
      <w:r w:rsidRPr="002A7A75">
        <w:rPr>
          <w:rFonts w:eastAsia="Calibri" w:cs="Calibri"/>
          <w:b/>
          <w:bCs/>
          <w:sz w:val="28"/>
          <w:szCs w:val="28"/>
          <w:u w:color="000000"/>
          <w:bdr w:val="nil"/>
          <w:lang w:val="en-US" w:eastAsia="en-US"/>
        </w:rPr>
        <w:t>DuPont identity</w:t>
      </w:r>
      <w:r w:rsidRPr="002A7A75">
        <w:rPr>
          <w:rFonts w:eastAsia="Calibri" w:cs="Calibri"/>
          <w:sz w:val="28"/>
          <w:szCs w:val="28"/>
          <w:u w:color="000000"/>
          <w:bdr w:val="nil"/>
          <w:lang w:val="en-US" w:eastAsia="en-US"/>
        </w:rPr>
        <w:t xml:space="preserve">, </w:t>
      </w:r>
      <w:r w:rsidRPr="002A7A75">
        <w:rPr>
          <w:rFonts w:eastAsia="Calibri" w:cs="Calibri"/>
          <w:b/>
          <w:bCs/>
          <w:sz w:val="28"/>
          <w:szCs w:val="28"/>
          <w:u w:color="000000"/>
          <w:bdr w:val="nil"/>
          <w:lang w:val="en-US" w:eastAsia="en-US"/>
        </w:rPr>
        <w:t>DuPont equation</w:t>
      </w:r>
      <w:r w:rsidRPr="002A7A75">
        <w:rPr>
          <w:rFonts w:eastAsia="Calibri" w:cs="Calibri"/>
          <w:sz w:val="28"/>
          <w:szCs w:val="28"/>
          <w:u w:color="000000"/>
          <w:bdr w:val="nil"/>
          <w:lang w:val="en-US" w:eastAsia="en-US"/>
        </w:rPr>
        <w:t xml:space="preserve">, </w:t>
      </w:r>
      <w:r w:rsidRPr="002A7A75">
        <w:rPr>
          <w:rFonts w:eastAsia="Calibri" w:cs="Calibri"/>
          <w:b/>
          <w:bCs/>
          <w:sz w:val="28"/>
          <w:szCs w:val="28"/>
          <w:u w:color="000000"/>
          <w:bdr w:val="nil"/>
          <w:lang w:val="en-US" w:eastAsia="en-US"/>
        </w:rPr>
        <w:t>DuPont model</w:t>
      </w:r>
      <w:r w:rsidRPr="002A7A75">
        <w:rPr>
          <w:rFonts w:eastAsia="Calibri" w:cs="Calibri"/>
          <w:sz w:val="28"/>
          <w:szCs w:val="28"/>
          <w:u w:color="000000"/>
          <w:bdr w:val="nil"/>
          <w:lang w:val="en-US" w:eastAsia="en-US"/>
        </w:rPr>
        <w:t xml:space="preserve"> or the </w:t>
      </w:r>
      <w:r w:rsidRPr="002A7A75">
        <w:rPr>
          <w:rFonts w:eastAsia="Calibri" w:cs="Calibri"/>
          <w:b/>
          <w:bCs/>
          <w:sz w:val="28"/>
          <w:szCs w:val="28"/>
          <w:u w:color="000000"/>
          <w:bdr w:val="nil"/>
          <w:lang w:val="en-US" w:eastAsia="en-US"/>
        </w:rPr>
        <w:t>DuPont method</w:t>
      </w:r>
      <w:r w:rsidRPr="002A7A75">
        <w:rPr>
          <w:rFonts w:eastAsia="Calibri" w:cs="Calibri"/>
          <w:sz w:val="28"/>
          <w:szCs w:val="28"/>
          <w:u w:color="000000"/>
          <w:bdr w:val="nil"/>
          <w:lang w:val="en-US" w:eastAsia="en-US"/>
        </w:rPr>
        <w:t>) measures company's ability to increase its return on equity (ROE). In other words, DuPont analysis breaks down the return on equity ratio into three/five parts to explain how companies can increase their return for investors. DuPont equation uses the relationship among financial statement accounts to decompose return on equity into several components (</w:t>
      </w:r>
      <w:r w:rsidR="00613E76">
        <w:rPr>
          <w:rFonts w:eastAsia="Calibri" w:cs="Calibri"/>
          <w:sz w:val="28"/>
          <w:szCs w:val="28"/>
          <w:u w:color="000000"/>
          <w:bdr w:val="nil"/>
          <w:lang w:val="en-US" w:eastAsia="en-US"/>
        </w:rPr>
        <w:t>Figure</w:t>
      </w:r>
      <w:r w:rsidRPr="002A7A75">
        <w:rPr>
          <w:rFonts w:eastAsia="Calibri" w:cs="Calibri"/>
          <w:sz w:val="28"/>
          <w:szCs w:val="28"/>
          <w:u w:color="000000"/>
          <w:bdr w:val="nil"/>
          <w:lang w:val="en-US" w:eastAsia="en-US"/>
        </w:rPr>
        <w:t xml:space="preserve"> 8.1). Five-component DuPont model is shown in Appendix </w:t>
      </w:r>
      <w:r w:rsidR="00BC2E5D">
        <w:rPr>
          <w:rFonts w:eastAsia="Calibri" w:cs="Calibri"/>
          <w:sz w:val="28"/>
          <w:szCs w:val="28"/>
          <w:u w:color="000000"/>
          <w:bdr w:val="nil"/>
          <w:lang w:val="en-US" w:eastAsia="en-US"/>
        </w:rPr>
        <w:t>B</w:t>
      </w:r>
      <w:r w:rsidRPr="002A7A75">
        <w:rPr>
          <w:rFonts w:eastAsia="Calibri" w:cs="Calibri"/>
          <w:sz w:val="28"/>
          <w:szCs w:val="28"/>
          <w:u w:color="000000"/>
          <w:bdr w:val="nil"/>
          <w:lang w:val="en-US" w:eastAsia="en-US"/>
        </w:rPr>
        <w:t xml:space="preserve"> (</w:t>
      </w:r>
      <w:r w:rsidR="00613E76">
        <w:rPr>
          <w:rFonts w:eastAsia="Calibri" w:cs="Calibri"/>
          <w:sz w:val="28"/>
          <w:szCs w:val="28"/>
          <w:u w:color="000000"/>
          <w:bdr w:val="nil"/>
          <w:lang w:val="en-US" w:eastAsia="en-US"/>
        </w:rPr>
        <w:t>Figure</w:t>
      </w:r>
      <w:r w:rsidRPr="002A7A75">
        <w:rPr>
          <w:rFonts w:eastAsia="Calibri" w:cs="Calibri"/>
          <w:sz w:val="28"/>
          <w:szCs w:val="28"/>
          <w:u w:color="000000"/>
          <w:bdr w:val="nil"/>
          <w:lang w:val="en-US" w:eastAsia="en-US"/>
        </w:rPr>
        <w:t xml:space="preserve"> </w:t>
      </w:r>
      <w:r w:rsidR="00BC2E5D">
        <w:rPr>
          <w:rFonts w:eastAsia="Calibri" w:cs="Calibri"/>
          <w:sz w:val="28"/>
          <w:szCs w:val="28"/>
          <w:u w:color="000000"/>
          <w:bdr w:val="nil"/>
          <w:lang w:val="en-US" w:eastAsia="en-US"/>
        </w:rPr>
        <w:t>B</w:t>
      </w:r>
      <w:r w:rsidRPr="002A7A75">
        <w:rPr>
          <w:rFonts w:eastAsia="Calibri" w:cs="Calibri"/>
          <w:sz w:val="28"/>
          <w:szCs w:val="28"/>
          <w:u w:color="000000"/>
          <w:bdr w:val="nil"/>
          <w:lang w:val="en-US" w:eastAsia="en-US"/>
        </w:rPr>
        <w:t xml:space="preserve">.1). </w:t>
      </w:r>
      <w:r w:rsidRPr="002A7A75">
        <w:rPr>
          <w:rFonts w:eastAsia="Calibri" w:cs="Calibri"/>
          <w:b/>
          <w:bCs/>
          <w:sz w:val="28"/>
          <w:szCs w:val="28"/>
          <w:u w:color="000000"/>
          <w:bdr w:val="nil"/>
          <w:lang w:val="en-US" w:eastAsia="en-US"/>
        </w:rPr>
        <w:t xml:space="preserve">Three-factor </w:t>
      </w:r>
      <w:r w:rsidRPr="002A7A75">
        <w:rPr>
          <w:rFonts w:eastAsia="Calibri" w:cs="Calibri"/>
          <w:b/>
          <w:bCs/>
          <w:sz w:val="28"/>
          <w:szCs w:val="28"/>
          <w:u w:color="000000"/>
          <w:bdr w:val="nil"/>
          <w:lang w:val="en-US" w:eastAsia="en-US"/>
        </w:rPr>
        <w:lastRenderedPageBreak/>
        <w:t xml:space="preserve">DuPont analysis </w:t>
      </w:r>
      <w:r w:rsidRPr="002A7A75">
        <w:rPr>
          <w:rFonts w:eastAsia="Calibri" w:cs="Calibri"/>
          <w:sz w:val="28"/>
          <w:szCs w:val="28"/>
          <w:u w:color="000000"/>
          <w:bdr w:val="nil"/>
          <w:lang w:val="en-US" w:eastAsia="en-US"/>
        </w:rPr>
        <w:t xml:space="preserve">investigates </w:t>
      </w:r>
      <w:r w:rsidR="006A7885">
        <w:rPr>
          <w:rFonts w:eastAsia="Calibri" w:cs="Calibri"/>
          <w:sz w:val="28"/>
          <w:szCs w:val="28"/>
          <w:u w:color="000000"/>
          <w:bdr w:val="nil"/>
          <w:lang w:val="en-US" w:eastAsia="en-US"/>
        </w:rPr>
        <w:t>by what</w:t>
      </w:r>
      <w:r w:rsidRPr="002A7A75">
        <w:rPr>
          <w:rFonts w:eastAsia="Calibri" w:cs="Calibri"/>
          <w:sz w:val="28"/>
          <w:szCs w:val="28"/>
          <w:u w:color="000000"/>
          <w:bdr w:val="nil"/>
          <w:lang w:val="en-US" w:eastAsia="en-US"/>
        </w:rPr>
        <w:t xml:space="preserve"> the return on equity is affected: (i) total asset turnover (asset use efficiency); (ii) net profit margin (operating efficiency); (iii) equity multiplier (financial leverage). </w:t>
      </w:r>
      <w:r w:rsidRPr="002A7A75">
        <w:rPr>
          <w:rFonts w:eastAsia="Calibri" w:cs="Calibri"/>
          <w:b/>
          <w:bCs/>
          <w:sz w:val="28"/>
          <w:szCs w:val="28"/>
          <w:u w:color="000000"/>
          <w:bdr w:val="nil"/>
          <w:lang w:val="en-US" w:eastAsia="en-US"/>
        </w:rPr>
        <w:t>The five-factor</w:t>
      </w:r>
      <w:r w:rsidRPr="002A7A75">
        <w:rPr>
          <w:rFonts w:eastAsia="Calibri" w:cs="Calibri"/>
          <w:sz w:val="28"/>
          <w:szCs w:val="28"/>
          <w:u w:color="000000"/>
          <w:bdr w:val="nil"/>
          <w:lang w:val="en-US" w:eastAsia="en-US"/>
        </w:rPr>
        <w:t xml:space="preserve"> (also referred as </w:t>
      </w:r>
      <w:r w:rsidRPr="002A7A75">
        <w:rPr>
          <w:rFonts w:eastAsia="Calibri" w:cs="Calibri"/>
          <w:b/>
          <w:bCs/>
          <w:sz w:val="28"/>
          <w:szCs w:val="28"/>
          <w:u w:color="000000"/>
          <w:bdr w:val="nil"/>
          <w:lang w:val="en-US" w:eastAsia="en-US"/>
        </w:rPr>
        <w:t>extended</w:t>
      </w:r>
      <w:r w:rsidRPr="002A7A75">
        <w:rPr>
          <w:rFonts w:eastAsia="Calibri" w:cs="Calibri"/>
          <w:sz w:val="28"/>
          <w:szCs w:val="28"/>
          <w:u w:color="000000"/>
          <w:bdr w:val="nil"/>
          <w:lang w:val="en-US" w:eastAsia="en-US"/>
        </w:rPr>
        <w:t xml:space="preserve">) </w:t>
      </w:r>
      <w:r w:rsidRPr="002A7A75">
        <w:rPr>
          <w:rFonts w:eastAsia="Calibri" w:cs="Calibri"/>
          <w:b/>
          <w:bCs/>
          <w:sz w:val="28"/>
          <w:szCs w:val="28"/>
          <w:u w:color="000000"/>
          <w:bdr w:val="nil"/>
          <w:lang w:val="en-US" w:eastAsia="en-US"/>
        </w:rPr>
        <w:t>DuPont analysis</w:t>
      </w:r>
      <w:r w:rsidRPr="002A7A75">
        <w:rPr>
          <w:rFonts w:eastAsia="Calibri" w:cs="Calibri"/>
          <w:sz w:val="28"/>
          <w:szCs w:val="28"/>
          <w:u w:color="000000"/>
          <w:bdr w:val="nil"/>
          <w:lang w:val="en-US" w:eastAsia="en-US"/>
        </w:rPr>
        <w:t xml:space="preserve"> provides an additional decomposition of net profit margin, and consist of the following components: (i) total asset turnover (asset use efficiency); (ii) equity multiplier (financial leverage); (iii) operating profit margin; (iv) effect of non-operating items; (v) tax effect.</w:t>
      </w:r>
    </w:p>
    <w:p w14:paraId="1E594E94" w14:textId="77777777" w:rsidR="003C51B1" w:rsidRPr="002A7A75" w:rsidRDefault="002A7A75" w:rsidP="002A7A75">
      <w:pPr>
        <w:pBdr>
          <w:top w:val="nil"/>
          <w:left w:val="nil"/>
          <w:bottom w:val="nil"/>
          <w:right w:val="nil"/>
          <w:between w:val="nil"/>
          <w:bar w:val="nil"/>
        </w:pBdr>
        <w:spacing w:line="312" w:lineRule="auto"/>
        <w:jc w:val="both"/>
        <w:rPr>
          <w:rFonts w:eastAsia="Garamond"/>
          <w:sz w:val="28"/>
          <w:szCs w:val="28"/>
          <w:u w:color="000000"/>
          <w:bdr w:val="nil"/>
          <w:lang w:val="en-US" w:eastAsia="en-US"/>
        </w:rPr>
      </w:pPr>
      <w:r>
        <w:rPr>
          <w:rFonts w:cs="Garamond"/>
          <w:noProof/>
          <w:lang w:val="ru-RU" w:eastAsia="ru-RU"/>
        </w:rPr>
        <w:drawing>
          <wp:inline distT="0" distB="0" distL="0" distR="0" wp14:anchorId="4F9302A3" wp14:editId="55D90613">
            <wp:extent cx="5891753" cy="3497344"/>
            <wp:effectExtent l="0" t="0" r="0" b="84455"/>
            <wp:docPr id="284" name="Схема 2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14:paraId="63285177" w14:textId="77777777" w:rsidR="003C51B1" w:rsidRDefault="003C51B1" w:rsidP="002A7A75">
      <w:pPr>
        <w:pBdr>
          <w:top w:val="nil"/>
          <w:left w:val="nil"/>
          <w:bottom w:val="nil"/>
          <w:right w:val="nil"/>
          <w:between w:val="nil"/>
          <w:bar w:val="nil"/>
        </w:pBdr>
        <w:spacing w:line="312" w:lineRule="auto"/>
        <w:ind w:firstLine="357"/>
        <w:jc w:val="center"/>
        <w:rPr>
          <w:rFonts w:eastAsia="Calibri" w:cs="Calibri"/>
          <w:b/>
          <w:bCs/>
          <w:sz w:val="28"/>
          <w:szCs w:val="28"/>
          <w:u w:color="000000"/>
          <w:bdr w:val="nil"/>
          <w:lang w:val="en-US" w:eastAsia="en-US"/>
        </w:rPr>
      </w:pPr>
      <w:r w:rsidRPr="002A7A75">
        <w:rPr>
          <w:rFonts w:eastAsia="Calibri" w:cs="Calibri"/>
          <w:b/>
          <w:bCs/>
          <w:sz w:val="28"/>
          <w:szCs w:val="28"/>
          <w:u w:color="000000"/>
          <w:bdr w:val="nil"/>
          <w:lang w:val="en-US" w:eastAsia="en-US"/>
        </w:rPr>
        <w:t>Figure 8.1</w:t>
      </w:r>
      <w:r w:rsidR="00505A1C">
        <w:rPr>
          <w:rFonts w:eastAsia="Calibri" w:cs="Calibri"/>
          <w:b/>
          <w:bCs/>
          <w:sz w:val="28"/>
          <w:szCs w:val="28"/>
          <w:u w:color="000000"/>
          <w:bdr w:val="nil"/>
          <w:lang w:val="en-US" w:eastAsia="en-US"/>
        </w:rPr>
        <w:t xml:space="preserve"> </w:t>
      </w:r>
      <w:r w:rsidR="00505A1C">
        <w:rPr>
          <w:rFonts w:eastAsia="Garamond"/>
          <w:b/>
          <w:bCs/>
          <w:sz w:val="28"/>
          <w:u w:color="000000"/>
          <w:bdr w:val="nil"/>
          <w:lang w:val="en-US" w:eastAsia="en-US"/>
        </w:rPr>
        <w:t>–</w:t>
      </w:r>
      <w:r w:rsidRPr="002A7A75">
        <w:rPr>
          <w:rFonts w:eastAsia="Calibri" w:cs="Calibri"/>
          <w:b/>
          <w:bCs/>
          <w:sz w:val="28"/>
          <w:szCs w:val="28"/>
          <w:u w:color="000000"/>
          <w:bdr w:val="nil"/>
          <w:lang w:val="en-US" w:eastAsia="en-US"/>
        </w:rPr>
        <w:t xml:space="preserve"> Three</w:t>
      </w:r>
      <w:r w:rsidR="005C3EC1">
        <w:rPr>
          <w:rFonts w:eastAsia="Calibri" w:cs="Calibri"/>
          <w:b/>
          <w:bCs/>
          <w:sz w:val="28"/>
          <w:szCs w:val="28"/>
          <w:u w:color="000000"/>
          <w:bdr w:val="nil"/>
          <w:lang w:val="en-US" w:eastAsia="en-US"/>
        </w:rPr>
        <w:t>/five component DuPont analysis</w:t>
      </w:r>
    </w:p>
    <w:p w14:paraId="1CCA29EF" w14:textId="77777777" w:rsidR="002A7A75" w:rsidRPr="002A7A75" w:rsidRDefault="002A7A75" w:rsidP="002A7A75">
      <w:pPr>
        <w:pStyle w:val="end2"/>
        <w:rPr>
          <w:rFonts w:eastAsia="Calibri"/>
          <w:u w:color="000000"/>
          <w:bdr w:val="nil"/>
          <w:lang w:eastAsia="en-US"/>
        </w:rPr>
      </w:pPr>
      <w:r w:rsidRPr="002A7A75">
        <w:rPr>
          <w:rFonts w:eastAsia="Calibri"/>
          <w:u w:color="000000"/>
          <w:bdr w:val="nil"/>
          <w:lang w:eastAsia="en-US"/>
        </w:rPr>
        <w:t>RECOMMENDED READING</w:t>
      </w:r>
    </w:p>
    <w:p w14:paraId="12B7784A" w14:textId="77777777" w:rsidR="0072591B" w:rsidRPr="00505A1C" w:rsidRDefault="00505A1C" w:rsidP="00505A1C">
      <w:pPr>
        <w:pStyle w:val="ListParagraph"/>
        <w:numPr>
          <w:ilvl w:val="3"/>
          <w:numId w:val="33"/>
        </w:numPr>
        <w:tabs>
          <w:tab w:val="clear" w:pos="3589"/>
        </w:tabs>
        <w:spacing w:line="240" w:lineRule="atLeast"/>
        <w:ind w:left="426"/>
        <w:jc w:val="both"/>
        <w:rPr>
          <w:rFonts w:ascii="Garamond" w:hAnsi="Garamond"/>
          <w:lang w:val="en-US"/>
        </w:rPr>
      </w:pPr>
      <w:r>
        <w:rPr>
          <w:rFonts w:ascii="Garamond" w:hAnsi="Garamond"/>
          <w:lang w:val="en-US"/>
        </w:rPr>
        <w:t>Altman, E. I., 1968,</w:t>
      </w:r>
      <w:r w:rsidR="0072591B" w:rsidRPr="00505A1C">
        <w:rPr>
          <w:rFonts w:ascii="Garamond" w:hAnsi="Garamond"/>
          <w:lang w:val="en-US"/>
        </w:rPr>
        <w:t xml:space="preserve"> Financial ratios, discriminant analysis and the prediction of corporate bankruptcy. </w:t>
      </w:r>
      <w:r w:rsidR="00C66B5C">
        <w:rPr>
          <w:rFonts w:ascii="Garamond" w:hAnsi="Garamond"/>
          <w:i/>
          <w:lang w:val="en-US"/>
        </w:rPr>
        <w:t>The Journal of F</w:t>
      </w:r>
      <w:r w:rsidR="0072591B" w:rsidRPr="00505A1C">
        <w:rPr>
          <w:rFonts w:ascii="Garamond" w:hAnsi="Garamond"/>
          <w:i/>
          <w:lang w:val="en-US"/>
        </w:rPr>
        <w:t>inance</w:t>
      </w:r>
      <w:r w:rsidR="0072591B" w:rsidRPr="00505A1C">
        <w:rPr>
          <w:rFonts w:ascii="Garamond" w:hAnsi="Garamond"/>
          <w:lang w:val="en-US"/>
        </w:rPr>
        <w:t>, 23</w:t>
      </w:r>
      <w:r w:rsidR="006A7885" w:rsidRPr="00505A1C">
        <w:rPr>
          <w:rFonts w:ascii="Garamond" w:hAnsi="Garamond"/>
          <w:lang w:val="en-US"/>
        </w:rPr>
        <w:t xml:space="preserve"> </w:t>
      </w:r>
      <w:r w:rsidR="0072591B" w:rsidRPr="00505A1C">
        <w:rPr>
          <w:rFonts w:ascii="Garamond" w:hAnsi="Garamond"/>
          <w:lang w:val="en-US"/>
        </w:rPr>
        <w:t xml:space="preserve">(4), </w:t>
      </w:r>
      <w:r>
        <w:rPr>
          <w:rFonts w:ascii="Garamond" w:hAnsi="Garamond"/>
          <w:lang w:val="en-US"/>
        </w:rPr>
        <w:t xml:space="preserve">pp. </w:t>
      </w:r>
      <w:r w:rsidR="0072591B" w:rsidRPr="00505A1C">
        <w:rPr>
          <w:rFonts w:ascii="Garamond" w:hAnsi="Garamond"/>
          <w:lang w:val="en-US"/>
        </w:rPr>
        <w:t>589</w:t>
      </w:r>
      <w:r w:rsidR="006A7885" w:rsidRPr="00505A1C">
        <w:rPr>
          <w:rFonts w:ascii="Garamond" w:hAnsi="Garamond" w:cs="Calibri"/>
          <w:szCs w:val="28"/>
          <w:bdr w:val="none" w:sz="0" w:space="0" w:color="auto" w:frame="1"/>
          <w:lang w:val="en-US"/>
        </w:rPr>
        <w:t>–</w:t>
      </w:r>
      <w:r w:rsidR="0072591B" w:rsidRPr="00505A1C">
        <w:rPr>
          <w:rFonts w:ascii="Garamond" w:hAnsi="Garamond"/>
          <w:lang w:val="en-US"/>
        </w:rPr>
        <w:t>609.</w:t>
      </w:r>
    </w:p>
    <w:p w14:paraId="238E66C8" w14:textId="77777777" w:rsidR="0072591B" w:rsidRPr="00505A1C" w:rsidRDefault="00505A1C" w:rsidP="00C66B5C">
      <w:pPr>
        <w:pStyle w:val="ListParagraph"/>
        <w:numPr>
          <w:ilvl w:val="3"/>
          <w:numId w:val="33"/>
        </w:numPr>
        <w:tabs>
          <w:tab w:val="clear" w:pos="3589"/>
        </w:tabs>
        <w:spacing w:line="240" w:lineRule="atLeast"/>
        <w:ind w:left="426"/>
        <w:jc w:val="both"/>
        <w:rPr>
          <w:rFonts w:ascii="Garamond" w:hAnsi="Garamond"/>
          <w:lang w:val="en-US"/>
        </w:rPr>
      </w:pPr>
      <w:r>
        <w:rPr>
          <w:rFonts w:ascii="Garamond" w:hAnsi="Garamond"/>
          <w:lang w:val="en-US"/>
        </w:rPr>
        <w:t xml:space="preserve">Bernstein, L. A., </w:t>
      </w:r>
      <w:r w:rsidR="0072591B" w:rsidRPr="00505A1C">
        <w:rPr>
          <w:rFonts w:ascii="Garamond" w:hAnsi="Garamond"/>
          <w:lang w:val="en-US"/>
        </w:rPr>
        <w:t>1989</w:t>
      </w:r>
      <w:r w:rsidRPr="00505A1C">
        <w:rPr>
          <w:rFonts w:ascii="Garamond" w:hAnsi="Garamond"/>
          <w:i/>
          <w:lang w:val="en-US"/>
        </w:rPr>
        <w:t xml:space="preserve">, </w:t>
      </w:r>
      <w:r w:rsidR="0072591B" w:rsidRPr="00505A1C">
        <w:rPr>
          <w:rFonts w:ascii="Garamond" w:hAnsi="Garamond"/>
          <w:i/>
          <w:lang w:val="en-US"/>
        </w:rPr>
        <w:t>Financial statement analysis</w:t>
      </w:r>
      <w:r w:rsidR="00C66B5C">
        <w:rPr>
          <w:rFonts w:ascii="Garamond" w:hAnsi="Garamond"/>
          <w:i/>
          <w:lang w:val="en-US"/>
        </w:rPr>
        <w:t>:</w:t>
      </w:r>
      <w:r w:rsidR="0072591B" w:rsidRPr="00505A1C">
        <w:rPr>
          <w:rFonts w:ascii="Garamond" w:hAnsi="Garamond"/>
          <w:i/>
          <w:lang w:val="en-US"/>
        </w:rPr>
        <w:t xml:space="preserve"> theory, application, and interpretation</w:t>
      </w:r>
      <w:r w:rsidR="00C66B5C">
        <w:rPr>
          <w:rFonts w:ascii="Garamond" w:hAnsi="Garamond"/>
          <w:lang w:val="en-US"/>
        </w:rPr>
        <w:t xml:space="preserve">, </w:t>
      </w:r>
      <w:r w:rsidR="00C66B5C" w:rsidRPr="00C66B5C">
        <w:rPr>
          <w:rFonts w:ascii="Garamond" w:hAnsi="Garamond"/>
          <w:lang w:val="en-US"/>
        </w:rPr>
        <w:t>4 th ed. Richard D. Irwin. Homewood, Ilinois.</w:t>
      </w:r>
    </w:p>
    <w:p w14:paraId="2909CD77" w14:textId="77777777" w:rsidR="0072591B" w:rsidRPr="00505A1C" w:rsidRDefault="0072591B" w:rsidP="00505A1C">
      <w:pPr>
        <w:pStyle w:val="ListParagraph"/>
        <w:numPr>
          <w:ilvl w:val="3"/>
          <w:numId w:val="33"/>
        </w:numPr>
        <w:tabs>
          <w:tab w:val="clear" w:pos="3589"/>
        </w:tabs>
        <w:spacing w:line="240" w:lineRule="atLeast"/>
        <w:ind w:left="426"/>
        <w:jc w:val="both"/>
        <w:rPr>
          <w:rFonts w:ascii="Garamond" w:hAnsi="Garamond"/>
          <w:lang w:val="en-US"/>
        </w:rPr>
      </w:pPr>
      <w:r w:rsidRPr="00505A1C">
        <w:rPr>
          <w:rFonts w:ascii="Garamond" w:hAnsi="Garamond"/>
          <w:lang w:val="en-US"/>
        </w:rPr>
        <w:t xml:space="preserve">Brigham, E., </w:t>
      </w:r>
      <w:r w:rsidR="00505A1C">
        <w:rPr>
          <w:rFonts w:ascii="Garamond" w:hAnsi="Garamond"/>
          <w:lang w:val="en-US"/>
        </w:rPr>
        <w:t xml:space="preserve">and Ehrhardt, M., 2013, </w:t>
      </w:r>
      <w:r w:rsidRPr="00505A1C">
        <w:rPr>
          <w:rFonts w:ascii="Garamond" w:hAnsi="Garamond"/>
          <w:i/>
          <w:lang w:val="en-US"/>
        </w:rPr>
        <w:t xml:space="preserve">Financial management: theory </w:t>
      </w:r>
      <w:r w:rsidR="00C66B5C">
        <w:rPr>
          <w:rFonts w:ascii="Garamond" w:hAnsi="Garamond"/>
          <w:i/>
          <w:lang w:val="en-US"/>
        </w:rPr>
        <w:t>and</w:t>
      </w:r>
      <w:r w:rsidRPr="00505A1C">
        <w:rPr>
          <w:rFonts w:ascii="Garamond" w:hAnsi="Garamond"/>
          <w:i/>
          <w:lang w:val="en-US"/>
        </w:rPr>
        <w:t xml:space="preserve"> practice</w:t>
      </w:r>
      <w:r w:rsidR="00505A1C">
        <w:rPr>
          <w:rFonts w:ascii="Garamond" w:hAnsi="Garamond"/>
          <w:i/>
          <w:lang w:val="en-US"/>
        </w:rPr>
        <w:t>,</w:t>
      </w:r>
      <w:r w:rsidRPr="00505A1C">
        <w:rPr>
          <w:rFonts w:ascii="Garamond" w:hAnsi="Garamond"/>
          <w:lang w:val="en-US"/>
        </w:rPr>
        <w:t xml:space="preserve"> Cengage Learning.</w:t>
      </w:r>
    </w:p>
    <w:p w14:paraId="781C1AA7" w14:textId="77777777" w:rsidR="0072591B" w:rsidRPr="00505A1C" w:rsidRDefault="0072591B" w:rsidP="00505A1C">
      <w:pPr>
        <w:pStyle w:val="ListParagraph"/>
        <w:numPr>
          <w:ilvl w:val="3"/>
          <w:numId w:val="33"/>
        </w:numPr>
        <w:tabs>
          <w:tab w:val="clear" w:pos="3589"/>
        </w:tabs>
        <w:spacing w:line="240" w:lineRule="atLeast"/>
        <w:ind w:left="426"/>
        <w:jc w:val="both"/>
        <w:rPr>
          <w:rFonts w:ascii="Garamond" w:hAnsi="Garamond"/>
          <w:lang w:val="en-US"/>
        </w:rPr>
      </w:pPr>
      <w:r w:rsidRPr="00505A1C">
        <w:rPr>
          <w:rFonts w:ascii="Garamond" w:hAnsi="Garamond"/>
          <w:lang w:val="en-US"/>
        </w:rPr>
        <w:t xml:space="preserve">Brochet, F., Jagolinzer, A. D., </w:t>
      </w:r>
      <w:r w:rsidR="00505A1C">
        <w:rPr>
          <w:rFonts w:ascii="Garamond" w:hAnsi="Garamond"/>
          <w:lang w:val="en-US"/>
        </w:rPr>
        <w:t xml:space="preserve">and Riedl, E. J., 2013, </w:t>
      </w:r>
      <w:r w:rsidRPr="00505A1C">
        <w:rPr>
          <w:rFonts w:ascii="Garamond" w:hAnsi="Garamond"/>
          <w:lang w:val="en-US"/>
        </w:rPr>
        <w:t>Mandatory IFRS adoption and fin</w:t>
      </w:r>
      <w:r w:rsidR="00505A1C">
        <w:rPr>
          <w:rFonts w:ascii="Garamond" w:hAnsi="Garamond"/>
          <w:lang w:val="en-US"/>
        </w:rPr>
        <w:t xml:space="preserve">ancial statement comparability, </w:t>
      </w:r>
      <w:r w:rsidRPr="00505A1C">
        <w:rPr>
          <w:rFonts w:ascii="Garamond" w:hAnsi="Garamond"/>
          <w:i/>
          <w:lang w:val="en-US"/>
        </w:rPr>
        <w:t>Contemporary Accounting Research</w:t>
      </w:r>
      <w:r w:rsidRPr="00505A1C">
        <w:rPr>
          <w:rFonts w:ascii="Garamond" w:hAnsi="Garamond"/>
          <w:lang w:val="en-US"/>
        </w:rPr>
        <w:t>, 30</w:t>
      </w:r>
      <w:r w:rsidR="006A7885" w:rsidRPr="00505A1C">
        <w:rPr>
          <w:rFonts w:ascii="Garamond" w:hAnsi="Garamond"/>
          <w:lang w:val="en-US"/>
        </w:rPr>
        <w:t xml:space="preserve"> </w:t>
      </w:r>
      <w:r w:rsidRPr="00505A1C">
        <w:rPr>
          <w:rFonts w:ascii="Garamond" w:hAnsi="Garamond"/>
          <w:lang w:val="en-US"/>
        </w:rPr>
        <w:t xml:space="preserve">(4), </w:t>
      </w:r>
      <w:r w:rsidR="00505A1C">
        <w:rPr>
          <w:rFonts w:ascii="Garamond" w:hAnsi="Garamond"/>
          <w:lang w:val="en-US"/>
        </w:rPr>
        <w:t>pp.</w:t>
      </w:r>
      <w:r w:rsidR="00C66B5C">
        <w:rPr>
          <w:rFonts w:ascii="Garamond" w:hAnsi="Garamond"/>
          <w:lang w:val="en-US"/>
        </w:rPr>
        <w:t> </w:t>
      </w:r>
      <w:r w:rsidRPr="00505A1C">
        <w:rPr>
          <w:rFonts w:ascii="Garamond" w:hAnsi="Garamond"/>
          <w:lang w:val="en-US"/>
        </w:rPr>
        <w:t>1373</w:t>
      </w:r>
      <w:r w:rsidR="006A7885" w:rsidRPr="00505A1C">
        <w:rPr>
          <w:rFonts w:ascii="Garamond" w:hAnsi="Garamond"/>
          <w:lang w:val="en-US"/>
        </w:rPr>
        <w:t>–</w:t>
      </w:r>
      <w:r w:rsidRPr="00505A1C">
        <w:rPr>
          <w:rFonts w:ascii="Garamond" w:hAnsi="Garamond"/>
          <w:lang w:val="en-US"/>
        </w:rPr>
        <w:t>1400.</w:t>
      </w:r>
    </w:p>
    <w:p w14:paraId="6937835C" w14:textId="77777777" w:rsidR="0072591B" w:rsidRPr="00505A1C" w:rsidRDefault="0072591B" w:rsidP="00505A1C">
      <w:pPr>
        <w:pStyle w:val="ListParagraph"/>
        <w:numPr>
          <w:ilvl w:val="3"/>
          <w:numId w:val="33"/>
        </w:numPr>
        <w:tabs>
          <w:tab w:val="clear" w:pos="3589"/>
        </w:tabs>
        <w:spacing w:line="240" w:lineRule="atLeast"/>
        <w:ind w:left="426"/>
        <w:jc w:val="both"/>
        <w:rPr>
          <w:rFonts w:ascii="Garamond" w:hAnsi="Garamond"/>
          <w:lang w:val="en-US"/>
        </w:rPr>
      </w:pPr>
      <w:r w:rsidRPr="00505A1C">
        <w:rPr>
          <w:rFonts w:ascii="Garamond" w:hAnsi="Garamond"/>
          <w:lang w:val="en-US"/>
        </w:rPr>
        <w:t xml:space="preserve">Fabozzi, F. J., </w:t>
      </w:r>
      <w:r w:rsidR="00505A1C">
        <w:rPr>
          <w:rFonts w:ascii="Garamond" w:hAnsi="Garamond"/>
          <w:lang w:val="en-US"/>
        </w:rPr>
        <w:t>and Peterson, P. P., 2013,</w:t>
      </w:r>
      <w:r w:rsidRPr="00505A1C">
        <w:rPr>
          <w:rFonts w:ascii="Garamond" w:hAnsi="Garamond"/>
          <w:lang w:val="en-US"/>
        </w:rPr>
        <w:t xml:space="preserve"> </w:t>
      </w:r>
      <w:r w:rsidRPr="00505A1C">
        <w:rPr>
          <w:rFonts w:ascii="Garamond" w:hAnsi="Garamond"/>
          <w:i/>
          <w:lang w:val="en-US"/>
        </w:rPr>
        <w:t>Analysis of Financial Statements</w:t>
      </w:r>
      <w:r w:rsidR="00505A1C">
        <w:rPr>
          <w:rFonts w:ascii="Garamond" w:hAnsi="Garamond"/>
          <w:i/>
          <w:lang w:val="en-US"/>
        </w:rPr>
        <w:t>,</w:t>
      </w:r>
      <w:r w:rsidRPr="00505A1C">
        <w:rPr>
          <w:rFonts w:ascii="Garamond" w:hAnsi="Garamond"/>
          <w:lang w:val="en-US"/>
        </w:rPr>
        <w:t xml:space="preserve"> Wiley.</w:t>
      </w:r>
    </w:p>
    <w:p w14:paraId="11B742A8" w14:textId="77777777" w:rsidR="0072591B" w:rsidRPr="00505A1C" w:rsidRDefault="0072591B" w:rsidP="00505A1C">
      <w:pPr>
        <w:pStyle w:val="ListParagraph"/>
        <w:numPr>
          <w:ilvl w:val="3"/>
          <w:numId w:val="33"/>
        </w:numPr>
        <w:tabs>
          <w:tab w:val="clear" w:pos="3589"/>
        </w:tabs>
        <w:spacing w:line="240" w:lineRule="atLeast"/>
        <w:ind w:left="426"/>
        <w:jc w:val="both"/>
        <w:rPr>
          <w:rFonts w:ascii="Garamond" w:hAnsi="Garamond"/>
          <w:lang w:val="en-US"/>
        </w:rPr>
      </w:pPr>
      <w:r w:rsidRPr="00505A1C">
        <w:rPr>
          <w:rFonts w:ascii="Garamond" w:hAnsi="Garamond"/>
          <w:lang w:val="en-US"/>
        </w:rPr>
        <w:t xml:space="preserve">Henry, E., </w:t>
      </w:r>
      <w:r w:rsidR="00505A1C">
        <w:rPr>
          <w:rFonts w:ascii="Garamond" w:hAnsi="Garamond"/>
          <w:lang w:val="en-US"/>
        </w:rPr>
        <w:t>and Robinson, T. R., 2015,</w:t>
      </w:r>
      <w:r w:rsidRPr="00505A1C">
        <w:rPr>
          <w:rFonts w:ascii="Garamond" w:hAnsi="Garamond"/>
          <w:lang w:val="en-US"/>
        </w:rPr>
        <w:t xml:space="preserve"> Chapter 1. Financial Stat</w:t>
      </w:r>
      <w:r w:rsidR="00505A1C">
        <w:rPr>
          <w:rFonts w:ascii="Garamond" w:hAnsi="Garamond"/>
          <w:lang w:val="en-US"/>
        </w:rPr>
        <w:t>ement Analysis: An Introduction,</w:t>
      </w:r>
      <w:r w:rsidRPr="00505A1C">
        <w:rPr>
          <w:rFonts w:ascii="Garamond" w:hAnsi="Garamond"/>
          <w:lang w:val="en-US"/>
        </w:rPr>
        <w:t xml:space="preserve"> </w:t>
      </w:r>
      <w:r w:rsidRPr="00505A1C">
        <w:rPr>
          <w:rFonts w:ascii="Garamond" w:hAnsi="Garamond"/>
          <w:i/>
          <w:lang w:val="en-US"/>
        </w:rPr>
        <w:t>CFA Institute Investment Books</w:t>
      </w:r>
      <w:r w:rsidRPr="00505A1C">
        <w:rPr>
          <w:rFonts w:ascii="Garamond" w:hAnsi="Garamond"/>
          <w:lang w:val="en-US"/>
        </w:rPr>
        <w:t>, 2015</w:t>
      </w:r>
      <w:r w:rsidR="006A7885" w:rsidRPr="00505A1C">
        <w:rPr>
          <w:rFonts w:ascii="Garamond" w:hAnsi="Garamond"/>
          <w:lang w:val="en-US"/>
        </w:rPr>
        <w:t xml:space="preserve"> </w:t>
      </w:r>
      <w:r w:rsidRPr="00505A1C">
        <w:rPr>
          <w:rFonts w:ascii="Garamond" w:hAnsi="Garamond"/>
          <w:lang w:val="en-US"/>
        </w:rPr>
        <w:t xml:space="preserve">(2), </w:t>
      </w:r>
      <w:r w:rsidR="00505A1C">
        <w:rPr>
          <w:rFonts w:ascii="Garamond" w:hAnsi="Garamond"/>
          <w:lang w:val="en-US"/>
        </w:rPr>
        <w:t xml:space="preserve">pp. </w:t>
      </w:r>
      <w:r w:rsidRPr="00505A1C">
        <w:rPr>
          <w:rFonts w:ascii="Garamond" w:hAnsi="Garamond"/>
          <w:lang w:val="en-US"/>
        </w:rPr>
        <w:t>1</w:t>
      </w:r>
      <w:r w:rsidR="006A7885" w:rsidRPr="00505A1C">
        <w:rPr>
          <w:rFonts w:ascii="Garamond" w:hAnsi="Garamond"/>
          <w:lang w:val="en-US"/>
        </w:rPr>
        <w:t>–</w:t>
      </w:r>
      <w:r w:rsidRPr="00505A1C">
        <w:rPr>
          <w:rFonts w:ascii="Garamond" w:hAnsi="Garamond"/>
          <w:lang w:val="en-US"/>
        </w:rPr>
        <w:t>35.</w:t>
      </w:r>
    </w:p>
    <w:p w14:paraId="3E84DF87" w14:textId="77777777" w:rsidR="0072591B" w:rsidRPr="00505A1C" w:rsidRDefault="0072591B" w:rsidP="00505A1C">
      <w:pPr>
        <w:pStyle w:val="ListParagraph"/>
        <w:numPr>
          <w:ilvl w:val="3"/>
          <w:numId w:val="33"/>
        </w:numPr>
        <w:tabs>
          <w:tab w:val="clear" w:pos="3589"/>
        </w:tabs>
        <w:spacing w:line="240" w:lineRule="atLeast"/>
        <w:ind w:left="426"/>
        <w:jc w:val="both"/>
        <w:rPr>
          <w:rFonts w:ascii="Garamond" w:hAnsi="Garamond"/>
          <w:lang w:val="en-US"/>
        </w:rPr>
      </w:pPr>
      <w:r w:rsidRPr="00505A1C">
        <w:rPr>
          <w:rFonts w:ascii="Garamond" w:hAnsi="Garamond"/>
          <w:lang w:val="en-US"/>
        </w:rPr>
        <w:lastRenderedPageBreak/>
        <w:t xml:space="preserve">Ormiston, A., </w:t>
      </w:r>
      <w:r w:rsidR="00252DD6">
        <w:rPr>
          <w:rFonts w:ascii="Garamond" w:hAnsi="Garamond"/>
          <w:lang w:val="en-US"/>
        </w:rPr>
        <w:t>and Fraser, L. M., 2013,</w:t>
      </w:r>
      <w:r w:rsidRPr="00505A1C">
        <w:rPr>
          <w:rFonts w:ascii="Garamond" w:hAnsi="Garamond"/>
          <w:lang w:val="en-US"/>
        </w:rPr>
        <w:t xml:space="preserve"> </w:t>
      </w:r>
      <w:r w:rsidRPr="00252DD6">
        <w:rPr>
          <w:rFonts w:ascii="Garamond" w:hAnsi="Garamond"/>
          <w:i/>
          <w:lang w:val="en-US"/>
        </w:rPr>
        <w:t>Und</w:t>
      </w:r>
      <w:r w:rsidR="00252DD6" w:rsidRPr="00252DD6">
        <w:rPr>
          <w:rFonts w:ascii="Garamond" w:hAnsi="Garamond"/>
          <w:i/>
          <w:lang w:val="en-US"/>
        </w:rPr>
        <w:t xml:space="preserve">erstanding </w:t>
      </w:r>
      <w:r w:rsidR="00C66B5C" w:rsidRPr="00252DD6">
        <w:rPr>
          <w:rFonts w:ascii="Garamond" w:hAnsi="Garamond"/>
          <w:i/>
          <w:lang w:val="en-US"/>
        </w:rPr>
        <w:t>Financial Statements</w:t>
      </w:r>
      <w:r w:rsidR="00252DD6">
        <w:rPr>
          <w:rFonts w:ascii="Garamond" w:hAnsi="Garamond"/>
          <w:lang w:val="en-US"/>
        </w:rPr>
        <w:t>,</w:t>
      </w:r>
      <w:r w:rsidRPr="00505A1C">
        <w:rPr>
          <w:rFonts w:ascii="Garamond" w:hAnsi="Garamond"/>
          <w:lang w:val="en-US"/>
        </w:rPr>
        <w:t xml:space="preserve"> Pearson Education.</w:t>
      </w:r>
    </w:p>
    <w:p w14:paraId="0A80163D" w14:textId="77777777" w:rsidR="0072591B" w:rsidRPr="00505A1C" w:rsidRDefault="0072591B" w:rsidP="00505A1C">
      <w:pPr>
        <w:pStyle w:val="ListParagraph"/>
        <w:numPr>
          <w:ilvl w:val="3"/>
          <w:numId w:val="33"/>
        </w:numPr>
        <w:tabs>
          <w:tab w:val="clear" w:pos="3589"/>
        </w:tabs>
        <w:spacing w:line="240" w:lineRule="atLeast"/>
        <w:ind w:left="426"/>
        <w:jc w:val="both"/>
        <w:rPr>
          <w:rFonts w:ascii="Garamond" w:hAnsi="Garamond"/>
          <w:lang w:val="en-US"/>
        </w:rPr>
      </w:pPr>
      <w:r w:rsidRPr="00505A1C">
        <w:rPr>
          <w:rFonts w:ascii="Garamond" w:hAnsi="Garamond"/>
          <w:lang w:val="en-US"/>
        </w:rPr>
        <w:t xml:space="preserve">Stickney, C., Brown, P., </w:t>
      </w:r>
      <w:r w:rsidR="00252DD6">
        <w:rPr>
          <w:rFonts w:ascii="Garamond" w:hAnsi="Garamond"/>
          <w:lang w:val="en-US"/>
        </w:rPr>
        <w:t>and Press, D., 1990,</w:t>
      </w:r>
      <w:r w:rsidRPr="00505A1C">
        <w:rPr>
          <w:rFonts w:ascii="Garamond" w:hAnsi="Garamond"/>
          <w:lang w:val="en-US"/>
        </w:rPr>
        <w:t xml:space="preserve"> </w:t>
      </w:r>
      <w:r w:rsidRPr="00252DD6">
        <w:rPr>
          <w:rFonts w:ascii="Garamond" w:hAnsi="Garamond"/>
          <w:i/>
          <w:lang w:val="en-US"/>
        </w:rPr>
        <w:t>Financial Statement Analysis</w:t>
      </w:r>
      <w:r w:rsidR="00252DD6">
        <w:rPr>
          <w:rFonts w:ascii="Garamond" w:hAnsi="Garamond"/>
          <w:lang w:val="en-US"/>
        </w:rPr>
        <w:t>,</w:t>
      </w:r>
      <w:r w:rsidRPr="00505A1C">
        <w:rPr>
          <w:rFonts w:ascii="Garamond" w:hAnsi="Garamond"/>
          <w:lang w:val="en-US"/>
        </w:rPr>
        <w:t xml:space="preserve"> Harcourt Brace Jovanovich.</w:t>
      </w:r>
    </w:p>
    <w:p w14:paraId="6EE1CD9E" w14:textId="77777777" w:rsidR="0072591B" w:rsidRPr="00505A1C" w:rsidRDefault="0072591B" w:rsidP="00505A1C">
      <w:pPr>
        <w:pStyle w:val="ListParagraph"/>
        <w:numPr>
          <w:ilvl w:val="3"/>
          <w:numId w:val="33"/>
        </w:numPr>
        <w:tabs>
          <w:tab w:val="clear" w:pos="3589"/>
        </w:tabs>
        <w:spacing w:line="240" w:lineRule="atLeast"/>
        <w:ind w:left="426"/>
        <w:jc w:val="both"/>
        <w:rPr>
          <w:rFonts w:ascii="Garamond" w:hAnsi="Garamond"/>
          <w:lang w:val="en-US"/>
        </w:rPr>
      </w:pPr>
      <w:r w:rsidRPr="00505A1C">
        <w:rPr>
          <w:rFonts w:ascii="Garamond" w:hAnsi="Garamond"/>
          <w:lang w:val="en-US"/>
        </w:rPr>
        <w:t xml:space="preserve">White, G. I., Sondhi, A. C., </w:t>
      </w:r>
      <w:r w:rsidR="00252DD6">
        <w:rPr>
          <w:rFonts w:ascii="Garamond" w:hAnsi="Garamond"/>
          <w:lang w:val="en-US"/>
        </w:rPr>
        <w:t>and Fried, D., 2003,</w:t>
      </w:r>
      <w:r w:rsidRPr="00505A1C">
        <w:rPr>
          <w:rFonts w:ascii="Garamond" w:hAnsi="Garamond"/>
          <w:lang w:val="en-US"/>
        </w:rPr>
        <w:t xml:space="preserve"> </w:t>
      </w:r>
      <w:r w:rsidRPr="00252DD6">
        <w:rPr>
          <w:rFonts w:ascii="Garamond" w:hAnsi="Garamond"/>
          <w:i/>
          <w:lang w:val="en-US"/>
        </w:rPr>
        <w:t xml:space="preserve">The </w:t>
      </w:r>
      <w:r w:rsidR="00C66B5C">
        <w:rPr>
          <w:rFonts w:ascii="Garamond" w:hAnsi="Garamond"/>
          <w:i/>
          <w:lang w:val="en-US"/>
        </w:rPr>
        <w:t>A</w:t>
      </w:r>
      <w:r w:rsidRPr="00252DD6">
        <w:rPr>
          <w:rFonts w:ascii="Garamond" w:hAnsi="Garamond"/>
          <w:i/>
          <w:lang w:val="en-US"/>
        </w:rPr>
        <w:t xml:space="preserve">nalysis and </w:t>
      </w:r>
      <w:r w:rsidR="00C66B5C">
        <w:rPr>
          <w:rFonts w:ascii="Garamond" w:hAnsi="Garamond"/>
          <w:i/>
          <w:lang w:val="en-US"/>
        </w:rPr>
        <w:t>U</w:t>
      </w:r>
      <w:r w:rsidRPr="00252DD6">
        <w:rPr>
          <w:rFonts w:ascii="Garamond" w:hAnsi="Garamond"/>
          <w:i/>
          <w:lang w:val="en-US"/>
        </w:rPr>
        <w:t xml:space="preserve">se of </w:t>
      </w:r>
      <w:r w:rsidR="00C66B5C">
        <w:rPr>
          <w:rFonts w:ascii="Garamond" w:hAnsi="Garamond"/>
          <w:i/>
          <w:lang w:val="en-US"/>
        </w:rPr>
        <w:t>F</w:t>
      </w:r>
      <w:r w:rsidRPr="00252DD6">
        <w:rPr>
          <w:rFonts w:ascii="Garamond" w:hAnsi="Garamond"/>
          <w:i/>
          <w:lang w:val="en-US"/>
        </w:rPr>
        <w:t>in</w:t>
      </w:r>
      <w:r w:rsidR="00252DD6" w:rsidRPr="00252DD6">
        <w:rPr>
          <w:rFonts w:ascii="Garamond" w:hAnsi="Garamond"/>
          <w:i/>
          <w:lang w:val="en-US"/>
        </w:rPr>
        <w:t xml:space="preserve">ancial </w:t>
      </w:r>
      <w:r w:rsidR="00C66B5C">
        <w:rPr>
          <w:rFonts w:ascii="Garamond" w:hAnsi="Garamond"/>
          <w:i/>
          <w:lang w:val="en-US"/>
        </w:rPr>
        <w:t>S</w:t>
      </w:r>
      <w:r w:rsidR="00252DD6" w:rsidRPr="00252DD6">
        <w:rPr>
          <w:rFonts w:ascii="Garamond" w:hAnsi="Garamond"/>
          <w:i/>
          <w:lang w:val="en-US"/>
        </w:rPr>
        <w:t>tatements</w:t>
      </w:r>
      <w:r w:rsidR="00252DD6">
        <w:rPr>
          <w:rFonts w:ascii="Garamond" w:hAnsi="Garamond"/>
          <w:lang w:val="en-US"/>
        </w:rPr>
        <w:t xml:space="preserve">, </w:t>
      </w:r>
      <w:r w:rsidRPr="00505A1C">
        <w:rPr>
          <w:rFonts w:ascii="Garamond" w:hAnsi="Garamond"/>
          <w:lang w:val="en-US"/>
        </w:rPr>
        <w:t>John Wiley &amp; Sons.</w:t>
      </w:r>
    </w:p>
    <w:p w14:paraId="679A0DB9" w14:textId="77777777" w:rsidR="002A7A75" w:rsidRPr="00505A1C" w:rsidRDefault="002A7A75" w:rsidP="002A7A75">
      <w:pPr>
        <w:spacing w:line="240" w:lineRule="atLeast"/>
        <w:ind w:firstLine="357"/>
        <w:rPr>
          <w:b/>
          <w:color w:val="000000" w:themeColor="text1"/>
          <w:sz w:val="28"/>
          <w:szCs w:val="28"/>
          <w:lang w:val="en-US"/>
        </w:rPr>
      </w:pPr>
      <w:r w:rsidRPr="00505A1C">
        <w:rPr>
          <w:b/>
          <w:color w:val="000000" w:themeColor="text1"/>
          <w:sz w:val="28"/>
          <w:szCs w:val="28"/>
          <w:lang w:val="en-US"/>
        </w:rPr>
        <w:t>Relevant websites</w:t>
      </w:r>
    </w:p>
    <w:p w14:paraId="1C0D5EA1" w14:textId="77777777" w:rsidR="002A7A75" w:rsidRPr="00505A1C" w:rsidRDefault="002A7A75" w:rsidP="006F749C">
      <w:pPr>
        <w:pStyle w:val="ListParagraph"/>
        <w:numPr>
          <w:ilvl w:val="3"/>
          <w:numId w:val="272"/>
        </w:numPr>
        <w:tabs>
          <w:tab w:val="clear" w:pos="3589"/>
          <w:tab w:val="num" w:pos="3402"/>
        </w:tabs>
        <w:spacing w:line="240" w:lineRule="atLeast"/>
        <w:ind w:left="426"/>
        <w:jc w:val="both"/>
        <w:rPr>
          <w:rFonts w:ascii="Garamond" w:hAnsi="Garamond"/>
          <w:lang w:val="en-US"/>
        </w:rPr>
      </w:pPr>
      <w:r w:rsidRPr="00505A1C">
        <w:rPr>
          <w:rFonts w:ascii="Garamond" w:hAnsi="Garamond"/>
          <w:lang w:val="en-US"/>
        </w:rPr>
        <w:t>International Federation of Accountants (IFAC)</w:t>
      </w:r>
      <w:r w:rsidR="006A7885" w:rsidRPr="00505A1C">
        <w:rPr>
          <w:rFonts w:ascii="Garamond" w:hAnsi="Garamond"/>
          <w:lang w:val="en-US"/>
        </w:rPr>
        <w:t>.</w:t>
      </w:r>
      <w:r w:rsidRPr="00505A1C">
        <w:rPr>
          <w:rFonts w:ascii="Garamond" w:hAnsi="Garamond"/>
          <w:lang w:val="en-US"/>
        </w:rPr>
        <w:t xml:space="preserve"> An organization of national accounting associations and other groups interested in accounting matters.</w:t>
      </w:r>
      <w:r w:rsidR="00A82A80" w:rsidRPr="00505A1C">
        <w:rPr>
          <w:rFonts w:ascii="Garamond" w:hAnsi="Garamond"/>
          <w:lang w:val="en-US"/>
        </w:rPr>
        <w:t xml:space="preserve"> Available </w:t>
      </w:r>
      <w:r w:rsidR="00C66B5C">
        <w:rPr>
          <w:rFonts w:ascii="Garamond" w:hAnsi="Garamond"/>
          <w:lang w:val="en-US"/>
        </w:rPr>
        <w:t>at http://</w:t>
      </w:r>
      <w:r w:rsidR="00A82A80" w:rsidRPr="00505A1C">
        <w:rPr>
          <w:rFonts w:ascii="Garamond" w:hAnsi="Garamond"/>
          <w:lang w:val="en-US"/>
        </w:rPr>
        <w:t>www.ifac.org</w:t>
      </w:r>
      <w:r w:rsidR="006A7885" w:rsidRPr="00505A1C">
        <w:rPr>
          <w:rFonts w:ascii="Garamond" w:hAnsi="Garamond"/>
          <w:lang w:val="en-US"/>
        </w:rPr>
        <w:t>.</w:t>
      </w:r>
      <w:r w:rsidR="00A82A80" w:rsidRPr="00505A1C">
        <w:rPr>
          <w:rFonts w:ascii="Garamond" w:hAnsi="Garamond"/>
          <w:lang w:val="en-US"/>
        </w:rPr>
        <w:t xml:space="preserve"> </w:t>
      </w:r>
    </w:p>
    <w:p w14:paraId="47F419F5" w14:textId="77777777" w:rsidR="002A7A75" w:rsidRPr="00505A1C" w:rsidRDefault="002A7A75" w:rsidP="006F749C">
      <w:pPr>
        <w:pStyle w:val="ListParagraph"/>
        <w:numPr>
          <w:ilvl w:val="3"/>
          <w:numId w:val="272"/>
        </w:numPr>
        <w:tabs>
          <w:tab w:val="clear" w:pos="3589"/>
        </w:tabs>
        <w:spacing w:line="240" w:lineRule="atLeast"/>
        <w:ind w:left="426"/>
        <w:jc w:val="both"/>
        <w:rPr>
          <w:rFonts w:ascii="Garamond" w:hAnsi="Garamond"/>
          <w:lang w:val="en-US"/>
        </w:rPr>
      </w:pPr>
      <w:r w:rsidRPr="00505A1C">
        <w:rPr>
          <w:rFonts w:ascii="Garamond" w:hAnsi="Garamond"/>
          <w:lang w:val="en-US"/>
        </w:rPr>
        <w:t xml:space="preserve">The International Financial Reporting Standards Foundation, or IFRS Foundation, is a </w:t>
      </w:r>
      <w:hyperlink r:id="rId42" w:history="1">
        <w:r w:rsidRPr="00505A1C">
          <w:rPr>
            <w:rFonts w:ascii="Garamond" w:hAnsi="Garamond"/>
            <w:lang w:val="en-US"/>
          </w:rPr>
          <w:t>nonprofit</w:t>
        </w:r>
      </w:hyperlink>
      <w:r w:rsidRPr="00505A1C">
        <w:rPr>
          <w:rFonts w:ascii="Garamond" w:hAnsi="Garamond"/>
          <w:lang w:val="en-US"/>
        </w:rPr>
        <w:t xml:space="preserve"> </w:t>
      </w:r>
      <w:hyperlink r:id="rId43" w:history="1">
        <w:r w:rsidRPr="00505A1C">
          <w:rPr>
            <w:rFonts w:ascii="Garamond" w:hAnsi="Garamond"/>
            <w:lang w:val="en-US"/>
          </w:rPr>
          <w:t>accounting</w:t>
        </w:r>
      </w:hyperlink>
      <w:r w:rsidRPr="00505A1C">
        <w:rPr>
          <w:rFonts w:ascii="Garamond" w:hAnsi="Garamond"/>
          <w:lang w:val="en-US"/>
        </w:rPr>
        <w:t xml:space="preserve"> organization. Its main objectives include the development and promotion of the </w:t>
      </w:r>
      <w:hyperlink r:id="rId44" w:history="1">
        <w:r w:rsidRPr="00505A1C">
          <w:rPr>
            <w:rFonts w:ascii="Garamond" w:hAnsi="Garamond"/>
            <w:lang w:val="en-US"/>
          </w:rPr>
          <w:t>International Financial Reporting Standards (IFRSs)</w:t>
        </w:r>
      </w:hyperlink>
      <w:r w:rsidRPr="00505A1C">
        <w:rPr>
          <w:rFonts w:ascii="Garamond" w:hAnsi="Garamond"/>
          <w:lang w:val="en-US"/>
        </w:rPr>
        <w:t xml:space="preserve"> through the </w:t>
      </w:r>
      <w:hyperlink r:id="rId45" w:history="1">
        <w:r w:rsidRPr="00505A1C">
          <w:rPr>
            <w:rFonts w:ascii="Garamond" w:hAnsi="Garamond"/>
            <w:lang w:val="en-US"/>
          </w:rPr>
          <w:t>International Accounting Standards Board (IASB)</w:t>
        </w:r>
      </w:hyperlink>
      <w:r w:rsidRPr="00505A1C">
        <w:rPr>
          <w:rFonts w:ascii="Garamond" w:hAnsi="Garamond"/>
          <w:lang w:val="en-US"/>
        </w:rPr>
        <w:t>, which it oversees.</w:t>
      </w:r>
      <w:r w:rsidR="00A82A80" w:rsidRPr="00505A1C">
        <w:rPr>
          <w:rFonts w:ascii="Garamond" w:hAnsi="Garamond"/>
          <w:lang w:val="en-US"/>
        </w:rPr>
        <w:t xml:space="preserve"> Available </w:t>
      </w:r>
      <w:r w:rsidR="00C66B5C">
        <w:rPr>
          <w:rFonts w:ascii="Garamond" w:hAnsi="Garamond"/>
          <w:lang w:val="en-US"/>
        </w:rPr>
        <w:t>at http://</w:t>
      </w:r>
      <w:r w:rsidR="00A82A80" w:rsidRPr="00505A1C">
        <w:rPr>
          <w:rFonts w:ascii="Garamond" w:hAnsi="Garamond"/>
          <w:lang w:val="en-US"/>
        </w:rPr>
        <w:t>www.ifrs.org</w:t>
      </w:r>
      <w:r w:rsidR="006A7885" w:rsidRPr="00505A1C">
        <w:rPr>
          <w:rFonts w:ascii="Garamond" w:hAnsi="Garamond"/>
          <w:lang w:val="en-US"/>
        </w:rPr>
        <w:t>.</w:t>
      </w:r>
    </w:p>
    <w:p w14:paraId="7A94B32D" w14:textId="77777777" w:rsidR="002A7A75" w:rsidRPr="00505A1C" w:rsidRDefault="002A7A75" w:rsidP="006F749C">
      <w:pPr>
        <w:pStyle w:val="ListParagraph"/>
        <w:numPr>
          <w:ilvl w:val="3"/>
          <w:numId w:val="272"/>
        </w:numPr>
        <w:tabs>
          <w:tab w:val="clear" w:pos="3589"/>
        </w:tabs>
        <w:spacing w:line="240" w:lineRule="atLeast"/>
        <w:ind w:left="426"/>
        <w:jc w:val="both"/>
        <w:rPr>
          <w:rFonts w:ascii="Garamond" w:hAnsi="Garamond"/>
          <w:lang w:val="en-US"/>
        </w:rPr>
      </w:pPr>
      <w:r w:rsidRPr="00505A1C">
        <w:rPr>
          <w:rFonts w:ascii="Garamond" w:hAnsi="Garamond"/>
          <w:lang w:val="en-US"/>
        </w:rPr>
        <w:t xml:space="preserve">The International Accounting Standards Board (IASB) is the independent, </w:t>
      </w:r>
      <w:hyperlink r:id="rId46" w:history="1">
        <w:r w:rsidRPr="00505A1C">
          <w:rPr>
            <w:rFonts w:ascii="Garamond" w:hAnsi="Garamond"/>
            <w:lang w:val="en-US"/>
          </w:rPr>
          <w:t>accounting standard</w:t>
        </w:r>
      </w:hyperlink>
      <w:r w:rsidRPr="00505A1C">
        <w:rPr>
          <w:rFonts w:ascii="Garamond" w:hAnsi="Garamond"/>
          <w:lang w:val="en-US"/>
        </w:rPr>
        <w:t xml:space="preserve">-setting body of the </w:t>
      </w:r>
      <w:hyperlink r:id="rId47" w:history="1">
        <w:r w:rsidRPr="00505A1C">
          <w:rPr>
            <w:rFonts w:ascii="Garamond" w:hAnsi="Garamond"/>
            <w:lang w:val="en-US"/>
          </w:rPr>
          <w:t>IFRS Foundation</w:t>
        </w:r>
      </w:hyperlink>
      <w:r w:rsidRPr="00505A1C">
        <w:rPr>
          <w:rFonts w:ascii="Garamond" w:hAnsi="Garamond"/>
          <w:lang w:val="en-US"/>
        </w:rPr>
        <w:t>.</w:t>
      </w:r>
      <w:r w:rsidR="00A82A80" w:rsidRPr="00505A1C">
        <w:rPr>
          <w:rFonts w:ascii="Garamond" w:hAnsi="Garamond"/>
          <w:lang w:val="en-US"/>
        </w:rPr>
        <w:t xml:space="preserve"> Available </w:t>
      </w:r>
      <w:r w:rsidR="00C66B5C">
        <w:rPr>
          <w:rFonts w:ascii="Garamond" w:hAnsi="Garamond"/>
          <w:lang w:val="en-US"/>
        </w:rPr>
        <w:t>at http://</w:t>
      </w:r>
      <w:r w:rsidR="00A82A80" w:rsidRPr="00505A1C">
        <w:rPr>
          <w:rFonts w:ascii="Garamond" w:hAnsi="Garamond"/>
          <w:lang w:val="en-US"/>
        </w:rPr>
        <w:t>www.iabs.org</w:t>
      </w:r>
      <w:r w:rsidR="006A7885" w:rsidRPr="00505A1C">
        <w:rPr>
          <w:rFonts w:ascii="Garamond" w:hAnsi="Garamond"/>
          <w:lang w:val="en-US"/>
        </w:rPr>
        <w:t>.</w:t>
      </w:r>
    </w:p>
    <w:p w14:paraId="35AACA1F" w14:textId="77777777" w:rsidR="002A7A75" w:rsidRPr="00505A1C" w:rsidRDefault="002A7A75" w:rsidP="006F749C">
      <w:pPr>
        <w:pStyle w:val="ListParagraph"/>
        <w:numPr>
          <w:ilvl w:val="3"/>
          <w:numId w:val="272"/>
        </w:numPr>
        <w:tabs>
          <w:tab w:val="clear" w:pos="3589"/>
        </w:tabs>
        <w:spacing w:line="240" w:lineRule="atLeast"/>
        <w:ind w:left="426"/>
        <w:jc w:val="both"/>
        <w:rPr>
          <w:rFonts w:ascii="Garamond" w:hAnsi="Garamond"/>
          <w:lang w:val="en-US"/>
        </w:rPr>
      </w:pPr>
      <w:r w:rsidRPr="00505A1C">
        <w:rPr>
          <w:rFonts w:ascii="Garamond" w:hAnsi="Garamond"/>
          <w:lang w:val="en-US"/>
        </w:rPr>
        <w:t>Deloitte's IAS Plus comprehensive source of global accounting news and resources, featuring an extensive collection of information about International Financial Reporting Standards (IFRS), the International Accounting Standards Board (IASB), and broader international financial reporting developments.</w:t>
      </w:r>
      <w:r w:rsidR="00A82A80" w:rsidRPr="00505A1C">
        <w:rPr>
          <w:rFonts w:ascii="Garamond" w:hAnsi="Garamond"/>
          <w:lang w:val="en-US"/>
        </w:rPr>
        <w:t xml:space="preserve"> Available </w:t>
      </w:r>
      <w:r w:rsidR="00C66B5C">
        <w:rPr>
          <w:rFonts w:ascii="Garamond" w:hAnsi="Garamond"/>
          <w:lang w:val="en-US"/>
        </w:rPr>
        <w:t>at http://</w:t>
      </w:r>
      <w:r w:rsidR="00A82A80" w:rsidRPr="00505A1C">
        <w:rPr>
          <w:rFonts w:ascii="Garamond" w:hAnsi="Garamond"/>
          <w:lang w:val="en-US"/>
        </w:rPr>
        <w:t>www.iasplus.com</w:t>
      </w:r>
      <w:r w:rsidR="006A7885" w:rsidRPr="00505A1C">
        <w:rPr>
          <w:rFonts w:ascii="Garamond" w:hAnsi="Garamond"/>
          <w:lang w:val="en-US"/>
        </w:rPr>
        <w:t>.</w:t>
      </w:r>
    </w:p>
    <w:p w14:paraId="7418DC01" w14:textId="77777777" w:rsidR="002A7A75" w:rsidRPr="00505A1C" w:rsidRDefault="002A7A75" w:rsidP="006F749C">
      <w:pPr>
        <w:pStyle w:val="ListParagraph"/>
        <w:numPr>
          <w:ilvl w:val="3"/>
          <w:numId w:val="272"/>
        </w:numPr>
        <w:tabs>
          <w:tab w:val="clear" w:pos="3589"/>
        </w:tabs>
        <w:spacing w:line="240" w:lineRule="atLeast"/>
        <w:ind w:left="426"/>
        <w:jc w:val="both"/>
        <w:rPr>
          <w:rFonts w:ascii="Garamond" w:hAnsi="Garamond"/>
          <w:lang w:val="en-US"/>
        </w:rPr>
      </w:pPr>
      <w:r w:rsidRPr="00505A1C">
        <w:rPr>
          <w:rFonts w:ascii="Garamond" w:hAnsi="Garamond"/>
          <w:lang w:val="en-US"/>
        </w:rPr>
        <w:t>CFA Institute is a global association of investment professionals that sets the standard for excellence in the industry.</w:t>
      </w:r>
      <w:r w:rsidR="00A82A80" w:rsidRPr="00505A1C">
        <w:rPr>
          <w:rFonts w:ascii="Garamond" w:hAnsi="Garamond"/>
          <w:lang w:val="en-US"/>
        </w:rPr>
        <w:t xml:space="preserve"> Available </w:t>
      </w:r>
      <w:r w:rsidR="00C66B5C">
        <w:rPr>
          <w:rFonts w:ascii="Garamond" w:hAnsi="Garamond"/>
          <w:lang w:val="en-US"/>
        </w:rPr>
        <w:t>at http://</w:t>
      </w:r>
      <w:r w:rsidR="00A82A80" w:rsidRPr="00505A1C">
        <w:rPr>
          <w:rFonts w:ascii="Garamond" w:hAnsi="Garamond"/>
          <w:lang w:val="en-US"/>
        </w:rPr>
        <w:t>www.cfainstitute.org</w:t>
      </w:r>
    </w:p>
    <w:p w14:paraId="78BCFCE8" w14:textId="77777777" w:rsidR="002A7A75" w:rsidRPr="00505A1C" w:rsidRDefault="002A7A75" w:rsidP="006F749C">
      <w:pPr>
        <w:pStyle w:val="ListParagraph"/>
        <w:numPr>
          <w:ilvl w:val="3"/>
          <w:numId w:val="272"/>
        </w:numPr>
        <w:tabs>
          <w:tab w:val="clear" w:pos="3589"/>
        </w:tabs>
        <w:spacing w:line="240" w:lineRule="atLeast"/>
        <w:ind w:left="426"/>
        <w:jc w:val="both"/>
        <w:rPr>
          <w:rFonts w:ascii="Garamond" w:hAnsi="Garamond"/>
          <w:lang w:val="en-US"/>
        </w:rPr>
      </w:pPr>
      <w:r w:rsidRPr="00505A1C">
        <w:rPr>
          <w:rFonts w:ascii="Garamond" w:hAnsi="Garamond"/>
          <w:lang w:val="en-US"/>
        </w:rPr>
        <w:t>ACCA (the Association of Chartered Certified Accountants) world’s leading body for professional accountants</w:t>
      </w:r>
      <w:r w:rsidR="00A82A80" w:rsidRPr="00505A1C">
        <w:rPr>
          <w:rFonts w:ascii="Garamond" w:hAnsi="Garamond"/>
          <w:lang w:val="en-US"/>
        </w:rPr>
        <w:t xml:space="preserve">. Available </w:t>
      </w:r>
      <w:r w:rsidR="00C66B5C">
        <w:rPr>
          <w:rFonts w:ascii="Garamond" w:hAnsi="Garamond"/>
          <w:lang w:val="en-US"/>
        </w:rPr>
        <w:t>at http://</w:t>
      </w:r>
      <w:r w:rsidR="00A82A80" w:rsidRPr="00505A1C">
        <w:rPr>
          <w:rFonts w:ascii="Garamond" w:hAnsi="Garamond"/>
          <w:lang w:val="en-US"/>
        </w:rPr>
        <w:t>www.accaglobal.com</w:t>
      </w:r>
      <w:r w:rsidR="006A7885" w:rsidRPr="00505A1C">
        <w:rPr>
          <w:rFonts w:ascii="Garamond" w:hAnsi="Garamond"/>
          <w:lang w:val="en-US"/>
        </w:rPr>
        <w:t>.</w:t>
      </w:r>
    </w:p>
    <w:p w14:paraId="053F5BBA" w14:textId="77777777" w:rsidR="003C51B1" w:rsidRPr="00505A1C" w:rsidRDefault="00A82A80" w:rsidP="00A82A80">
      <w:pPr>
        <w:pStyle w:val="end2"/>
        <w:rPr>
          <w:rFonts w:eastAsia="Arial Unicode MS"/>
          <w:u w:color="000000"/>
          <w:bdr w:val="nil"/>
        </w:rPr>
      </w:pPr>
      <w:r w:rsidRPr="00505A1C">
        <w:rPr>
          <w:rFonts w:eastAsia="Arial Unicode MS"/>
          <w:u w:color="000000"/>
          <w:bdr w:val="nil"/>
        </w:rPr>
        <w:t>KEY TERMS</w:t>
      </w:r>
    </w:p>
    <w:tbl>
      <w:tblPr>
        <w:tblStyle w:val="2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4"/>
        <w:gridCol w:w="7021"/>
      </w:tblGrid>
      <w:tr w:rsidR="00A82A80" w:rsidRPr="00A82A80" w14:paraId="6A7C1653" w14:textId="77777777" w:rsidTr="00A82A80">
        <w:tc>
          <w:tcPr>
            <w:tcW w:w="2594" w:type="dxa"/>
          </w:tcPr>
          <w:p w14:paraId="6AAEA364"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fixed asset </w:t>
            </w:r>
          </w:p>
        </w:tc>
        <w:tc>
          <w:tcPr>
            <w:tcW w:w="7021" w:type="dxa"/>
          </w:tcPr>
          <w:p w14:paraId="48BF35B4" w14:textId="77777777" w:rsidR="00A82A80" w:rsidRPr="00A82A80" w:rsidRDefault="00A82A80" w:rsidP="00B34CA7">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is a balance sheet accounts that represents long-term tangible company’s property that can</w:t>
            </w:r>
            <w:r w:rsidR="00B34CA7">
              <w:rPr>
                <w:rFonts w:eastAsia="Arial Unicode MS" w:cs="Arial Unicode MS"/>
                <w:u w:color="000000"/>
                <w:bdr w:val="nil"/>
                <w:lang w:val="en-US"/>
              </w:rPr>
              <w:t xml:space="preserve"> be</w:t>
            </w:r>
            <w:r w:rsidRPr="00A82A80">
              <w:rPr>
                <w:rFonts w:eastAsia="Arial Unicode MS" w:cs="Arial Unicode MS"/>
                <w:u w:color="000000"/>
                <w:bdr w:val="nil"/>
                <w:lang w:val="en-US"/>
              </w:rPr>
              <w:t xml:space="preserve"> reasonably expected to </w:t>
            </w:r>
            <w:r w:rsidR="00B34CA7">
              <w:rPr>
                <w:rFonts w:eastAsia="Arial Unicode MS" w:cs="Arial Unicode MS"/>
                <w:u w:color="000000"/>
                <w:bdr w:val="nil"/>
                <w:lang w:val="en-US"/>
              </w:rPr>
              <w:t>turn</w:t>
            </w:r>
            <w:r w:rsidRPr="00A82A80">
              <w:rPr>
                <w:rFonts w:eastAsia="Arial Unicode MS" w:cs="Arial Unicode MS"/>
                <w:u w:color="000000"/>
                <w:bdr w:val="nil"/>
                <w:lang w:val="en-US"/>
              </w:rPr>
              <w:t xml:space="preserve"> to cash (expected to be sold or exhausted through the normal operations of a business) sooner than at least one year from the date shown in the heading of the company's balance sheet or operating cycle. The following are examples of general categories of fixed assets: buildings, computer equipment, computer software, furniture and fixtures, intangible assets, land, leasehold improvements, machinery, vehicles. </w:t>
            </w:r>
          </w:p>
        </w:tc>
      </w:tr>
      <w:tr w:rsidR="00A82A80" w:rsidRPr="00A82A80" w14:paraId="27617E6F" w14:textId="77777777" w:rsidTr="00A82A80">
        <w:tc>
          <w:tcPr>
            <w:tcW w:w="2594" w:type="dxa"/>
          </w:tcPr>
          <w:p w14:paraId="3571697C"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long-term liability </w:t>
            </w:r>
          </w:p>
        </w:tc>
        <w:tc>
          <w:tcPr>
            <w:tcW w:w="7021" w:type="dxa"/>
          </w:tcPr>
          <w:p w14:paraId="5AE89323" w14:textId="77777777" w:rsidR="00A82A80" w:rsidRPr="00A82A80" w:rsidRDefault="00A82A80" w:rsidP="009F59F5">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is a bal</w:t>
            </w:r>
            <w:r w:rsidR="00B34CA7">
              <w:rPr>
                <w:rFonts w:eastAsia="Arial Unicode MS" w:cs="Arial Unicode MS"/>
                <w:u w:color="000000"/>
                <w:bdr w:val="nil"/>
                <w:lang w:val="en-US"/>
              </w:rPr>
              <w:t>ance sheet items that represent</w:t>
            </w:r>
            <w:r w:rsidRPr="00A82A80">
              <w:rPr>
                <w:rFonts w:eastAsia="Arial Unicode MS" w:cs="Arial Unicode MS"/>
                <w:u w:color="000000"/>
                <w:bdr w:val="nil"/>
                <w:lang w:val="en-US"/>
              </w:rPr>
              <w:t xml:space="preserve"> company's debts or obligations that are not due within a fiscal year (12 months) or the normal operating cycle of a given company (whichever period is longer). The following are examples of general categories of long-term liability: long-term loans, capital leases, bonds payable, postretirement health care liabilities, deferred compensation, deferred revenues, deferred income taxes,</w:t>
            </w:r>
            <w:r w:rsidR="009F59F5">
              <w:rPr>
                <w:rFonts w:eastAsia="Arial Unicode MS" w:cs="Arial Unicode MS"/>
                <w:u w:color="000000"/>
                <w:bdr w:val="nil"/>
                <w:lang w:val="en-US"/>
              </w:rPr>
              <w:t xml:space="preserve"> etc.</w:t>
            </w:r>
          </w:p>
        </w:tc>
      </w:tr>
      <w:tr w:rsidR="00A82A80" w:rsidRPr="00A82A80" w14:paraId="5F4CF655" w14:textId="77777777" w:rsidTr="00A82A80">
        <w:tc>
          <w:tcPr>
            <w:tcW w:w="2594" w:type="dxa"/>
          </w:tcPr>
          <w:p w14:paraId="623C1E32" w14:textId="77777777" w:rsidR="00A82A80" w:rsidRPr="00A82A80" w:rsidRDefault="00A82A80" w:rsidP="00C66B5C">
            <w:pPr>
              <w:spacing w:after="120" w:line="240" w:lineRule="atLeast"/>
              <w:rPr>
                <w:rFonts w:eastAsia="Arial Unicode MS" w:cs="Arial Unicode MS"/>
                <w:b/>
                <w:u w:color="000000"/>
                <w:bdr w:val="nil"/>
                <w:lang w:val="en-US"/>
              </w:rPr>
            </w:pPr>
            <w:r w:rsidRPr="00A82A80">
              <w:rPr>
                <w:rFonts w:eastAsia="Arial Unicode MS" w:cs="Arial Unicode MS"/>
                <w:b/>
                <w:u w:color="000000"/>
                <w:bdr w:val="nil"/>
                <w:lang w:val="es-ES_tradnl"/>
              </w:rPr>
              <w:lastRenderedPageBreak/>
              <w:t>equity</w:t>
            </w:r>
            <w:r w:rsidRPr="00A82A80">
              <w:rPr>
                <w:rFonts w:eastAsia="Arial Unicode MS" w:cs="Arial Unicode MS"/>
                <w:b/>
                <w:u w:color="000000"/>
                <w:bdr w:val="nil"/>
                <w:lang w:val="en-US"/>
              </w:rPr>
              <w:t xml:space="preserve"> (</w:t>
            </w:r>
            <w:r w:rsidR="00C66B5C" w:rsidRPr="00A82A80">
              <w:rPr>
                <w:rFonts w:eastAsia="Arial Unicode MS" w:cs="Arial Unicode MS"/>
                <w:b/>
                <w:u w:color="000000"/>
                <w:bdr w:val="nil"/>
                <w:lang w:val="en-US"/>
              </w:rPr>
              <w:t>shareholder’</w:t>
            </w:r>
            <w:r w:rsidR="00C66B5C" w:rsidRPr="00A82A80">
              <w:rPr>
                <w:rFonts w:eastAsia="Arial Unicode MS" w:cs="Arial Unicode MS"/>
                <w:b/>
                <w:u w:color="000000"/>
                <w:bdr w:val="nil"/>
                <w:lang w:val="es-ES_tradnl"/>
              </w:rPr>
              <w:t>s equity</w:t>
            </w:r>
            <w:r w:rsidR="00C66B5C" w:rsidRPr="00A82A80">
              <w:rPr>
                <w:rFonts w:eastAsia="Arial Unicode MS" w:cs="Arial Unicode MS"/>
                <w:b/>
                <w:u w:color="000000"/>
                <w:bdr w:val="nil"/>
                <w:lang w:val="nl-NL"/>
              </w:rPr>
              <w:t xml:space="preserve"> </w:t>
            </w:r>
            <w:r w:rsidR="00C66B5C">
              <w:rPr>
                <w:rFonts w:eastAsia="Arial Unicode MS" w:cs="Arial Unicode MS"/>
                <w:b/>
                <w:u w:color="000000"/>
                <w:bdr w:val="nil"/>
                <w:lang w:val="nl-NL"/>
              </w:rPr>
              <w:t xml:space="preserve">or </w:t>
            </w:r>
            <w:r w:rsidRPr="00A82A80">
              <w:rPr>
                <w:rFonts w:eastAsia="Arial Unicode MS" w:cs="Arial Unicode MS"/>
                <w:b/>
                <w:u w:color="000000"/>
                <w:bdr w:val="nil"/>
                <w:lang w:val="nl-NL"/>
              </w:rPr>
              <w:t>net worth</w:t>
            </w:r>
            <w:r w:rsidRPr="00A82A80">
              <w:rPr>
                <w:rFonts w:eastAsia="Arial Unicode MS" w:cs="Arial Unicode MS"/>
                <w:b/>
                <w:u w:color="000000"/>
                <w:bdr w:val="nil"/>
                <w:lang w:val="en-US"/>
              </w:rPr>
              <w:t xml:space="preserve">) </w:t>
            </w:r>
          </w:p>
        </w:tc>
        <w:tc>
          <w:tcPr>
            <w:tcW w:w="7021" w:type="dxa"/>
          </w:tcPr>
          <w:p w14:paraId="375F5502" w14:textId="77777777" w:rsidR="00A82A80" w:rsidRPr="00A82A80" w:rsidRDefault="00A82A80" w:rsidP="00A82A80">
            <w:pPr>
              <w:pBdr>
                <w:top w:val="nil"/>
                <w:left w:val="nil"/>
                <w:bottom w:val="nil"/>
                <w:right w:val="nil"/>
                <w:between w:val="nil"/>
                <w:bar w:val="nil"/>
              </w:pBdr>
              <w:spacing w:after="120" w:line="240" w:lineRule="atLeast"/>
              <w:jc w:val="both"/>
              <w:rPr>
                <w:rFonts w:eastAsia="Arial Unicode MS" w:cs="Arial Unicode MS"/>
                <w:u w:color="000000"/>
                <w:bdr w:val="nil"/>
                <w:lang w:val="en-US"/>
              </w:rPr>
            </w:pPr>
            <w:r w:rsidRPr="00A82A80">
              <w:rPr>
                <w:rFonts w:eastAsia="Arial Unicode MS" w:cs="Arial Unicode MS"/>
                <w:u w:color="000000"/>
                <w:bdr w:val="nil"/>
                <w:lang w:val="en-US"/>
              </w:rPr>
              <w:t xml:space="preserve">defines ownership </w:t>
            </w:r>
            <w:hyperlink r:id="rId48" w:history="1">
              <w:r w:rsidRPr="00A82A80">
                <w:rPr>
                  <w:rFonts w:eastAsia="Arial Unicode MS" w:cs="Arial Unicode MS"/>
                  <w:u w:color="000000"/>
                  <w:bdr w:val="nil"/>
                  <w:lang w:val="en-US"/>
                </w:rPr>
                <w:t>interest</w:t>
              </w:r>
            </w:hyperlink>
            <w:r w:rsidRPr="00A82A80">
              <w:rPr>
                <w:rFonts w:eastAsia="Arial Unicode MS" w:cs="Arial Unicode MS"/>
                <w:u w:color="000000"/>
                <w:bdr w:val="nil"/>
                <w:lang w:val="en-US"/>
              </w:rPr>
              <w:t xml:space="preserve"> or </w:t>
            </w:r>
            <w:hyperlink r:id="rId49" w:history="1">
              <w:r w:rsidRPr="00A82A80">
                <w:rPr>
                  <w:rFonts w:eastAsia="Arial Unicode MS" w:cs="Arial Unicode MS"/>
                  <w:u w:color="000000"/>
                  <w:bdr w:val="nil"/>
                  <w:lang w:val="en-US"/>
                </w:rPr>
                <w:t>claim</w:t>
              </w:r>
            </w:hyperlink>
            <w:r w:rsidRPr="00A82A80">
              <w:rPr>
                <w:rFonts w:eastAsia="Arial Unicode MS" w:cs="Arial Unicode MS"/>
                <w:u w:color="000000"/>
                <w:bdr w:val="nil"/>
                <w:lang w:val="en-US"/>
              </w:rPr>
              <w:t xml:space="preserve"> of a holder of </w:t>
            </w:r>
            <w:hyperlink r:id="rId50" w:history="1">
              <w:r w:rsidRPr="00A82A80">
                <w:rPr>
                  <w:rFonts w:eastAsia="Arial Unicode MS" w:cs="Arial Unicode MS"/>
                  <w:u w:color="000000"/>
                  <w:bdr w:val="nil"/>
                  <w:lang w:val="en-US"/>
                </w:rPr>
                <w:t>common stock</w:t>
              </w:r>
            </w:hyperlink>
            <w:r w:rsidRPr="00A82A80">
              <w:rPr>
                <w:rFonts w:eastAsia="Arial Unicode MS" w:cs="Arial Unicode MS"/>
                <w:u w:color="000000"/>
                <w:bdr w:val="nil"/>
                <w:lang w:val="en-US"/>
              </w:rPr>
              <w:t xml:space="preserve"> (ordinary shares) and some </w:t>
            </w:r>
            <w:hyperlink r:id="rId51" w:history="1">
              <w:r w:rsidRPr="00A82A80">
                <w:rPr>
                  <w:rFonts w:eastAsia="Arial Unicode MS" w:cs="Arial Unicode MS"/>
                  <w:u w:color="000000"/>
                  <w:bdr w:val="nil"/>
                  <w:lang w:val="en-US"/>
                </w:rPr>
                <w:t>types</w:t>
              </w:r>
            </w:hyperlink>
            <w:r w:rsidRPr="00A82A80">
              <w:rPr>
                <w:rFonts w:eastAsia="Arial Unicode MS" w:cs="Arial Unicode MS"/>
                <w:u w:color="000000"/>
                <w:bdr w:val="nil"/>
                <w:lang w:val="en-US"/>
              </w:rPr>
              <w:t xml:space="preserve"> of </w:t>
            </w:r>
            <w:hyperlink r:id="rId52" w:history="1">
              <w:r w:rsidRPr="00A82A80">
                <w:rPr>
                  <w:rFonts w:eastAsia="Arial Unicode MS" w:cs="Arial Unicode MS"/>
                  <w:u w:color="000000"/>
                  <w:bdr w:val="nil"/>
                  <w:lang w:val="en-US"/>
                </w:rPr>
                <w:t>preferred stock</w:t>
              </w:r>
            </w:hyperlink>
            <w:r w:rsidRPr="00A82A80">
              <w:rPr>
                <w:rFonts w:eastAsia="Arial Unicode MS" w:cs="Arial Unicode MS"/>
                <w:u w:color="000000"/>
                <w:bdr w:val="nil"/>
                <w:lang w:val="en-US"/>
              </w:rPr>
              <w:t xml:space="preserve"> (preference shares) of a </w:t>
            </w:r>
            <w:hyperlink r:id="rId53" w:history="1">
              <w:r w:rsidRPr="00A82A80">
                <w:rPr>
                  <w:rFonts w:eastAsia="Arial Unicode MS" w:cs="Arial Unicode MS"/>
                  <w:u w:color="000000"/>
                  <w:bdr w:val="nil"/>
                  <w:lang w:val="en-US"/>
                </w:rPr>
                <w:t>company</w:t>
              </w:r>
            </w:hyperlink>
            <w:r w:rsidRPr="00A82A80">
              <w:rPr>
                <w:rFonts w:eastAsia="Arial Unicode MS" w:cs="Arial Unicode MS"/>
                <w:u w:color="000000"/>
                <w:bdr w:val="nil"/>
                <w:lang w:val="en-US"/>
              </w:rPr>
              <w:t xml:space="preserve"> and represents funds contributed by the </w:t>
            </w:r>
            <w:hyperlink r:id="rId54" w:history="1">
              <w:r w:rsidRPr="00A82A80">
                <w:rPr>
                  <w:rFonts w:eastAsia="Arial Unicode MS" w:cs="Arial Unicode MS"/>
                  <w:u w:color="000000"/>
                  <w:bdr w:val="nil"/>
                  <w:lang w:val="en-US"/>
                </w:rPr>
                <w:t>owners</w:t>
              </w:r>
            </w:hyperlink>
            <w:r w:rsidRPr="00A82A80">
              <w:rPr>
                <w:rFonts w:eastAsia="Arial Unicode MS" w:cs="Arial Unicode MS"/>
                <w:u w:color="000000"/>
                <w:bdr w:val="nil"/>
                <w:lang w:val="en-US"/>
              </w:rPr>
              <w:t xml:space="preserve"> (stockholders) </w:t>
            </w:r>
            <w:hyperlink r:id="rId55" w:history="1">
              <w:r w:rsidRPr="00A82A80">
                <w:rPr>
                  <w:rFonts w:eastAsia="Arial Unicode MS" w:cs="Arial Unicode MS"/>
                  <w:u w:color="000000"/>
                  <w:bdr w:val="nil"/>
                  <w:lang w:val="en-US"/>
                </w:rPr>
                <w:t>plus</w:t>
              </w:r>
            </w:hyperlink>
            <w:r w:rsidRPr="00A82A80">
              <w:rPr>
                <w:rFonts w:eastAsia="Arial Unicode MS" w:cs="Arial Unicode MS"/>
                <w:u w:color="000000"/>
                <w:bdr w:val="nil"/>
                <w:lang w:val="en-US"/>
              </w:rPr>
              <w:t xml:space="preserve"> retained earnings or </w:t>
            </w:r>
            <w:hyperlink r:id="rId56" w:history="1">
              <w:r w:rsidRPr="00A82A80">
                <w:rPr>
                  <w:rFonts w:eastAsia="Arial Unicode MS" w:cs="Arial Unicode MS"/>
                  <w:u w:color="000000"/>
                  <w:bdr w:val="nil"/>
                  <w:lang w:val="en-US"/>
                </w:rPr>
                <w:t>minus</w:t>
              </w:r>
            </w:hyperlink>
            <w:r w:rsidRPr="00A82A80">
              <w:rPr>
                <w:rFonts w:eastAsia="Arial Unicode MS" w:cs="Arial Unicode MS"/>
                <w:u w:color="000000"/>
                <w:bdr w:val="nil"/>
                <w:lang w:val="en-US"/>
              </w:rPr>
              <w:t xml:space="preserve"> the accumulated losses. On a </w:t>
            </w:r>
            <w:hyperlink r:id="rId57" w:history="1">
              <w:r w:rsidRPr="00A82A80">
                <w:rPr>
                  <w:rFonts w:eastAsia="Arial Unicode MS" w:cs="Arial Unicode MS"/>
                  <w:u w:color="000000"/>
                  <w:bdr w:val="nil"/>
                  <w:lang w:val="en-US"/>
                </w:rPr>
                <w:t>balance sheet</w:t>
              </w:r>
            </w:hyperlink>
            <w:r w:rsidRPr="00A82A80">
              <w:rPr>
                <w:rFonts w:eastAsia="Arial Unicode MS" w:cs="Arial Unicode MS"/>
                <w:u w:color="000000"/>
                <w:bdr w:val="nil"/>
                <w:lang w:val="en-US"/>
              </w:rPr>
              <w:t>, it could be calculated as the value of an asset less the value of all liabilities on that asset.</w:t>
            </w:r>
          </w:p>
        </w:tc>
      </w:tr>
      <w:tr w:rsidR="00A82A80" w:rsidRPr="00A82A80" w14:paraId="728A9ACB" w14:textId="77777777" w:rsidTr="00A82A80">
        <w:tc>
          <w:tcPr>
            <w:tcW w:w="2594" w:type="dxa"/>
          </w:tcPr>
          <w:p w14:paraId="2692F518"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shd w:val="clear" w:color="auto" w:fill="FFFFFF"/>
                <w:lang w:val="en-US"/>
              </w:rPr>
              <w:t>retained earnings</w:t>
            </w:r>
            <w:r w:rsidRPr="00A82A80">
              <w:rPr>
                <w:rFonts w:eastAsia="Arial Unicode MS" w:cs="Arial Unicode MS"/>
                <w:b/>
                <w:u w:color="000000"/>
                <w:bdr w:val="nil"/>
                <w:lang w:val="en-US"/>
              </w:rPr>
              <w:t xml:space="preserve"> (blowback, accumulated profit/income/surplus, undistributed earnings, or undivided profits) </w:t>
            </w:r>
          </w:p>
        </w:tc>
        <w:tc>
          <w:tcPr>
            <w:tcW w:w="7021" w:type="dxa"/>
          </w:tcPr>
          <w:p w14:paraId="6ED167DE" w14:textId="77777777" w:rsidR="00A82A80" w:rsidRPr="00A82A80" w:rsidRDefault="00A82A80" w:rsidP="00A82A80">
            <w:pPr>
              <w:pBdr>
                <w:top w:val="nil"/>
                <w:left w:val="nil"/>
                <w:bottom w:val="nil"/>
                <w:right w:val="nil"/>
                <w:between w:val="nil"/>
                <w:bar w:val="nil"/>
              </w:pBdr>
              <w:spacing w:after="120" w:line="240" w:lineRule="atLeast"/>
              <w:jc w:val="both"/>
              <w:rPr>
                <w:u w:color="000000"/>
                <w:bdr w:val="nil"/>
                <w:shd w:val="clear" w:color="auto" w:fill="FFFFFF"/>
                <w:lang w:val="en-US"/>
              </w:rPr>
            </w:pPr>
            <w:r w:rsidRPr="00A82A80">
              <w:rPr>
                <w:rFonts w:eastAsia="Arial Unicode MS" w:cs="Arial Unicode MS"/>
                <w:u w:color="000000"/>
                <w:bdr w:val="nil"/>
                <w:lang w:val="en-US"/>
              </w:rPr>
              <w:t xml:space="preserve">represent </w:t>
            </w:r>
            <w:r w:rsidRPr="00A82A80">
              <w:rPr>
                <w:rFonts w:eastAsia="Arial Unicode MS" w:cs="Arial Unicode MS"/>
                <w:u w:color="000000"/>
                <w:bdr w:val="nil"/>
                <w:shd w:val="clear" w:color="auto" w:fill="FFFFFF"/>
                <w:lang w:val="en-US"/>
              </w:rPr>
              <w:t>p</w:t>
            </w:r>
            <w:r w:rsidRPr="00A82A80">
              <w:rPr>
                <w:rFonts w:eastAsia="Arial Unicode MS" w:cs="Arial Unicode MS"/>
                <w:u w:color="000000"/>
                <w:bdr w:val="nil"/>
                <w:lang w:val="en-US"/>
              </w:rPr>
              <w:t xml:space="preserve">rofits generated by a company that are not distributed to </w:t>
            </w:r>
            <w:hyperlink r:id="rId58" w:history="1">
              <w:r w:rsidRPr="00A82A80">
                <w:rPr>
                  <w:rFonts w:eastAsia="Arial Unicode MS" w:cs="Arial Unicode MS"/>
                  <w:u w:color="000000"/>
                  <w:bdr w:val="nil"/>
                  <w:lang w:val="en-US"/>
                </w:rPr>
                <w:t>stockholders</w:t>
              </w:r>
            </w:hyperlink>
            <w:r w:rsidRPr="00A82A80">
              <w:rPr>
                <w:rFonts w:eastAsia="Arial Unicode MS" w:cs="Arial Unicode MS"/>
                <w:u w:color="000000"/>
                <w:bdr w:val="nil"/>
                <w:lang w:val="en-US"/>
              </w:rPr>
              <w:t xml:space="preserve"> (</w:t>
            </w:r>
            <w:hyperlink r:id="rId59" w:history="1">
              <w:r w:rsidRPr="00A82A80">
                <w:rPr>
                  <w:rFonts w:eastAsia="Arial Unicode MS" w:cs="Arial Unicode MS"/>
                  <w:u w:color="000000"/>
                  <w:bdr w:val="nil"/>
                  <w:lang w:val="en-US"/>
                </w:rPr>
                <w:t>shareholders</w:t>
              </w:r>
            </w:hyperlink>
            <w:r w:rsidRPr="00A82A80">
              <w:rPr>
                <w:rFonts w:eastAsia="Arial Unicode MS" w:cs="Arial Unicode MS"/>
                <w:u w:color="000000"/>
                <w:bdr w:val="nil"/>
                <w:lang w:val="en-US"/>
              </w:rPr>
              <w:t xml:space="preserve">) as </w:t>
            </w:r>
            <w:hyperlink r:id="rId60" w:history="1">
              <w:r w:rsidRPr="00A82A80">
                <w:rPr>
                  <w:rFonts w:eastAsia="Arial Unicode MS" w:cs="Arial Unicode MS"/>
                  <w:u w:color="000000"/>
                  <w:bdr w:val="nil"/>
                  <w:lang w:val="en-US"/>
                </w:rPr>
                <w:t>dividends</w:t>
              </w:r>
            </w:hyperlink>
            <w:r w:rsidRPr="00A82A80">
              <w:rPr>
                <w:rFonts w:eastAsia="Arial Unicode MS" w:cs="Arial Unicode MS"/>
                <w:u w:color="000000"/>
                <w:bdr w:val="nil"/>
                <w:lang w:val="en-US"/>
              </w:rPr>
              <w:t xml:space="preserve"> (paid out) but are either retained by the company to be reinvested in its core business (plowed back) or kept as a </w:t>
            </w:r>
            <w:hyperlink r:id="rId61" w:history="1">
              <w:r w:rsidRPr="00A82A80">
                <w:rPr>
                  <w:rFonts w:eastAsia="Arial Unicode MS" w:cs="Arial Unicode MS"/>
                  <w:u w:color="000000"/>
                  <w:bdr w:val="nil"/>
                  <w:lang w:val="en-US"/>
                </w:rPr>
                <w:t>reserve</w:t>
              </w:r>
            </w:hyperlink>
            <w:r w:rsidRPr="00A82A80">
              <w:rPr>
                <w:rFonts w:eastAsia="Arial Unicode MS" w:cs="Arial Unicode MS"/>
                <w:u w:color="000000"/>
                <w:bdr w:val="nil"/>
                <w:lang w:val="en-US"/>
              </w:rPr>
              <w:t xml:space="preserve"> for specific </w:t>
            </w:r>
            <w:hyperlink r:id="rId62" w:history="1">
              <w:r w:rsidRPr="00A82A80">
                <w:rPr>
                  <w:rFonts w:eastAsia="Arial Unicode MS" w:cs="Arial Unicode MS"/>
                  <w:u w:color="000000"/>
                  <w:bdr w:val="nil"/>
                  <w:lang w:val="en-US"/>
                </w:rPr>
                <w:t>objectives</w:t>
              </w:r>
            </w:hyperlink>
            <w:r w:rsidRPr="00A82A80">
              <w:rPr>
                <w:rFonts w:eastAsia="Arial Unicode MS" w:cs="Arial Unicode MS"/>
                <w:u w:color="000000"/>
                <w:bdr w:val="nil"/>
                <w:lang w:val="en-US"/>
              </w:rPr>
              <w:t xml:space="preserve"> (for example, to </w:t>
            </w:r>
            <w:hyperlink r:id="rId63" w:history="1">
              <w:r w:rsidRPr="00A82A80">
                <w:rPr>
                  <w:rFonts w:eastAsia="Arial Unicode MS" w:cs="Arial Unicode MS"/>
                  <w:u w:color="000000"/>
                  <w:bdr w:val="nil"/>
                  <w:lang w:val="en-US"/>
                </w:rPr>
                <w:t>pay</w:t>
              </w:r>
            </w:hyperlink>
            <w:r w:rsidRPr="00A82A80">
              <w:rPr>
                <w:rFonts w:eastAsia="Arial Unicode MS" w:cs="Arial Unicode MS"/>
                <w:u w:color="000000"/>
                <w:bdr w:val="nil"/>
                <w:lang w:val="en-US"/>
              </w:rPr>
              <w:t xml:space="preserve"> off a debt). It could be calculated by </w:t>
            </w:r>
            <w:r w:rsidRPr="00A82A80">
              <w:rPr>
                <w:rFonts w:eastAsia="Arial Unicode MS" w:cs="Arial Unicode MS"/>
                <w:u w:color="000000"/>
                <w:bdr w:val="nil"/>
                <w:shd w:val="clear" w:color="auto" w:fill="FFFFFF"/>
                <w:lang w:val="en-US"/>
              </w:rPr>
              <w:t>adding net income to (or subtracting net losses from) beginning retained earnings and subtracting dividends paid to shareholders.</w:t>
            </w:r>
          </w:p>
        </w:tc>
      </w:tr>
      <w:tr w:rsidR="00A82A80" w:rsidRPr="00A82A80" w14:paraId="7631D1C0" w14:textId="77777777" w:rsidTr="00A82A80">
        <w:tc>
          <w:tcPr>
            <w:tcW w:w="2594" w:type="dxa"/>
          </w:tcPr>
          <w:p w14:paraId="4A615435" w14:textId="77777777" w:rsidR="00A82A80" w:rsidRPr="00A82A80" w:rsidRDefault="00B34CA7" w:rsidP="00B34CA7">
            <w:pPr>
              <w:spacing w:after="120" w:line="240" w:lineRule="atLeast"/>
              <w:rPr>
                <w:b/>
                <w:lang w:val="en-US"/>
              </w:rPr>
            </w:pPr>
            <w:r>
              <w:rPr>
                <w:rFonts w:eastAsia="Arial Unicode MS" w:cs="Arial Unicode MS"/>
                <w:b/>
                <w:u w:color="000000"/>
                <w:bdr w:val="nil"/>
                <w:lang w:val="en-US"/>
              </w:rPr>
              <w:t>S</w:t>
            </w:r>
            <w:r w:rsidR="00A82A80" w:rsidRPr="00A82A80">
              <w:rPr>
                <w:rFonts w:eastAsia="Arial Unicode MS" w:cs="Arial Unicode MS"/>
                <w:b/>
                <w:u w:color="000000"/>
                <w:bdr w:val="nil"/>
                <w:lang w:val="en-US"/>
              </w:rPr>
              <w:t xml:space="preserve">tatement of </w:t>
            </w:r>
            <w:r>
              <w:rPr>
                <w:rFonts w:eastAsia="Arial Unicode MS" w:cs="Arial Unicode MS"/>
                <w:b/>
                <w:u w:color="000000"/>
                <w:bdr w:val="nil"/>
                <w:lang w:val="en-US"/>
              </w:rPr>
              <w:t>F</w:t>
            </w:r>
            <w:r w:rsidR="00A82A80" w:rsidRPr="00A82A80">
              <w:rPr>
                <w:rFonts w:eastAsia="Arial Unicode MS" w:cs="Arial Unicode MS"/>
                <w:b/>
                <w:u w:color="000000"/>
                <w:bdr w:val="nil"/>
                <w:lang w:val="en-US"/>
              </w:rPr>
              <w:t xml:space="preserve">inancial </w:t>
            </w:r>
            <w:r>
              <w:rPr>
                <w:rFonts w:eastAsia="Arial Unicode MS" w:cs="Arial Unicode MS"/>
                <w:b/>
                <w:u w:color="000000"/>
                <w:bdr w:val="nil"/>
                <w:lang w:val="en-US"/>
              </w:rPr>
              <w:t>P</w:t>
            </w:r>
            <w:r w:rsidR="00A82A80" w:rsidRPr="00A82A80">
              <w:rPr>
                <w:rFonts w:eastAsia="Arial Unicode MS" w:cs="Arial Unicode MS"/>
                <w:b/>
                <w:u w:color="000000"/>
                <w:bdr w:val="nil"/>
                <w:lang w:val="en-US"/>
              </w:rPr>
              <w:t xml:space="preserve">osition (balance sheet) </w:t>
            </w:r>
          </w:p>
        </w:tc>
        <w:tc>
          <w:tcPr>
            <w:tcW w:w="7021" w:type="dxa"/>
          </w:tcPr>
          <w:p w14:paraId="12E855D7" w14:textId="77777777" w:rsidR="00A82A80" w:rsidRPr="00A82A80" w:rsidRDefault="00A82A80" w:rsidP="00B34CA7">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 xml:space="preserve">is one of the main financial statements that reports the amounts of company’s assets, </w:t>
            </w:r>
            <w:hyperlink r:id="rId64" w:history="1">
              <w:r w:rsidRPr="00A82A80">
                <w:rPr>
                  <w:rFonts w:eastAsia="Arial Unicode MS" w:cs="Arial Unicode MS"/>
                  <w:u w:color="000000"/>
                  <w:bdr w:val="nil"/>
                  <w:lang w:val="en-US"/>
                </w:rPr>
                <w:t>liabilities</w:t>
              </w:r>
            </w:hyperlink>
            <w:r w:rsidRPr="00A82A80">
              <w:rPr>
                <w:rFonts w:eastAsia="Arial Unicode MS" w:cs="Arial Unicode MS"/>
                <w:u w:color="000000"/>
                <w:bdr w:val="nil"/>
                <w:lang w:val="en-US"/>
              </w:rPr>
              <w:t xml:space="preserve">, and net assets as of the final moment of an </w:t>
            </w:r>
            <w:hyperlink r:id="rId65" w:history="1">
              <w:r w:rsidRPr="00A82A80">
                <w:rPr>
                  <w:rFonts w:eastAsia="Arial Unicode MS" w:cs="Arial Unicode MS"/>
                  <w:u w:color="000000"/>
                  <w:bdr w:val="nil"/>
                  <w:lang w:val="en-US"/>
                </w:rPr>
                <w:t>accounting period</w:t>
              </w:r>
            </w:hyperlink>
            <w:r w:rsidRPr="00A82A80">
              <w:rPr>
                <w:rFonts w:eastAsia="Arial Unicode MS" w:cs="Arial Unicode MS"/>
                <w:u w:color="000000"/>
                <w:bdr w:val="nil"/>
                <w:lang w:val="en-US"/>
              </w:rPr>
              <w:t xml:space="preserve"> and helps users of financial statements to assess the company’s financial soundness of an entity in terms of liquidity, financial, credit and business risks. The structure of the </w:t>
            </w:r>
            <w:r w:rsidR="00B34CA7">
              <w:rPr>
                <w:rFonts w:eastAsia="Arial Unicode MS" w:cs="Arial Unicode MS"/>
                <w:u w:color="000000"/>
                <w:bdr w:val="nil"/>
                <w:lang w:val="en-US"/>
              </w:rPr>
              <w:t>S</w:t>
            </w:r>
            <w:r w:rsidRPr="00A82A80">
              <w:rPr>
                <w:rFonts w:eastAsia="Arial Unicode MS" w:cs="Arial Unicode MS"/>
                <w:u w:color="000000"/>
                <w:bdr w:val="nil"/>
                <w:lang w:val="en-US"/>
              </w:rPr>
              <w:t xml:space="preserve">tatement of </w:t>
            </w:r>
            <w:r w:rsidR="00B34CA7">
              <w:rPr>
                <w:rFonts w:eastAsia="Arial Unicode MS" w:cs="Arial Unicode MS"/>
                <w:u w:color="000000"/>
                <w:bdr w:val="nil"/>
                <w:lang w:val="en-US"/>
              </w:rPr>
              <w:t>F</w:t>
            </w:r>
            <w:r w:rsidRPr="00A82A80">
              <w:rPr>
                <w:rFonts w:eastAsia="Arial Unicode MS" w:cs="Arial Unicode MS"/>
                <w:u w:color="000000"/>
                <w:bdr w:val="nil"/>
                <w:lang w:val="en-US"/>
              </w:rPr>
              <w:t xml:space="preserve">inancial </w:t>
            </w:r>
            <w:r w:rsidR="00B34CA7">
              <w:rPr>
                <w:rFonts w:eastAsia="Arial Unicode MS" w:cs="Arial Unicode MS"/>
                <w:u w:color="000000"/>
                <w:bdr w:val="nil"/>
                <w:lang w:val="en-US"/>
              </w:rPr>
              <w:t>P</w:t>
            </w:r>
            <w:r w:rsidRPr="00A82A80">
              <w:rPr>
                <w:rFonts w:eastAsia="Arial Unicode MS" w:cs="Arial Unicode MS"/>
                <w:u w:color="000000"/>
                <w:bdr w:val="nil"/>
                <w:lang w:val="en-US"/>
              </w:rPr>
              <w:t xml:space="preserve">osition is similar to the basic accounting equation (Assets = Liabilities + Stockholders' Equity). </w:t>
            </w:r>
          </w:p>
        </w:tc>
      </w:tr>
      <w:tr w:rsidR="00A82A80" w:rsidRPr="00A82A80" w14:paraId="0B5E2073" w14:textId="77777777" w:rsidTr="00A82A80">
        <w:tc>
          <w:tcPr>
            <w:tcW w:w="2594" w:type="dxa"/>
          </w:tcPr>
          <w:p w14:paraId="704898E0" w14:textId="77777777" w:rsidR="00A82A80" w:rsidRPr="00A82A80" w:rsidRDefault="00B34CA7" w:rsidP="00B34CA7">
            <w:pPr>
              <w:spacing w:after="120" w:line="240" w:lineRule="atLeast"/>
              <w:rPr>
                <w:b/>
                <w:lang w:val="en-US"/>
              </w:rPr>
            </w:pPr>
            <w:r>
              <w:rPr>
                <w:rFonts w:eastAsia="Arial Unicode MS" w:cs="Arial Unicode MS"/>
                <w:b/>
                <w:u w:color="000000"/>
                <w:bdr w:val="nil"/>
                <w:lang w:val="en-US"/>
              </w:rPr>
              <w:t>S</w:t>
            </w:r>
            <w:r w:rsidR="00A82A80" w:rsidRPr="00A82A80">
              <w:rPr>
                <w:rFonts w:eastAsia="Arial Unicode MS" w:cs="Arial Unicode MS"/>
                <w:b/>
                <w:u w:color="000000"/>
                <w:bdr w:val="nil"/>
                <w:lang w:val="en-US"/>
              </w:rPr>
              <w:t xml:space="preserve">tatement of </w:t>
            </w:r>
            <w:r>
              <w:rPr>
                <w:rFonts w:eastAsia="Arial Unicode MS" w:cs="Arial Unicode MS"/>
                <w:b/>
                <w:u w:color="000000"/>
                <w:bdr w:val="nil"/>
                <w:lang w:val="en-US"/>
              </w:rPr>
              <w:t>P</w:t>
            </w:r>
            <w:r w:rsidR="00A82A80" w:rsidRPr="00A82A80">
              <w:rPr>
                <w:rFonts w:eastAsia="Arial Unicode MS" w:cs="Arial Unicode MS"/>
                <w:b/>
                <w:u w:color="000000"/>
                <w:bdr w:val="nil"/>
                <w:lang w:val="en-US"/>
              </w:rPr>
              <w:t xml:space="preserve">rofit or </w:t>
            </w:r>
            <w:r>
              <w:rPr>
                <w:rFonts w:eastAsia="Arial Unicode MS" w:cs="Arial Unicode MS"/>
                <w:b/>
                <w:u w:color="000000"/>
                <w:bdr w:val="nil"/>
                <w:lang w:val="en-US"/>
              </w:rPr>
              <w:t>L</w:t>
            </w:r>
            <w:r w:rsidR="00A82A80" w:rsidRPr="00A82A80">
              <w:rPr>
                <w:rFonts w:eastAsia="Arial Unicode MS" w:cs="Arial Unicode MS"/>
                <w:b/>
                <w:u w:color="000000"/>
                <w:bdr w:val="nil"/>
                <w:lang w:val="en-US"/>
              </w:rPr>
              <w:t xml:space="preserve">oss and </w:t>
            </w:r>
            <w:r>
              <w:rPr>
                <w:rFonts w:eastAsia="Arial Unicode MS" w:cs="Arial Unicode MS"/>
                <w:b/>
                <w:u w:color="000000"/>
                <w:bdr w:val="nil"/>
                <w:lang w:val="en-US"/>
              </w:rPr>
              <w:t>O</w:t>
            </w:r>
            <w:r w:rsidR="00A82A80" w:rsidRPr="00A82A80">
              <w:rPr>
                <w:rFonts w:eastAsia="Arial Unicode MS" w:cs="Arial Unicode MS"/>
                <w:b/>
                <w:u w:color="000000"/>
                <w:bdr w:val="nil"/>
                <w:lang w:val="en-US"/>
              </w:rPr>
              <w:t xml:space="preserve">ther </w:t>
            </w:r>
            <w:r>
              <w:rPr>
                <w:rFonts w:eastAsia="Arial Unicode MS" w:cs="Arial Unicode MS"/>
                <w:b/>
                <w:u w:color="000000"/>
                <w:bdr w:val="nil"/>
                <w:lang w:val="en-US"/>
              </w:rPr>
              <w:t>C</w:t>
            </w:r>
            <w:r w:rsidR="00A82A80" w:rsidRPr="00A82A80">
              <w:rPr>
                <w:rFonts w:eastAsia="Arial Unicode MS" w:cs="Arial Unicode MS"/>
                <w:b/>
                <w:u w:color="000000"/>
                <w:bdr w:val="nil"/>
                <w:lang w:val="en-US"/>
              </w:rPr>
              <w:t xml:space="preserve">omprehensive </w:t>
            </w:r>
            <w:r>
              <w:rPr>
                <w:rFonts w:eastAsia="Arial Unicode MS" w:cs="Arial Unicode MS"/>
                <w:b/>
                <w:u w:color="000000"/>
                <w:bdr w:val="nil"/>
                <w:lang w:val="en-US"/>
              </w:rPr>
              <w:t>I</w:t>
            </w:r>
            <w:r w:rsidR="00A82A80" w:rsidRPr="00A82A80">
              <w:rPr>
                <w:rFonts w:eastAsia="Arial Unicode MS" w:cs="Arial Unicode MS"/>
                <w:b/>
                <w:u w:color="000000"/>
                <w:bdr w:val="nil"/>
                <w:lang w:val="en-US"/>
              </w:rPr>
              <w:t>ncome (</w:t>
            </w:r>
            <w:r>
              <w:rPr>
                <w:rFonts w:eastAsia="Arial Unicode MS" w:cs="Arial Unicode MS"/>
                <w:b/>
                <w:u w:color="000000"/>
                <w:bdr w:val="nil"/>
                <w:lang w:val="it-IT"/>
              </w:rPr>
              <w:t>I</w:t>
            </w:r>
            <w:r w:rsidR="00A82A80" w:rsidRPr="00A82A80">
              <w:rPr>
                <w:rFonts w:eastAsia="Arial Unicode MS" w:cs="Arial Unicode MS"/>
                <w:b/>
                <w:u w:color="000000"/>
                <w:bdr w:val="nil"/>
                <w:lang w:val="it-IT"/>
              </w:rPr>
              <w:t xml:space="preserve">ncome </w:t>
            </w:r>
            <w:r>
              <w:rPr>
                <w:rFonts w:eastAsia="Arial Unicode MS" w:cs="Arial Unicode MS"/>
                <w:b/>
                <w:u w:color="000000"/>
                <w:bdr w:val="nil"/>
                <w:lang w:val="it-IT"/>
              </w:rPr>
              <w:t>S</w:t>
            </w:r>
            <w:r w:rsidR="00A82A80" w:rsidRPr="00A82A80">
              <w:rPr>
                <w:rFonts w:eastAsia="Arial Unicode MS" w:cs="Arial Unicode MS"/>
                <w:b/>
                <w:u w:color="000000"/>
                <w:bdr w:val="nil"/>
                <w:lang w:val="it-IT"/>
              </w:rPr>
              <w:t>tatement</w:t>
            </w:r>
            <w:r w:rsidR="00A82A80" w:rsidRPr="00A82A80">
              <w:rPr>
                <w:rFonts w:eastAsia="Arial Unicode MS" w:cs="Arial Unicode MS"/>
                <w:b/>
                <w:u w:color="000000"/>
                <w:bdr w:val="nil"/>
                <w:lang w:val="en-US"/>
              </w:rPr>
              <w:t xml:space="preserve"> (US English), </w:t>
            </w:r>
            <w:r>
              <w:rPr>
                <w:rFonts w:eastAsia="Arial Unicode MS" w:cs="Arial Unicode MS"/>
                <w:b/>
                <w:u w:color="000000"/>
                <w:bdr w:val="nil"/>
                <w:lang w:val="en-US"/>
              </w:rPr>
              <w:t>P</w:t>
            </w:r>
            <w:r w:rsidR="00A82A80" w:rsidRPr="00A82A80">
              <w:rPr>
                <w:rFonts w:eastAsia="Arial Unicode MS" w:cs="Arial Unicode MS"/>
                <w:b/>
                <w:u w:color="000000"/>
                <w:bdr w:val="nil"/>
                <w:lang w:val="en-US"/>
              </w:rPr>
              <w:t xml:space="preserve">rofit and </w:t>
            </w:r>
            <w:r>
              <w:rPr>
                <w:rFonts w:eastAsia="Arial Unicode MS" w:cs="Arial Unicode MS"/>
                <w:b/>
                <w:u w:color="000000"/>
                <w:bdr w:val="nil"/>
                <w:lang w:val="en-US"/>
              </w:rPr>
              <w:t>L</w:t>
            </w:r>
            <w:r w:rsidR="00A82A80" w:rsidRPr="00A82A80">
              <w:rPr>
                <w:rFonts w:eastAsia="Arial Unicode MS" w:cs="Arial Unicode MS"/>
                <w:b/>
                <w:u w:color="000000"/>
                <w:bdr w:val="nil"/>
                <w:lang w:val="en-US"/>
              </w:rPr>
              <w:t xml:space="preserve">oss </w:t>
            </w:r>
            <w:r>
              <w:rPr>
                <w:rFonts w:eastAsia="Arial Unicode MS" w:cs="Arial Unicode MS"/>
                <w:b/>
                <w:u w:color="000000"/>
                <w:bdr w:val="nil"/>
                <w:lang w:val="en-US"/>
              </w:rPr>
              <w:t>A</w:t>
            </w:r>
            <w:r w:rsidR="00A82A80" w:rsidRPr="00A82A80">
              <w:rPr>
                <w:rFonts w:eastAsia="Arial Unicode MS" w:cs="Arial Unicode MS"/>
                <w:b/>
                <w:u w:color="000000"/>
                <w:bdr w:val="nil"/>
                <w:lang w:val="en-US"/>
              </w:rPr>
              <w:t xml:space="preserve">ccount (UK English), </w:t>
            </w:r>
            <w:r>
              <w:rPr>
                <w:rFonts w:eastAsia="Arial Unicode MS" w:cs="Arial Unicode MS"/>
                <w:b/>
                <w:u w:color="000000"/>
                <w:bdr w:val="nil"/>
                <w:lang w:val="en-US"/>
              </w:rPr>
              <w:t>P</w:t>
            </w:r>
            <w:r w:rsidR="00A82A80" w:rsidRPr="00A82A80">
              <w:rPr>
                <w:rFonts w:eastAsia="Arial Unicode MS" w:cs="Arial Unicode MS"/>
                <w:b/>
                <w:u w:color="000000"/>
                <w:bdr w:val="nil"/>
                <w:lang w:val="en-US"/>
              </w:rPr>
              <w:t xml:space="preserve">rofit and </w:t>
            </w:r>
            <w:r>
              <w:rPr>
                <w:rFonts w:eastAsia="Arial Unicode MS" w:cs="Arial Unicode MS"/>
                <w:b/>
                <w:u w:color="000000"/>
                <w:bdr w:val="nil"/>
                <w:lang w:val="en-US"/>
              </w:rPr>
              <w:t>L</w:t>
            </w:r>
            <w:r w:rsidR="00A82A80" w:rsidRPr="00A82A80">
              <w:rPr>
                <w:rFonts w:eastAsia="Arial Unicode MS" w:cs="Arial Unicode MS"/>
                <w:b/>
                <w:u w:color="000000"/>
                <w:bdr w:val="nil"/>
                <w:lang w:val="en-US"/>
              </w:rPr>
              <w:t xml:space="preserve">oss </w:t>
            </w:r>
            <w:r>
              <w:rPr>
                <w:rFonts w:eastAsia="Arial Unicode MS" w:cs="Arial Unicode MS"/>
                <w:b/>
                <w:u w:color="000000"/>
                <w:bdr w:val="nil"/>
                <w:lang w:val="en-US"/>
              </w:rPr>
              <w:t>S</w:t>
            </w:r>
            <w:r w:rsidR="00A82A80" w:rsidRPr="00A82A80">
              <w:rPr>
                <w:rFonts w:eastAsia="Arial Unicode MS" w:cs="Arial Unicode MS"/>
                <w:b/>
                <w:u w:color="000000"/>
                <w:bdr w:val="nil"/>
                <w:lang w:val="en-US"/>
              </w:rPr>
              <w:t xml:space="preserve">tatement (P&amp;L), </w:t>
            </w:r>
            <w:r>
              <w:rPr>
                <w:rFonts w:eastAsia="Arial Unicode MS" w:cs="Arial Unicode MS"/>
                <w:b/>
                <w:u w:color="000000"/>
                <w:bdr w:val="nil"/>
                <w:lang w:val="en-US"/>
              </w:rPr>
              <w:t>S</w:t>
            </w:r>
            <w:r w:rsidR="00A82A80" w:rsidRPr="00A82A80">
              <w:rPr>
                <w:rFonts w:eastAsia="Arial Unicode MS" w:cs="Arial Unicode MS"/>
                <w:b/>
                <w:u w:color="000000"/>
                <w:bdr w:val="nil"/>
                <w:lang w:val="en-US"/>
              </w:rPr>
              <w:t xml:space="preserve">tatement of </w:t>
            </w:r>
            <w:r>
              <w:rPr>
                <w:rFonts w:eastAsia="Arial Unicode MS" w:cs="Arial Unicode MS"/>
                <w:b/>
                <w:u w:color="000000"/>
                <w:bdr w:val="nil"/>
                <w:lang w:val="en-US"/>
              </w:rPr>
              <w:t>F</w:t>
            </w:r>
            <w:r w:rsidR="00A82A80" w:rsidRPr="00A82A80">
              <w:rPr>
                <w:rFonts w:eastAsia="Arial Unicode MS" w:cs="Arial Unicode MS"/>
                <w:b/>
                <w:u w:color="000000"/>
                <w:bdr w:val="nil"/>
                <w:lang w:val="en-US"/>
              </w:rPr>
              <w:t xml:space="preserve">inancial </w:t>
            </w:r>
            <w:r>
              <w:rPr>
                <w:rFonts w:eastAsia="Arial Unicode MS" w:cs="Arial Unicode MS"/>
                <w:b/>
                <w:u w:color="000000"/>
                <w:bdr w:val="nil"/>
                <w:lang w:val="en-US"/>
              </w:rPr>
              <w:t>P</w:t>
            </w:r>
            <w:r w:rsidR="00A82A80" w:rsidRPr="00A82A80">
              <w:rPr>
                <w:rFonts w:eastAsia="Arial Unicode MS" w:cs="Arial Unicode MS"/>
                <w:b/>
                <w:u w:color="000000"/>
                <w:bdr w:val="nil"/>
                <w:lang w:val="en-US"/>
              </w:rPr>
              <w:t xml:space="preserve">erformance, </w:t>
            </w:r>
            <w:r>
              <w:rPr>
                <w:rFonts w:eastAsia="Arial Unicode MS" w:cs="Arial Unicode MS"/>
                <w:b/>
                <w:u w:color="000000"/>
                <w:bdr w:val="nil"/>
                <w:lang w:val="en-US"/>
              </w:rPr>
              <w:t>E</w:t>
            </w:r>
            <w:r w:rsidR="00A82A80" w:rsidRPr="00A82A80">
              <w:rPr>
                <w:rFonts w:eastAsia="Arial Unicode MS" w:cs="Arial Unicode MS"/>
                <w:b/>
                <w:u w:color="000000"/>
                <w:bdr w:val="nil"/>
                <w:lang w:val="en-US"/>
              </w:rPr>
              <w:t xml:space="preserve">arnings </w:t>
            </w:r>
            <w:r>
              <w:rPr>
                <w:rFonts w:eastAsia="Arial Unicode MS" w:cs="Arial Unicode MS"/>
                <w:b/>
                <w:u w:color="000000"/>
                <w:bdr w:val="nil"/>
                <w:lang w:val="en-US"/>
              </w:rPr>
              <w:t>S</w:t>
            </w:r>
            <w:r w:rsidR="00A82A80" w:rsidRPr="00A82A80">
              <w:rPr>
                <w:rFonts w:eastAsia="Arial Unicode MS" w:cs="Arial Unicode MS"/>
                <w:b/>
                <w:u w:color="000000"/>
                <w:bdr w:val="nil"/>
                <w:lang w:val="en-US"/>
              </w:rPr>
              <w:t xml:space="preserve">tatement, </w:t>
            </w:r>
            <w:r>
              <w:rPr>
                <w:rFonts w:eastAsia="Arial Unicode MS" w:cs="Arial Unicode MS"/>
                <w:b/>
                <w:u w:color="000000"/>
                <w:bdr w:val="nil"/>
                <w:lang w:val="en-US"/>
              </w:rPr>
              <w:t>O</w:t>
            </w:r>
            <w:r w:rsidR="00A82A80" w:rsidRPr="00A82A80">
              <w:rPr>
                <w:rFonts w:eastAsia="Arial Unicode MS" w:cs="Arial Unicode MS"/>
                <w:b/>
                <w:u w:color="000000"/>
                <w:bdr w:val="nil"/>
                <w:lang w:val="en-US"/>
              </w:rPr>
              <w:t xml:space="preserve">perating </w:t>
            </w:r>
            <w:r>
              <w:rPr>
                <w:rFonts w:eastAsia="Arial Unicode MS" w:cs="Arial Unicode MS"/>
                <w:b/>
                <w:u w:color="000000"/>
                <w:bdr w:val="nil"/>
                <w:lang w:val="en-US"/>
              </w:rPr>
              <w:t>S</w:t>
            </w:r>
            <w:r w:rsidR="00A82A80" w:rsidRPr="00A82A80">
              <w:rPr>
                <w:rFonts w:eastAsia="Arial Unicode MS" w:cs="Arial Unicode MS"/>
                <w:b/>
                <w:u w:color="000000"/>
                <w:bdr w:val="nil"/>
                <w:lang w:val="en-US"/>
              </w:rPr>
              <w:t xml:space="preserve">tatement, or </w:t>
            </w:r>
            <w:r>
              <w:rPr>
                <w:rFonts w:eastAsia="Arial Unicode MS" w:cs="Arial Unicode MS"/>
                <w:b/>
                <w:u w:color="000000"/>
                <w:bdr w:val="nil"/>
                <w:lang w:val="en-US"/>
              </w:rPr>
              <w:t>S</w:t>
            </w:r>
            <w:r w:rsidR="00A82A80" w:rsidRPr="00A82A80">
              <w:rPr>
                <w:rFonts w:eastAsia="Arial Unicode MS" w:cs="Arial Unicode MS"/>
                <w:b/>
                <w:u w:color="000000"/>
                <w:bdr w:val="nil"/>
                <w:lang w:val="en-US"/>
              </w:rPr>
              <w:t xml:space="preserve">tatement of </w:t>
            </w:r>
            <w:r>
              <w:rPr>
                <w:rFonts w:eastAsia="Arial Unicode MS" w:cs="Arial Unicode MS"/>
                <w:b/>
                <w:u w:color="000000"/>
                <w:bdr w:val="nil"/>
                <w:lang w:val="en-US"/>
              </w:rPr>
              <w:t>O</w:t>
            </w:r>
            <w:r w:rsidR="00A82A80" w:rsidRPr="00A82A80">
              <w:rPr>
                <w:rFonts w:eastAsia="Arial Unicode MS" w:cs="Arial Unicode MS"/>
                <w:b/>
                <w:u w:color="000000"/>
                <w:bdr w:val="nil"/>
                <w:lang w:val="en-US"/>
              </w:rPr>
              <w:t xml:space="preserve">perations) </w:t>
            </w:r>
          </w:p>
        </w:tc>
        <w:tc>
          <w:tcPr>
            <w:tcW w:w="7021" w:type="dxa"/>
          </w:tcPr>
          <w:p w14:paraId="2C1DB965" w14:textId="77777777" w:rsidR="00A82A80" w:rsidRPr="00A82A80" w:rsidRDefault="00A82A80" w:rsidP="00B34CA7">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 xml:space="preserve">is one of the company’s financial statements </w:t>
            </w:r>
            <w:r w:rsidR="00B34CA7">
              <w:rPr>
                <w:rFonts w:eastAsia="Arial Unicode MS" w:cs="Arial Unicode MS"/>
                <w:u w:color="000000"/>
                <w:bdr w:val="nil"/>
                <w:lang w:val="en-US"/>
              </w:rPr>
              <w:t>which</w:t>
            </w:r>
            <w:r w:rsidRPr="00A82A80">
              <w:rPr>
                <w:rFonts w:eastAsia="Arial Unicode MS" w:cs="Arial Unicode MS"/>
                <w:u w:color="000000"/>
                <w:bdr w:val="nil"/>
                <w:lang w:val="en-US"/>
              </w:rPr>
              <w:t xml:space="preserve"> shows the company’s income and </w:t>
            </w:r>
            <w:hyperlink r:id="rId66" w:history="1">
              <w:r w:rsidRPr="00A82A80">
                <w:rPr>
                  <w:rFonts w:eastAsia="Arial Unicode MS" w:cs="Arial Unicode MS"/>
                  <w:u w:color="000000"/>
                  <w:bdr w:val="nil"/>
                  <w:lang w:val="en-US"/>
                </w:rPr>
                <w:t>expenses</w:t>
              </w:r>
            </w:hyperlink>
            <w:r w:rsidRPr="00A82A80">
              <w:rPr>
                <w:rFonts w:eastAsia="Arial Unicode MS" w:cs="Arial Unicode MS"/>
                <w:u w:color="000000"/>
                <w:bdr w:val="nil"/>
                <w:lang w:val="en-US"/>
              </w:rPr>
              <w:t xml:space="preserve"> resulted in profit or loss and items of </w:t>
            </w:r>
            <w:hyperlink r:id="rId67" w:history="1">
              <w:r w:rsidRPr="00A82A80">
                <w:rPr>
                  <w:rFonts w:eastAsia="Arial Unicode MS" w:cs="Arial Unicode MS"/>
                  <w:u w:color="000000"/>
                  <w:bdr w:val="nil"/>
                  <w:lang w:val="en-US"/>
                </w:rPr>
                <w:t>other comprehensive income</w:t>
              </w:r>
            </w:hyperlink>
            <w:r w:rsidRPr="00A82A80">
              <w:rPr>
                <w:rFonts w:eastAsia="Arial Unicode MS" w:cs="Arial Unicode MS"/>
                <w:u w:color="000000"/>
                <w:bdr w:val="nil"/>
                <w:lang w:val="en-US"/>
              </w:rPr>
              <w:t xml:space="preserve"> for the reporting period.</w:t>
            </w:r>
          </w:p>
        </w:tc>
      </w:tr>
      <w:tr w:rsidR="00A82A80" w:rsidRPr="00A82A80" w14:paraId="68D70506" w14:textId="77777777" w:rsidTr="00A82A80">
        <w:tc>
          <w:tcPr>
            <w:tcW w:w="2594" w:type="dxa"/>
          </w:tcPr>
          <w:p w14:paraId="350F9D91"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reporting period (accounting period) </w:t>
            </w:r>
          </w:p>
        </w:tc>
        <w:tc>
          <w:tcPr>
            <w:tcW w:w="7021" w:type="dxa"/>
          </w:tcPr>
          <w:p w14:paraId="331C8996" w14:textId="77777777" w:rsidR="00A82A80" w:rsidRPr="00A82A80" w:rsidRDefault="00A82A80" w:rsidP="00A82A80">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is the time span for which company or organization reports financial performance and financial position, covered by a set of financial statements. The reporting period is typically defined with respect to the fiscal year. Four quarterly reporting periods correspond to the company's fiscal quarters, and an annual reporting period covers the entire fiscal year.</w:t>
            </w:r>
          </w:p>
        </w:tc>
      </w:tr>
      <w:tr w:rsidR="00A82A80" w:rsidRPr="00A82A80" w14:paraId="479B27B0" w14:textId="77777777" w:rsidTr="00A82A80">
        <w:tc>
          <w:tcPr>
            <w:tcW w:w="2594" w:type="dxa"/>
          </w:tcPr>
          <w:p w14:paraId="1BE8A69A"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statement of changes in equity (statement of retained earnings in U.S. GAAP or equity statement) </w:t>
            </w:r>
          </w:p>
        </w:tc>
        <w:tc>
          <w:tcPr>
            <w:tcW w:w="7021" w:type="dxa"/>
          </w:tcPr>
          <w:p w14:paraId="474C193E" w14:textId="77777777" w:rsidR="00A82A80" w:rsidRDefault="00A82A80" w:rsidP="00B34CA7">
            <w:pPr>
              <w:pBdr>
                <w:top w:val="nil"/>
                <w:left w:val="nil"/>
                <w:bottom w:val="nil"/>
                <w:right w:val="nil"/>
                <w:between w:val="nil"/>
                <w:bar w:val="nil"/>
              </w:pBdr>
              <w:spacing w:after="120" w:line="240" w:lineRule="atLeast"/>
              <w:jc w:val="both"/>
              <w:rPr>
                <w:rFonts w:eastAsia="Arial Unicode MS" w:cs="Arial Unicode MS"/>
                <w:u w:color="000000"/>
                <w:bdr w:val="nil"/>
                <w:lang w:val="en-US"/>
              </w:rPr>
            </w:pPr>
            <w:r w:rsidRPr="00A82A80">
              <w:rPr>
                <w:rFonts w:eastAsia="Arial Unicode MS" w:cs="Arial Unicode MS"/>
                <w:u w:color="000000"/>
                <w:bdr w:val="nil"/>
                <w:lang w:val="en-US"/>
              </w:rPr>
              <w:t xml:space="preserve">is a basic company’s financial statements </w:t>
            </w:r>
            <w:r w:rsidR="00B34CA7">
              <w:rPr>
                <w:rFonts w:eastAsia="Arial Unicode MS" w:cs="Arial Unicode MS"/>
                <w:u w:color="000000"/>
                <w:bdr w:val="nil"/>
                <w:lang w:val="en-US"/>
              </w:rPr>
              <w:t>which</w:t>
            </w:r>
            <w:r w:rsidRPr="00A82A80">
              <w:rPr>
                <w:rFonts w:eastAsia="Arial Unicode MS" w:cs="Arial Unicode MS"/>
                <w:u w:color="000000"/>
                <w:bdr w:val="nil"/>
                <w:lang w:val="en-US"/>
              </w:rPr>
              <w:t xml:space="preserve"> shows the movement in owners' interest (equity) over a reporting period by presenting the movement in reserves comprising the shareholders' equity.</w:t>
            </w:r>
          </w:p>
          <w:p w14:paraId="4D713B4F" w14:textId="77777777" w:rsidR="009F59F5" w:rsidRDefault="009F59F5" w:rsidP="00B34CA7">
            <w:pPr>
              <w:pBdr>
                <w:top w:val="nil"/>
                <w:left w:val="nil"/>
                <w:bottom w:val="nil"/>
                <w:right w:val="nil"/>
                <w:between w:val="nil"/>
                <w:bar w:val="nil"/>
              </w:pBdr>
              <w:spacing w:after="120" w:line="240" w:lineRule="atLeast"/>
              <w:jc w:val="both"/>
              <w:rPr>
                <w:rFonts w:eastAsia="Arial Unicode MS" w:cs="Arial Unicode MS"/>
                <w:u w:color="000000"/>
                <w:bdr w:val="nil"/>
                <w:lang w:val="en-US"/>
              </w:rPr>
            </w:pPr>
          </w:p>
          <w:p w14:paraId="0BFD3319" w14:textId="77777777" w:rsidR="009F59F5" w:rsidRDefault="009F59F5" w:rsidP="00B34CA7">
            <w:pPr>
              <w:pBdr>
                <w:top w:val="nil"/>
                <w:left w:val="nil"/>
                <w:bottom w:val="nil"/>
                <w:right w:val="nil"/>
                <w:between w:val="nil"/>
                <w:bar w:val="nil"/>
              </w:pBdr>
              <w:spacing w:after="120" w:line="240" w:lineRule="atLeast"/>
              <w:jc w:val="both"/>
              <w:rPr>
                <w:rFonts w:eastAsia="Arial Unicode MS" w:cs="Arial Unicode MS"/>
                <w:u w:color="000000"/>
                <w:bdr w:val="nil"/>
                <w:lang w:val="en-US"/>
              </w:rPr>
            </w:pPr>
          </w:p>
          <w:p w14:paraId="0B9E010E" w14:textId="77777777" w:rsidR="009F59F5" w:rsidRPr="00A82A80" w:rsidRDefault="009F59F5" w:rsidP="00B34CA7">
            <w:pPr>
              <w:pBdr>
                <w:top w:val="nil"/>
                <w:left w:val="nil"/>
                <w:bottom w:val="nil"/>
                <w:right w:val="nil"/>
                <w:between w:val="nil"/>
                <w:bar w:val="nil"/>
              </w:pBdr>
              <w:spacing w:after="120" w:line="240" w:lineRule="atLeast"/>
              <w:jc w:val="both"/>
              <w:rPr>
                <w:u w:color="000000"/>
                <w:bdr w:val="nil"/>
                <w:lang w:val="en-US"/>
              </w:rPr>
            </w:pPr>
          </w:p>
        </w:tc>
      </w:tr>
      <w:tr w:rsidR="00A82A80" w:rsidRPr="00A82A80" w14:paraId="23E9B658" w14:textId="77777777" w:rsidTr="00A82A80">
        <w:tc>
          <w:tcPr>
            <w:tcW w:w="2594" w:type="dxa"/>
          </w:tcPr>
          <w:p w14:paraId="264E6E38"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lastRenderedPageBreak/>
              <w:t xml:space="preserve">statement of cash flows (cash flow statement) </w:t>
            </w:r>
          </w:p>
        </w:tc>
        <w:tc>
          <w:tcPr>
            <w:tcW w:w="7021" w:type="dxa"/>
          </w:tcPr>
          <w:p w14:paraId="29E727AC" w14:textId="77777777" w:rsidR="00A82A80" w:rsidRPr="00A82A80" w:rsidRDefault="00A82A80" w:rsidP="00B34CA7">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 xml:space="preserve">is one of the company’s financial statements </w:t>
            </w:r>
            <w:r w:rsidR="00B34CA7">
              <w:rPr>
                <w:rFonts w:eastAsia="Arial Unicode MS" w:cs="Arial Unicode MS"/>
                <w:u w:color="000000"/>
                <w:bdr w:val="nil"/>
                <w:lang w:val="en-US"/>
              </w:rPr>
              <w:t>which</w:t>
            </w:r>
            <w:r w:rsidRPr="00A82A80">
              <w:rPr>
                <w:rFonts w:eastAsia="Arial Unicode MS" w:cs="Arial Unicode MS"/>
                <w:u w:color="000000"/>
                <w:bdr w:val="nil"/>
                <w:lang w:val="en-US"/>
              </w:rPr>
              <w:t xml:space="preserve"> presents the movement in balance sheet accounts and income affects cash, cash equivalents, and bank balances from operating activities, investing activities, financing activities, and certain supplemental information for the period specified in the heading of the statement.</w:t>
            </w:r>
          </w:p>
        </w:tc>
      </w:tr>
      <w:tr w:rsidR="00A82A80" w:rsidRPr="00A82A80" w14:paraId="0E885373" w14:textId="77777777" w:rsidTr="00A82A80">
        <w:tc>
          <w:tcPr>
            <w:tcW w:w="2594" w:type="dxa"/>
          </w:tcPr>
          <w:p w14:paraId="58052509"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opening balance </w:t>
            </w:r>
          </w:p>
        </w:tc>
        <w:tc>
          <w:tcPr>
            <w:tcW w:w="7021" w:type="dxa"/>
          </w:tcPr>
          <w:p w14:paraId="586AA6A8" w14:textId="77777777" w:rsidR="00A82A80" w:rsidRPr="00A82A80" w:rsidRDefault="00A82A80" w:rsidP="00B34CA7">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 xml:space="preserve">represents the balance company's accounts at the beginning of a new </w:t>
            </w:r>
            <w:hyperlink r:id="rId68" w:history="1">
              <w:r w:rsidRPr="00A82A80">
                <w:rPr>
                  <w:rFonts w:eastAsia="Arial Unicode MS" w:cs="Arial Unicode MS"/>
                  <w:u w:color="000000"/>
                  <w:bdr w:val="nil"/>
                  <w:lang w:val="en-US"/>
                </w:rPr>
                <w:t>accounting period</w:t>
              </w:r>
            </w:hyperlink>
            <w:r w:rsidRPr="00A82A80">
              <w:rPr>
                <w:rFonts w:eastAsia="Arial Unicode MS" w:cs="Arial Unicode MS"/>
                <w:u w:color="000000"/>
                <w:bdr w:val="nil"/>
                <w:lang w:val="en-US"/>
              </w:rPr>
              <w:t xml:space="preserve">, brought forward from the previous period, on the </w:t>
            </w:r>
            <w:hyperlink r:id="rId69" w:history="1">
              <w:r w:rsidRPr="00A82A80">
                <w:rPr>
                  <w:rFonts w:eastAsia="Arial Unicode MS" w:cs="Arial Unicode MS"/>
                  <w:u w:color="000000"/>
                  <w:bdr w:val="nil"/>
                  <w:lang w:val="en-US"/>
                </w:rPr>
                <w:t>credit</w:t>
              </w:r>
            </w:hyperlink>
            <w:r w:rsidRPr="00A82A80">
              <w:rPr>
                <w:rFonts w:eastAsia="Arial Unicode MS" w:cs="Arial Unicode MS"/>
                <w:u w:color="000000"/>
                <w:bdr w:val="nil"/>
                <w:lang w:val="en-US"/>
              </w:rPr>
              <w:t xml:space="preserve"> or the </w:t>
            </w:r>
            <w:hyperlink r:id="rId70" w:history="1">
              <w:r w:rsidRPr="00A82A80">
                <w:rPr>
                  <w:rFonts w:eastAsia="Arial Unicode MS" w:cs="Arial Unicode MS"/>
                  <w:u w:color="000000"/>
                  <w:bdr w:val="nil"/>
                  <w:lang w:val="es-ES_tradnl"/>
                </w:rPr>
                <w:t>debit</w:t>
              </w:r>
            </w:hyperlink>
            <w:r w:rsidRPr="00A82A80">
              <w:rPr>
                <w:rFonts w:eastAsia="Arial Unicode MS" w:cs="Arial Unicode MS"/>
                <w:u w:color="000000"/>
                <w:bdr w:val="nil"/>
                <w:lang w:val="en-US"/>
              </w:rPr>
              <w:t xml:space="preserve"> side of the </w:t>
            </w:r>
            <w:hyperlink r:id="rId71" w:history="1">
              <w:r w:rsidRPr="00A82A80">
                <w:rPr>
                  <w:rFonts w:eastAsia="Arial Unicode MS" w:cs="Arial Unicode MS"/>
                  <w:u w:color="000000"/>
                  <w:bdr w:val="nil"/>
                  <w:lang w:val="en-US"/>
                </w:rPr>
                <w:t>ledger</w:t>
              </w:r>
            </w:hyperlink>
            <w:r w:rsidRPr="00A82A80">
              <w:rPr>
                <w:rFonts w:eastAsia="Arial Unicode MS" w:cs="Arial Unicode MS"/>
                <w:u w:color="000000"/>
                <w:bdr w:val="nil"/>
                <w:lang w:val="en-US"/>
              </w:rPr>
              <w:t xml:space="preserve"> (depending on whether the firm has a positive or negative balance).</w:t>
            </w:r>
          </w:p>
        </w:tc>
      </w:tr>
      <w:tr w:rsidR="00A82A80" w:rsidRPr="00A82A80" w14:paraId="4A48281A" w14:textId="77777777" w:rsidTr="00A82A80">
        <w:tc>
          <w:tcPr>
            <w:tcW w:w="2594" w:type="dxa"/>
          </w:tcPr>
          <w:p w14:paraId="1EF62325"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closing balance </w:t>
            </w:r>
          </w:p>
        </w:tc>
        <w:tc>
          <w:tcPr>
            <w:tcW w:w="7021" w:type="dxa"/>
          </w:tcPr>
          <w:p w14:paraId="63AEF70A" w14:textId="77777777" w:rsidR="00A82A80" w:rsidRPr="00A82A80" w:rsidRDefault="00A82A80" w:rsidP="00A82A80">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represents the balance company's accounts at the end of the reporting period as reflected in the financial statements.</w:t>
            </w:r>
          </w:p>
        </w:tc>
      </w:tr>
      <w:tr w:rsidR="00A82A80" w:rsidRPr="00A82A80" w14:paraId="05693F18" w14:textId="77777777" w:rsidTr="00A82A80">
        <w:tc>
          <w:tcPr>
            <w:tcW w:w="2594" w:type="dxa"/>
          </w:tcPr>
          <w:p w14:paraId="4D3755BF"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off balance sheet </w:t>
            </w:r>
          </w:p>
        </w:tc>
        <w:tc>
          <w:tcPr>
            <w:tcW w:w="7021" w:type="dxa"/>
          </w:tcPr>
          <w:p w14:paraId="5EE1543B" w14:textId="77777777" w:rsidR="00A82A80" w:rsidRPr="00A82A80" w:rsidRDefault="00A82A80" w:rsidP="00A82A80">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 xml:space="preserve">refers to items (company's assets or debts) that do not appear on a company's balance sheet. The most common off-balance sheet item is an </w:t>
            </w:r>
            <w:hyperlink r:id="rId72" w:history="1">
              <w:r w:rsidRPr="00A82A80">
                <w:rPr>
                  <w:rFonts w:eastAsia="Arial Unicode MS" w:cs="Arial Unicode MS"/>
                  <w:u w:color="000000"/>
                  <w:bdr w:val="nil"/>
                  <w:lang w:val="en-US"/>
                </w:rPr>
                <w:t>operating lease</w:t>
              </w:r>
            </w:hyperlink>
            <w:r w:rsidRPr="00A82A80">
              <w:rPr>
                <w:rFonts w:eastAsia="Arial Unicode MS" w:cs="Arial Unicode MS"/>
                <w:u w:color="000000"/>
                <w:bdr w:val="nil"/>
                <w:lang w:val="en-US"/>
              </w:rPr>
              <w:t>.</w:t>
            </w:r>
          </w:p>
        </w:tc>
      </w:tr>
      <w:tr w:rsidR="00A82A80" w:rsidRPr="00A82A80" w14:paraId="03990089" w14:textId="77777777" w:rsidTr="00A82A80">
        <w:tc>
          <w:tcPr>
            <w:tcW w:w="2594" w:type="dxa"/>
          </w:tcPr>
          <w:p w14:paraId="31A61F29"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yield </w:t>
            </w:r>
          </w:p>
        </w:tc>
        <w:tc>
          <w:tcPr>
            <w:tcW w:w="7021" w:type="dxa"/>
          </w:tcPr>
          <w:p w14:paraId="4D063E83" w14:textId="77777777" w:rsidR="00A82A80" w:rsidRPr="00A82A80" w:rsidRDefault="00A82A80" w:rsidP="00A82A80">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is an income return produced by an investment and is usually expressed annually as a percentage of investment's cost (its current market or face value).</w:t>
            </w:r>
          </w:p>
        </w:tc>
      </w:tr>
      <w:tr w:rsidR="00A82A80" w:rsidRPr="00A82A80" w14:paraId="1F5E7051" w14:textId="77777777" w:rsidTr="00A82A80">
        <w:tc>
          <w:tcPr>
            <w:tcW w:w="2594" w:type="dxa"/>
          </w:tcPr>
          <w:p w14:paraId="1FB62C30"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financial leverage </w:t>
            </w:r>
          </w:p>
        </w:tc>
        <w:tc>
          <w:tcPr>
            <w:tcW w:w="7021" w:type="dxa"/>
          </w:tcPr>
          <w:p w14:paraId="2AC9EB8E" w14:textId="77777777" w:rsidR="00A82A80" w:rsidRPr="00A82A80" w:rsidRDefault="00A82A80" w:rsidP="00A82A80">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refers to the use of borrowed money (debt) to acquire additional assets (increase production volume).</w:t>
            </w:r>
          </w:p>
        </w:tc>
      </w:tr>
      <w:tr w:rsidR="00A82A80" w:rsidRPr="00A82A80" w14:paraId="781A8A22" w14:textId="77777777" w:rsidTr="00A82A80">
        <w:tc>
          <w:tcPr>
            <w:tcW w:w="2594" w:type="dxa"/>
          </w:tcPr>
          <w:p w14:paraId="0507A314" w14:textId="77777777" w:rsidR="00A82A80" w:rsidRPr="00A82A80" w:rsidRDefault="00A82A80" w:rsidP="00A82A80">
            <w:pPr>
              <w:spacing w:after="120" w:line="240" w:lineRule="atLeast"/>
              <w:rPr>
                <w:b/>
                <w:lang w:val="en-US"/>
              </w:rPr>
            </w:pPr>
            <w:r w:rsidRPr="00A82A80">
              <w:rPr>
                <w:rFonts w:eastAsia="Arial Unicode MS" w:cs="Arial Unicode MS"/>
                <w:b/>
                <w:u w:color="000000"/>
                <w:bdr w:val="nil"/>
                <w:lang w:val="en-US"/>
              </w:rPr>
              <w:t xml:space="preserve">tax effect  </w:t>
            </w:r>
          </w:p>
        </w:tc>
        <w:tc>
          <w:tcPr>
            <w:tcW w:w="7021" w:type="dxa"/>
          </w:tcPr>
          <w:p w14:paraId="1107ECF7" w14:textId="77777777" w:rsidR="00A82A80" w:rsidRPr="00A82A80" w:rsidRDefault="00A82A80" w:rsidP="00A82A80">
            <w:pPr>
              <w:pBdr>
                <w:top w:val="nil"/>
                <w:left w:val="nil"/>
                <w:bottom w:val="nil"/>
                <w:right w:val="nil"/>
                <w:between w:val="nil"/>
                <w:bar w:val="nil"/>
              </w:pBdr>
              <w:spacing w:after="120" w:line="240" w:lineRule="atLeast"/>
              <w:jc w:val="both"/>
              <w:rPr>
                <w:u w:color="000000"/>
                <w:bdr w:val="nil"/>
                <w:lang w:val="en-US"/>
              </w:rPr>
            </w:pPr>
            <w:r w:rsidRPr="00A82A80">
              <w:rPr>
                <w:rFonts w:eastAsia="Arial Unicode MS" w:cs="Arial Unicode MS"/>
                <w:u w:color="000000"/>
                <w:bdr w:val="nil"/>
                <w:lang w:val="en-US"/>
              </w:rPr>
              <w:t>is a general term describing the consequences of a specific corporate tax scenario with respect to a particular tax-paying company and measures the influence taxes on a company’s net income. It could be calculated as one minus the tax rate and manipulated by the tax breaks and deductions a particular company is able to claim.</w:t>
            </w:r>
          </w:p>
        </w:tc>
      </w:tr>
    </w:tbl>
    <w:p w14:paraId="2D32225A" w14:textId="77777777" w:rsidR="003C51B1" w:rsidRPr="003C51B1" w:rsidRDefault="00A82A80" w:rsidP="00A82A80">
      <w:pPr>
        <w:pStyle w:val="end2"/>
        <w:rPr>
          <w:u w:color="000000"/>
          <w:bdr w:val="nil"/>
        </w:rPr>
      </w:pPr>
      <w:r w:rsidRPr="00A82A80">
        <w:rPr>
          <w:u w:color="000000"/>
          <w:bdr w:val="nil"/>
        </w:rPr>
        <w:t>REVIEW QUESTIONS</w:t>
      </w:r>
    </w:p>
    <w:p w14:paraId="775CB507"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 xml:space="preserve">What is financial analysis? </w:t>
      </w:r>
      <w:r w:rsidR="00C66B5C">
        <w:rPr>
          <w:rFonts w:ascii="Garamond" w:hAnsi="Garamond"/>
          <w:szCs w:val="28"/>
          <w:lang w:val="en-US" w:bidi="ru-RU"/>
        </w:rPr>
        <w:t>D</w:t>
      </w:r>
      <w:r w:rsidRPr="00A82A80">
        <w:rPr>
          <w:rFonts w:ascii="Garamond" w:hAnsi="Garamond"/>
          <w:szCs w:val="28"/>
          <w:lang w:val="en-US" w:bidi="ru-RU"/>
        </w:rPr>
        <w:t xml:space="preserve">o you think there </w:t>
      </w:r>
      <w:r w:rsidR="00C66B5C" w:rsidRPr="00A82A80">
        <w:rPr>
          <w:rFonts w:ascii="Garamond" w:hAnsi="Garamond"/>
          <w:szCs w:val="28"/>
          <w:lang w:val="en-US" w:bidi="ru-RU"/>
        </w:rPr>
        <w:t xml:space="preserve">is </w:t>
      </w:r>
      <w:r w:rsidRPr="00A82A80">
        <w:rPr>
          <w:rFonts w:ascii="Garamond" w:hAnsi="Garamond"/>
          <w:szCs w:val="28"/>
          <w:lang w:val="en-US" w:bidi="ru-RU"/>
        </w:rPr>
        <w:t>any substantial and meaningful difference between financial analysis and financial statement analysis?</w:t>
      </w:r>
    </w:p>
    <w:p w14:paraId="3A99C1AF"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 xml:space="preserve">Define what informational resources </w:t>
      </w:r>
      <w:r w:rsidR="00B34CA7">
        <w:rPr>
          <w:rFonts w:ascii="Garamond" w:hAnsi="Garamond"/>
          <w:szCs w:val="28"/>
          <w:lang w:val="en-US" w:bidi="ru-RU"/>
        </w:rPr>
        <w:t xml:space="preserve">are </w:t>
      </w:r>
      <w:r w:rsidRPr="00A82A80">
        <w:rPr>
          <w:rFonts w:ascii="Garamond" w:hAnsi="Garamond"/>
          <w:szCs w:val="28"/>
          <w:lang w:val="en-US" w:bidi="ru-RU"/>
        </w:rPr>
        <w:t>used for financial analysis?</w:t>
      </w:r>
    </w:p>
    <w:p w14:paraId="37A81EE1"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Financial ratio analysis is often divided into five areas. Differentiate each of these areas of analysis from the others. Which is of the greatest concern to creditors, investors, management, and regulatory authorities?</w:t>
      </w:r>
    </w:p>
    <w:p w14:paraId="47B58271"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 xml:space="preserve">What are key methods for analyzing financial statements? </w:t>
      </w:r>
    </w:p>
    <w:p w14:paraId="195A07B0"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Outline tools and techniques that could be employed in analyzing financial statements?</w:t>
      </w:r>
    </w:p>
    <w:p w14:paraId="2DE5AE39"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What are the limitations of ratio analysis?</w:t>
      </w:r>
    </w:p>
    <w:p w14:paraId="5F599EE4"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 xml:space="preserve">Describe what is meant by liquidity measurement ratios?  </w:t>
      </w:r>
    </w:p>
    <w:p w14:paraId="0C317709"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 xml:space="preserve">What is the difference between the current ratio and the quick ratio? </w:t>
      </w:r>
    </w:p>
    <w:p w14:paraId="60B03E74"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 xml:space="preserve">What is the difference between the liquidity and solvency financial ratios analysis? </w:t>
      </w:r>
    </w:p>
    <w:p w14:paraId="6458CC18"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lastRenderedPageBreak/>
        <w:t>What financial ratio measures the company’s degree of indebtedness?</w:t>
      </w:r>
    </w:p>
    <w:p w14:paraId="3D9A9A66"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Describe what is meant by profitability measurement ratios?</w:t>
      </w:r>
    </w:p>
    <w:p w14:paraId="6F22012F"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Describe what is meant by activity measurement ratios?</w:t>
      </w:r>
    </w:p>
    <w:p w14:paraId="069468E1"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Describe what is meant by market measurement ratios?</w:t>
      </w:r>
    </w:p>
    <w:p w14:paraId="06883C82" w14:textId="77777777" w:rsidR="00A82A80"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What is DuPont analysis? What areas of financial ratio analysis are combined in the DuPont model?</w:t>
      </w:r>
    </w:p>
    <w:p w14:paraId="3386069E" w14:textId="77777777" w:rsidR="003C51B1" w:rsidRPr="00A82A80" w:rsidRDefault="00A82A80" w:rsidP="00C66B5C">
      <w:pPr>
        <w:pStyle w:val="ListParagraph"/>
        <w:numPr>
          <w:ilvl w:val="0"/>
          <w:numId w:val="177"/>
        </w:numPr>
        <w:tabs>
          <w:tab w:val="num" w:pos="851"/>
        </w:tabs>
        <w:spacing w:after="0" w:line="312" w:lineRule="auto"/>
        <w:ind w:left="425" w:hanging="357"/>
        <w:jc w:val="both"/>
        <w:rPr>
          <w:rFonts w:ascii="Garamond" w:hAnsi="Garamond"/>
          <w:szCs w:val="28"/>
          <w:lang w:val="en-US" w:bidi="ru-RU"/>
        </w:rPr>
      </w:pPr>
      <w:r w:rsidRPr="00A82A80">
        <w:rPr>
          <w:rFonts w:ascii="Garamond" w:hAnsi="Garamond"/>
          <w:szCs w:val="28"/>
          <w:lang w:val="en-US" w:bidi="ru-RU"/>
        </w:rPr>
        <w:t>What are the drawbacks to using the DuPont analysis?</w:t>
      </w:r>
    </w:p>
    <w:p w14:paraId="37B8A880" w14:textId="77777777" w:rsidR="003C51B1" w:rsidRPr="003C51B1" w:rsidRDefault="003C51B1" w:rsidP="00A82A80">
      <w:pPr>
        <w:pStyle w:val="end2"/>
        <w:rPr>
          <w:rFonts w:eastAsia="Times New Roman Bold" w:hAnsi="Times New Roman Bold" w:cs="Times New Roman Bold"/>
          <w:u w:color="000000"/>
          <w:bdr w:val="nil"/>
        </w:rPr>
      </w:pPr>
      <w:r w:rsidRPr="003C51B1">
        <w:rPr>
          <w:rFonts w:eastAsia="Arial Unicode MS"/>
          <w:u w:color="000000"/>
          <w:bdr w:val="nil"/>
        </w:rPr>
        <w:t>Multiple</w:t>
      </w:r>
      <w:r w:rsidR="00C66B5C">
        <w:rPr>
          <w:rFonts w:eastAsia="Arial Unicode MS"/>
          <w:u w:color="000000"/>
          <w:bdr w:val="nil"/>
        </w:rPr>
        <w:t xml:space="preserve"> </w:t>
      </w:r>
      <w:r w:rsidRPr="003C51B1">
        <w:rPr>
          <w:rFonts w:eastAsia="Arial Unicode MS"/>
          <w:u w:color="000000"/>
          <w:bdr w:val="nil"/>
        </w:rPr>
        <w:t>choice questions</w:t>
      </w:r>
    </w:p>
    <w:p w14:paraId="42250CD1" w14:textId="77777777" w:rsidR="00A82A80" w:rsidRDefault="00A82A80" w:rsidP="00A82A80">
      <w:pPr>
        <w:spacing w:line="240" w:lineRule="atLeast"/>
        <w:ind w:firstLine="357"/>
        <w:jc w:val="both"/>
        <w:rPr>
          <w:sz w:val="28"/>
          <w:szCs w:val="28"/>
          <w:lang w:val="en-US"/>
        </w:rPr>
      </w:pPr>
      <w:r w:rsidRPr="00A82A80">
        <w:rPr>
          <w:sz w:val="28"/>
          <w:szCs w:val="28"/>
          <w:lang w:val="en-US"/>
        </w:rPr>
        <w:t>Choose the one alternative that best completes the statement or answers the question.</w:t>
      </w:r>
    </w:p>
    <w:tbl>
      <w:tblPr>
        <w:tblStyle w:val="2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64"/>
      </w:tblGrid>
      <w:tr w:rsidR="00A82A80" w:rsidRPr="00A82A80" w14:paraId="3A904CAF" w14:textId="77777777" w:rsidTr="00DC7FC5">
        <w:tc>
          <w:tcPr>
            <w:tcW w:w="9564" w:type="dxa"/>
          </w:tcPr>
          <w:p w14:paraId="2269915C" w14:textId="77777777" w:rsidR="00A82A80" w:rsidRPr="00976ACF" w:rsidRDefault="00A82A80" w:rsidP="006F749C">
            <w:pPr>
              <w:pStyle w:val="ListParagraph"/>
              <w:numPr>
                <w:ilvl w:val="0"/>
                <w:numId w:val="178"/>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976ACF">
              <w:rPr>
                <w:rFonts w:ascii="Garamond" w:hAnsi="Garamond"/>
                <w:szCs w:val="28"/>
                <w:lang w:val="en-US" w:eastAsia="ru-RU"/>
              </w:rPr>
              <w:t>Trends observed in historical accounting information:</w:t>
            </w:r>
          </w:p>
          <w:p w14:paraId="46FA2B52" w14:textId="77777777" w:rsidR="00A82A80" w:rsidRPr="00047AFE" w:rsidRDefault="00A82A80" w:rsidP="006F749C">
            <w:pPr>
              <w:pStyle w:val="ListParagraph"/>
              <w:numPr>
                <w:ilvl w:val="0"/>
                <w:numId w:val="179"/>
              </w:numPr>
              <w:pBdr>
                <w:top w:val="nil"/>
                <w:left w:val="nil"/>
                <w:bottom w:val="nil"/>
                <w:right w:val="nil"/>
                <w:between w:val="nil"/>
                <w:bar w:val="nil"/>
              </w:pBdr>
              <w:spacing w:after="0" w:line="240" w:lineRule="atLeast"/>
              <w:ind w:left="851" w:hanging="357"/>
              <w:rPr>
                <w:rFonts w:ascii="Garamond" w:hAnsi="Garamond"/>
                <w:szCs w:val="28"/>
                <w:lang w:val="en-US" w:eastAsia="ru-RU"/>
              </w:rPr>
            </w:pPr>
            <w:r w:rsidRPr="00047AFE">
              <w:rPr>
                <w:rFonts w:ascii="Garamond" w:hAnsi="Garamond"/>
                <w:szCs w:val="28"/>
                <w:lang w:val="en-US" w:eastAsia="ru-RU"/>
              </w:rPr>
              <w:t>can be misleading due to changes in accounting procedures;</w:t>
            </w:r>
          </w:p>
          <w:p w14:paraId="065CCBC6" w14:textId="77777777" w:rsidR="00A82A80" w:rsidRPr="00047AFE" w:rsidRDefault="00A82A80" w:rsidP="006F749C">
            <w:pPr>
              <w:pStyle w:val="ListParagraph"/>
              <w:numPr>
                <w:ilvl w:val="0"/>
                <w:numId w:val="179"/>
              </w:numPr>
              <w:pBdr>
                <w:top w:val="nil"/>
                <w:left w:val="nil"/>
                <w:bottom w:val="nil"/>
                <w:right w:val="nil"/>
                <w:between w:val="nil"/>
                <w:bar w:val="nil"/>
              </w:pBdr>
              <w:spacing w:after="0" w:line="240" w:lineRule="atLeast"/>
              <w:ind w:left="851" w:hanging="357"/>
              <w:rPr>
                <w:rFonts w:ascii="Garamond" w:hAnsi="Garamond"/>
                <w:szCs w:val="28"/>
                <w:lang w:val="en-US" w:eastAsia="ru-RU"/>
              </w:rPr>
            </w:pPr>
            <w:r w:rsidRPr="00047AFE">
              <w:rPr>
                <w:rFonts w:ascii="Garamond" w:hAnsi="Garamond"/>
                <w:szCs w:val="28"/>
                <w:lang w:val="en-US" w:eastAsia="ru-RU"/>
              </w:rPr>
              <w:t>can provide a basis for estimating future trends;</w:t>
            </w:r>
          </w:p>
          <w:p w14:paraId="31021C62" w14:textId="77777777" w:rsidR="00A82A80" w:rsidRPr="00047AFE" w:rsidRDefault="00A82A80" w:rsidP="006F749C">
            <w:pPr>
              <w:pStyle w:val="ListParagraph"/>
              <w:numPr>
                <w:ilvl w:val="0"/>
                <w:numId w:val="179"/>
              </w:numPr>
              <w:pBdr>
                <w:top w:val="nil"/>
                <w:left w:val="nil"/>
                <w:bottom w:val="nil"/>
                <w:right w:val="nil"/>
                <w:between w:val="nil"/>
                <w:bar w:val="nil"/>
              </w:pBdr>
              <w:spacing w:after="0" w:line="240" w:lineRule="atLeast"/>
              <w:ind w:left="851" w:hanging="357"/>
              <w:rPr>
                <w:rFonts w:ascii="Garamond" w:hAnsi="Garamond"/>
                <w:szCs w:val="28"/>
                <w:lang w:val="en-US" w:eastAsia="ru-RU"/>
              </w:rPr>
            </w:pPr>
            <w:r w:rsidRPr="00047AFE">
              <w:rPr>
                <w:rFonts w:ascii="Garamond" w:hAnsi="Garamond"/>
                <w:szCs w:val="28"/>
                <w:lang w:val="en-US" w:eastAsia="ru-RU"/>
              </w:rPr>
              <w:t>are likely to be more valuable in turnaround situations;</w:t>
            </w:r>
          </w:p>
          <w:p w14:paraId="3907B0F2" w14:textId="77777777" w:rsidR="00A82A80" w:rsidRPr="00976ACF" w:rsidRDefault="00A82A80" w:rsidP="006F749C">
            <w:pPr>
              <w:pStyle w:val="ListParagraph"/>
              <w:numPr>
                <w:ilvl w:val="0"/>
                <w:numId w:val="179"/>
              </w:numPr>
              <w:pBdr>
                <w:top w:val="nil"/>
                <w:left w:val="nil"/>
                <w:bottom w:val="nil"/>
                <w:right w:val="nil"/>
                <w:between w:val="nil"/>
                <w:bar w:val="nil"/>
              </w:pBdr>
              <w:spacing w:after="0" w:line="240" w:lineRule="atLeast"/>
              <w:ind w:left="851" w:hanging="357"/>
              <w:rPr>
                <w:rFonts w:ascii="Garamond" w:hAnsi="Garamond"/>
                <w:szCs w:val="28"/>
                <w:lang w:eastAsia="ru-RU"/>
              </w:rPr>
            </w:pPr>
            <w:r w:rsidRPr="00976ACF">
              <w:rPr>
                <w:rFonts w:ascii="Garamond" w:hAnsi="Garamond"/>
                <w:szCs w:val="28"/>
                <w:lang w:eastAsia="ru-RU"/>
              </w:rPr>
              <w:t>a and b;</w:t>
            </w:r>
          </w:p>
          <w:p w14:paraId="771C097B" w14:textId="77777777" w:rsidR="00A82A80" w:rsidRPr="00976ACF" w:rsidRDefault="00A82A80" w:rsidP="006F749C">
            <w:pPr>
              <w:pStyle w:val="ListParagraph"/>
              <w:numPr>
                <w:ilvl w:val="0"/>
                <w:numId w:val="179"/>
              </w:numPr>
              <w:pBdr>
                <w:top w:val="nil"/>
                <w:left w:val="nil"/>
                <w:bottom w:val="nil"/>
                <w:right w:val="nil"/>
                <w:between w:val="nil"/>
                <w:bar w:val="nil"/>
              </w:pBdr>
              <w:spacing w:after="0" w:line="240" w:lineRule="atLeast"/>
              <w:ind w:left="851" w:hanging="357"/>
              <w:rPr>
                <w:rFonts w:ascii="Garamond" w:hAnsi="Garamond"/>
                <w:szCs w:val="28"/>
                <w:lang w:eastAsia="ru-RU"/>
              </w:rPr>
            </w:pPr>
            <w:r w:rsidRPr="00976ACF">
              <w:rPr>
                <w:rFonts w:ascii="Garamond" w:hAnsi="Garamond"/>
                <w:szCs w:val="28"/>
                <w:lang w:eastAsia="ru-RU"/>
              </w:rPr>
              <w:t>a and c;</w:t>
            </w:r>
          </w:p>
          <w:p w14:paraId="09A49E29" w14:textId="77777777" w:rsidR="00A82A80" w:rsidRPr="00976ACF" w:rsidRDefault="00A82A80" w:rsidP="006F749C">
            <w:pPr>
              <w:pStyle w:val="ListParagraph"/>
              <w:numPr>
                <w:ilvl w:val="0"/>
                <w:numId w:val="179"/>
              </w:numPr>
              <w:pBdr>
                <w:top w:val="nil"/>
                <w:left w:val="nil"/>
                <w:bottom w:val="nil"/>
                <w:right w:val="nil"/>
                <w:between w:val="nil"/>
                <w:bar w:val="nil"/>
              </w:pBdr>
              <w:spacing w:after="0" w:line="240" w:lineRule="atLeast"/>
              <w:ind w:left="851" w:hanging="357"/>
              <w:rPr>
                <w:rFonts w:ascii="Garamond" w:hAnsi="Garamond"/>
                <w:szCs w:val="28"/>
                <w:lang w:eastAsia="ru-RU"/>
              </w:rPr>
            </w:pPr>
            <w:r w:rsidRPr="00976ACF">
              <w:rPr>
                <w:rFonts w:ascii="Garamond" w:hAnsi="Garamond"/>
                <w:szCs w:val="28"/>
                <w:lang w:eastAsia="ru-RU"/>
              </w:rPr>
              <w:t>b and c;</w:t>
            </w:r>
          </w:p>
          <w:p w14:paraId="0B5442B8" w14:textId="77777777" w:rsidR="00A82A80" w:rsidRPr="009F59F5" w:rsidRDefault="00A82A80" w:rsidP="009F59F5">
            <w:pPr>
              <w:pStyle w:val="ListParagraph"/>
              <w:numPr>
                <w:ilvl w:val="0"/>
                <w:numId w:val="179"/>
              </w:numPr>
              <w:pBdr>
                <w:top w:val="nil"/>
                <w:left w:val="nil"/>
                <w:bottom w:val="nil"/>
                <w:right w:val="nil"/>
                <w:between w:val="nil"/>
                <w:bar w:val="nil"/>
              </w:pBdr>
              <w:spacing w:after="0" w:line="240" w:lineRule="atLeast"/>
              <w:ind w:left="851" w:hanging="357"/>
              <w:rPr>
                <w:rFonts w:ascii="Garamond" w:hAnsi="Garamond"/>
                <w:szCs w:val="28"/>
                <w:lang w:eastAsia="ru-RU"/>
              </w:rPr>
            </w:pPr>
            <w:r w:rsidRPr="00976ACF">
              <w:rPr>
                <w:rFonts w:ascii="Garamond" w:hAnsi="Garamond"/>
                <w:szCs w:val="28"/>
                <w:lang w:eastAsia="ru-RU"/>
              </w:rPr>
              <w:t>all of the above</w:t>
            </w:r>
            <w:r w:rsidRPr="009F59F5">
              <w:rPr>
                <w:rFonts w:ascii="Garamond" w:hAnsi="Garamond"/>
                <w:szCs w:val="28"/>
                <w:lang w:eastAsia="ru-RU"/>
              </w:rPr>
              <w:t>.</w:t>
            </w:r>
          </w:p>
        </w:tc>
      </w:tr>
      <w:tr w:rsidR="00A82A80" w:rsidRPr="00A82A80" w14:paraId="5CB8A0A3" w14:textId="77777777" w:rsidTr="00DC7FC5">
        <w:tc>
          <w:tcPr>
            <w:tcW w:w="9564" w:type="dxa"/>
          </w:tcPr>
          <w:p w14:paraId="4CDAA61F" w14:textId="77777777" w:rsidR="00A82A80" w:rsidRPr="00976ACF" w:rsidRDefault="00A82A80" w:rsidP="006F749C">
            <w:pPr>
              <w:pStyle w:val="ListParagraph"/>
              <w:numPr>
                <w:ilvl w:val="0"/>
                <w:numId w:val="178"/>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976ACF">
              <w:rPr>
                <w:rFonts w:ascii="Garamond" w:hAnsi="Garamond"/>
                <w:szCs w:val="28"/>
                <w:lang w:val="en-US" w:eastAsia="ru-RU"/>
              </w:rPr>
              <w:t>Percent or common-size financial statements are used to</w:t>
            </w:r>
            <w:r w:rsidR="00C66B5C">
              <w:rPr>
                <w:rFonts w:ascii="Garamond" w:hAnsi="Garamond"/>
                <w:szCs w:val="28"/>
                <w:lang w:val="en-US" w:eastAsia="ru-RU"/>
              </w:rPr>
              <w:t xml:space="preserve"> do the following</w:t>
            </w:r>
            <w:r w:rsidRPr="00976ACF">
              <w:rPr>
                <w:rFonts w:ascii="Garamond" w:hAnsi="Garamond"/>
                <w:szCs w:val="28"/>
                <w:lang w:val="en-US" w:eastAsia="ru-RU"/>
              </w:rPr>
              <w:t>:</w:t>
            </w:r>
          </w:p>
          <w:p w14:paraId="7B23D736" w14:textId="77777777" w:rsidR="00A82A80" w:rsidRPr="00047AFE" w:rsidRDefault="00A82A80" w:rsidP="006F749C">
            <w:pPr>
              <w:pStyle w:val="ListParagraph"/>
              <w:numPr>
                <w:ilvl w:val="0"/>
                <w:numId w:val="180"/>
              </w:numPr>
              <w:pBdr>
                <w:top w:val="nil"/>
                <w:left w:val="nil"/>
                <w:bottom w:val="nil"/>
                <w:right w:val="nil"/>
                <w:between w:val="nil"/>
                <w:bar w:val="nil"/>
              </w:pBdr>
              <w:spacing w:after="0" w:line="240" w:lineRule="atLeast"/>
              <w:ind w:left="851"/>
              <w:rPr>
                <w:rFonts w:ascii="Garamond" w:hAnsi="Garamond"/>
                <w:szCs w:val="28"/>
                <w:lang w:val="en-US" w:eastAsia="ru-RU"/>
              </w:rPr>
            </w:pPr>
            <w:r w:rsidRPr="00047AFE">
              <w:rPr>
                <w:rFonts w:ascii="Garamond" w:hAnsi="Garamond"/>
                <w:szCs w:val="28"/>
                <w:lang w:val="en-US" w:eastAsia="ru-RU"/>
              </w:rPr>
              <w:t>focus on the importance of corporate size on the firm;</w:t>
            </w:r>
          </w:p>
          <w:p w14:paraId="29043EA9" w14:textId="77777777" w:rsidR="00A82A80" w:rsidRPr="00047AFE" w:rsidRDefault="00A82A80" w:rsidP="006F749C">
            <w:pPr>
              <w:pStyle w:val="ListParagraph"/>
              <w:numPr>
                <w:ilvl w:val="0"/>
                <w:numId w:val="180"/>
              </w:numPr>
              <w:pBdr>
                <w:top w:val="nil"/>
                <w:left w:val="nil"/>
                <w:bottom w:val="nil"/>
                <w:right w:val="nil"/>
                <w:between w:val="nil"/>
                <w:bar w:val="nil"/>
              </w:pBdr>
              <w:spacing w:after="0" w:line="240" w:lineRule="atLeast"/>
              <w:ind w:left="851" w:hanging="357"/>
              <w:rPr>
                <w:rFonts w:ascii="Garamond" w:hAnsi="Garamond"/>
                <w:szCs w:val="28"/>
                <w:lang w:val="en-US" w:eastAsia="ru-RU"/>
              </w:rPr>
            </w:pPr>
            <w:r w:rsidRPr="00047AFE">
              <w:rPr>
                <w:rFonts w:ascii="Garamond" w:hAnsi="Garamond"/>
                <w:szCs w:val="28"/>
                <w:lang w:val="en-US" w:eastAsia="ru-RU"/>
              </w:rPr>
              <w:t>compare relative asset allocations across firms;</w:t>
            </w:r>
          </w:p>
          <w:p w14:paraId="22E49F9B" w14:textId="77777777" w:rsidR="00A82A80" w:rsidRPr="00047AFE" w:rsidRDefault="00A82A80" w:rsidP="006F749C">
            <w:pPr>
              <w:pStyle w:val="ListParagraph"/>
              <w:numPr>
                <w:ilvl w:val="0"/>
                <w:numId w:val="180"/>
              </w:numPr>
              <w:pBdr>
                <w:top w:val="nil"/>
                <w:left w:val="nil"/>
                <w:bottom w:val="nil"/>
                <w:right w:val="nil"/>
                <w:between w:val="nil"/>
                <w:bar w:val="nil"/>
              </w:pBdr>
              <w:spacing w:after="0" w:line="240" w:lineRule="atLeast"/>
              <w:ind w:left="851" w:hanging="357"/>
              <w:rPr>
                <w:rFonts w:ascii="Garamond" w:hAnsi="Garamond"/>
                <w:szCs w:val="28"/>
                <w:lang w:val="en-US" w:eastAsia="ru-RU"/>
              </w:rPr>
            </w:pPr>
            <w:r w:rsidRPr="00047AFE">
              <w:rPr>
                <w:rFonts w:ascii="Garamond" w:hAnsi="Garamond"/>
                <w:szCs w:val="28"/>
                <w:lang w:val="en-US" w:eastAsia="ru-RU"/>
              </w:rPr>
              <w:t>compare changes in relative asset allocations for a given firm over time;</w:t>
            </w:r>
          </w:p>
          <w:p w14:paraId="37CBB85A" w14:textId="77777777" w:rsidR="00A82A80" w:rsidRPr="00976ACF" w:rsidRDefault="00A82A80" w:rsidP="006F749C">
            <w:pPr>
              <w:pStyle w:val="ListParagraph"/>
              <w:numPr>
                <w:ilvl w:val="0"/>
                <w:numId w:val="180"/>
              </w:numPr>
              <w:pBdr>
                <w:top w:val="nil"/>
                <w:left w:val="nil"/>
                <w:bottom w:val="nil"/>
                <w:right w:val="nil"/>
                <w:between w:val="nil"/>
                <w:bar w:val="nil"/>
              </w:pBdr>
              <w:spacing w:after="0" w:line="240" w:lineRule="atLeast"/>
              <w:ind w:left="851" w:hanging="357"/>
              <w:rPr>
                <w:rFonts w:ascii="Garamond" w:hAnsi="Garamond"/>
                <w:szCs w:val="28"/>
                <w:lang w:eastAsia="ru-RU"/>
              </w:rPr>
            </w:pPr>
            <w:r w:rsidRPr="00976ACF">
              <w:rPr>
                <w:rFonts w:ascii="Garamond" w:hAnsi="Garamond"/>
                <w:szCs w:val="28"/>
                <w:lang w:eastAsia="ru-RU"/>
              </w:rPr>
              <w:t>a and b;</w:t>
            </w:r>
          </w:p>
          <w:p w14:paraId="1D6C33A2" w14:textId="77777777" w:rsidR="00A82A80" w:rsidRPr="00976ACF" w:rsidRDefault="00A82A80" w:rsidP="006F749C">
            <w:pPr>
              <w:pStyle w:val="ListParagraph"/>
              <w:numPr>
                <w:ilvl w:val="0"/>
                <w:numId w:val="180"/>
              </w:numPr>
              <w:pBdr>
                <w:top w:val="nil"/>
                <w:left w:val="nil"/>
                <w:bottom w:val="nil"/>
                <w:right w:val="nil"/>
                <w:between w:val="nil"/>
                <w:bar w:val="nil"/>
              </w:pBdr>
              <w:spacing w:after="0" w:line="240" w:lineRule="atLeast"/>
              <w:ind w:left="851" w:hanging="357"/>
              <w:rPr>
                <w:rFonts w:ascii="Garamond" w:hAnsi="Garamond"/>
                <w:szCs w:val="28"/>
                <w:lang w:eastAsia="ru-RU"/>
              </w:rPr>
            </w:pPr>
            <w:r w:rsidRPr="00976ACF">
              <w:rPr>
                <w:rFonts w:ascii="Garamond" w:hAnsi="Garamond"/>
                <w:szCs w:val="28"/>
                <w:lang w:eastAsia="ru-RU"/>
              </w:rPr>
              <w:t>a and c;</w:t>
            </w:r>
          </w:p>
          <w:p w14:paraId="5B0586A5" w14:textId="77777777" w:rsidR="00A82A80" w:rsidRPr="00976ACF" w:rsidRDefault="00A82A80" w:rsidP="006F749C">
            <w:pPr>
              <w:pStyle w:val="ListParagraph"/>
              <w:numPr>
                <w:ilvl w:val="0"/>
                <w:numId w:val="180"/>
              </w:numPr>
              <w:pBdr>
                <w:top w:val="nil"/>
                <w:left w:val="nil"/>
                <w:bottom w:val="nil"/>
                <w:right w:val="nil"/>
                <w:between w:val="nil"/>
                <w:bar w:val="nil"/>
              </w:pBdr>
              <w:spacing w:after="0" w:line="240" w:lineRule="atLeast"/>
              <w:ind w:left="851" w:hanging="357"/>
              <w:rPr>
                <w:rFonts w:ascii="Garamond" w:hAnsi="Garamond"/>
                <w:szCs w:val="28"/>
                <w:lang w:eastAsia="ru-RU"/>
              </w:rPr>
            </w:pPr>
            <w:r w:rsidRPr="00976ACF">
              <w:rPr>
                <w:rFonts w:ascii="Garamond" w:hAnsi="Garamond"/>
                <w:szCs w:val="28"/>
                <w:lang w:eastAsia="ru-RU"/>
              </w:rPr>
              <w:t>b and c;</w:t>
            </w:r>
          </w:p>
          <w:p w14:paraId="7E0B5C00" w14:textId="77777777" w:rsidR="00A82A80" w:rsidRPr="00976ACF" w:rsidRDefault="00A82A80" w:rsidP="006F749C">
            <w:pPr>
              <w:pStyle w:val="ListParagraph"/>
              <w:numPr>
                <w:ilvl w:val="0"/>
                <w:numId w:val="180"/>
              </w:numPr>
              <w:pBdr>
                <w:top w:val="nil"/>
                <w:left w:val="nil"/>
                <w:bottom w:val="nil"/>
                <w:right w:val="nil"/>
                <w:between w:val="nil"/>
                <w:bar w:val="nil"/>
              </w:pBdr>
              <w:spacing w:after="0" w:line="240" w:lineRule="atLeast"/>
              <w:ind w:left="851" w:hanging="357"/>
              <w:rPr>
                <w:rFonts w:ascii="Garamond" w:hAnsi="Garamond"/>
                <w:szCs w:val="28"/>
                <w:lang w:eastAsia="ru-RU"/>
              </w:rPr>
            </w:pPr>
            <w:r w:rsidRPr="00976ACF">
              <w:rPr>
                <w:rFonts w:ascii="Garamond" w:hAnsi="Garamond"/>
                <w:szCs w:val="28"/>
                <w:lang w:eastAsia="ru-RU"/>
              </w:rPr>
              <w:t>all of the above;</w:t>
            </w:r>
          </w:p>
          <w:p w14:paraId="14D57A11" w14:textId="77777777" w:rsidR="00A82A80" w:rsidRPr="00A82A80" w:rsidRDefault="00A82A80" w:rsidP="006F749C">
            <w:pPr>
              <w:pStyle w:val="ListParagraph"/>
              <w:numPr>
                <w:ilvl w:val="0"/>
                <w:numId w:val="180"/>
              </w:numPr>
              <w:pBdr>
                <w:top w:val="nil"/>
                <w:left w:val="nil"/>
                <w:bottom w:val="nil"/>
                <w:right w:val="nil"/>
                <w:between w:val="nil"/>
                <w:bar w:val="nil"/>
              </w:pBdr>
              <w:spacing w:after="120" w:line="240" w:lineRule="atLeast"/>
              <w:ind w:left="850" w:hanging="357"/>
              <w:rPr>
                <w:rFonts w:eastAsia="Times New Roman"/>
                <w:sz w:val="24"/>
                <w:u w:color="000000"/>
                <w:bdr w:val="nil"/>
                <w:lang w:val="en-US"/>
              </w:rPr>
            </w:pPr>
            <w:r w:rsidRPr="00976ACF">
              <w:rPr>
                <w:rFonts w:ascii="Garamond" w:hAnsi="Garamond"/>
                <w:szCs w:val="28"/>
                <w:lang w:eastAsia="ru-RU"/>
              </w:rPr>
              <w:t>none of the above.</w:t>
            </w:r>
          </w:p>
        </w:tc>
      </w:tr>
      <w:tr w:rsidR="00A82A80" w:rsidRPr="00A82A80" w14:paraId="182A1073" w14:textId="77777777" w:rsidTr="00DC7FC5">
        <w:tc>
          <w:tcPr>
            <w:tcW w:w="9564" w:type="dxa"/>
          </w:tcPr>
          <w:p w14:paraId="31F76B7A" w14:textId="77777777" w:rsidR="00A82A80" w:rsidRPr="00976ACF" w:rsidRDefault="00A82A80" w:rsidP="006F749C">
            <w:pPr>
              <w:pStyle w:val="ListParagraph"/>
              <w:numPr>
                <w:ilvl w:val="0"/>
                <w:numId w:val="178"/>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976ACF">
              <w:rPr>
                <w:rFonts w:ascii="Garamond" w:hAnsi="Garamond"/>
                <w:szCs w:val="28"/>
                <w:lang w:val="en-US" w:eastAsia="ru-RU"/>
              </w:rPr>
              <w:t>The (cash + marketable securities + accounts receivable)/</w:t>
            </w:r>
            <w:r w:rsidR="00B34CA7">
              <w:rPr>
                <w:rFonts w:ascii="Garamond" w:hAnsi="Garamond"/>
                <w:szCs w:val="28"/>
                <w:lang w:val="en-US" w:eastAsia="ru-RU"/>
              </w:rPr>
              <w:t>c</w:t>
            </w:r>
            <w:r w:rsidRPr="00976ACF">
              <w:rPr>
                <w:rFonts w:ascii="Garamond" w:hAnsi="Garamond"/>
                <w:szCs w:val="28"/>
                <w:lang w:val="en-US" w:eastAsia="ru-RU"/>
              </w:rPr>
              <w:t>urrent liabilities ratio:</w:t>
            </w:r>
          </w:p>
          <w:p w14:paraId="7BE2EE20" w14:textId="77777777" w:rsidR="00A82A80" w:rsidRPr="00047AFE" w:rsidRDefault="00A82A80" w:rsidP="006F749C">
            <w:pPr>
              <w:pStyle w:val="ListParagraph"/>
              <w:numPr>
                <w:ilvl w:val="0"/>
                <w:numId w:val="181"/>
              </w:numPr>
              <w:pBdr>
                <w:top w:val="nil"/>
                <w:left w:val="nil"/>
                <w:bottom w:val="nil"/>
                <w:right w:val="nil"/>
                <w:between w:val="nil"/>
                <w:bar w:val="nil"/>
              </w:pBdr>
              <w:spacing w:after="0" w:line="240" w:lineRule="atLeast"/>
              <w:ind w:left="851"/>
              <w:rPr>
                <w:rFonts w:ascii="Garamond" w:hAnsi="Garamond"/>
                <w:szCs w:val="28"/>
                <w:lang w:val="en-US" w:eastAsia="ru-RU"/>
              </w:rPr>
            </w:pPr>
            <w:r w:rsidRPr="00047AFE">
              <w:rPr>
                <w:rFonts w:ascii="Garamond" w:hAnsi="Garamond"/>
                <w:szCs w:val="28"/>
                <w:lang w:val="en-US" w:eastAsia="ru-RU"/>
              </w:rPr>
              <w:t>always decreases when management tries to increase the current ratio by manipulation;</w:t>
            </w:r>
          </w:p>
          <w:p w14:paraId="4BD6346A" w14:textId="77777777" w:rsidR="00A82A80" w:rsidRPr="00047AFE" w:rsidRDefault="00A82A80" w:rsidP="006F749C">
            <w:pPr>
              <w:pStyle w:val="ListParagraph"/>
              <w:numPr>
                <w:ilvl w:val="0"/>
                <w:numId w:val="181"/>
              </w:numPr>
              <w:pBdr>
                <w:top w:val="nil"/>
                <w:left w:val="nil"/>
                <w:bottom w:val="nil"/>
                <w:right w:val="nil"/>
                <w:between w:val="nil"/>
                <w:bar w:val="nil"/>
              </w:pBdr>
              <w:spacing w:after="0" w:line="240" w:lineRule="atLeast"/>
              <w:ind w:left="851" w:hanging="357"/>
              <w:rPr>
                <w:rFonts w:ascii="Garamond" w:hAnsi="Garamond"/>
                <w:szCs w:val="28"/>
                <w:lang w:val="en-US" w:eastAsia="ru-RU"/>
              </w:rPr>
            </w:pPr>
            <w:r w:rsidRPr="00047AFE">
              <w:rPr>
                <w:rFonts w:ascii="Garamond" w:hAnsi="Garamond"/>
                <w:szCs w:val="28"/>
                <w:lang w:val="en-US" w:eastAsia="ru-RU"/>
              </w:rPr>
              <w:t>includes inventory in the numerator;</w:t>
            </w:r>
          </w:p>
          <w:p w14:paraId="73A5AAD5" w14:textId="77777777" w:rsidR="00A82A80" w:rsidRPr="00047AFE" w:rsidRDefault="00A82A80" w:rsidP="006F749C">
            <w:pPr>
              <w:pStyle w:val="ListParagraph"/>
              <w:numPr>
                <w:ilvl w:val="0"/>
                <w:numId w:val="181"/>
              </w:numPr>
              <w:pBdr>
                <w:top w:val="nil"/>
                <w:left w:val="nil"/>
                <w:bottom w:val="nil"/>
                <w:right w:val="nil"/>
                <w:between w:val="nil"/>
                <w:bar w:val="nil"/>
              </w:pBdr>
              <w:spacing w:after="0" w:line="240" w:lineRule="atLeast"/>
              <w:ind w:left="851" w:hanging="357"/>
              <w:rPr>
                <w:rFonts w:ascii="Garamond" w:hAnsi="Garamond"/>
                <w:szCs w:val="28"/>
                <w:lang w:val="en-US" w:eastAsia="ru-RU"/>
              </w:rPr>
            </w:pPr>
            <w:r w:rsidRPr="00047AFE">
              <w:rPr>
                <w:rFonts w:ascii="Garamond" w:hAnsi="Garamond"/>
                <w:szCs w:val="28"/>
                <w:lang w:val="en-US" w:eastAsia="ru-RU"/>
              </w:rPr>
              <w:t>includes projected expenditures from future operations in the denominator;</w:t>
            </w:r>
          </w:p>
          <w:p w14:paraId="3597B5E6" w14:textId="77777777" w:rsidR="00A82A80" w:rsidRPr="00A82A80" w:rsidRDefault="00A82A80" w:rsidP="006F749C">
            <w:pPr>
              <w:pStyle w:val="ListParagraph"/>
              <w:numPr>
                <w:ilvl w:val="0"/>
                <w:numId w:val="181"/>
              </w:numPr>
              <w:pBdr>
                <w:top w:val="nil"/>
                <w:left w:val="nil"/>
                <w:bottom w:val="nil"/>
                <w:right w:val="nil"/>
                <w:between w:val="nil"/>
                <w:bar w:val="nil"/>
              </w:pBdr>
              <w:spacing w:after="120" w:line="240" w:lineRule="atLeast"/>
              <w:ind w:left="850" w:hanging="357"/>
              <w:rPr>
                <w:rFonts w:eastAsia="Times New Roman"/>
                <w:sz w:val="24"/>
                <w:u w:color="000000"/>
                <w:bdr w:val="nil"/>
                <w:lang w:val="en-US"/>
              </w:rPr>
            </w:pPr>
            <w:r w:rsidRPr="00976ACF">
              <w:rPr>
                <w:rFonts w:ascii="Garamond" w:hAnsi="Garamond"/>
                <w:szCs w:val="28"/>
                <w:lang w:eastAsia="ru-RU"/>
              </w:rPr>
              <w:t>none of the above.</w:t>
            </w:r>
          </w:p>
        </w:tc>
      </w:tr>
      <w:tr w:rsidR="00A82A80" w:rsidRPr="00A82A80" w14:paraId="413E6018" w14:textId="77777777" w:rsidTr="00DC7FC5">
        <w:tc>
          <w:tcPr>
            <w:tcW w:w="9564" w:type="dxa"/>
          </w:tcPr>
          <w:p w14:paraId="20C5C1BA" w14:textId="77777777" w:rsidR="00A82A80" w:rsidRPr="00976ACF" w:rsidRDefault="00A82A80" w:rsidP="006F749C">
            <w:pPr>
              <w:pStyle w:val="ListParagraph"/>
              <w:numPr>
                <w:ilvl w:val="0"/>
                <w:numId w:val="178"/>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976ACF">
              <w:rPr>
                <w:rFonts w:ascii="Garamond" w:hAnsi="Garamond"/>
                <w:szCs w:val="28"/>
                <w:lang w:val="en-US" w:eastAsia="ru-RU"/>
              </w:rPr>
              <w:t>Current asset minus current liabilities is the:</w:t>
            </w:r>
          </w:p>
          <w:p w14:paraId="5DA5CE04" w14:textId="77777777" w:rsidR="00A82A80" w:rsidRPr="00976ACF" w:rsidRDefault="00A82A80" w:rsidP="006F749C">
            <w:pPr>
              <w:pStyle w:val="ListParagraph"/>
              <w:numPr>
                <w:ilvl w:val="0"/>
                <w:numId w:val="182"/>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current ratio;</w:t>
            </w:r>
            <w:r w:rsidRPr="00976ACF">
              <w:rPr>
                <w:rFonts w:ascii="Garamond" w:hAnsi="Garamond"/>
                <w:szCs w:val="28"/>
                <w:lang w:eastAsia="ru-RU"/>
              </w:rPr>
              <w:tab/>
            </w:r>
          </w:p>
          <w:p w14:paraId="3CDD5A4D" w14:textId="77777777" w:rsidR="00A82A80" w:rsidRPr="00976ACF" w:rsidRDefault="00A82A80" w:rsidP="006F749C">
            <w:pPr>
              <w:pStyle w:val="ListParagraph"/>
              <w:numPr>
                <w:ilvl w:val="0"/>
                <w:numId w:val="182"/>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acid test ratio;</w:t>
            </w:r>
          </w:p>
          <w:p w14:paraId="12DE1690" w14:textId="77777777" w:rsidR="00A82A80" w:rsidRPr="00976ACF" w:rsidRDefault="00A82A80" w:rsidP="006F749C">
            <w:pPr>
              <w:pStyle w:val="ListParagraph"/>
              <w:numPr>
                <w:ilvl w:val="0"/>
                <w:numId w:val="182"/>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net worth;</w:t>
            </w:r>
          </w:p>
          <w:p w14:paraId="6D145CF0" w14:textId="77777777" w:rsidR="00A82A80" w:rsidRPr="00A82A80" w:rsidRDefault="00A82A80" w:rsidP="006F749C">
            <w:pPr>
              <w:pStyle w:val="ListParagraph"/>
              <w:numPr>
                <w:ilvl w:val="0"/>
                <w:numId w:val="182"/>
              </w:numPr>
              <w:pBdr>
                <w:top w:val="nil"/>
                <w:left w:val="nil"/>
                <w:bottom w:val="nil"/>
                <w:right w:val="nil"/>
                <w:between w:val="nil"/>
                <w:bar w:val="nil"/>
              </w:pBdr>
              <w:spacing w:after="120" w:line="240" w:lineRule="atLeast"/>
              <w:ind w:left="850" w:hanging="357"/>
              <w:rPr>
                <w:rFonts w:eastAsia="Times New Roman"/>
                <w:sz w:val="24"/>
                <w:u w:color="000000"/>
                <w:bdr w:val="nil"/>
                <w:lang w:val="en-US"/>
              </w:rPr>
            </w:pPr>
            <w:r w:rsidRPr="00976ACF">
              <w:rPr>
                <w:rFonts w:ascii="Garamond" w:hAnsi="Garamond"/>
                <w:szCs w:val="28"/>
                <w:lang w:eastAsia="ru-RU"/>
              </w:rPr>
              <w:t>working capital.</w:t>
            </w:r>
          </w:p>
        </w:tc>
      </w:tr>
      <w:tr w:rsidR="00A82A80" w:rsidRPr="00A82A80" w14:paraId="0D24B5CE" w14:textId="77777777" w:rsidTr="002819A0">
        <w:trPr>
          <w:trHeight w:val="3828"/>
        </w:trPr>
        <w:tc>
          <w:tcPr>
            <w:tcW w:w="9564" w:type="dxa"/>
          </w:tcPr>
          <w:p w14:paraId="10F94AC5" w14:textId="77777777" w:rsidR="00976ACF" w:rsidRPr="00976ACF" w:rsidRDefault="00976ACF" w:rsidP="00976ACF">
            <w:pPr>
              <w:pBdr>
                <w:top w:val="nil"/>
                <w:left w:val="nil"/>
                <w:bottom w:val="nil"/>
                <w:right w:val="nil"/>
                <w:between w:val="nil"/>
                <w:bar w:val="nil"/>
              </w:pBdr>
              <w:spacing w:line="240" w:lineRule="atLeast"/>
              <w:rPr>
                <w:b/>
                <w:sz w:val="28"/>
                <w:szCs w:val="28"/>
                <w:u w:color="000000"/>
                <w:bdr w:val="nil"/>
                <w:lang w:val="en-US"/>
              </w:rPr>
            </w:pPr>
            <w:r w:rsidRPr="00976ACF">
              <w:rPr>
                <w:rFonts w:eastAsia="Arial Unicode MS" w:cs="Arial Unicode MS"/>
                <w:b/>
                <w:sz w:val="28"/>
                <w:szCs w:val="28"/>
                <w:u w:color="000000"/>
                <w:bdr w:val="nil"/>
                <w:lang w:val="en-US"/>
              </w:rPr>
              <w:lastRenderedPageBreak/>
              <w:t>Refer the follow</w:t>
            </w:r>
            <w:r w:rsidR="00C66B5C">
              <w:rPr>
                <w:rFonts w:eastAsia="Arial Unicode MS" w:cs="Arial Unicode MS"/>
                <w:b/>
                <w:sz w:val="28"/>
                <w:szCs w:val="28"/>
                <w:u w:color="000000"/>
                <w:bdr w:val="nil"/>
                <w:lang w:val="en-US"/>
              </w:rPr>
              <w:t xml:space="preserve">ing information to answer multiple </w:t>
            </w:r>
            <w:r w:rsidRPr="00976ACF">
              <w:rPr>
                <w:rFonts w:eastAsia="Arial Unicode MS" w:cs="Arial Unicode MS"/>
                <w:b/>
                <w:sz w:val="28"/>
                <w:szCs w:val="28"/>
                <w:u w:color="000000"/>
                <w:bdr w:val="nil"/>
                <w:lang w:val="en-US"/>
              </w:rPr>
              <w:t xml:space="preserve">choice questions </w:t>
            </w:r>
            <w:r w:rsidRPr="00B34CA7">
              <w:rPr>
                <w:rFonts w:eastAsia="Arial Unicode MS" w:cs="Arial Unicode MS"/>
                <w:b/>
                <w:sz w:val="28"/>
                <w:szCs w:val="28"/>
                <w:u w:color="000000"/>
                <w:bdr w:val="nil"/>
                <w:lang w:val="en-US"/>
              </w:rPr>
              <w:t>5</w:t>
            </w:r>
            <w:r w:rsidR="00B34CA7" w:rsidRPr="00B34CA7">
              <w:rPr>
                <w:rFonts w:eastAsia="Calibri" w:cs="Calibri"/>
                <w:b/>
                <w:sz w:val="28"/>
                <w:szCs w:val="28"/>
                <w:bdr w:val="none" w:sz="0" w:space="0" w:color="auto" w:frame="1"/>
                <w:lang w:val="en-US"/>
              </w:rPr>
              <w:t>–</w:t>
            </w:r>
            <w:r w:rsidRPr="00B34CA7">
              <w:rPr>
                <w:rFonts w:eastAsia="Arial Unicode MS" w:cs="Arial Unicode MS"/>
                <w:b/>
                <w:sz w:val="28"/>
                <w:szCs w:val="28"/>
                <w:u w:color="000000"/>
                <w:bdr w:val="nil"/>
                <w:lang w:val="en-US"/>
              </w:rPr>
              <w:t>7</w:t>
            </w:r>
            <w:r w:rsidRPr="00976ACF">
              <w:rPr>
                <w:rFonts w:eastAsia="Arial Unicode MS" w:cs="Arial Unicode MS"/>
                <w:b/>
                <w:sz w:val="28"/>
                <w:szCs w:val="28"/>
                <w:u w:color="000000"/>
                <w:bdr w:val="nil"/>
                <w:lang w:val="en-US"/>
              </w:rPr>
              <w:t>:</w:t>
            </w:r>
          </w:p>
          <w:p w14:paraId="46B61712" w14:textId="77777777" w:rsidR="00976ACF" w:rsidRDefault="00976ACF" w:rsidP="00976ACF">
            <w:pPr>
              <w:pBdr>
                <w:top w:val="nil"/>
                <w:left w:val="nil"/>
                <w:bottom w:val="nil"/>
                <w:right w:val="nil"/>
                <w:between w:val="nil"/>
                <w:bar w:val="nil"/>
              </w:pBdr>
              <w:spacing w:line="240" w:lineRule="atLeast"/>
              <w:rPr>
                <w:rFonts w:eastAsia="Arial Unicode MS" w:cs="Arial Unicode MS"/>
                <w:sz w:val="28"/>
                <w:szCs w:val="28"/>
                <w:u w:color="000000"/>
                <w:bdr w:val="nil"/>
                <w:lang w:val="en-US"/>
              </w:rPr>
            </w:pPr>
            <w:r w:rsidRPr="00976ACF">
              <w:rPr>
                <w:rFonts w:eastAsia="Arial Unicode MS" w:cs="Arial Unicode MS"/>
                <w:sz w:val="28"/>
                <w:szCs w:val="28"/>
                <w:u w:color="000000"/>
                <w:bdr w:val="nil"/>
                <w:lang w:val="en-US"/>
              </w:rPr>
              <w:t xml:space="preserve">At December 31, 2014 Shustov Co. shows the following information in </w:t>
            </w:r>
            <w:r w:rsidR="004A4663">
              <w:rPr>
                <w:rFonts w:eastAsia="Arial Unicode MS" w:cs="Arial Unicode MS"/>
                <w:sz w:val="28"/>
                <w:szCs w:val="28"/>
                <w:u w:color="000000"/>
                <w:bdr w:val="nil"/>
                <w:lang w:val="en-US"/>
              </w:rPr>
              <w:t>hryvnias in</w:t>
            </w:r>
            <w:r w:rsidRPr="00976ACF">
              <w:rPr>
                <w:rFonts w:eastAsia="Arial Unicode MS" w:cs="Arial Unicode MS"/>
                <w:sz w:val="28"/>
                <w:szCs w:val="28"/>
                <w:u w:color="000000"/>
                <w:bdr w:val="nil"/>
                <w:lang w:val="en-US"/>
              </w:rPr>
              <w:t>their financial statements: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28"/>
              <w:gridCol w:w="1065"/>
            </w:tblGrid>
            <w:tr w:rsidR="00976ACF" w14:paraId="1C20C012" w14:textId="77777777" w:rsidTr="0059237E">
              <w:tc>
                <w:tcPr>
                  <w:tcW w:w="0" w:type="auto"/>
                </w:tcPr>
                <w:p w14:paraId="529FED85" w14:textId="77777777" w:rsidR="00976ACF" w:rsidRDefault="00976ACF" w:rsidP="00976ACF">
                  <w:pPr>
                    <w:pBdr>
                      <w:top w:val="nil"/>
                      <w:left w:val="nil"/>
                      <w:bottom w:val="nil"/>
                      <w:right w:val="nil"/>
                      <w:between w:val="nil"/>
                      <w:bar w:val="nil"/>
                    </w:pBd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Cash </w:t>
                  </w:r>
                </w:p>
              </w:tc>
              <w:tc>
                <w:tcPr>
                  <w:tcW w:w="0" w:type="auto"/>
                  <w:vAlign w:val="center"/>
                </w:tcPr>
                <w:p w14:paraId="5C67FB4E"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10,000</w:t>
                  </w:r>
                </w:p>
              </w:tc>
            </w:tr>
            <w:tr w:rsidR="00976ACF" w14:paraId="5EFFD422" w14:textId="77777777" w:rsidTr="0059237E">
              <w:tc>
                <w:tcPr>
                  <w:tcW w:w="0" w:type="auto"/>
                </w:tcPr>
                <w:p w14:paraId="2F75391F" w14:textId="77777777" w:rsidR="00976ACF" w:rsidRDefault="00976ACF" w:rsidP="00976ACF">
                  <w:pPr>
                    <w:pBdr>
                      <w:top w:val="nil"/>
                      <w:left w:val="nil"/>
                      <w:bottom w:val="nil"/>
                      <w:right w:val="nil"/>
                      <w:between w:val="nil"/>
                      <w:bar w:val="nil"/>
                    </w:pBd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Accounts receivable </w:t>
                  </w:r>
                </w:p>
              </w:tc>
              <w:tc>
                <w:tcPr>
                  <w:tcW w:w="0" w:type="auto"/>
                  <w:vAlign w:val="center"/>
                </w:tcPr>
                <w:p w14:paraId="3F1D3826"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30,000</w:t>
                  </w:r>
                </w:p>
              </w:tc>
            </w:tr>
            <w:tr w:rsidR="00976ACF" w14:paraId="4D4FBBDA" w14:textId="77777777" w:rsidTr="0059237E">
              <w:tc>
                <w:tcPr>
                  <w:tcW w:w="0" w:type="auto"/>
                </w:tcPr>
                <w:p w14:paraId="1779FD63" w14:textId="77777777" w:rsidR="00976ACF" w:rsidRDefault="00976ACF" w:rsidP="00976ACF">
                  <w:pPr>
                    <w:pBdr>
                      <w:top w:val="nil"/>
                      <w:left w:val="nil"/>
                      <w:bottom w:val="nil"/>
                      <w:right w:val="nil"/>
                      <w:between w:val="nil"/>
                      <w:bar w:val="nil"/>
                    </w:pBd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Inventory </w:t>
                  </w:r>
                </w:p>
              </w:tc>
              <w:tc>
                <w:tcPr>
                  <w:tcW w:w="0" w:type="auto"/>
                  <w:vAlign w:val="center"/>
                </w:tcPr>
                <w:p w14:paraId="3DFA7B0F"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80,000</w:t>
                  </w:r>
                </w:p>
              </w:tc>
            </w:tr>
            <w:tr w:rsidR="00976ACF" w14:paraId="16B7F364" w14:textId="77777777" w:rsidTr="0059237E">
              <w:tc>
                <w:tcPr>
                  <w:tcW w:w="0" w:type="auto"/>
                </w:tcPr>
                <w:p w14:paraId="06E66607" w14:textId="77777777" w:rsidR="00976ACF" w:rsidRDefault="00976ACF" w:rsidP="00976ACF">
                  <w:pPr>
                    <w:pBdr>
                      <w:top w:val="nil"/>
                      <w:left w:val="nil"/>
                      <w:bottom w:val="nil"/>
                      <w:right w:val="nil"/>
                      <w:between w:val="nil"/>
                      <w:bar w:val="nil"/>
                    </w:pBd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Prepaid insurance </w:t>
                  </w:r>
                </w:p>
              </w:tc>
              <w:tc>
                <w:tcPr>
                  <w:tcW w:w="0" w:type="auto"/>
                  <w:vAlign w:val="center"/>
                </w:tcPr>
                <w:p w14:paraId="4FE4C720"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6,000</w:t>
                  </w:r>
                </w:p>
              </w:tc>
            </w:tr>
            <w:tr w:rsidR="00976ACF" w14:paraId="42571DD5" w14:textId="77777777" w:rsidTr="0059237E">
              <w:tc>
                <w:tcPr>
                  <w:tcW w:w="0" w:type="auto"/>
                </w:tcPr>
                <w:p w14:paraId="2A00F1DC" w14:textId="77777777" w:rsidR="00976ACF" w:rsidRDefault="00976ACF" w:rsidP="00976ACF">
                  <w:pPr>
                    <w:pBdr>
                      <w:top w:val="nil"/>
                      <w:left w:val="nil"/>
                      <w:bottom w:val="nil"/>
                      <w:right w:val="nil"/>
                      <w:between w:val="nil"/>
                      <w:bar w:val="nil"/>
                    </w:pBd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Long-term assets </w:t>
                  </w:r>
                </w:p>
              </w:tc>
              <w:tc>
                <w:tcPr>
                  <w:tcW w:w="0" w:type="auto"/>
                  <w:vAlign w:val="center"/>
                </w:tcPr>
                <w:p w14:paraId="014B570C"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200,000</w:t>
                  </w:r>
                </w:p>
              </w:tc>
            </w:tr>
            <w:tr w:rsidR="00976ACF" w14:paraId="5ADE461A" w14:textId="77777777" w:rsidTr="0059237E">
              <w:tc>
                <w:tcPr>
                  <w:tcW w:w="0" w:type="auto"/>
                </w:tcPr>
                <w:p w14:paraId="2320503F" w14:textId="77777777" w:rsidR="00976ACF" w:rsidRDefault="00976ACF" w:rsidP="00976ACF">
                  <w:pPr>
                    <w:pBdr>
                      <w:top w:val="nil"/>
                      <w:left w:val="nil"/>
                      <w:bottom w:val="nil"/>
                      <w:right w:val="nil"/>
                      <w:between w:val="nil"/>
                      <w:bar w:val="nil"/>
                    </w:pBd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Accounts payable </w:t>
                  </w:r>
                </w:p>
              </w:tc>
              <w:tc>
                <w:tcPr>
                  <w:tcW w:w="0" w:type="auto"/>
                  <w:vAlign w:val="center"/>
                </w:tcPr>
                <w:p w14:paraId="29B333FD"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30,000</w:t>
                  </w:r>
                </w:p>
              </w:tc>
            </w:tr>
            <w:tr w:rsidR="00976ACF" w14:paraId="16AF44C8" w14:textId="77777777" w:rsidTr="0059237E">
              <w:tc>
                <w:tcPr>
                  <w:tcW w:w="0" w:type="auto"/>
                </w:tcPr>
                <w:p w14:paraId="1C344171" w14:textId="77777777" w:rsidR="00976ACF" w:rsidRDefault="00976ACF" w:rsidP="00976ACF">
                  <w:pPr>
                    <w:pBdr>
                      <w:top w:val="nil"/>
                      <w:left w:val="nil"/>
                      <w:bottom w:val="nil"/>
                      <w:right w:val="nil"/>
                      <w:between w:val="nil"/>
                      <w:bar w:val="nil"/>
                    </w:pBd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Notes payable due in 10 months </w:t>
                  </w:r>
                </w:p>
              </w:tc>
              <w:tc>
                <w:tcPr>
                  <w:tcW w:w="0" w:type="auto"/>
                  <w:vAlign w:val="center"/>
                </w:tcPr>
                <w:p w14:paraId="1BBF5868"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25,000</w:t>
                  </w:r>
                </w:p>
              </w:tc>
            </w:tr>
            <w:tr w:rsidR="00976ACF" w14:paraId="2EFDCB6C" w14:textId="77777777" w:rsidTr="0059237E">
              <w:tc>
                <w:tcPr>
                  <w:tcW w:w="0" w:type="auto"/>
                </w:tcPr>
                <w:p w14:paraId="5CEE6C92" w14:textId="77777777" w:rsidR="00976ACF" w:rsidRDefault="00976ACF" w:rsidP="00976ACF">
                  <w:pPr>
                    <w:pBdr>
                      <w:top w:val="nil"/>
                      <w:left w:val="nil"/>
                      <w:bottom w:val="nil"/>
                      <w:right w:val="nil"/>
                      <w:between w:val="nil"/>
                      <w:bar w:val="nil"/>
                    </w:pBd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Wages payable </w:t>
                  </w:r>
                </w:p>
              </w:tc>
              <w:tc>
                <w:tcPr>
                  <w:tcW w:w="0" w:type="auto"/>
                  <w:vAlign w:val="center"/>
                </w:tcPr>
                <w:p w14:paraId="41C7F48E"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5,000</w:t>
                  </w:r>
                </w:p>
              </w:tc>
            </w:tr>
            <w:tr w:rsidR="00976ACF" w14:paraId="600F4EF3" w14:textId="77777777" w:rsidTr="0059237E">
              <w:tc>
                <w:tcPr>
                  <w:tcW w:w="0" w:type="auto"/>
                </w:tcPr>
                <w:p w14:paraId="5971ADEC" w14:textId="77777777" w:rsidR="00976ACF" w:rsidRDefault="00976ACF" w:rsidP="00976ACF">
                  <w:pPr>
                    <w:pBdr>
                      <w:top w:val="nil"/>
                      <w:left w:val="nil"/>
                      <w:bottom w:val="nil"/>
                      <w:right w:val="nil"/>
                      <w:between w:val="nil"/>
                      <w:bar w:val="nil"/>
                    </w:pBd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Long-term liabilities </w:t>
                  </w:r>
                </w:p>
              </w:tc>
              <w:tc>
                <w:tcPr>
                  <w:tcW w:w="0" w:type="auto"/>
                  <w:vAlign w:val="center"/>
                </w:tcPr>
                <w:p w14:paraId="792A1FB5"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70,000</w:t>
                  </w:r>
                </w:p>
              </w:tc>
            </w:tr>
            <w:tr w:rsidR="00976ACF" w14:paraId="5720EC3F" w14:textId="77777777" w:rsidTr="0059237E">
              <w:tc>
                <w:tcPr>
                  <w:tcW w:w="0" w:type="auto"/>
                </w:tcPr>
                <w:p w14:paraId="4654A535" w14:textId="77777777" w:rsidR="00976ACF" w:rsidRDefault="00976ACF" w:rsidP="00976ACF">
                  <w:pPr>
                    <w:spacing w:line="240" w:lineRule="atLeast"/>
                    <w:rPr>
                      <w:sz w:val="28"/>
                      <w:szCs w:val="28"/>
                      <w:u w:color="000000"/>
                      <w:bdr w:val="nil"/>
                      <w:lang w:val="en-US"/>
                    </w:rPr>
                  </w:pPr>
                  <w:r w:rsidRPr="00976ACF">
                    <w:rPr>
                      <w:rFonts w:eastAsia="Arial Unicode MS" w:cs="Arial Unicode MS"/>
                      <w:sz w:val="28"/>
                      <w:szCs w:val="28"/>
                      <w:u w:color="000000"/>
                      <w:bdr w:val="nil"/>
                      <w:lang w:val="en-US"/>
                    </w:rPr>
                    <w:t xml:space="preserve">Stockholders’ equity </w:t>
                  </w:r>
                </w:p>
              </w:tc>
              <w:tc>
                <w:tcPr>
                  <w:tcW w:w="0" w:type="auto"/>
                  <w:vAlign w:val="center"/>
                </w:tcPr>
                <w:p w14:paraId="3852AF6E" w14:textId="77777777" w:rsidR="00976ACF" w:rsidRDefault="00976ACF" w:rsidP="0059237E">
                  <w:pPr>
                    <w:spacing w:line="240" w:lineRule="atLeast"/>
                    <w:jc w:val="center"/>
                    <w:rPr>
                      <w:sz w:val="28"/>
                      <w:szCs w:val="28"/>
                      <w:u w:color="000000"/>
                      <w:bdr w:val="nil"/>
                      <w:lang w:val="en-US"/>
                    </w:rPr>
                  </w:pPr>
                  <w:r w:rsidRPr="00976ACF">
                    <w:rPr>
                      <w:rFonts w:eastAsia="Arial Unicode MS" w:cs="Arial Unicode MS"/>
                      <w:sz w:val="28"/>
                      <w:szCs w:val="28"/>
                      <w:u w:color="000000"/>
                      <w:bdr w:val="nil"/>
                      <w:lang w:val="en-US"/>
                    </w:rPr>
                    <w:t>196,000</w:t>
                  </w:r>
                </w:p>
              </w:tc>
            </w:tr>
          </w:tbl>
          <w:p w14:paraId="25140C33" w14:textId="77777777" w:rsidR="00A82A80" w:rsidRPr="00A82A80" w:rsidRDefault="00A82A80" w:rsidP="00976ACF">
            <w:pPr>
              <w:pBdr>
                <w:top w:val="nil"/>
                <w:left w:val="nil"/>
                <w:bottom w:val="nil"/>
                <w:right w:val="nil"/>
                <w:between w:val="nil"/>
                <w:bar w:val="nil"/>
              </w:pBdr>
              <w:spacing w:line="240" w:lineRule="atLeast"/>
              <w:rPr>
                <w:rFonts w:ascii="Times New Roman" w:hAnsi="Times New Roman"/>
                <w:u w:color="000000"/>
                <w:bdr w:val="nil"/>
                <w:lang w:val="en-US"/>
              </w:rPr>
            </w:pPr>
          </w:p>
        </w:tc>
      </w:tr>
      <w:tr w:rsidR="00A82A80" w:rsidRPr="00A82A80" w14:paraId="21234FEC" w14:textId="77777777" w:rsidTr="00DC7FC5">
        <w:tc>
          <w:tcPr>
            <w:tcW w:w="9564" w:type="dxa"/>
          </w:tcPr>
          <w:p w14:paraId="545F58EE" w14:textId="77777777" w:rsidR="00976ACF" w:rsidRPr="00976ACF" w:rsidRDefault="00976ACF" w:rsidP="006F749C">
            <w:pPr>
              <w:pStyle w:val="ListParagraph"/>
              <w:numPr>
                <w:ilvl w:val="0"/>
                <w:numId w:val="178"/>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976ACF">
              <w:rPr>
                <w:rFonts w:ascii="Garamond" w:hAnsi="Garamond"/>
                <w:szCs w:val="28"/>
                <w:lang w:val="en-US" w:eastAsia="ru-RU"/>
              </w:rPr>
              <w:t>The working capital of Shustov Co. in hryvnias is</w:t>
            </w:r>
          </w:p>
          <w:p w14:paraId="68E38C08" w14:textId="77777777" w:rsidR="00976ACF" w:rsidRPr="00976ACF" w:rsidRDefault="00976ACF" w:rsidP="006F749C">
            <w:pPr>
              <w:pStyle w:val="ListParagraph"/>
              <w:numPr>
                <w:ilvl w:val="0"/>
                <w:numId w:val="183"/>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56,000;</w:t>
            </w:r>
          </w:p>
          <w:p w14:paraId="7C800C7C" w14:textId="77777777" w:rsidR="00976ACF" w:rsidRPr="00976ACF" w:rsidRDefault="00976ACF" w:rsidP="006F749C">
            <w:pPr>
              <w:pStyle w:val="ListParagraph"/>
              <w:numPr>
                <w:ilvl w:val="0"/>
                <w:numId w:val="183"/>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60,000;</w:t>
            </w:r>
            <w:r w:rsidRPr="00976ACF">
              <w:rPr>
                <w:rFonts w:ascii="Garamond" w:hAnsi="Garamond"/>
                <w:szCs w:val="28"/>
                <w:lang w:eastAsia="ru-RU"/>
              </w:rPr>
              <w:tab/>
            </w:r>
          </w:p>
          <w:p w14:paraId="576BDB5E" w14:textId="77777777" w:rsidR="00976ACF" w:rsidRPr="00976ACF" w:rsidRDefault="00976ACF" w:rsidP="006F749C">
            <w:pPr>
              <w:pStyle w:val="ListParagraph"/>
              <w:numPr>
                <w:ilvl w:val="0"/>
                <w:numId w:val="183"/>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66,000;</w:t>
            </w:r>
            <w:r w:rsidRPr="00976ACF">
              <w:rPr>
                <w:rFonts w:ascii="Garamond" w:hAnsi="Garamond"/>
                <w:szCs w:val="28"/>
                <w:lang w:eastAsia="ru-RU"/>
              </w:rPr>
              <w:tab/>
            </w:r>
          </w:p>
          <w:p w14:paraId="5FCB9BC2" w14:textId="77777777" w:rsidR="00A82A80" w:rsidRPr="00A82A80" w:rsidRDefault="00976ACF" w:rsidP="006F749C">
            <w:pPr>
              <w:pStyle w:val="ListParagraph"/>
              <w:numPr>
                <w:ilvl w:val="0"/>
                <w:numId w:val="183"/>
              </w:numPr>
              <w:pBdr>
                <w:top w:val="nil"/>
                <w:left w:val="nil"/>
                <w:bottom w:val="nil"/>
                <w:right w:val="nil"/>
                <w:between w:val="nil"/>
                <w:bar w:val="nil"/>
              </w:pBdr>
              <w:spacing w:after="120" w:line="240" w:lineRule="atLeast"/>
              <w:ind w:left="850" w:hanging="357"/>
              <w:rPr>
                <w:rFonts w:eastAsia="Times New Roman"/>
                <w:sz w:val="24"/>
                <w:u w:color="000000"/>
                <w:bdr w:val="nil"/>
                <w:lang w:val="en-US"/>
              </w:rPr>
            </w:pPr>
            <w:r w:rsidRPr="00976ACF">
              <w:rPr>
                <w:rFonts w:ascii="Garamond" w:hAnsi="Garamond"/>
                <w:szCs w:val="28"/>
                <w:lang w:eastAsia="ru-RU"/>
              </w:rPr>
              <w:t>196,000.</w:t>
            </w:r>
          </w:p>
        </w:tc>
      </w:tr>
      <w:tr w:rsidR="00A82A80" w:rsidRPr="00A82A80" w14:paraId="1CD50DA2" w14:textId="77777777" w:rsidTr="00DC7FC5">
        <w:tc>
          <w:tcPr>
            <w:tcW w:w="9564" w:type="dxa"/>
          </w:tcPr>
          <w:p w14:paraId="62BDE088" w14:textId="77777777" w:rsidR="00976ACF" w:rsidRPr="00976ACF" w:rsidRDefault="00976ACF" w:rsidP="006F749C">
            <w:pPr>
              <w:pStyle w:val="ListParagraph"/>
              <w:numPr>
                <w:ilvl w:val="0"/>
                <w:numId w:val="178"/>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976ACF">
              <w:rPr>
                <w:rFonts w:ascii="Garamond" w:hAnsi="Garamond"/>
                <w:szCs w:val="28"/>
                <w:lang w:val="en-US" w:eastAsia="ru-RU"/>
              </w:rPr>
              <w:t>T</w:t>
            </w:r>
            <w:r w:rsidR="004A4663">
              <w:rPr>
                <w:rFonts w:ascii="Garamond" w:hAnsi="Garamond"/>
                <w:szCs w:val="28"/>
                <w:lang w:val="en-US" w:eastAsia="ru-RU"/>
              </w:rPr>
              <w:t>he Shustov Co. current ratio is</w:t>
            </w:r>
          </w:p>
          <w:p w14:paraId="295BAC68" w14:textId="77777777" w:rsidR="00976ACF" w:rsidRPr="00976ACF" w:rsidRDefault="00976ACF" w:rsidP="006F749C">
            <w:pPr>
              <w:pStyle w:val="ListParagraph"/>
              <w:numPr>
                <w:ilvl w:val="0"/>
                <w:numId w:val="184"/>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1.0;</w:t>
            </w:r>
          </w:p>
          <w:p w14:paraId="3CF1D3F2" w14:textId="77777777" w:rsidR="00976ACF" w:rsidRPr="00976ACF" w:rsidRDefault="00976ACF" w:rsidP="006F749C">
            <w:pPr>
              <w:pStyle w:val="ListParagraph"/>
              <w:numPr>
                <w:ilvl w:val="0"/>
                <w:numId w:val="184"/>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1.2;</w:t>
            </w:r>
          </w:p>
          <w:p w14:paraId="245CAD4D" w14:textId="77777777" w:rsidR="00976ACF" w:rsidRPr="00976ACF" w:rsidRDefault="00976ACF" w:rsidP="006F749C">
            <w:pPr>
              <w:pStyle w:val="ListParagraph"/>
              <w:numPr>
                <w:ilvl w:val="0"/>
                <w:numId w:val="184"/>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2.0;</w:t>
            </w:r>
          </w:p>
          <w:p w14:paraId="12713A44" w14:textId="77777777" w:rsidR="00A82A80" w:rsidRPr="00A82A80" w:rsidRDefault="00976ACF" w:rsidP="006F749C">
            <w:pPr>
              <w:pStyle w:val="ListParagraph"/>
              <w:numPr>
                <w:ilvl w:val="0"/>
                <w:numId w:val="184"/>
              </w:numPr>
              <w:pBdr>
                <w:top w:val="nil"/>
                <w:left w:val="nil"/>
                <w:bottom w:val="nil"/>
                <w:right w:val="nil"/>
                <w:between w:val="nil"/>
                <w:bar w:val="nil"/>
              </w:pBdr>
              <w:spacing w:after="120" w:line="240" w:lineRule="atLeast"/>
              <w:ind w:left="850" w:hanging="357"/>
              <w:rPr>
                <w:rFonts w:eastAsia="Times New Roman"/>
                <w:sz w:val="24"/>
                <w:u w:color="000000"/>
                <w:bdr w:val="nil"/>
                <w:lang w:val="en-US"/>
              </w:rPr>
            </w:pPr>
            <w:r w:rsidRPr="00976ACF">
              <w:rPr>
                <w:rFonts w:ascii="Garamond" w:hAnsi="Garamond"/>
                <w:szCs w:val="28"/>
                <w:lang w:eastAsia="ru-RU"/>
              </w:rPr>
              <w:t>2.1.</w:t>
            </w:r>
          </w:p>
        </w:tc>
      </w:tr>
      <w:tr w:rsidR="00A82A80" w:rsidRPr="00A82A80" w14:paraId="0EE96316" w14:textId="77777777" w:rsidTr="00DC7FC5">
        <w:tc>
          <w:tcPr>
            <w:tcW w:w="9564" w:type="dxa"/>
          </w:tcPr>
          <w:p w14:paraId="3478CBE8" w14:textId="77777777" w:rsidR="00976ACF" w:rsidRPr="00976ACF" w:rsidRDefault="004A4663" w:rsidP="006F749C">
            <w:pPr>
              <w:pStyle w:val="ListParagraph"/>
              <w:numPr>
                <w:ilvl w:val="0"/>
                <w:numId w:val="178"/>
              </w:numPr>
              <w:pBdr>
                <w:top w:val="nil"/>
                <w:left w:val="nil"/>
                <w:bottom w:val="nil"/>
                <w:right w:val="nil"/>
                <w:between w:val="nil"/>
                <w:bar w:val="nil"/>
              </w:pBdr>
              <w:spacing w:after="0" w:line="240" w:lineRule="atLeast"/>
              <w:ind w:left="357" w:hanging="357"/>
              <w:rPr>
                <w:rFonts w:ascii="Garamond" w:hAnsi="Garamond"/>
                <w:szCs w:val="28"/>
                <w:lang w:val="en-US" w:eastAsia="ru-RU"/>
              </w:rPr>
            </w:pPr>
            <w:r>
              <w:rPr>
                <w:rFonts w:ascii="Garamond" w:hAnsi="Garamond"/>
                <w:szCs w:val="28"/>
                <w:lang w:val="en-US" w:eastAsia="ru-RU"/>
              </w:rPr>
              <w:t>The Shustov Co. quick ratio is</w:t>
            </w:r>
          </w:p>
          <w:p w14:paraId="193344C5" w14:textId="77777777" w:rsidR="00976ACF" w:rsidRPr="00976ACF" w:rsidRDefault="00976ACF" w:rsidP="006F749C">
            <w:pPr>
              <w:pStyle w:val="ListParagraph"/>
              <w:numPr>
                <w:ilvl w:val="0"/>
                <w:numId w:val="185"/>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0.7;</w:t>
            </w:r>
          </w:p>
          <w:p w14:paraId="5EE209F7" w14:textId="77777777" w:rsidR="00976ACF" w:rsidRPr="00976ACF" w:rsidRDefault="00976ACF" w:rsidP="006F749C">
            <w:pPr>
              <w:pStyle w:val="ListParagraph"/>
              <w:numPr>
                <w:ilvl w:val="0"/>
                <w:numId w:val="185"/>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1.0;</w:t>
            </w:r>
          </w:p>
          <w:p w14:paraId="20A51EC0" w14:textId="77777777" w:rsidR="00976ACF" w:rsidRPr="00976ACF" w:rsidRDefault="00976ACF" w:rsidP="006F749C">
            <w:pPr>
              <w:pStyle w:val="ListParagraph"/>
              <w:numPr>
                <w:ilvl w:val="0"/>
                <w:numId w:val="185"/>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2.0;</w:t>
            </w:r>
          </w:p>
          <w:p w14:paraId="7999734E" w14:textId="77777777" w:rsidR="00A82A80" w:rsidRPr="00A82A80" w:rsidRDefault="00976ACF" w:rsidP="006F749C">
            <w:pPr>
              <w:pStyle w:val="ListParagraph"/>
              <w:numPr>
                <w:ilvl w:val="0"/>
                <w:numId w:val="185"/>
              </w:numPr>
              <w:pBdr>
                <w:top w:val="nil"/>
                <w:left w:val="nil"/>
                <w:bottom w:val="nil"/>
                <w:right w:val="nil"/>
                <w:between w:val="nil"/>
                <w:bar w:val="nil"/>
              </w:pBdr>
              <w:spacing w:after="120" w:line="240" w:lineRule="atLeast"/>
              <w:ind w:left="850" w:hanging="357"/>
              <w:rPr>
                <w:rFonts w:eastAsia="Times New Roman"/>
                <w:sz w:val="24"/>
                <w:u w:color="000000"/>
                <w:bdr w:val="nil"/>
                <w:lang w:val="en-US"/>
              </w:rPr>
            </w:pPr>
            <w:r w:rsidRPr="00976ACF">
              <w:rPr>
                <w:rFonts w:ascii="Garamond" w:hAnsi="Garamond"/>
                <w:szCs w:val="28"/>
                <w:lang w:eastAsia="ru-RU"/>
              </w:rPr>
              <w:t>2.1.</w:t>
            </w:r>
          </w:p>
        </w:tc>
      </w:tr>
      <w:tr w:rsidR="00A82A80" w:rsidRPr="00A82A80" w14:paraId="007CD9F2" w14:textId="77777777" w:rsidTr="00DC7FC5">
        <w:tc>
          <w:tcPr>
            <w:tcW w:w="9564" w:type="dxa"/>
          </w:tcPr>
          <w:p w14:paraId="2A8AFE1D" w14:textId="77777777" w:rsidR="00976ACF" w:rsidRPr="0059237E" w:rsidRDefault="00976ACF" w:rsidP="0059237E">
            <w:pPr>
              <w:pBdr>
                <w:top w:val="nil"/>
                <w:left w:val="nil"/>
                <w:bottom w:val="nil"/>
                <w:right w:val="nil"/>
                <w:between w:val="nil"/>
                <w:bar w:val="nil"/>
              </w:pBdr>
              <w:spacing w:line="240" w:lineRule="atLeast"/>
              <w:rPr>
                <w:sz w:val="28"/>
                <w:szCs w:val="28"/>
                <w:u w:color="000000"/>
                <w:bdr w:val="nil"/>
                <w:lang w:val="en-US"/>
              </w:rPr>
            </w:pPr>
            <w:r w:rsidRPr="0059237E">
              <w:rPr>
                <w:rFonts w:eastAsia="Arial Unicode MS" w:cs="Arial Unicode MS"/>
                <w:b/>
                <w:sz w:val="28"/>
                <w:szCs w:val="28"/>
                <w:u w:color="000000"/>
                <w:bdr w:val="nil"/>
                <w:lang w:val="en-US"/>
              </w:rPr>
              <w:t>Refer the following information to answer multi</w:t>
            </w:r>
            <w:r w:rsidR="004A4663">
              <w:rPr>
                <w:rFonts w:eastAsia="Arial Unicode MS" w:cs="Arial Unicode MS"/>
                <w:b/>
                <w:sz w:val="28"/>
                <w:szCs w:val="28"/>
                <w:u w:color="000000"/>
                <w:bdr w:val="nil"/>
                <w:lang w:val="en-US"/>
              </w:rPr>
              <w:t xml:space="preserve">ple </w:t>
            </w:r>
            <w:r w:rsidRPr="0059237E">
              <w:rPr>
                <w:rFonts w:eastAsia="Arial Unicode MS" w:cs="Arial Unicode MS"/>
                <w:b/>
                <w:sz w:val="28"/>
                <w:szCs w:val="28"/>
                <w:u w:color="000000"/>
                <w:bdr w:val="nil"/>
                <w:lang w:val="en-US"/>
              </w:rPr>
              <w:t>choice questions 8</w:t>
            </w:r>
            <w:r w:rsidR="00B34CA7" w:rsidRPr="00B34CA7">
              <w:rPr>
                <w:rFonts w:eastAsia="Calibri" w:cs="Calibri"/>
                <w:b/>
                <w:sz w:val="28"/>
                <w:szCs w:val="28"/>
                <w:bdr w:val="none" w:sz="0" w:space="0" w:color="auto" w:frame="1"/>
                <w:lang w:val="en-US"/>
              </w:rPr>
              <w:t>–</w:t>
            </w:r>
            <w:r w:rsidRPr="0059237E">
              <w:rPr>
                <w:rFonts w:eastAsia="Arial Unicode MS" w:cs="Arial Unicode MS"/>
                <w:b/>
                <w:sz w:val="28"/>
                <w:szCs w:val="28"/>
                <w:u w:color="000000"/>
                <w:bdr w:val="nil"/>
                <w:lang w:val="en-US"/>
              </w:rPr>
              <w:t>9:</w:t>
            </w:r>
          </w:p>
          <w:p w14:paraId="31435E13" w14:textId="77777777" w:rsidR="00976ACF" w:rsidRPr="00A82A80" w:rsidRDefault="00976ACF" w:rsidP="0059237E">
            <w:pPr>
              <w:pBdr>
                <w:top w:val="nil"/>
                <w:left w:val="nil"/>
                <w:bottom w:val="nil"/>
                <w:right w:val="nil"/>
                <w:between w:val="nil"/>
                <w:bar w:val="nil"/>
              </w:pBdr>
              <w:spacing w:line="240" w:lineRule="atLeast"/>
              <w:rPr>
                <w:rFonts w:ascii="Times New Roman" w:hAnsi="Times New Roman"/>
                <w:u w:color="000000"/>
                <w:bdr w:val="nil"/>
                <w:lang w:val="en-US"/>
              </w:rPr>
            </w:pPr>
            <w:r w:rsidRPr="0059237E">
              <w:rPr>
                <w:rFonts w:eastAsia="Arial Unicode MS" w:cs="Arial Unicode MS"/>
                <w:sz w:val="28"/>
                <w:szCs w:val="28"/>
                <w:u w:color="000000"/>
                <w:bdr w:val="nil"/>
                <w:lang w:val="en-US"/>
              </w:rPr>
              <w:t xml:space="preserve">For its most recent year, a Mobiloon </w:t>
            </w:r>
            <w:r w:rsidR="00B34CA7" w:rsidRPr="0059237E">
              <w:rPr>
                <w:rFonts w:eastAsia="Arial Unicode MS" w:cs="Arial Unicode MS"/>
                <w:sz w:val="28"/>
                <w:szCs w:val="28"/>
                <w:u w:color="000000"/>
                <w:bdr w:val="nil"/>
                <w:lang w:val="en-US"/>
              </w:rPr>
              <w:t>had sales (all on credit) of 830,000 hryvnias and cost of goods sold of 525,000</w:t>
            </w:r>
            <w:r w:rsidRPr="0059237E">
              <w:rPr>
                <w:rFonts w:eastAsia="Arial Unicode MS" w:cs="Arial Unicode MS"/>
                <w:sz w:val="28"/>
                <w:szCs w:val="28"/>
                <w:u w:color="000000"/>
                <w:bdr w:val="nil"/>
                <w:lang w:val="en-US"/>
              </w:rPr>
              <w:t xml:space="preserve"> hryvnias. At the </w:t>
            </w:r>
            <w:r w:rsidR="00B34CA7" w:rsidRPr="0059237E">
              <w:rPr>
                <w:rFonts w:eastAsia="Arial Unicode MS" w:cs="Arial Unicode MS"/>
                <w:sz w:val="28"/>
                <w:szCs w:val="28"/>
                <w:u w:color="000000"/>
                <w:bdr w:val="nil"/>
                <w:lang w:val="en-US"/>
              </w:rPr>
              <w:t xml:space="preserve">beginning of the year, its accounts receivable were 80,000 hryvnias and its </w:t>
            </w:r>
            <w:hyperlink r:id="rId73" w:history="1">
              <w:r w:rsidR="00B34CA7" w:rsidRPr="0059237E">
                <w:rPr>
                  <w:rFonts w:eastAsia="Arial Unicode MS" w:cs="Arial Unicode MS"/>
                  <w:sz w:val="28"/>
                  <w:szCs w:val="28"/>
                  <w:u w:color="000000"/>
                  <w:bdr w:val="nil"/>
                  <w:lang w:val="en-US"/>
                </w:rPr>
                <w:t>inventory</w:t>
              </w:r>
            </w:hyperlink>
            <w:r w:rsidR="00B34CA7" w:rsidRPr="0059237E">
              <w:rPr>
                <w:rFonts w:eastAsia="Arial Unicode MS" w:cs="Arial Unicode MS"/>
                <w:sz w:val="28"/>
                <w:szCs w:val="28"/>
                <w:u w:color="000000"/>
                <w:bdr w:val="nil"/>
                <w:lang w:val="en-US"/>
              </w:rPr>
              <w:t xml:space="preserve"> was 100,</w:t>
            </w:r>
            <w:r w:rsidRPr="0059237E">
              <w:rPr>
                <w:rFonts w:eastAsia="Arial Unicode MS" w:cs="Arial Unicode MS"/>
                <w:sz w:val="28"/>
                <w:szCs w:val="28"/>
                <w:u w:color="000000"/>
                <w:bdr w:val="nil"/>
                <w:lang w:val="en-US"/>
              </w:rPr>
              <w:t>000 hryvnias. At the end of the y</w:t>
            </w:r>
            <w:r w:rsidR="00B34CA7" w:rsidRPr="0059237E">
              <w:rPr>
                <w:rFonts w:eastAsia="Arial Unicode MS" w:cs="Arial Unicode MS"/>
                <w:sz w:val="28"/>
                <w:szCs w:val="28"/>
                <w:u w:color="000000"/>
                <w:bdr w:val="nil"/>
                <w:lang w:val="en-US"/>
              </w:rPr>
              <w:t>ear, its accounts receivable were 86,000 hryvnias and its inventory was 110,000 hry</w:t>
            </w:r>
            <w:r w:rsidRPr="0059237E">
              <w:rPr>
                <w:rFonts w:eastAsia="Arial Unicode MS" w:cs="Arial Unicode MS"/>
                <w:sz w:val="28"/>
                <w:szCs w:val="28"/>
                <w:u w:color="000000"/>
                <w:bdr w:val="nil"/>
                <w:lang w:val="en-US"/>
              </w:rPr>
              <w:t>vnias.</w:t>
            </w:r>
            <w:r w:rsidRPr="003C51B1">
              <w:rPr>
                <w:rFonts w:ascii="Times New Roman" w:eastAsia="Arial Unicode MS" w:hAnsi="Arial Unicode MS" w:cs="Arial Unicode MS"/>
                <w:u w:color="000000"/>
                <w:bdr w:val="nil"/>
                <w:lang w:val="en-US"/>
              </w:rPr>
              <w:t xml:space="preserve"> </w:t>
            </w:r>
          </w:p>
        </w:tc>
      </w:tr>
      <w:tr w:rsidR="00A82A80" w:rsidRPr="00A82A80" w14:paraId="28B30721" w14:textId="77777777" w:rsidTr="00DC7FC5">
        <w:tc>
          <w:tcPr>
            <w:tcW w:w="9564" w:type="dxa"/>
          </w:tcPr>
          <w:p w14:paraId="50C1C0A0" w14:textId="77777777" w:rsidR="00976ACF" w:rsidRPr="00976ACF" w:rsidRDefault="00976ACF" w:rsidP="006F749C">
            <w:pPr>
              <w:pStyle w:val="ListParagraph"/>
              <w:numPr>
                <w:ilvl w:val="0"/>
                <w:numId w:val="178"/>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976ACF">
              <w:rPr>
                <w:rFonts w:ascii="Garamond" w:hAnsi="Garamond"/>
                <w:szCs w:val="28"/>
                <w:lang w:val="en-US" w:eastAsia="ru-RU"/>
              </w:rPr>
              <w:t>The accounts receivable turnover ratio for the year was</w:t>
            </w:r>
            <w:r w:rsidR="004A4663">
              <w:rPr>
                <w:rFonts w:ascii="Garamond" w:hAnsi="Garamond"/>
                <w:szCs w:val="28"/>
                <w:lang w:val="en-US" w:eastAsia="ru-RU"/>
              </w:rPr>
              <w:t xml:space="preserve"> the following</w:t>
            </w:r>
            <w:r w:rsidRPr="00976ACF">
              <w:rPr>
                <w:rFonts w:ascii="Garamond" w:hAnsi="Garamond"/>
                <w:szCs w:val="28"/>
                <w:lang w:val="en-US" w:eastAsia="ru-RU"/>
              </w:rPr>
              <w:t>:</w:t>
            </w:r>
          </w:p>
          <w:p w14:paraId="34079E4E" w14:textId="77777777" w:rsidR="00976ACF" w:rsidRPr="00976ACF" w:rsidRDefault="00976ACF" w:rsidP="006F749C">
            <w:pPr>
              <w:pStyle w:val="ListParagraph"/>
              <w:numPr>
                <w:ilvl w:val="0"/>
                <w:numId w:val="186"/>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6.3;</w:t>
            </w:r>
          </w:p>
          <w:p w14:paraId="2350F605" w14:textId="77777777" w:rsidR="00976ACF" w:rsidRPr="00976ACF" w:rsidRDefault="00976ACF" w:rsidP="006F749C">
            <w:pPr>
              <w:pStyle w:val="ListParagraph"/>
              <w:numPr>
                <w:ilvl w:val="0"/>
                <w:numId w:val="186"/>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7.5;</w:t>
            </w:r>
          </w:p>
          <w:p w14:paraId="73FAF5EE" w14:textId="77777777" w:rsidR="00976ACF" w:rsidRPr="00976ACF" w:rsidRDefault="00976ACF" w:rsidP="006F749C">
            <w:pPr>
              <w:pStyle w:val="ListParagraph"/>
              <w:numPr>
                <w:ilvl w:val="0"/>
                <w:numId w:val="186"/>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8.6;</w:t>
            </w:r>
          </w:p>
          <w:p w14:paraId="7DB99CAD" w14:textId="77777777" w:rsidR="00A82A80" w:rsidRPr="009F59F5" w:rsidRDefault="00976ACF" w:rsidP="006F749C">
            <w:pPr>
              <w:pStyle w:val="ListParagraph"/>
              <w:numPr>
                <w:ilvl w:val="0"/>
                <w:numId w:val="186"/>
              </w:numPr>
              <w:pBdr>
                <w:top w:val="nil"/>
                <w:left w:val="nil"/>
                <w:bottom w:val="nil"/>
                <w:right w:val="nil"/>
                <w:between w:val="nil"/>
                <w:bar w:val="nil"/>
              </w:pBdr>
              <w:spacing w:after="120" w:line="240" w:lineRule="atLeast"/>
              <w:ind w:left="850" w:hanging="357"/>
              <w:rPr>
                <w:rFonts w:eastAsia="Times New Roman"/>
                <w:sz w:val="24"/>
                <w:u w:color="000000"/>
                <w:bdr w:val="nil"/>
                <w:lang w:val="en-US"/>
              </w:rPr>
            </w:pPr>
            <w:r w:rsidRPr="00976ACF">
              <w:rPr>
                <w:rFonts w:ascii="Garamond" w:hAnsi="Garamond"/>
                <w:szCs w:val="28"/>
                <w:lang w:eastAsia="ru-RU"/>
              </w:rPr>
              <w:t>10.0.</w:t>
            </w:r>
          </w:p>
          <w:p w14:paraId="54BC845E" w14:textId="77777777" w:rsidR="009F59F5" w:rsidRDefault="009F59F5" w:rsidP="009F59F5">
            <w:pPr>
              <w:pBdr>
                <w:top w:val="nil"/>
                <w:left w:val="nil"/>
                <w:bottom w:val="nil"/>
                <w:right w:val="nil"/>
                <w:between w:val="nil"/>
                <w:bar w:val="nil"/>
              </w:pBdr>
              <w:spacing w:after="120" w:line="240" w:lineRule="atLeast"/>
              <w:rPr>
                <w:u w:color="000000"/>
                <w:bdr w:val="nil"/>
                <w:lang w:val="en-US"/>
              </w:rPr>
            </w:pPr>
          </w:p>
          <w:p w14:paraId="5F2EFD29" w14:textId="77777777" w:rsidR="009F59F5" w:rsidRPr="009F59F5" w:rsidRDefault="009F59F5" w:rsidP="009F59F5">
            <w:pPr>
              <w:pBdr>
                <w:top w:val="nil"/>
                <w:left w:val="nil"/>
                <w:bottom w:val="nil"/>
                <w:right w:val="nil"/>
                <w:between w:val="nil"/>
                <w:bar w:val="nil"/>
              </w:pBdr>
              <w:spacing w:after="120" w:line="240" w:lineRule="atLeast"/>
              <w:rPr>
                <w:u w:color="000000"/>
                <w:bdr w:val="nil"/>
                <w:lang w:val="en-US"/>
              </w:rPr>
            </w:pPr>
          </w:p>
        </w:tc>
      </w:tr>
      <w:tr w:rsidR="00976ACF" w:rsidRPr="00A82A80" w14:paraId="177D5437" w14:textId="77777777" w:rsidTr="00DC7FC5">
        <w:tc>
          <w:tcPr>
            <w:tcW w:w="9564" w:type="dxa"/>
          </w:tcPr>
          <w:p w14:paraId="772552C7" w14:textId="77777777" w:rsidR="00976ACF" w:rsidRPr="003C51B1" w:rsidRDefault="00976ACF" w:rsidP="006F749C">
            <w:pPr>
              <w:pStyle w:val="ListParagraph"/>
              <w:numPr>
                <w:ilvl w:val="0"/>
                <w:numId w:val="178"/>
              </w:numPr>
              <w:pBdr>
                <w:top w:val="nil"/>
                <w:left w:val="nil"/>
                <w:bottom w:val="nil"/>
                <w:right w:val="nil"/>
                <w:between w:val="nil"/>
                <w:bar w:val="nil"/>
              </w:pBdr>
              <w:spacing w:after="0" w:line="240" w:lineRule="atLeast"/>
              <w:ind w:left="357" w:hanging="357"/>
              <w:rPr>
                <w:u w:color="000000"/>
                <w:bdr w:val="nil"/>
                <w:lang w:val="en-US"/>
              </w:rPr>
            </w:pPr>
            <w:r w:rsidRPr="00976ACF">
              <w:rPr>
                <w:rFonts w:ascii="Garamond" w:hAnsi="Garamond"/>
                <w:szCs w:val="28"/>
                <w:lang w:val="en-US" w:eastAsia="ru-RU"/>
              </w:rPr>
              <w:t>On average</w:t>
            </w:r>
            <w:r w:rsidR="004A4663">
              <w:rPr>
                <w:rFonts w:ascii="Garamond" w:hAnsi="Garamond"/>
                <w:szCs w:val="28"/>
                <w:lang w:val="en-US" w:eastAsia="ru-RU"/>
              </w:rPr>
              <w:t>,</w:t>
            </w:r>
            <w:r w:rsidRPr="00976ACF">
              <w:rPr>
                <w:rFonts w:ascii="Garamond" w:hAnsi="Garamond"/>
                <w:szCs w:val="28"/>
                <w:lang w:val="en-US" w:eastAsia="ru-RU"/>
              </w:rPr>
              <w:t xml:space="preserve"> how many days of sales were in </w:t>
            </w:r>
            <w:r w:rsidR="00B34CA7">
              <w:rPr>
                <w:rFonts w:ascii="Garamond" w:hAnsi="Garamond"/>
                <w:szCs w:val="28"/>
                <w:lang w:val="en-US" w:eastAsia="ru-RU"/>
              </w:rPr>
              <w:t>i</w:t>
            </w:r>
            <w:r w:rsidRPr="00976ACF">
              <w:rPr>
                <w:rFonts w:ascii="Garamond" w:hAnsi="Garamond"/>
                <w:szCs w:val="28"/>
                <w:lang w:val="en-US" w:eastAsia="ru-RU"/>
              </w:rPr>
              <w:t>nventory during the year?</w:t>
            </w:r>
          </w:p>
          <w:p w14:paraId="6DE59BAB" w14:textId="77777777" w:rsidR="00976ACF" w:rsidRPr="00976ACF" w:rsidRDefault="00976ACF" w:rsidP="006F749C">
            <w:pPr>
              <w:pStyle w:val="ListParagraph"/>
              <w:numPr>
                <w:ilvl w:val="0"/>
                <w:numId w:val="187"/>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lastRenderedPageBreak/>
              <w:t>14;</w:t>
            </w:r>
            <w:r w:rsidRPr="00976ACF">
              <w:rPr>
                <w:rFonts w:ascii="Garamond" w:hAnsi="Garamond"/>
                <w:szCs w:val="28"/>
                <w:lang w:eastAsia="ru-RU"/>
              </w:rPr>
              <w:tab/>
              <w:t xml:space="preserve"> </w:t>
            </w:r>
          </w:p>
          <w:p w14:paraId="1C91E73C" w14:textId="77777777" w:rsidR="00976ACF" w:rsidRPr="00976ACF" w:rsidRDefault="00976ACF" w:rsidP="006F749C">
            <w:pPr>
              <w:pStyle w:val="ListParagraph"/>
              <w:numPr>
                <w:ilvl w:val="0"/>
                <w:numId w:val="187"/>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46;</w:t>
            </w:r>
          </w:p>
          <w:p w14:paraId="2460A2DE" w14:textId="77777777" w:rsidR="00976ACF" w:rsidRPr="00976ACF" w:rsidRDefault="00976ACF" w:rsidP="006F749C">
            <w:pPr>
              <w:pStyle w:val="ListParagraph"/>
              <w:numPr>
                <w:ilvl w:val="0"/>
                <w:numId w:val="187"/>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49;</w:t>
            </w:r>
            <w:r w:rsidRPr="00976ACF">
              <w:rPr>
                <w:rFonts w:ascii="Garamond" w:hAnsi="Garamond"/>
                <w:szCs w:val="28"/>
                <w:lang w:eastAsia="ru-RU"/>
              </w:rPr>
              <w:tab/>
            </w:r>
          </w:p>
          <w:p w14:paraId="2A54EFB9" w14:textId="77777777" w:rsidR="00976ACF" w:rsidRPr="00976ACF" w:rsidRDefault="00976ACF" w:rsidP="006F749C">
            <w:pPr>
              <w:pStyle w:val="ListParagraph"/>
              <w:numPr>
                <w:ilvl w:val="0"/>
                <w:numId w:val="187"/>
              </w:numPr>
              <w:pBdr>
                <w:top w:val="nil"/>
                <w:left w:val="nil"/>
                <w:bottom w:val="nil"/>
                <w:right w:val="nil"/>
                <w:between w:val="nil"/>
                <w:bar w:val="nil"/>
              </w:pBdr>
              <w:spacing w:after="120" w:line="240" w:lineRule="atLeast"/>
              <w:ind w:left="850" w:hanging="357"/>
              <w:rPr>
                <w:rFonts w:eastAsia="Times New Roman"/>
                <w:u w:color="000000"/>
                <w:bdr w:val="nil"/>
                <w:lang w:val="en-US"/>
              </w:rPr>
            </w:pPr>
            <w:r w:rsidRPr="00976ACF">
              <w:rPr>
                <w:rFonts w:ascii="Garamond" w:hAnsi="Garamond"/>
                <w:szCs w:val="28"/>
                <w:lang w:eastAsia="ru-RU"/>
              </w:rPr>
              <w:t>73.</w:t>
            </w:r>
          </w:p>
        </w:tc>
      </w:tr>
      <w:tr w:rsidR="00976ACF" w:rsidRPr="00A82A80" w14:paraId="49D06E17" w14:textId="77777777" w:rsidTr="00DC7FC5">
        <w:tc>
          <w:tcPr>
            <w:tcW w:w="9564" w:type="dxa"/>
          </w:tcPr>
          <w:p w14:paraId="3E148AD0" w14:textId="77777777" w:rsidR="00976ACF" w:rsidRPr="00976ACF" w:rsidRDefault="00976ACF" w:rsidP="006F749C">
            <w:pPr>
              <w:pStyle w:val="ListParagraph"/>
              <w:numPr>
                <w:ilvl w:val="0"/>
                <w:numId w:val="178"/>
              </w:numPr>
              <w:pBdr>
                <w:top w:val="nil"/>
                <w:left w:val="nil"/>
                <w:bottom w:val="nil"/>
                <w:right w:val="nil"/>
                <w:between w:val="nil"/>
                <w:bar w:val="nil"/>
              </w:pBdr>
              <w:spacing w:after="0" w:line="240" w:lineRule="atLeast"/>
              <w:ind w:left="357" w:hanging="357"/>
              <w:rPr>
                <w:rFonts w:ascii="Garamond" w:hAnsi="Garamond"/>
                <w:szCs w:val="28"/>
                <w:lang w:val="en-US" w:eastAsia="ru-RU"/>
              </w:rPr>
            </w:pPr>
            <w:r w:rsidRPr="00976ACF">
              <w:rPr>
                <w:rFonts w:ascii="Garamond" w:hAnsi="Garamond"/>
                <w:szCs w:val="28"/>
                <w:lang w:val="en-US" w:eastAsia="ru-RU"/>
              </w:rPr>
              <w:t>Company has</w:t>
            </w:r>
            <w:r w:rsidR="008638D3">
              <w:rPr>
                <w:rFonts w:ascii="Garamond" w:hAnsi="Garamond"/>
                <w:szCs w:val="28"/>
                <w:lang w:val="en-US" w:eastAsia="ru-RU"/>
              </w:rPr>
              <w:t xml:space="preserve"> </w:t>
            </w:r>
            <w:r w:rsidRPr="00976ACF">
              <w:rPr>
                <w:rFonts w:ascii="Garamond" w:hAnsi="Garamond"/>
                <w:szCs w:val="28"/>
                <w:lang w:val="en-US" w:eastAsia="ru-RU"/>
              </w:rPr>
              <w:t>higher quick ratio than the industry average, which implies</w:t>
            </w:r>
            <w:r w:rsidR="004A4663">
              <w:rPr>
                <w:rFonts w:ascii="Garamond" w:hAnsi="Garamond"/>
                <w:szCs w:val="28"/>
                <w:lang w:val="en-US" w:eastAsia="ru-RU"/>
              </w:rPr>
              <w:t xml:space="preserve"> the following</w:t>
            </w:r>
            <w:r w:rsidRPr="00976ACF">
              <w:rPr>
                <w:rFonts w:ascii="Garamond" w:hAnsi="Garamond"/>
                <w:szCs w:val="28"/>
                <w:lang w:val="en-US" w:eastAsia="ru-RU"/>
              </w:rPr>
              <w:t>:</w:t>
            </w:r>
          </w:p>
          <w:p w14:paraId="351E1652" w14:textId="77777777" w:rsidR="00976ACF" w:rsidRPr="00047AFE" w:rsidRDefault="00976ACF" w:rsidP="006F749C">
            <w:pPr>
              <w:pStyle w:val="ListParagraph"/>
              <w:numPr>
                <w:ilvl w:val="0"/>
                <w:numId w:val="188"/>
              </w:numPr>
              <w:pBdr>
                <w:top w:val="nil"/>
                <w:left w:val="nil"/>
                <w:bottom w:val="nil"/>
                <w:right w:val="nil"/>
                <w:between w:val="nil"/>
                <w:bar w:val="nil"/>
              </w:pBdr>
              <w:spacing w:after="0" w:line="240" w:lineRule="atLeast"/>
              <w:ind w:left="851"/>
              <w:rPr>
                <w:rFonts w:ascii="Garamond" w:hAnsi="Garamond"/>
                <w:szCs w:val="28"/>
                <w:lang w:val="en-US" w:eastAsia="ru-RU"/>
              </w:rPr>
            </w:pPr>
            <w:r w:rsidRPr="00047AFE">
              <w:rPr>
                <w:rFonts w:ascii="Garamond" w:hAnsi="Garamond"/>
                <w:szCs w:val="28"/>
                <w:lang w:val="en-US" w:eastAsia="ru-RU"/>
              </w:rPr>
              <w:t>the company has higher price to earnings ratio (P/E) than other companies in the industry;</w:t>
            </w:r>
          </w:p>
          <w:p w14:paraId="5E4B0993" w14:textId="77777777" w:rsidR="00976ACF" w:rsidRPr="00047AFE" w:rsidRDefault="00976ACF" w:rsidP="006F749C">
            <w:pPr>
              <w:pStyle w:val="ListParagraph"/>
              <w:numPr>
                <w:ilvl w:val="0"/>
                <w:numId w:val="188"/>
              </w:numPr>
              <w:pBdr>
                <w:top w:val="nil"/>
                <w:left w:val="nil"/>
                <w:bottom w:val="nil"/>
                <w:right w:val="nil"/>
                <w:between w:val="nil"/>
                <w:bar w:val="nil"/>
              </w:pBdr>
              <w:spacing w:after="0" w:line="240" w:lineRule="atLeast"/>
              <w:ind w:left="851"/>
              <w:rPr>
                <w:rFonts w:ascii="Garamond" w:hAnsi="Garamond"/>
                <w:szCs w:val="28"/>
                <w:lang w:val="en-US" w:eastAsia="ru-RU"/>
              </w:rPr>
            </w:pPr>
            <w:r w:rsidRPr="00047AFE">
              <w:rPr>
                <w:rFonts w:ascii="Garamond" w:hAnsi="Garamond"/>
                <w:szCs w:val="28"/>
                <w:lang w:val="en-US" w:eastAsia="ru-RU"/>
              </w:rPr>
              <w:t>the company may be less profitable than other companies in the industry;</w:t>
            </w:r>
          </w:p>
          <w:p w14:paraId="7FBB38AC" w14:textId="77777777" w:rsidR="00976ACF" w:rsidRPr="00047AFE" w:rsidRDefault="00976ACF" w:rsidP="006F749C">
            <w:pPr>
              <w:pStyle w:val="ListParagraph"/>
              <w:numPr>
                <w:ilvl w:val="0"/>
                <w:numId w:val="188"/>
              </w:numPr>
              <w:pBdr>
                <w:top w:val="nil"/>
                <w:left w:val="nil"/>
                <w:bottom w:val="nil"/>
                <w:right w:val="nil"/>
                <w:between w:val="nil"/>
                <w:bar w:val="nil"/>
              </w:pBdr>
              <w:spacing w:after="0" w:line="240" w:lineRule="atLeast"/>
              <w:ind w:left="851"/>
              <w:rPr>
                <w:rFonts w:ascii="Garamond" w:hAnsi="Garamond"/>
                <w:szCs w:val="28"/>
                <w:lang w:val="en-US" w:eastAsia="ru-RU"/>
              </w:rPr>
            </w:pPr>
            <w:r w:rsidRPr="00047AFE">
              <w:rPr>
                <w:rFonts w:ascii="Garamond" w:hAnsi="Garamond"/>
                <w:szCs w:val="28"/>
                <w:lang w:val="en-US" w:eastAsia="ru-RU"/>
              </w:rPr>
              <w:t>the company is less likely to avoid insolvency in the short run than other companies in the industry;</w:t>
            </w:r>
          </w:p>
          <w:p w14:paraId="4C7A0A61" w14:textId="77777777" w:rsidR="00976ACF" w:rsidRPr="00976ACF" w:rsidRDefault="00976ACF" w:rsidP="006F749C">
            <w:pPr>
              <w:pStyle w:val="ListParagraph"/>
              <w:numPr>
                <w:ilvl w:val="0"/>
                <w:numId w:val="188"/>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a and b;</w:t>
            </w:r>
          </w:p>
          <w:p w14:paraId="00ED1AA9" w14:textId="77777777" w:rsidR="00976ACF" w:rsidRPr="00976ACF" w:rsidRDefault="00976ACF" w:rsidP="006F749C">
            <w:pPr>
              <w:pStyle w:val="ListParagraph"/>
              <w:numPr>
                <w:ilvl w:val="0"/>
                <w:numId w:val="188"/>
              </w:numPr>
              <w:pBdr>
                <w:top w:val="nil"/>
                <w:left w:val="nil"/>
                <w:bottom w:val="nil"/>
                <w:right w:val="nil"/>
                <w:between w:val="nil"/>
                <w:bar w:val="nil"/>
              </w:pBdr>
              <w:spacing w:after="0" w:line="240" w:lineRule="atLeast"/>
              <w:ind w:left="851"/>
              <w:rPr>
                <w:rFonts w:ascii="Garamond" w:hAnsi="Garamond"/>
                <w:szCs w:val="28"/>
                <w:lang w:eastAsia="ru-RU"/>
              </w:rPr>
            </w:pPr>
            <w:r w:rsidRPr="00976ACF">
              <w:rPr>
                <w:rFonts w:ascii="Garamond" w:hAnsi="Garamond"/>
                <w:szCs w:val="28"/>
                <w:lang w:eastAsia="ru-RU"/>
              </w:rPr>
              <w:t>b and c;</w:t>
            </w:r>
          </w:p>
          <w:p w14:paraId="23247CB2" w14:textId="77777777" w:rsidR="00976ACF" w:rsidRPr="00976ACF" w:rsidRDefault="00976ACF" w:rsidP="006F749C">
            <w:pPr>
              <w:pStyle w:val="ListParagraph"/>
              <w:numPr>
                <w:ilvl w:val="0"/>
                <w:numId w:val="188"/>
              </w:numPr>
              <w:pBdr>
                <w:top w:val="nil"/>
                <w:left w:val="nil"/>
                <w:bottom w:val="nil"/>
                <w:right w:val="nil"/>
                <w:between w:val="nil"/>
                <w:bar w:val="nil"/>
              </w:pBdr>
              <w:spacing w:after="120" w:line="240" w:lineRule="atLeast"/>
              <w:ind w:left="850" w:hanging="357"/>
              <w:rPr>
                <w:rFonts w:eastAsia="Times New Roman"/>
                <w:u w:color="000000"/>
                <w:bdr w:val="nil"/>
                <w:lang w:val="en-US"/>
              </w:rPr>
            </w:pPr>
            <w:r w:rsidRPr="00976ACF">
              <w:rPr>
                <w:rFonts w:ascii="Garamond" w:hAnsi="Garamond"/>
                <w:szCs w:val="28"/>
                <w:lang w:eastAsia="ru-RU"/>
              </w:rPr>
              <w:t>all of the above.</w:t>
            </w:r>
          </w:p>
        </w:tc>
      </w:tr>
    </w:tbl>
    <w:p w14:paraId="5C1C3AE3" w14:textId="77777777" w:rsidR="003C51B1" w:rsidRPr="003C51B1" w:rsidRDefault="003C51B1" w:rsidP="0059237E">
      <w:pPr>
        <w:pStyle w:val="end2"/>
        <w:rPr>
          <w:rFonts w:eastAsia="Times New Roman Bold" w:hAnsi="Times New Roman Bold" w:cs="Times New Roman Bold"/>
          <w:u w:color="000000"/>
          <w:bdr w:val="nil"/>
        </w:rPr>
      </w:pPr>
      <w:r w:rsidRPr="003C51B1">
        <w:rPr>
          <w:rFonts w:eastAsia="Arial Unicode MS"/>
          <w:u w:color="000000"/>
          <w:bdr w:val="nil"/>
        </w:rPr>
        <w:t>Short answer questions</w:t>
      </w:r>
    </w:p>
    <w:p w14:paraId="420C067C" w14:textId="77777777" w:rsidR="003C51B1" w:rsidRPr="003C51B1" w:rsidRDefault="003C51B1" w:rsidP="0059237E">
      <w:pPr>
        <w:pStyle w:val="eng3"/>
        <w:rPr>
          <w:rFonts w:eastAsia="Times New Roman Bold" w:hAnsi="Times New Roman Bold" w:cs="Times New Roman Bold"/>
          <w:u w:color="000000"/>
          <w:bdr w:val="nil"/>
        </w:rPr>
      </w:pPr>
      <w:r w:rsidRPr="003C51B1">
        <w:rPr>
          <w:rFonts w:eastAsia="Arial Unicode MS"/>
          <w:u w:color="000000"/>
          <w:bdr w:val="nil"/>
        </w:rPr>
        <w:t>Missing</w:t>
      </w:r>
      <w:r w:rsidR="00252DD6">
        <w:rPr>
          <w:rFonts w:eastAsia="Arial Unicode MS"/>
          <w:u w:color="000000"/>
          <w:bdr w:val="nil"/>
        </w:rPr>
        <w:t xml:space="preserve"> </w:t>
      </w:r>
      <w:r w:rsidRPr="003C51B1">
        <w:rPr>
          <w:rFonts w:eastAsia="Arial Unicode MS"/>
          <w:u w:color="000000"/>
          <w:bdr w:val="nil"/>
        </w:rPr>
        <w:t>word questions</w:t>
      </w:r>
    </w:p>
    <w:p w14:paraId="62618BBA" w14:textId="77777777" w:rsidR="0059237E" w:rsidRPr="0059237E" w:rsidRDefault="0059237E" w:rsidP="0059237E">
      <w:pPr>
        <w:spacing w:after="240" w:line="240" w:lineRule="atLeast"/>
        <w:ind w:firstLine="360"/>
        <w:jc w:val="both"/>
        <w:rPr>
          <w:sz w:val="28"/>
          <w:szCs w:val="28"/>
          <w:lang w:val="en-US"/>
        </w:rPr>
      </w:pPr>
      <w:r w:rsidRPr="0059237E">
        <w:rPr>
          <w:sz w:val="28"/>
          <w:szCs w:val="28"/>
          <w:lang w:val="en-US"/>
        </w:rPr>
        <w:t>Choose the correct word to complete each sentence.</w:t>
      </w:r>
    </w:p>
    <w:p w14:paraId="533A3FC0" w14:textId="77777777" w:rsidR="003C51B1" w:rsidRPr="0059237E" w:rsidRDefault="008638D3" w:rsidP="006F749C">
      <w:pPr>
        <w:pStyle w:val="ListParagraph"/>
        <w:numPr>
          <w:ilvl w:val="0"/>
          <w:numId w:val="189"/>
        </w:numPr>
        <w:pBdr>
          <w:top w:val="nil"/>
          <w:left w:val="nil"/>
          <w:bottom w:val="nil"/>
          <w:right w:val="nil"/>
          <w:between w:val="nil"/>
          <w:bar w:val="nil"/>
        </w:pBdr>
        <w:spacing w:after="0" w:line="240" w:lineRule="atLeast"/>
        <w:ind w:left="284"/>
        <w:jc w:val="both"/>
        <w:rPr>
          <w:rFonts w:ascii="Garamond" w:hAnsi="Garamond"/>
          <w:szCs w:val="28"/>
          <w:u w:color="000000"/>
          <w:bdr w:val="nil"/>
          <w:lang w:val="en-US"/>
        </w:rPr>
      </w:pPr>
      <w:r>
        <w:rPr>
          <w:rFonts w:ascii="Garamond" w:eastAsia="Arial Unicode MS" w:hAnsi="Garamond" w:cs="Arial Unicode MS"/>
          <w:szCs w:val="28"/>
          <w:u w:color="000000"/>
          <w:bdr w:val="nil"/>
          <w:lang w:val="en-US"/>
        </w:rPr>
        <w:t>Taking into account</w:t>
      </w:r>
      <w:r w:rsidR="003C51B1" w:rsidRPr="0059237E">
        <w:rPr>
          <w:rFonts w:ascii="Garamond" w:eastAsia="Arial Unicode MS" w:hAnsi="Garamond" w:cs="Arial Unicode MS"/>
          <w:szCs w:val="28"/>
          <w:u w:color="000000"/>
          <w:bdr w:val="nil"/>
          <w:lang w:val="en-US"/>
        </w:rPr>
        <w:t xml:space="preserve"> the results of the study </w:t>
      </w:r>
      <w:r>
        <w:rPr>
          <w:rFonts w:ascii="Garamond" w:eastAsia="Arial Unicode MS" w:hAnsi="Garamond" w:cs="Arial Unicode MS"/>
          <w:szCs w:val="28"/>
          <w:u w:color="000000"/>
          <w:bdr w:val="nil"/>
          <w:lang w:val="en-US"/>
        </w:rPr>
        <w:t xml:space="preserve">of </w:t>
      </w:r>
      <w:r w:rsidR="003C51B1" w:rsidRPr="0059237E">
        <w:rPr>
          <w:rFonts w:ascii="Garamond" w:eastAsia="Arial Unicode MS" w:hAnsi="Garamond" w:cs="Arial Unicode MS"/>
          <w:szCs w:val="28"/>
          <w:u w:color="000000"/>
          <w:bdr w:val="nil"/>
          <w:lang w:val="en-US"/>
        </w:rPr>
        <w:t>Dorman, you would ______________ the stocks of companies with high ROEs and ______________ the stocks of companies with low ROEs.</w:t>
      </w:r>
    </w:p>
    <w:p w14:paraId="7CAC9924" w14:textId="77777777" w:rsidR="003C51B1" w:rsidRPr="0059237E" w:rsidRDefault="003C51B1" w:rsidP="0059237E">
      <w:pPr>
        <w:pBdr>
          <w:top w:val="nil"/>
          <w:left w:val="nil"/>
          <w:bottom w:val="nil"/>
          <w:right w:val="nil"/>
          <w:between w:val="nil"/>
          <w:bar w:val="nil"/>
        </w:pBdr>
        <w:spacing w:line="240" w:lineRule="atLeast"/>
        <w:ind w:left="284"/>
        <w:jc w:val="both"/>
        <w:rPr>
          <w:sz w:val="28"/>
          <w:szCs w:val="28"/>
          <w:u w:color="000000"/>
          <w:bdr w:val="nil"/>
          <w:lang w:val="en-US"/>
        </w:rPr>
      </w:pPr>
    </w:p>
    <w:p w14:paraId="047BE59B" w14:textId="77777777" w:rsidR="003C51B1" w:rsidRPr="0059237E" w:rsidRDefault="003C51B1" w:rsidP="006F749C">
      <w:pPr>
        <w:pStyle w:val="ListParagraph"/>
        <w:numPr>
          <w:ilvl w:val="0"/>
          <w:numId w:val="189"/>
        </w:numPr>
        <w:pBdr>
          <w:top w:val="nil"/>
          <w:left w:val="nil"/>
          <w:bottom w:val="nil"/>
          <w:right w:val="nil"/>
          <w:between w:val="nil"/>
          <w:bar w:val="nil"/>
        </w:pBdr>
        <w:spacing w:after="0" w:line="240" w:lineRule="atLeast"/>
        <w:ind w:left="284"/>
        <w:jc w:val="both"/>
        <w:rPr>
          <w:rFonts w:ascii="Garamond" w:hAnsi="Garamond"/>
          <w:szCs w:val="28"/>
          <w:u w:color="000000"/>
          <w:bdr w:val="nil"/>
          <w:lang w:val="en-US"/>
        </w:rPr>
      </w:pPr>
      <w:r w:rsidRPr="0059237E">
        <w:rPr>
          <w:rFonts w:ascii="Garamond" w:eastAsia="Arial Unicode MS" w:hAnsi="Garamond" w:cs="Arial Unicode MS"/>
          <w:szCs w:val="28"/>
          <w:u w:color="000000"/>
          <w:bdr w:val="nil"/>
          <w:lang w:val="en-US"/>
        </w:rPr>
        <w:t>If the interest rate on debt is lower than ROA, then a firm will __________ (increase/</w:t>
      </w:r>
      <w:r w:rsidR="008638D3">
        <w:rPr>
          <w:rFonts w:ascii="Garamond" w:eastAsia="Arial Unicode MS" w:hAnsi="Garamond" w:cs="Arial Unicode MS"/>
          <w:szCs w:val="28"/>
          <w:u w:color="000000"/>
          <w:bdr w:val="nil"/>
          <w:lang w:val="en-US"/>
        </w:rPr>
        <w:t>decrease/</w:t>
      </w:r>
      <w:r w:rsidRPr="0059237E">
        <w:rPr>
          <w:rFonts w:ascii="Garamond" w:eastAsia="Arial Unicode MS" w:hAnsi="Garamond" w:cs="Arial Unicode MS"/>
          <w:szCs w:val="28"/>
          <w:u w:color="000000"/>
          <w:bdr w:val="nil"/>
          <w:lang w:val="en-US"/>
        </w:rPr>
        <w:t>not change) ROE by increasing the use of debt in the capital structure.</w:t>
      </w:r>
    </w:p>
    <w:p w14:paraId="20241199" w14:textId="77777777" w:rsidR="003C51B1" w:rsidRPr="0059237E" w:rsidRDefault="003C51B1" w:rsidP="0059237E">
      <w:pPr>
        <w:pBdr>
          <w:top w:val="nil"/>
          <w:left w:val="nil"/>
          <w:bottom w:val="nil"/>
          <w:right w:val="nil"/>
          <w:between w:val="nil"/>
          <w:bar w:val="nil"/>
        </w:pBdr>
        <w:spacing w:line="240" w:lineRule="atLeast"/>
        <w:ind w:left="284"/>
        <w:jc w:val="both"/>
        <w:rPr>
          <w:sz w:val="28"/>
          <w:szCs w:val="28"/>
          <w:u w:color="000000"/>
          <w:bdr w:val="nil"/>
          <w:lang w:val="en-US"/>
        </w:rPr>
      </w:pPr>
    </w:p>
    <w:p w14:paraId="22C3ED74" w14:textId="77777777" w:rsidR="003C51B1" w:rsidRPr="0059237E" w:rsidRDefault="003C51B1" w:rsidP="006F749C">
      <w:pPr>
        <w:pStyle w:val="ListParagraph"/>
        <w:numPr>
          <w:ilvl w:val="0"/>
          <w:numId w:val="189"/>
        </w:numPr>
        <w:pBdr>
          <w:top w:val="nil"/>
          <w:left w:val="nil"/>
          <w:bottom w:val="nil"/>
          <w:right w:val="nil"/>
          <w:between w:val="nil"/>
          <w:bar w:val="nil"/>
        </w:pBdr>
        <w:spacing w:after="0" w:line="240" w:lineRule="atLeast"/>
        <w:ind w:left="284"/>
        <w:jc w:val="both"/>
        <w:rPr>
          <w:rFonts w:ascii="Garamond" w:hAnsi="Garamond"/>
          <w:szCs w:val="28"/>
          <w:u w:color="000000"/>
          <w:bdr w:val="nil"/>
          <w:lang w:val="en-US"/>
        </w:rPr>
      </w:pPr>
      <w:r w:rsidRPr="0059237E">
        <w:rPr>
          <w:rFonts w:ascii="Garamond" w:eastAsia="Arial Unicode MS" w:hAnsi="Garamond" w:cs="Arial Unicode MS"/>
          <w:szCs w:val="28"/>
          <w:u w:color="000000"/>
          <w:bdr w:val="nil"/>
          <w:lang w:val="en-US"/>
        </w:rPr>
        <w:t>____________ ratio gives information on the amount of profits reinvested in the company over the years.</w:t>
      </w:r>
    </w:p>
    <w:p w14:paraId="517950EF" w14:textId="77777777" w:rsidR="003C51B1" w:rsidRPr="0059237E" w:rsidRDefault="003C51B1" w:rsidP="0059237E">
      <w:pPr>
        <w:pBdr>
          <w:top w:val="nil"/>
          <w:left w:val="nil"/>
          <w:bottom w:val="nil"/>
          <w:right w:val="nil"/>
          <w:between w:val="nil"/>
          <w:bar w:val="nil"/>
        </w:pBdr>
        <w:spacing w:line="240" w:lineRule="atLeast"/>
        <w:ind w:left="284"/>
        <w:jc w:val="both"/>
        <w:rPr>
          <w:sz w:val="28"/>
          <w:szCs w:val="28"/>
          <w:u w:color="000000"/>
          <w:bdr w:val="nil"/>
          <w:lang w:val="en-US"/>
        </w:rPr>
      </w:pPr>
    </w:p>
    <w:p w14:paraId="3622B9D7" w14:textId="77777777" w:rsidR="003C51B1" w:rsidRPr="0059237E" w:rsidRDefault="003C51B1" w:rsidP="006F749C">
      <w:pPr>
        <w:pStyle w:val="ListParagraph"/>
        <w:numPr>
          <w:ilvl w:val="0"/>
          <w:numId w:val="189"/>
        </w:numPr>
        <w:pBdr>
          <w:top w:val="nil"/>
          <w:left w:val="nil"/>
          <w:bottom w:val="nil"/>
          <w:right w:val="nil"/>
          <w:between w:val="nil"/>
          <w:bar w:val="nil"/>
        </w:pBdr>
        <w:spacing w:after="0" w:line="240" w:lineRule="atLeast"/>
        <w:ind w:left="284"/>
        <w:jc w:val="both"/>
        <w:rPr>
          <w:rFonts w:ascii="Garamond" w:hAnsi="Garamond"/>
          <w:szCs w:val="28"/>
          <w:u w:color="000000"/>
          <w:bdr w:val="nil"/>
          <w:lang w:val="en-US"/>
        </w:rPr>
      </w:pPr>
      <w:r w:rsidRPr="0059237E">
        <w:rPr>
          <w:rFonts w:ascii="Garamond" w:eastAsia="Arial Unicode MS" w:hAnsi="Garamond" w:cs="Arial Unicode MS"/>
          <w:szCs w:val="28"/>
          <w:u w:color="000000"/>
          <w:bdr w:val="nil"/>
          <w:lang w:val="en-US"/>
        </w:rPr>
        <w:t>Suppose that Freegram, Inc. has a ROA of 9</w:t>
      </w:r>
      <w:r w:rsidR="008638D3">
        <w:rPr>
          <w:rFonts w:ascii="Garamond" w:eastAsia="Arial Unicode MS" w:hAnsi="Garamond" w:cs="Arial Unicode MS"/>
          <w:szCs w:val="28"/>
          <w:u w:color="000000"/>
          <w:bdr w:val="nil"/>
          <w:lang w:val="en-US"/>
        </w:rPr>
        <w:t xml:space="preserve"> </w:t>
      </w:r>
      <w:r w:rsidRPr="0059237E">
        <w:rPr>
          <w:rFonts w:ascii="Garamond" w:eastAsia="Arial Unicode MS" w:hAnsi="Garamond" w:cs="Arial Unicode MS"/>
          <w:szCs w:val="28"/>
          <w:u w:color="000000"/>
          <w:bdr w:val="nil"/>
          <w:lang w:val="en-US"/>
        </w:rPr>
        <w:t>% and pays a 8</w:t>
      </w:r>
      <w:r w:rsidR="008638D3">
        <w:rPr>
          <w:rFonts w:ascii="Garamond" w:eastAsia="Arial Unicode MS" w:hAnsi="Garamond" w:cs="Arial Unicode MS"/>
          <w:szCs w:val="28"/>
          <w:u w:color="000000"/>
          <w:bdr w:val="nil"/>
          <w:lang w:val="en-US"/>
        </w:rPr>
        <w:t xml:space="preserve"> </w:t>
      </w:r>
      <w:r w:rsidRPr="0059237E">
        <w:rPr>
          <w:rFonts w:ascii="Garamond" w:eastAsia="Arial Unicode MS" w:hAnsi="Garamond" w:cs="Arial Unicode MS"/>
          <w:szCs w:val="28"/>
          <w:u w:color="000000"/>
          <w:bdr w:val="nil"/>
          <w:lang w:val="en-US"/>
        </w:rPr>
        <w:t>% coupon on its debt. Freegram has a capital structure that is 90</w:t>
      </w:r>
      <w:r w:rsidR="008638D3">
        <w:rPr>
          <w:rFonts w:ascii="Garamond" w:eastAsia="Arial Unicode MS" w:hAnsi="Garamond" w:cs="Arial Unicode MS"/>
          <w:szCs w:val="28"/>
          <w:u w:color="000000"/>
          <w:bdr w:val="nil"/>
          <w:lang w:val="en-US"/>
        </w:rPr>
        <w:t xml:space="preserve"> </w:t>
      </w:r>
      <w:r w:rsidRPr="0059237E">
        <w:rPr>
          <w:rFonts w:ascii="Garamond" w:eastAsia="Arial Unicode MS" w:hAnsi="Garamond" w:cs="Arial Unicode MS"/>
          <w:szCs w:val="28"/>
          <w:u w:color="000000"/>
          <w:bdr w:val="nil"/>
          <w:lang w:val="en-US"/>
        </w:rPr>
        <w:t>% equity and 10</w:t>
      </w:r>
      <w:r w:rsidR="008638D3">
        <w:rPr>
          <w:rFonts w:ascii="Garamond" w:eastAsia="Arial Unicode MS" w:hAnsi="Garamond" w:cs="Arial Unicode MS"/>
          <w:szCs w:val="28"/>
          <w:u w:color="000000"/>
          <w:bdr w:val="nil"/>
          <w:lang w:val="en-US"/>
        </w:rPr>
        <w:t xml:space="preserve"> </w:t>
      </w:r>
      <w:r w:rsidRPr="0059237E">
        <w:rPr>
          <w:rFonts w:ascii="Garamond" w:eastAsia="Arial Unicode MS" w:hAnsi="Garamond" w:cs="Arial Unicode MS"/>
          <w:szCs w:val="28"/>
          <w:u w:color="000000"/>
          <w:bdr w:val="nil"/>
          <w:lang w:val="en-US"/>
        </w:rPr>
        <w:t>% debt. Relative to a company that is 100</w:t>
      </w:r>
      <w:r w:rsidR="008638D3">
        <w:rPr>
          <w:rFonts w:ascii="Garamond" w:eastAsia="Arial Unicode MS" w:hAnsi="Garamond" w:cs="Arial Unicode MS"/>
          <w:szCs w:val="28"/>
          <w:u w:color="000000"/>
          <w:bdr w:val="nil"/>
          <w:lang w:val="en-US"/>
        </w:rPr>
        <w:t xml:space="preserve"> </w:t>
      </w:r>
      <w:r w:rsidRPr="0059237E">
        <w:rPr>
          <w:rFonts w:ascii="Garamond" w:eastAsia="Arial Unicode MS" w:hAnsi="Garamond" w:cs="Arial Unicode MS"/>
          <w:szCs w:val="28"/>
          <w:u w:color="000000"/>
          <w:bdr w:val="nil"/>
          <w:lang w:val="en-US"/>
        </w:rPr>
        <w:t>% equity-financed, Freegram's Net p</w:t>
      </w:r>
      <w:r w:rsidR="008638D3">
        <w:rPr>
          <w:rFonts w:ascii="Garamond" w:eastAsia="Arial Unicode MS" w:hAnsi="Garamond" w:cs="Arial Unicode MS"/>
          <w:szCs w:val="28"/>
          <w:u w:color="000000"/>
          <w:bdr w:val="nil"/>
          <w:lang w:val="en-US"/>
        </w:rPr>
        <w:t>rofit will be ________ (higher/</w:t>
      </w:r>
      <w:r w:rsidRPr="0059237E">
        <w:rPr>
          <w:rFonts w:ascii="Garamond" w:eastAsia="Arial Unicode MS" w:hAnsi="Garamond" w:cs="Arial Unicode MS"/>
          <w:szCs w:val="28"/>
          <w:u w:color="000000"/>
          <w:bdr w:val="nil"/>
          <w:lang w:val="en-US"/>
        </w:rPr>
        <w:t xml:space="preserve">lower) and its ROE will be _______ (higher/lower). </w:t>
      </w:r>
    </w:p>
    <w:p w14:paraId="6D403EDA" w14:textId="77777777" w:rsidR="003C51B1" w:rsidRPr="0059237E" w:rsidRDefault="003C51B1" w:rsidP="0059237E">
      <w:pPr>
        <w:pBdr>
          <w:top w:val="nil"/>
          <w:left w:val="nil"/>
          <w:bottom w:val="nil"/>
          <w:right w:val="nil"/>
          <w:between w:val="nil"/>
          <w:bar w:val="nil"/>
        </w:pBdr>
        <w:spacing w:line="240" w:lineRule="atLeast"/>
        <w:ind w:left="284"/>
        <w:jc w:val="both"/>
        <w:rPr>
          <w:sz w:val="28"/>
          <w:szCs w:val="28"/>
          <w:u w:color="000000"/>
          <w:bdr w:val="nil"/>
          <w:lang w:val="en-US"/>
        </w:rPr>
      </w:pPr>
    </w:p>
    <w:p w14:paraId="54B8118D" w14:textId="77777777" w:rsidR="003C51B1" w:rsidRPr="0059237E" w:rsidRDefault="003C51B1" w:rsidP="006F749C">
      <w:pPr>
        <w:pStyle w:val="ListParagraph"/>
        <w:numPr>
          <w:ilvl w:val="0"/>
          <w:numId w:val="189"/>
        </w:numPr>
        <w:pBdr>
          <w:top w:val="nil"/>
          <w:left w:val="nil"/>
          <w:bottom w:val="nil"/>
          <w:right w:val="nil"/>
          <w:between w:val="nil"/>
          <w:bar w:val="nil"/>
        </w:pBdr>
        <w:spacing w:after="0" w:line="240" w:lineRule="atLeast"/>
        <w:ind w:left="284"/>
        <w:jc w:val="both"/>
        <w:rPr>
          <w:rFonts w:ascii="Garamond" w:hAnsi="Garamond"/>
          <w:color w:val="222222"/>
          <w:szCs w:val="28"/>
          <w:u w:color="000000"/>
          <w:bdr w:val="nil"/>
          <w:shd w:val="clear" w:color="auto" w:fill="FFFFFF"/>
          <w:lang w:val="en-US"/>
        </w:rPr>
      </w:pPr>
      <w:r w:rsidRPr="0059237E">
        <w:rPr>
          <w:rFonts w:ascii="Garamond" w:eastAsia="Arial Unicode MS" w:hAnsi="Garamond" w:cs="Arial Unicode MS"/>
          <w:szCs w:val="28"/>
          <w:u w:color="000000"/>
          <w:bdr w:val="nil"/>
          <w:lang w:val="en-US"/>
        </w:rPr>
        <w:t>DuPont analysis is an approach which is used to analyze return on equity (ROE). It uses simple algebra to breakdown ROE into a function of different ratios so that the impact of _________, ____</w:t>
      </w:r>
      <w:r w:rsidRPr="0059237E">
        <w:rPr>
          <w:rFonts w:ascii="Garamond" w:eastAsia="Arial Unicode MS" w:hAnsi="Garamond" w:cs="Arial Unicode MS"/>
          <w:color w:val="222222"/>
          <w:szCs w:val="28"/>
          <w:u w:color="000000"/>
          <w:bdr w:val="nil"/>
          <w:shd w:val="clear" w:color="auto" w:fill="FFFFFF"/>
          <w:lang w:val="en-US"/>
        </w:rPr>
        <w:t>_______ and ___________________________ can be studied.</w:t>
      </w:r>
    </w:p>
    <w:p w14:paraId="34863EB1" w14:textId="77777777" w:rsidR="002819A0" w:rsidRDefault="002819A0" w:rsidP="0059237E">
      <w:pPr>
        <w:pStyle w:val="eng3"/>
        <w:rPr>
          <w:rFonts w:eastAsia="Arial Unicode MS"/>
          <w:u w:color="000000"/>
          <w:bdr w:val="nil"/>
        </w:rPr>
      </w:pPr>
    </w:p>
    <w:p w14:paraId="1D1FD86E" w14:textId="77777777" w:rsidR="003C51B1" w:rsidRPr="0059237E" w:rsidRDefault="003C51B1" w:rsidP="0059237E">
      <w:pPr>
        <w:pStyle w:val="eng3"/>
        <w:rPr>
          <w:rFonts w:eastAsia="Times New Roman Bold" w:cs="Times New Roman Bold"/>
          <w:u w:color="000000"/>
          <w:bdr w:val="nil"/>
        </w:rPr>
      </w:pPr>
      <w:r w:rsidRPr="0059237E">
        <w:rPr>
          <w:rFonts w:eastAsia="Arial Unicode MS"/>
          <w:u w:color="000000"/>
          <w:bdr w:val="nil"/>
        </w:rPr>
        <w:t>True/False/Uncertain questions</w:t>
      </w:r>
    </w:p>
    <w:p w14:paraId="69BEBC6A" w14:textId="77777777" w:rsidR="0059237E" w:rsidRPr="0059237E" w:rsidRDefault="0059237E" w:rsidP="0059237E">
      <w:pPr>
        <w:spacing w:line="240" w:lineRule="atLeast"/>
        <w:ind w:left="284" w:firstLine="360"/>
        <w:jc w:val="both"/>
        <w:rPr>
          <w:sz w:val="28"/>
          <w:szCs w:val="28"/>
          <w:lang w:val="en-US"/>
        </w:rPr>
      </w:pPr>
      <w:r w:rsidRPr="0059237E">
        <w:rPr>
          <w:sz w:val="28"/>
          <w:szCs w:val="28"/>
          <w:lang w:val="en-US"/>
        </w:rPr>
        <w:lastRenderedPageBreak/>
        <w:t xml:space="preserve">Decide whether the following statements are True, False, or Uncertain. Explain your reasoning. Your score will be based not just on whether you get the True, False, </w:t>
      </w:r>
      <w:r w:rsidR="008638D3">
        <w:rPr>
          <w:sz w:val="28"/>
          <w:szCs w:val="28"/>
          <w:lang w:val="en-US"/>
        </w:rPr>
        <w:t xml:space="preserve">or </w:t>
      </w:r>
      <w:r w:rsidRPr="0059237E">
        <w:rPr>
          <w:sz w:val="28"/>
          <w:szCs w:val="28"/>
          <w:lang w:val="en-US"/>
        </w:rPr>
        <w:t>Uncertain part right but also</w:t>
      </w:r>
      <w:r w:rsidR="008638D3">
        <w:rPr>
          <w:sz w:val="28"/>
          <w:szCs w:val="28"/>
          <w:lang w:val="en-US"/>
        </w:rPr>
        <w:t>,</w:t>
      </w:r>
      <w:r w:rsidRPr="0059237E">
        <w:rPr>
          <w:sz w:val="28"/>
          <w:szCs w:val="28"/>
          <w:lang w:val="en-US"/>
        </w:rPr>
        <w:t xml:space="preserve"> </w:t>
      </w:r>
      <w:r w:rsidR="008638D3">
        <w:rPr>
          <w:sz w:val="28"/>
          <w:szCs w:val="28"/>
          <w:lang w:val="en-US"/>
        </w:rPr>
        <w:t xml:space="preserve">to a larger extent, </w:t>
      </w:r>
      <w:r w:rsidRPr="0059237E">
        <w:rPr>
          <w:sz w:val="28"/>
          <w:szCs w:val="28"/>
          <w:lang w:val="en-US"/>
        </w:rPr>
        <w:t>on the quality of your explanation.</w:t>
      </w:r>
    </w:p>
    <w:p w14:paraId="554F2126" w14:textId="77777777" w:rsidR="003C51B1" w:rsidRPr="0059237E" w:rsidRDefault="003C51B1" w:rsidP="0059237E">
      <w:pPr>
        <w:pBdr>
          <w:top w:val="nil"/>
          <w:left w:val="nil"/>
          <w:bottom w:val="nil"/>
          <w:right w:val="nil"/>
          <w:between w:val="nil"/>
          <w:bar w:val="nil"/>
        </w:pBdr>
        <w:jc w:val="both"/>
        <w:rPr>
          <w:rFonts w:eastAsia="Times New Roman Bold" w:cs="Times New Roman Bold"/>
          <w:sz w:val="28"/>
          <w:szCs w:val="28"/>
          <w:u w:color="000000"/>
          <w:bdr w:val="nil"/>
          <w:lang w:val="en-US"/>
        </w:rPr>
      </w:pPr>
    </w:p>
    <w:p w14:paraId="57B78532" w14:textId="77777777" w:rsidR="003C51B1" w:rsidRPr="0059237E" w:rsidRDefault="003C51B1" w:rsidP="006F749C">
      <w:pPr>
        <w:pStyle w:val="ListParagraph"/>
        <w:numPr>
          <w:ilvl w:val="0"/>
          <w:numId w:val="190"/>
        </w:numPr>
        <w:pBdr>
          <w:top w:val="nil"/>
          <w:left w:val="nil"/>
          <w:bottom w:val="nil"/>
          <w:right w:val="nil"/>
          <w:between w:val="nil"/>
          <w:bar w:val="nil"/>
        </w:pBdr>
        <w:spacing w:after="0" w:line="240" w:lineRule="atLeast"/>
        <w:ind w:left="284"/>
        <w:jc w:val="both"/>
        <w:rPr>
          <w:rFonts w:ascii="Garamond" w:hAnsi="Garamond"/>
          <w:szCs w:val="28"/>
          <w:u w:color="000000"/>
          <w:bdr w:val="nil"/>
          <w:lang w:val="en-US"/>
        </w:rPr>
      </w:pPr>
      <w:r w:rsidRPr="0059237E">
        <w:rPr>
          <w:rFonts w:ascii="Garamond" w:hAnsi="Garamond"/>
          <w:szCs w:val="28"/>
          <w:u w:color="000000"/>
          <w:bdr w:val="nil"/>
          <w:lang w:val="en-US"/>
        </w:rPr>
        <w:t>Financial statements are an important source of information only to shareholders and debtholders.</w:t>
      </w:r>
    </w:p>
    <w:p w14:paraId="367DB990" w14:textId="77777777" w:rsidR="003C51B1" w:rsidRPr="0059237E" w:rsidRDefault="003C51B1" w:rsidP="0059237E">
      <w:pPr>
        <w:pBdr>
          <w:top w:val="nil"/>
          <w:left w:val="nil"/>
          <w:bottom w:val="nil"/>
          <w:right w:val="nil"/>
          <w:between w:val="nil"/>
          <w:bar w:val="nil"/>
        </w:pBdr>
        <w:spacing w:line="240" w:lineRule="atLeast"/>
        <w:ind w:left="284"/>
        <w:jc w:val="both"/>
        <w:rPr>
          <w:sz w:val="28"/>
          <w:szCs w:val="28"/>
          <w:u w:color="000000"/>
          <w:bdr w:val="nil"/>
          <w:lang w:val="en-US"/>
        </w:rPr>
      </w:pPr>
    </w:p>
    <w:p w14:paraId="1044A075" w14:textId="77777777" w:rsidR="003C51B1" w:rsidRPr="0059237E" w:rsidRDefault="003C51B1" w:rsidP="006F749C">
      <w:pPr>
        <w:pStyle w:val="ListParagraph"/>
        <w:numPr>
          <w:ilvl w:val="0"/>
          <w:numId w:val="190"/>
        </w:numPr>
        <w:pBdr>
          <w:top w:val="nil"/>
          <w:left w:val="nil"/>
          <w:bottom w:val="nil"/>
          <w:right w:val="nil"/>
          <w:between w:val="nil"/>
          <w:bar w:val="nil"/>
        </w:pBdr>
        <w:spacing w:after="0" w:line="240" w:lineRule="atLeast"/>
        <w:ind w:left="284"/>
        <w:jc w:val="both"/>
        <w:rPr>
          <w:rFonts w:ascii="Garamond" w:hAnsi="Garamond"/>
          <w:szCs w:val="28"/>
          <w:u w:color="000000"/>
          <w:bdr w:val="nil"/>
          <w:lang w:val="en-US"/>
        </w:rPr>
      </w:pPr>
      <w:r w:rsidRPr="0059237E">
        <w:rPr>
          <w:rFonts w:ascii="Garamond" w:hAnsi="Garamond"/>
          <w:szCs w:val="28"/>
          <w:u w:color="000000"/>
          <w:bdr w:val="nil"/>
          <w:lang w:val="en-US"/>
        </w:rPr>
        <w:t xml:space="preserve">To create a common size financial statement analysis divide all items on the balance sheet by </w:t>
      </w:r>
      <w:r w:rsidR="0059237E" w:rsidRPr="0059237E">
        <w:rPr>
          <w:rFonts w:ascii="Garamond" w:hAnsi="Garamond"/>
          <w:szCs w:val="28"/>
          <w:u w:color="000000"/>
          <w:bdr w:val="nil"/>
          <w:lang w:val="en-US"/>
        </w:rPr>
        <w:t>owners’</w:t>
      </w:r>
      <w:r w:rsidRPr="0059237E">
        <w:rPr>
          <w:rFonts w:ascii="Garamond" w:hAnsi="Garamond"/>
          <w:szCs w:val="28"/>
          <w:u w:color="000000"/>
          <w:bdr w:val="nil"/>
          <w:lang w:val="en-US"/>
        </w:rPr>
        <w:t xml:space="preserve"> equity.</w:t>
      </w:r>
    </w:p>
    <w:p w14:paraId="33CC657F" w14:textId="77777777" w:rsidR="003C51B1" w:rsidRPr="0059237E" w:rsidRDefault="003C51B1" w:rsidP="0059237E">
      <w:pPr>
        <w:pBdr>
          <w:top w:val="nil"/>
          <w:left w:val="nil"/>
          <w:bottom w:val="nil"/>
          <w:right w:val="nil"/>
          <w:between w:val="nil"/>
          <w:bar w:val="nil"/>
        </w:pBdr>
        <w:spacing w:line="240" w:lineRule="atLeast"/>
        <w:ind w:left="284"/>
        <w:jc w:val="both"/>
        <w:rPr>
          <w:sz w:val="28"/>
          <w:szCs w:val="28"/>
          <w:u w:color="000000"/>
          <w:bdr w:val="nil"/>
          <w:lang w:val="en-US"/>
        </w:rPr>
      </w:pPr>
    </w:p>
    <w:p w14:paraId="435E8D6E" w14:textId="77777777" w:rsidR="003C51B1" w:rsidRPr="0059237E" w:rsidRDefault="003C51B1" w:rsidP="006F749C">
      <w:pPr>
        <w:pStyle w:val="ListParagraph"/>
        <w:numPr>
          <w:ilvl w:val="0"/>
          <w:numId w:val="190"/>
        </w:numPr>
        <w:pBdr>
          <w:top w:val="nil"/>
          <w:left w:val="nil"/>
          <w:bottom w:val="nil"/>
          <w:right w:val="nil"/>
          <w:between w:val="nil"/>
          <w:bar w:val="nil"/>
        </w:pBdr>
        <w:spacing w:after="0" w:line="240" w:lineRule="atLeast"/>
        <w:ind w:left="284"/>
        <w:jc w:val="both"/>
        <w:rPr>
          <w:rFonts w:ascii="Garamond" w:hAnsi="Garamond"/>
          <w:szCs w:val="28"/>
          <w:u w:color="000000"/>
          <w:bdr w:val="nil"/>
          <w:lang w:val="en-US"/>
        </w:rPr>
      </w:pPr>
      <w:r w:rsidRPr="0059237E">
        <w:rPr>
          <w:rFonts w:ascii="Garamond" w:hAnsi="Garamond"/>
          <w:szCs w:val="28"/>
          <w:u w:color="000000"/>
          <w:bdr w:val="nil"/>
          <w:lang w:val="en-US"/>
        </w:rPr>
        <w:t>Purchase of treasury stock would likely increase earnings per share (EPS) of a company.</w:t>
      </w:r>
    </w:p>
    <w:p w14:paraId="1D649C11" w14:textId="77777777" w:rsidR="003C51B1" w:rsidRPr="0059237E" w:rsidRDefault="003C51B1" w:rsidP="00436300">
      <w:pPr>
        <w:pBdr>
          <w:top w:val="nil"/>
          <w:left w:val="nil"/>
          <w:bottom w:val="nil"/>
          <w:right w:val="nil"/>
          <w:between w:val="nil"/>
          <w:bar w:val="nil"/>
        </w:pBdr>
        <w:spacing w:line="240" w:lineRule="atLeast"/>
        <w:ind w:left="284"/>
        <w:jc w:val="both"/>
        <w:rPr>
          <w:sz w:val="28"/>
          <w:szCs w:val="28"/>
          <w:u w:color="000000"/>
          <w:bdr w:val="nil"/>
          <w:lang w:val="en-US"/>
        </w:rPr>
      </w:pPr>
    </w:p>
    <w:p w14:paraId="37C3E941" w14:textId="77777777" w:rsidR="003C51B1" w:rsidRPr="0059237E" w:rsidRDefault="003C51B1" w:rsidP="006F749C">
      <w:pPr>
        <w:pStyle w:val="ListParagraph"/>
        <w:numPr>
          <w:ilvl w:val="0"/>
          <w:numId w:val="190"/>
        </w:numPr>
        <w:pBdr>
          <w:top w:val="nil"/>
          <w:left w:val="nil"/>
          <w:bottom w:val="nil"/>
          <w:right w:val="nil"/>
          <w:between w:val="nil"/>
          <w:bar w:val="nil"/>
        </w:pBdr>
        <w:spacing w:after="0" w:line="240" w:lineRule="atLeast"/>
        <w:ind w:left="284"/>
        <w:jc w:val="both"/>
        <w:rPr>
          <w:rFonts w:ascii="Garamond" w:hAnsi="Garamond"/>
          <w:szCs w:val="28"/>
          <w:u w:color="000000"/>
          <w:bdr w:val="nil"/>
          <w:lang w:val="en-US"/>
        </w:rPr>
      </w:pPr>
      <w:r w:rsidRPr="0059237E">
        <w:rPr>
          <w:rFonts w:ascii="Garamond" w:hAnsi="Garamond"/>
          <w:szCs w:val="28"/>
          <w:u w:color="000000"/>
          <w:bdr w:val="nil"/>
          <w:lang w:val="en-US"/>
        </w:rPr>
        <w:t>Dream team Industries has a debt to equity ratio of 1.9 compared with the industry average of 1.6. This means that the company has less liquidity than other companies in the industry.</w:t>
      </w:r>
    </w:p>
    <w:p w14:paraId="71D83B7A" w14:textId="77777777" w:rsidR="003C51B1" w:rsidRPr="0059237E" w:rsidRDefault="003C51B1" w:rsidP="00436300">
      <w:pPr>
        <w:pBdr>
          <w:top w:val="nil"/>
          <w:left w:val="nil"/>
          <w:bottom w:val="nil"/>
          <w:right w:val="nil"/>
          <w:between w:val="nil"/>
          <w:bar w:val="nil"/>
        </w:pBdr>
        <w:spacing w:line="240" w:lineRule="atLeast"/>
        <w:ind w:left="284"/>
        <w:jc w:val="both"/>
        <w:rPr>
          <w:sz w:val="28"/>
          <w:szCs w:val="28"/>
          <w:u w:color="000000"/>
          <w:bdr w:val="nil"/>
          <w:lang w:val="en-US"/>
        </w:rPr>
      </w:pPr>
    </w:p>
    <w:p w14:paraId="0F6EA17F" w14:textId="77777777" w:rsidR="003C51B1" w:rsidRPr="0059237E" w:rsidRDefault="003C51B1" w:rsidP="006F749C">
      <w:pPr>
        <w:pStyle w:val="ListParagraph"/>
        <w:numPr>
          <w:ilvl w:val="0"/>
          <w:numId w:val="190"/>
        </w:numPr>
        <w:pBdr>
          <w:top w:val="nil"/>
          <w:left w:val="nil"/>
          <w:bottom w:val="nil"/>
          <w:right w:val="nil"/>
          <w:between w:val="nil"/>
          <w:bar w:val="nil"/>
        </w:pBdr>
        <w:spacing w:after="0" w:line="240" w:lineRule="atLeast"/>
        <w:ind w:left="284"/>
        <w:jc w:val="both"/>
        <w:rPr>
          <w:rFonts w:ascii="Garamond" w:hAnsi="Garamond"/>
          <w:szCs w:val="28"/>
          <w:u w:color="000000"/>
          <w:bdr w:val="nil"/>
          <w:lang w:val="en-US"/>
        </w:rPr>
      </w:pPr>
      <w:r w:rsidRPr="0059237E">
        <w:rPr>
          <w:rFonts w:ascii="Garamond" w:hAnsi="Garamond"/>
          <w:szCs w:val="28"/>
          <w:u w:color="000000"/>
          <w:bdr w:val="nil"/>
          <w:lang w:val="en-US"/>
        </w:rPr>
        <w:t>A company can improve (lower) its debt to total assets ratio by selling common stock.</w:t>
      </w:r>
    </w:p>
    <w:p w14:paraId="22364773" w14:textId="77777777" w:rsidR="003C51B1" w:rsidRPr="0059237E" w:rsidRDefault="003C51B1" w:rsidP="00436300">
      <w:pPr>
        <w:pStyle w:val="end2"/>
        <w:spacing w:line="240" w:lineRule="atLeast"/>
        <w:rPr>
          <w:rFonts w:eastAsia="Times New Roman Bold" w:cs="Times New Roman Bold"/>
          <w:u w:color="000000"/>
          <w:bdr w:val="nil"/>
          <w:shd w:val="clear" w:color="auto" w:fill="FFFFFF"/>
        </w:rPr>
      </w:pPr>
      <w:r w:rsidRPr="0059237E">
        <w:rPr>
          <w:rFonts w:eastAsia="Arial Unicode MS"/>
          <w:u w:color="000000"/>
          <w:bdr w:val="nil"/>
          <w:shd w:val="clear" w:color="auto" w:fill="FFFFFF"/>
        </w:rPr>
        <w:t>Computation problems</w:t>
      </w:r>
    </w:p>
    <w:p w14:paraId="175FD71A" w14:textId="77777777" w:rsidR="003C51B1" w:rsidRDefault="003C51B1" w:rsidP="006F749C">
      <w:pPr>
        <w:pStyle w:val="ListParagraph"/>
        <w:numPr>
          <w:ilvl w:val="0"/>
          <w:numId w:val="191"/>
        </w:numPr>
        <w:pBdr>
          <w:top w:val="nil"/>
          <w:left w:val="nil"/>
          <w:bottom w:val="nil"/>
          <w:right w:val="nil"/>
          <w:between w:val="nil"/>
          <w:bar w:val="nil"/>
        </w:pBdr>
        <w:spacing w:after="0" w:line="240" w:lineRule="atLeast"/>
        <w:ind w:left="426" w:hanging="426"/>
        <w:jc w:val="both"/>
        <w:rPr>
          <w:rFonts w:ascii="Garamond" w:hAnsi="Garamond"/>
          <w:szCs w:val="28"/>
          <w:u w:color="000000"/>
          <w:bdr w:val="nil"/>
          <w:lang w:val="en-US"/>
        </w:rPr>
      </w:pPr>
      <w:r w:rsidRPr="0059237E">
        <w:rPr>
          <w:rFonts w:ascii="Garamond" w:hAnsi="Garamond"/>
          <w:szCs w:val="28"/>
          <w:u w:color="000000"/>
          <w:bdr w:val="nil"/>
          <w:lang w:val="en-US"/>
        </w:rPr>
        <w:t xml:space="preserve">Without referring to the summary, indicate for each of the following ratios the formula for </w:t>
      </w:r>
      <w:r w:rsidR="008638D3">
        <w:rPr>
          <w:rFonts w:ascii="Garamond" w:hAnsi="Garamond"/>
          <w:szCs w:val="28"/>
          <w:u w:color="000000"/>
          <w:bdr w:val="nil"/>
          <w:lang w:val="en-US"/>
        </w:rPr>
        <w:t>its calculation</w:t>
      </w:r>
      <w:r w:rsidRPr="0059237E">
        <w:rPr>
          <w:rFonts w:ascii="Garamond" w:hAnsi="Garamond"/>
          <w:szCs w:val="28"/>
          <w:u w:color="000000"/>
          <w:bdr w:val="nil"/>
          <w:lang w:val="en-US"/>
        </w:rPr>
        <w:t>. Also, indicate the kind of problems, if any, the company is likely to have if th</w:t>
      </w:r>
      <w:r w:rsidR="008638D3">
        <w:rPr>
          <w:rFonts w:ascii="Garamond" w:hAnsi="Garamond"/>
          <w:szCs w:val="28"/>
          <w:u w:color="000000"/>
          <w:bdr w:val="nil"/>
          <w:lang w:val="en-US"/>
        </w:rPr>
        <w:t>e particular ratio is too high/</w:t>
      </w:r>
      <w:r w:rsidRPr="0059237E">
        <w:rPr>
          <w:rFonts w:ascii="Garamond" w:hAnsi="Garamond"/>
          <w:szCs w:val="28"/>
          <w:u w:color="000000"/>
          <w:bdr w:val="nil"/>
          <w:lang w:val="en-US"/>
        </w:rPr>
        <w:t xml:space="preserve">too low relative to the industry average. Fill in the empty blocks of the following </w:t>
      </w:r>
      <w:r w:rsidR="0059237E">
        <w:rPr>
          <w:rFonts w:ascii="Garamond" w:hAnsi="Garamond"/>
          <w:szCs w:val="28"/>
          <w:u w:color="000000"/>
          <w:bdr w:val="nil"/>
          <w:lang w:val="en-US"/>
        </w:rPr>
        <w:t>box</w:t>
      </w:r>
      <w:r w:rsidR="004A4663">
        <w:rPr>
          <w:rFonts w:ascii="Garamond" w:hAnsi="Garamond"/>
          <w:szCs w:val="28"/>
          <w:u w:color="000000"/>
          <w:bdr w:val="nil"/>
          <w:lang w:val="en-US"/>
        </w:rPr>
        <w:t>:</w:t>
      </w:r>
    </w:p>
    <w:p w14:paraId="52CBCF7E" w14:textId="77777777" w:rsidR="0059237E" w:rsidRPr="0059237E" w:rsidRDefault="0059237E" w:rsidP="00436300">
      <w:pPr>
        <w:pStyle w:val="ListParagraph"/>
        <w:pBdr>
          <w:top w:val="nil"/>
          <w:left w:val="nil"/>
          <w:bottom w:val="nil"/>
          <w:right w:val="nil"/>
          <w:between w:val="nil"/>
          <w:bar w:val="nil"/>
        </w:pBdr>
        <w:spacing w:after="0" w:line="240" w:lineRule="atLeast"/>
        <w:ind w:left="426"/>
        <w:rPr>
          <w:rFonts w:ascii="Garamond" w:hAnsi="Garamond"/>
          <w:szCs w:val="28"/>
          <w:u w:color="000000"/>
          <w:bdr w:val="nil"/>
          <w:lang w:val="en-US"/>
        </w:rPr>
      </w:pPr>
    </w:p>
    <w:tbl>
      <w:tblPr>
        <w:tblW w:w="4783" w:type="pct"/>
        <w:tblInd w:w="41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3263"/>
        <w:gridCol w:w="2019"/>
        <w:gridCol w:w="1994"/>
        <w:gridCol w:w="1771"/>
      </w:tblGrid>
      <w:tr w:rsidR="003C51B1" w:rsidRPr="0059237E" w14:paraId="53C16DF3" w14:textId="77777777" w:rsidTr="00252DD6">
        <w:trPr>
          <w:trHeight w:val="310"/>
        </w:trPr>
        <w:tc>
          <w:tcPr>
            <w:tcW w:w="1803"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6FE406D0" w14:textId="77777777" w:rsidR="003C51B1" w:rsidRPr="00436300" w:rsidRDefault="003C51B1" w:rsidP="00436300">
            <w:pPr>
              <w:widowControl w:val="0"/>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Ratio</w:t>
            </w:r>
          </w:p>
        </w:tc>
        <w:tc>
          <w:tcPr>
            <w:tcW w:w="1116"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19E644F0" w14:textId="77777777" w:rsidR="003C51B1" w:rsidRPr="00436300" w:rsidRDefault="003C51B1" w:rsidP="00436300">
            <w:pPr>
              <w:widowControl w:val="0"/>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Formula</w:t>
            </w:r>
          </w:p>
        </w:tc>
        <w:tc>
          <w:tcPr>
            <w:tcW w:w="1102"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31EF69E7" w14:textId="77777777" w:rsidR="003C51B1" w:rsidRPr="00436300" w:rsidRDefault="003C51B1" w:rsidP="00436300">
            <w:pPr>
              <w:widowControl w:val="0"/>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Too high</w:t>
            </w:r>
          </w:p>
        </w:tc>
        <w:tc>
          <w:tcPr>
            <w:tcW w:w="979"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48BE9E08" w14:textId="77777777" w:rsidR="003C51B1" w:rsidRPr="00436300" w:rsidRDefault="003C51B1" w:rsidP="00436300">
            <w:pPr>
              <w:widowControl w:val="0"/>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Too low</w:t>
            </w:r>
          </w:p>
        </w:tc>
      </w:tr>
      <w:tr w:rsidR="003C51B1" w:rsidRPr="0059237E" w14:paraId="5AF8B9D1" w14:textId="77777777" w:rsidTr="00252DD6">
        <w:trPr>
          <w:trHeight w:val="310"/>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EA3E356"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Current ratio</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0552ED6"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EF2A45A"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D97FE04"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347867C9" w14:textId="77777777" w:rsidTr="00252DD6">
        <w:trPr>
          <w:trHeight w:val="310"/>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2FD6304"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Absolute liquid ratio</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DCC4CFF"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1B2A37C"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D36A582"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7F19C202" w14:textId="77777777" w:rsidTr="00252DD6">
        <w:trPr>
          <w:trHeight w:val="310"/>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A3251BB"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de-DE"/>
              </w:rPr>
              <w:t>Debt ratio</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7761FE4"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9B24712"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75D3DD3"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59B06C1F" w14:textId="77777777" w:rsidTr="00252DD6">
        <w:trPr>
          <w:trHeight w:val="610"/>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A34B852"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en-US"/>
              </w:rPr>
            </w:pPr>
            <w:r w:rsidRPr="0059237E">
              <w:rPr>
                <w:rFonts w:eastAsia="Arial Unicode MS" w:cs="Arial Unicode MS"/>
                <w:sz w:val="28"/>
                <w:szCs w:val="28"/>
                <w:u w:color="000000"/>
                <w:bdr w:val="nil"/>
                <w:shd w:val="clear" w:color="auto" w:fill="FFFFFF"/>
                <w:lang w:val="en-US"/>
              </w:rPr>
              <w:t>Working capital to stockholder’s ratio</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38FE359"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211CB0F"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FA7F6B6"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04B44918" w14:textId="77777777" w:rsidTr="00252DD6">
        <w:trPr>
          <w:trHeight w:val="268"/>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030D074"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en-US"/>
              </w:rPr>
            </w:pPr>
            <w:r w:rsidRPr="0059237E">
              <w:rPr>
                <w:rFonts w:eastAsia="Arial Unicode MS" w:cs="Arial Unicode MS"/>
                <w:sz w:val="28"/>
                <w:szCs w:val="28"/>
                <w:u w:color="000000"/>
                <w:bdr w:val="nil"/>
                <w:shd w:val="clear" w:color="auto" w:fill="FFFFFF"/>
                <w:lang w:val="en-US"/>
              </w:rPr>
              <w:t>Return to assets ratio (ROA)</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BB9E142"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5038921"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3B07CE5"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2851C3DD" w14:textId="77777777" w:rsidTr="00252DD6">
        <w:trPr>
          <w:trHeight w:val="310"/>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364C06A"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Operating ratio</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B3659CF"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F200FA0"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C043428"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26E13FAD" w14:textId="77777777" w:rsidTr="00252DD6">
        <w:trPr>
          <w:trHeight w:val="310"/>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3D3CD40"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Inventory turnover ratio</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F75F388"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B0C75BB"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80D7228"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55D4C252" w14:textId="77777777" w:rsidTr="00252DD6">
        <w:trPr>
          <w:trHeight w:val="310"/>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A548CD7"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Equity turnover ratio</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8ABE867"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5FF7828"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4B16DF8"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6F372C94" w14:textId="77777777" w:rsidTr="00252DD6">
        <w:trPr>
          <w:trHeight w:val="189"/>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E2FADF6" w14:textId="77777777" w:rsidR="003C51B1" w:rsidRPr="0059237E" w:rsidRDefault="008638D3"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en-US"/>
              </w:rPr>
            </w:pPr>
            <w:r>
              <w:rPr>
                <w:rFonts w:eastAsia="Arial Unicode MS" w:cs="Arial Unicode MS"/>
                <w:sz w:val="28"/>
                <w:szCs w:val="28"/>
                <w:u w:color="000000"/>
                <w:bdr w:val="nil"/>
                <w:shd w:val="clear" w:color="auto" w:fill="FFFFFF"/>
                <w:lang w:val="en-US"/>
              </w:rPr>
              <w:t>Price to earnings (P/</w:t>
            </w:r>
            <w:r w:rsidR="003C51B1" w:rsidRPr="0059237E">
              <w:rPr>
                <w:rFonts w:eastAsia="Arial Unicode MS" w:cs="Arial Unicode MS"/>
                <w:sz w:val="28"/>
                <w:szCs w:val="28"/>
                <w:u w:color="000000"/>
                <w:bdr w:val="nil"/>
                <w:shd w:val="clear" w:color="auto" w:fill="FFFFFF"/>
                <w:lang w:val="en-US"/>
              </w:rPr>
              <w:t>E) ratio</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6319EF7"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8AC5974"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6F063F3"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51CD03EE" w14:textId="77777777" w:rsidTr="00252DD6">
        <w:trPr>
          <w:trHeight w:val="310"/>
        </w:trPr>
        <w:tc>
          <w:tcPr>
            <w:tcW w:w="180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2B618A9"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Dividend payout ratio</w:t>
            </w:r>
          </w:p>
        </w:tc>
        <w:tc>
          <w:tcPr>
            <w:tcW w:w="1116"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EDCDEA5"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10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A560BD9"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97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2116E9A"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bl>
    <w:p w14:paraId="411C9036" w14:textId="77777777" w:rsidR="00436300" w:rsidRDefault="00436300" w:rsidP="00436300">
      <w:pPr>
        <w:pStyle w:val="ListParagraph"/>
        <w:pBdr>
          <w:top w:val="nil"/>
          <w:left w:val="nil"/>
          <w:bottom w:val="nil"/>
          <w:right w:val="nil"/>
          <w:between w:val="nil"/>
          <w:bar w:val="nil"/>
        </w:pBdr>
        <w:spacing w:after="0" w:line="240" w:lineRule="atLeast"/>
        <w:ind w:left="426"/>
        <w:jc w:val="both"/>
        <w:rPr>
          <w:rFonts w:ascii="Garamond" w:hAnsi="Garamond"/>
          <w:szCs w:val="28"/>
          <w:u w:color="000000"/>
          <w:bdr w:val="nil"/>
          <w:lang w:val="en-US"/>
        </w:rPr>
      </w:pPr>
    </w:p>
    <w:p w14:paraId="7FD53DC8" w14:textId="77777777" w:rsidR="003C51B1" w:rsidRDefault="003C51B1" w:rsidP="006F749C">
      <w:pPr>
        <w:pStyle w:val="ListParagraph"/>
        <w:numPr>
          <w:ilvl w:val="0"/>
          <w:numId w:val="191"/>
        </w:numPr>
        <w:pBdr>
          <w:top w:val="nil"/>
          <w:left w:val="nil"/>
          <w:bottom w:val="nil"/>
          <w:right w:val="nil"/>
          <w:between w:val="nil"/>
          <w:bar w:val="nil"/>
        </w:pBdr>
        <w:spacing w:after="0" w:line="240" w:lineRule="atLeast"/>
        <w:ind w:left="426" w:hanging="426"/>
        <w:jc w:val="both"/>
        <w:rPr>
          <w:rFonts w:ascii="Garamond" w:hAnsi="Garamond"/>
          <w:szCs w:val="28"/>
          <w:u w:color="000000"/>
          <w:bdr w:val="nil"/>
          <w:lang w:val="en-US"/>
        </w:rPr>
      </w:pPr>
      <w:r w:rsidRPr="00436300">
        <w:rPr>
          <w:rFonts w:ascii="Garamond" w:hAnsi="Garamond"/>
          <w:szCs w:val="28"/>
          <w:u w:color="000000"/>
          <w:bdr w:val="nil"/>
          <w:lang w:val="en-US"/>
        </w:rPr>
        <w:t>Compute the current ratio from the followin</w:t>
      </w:r>
      <w:r w:rsidR="004A4663">
        <w:rPr>
          <w:rFonts w:ascii="Garamond" w:hAnsi="Garamond"/>
          <w:szCs w:val="28"/>
          <w:u w:color="000000"/>
          <w:bdr w:val="nil"/>
          <w:lang w:val="en-US"/>
        </w:rPr>
        <w:t>g balance sheet of Smootach Ltd.:</w:t>
      </w:r>
    </w:p>
    <w:p w14:paraId="32B01D84" w14:textId="77777777" w:rsidR="00252DD6" w:rsidRDefault="00252DD6" w:rsidP="00252DD6">
      <w:pPr>
        <w:pStyle w:val="ListParagraph"/>
        <w:pBdr>
          <w:top w:val="nil"/>
          <w:left w:val="nil"/>
          <w:bottom w:val="nil"/>
          <w:right w:val="nil"/>
          <w:between w:val="nil"/>
          <w:bar w:val="nil"/>
        </w:pBdr>
        <w:spacing w:after="0" w:line="240" w:lineRule="atLeast"/>
        <w:ind w:left="426"/>
        <w:jc w:val="both"/>
        <w:rPr>
          <w:rFonts w:ascii="Garamond" w:hAnsi="Garamond"/>
          <w:szCs w:val="28"/>
          <w:u w:color="000000"/>
          <w:bdr w:val="nil"/>
          <w:lang w:val="en-US"/>
        </w:rPr>
      </w:pPr>
    </w:p>
    <w:tbl>
      <w:tblPr>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394"/>
        <w:gridCol w:w="1346"/>
        <w:gridCol w:w="2835"/>
        <w:gridCol w:w="1445"/>
      </w:tblGrid>
      <w:tr w:rsidR="003C51B1" w:rsidRPr="0059237E" w14:paraId="22468C79" w14:textId="77777777" w:rsidTr="00436300">
        <w:trPr>
          <w:trHeight w:val="310"/>
        </w:trPr>
        <w:tc>
          <w:tcPr>
            <w:tcW w:w="3394"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29690E2C" w14:textId="77777777" w:rsidR="003C51B1" w:rsidRPr="00436300" w:rsidRDefault="003C51B1" w:rsidP="00436300">
            <w:pPr>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Liabilities</w:t>
            </w:r>
          </w:p>
        </w:tc>
        <w:tc>
          <w:tcPr>
            <w:tcW w:w="1346"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3E5170D2" w14:textId="77777777" w:rsidR="003C51B1" w:rsidRPr="00436300" w:rsidRDefault="003C51B1" w:rsidP="00436300">
            <w:pPr>
              <w:widowControl w:val="0"/>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UAH</w:t>
            </w:r>
          </w:p>
        </w:tc>
        <w:tc>
          <w:tcPr>
            <w:tcW w:w="283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55620307" w14:textId="77777777" w:rsidR="003C51B1" w:rsidRPr="00436300" w:rsidRDefault="003C51B1" w:rsidP="00436300">
            <w:pPr>
              <w:widowControl w:val="0"/>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Assets</w:t>
            </w:r>
          </w:p>
        </w:tc>
        <w:tc>
          <w:tcPr>
            <w:tcW w:w="144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2C1AFC1C" w14:textId="77777777" w:rsidR="003C51B1" w:rsidRPr="00436300" w:rsidRDefault="003C51B1" w:rsidP="00436300">
            <w:pPr>
              <w:widowControl w:val="0"/>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UAH</w:t>
            </w:r>
          </w:p>
        </w:tc>
      </w:tr>
      <w:tr w:rsidR="003C51B1" w:rsidRPr="0059237E" w14:paraId="77DEB293" w14:textId="77777777" w:rsidTr="00436300">
        <w:trPr>
          <w:trHeight w:val="292"/>
        </w:trPr>
        <w:tc>
          <w:tcPr>
            <w:tcW w:w="3394"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787D0AE"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en-US"/>
              </w:rPr>
            </w:pPr>
            <w:r w:rsidRPr="0059237E">
              <w:rPr>
                <w:rFonts w:eastAsia="Arial Unicode MS" w:cs="Arial Unicode MS"/>
                <w:sz w:val="28"/>
                <w:szCs w:val="28"/>
                <w:u w:color="000000"/>
                <w:bdr w:val="nil"/>
                <w:shd w:val="clear" w:color="auto" w:fill="FFFFFF"/>
                <w:lang w:val="en-US"/>
              </w:rPr>
              <w:t>Share capital (fully paid up)</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05D6B12"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3,000,000</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AE14C6F"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Land and building</w:t>
            </w:r>
          </w:p>
        </w:tc>
        <w:tc>
          <w:tcPr>
            <w:tcW w:w="144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03E0F53"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2,000,000</w:t>
            </w:r>
          </w:p>
        </w:tc>
      </w:tr>
      <w:tr w:rsidR="003C51B1" w:rsidRPr="0059237E" w14:paraId="0FC5705D" w14:textId="77777777" w:rsidTr="00436300">
        <w:trPr>
          <w:trHeight w:val="240"/>
        </w:trPr>
        <w:tc>
          <w:tcPr>
            <w:tcW w:w="3394"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5759FEC"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General reserve</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C84F793"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600,000</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41AB040"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Plant and machinery</w:t>
            </w:r>
          </w:p>
        </w:tc>
        <w:tc>
          <w:tcPr>
            <w:tcW w:w="144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EE845AA"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1,600,000</w:t>
            </w:r>
          </w:p>
        </w:tc>
      </w:tr>
      <w:tr w:rsidR="003C51B1" w:rsidRPr="0059237E" w14:paraId="0CAF7AF7" w14:textId="77777777" w:rsidTr="00436300">
        <w:trPr>
          <w:trHeight w:val="310"/>
        </w:trPr>
        <w:tc>
          <w:tcPr>
            <w:tcW w:w="3394"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4745EF4"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Profit and loss account</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F6B6ED7"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500,000</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787EA6B"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Inventory</w:t>
            </w:r>
          </w:p>
        </w:tc>
        <w:tc>
          <w:tcPr>
            <w:tcW w:w="144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439138B"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300,000</w:t>
            </w:r>
          </w:p>
        </w:tc>
      </w:tr>
      <w:tr w:rsidR="003C51B1" w:rsidRPr="0059237E" w14:paraId="576C5E8E" w14:textId="77777777" w:rsidTr="00436300">
        <w:trPr>
          <w:trHeight w:val="277"/>
        </w:trPr>
        <w:tc>
          <w:tcPr>
            <w:tcW w:w="3394"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30D0370"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Accounts payable</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549B1E2"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400,000</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73A0EE8"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Accounts receivables</w:t>
            </w:r>
          </w:p>
        </w:tc>
        <w:tc>
          <w:tcPr>
            <w:tcW w:w="144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95AB205"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300,000</w:t>
            </w:r>
          </w:p>
        </w:tc>
      </w:tr>
      <w:tr w:rsidR="003C51B1" w:rsidRPr="0059237E" w14:paraId="79DDCAF2" w14:textId="77777777" w:rsidTr="00436300">
        <w:trPr>
          <w:trHeight w:val="381"/>
        </w:trPr>
        <w:tc>
          <w:tcPr>
            <w:tcW w:w="3394"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3744746"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EDF3287"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3A246AC"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Cash and bank balances</w:t>
            </w:r>
          </w:p>
        </w:tc>
        <w:tc>
          <w:tcPr>
            <w:tcW w:w="144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37E2852"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300,000</w:t>
            </w:r>
          </w:p>
        </w:tc>
      </w:tr>
      <w:tr w:rsidR="003C51B1" w:rsidRPr="0059237E" w14:paraId="390553F3" w14:textId="77777777" w:rsidTr="00436300">
        <w:trPr>
          <w:trHeight w:val="310"/>
        </w:trPr>
        <w:tc>
          <w:tcPr>
            <w:tcW w:w="3394"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CBF9B1A" w14:textId="77777777" w:rsidR="003C51B1" w:rsidRPr="00436300" w:rsidRDefault="003C51B1" w:rsidP="00436300">
            <w:pPr>
              <w:pBdr>
                <w:top w:val="nil"/>
                <w:left w:val="nil"/>
                <w:bottom w:val="nil"/>
                <w:right w:val="nil"/>
                <w:between w:val="nil"/>
                <w:bar w:val="nil"/>
              </w:pBdr>
              <w:spacing w:line="240" w:lineRule="atLeast"/>
              <w:rPr>
                <w:rFonts w:eastAsia="Arial Unicode MS"/>
                <w:b/>
                <w:sz w:val="28"/>
                <w:szCs w:val="28"/>
                <w:bdr w:val="nil"/>
                <w:lang w:val="en-US" w:eastAsia="en-US"/>
              </w:rPr>
            </w:pP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DAE1194" w14:textId="77777777" w:rsidR="003C51B1" w:rsidRPr="00436300"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u w:color="000000"/>
                <w:bdr w:val="nil"/>
                <w:lang w:val="fr-FR"/>
              </w:rPr>
            </w:pPr>
            <w:r w:rsidRPr="00436300">
              <w:rPr>
                <w:rFonts w:eastAsia="Arial Unicode MS" w:cs="Arial Unicode MS"/>
                <w:b/>
                <w:sz w:val="28"/>
                <w:szCs w:val="28"/>
                <w:u w:color="000000"/>
                <w:bdr w:val="nil"/>
                <w:shd w:val="clear" w:color="auto" w:fill="FFFFFF"/>
                <w:lang w:val="fr-FR"/>
              </w:rPr>
              <w:t>4,500,000</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9E55280" w14:textId="77777777" w:rsidR="003C51B1" w:rsidRPr="00436300" w:rsidRDefault="003C51B1" w:rsidP="00436300">
            <w:pPr>
              <w:pBdr>
                <w:top w:val="nil"/>
                <w:left w:val="nil"/>
                <w:bottom w:val="nil"/>
                <w:right w:val="nil"/>
                <w:between w:val="nil"/>
                <w:bar w:val="nil"/>
              </w:pBdr>
              <w:spacing w:line="240" w:lineRule="atLeast"/>
              <w:rPr>
                <w:rFonts w:eastAsia="Arial Unicode MS"/>
                <w:b/>
                <w:sz w:val="28"/>
                <w:szCs w:val="28"/>
                <w:bdr w:val="nil"/>
                <w:lang w:val="en-US" w:eastAsia="en-US"/>
              </w:rPr>
            </w:pPr>
          </w:p>
        </w:tc>
        <w:tc>
          <w:tcPr>
            <w:tcW w:w="144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D9ADC60" w14:textId="77777777" w:rsidR="003C51B1" w:rsidRPr="00436300"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u w:color="000000"/>
                <w:bdr w:val="nil"/>
                <w:lang w:val="fr-FR"/>
              </w:rPr>
            </w:pPr>
            <w:r w:rsidRPr="00436300">
              <w:rPr>
                <w:rFonts w:eastAsia="Arial Unicode MS" w:cs="Arial Unicode MS"/>
                <w:b/>
                <w:sz w:val="28"/>
                <w:szCs w:val="28"/>
                <w:u w:color="000000"/>
                <w:bdr w:val="nil"/>
                <w:shd w:val="clear" w:color="auto" w:fill="FFFFFF"/>
                <w:lang w:val="fr-FR"/>
              </w:rPr>
              <w:t>4,500,000</w:t>
            </w:r>
          </w:p>
        </w:tc>
      </w:tr>
    </w:tbl>
    <w:p w14:paraId="1C725B89" w14:textId="77777777" w:rsidR="003C51B1" w:rsidRPr="0059237E" w:rsidRDefault="003C51B1" w:rsidP="00436300">
      <w:pPr>
        <w:pBdr>
          <w:top w:val="nil"/>
          <w:left w:val="nil"/>
          <w:bottom w:val="nil"/>
          <w:right w:val="nil"/>
          <w:between w:val="nil"/>
          <w:bar w:val="nil"/>
        </w:pBdr>
        <w:spacing w:line="240" w:lineRule="atLeast"/>
        <w:rPr>
          <w:sz w:val="28"/>
          <w:szCs w:val="28"/>
          <w:u w:color="000000"/>
          <w:bdr w:val="nil"/>
          <w:lang w:val="fr-FR"/>
        </w:rPr>
      </w:pPr>
    </w:p>
    <w:p w14:paraId="6A2E4A78" w14:textId="77777777" w:rsidR="003C51B1" w:rsidRDefault="003C51B1" w:rsidP="006F749C">
      <w:pPr>
        <w:pStyle w:val="ListParagraph"/>
        <w:numPr>
          <w:ilvl w:val="0"/>
          <w:numId w:val="191"/>
        </w:numPr>
        <w:pBdr>
          <w:top w:val="nil"/>
          <w:left w:val="nil"/>
          <w:bottom w:val="nil"/>
          <w:right w:val="nil"/>
          <w:between w:val="nil"/>
          <w:bar w:val="nil"/>
        </w:pBdr>
        <w:spacing w:after="0" w:line="240" w:lineRule="atLeast"/>
        <w:ind w:left="426" w:hanging="426"/>
        <w:jc w:val="both"/>
        <w:rPr>
          <w:rFonts w:ascii="Garamond" w:hAnsi="Garamond"/>
          <w:szCs w:val="28"/>
          <w:u w:color="000000"/>
          <w:bdr w:val="nil"/>
          <w:lang w:val="en-US"/>
        </w:rPr>
      </w:pPr>
      <w:r w:rsidRPr="00436300">
        <w:rPr>
          <w:rFonts w:ascii="Garamond" w:hAnsi="Garamond"/>
          <w:szCs w:val="28"/>
          <w:u w:color="000000"/>
          <w:bdr w:val="nil"/>
          <w:lang w:val="en-US"/>
        </w:rPr>
        <w:t xml:space="preserve">The following data has been extracted from the financial statements of two companies </w:t>
      </w:r>
      <w:r w:rsidR="00680EED">
        <w:rPr>
          <w:rFonts w:ascii="Garamond" w:hAnsi="Garamond"/>
          <w:szCs w:val="28"/>
          <w:u w:color="000000"/>
          <w:bdr w:val="nil"/>
          <w:lang w:val="en-US"/>
        </w:rPr>
        <w:t>–</w:t>
      </w:r>
      <w:r w:rsidRPr="00436300">
        <w:rPr>
          <w:rFonts w:ascii="Garamond" w:hAnsi="Garamond"/>
          <w:szCs w:val="28"/>
          <w:u w:color="000000"/>
          <w:bdr w:val="nil"/>
          <w:lang w:val="en-US"/>
        </w:rPr>
        <w:t xml:space="preserve"> Activity Ltd. and Alias Ltd.</w:t>
      </w:r>
      <w:r w:rsidR="004A4663">
        <w:rPr>
          <w:rFonts w:ascii="Garamond" w:hAnsi="Garamond"/>
          <w:szCs w:val="28"/>
          <w:u w:color="000000"/>
          <w:bdr w:val="nil"/>
          <w:lang w:val="en-US"/>
        </w:rPr>
        <w:t>:</w:t>
      </w:r>
    </w:p>
    <w:p w14:paraId="0CEBC42D" w14:textId="77777777" w:rsidR="00252DD6" w:rsidRPr="00436300" w:rsidRDefault="00252DD6" w:rsidP="00252DD6">
      <w:pPr>
        <w:pStyle w:val="ListParagraph"/>
        <w:pBdr>
          <w:top w:val="nil"/>
          <w:left w:val="nil"/>
          <w:bottom w:val="nil"/>
          <w:right w:val="nil"/>
          <w:between w:val="nil"/>
          <w:bar w:val="nil"/>
        </w:pBdr>
        <w:spacing w:after="0" w:line="240" w:lineRule="atLeast"/>
        <w:ind w:left="426"/>
        <w:jc w:val="both"/>
        <w:rPr>
          <w:rFonts w:ascii="Garamond" w:hAnsi="Garamond"/>
          <w:szCs w:val="28"/>
          <w:u w:color="000000"/>
          <w:bdr w:val="nil"/>
          <w:lang w:val="en-US"/>
        </w:rPr>
      </w:pPr>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4679"/>
        <w:gridCol w:w="2438"/>
        <w:gridCol w:w="2340"/>
      </w:tblGrid>
      <w:tr w:rsidR="003C51B1" w:rsidRPr="0059237E" w14:paraId="77C1BE0C" w14:textId="77777777" w:rsidTr="00436300">
        <w:trPr>
          <w:trHeight w:val="310"/>
        </w:trPr>
        <w:tc>
          <w:tcPr>
            <w:tcW w:w="247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4BD19903" w14:textId="77777777" w:rsidR="003C51B1" w:rsidRPr="00436300" w:rsidRDefault="003C51B1" w:rsidP="00436300">
            <w:pPr>
              <w:pBdr>
                <w:top w:val="nil"/>
                <w:left w:val="nil"/>
                <w:bottom w:val="nil"/>
                <w:right w:val="nil"/>
                <w:between w:val="nil"/>
                <w:bar w:val="nil"/>
              </w:pBdr>
              <w:spacing w:line="240" w:lineRule="atLeast"/>
              <w:jc w:val="center"/>
              <w:rPr>
                <w:rFonts w:eastAsia="Calibri"/>
                <w:sz w:val="28"/>
                <w:szCs w:val="28"/>
                <w:u w:color="000000"/>
                <w:bdr w:val="nil"/>
                <w:lang w:val="en-US" w:eastAsia="en-US"/>
              </w:rPr>
            </w:pPr>
          </w:p>
        </w:tc>
        <w:tc>
          <w:tcPr>
            <w:tcW w:w="1289"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42E7D770" w14:textId="77777777" w:rsidR="003C51B1" w:rsidRPr="00436300" w:rsidRDefault="003C51B1" w:rsidP="00436300">
            <w:pPr>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Activity Ltd.</w:t>
            </w:r>
          </w:p>
        </w:tc>
        <w:tc>
          <w:tcPr>
            <w:tcW w:w="1237"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5340CB3D" w14:textId="77777777" w:rsidR="003C51B1" w:rsidRPr="00436300" w:rsidRDefault="003C51B1" w:rsidP="00436300">
            <w:pPr>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Alias Ltd.</w:t>
            </w:r>
          </w:p>
        </w:tc>
      </w:tr>
      <w:tr w:rsidR="003C51B1" w:rsidRPr="0059237E" w14:paraId="555662DD" w14:textId="77777777" w:rsidTr="00436300">
        <w:trPr>
          <w:trHeight w:val="310"/>
        </w:trPr>
        <w:tc>
          <w:tcPr>
            <w:tcW w:w="2474"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EA4B8DC"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Cash and bank balances</w:t>
            </w:r>
          </w:p>
        </w:tc>
        <w:tc>
          <w:tcPr>
            <w:tcW w:w="128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054BC57"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8,000</w:t>
            </w:r>
          </w:p>
        </w:tc>
        <w:tc>
          <w:tcPr>
            <w:tcW w:w="1237"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DCA4F6F"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93,000</w:t>
            </w:r>
          </w:p>
        </w:tc>
      </w:tr>
      <w:tr w:rsidR="003C51B1" w:rsidRPr="0059237E" w14:paraId="43BB82CC" w14:textId="77777777" w:rsidTr="00436300">
        <w:trPr>
          <w:trHeight w:val="310"/>
        </w:trPr>
        <w:tc>
          <w:tcPr>
            <w:tcW w:w="2474"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E1B96C4"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Accounts receivables</w:t>
            </w:r>
          </w:p>
        </w:tc>
        <w:tc>
          <w:tcPr>
            <w:tcW w:w="128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373DF48"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15,000</w:t>
            </w:r>
          </w:p>
        </w:tc>
        <w:tc>
          <w:tcPr>
            <w:tcW w:w="1237"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F498D37"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120,000</w:t>
            </w:r>
          </w:p>
        </w:tc>
      </w:tr>
      <w:tr w:rsidR="003C51B1" w:rsidRPr="0059237E" w14:paraId="4216EB43" w14:textId="77777777" w:rsidTr="00436300">
        <w:trPr>
          <w:trHeight w:val="310"/>
        </w:trPr>
        <w:tc>
          <w:tcPr>
            <w:tcW w:w="2474"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B95A3B4"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Inventory</w:t>
            </w:r>
          </w:p>
        </w:tc>
        <w:tc>
          <w:tcPr>
            <w:tcW w:w="128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6B5F0D5"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330,000</w:t>
            </w:r>
          </w:p>
        </w:tc>
        <w:tc>
          <w:tcPr>
            <w:tcW w:w="1237"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CE4D6F3"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140,000</w:t>
            </w:r>
          </w:p>
        </w:tc>
      </w:tr>
      <w:tr w:rsidR="003C51B1" w:rsidRPr="0059237E" w14:paraId="141683B9" w14:textId="77777777" w:rsidTr="00436300">
        <w:trPr>
          <w:trHeight w:val="310"/>
        </w:trPr>
        <w:tc>
          <w:tcPr>
            <w:tcW w:w="2474"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44C5205"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Prepaid expenses</w:t>
            </w:r>
          </w:p>
        </w:tc>
        <w:tc>
          <w:tcPr>
            <w:tcW w:w="128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EF333C6"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30,000</w:t>
            </w:r>
          </w:p>
        </w:tc>
        <w:tc>
          <w:tcPr>
            <w:tcW w:w="1237"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3162857"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30,000</w:t>
            </w:r>
          </w:p>
        </w:tc>
      </w:tr>
      <w:tr w:rsidR="003C51B1" w:rsidRPr="0059237E" w14:paraId="46AD7853" w14:textId="77777777" w:rsidTr="00436300">
        <w:trPr>
          <w:trHeight w:val="310"/>
        </w:trPr>
        <w:tc>
          <w:tcPr>
            <w:tcW w:w="2474"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EC81C2F"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Plant and machinery</w:t>
            </w:r>
          </w:p>
        </w:tc>
        <w:tc>
          <w:tcPr>
            <w:tcW w:w="128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DEE17F5"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900,000</w:t>
            </w:r>
          </w:p>
        </w:tc>
        <w:tc>
          <w:tcPr>
            <w:tcW w:w="1237"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219E686"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1,600,000</w:t>
            </w:r>
          </w:p>
        </w:tc>
      </w:tr>
      <w:tr w:rsidR="003C51B1" w:rsidRPr="0059237E" w14:paraId="79015D9D" w14:textId="77777777" w:rsidTr="00436300">
        <w:trPr>
          <w:trHeight w:val="310"/>
        </w:trPr>
        <w:tc>
          <w:tcPr>
            <w:tcW w:w="2474"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7EDD33C"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Land and building</w:t>
            </w:r>
          </w:p>
        </w:tc>
        <w:tc>
          <w:tcPr>
            <w:tcW w:w="128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9CD586C"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2,000,000</w:t>
            </w:r>
          </w:p>
        </w:tc>
        <w:tc>
          <w:tcPr>
            <w:tcW w:w="1237"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5C606D7"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2,000,000</w:t>
            </w:r>
          </w:p>
        </w:tc>
      </w:tr>
      <w:tr w:rsidR="003C51B1" w:rsidRPr="0059237E" w14:paraId="53210764" w14:textId="77777777" w:rsidTr="00436300">
        <w:trPr>
          <w:trHeight w:val="310"/>
        </w:trPr>
        <w:tc>
          <w:tcPr>
            <w:tcW w:w="2474"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471455F"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Current liabilities</w:t>
            </w:r>
          </w:p>
        </w:tc>
        <w:tc>
          <w:tcPr>
            <w:tcW w:w="1289"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87F3896"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190,000</w:t>
            </w:r>
          </w:p>
        </w:tc>
        <w:tc>
          <w:tcPr>
            <w:tcW w:w="1237"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3AA9B9F"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190,000</w:t>
            </w:r>
          </w:p>
        </w:tc>
      </w:tr>
    </w:tbl>
    <w:p w14:paraId="35255EFF" w14:textId="77777777" w:rsidR="003C51B1" w:rsidRPr="0059237E" w:rsidRDefault="003C51B1" w:rsidP="00436300">
      <w:pPr>
        <w:pBdr>
          <w:top w:val="nil"/>
          <w:left w:val="nil"/>
          <w:bottom w:val="nil"/>
          <w:right w:val="nil"/>
          <w:between w:val="nil"/>
          <w:bar w:val="nil"/>
        </w:pBdr>
        <w:spacing w:line="240" w:lineRule="atLeast"/>
        <w:rPr>
          <w:sz w:val="28"/>
          <w:szCs w:val="28"/>
          <w:u w:color="000000"/>
          <w:bdr w:val="nil"/>
          <w:shd w:val="clear" w:color="auto" w:fill="FFFFFF"/>
          <w:lang w:val="fr-FR"/>
        </w:rPr>
      </w:pPr>
    </w:p>
    <w:p w14:paraId="75BA240A" w14:textId="77777777" w:rsidR="003C51B1" w:rsidRPr="0059237E" w:rsidRDefault="003C51B1" w:rsidP="00436300">
      <w:pPr>
        <w:pBdr>
          <w:top w:val="nil"/>
          <w:left w:val="nil"/>
          <w:bottom w:val="nil"/>
          <w:right w:val="nil"/>
          <w:between w:val="nil"/>
          <w:bar w:val="nil"/>
        </w:pBdr>
        <w:spacing w:line="240" w:lineRule="atLeast"/>
        <w:rPr>
          <w:sz w:val="28"/>
          <w:szCs w:val="28"/>
          <w:u w:color="000000"/>
          <w:bdr w:val="nil"/>
          <w:shd w:val="clear" w:color="auto" w:fill="FFFFFF"/>
          <w:lang w:val="en-US"/>
        </w:rPr>
      </w:pPr>
      <w:r w:rsidRPr="0059237E">
        <w:rPr>
          <w:rFonts w:eastAsia="Arial Unicode MS" w:cs="Arial Unicode MS"/>
          <w:sz w:val="28"/>
          <w:szCs w:val="28"/>
          <w:u w:color="000000"/>
          <w:bdr w:val="nil"/>
          <w:shd w:val="clear" w:color="auto" w:fill="FFFFFF"/>
          <w:lang w:val="en-US"/>
        </w:rPr>
        <w:t>Compute the current ratio for both companies. Do both compa</w:t>
      </w:r>
      <w:r w:rsidR="00680EED">
        <w:rPr>
          <w:rFonts w:eastAsia="Arial Unicode MS" w:cs="Arial Unicode MS"/>
          <w:sz w:val="28"/>
          <w:szCs w:val="28"/>
          <w:u w:color="000000"/>
          <w:bdr w:val="nil"/>
          <w:shd w:val="clear" w:color="auto" w:fill="FFFFFF"/>
          <w:lang w:val="en-US"/>
        </w:rPr>
        <w:t>nies have equal ability to pay their</w:t>
      </w:r>
      <w:r w:rsidRPr="0059237E">
        <w:rPr>
          <w:rFonts w:eastAsia="Arial Unicode MS" w:cs="Arial Unicode MS"/>
          <w:sz w:val="28"/>
          <w:szCs w:val="28"/>
          <w:u w:color="000000"/>
          <w:bdr w:val="nil"/>
          <w:shd w:val="clear" w:color="auto" w:fill="FFFFFF"/>
          <w:lang w:val="en-US"/>
        </w:rPr>
        <w:t xml:space="preserve"> short-term obligations?</w:t>
      </w:r>
    </w:p>
    <w:p w14:paraId="010597CF" w14:textId="77777777" w:rsidR="003C51B1" w:rsidRPr="0059237E" w:rsidRDefault="003C51B1" w:rsidP="00436300">
      <w:pPr>
        <w:pBdr>
          <w:top w:val="nil"/>
          <w:left w:val="nil"/>
          <w:bottom w:val="nil"/>
          <w:right w:val="nil"/>
          <w:between w:val="nil"/>
          <w:bar w:val="nil"/>
        </w:pBdr>
        <w:spacing w:line="240" w:lineRule="atLeast"/>
        <w:rPr>
          <w:sz w:val="28"/>
          <w:szCs w:val="28"/>
          <w:u w:color="000000"/>
          <w:bdr w:val="nil"/>
          <w:shd w:val="clear" w:color="auto" w:fill="FFFFFF"/>
          <w:lang w:val="en-US"/>
        </w:rPr>
      </w:pPr>
    </w:p>
    <w:p w14:paraId="4E9DA38F" w14:textId="77777777" w:rsidR="00252DD6" w:rsidRDefault="003C51B1" w:rsidP="006F749C">
      <w:pPr>
        <w:pStyle w:val="ListParagraph"/>
        <w:numPr>
          <w:ilvl w:val="0"/>
          <w:numId w:val="191"/>
        </w:numPr>
        <w:pBdr>
          <w:top w:val="nil"/>
          <w:left w:val="nil"/>
          <w:bottom w:val="nil"/>
          <w:right w:val="nil"/>
          <w:between w:val="nil"/>
          <w:bar w:val="nil"/>
        </w:pBdr>
        <w:spacing w:after="0" w:line="240" w:lineRule="atLeast"/>
        <w:ind w:left="426" w:hanging="426"/>
        <w:jc w:val="both"/>
        <w:rPr>
          <w:rFonts w:ascii="Garamond" w:hAnsi="Garamond"/>
          <w:szCs w:val="28"/>
          <w:u w:color="000000"/>
          <w:bdr w:val="nil"/>
          <w:lang w:val="en-US"/>
        </w:rPr>
      </w:pPr>
      <w:r w:rsidRPr="00436300">
        <w:rPr>
          <w:rFonts w:ascii="Garamond" w:hAnsi="Garamond"/>
          <w:szCs w:val="28"/>
          <w:u w:color="000000"/>
          <w:bdr w:val="nil"/>
          <w:lang w:val="en-US"/>
        </w:rPr>
        <w:t>Calculate and analyze return on assets and equity ratios for the Cris Company and Kloris Ltd. based on the information given below:</w:t>
      </w:r>
    </w:p>
    <w:p w14:paraId="10988A1B" w14:textId="77777777" w:rsidR="003C51B1" w:rsidRPr="00436300" w:rsidRDefault="003C51B1" w:rsidP="00252DD6">
      <w:pPr>
        <w:pStyle w:val="ListParagraph"/>
        <w:pBdr>
          <w:top w:val="nil"/>
          <w:left w:val="nil"/>
          <w:bottom w:val="nil"/>
          <w:right w:val="nil"/>
          <w:between w:val="nil"/>
          <w:bar w:val="nil"/>
        </w:pBdr>
        <w:spacing w:after="0" w:line="240" w:lineRule="atLeast"/>
        <w:ind w:left="426"/>
        <w:jc w:val="both"/>
        <w:rPr>
          <w:rFonts w:ascii="Garamond" w:hAnsi="Garamond"/>
          <w:szCs w:val="28"/>
          <w:u w:color="000000"/>
          <w:bdr w:val="nil"/>
          <w:lang w:val="en-US"/>
        </w:rPr>
      </w:pPr>
    </w:p>
    <w:tbl>
      <w:tblPr>
        <w:tblW w:w="901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763"/>
        <w:gridCol w:w="2302"/>
        <w:gridCol w:w="1755"/>
        <w:gridCol w:w="1680"/>
        <w:gridCol w:w="1515"/>
      </w:tblGrid>
      <w:tr w:rsidR="00436300" w:rsidRPr="0059237E" w14:paraId="5963DC57" w14:textId="77777777" w:rsidTr="00DC7FC5">
        <w:trPr>
          <w:trHeight w:val="310"/>
        </w:trPr>
        <w:tc>
          <w:tcPr>
            <w:tcW w:w="4065" w:type="dxa"/>
            <w:gridSpan w:val="2"/>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46F6F4FE" w14:textId="77777777" w:rsidR="00436300" w:rsidRPr="00436300" w:rsidRDefault="00436300" w:rsidP="00436300">
            <w:pPr>
              <w:pBdr>
                <w:top w:val="nil"/>
                <w:left w:val="nil"/>
                <w:bottom w:val="nil"/>
                <w:right w:val="nil"/>
                <w:between w:val="nil"/>
                <w:bar w:val="nil"/>
              </w:pBdr>
              <w:spacing w:line="240" w:lineRule="atLeast"/>
              <w:jc w:val="center"/>
              <w:rPr>
                <w:rFonts w:eastAsia="Calibri"/>
                <w:sz w:val="28"/>
                <w:szCs w:val="28"/>
                <w:u w:color="000000"/>
                <w:bdr w:val="nil"/>
                <w:lang w:val="en-US" w:eastAsia="en-US"/>
              </w:rPr>
            </w:pPr>
          </w:p>
        </w:tc>
        <w:tc>
          <w:tcPr>
            <w:tcW w:w="175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0B217D2F" w14:textId="77777777" w:rsidR="00436300" w:rsidRPr="00436300" w:rsidRDefault="00436300" w:rsidP="00436300">
            <w:pPr>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2015</w:t>
            </w:r>
          </w:p>
        </w:tc>
        <w:tc>
          <w:tcPr>
            <w:tcW w:w="1680"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1ECC1D70" w14:textId="77777777" w:rsidR="00436300" w:rsidRPr="00436300" w:rsidRDefault="00436300" w:rsidP="00436300">
            <w:pPr>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2014</w:t>
            </w:r>
          </w:p>
        </w:tc>
        <w:tc>
          <w:tcPr>
            <w:tcW w:w="15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17920F5B" w14:textId="77777777" w:rsidR="00436300" w:rsidRPr="00436300" w:rsidRDefault="00436300" w:rsidP="00436300">
            <w:pPr>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2013</w:t>
            </w:r>
          </w:p>
        </w:tc>
      </w:tr>
      <w:tr w:rsidR="00436300" w:rsidRPr="0059237E" w14:paraId="07D66D66" w14:textId="77777777" w:rsidTr="00436300">
        <w:trPr>
          <w:trHeight w:val="310"/>
        </w:trPr>
        <w:tc>
          <w:tcPr>
            <w:tcW w:w="1763" w:type="dxa"/>
            <w:vMerge w:val="restart"/>
            <w:tcBorders>
              <w:top w:val="single" w:sz="8" w:space="0" w:color="000000"/>
              <w:left w:val="single" w:sz="8" w:space="0" w:color="000000"/>
              <w:right w:val="single" w:sz="8" w:space="0" w:color="000000"/>
            </w:tcBorders>
            <w:shd w:val="clear" w:color="auto" w:fill="auto"/>
            <w:tcMar>
              <w:top w:w="0" w:type="dxa"/>
              <w:left w:w="28" w:type="dxa"/>
              <w:bottom w:w="0" w:type="dxa"/>
              <w:right w:w="28" w:type="dxa"/>
            </w:tcMar>
          </w:tcPr>
          <w:p w14:paraId="6708DDFB" w14:textId="77777777" w:rsidR="00436300" w:rsidRPr="0059237E" w:rsidRDefault="00436300" w:rsidP="00436300">
            <w:pPr>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Cris Company</w:t>
            </w:r>
          </w:p>
        </w:tc>
        <w:tc>
          <w:tcPr>
            <w:tcW w:w="23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A38C0FF" w14:textId="77777777" w:rsidR="00436300" w:rsidRPr="0059237E" w:rsidRDefault="00436300" w:rsidP="00436300">
            <w:pPr>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it-IT"/>
              </w:rPr>
              <w:t>Net income</w:t>
            </w:r>
          </w:p>
        </w:tc>
        <w:tc>
          <w:tcPr>
            <w:tcW w:w="175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E50D62B"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532,569</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E35202B"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530,986</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71FBE5B"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527,603</w:t>
            </w:r>
          </w:p>
        </w:tc>
      </w:tr>
      <w:tr w:rsidR="00436300" w:rsidRPr="0059237E" w14:paraId="075B4462" w14:textId="77777777" w:rsidTr="00436300">
        <w:trPr>
          <w:trHeight w:val="310"/>
        </w:trPr>
        <w:tc>
          <w:tcPr>
            <w:tcW w:w="1763" w:type="dxa"/>
            <w:vMerge/>
            <w:tcBorders>
              <w:left w:val="single" w:sz="8" w:space="0" w:color="000000"/>
              <w:right w:val="single" w:sz="8" w:space="0" w:color="000000"/>
            </w:tcBorders>
            <w:shd w:val="clear" w:color="auto" w:fill="auto"/>
            <w:tcMar>
              <w:top w:w="0" w:type="dxa"/>
              <w:left w:w="28" w:type="dxa"/>
              <w:bottom w:w="0" w:type="dxa"/>
              <w:right w:w="28" w:type="dxa"/>
            </w:tcMar>
          </w:tcPr>
          <w:p w14:paraId="482F8858" w14:textId="77777777" w:rsidR="00436300" w:rsidRPr="0059237E" w:rsidRDefault="00436300"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23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28E6AD6" w14:textId="77777777" w:rsidR="00436300" w:rsidRPr="0059237E" w:rsidRDefault="00436300" w:rsidP="00436300">
            <w:pPr>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Shareholders’ equity</w:t>
            </w:r>
          </w:p>
        </w:tc>
        <w:tc>
          <w:tcPr>
            <w:tcW w:w="175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CA58FE7"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35,703,966</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68E4392"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33,703,966</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AC309C9"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30,703,966</w:t>
            </w:r>
          </w:p>
        </w:tc>
      </w:tr>
      <w:tr w:rsidR="00436300" w:rsidRPr="0059237E" w14:paraId="4D58202B" w14:textId="77777777" w:rsidTr="00436300">
        <w:trPr>
          <w:trHeight w:val="310"/>
        </w:trPr>
        <w:tc>
          <w:tcPr>
            <w:tcW w:w="1763" w:type="dxa"/>
            <w:vMerge/>
            <w:tcBorders>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35B0757" w14:textId="77777777" w:rsidR="00436300" w:rsidRPr="0059237E" w:rsidRDefault="00436300"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23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6358718" w14:textId="77777777" w:rsidR="00436300" w:rsidRPr="0059237E" w:rsidRDefault="00436300" w:rsidP="00436300">
            <w:pPr>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Assets</w:t>
            </w:r>
          </w:p>
        </w:tc>
        <w:tc>
          <w:tcPr>
            <w:tcW w:w="175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E8C928A"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52,872,000</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1DE8468"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50,600,300</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08A868A"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49,008,006</w:t>
            </w:r>
          </w:p>
        </w:tc>
      </w:tr>
      <w:tr w:rsidR="00436300" w:rsidRPr="0059237E" w14:paraId="61579A81" w14:textId="77777777" w:rsidTr="00436300">
        <w:trPr>
          <w:trHeight w:val="310"/>
        </w:trPr>
        <w:tc>
          <w:tcPr>
            <w:tcW w:w="1763" w:type="dxa"/>
            <w:vMerge w:val="restart"/>
            <w:tcBorders>
              <w:top w:val="single" w:sz="8" w:space="0" w:color="000000"/>
              <w:left w:val="single" w:sz="8" w:space="0" w:color="000000"/>
              <w:right w:val="single" w:sz="8" w:space="0" w:color="000000"/>
            </w:tcBorders>
            <w:shd w:val="clear" w:color="auto" w:fill="auto"/>
            <w:tcMar>
              <w:top w:w="0" w:type="dxa"/>
              <w:left w:w="28" w:type="dxa"/>
              <w:bottom w:w="0" w:type="dxa"/>
              <w:right w:w="28" w:type="dxa"/>
            </w:tcMar>
          </w:tcPr>
          <w:p w14:paraId="48D6E8C3" w14:textId="77777777" w:rsidR="00436300" w:rsidRPr="0059237E" w:rsidRDefault="00436300" w:rsidP="00436300">
            <w:pPr>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Kloris Ltd.</w:t>
            </w:r>
          </w:p>
        </w:tc>
        <w:tc>
          <w:tcPr>
            <w:tcW w:w="23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7AC6431" w14:textId="77777777" w:rsidR="00436300" w:rsidRPr="0059237E" w:rsidRDefault="00436300" w:rsidP="00436300">
            <w:pPr>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it-IT"/>
              </w:rPr>
              <w:t>Net income</w:t>
            </w:r>
          </w:p>
        </w:tc>
        <w:tc>
          <w:tcPr>
            <w:tcW w:w="175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B8CA676"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700,000</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DDABDAE"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650,000</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BAB9A9F"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600,000</w:t>
            </w:r>
          </w:p>
        </w:tc>
      </w:tr>
      <w:tr w:rsidR="00436300" w:rsidRPr="0059237E" w14:paraId="53DA03FC" w14:textId="77777777" w:rsidTr="00436300">
        <w:trPr>
          <w:trHeight w:val="310"/>
        </w:trPr>
        <w:tc>
          <w:tcPr>
            <w:tcW w:w="1763" w:type="dxa"/>
            <w:vMerge/>
            <w:tcBorders>
              <w:left w:val="single" w:sz="8" w:space="0" w:color="000000"/>
              <w:right w:val="single" w:sz="8" w:space="0" w:color="000000"/>
            </w:tcBorders>
            <w:shd w:val="clear" w:color="auto" w:fill="auto"/>
            <w:tcMar>
              <w:top w:w="0" w:type="dxa"/>
              <w:left w:w="28" w:type="dxa"/>
              <w:bottom w:w="0" w:type="dxa"/>
              <w:right w:w="28" w:type="dxa"/>
            </w:tcMar>
          </w:tcPr>
          <w:p w14:paraId="78CF3168" w14:textId="77777777" w:rsidR="00436300" w:rsidRPr="0059237E" w:rsidRDefault="00436300"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23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FA76E39" w14:textId="77777777" w:rsidR="00436300" w:rsidRPr="0059237E" w:rsidRDefault="00436300" w:rsidP="00436300">
            <w:pPr>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en-US"/>
              </w:rPr>
              <w:t>Shareholders’ equity</w:t>
            </w:r>
          </w:p>
        </w:tc>
        <w:tc>
          <w:tcPr>
            <w:tcW w:w="175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53C5BE6"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28,000,000</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79E3C34"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28,000,000</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C7872D5"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28,000,000</w:t>
            </w:r>
          </w:p>
        </w:tc>
      </w:tr>
      <w:tr w:rsidR="00436300" w:rsidRPr="0059237E" w14:paraId="60D20B97" w14:textId="77777777" w:rsidTr="00436300">
        <w:trPr>
          <w:trHeight w:val="310"/>
        </w:trPr>
        <w:tc>
          <w:tcPr>
            <w:tcW w:w="1763" w:type="dxa"/>
            <w:vMerge/>
            <w:tcBorders>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DD7B3A2" w14:textId="77777777" w:rsidR="00436300" w:rsidRPr="0059237E" w:rsidRDefault="00436300"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230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7134CEF" w14:textId="77777777" w:rsidR="00436300" w:rsidRPr="0059237E" w:rsidRDefault="00436300" w:rsidP="00436300">
            <w:pPr>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Assets</w:t>
            </w:r>
          </w:p>
        </w:tc>
        <w:tc>
          <w:tcPr>
            <w:tcW w:w="175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A7B22B4"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50,000,000</w:t>
            </w:r>
          </w:p>
        </w:tc>
        <w:tc>
          <w:tcPr>
            <w:tcW w:w="168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0EEF782"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40,000,000</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A99FED5" w14:textId="77777777" w:rsidR="00436300" w:rsidRPr="0059237E" w:rsidRDefault="00436300" w:rsidP="00436300">
            <w:pPr>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30,000,000</w:t>
            </w:r>
          </w:p>
        </w:tc>
      </w:tr>
    </w:tbl>
    <w:p w14:paraId="7513945E" w14:textId="77777777" w:rsidR="003C51B1" w:rsidRPr="0059237E" w:rsidRDefault="003C51B1" w:rsidP="00436300">
      <w:pPr>
        <w:pBdr>
          <w:top w:val="nil"/>
          <w:left w:val="nil"/>
          <w:bottom w:val="nil"/>
          <w:right w:val="nil"/>
          <w:between w:val="nil"/>
          <w:bar w:val="nil"/>
        </w:pBdr>
        <w:spacing w:line="240" w:lineRule="atLeast"/>
        <w:rPr>
          <w:sz w:val="28"/>
          <w:szCs w:val="28"/>
          <w:u w:color="000000"/>
          <w:bdr w:val="nil"/>
          <w:shd w:val="clear" w:color="auto" w:fill="FFFFFF"/>
          <w:lang w:val="fr-FR"/>
        </w:rPr>
      </w:pPr>
    </w:p>
    <w:p w14:paraId="0B2FC54D" w14:textId="77777777" w:rsidR="003C51B1" w:rsidRPr="0059237E" w:rsidRDefault="003C51B1" w:rsidP="00436300">
      <w:pPr>
        <w:pBdr>
          <w:top w:val="nil"/>
          <w:left w:val="nil"/>
          <w:bottom w:val="nil"/>
          <w:right w:val="nil"/>
          <w:between w:val="nil"/>
          <w:bar w:val="nil"/>
        </w:pBdr>
        <w:spacing w:line="240" w:lineRule="atLeast"/>
        <w:rPr>
          <w:sz w:val="28"/>
          <w:szCs w:val="28"/>
          <w:u w:color="000000"/>
          <w:bdr w:val="nil"/>
          <w:shd w:val="clear" w:color="auto" w:fill="FFFFFF"/>
          <w:lang w:val="en-US"/>
        </w:rPr>
      </w:pPr>
      <w:r w:rsidRPr="0059237E">
        <w:rPr>
          <w:rFonts w:eastAsia="Arial Unicode MS" w:cs="Arial Unicode MS"/>
          <w:sz w:val="28"/>
          <w:szCs w:val="28"/>
          <w:u w:color="000000"/>
          <w:bdr w:val="nil"/>
          <w:shd w:val="clear" w:color="auto" w:fill="FFFFFF"/>
          <w:lang w:val="en-US"/>
        </w:rPr>
        <w:t xml:space="preserve">All amounts are in hryvnias. </w:t>
      </w:r>
    </w:p>
    <w:p w14:paraId="42B0C4B5" w14:textId="77777777" w:rsidR="003C51B1" w:rsidRDefault="003C51B1" w:rsidP="00436300">
      <w:pPr>
        <w:pBdr>
          <w:top w:val="nil"/>
          <w:left w:val="nil"/>
          <w:bottom w:val="nil"/>
          <w:right w:val="nil"/>
          <w:between w:val="nil"/>
          <w:bar w:val="nil"/>
        </w:pBdr>
        <w:spacing w:line="240" w:lineRule="atLeast"/>
        <w:rPr>
          <w:sz w:val="28"/>
          <w:szCs w:val="28"/>
          <w:u w:color="000000"/>
          <w:bdr w:val="nil"/>
          <w:shd w:val="clear" w:color="auto" w:fill="FFFFFF"/>
          <w:lang w:val="en-US"/>
        </w:rPr>
      </w:pPr>
    </w:p>
    <w:p w14:paraId="12773444" w14:textId="77777777" w:rsidR="009F59F5" w:rsidRDefault="009F59F5" w:rsidP="00436300">
      <w:pPr>
        <w:pBdr>
          <w:top w:val="nil"/>
          <w:left w:val="nil"/>
          <w:bottom w:val="nil"/>
          <w:right w:val="nil"/>
          <w:between w:val="nil"/>
          <w:bar w:val="nil"/>
        </w:pBdr>
        <w:spacing w:line="240" w:lineRule="atLeast"/>
        <w:rPr>
          <w:sz w:val="28"/>
          <w:szCs w:val="28"/>
          <w:u w:color="000000"/>
          <w:bdr w:val="nil"/>
          <w:shd w:val="clear" w:color="auto" w:fill="FFFFFF"/>
          <w:lang w:val="en-US"/>
        </w:rPr>
      </w:pPr>
    </w:p>
    <w:p w14:paraId="021CC662" w14:textId="77777777" w:rsidR="009F59F5" w:rsidRDefault="009F59F5" w:rsidP="00436300">
      <w:pPr>
        <w:pBdr>
          <w:top w:val="nil"/>
          <w:left w:val="nil"/>
          <w:bottom w:val="nil"/>
          <w:right w:val="nil"/>
          <w:between w:val="nil"/>
          <w:bar w:val="nil"/>
        </w:pBdr>
        <w:spacing w:line="240" w:lineRule="atLeast"/>
        <w:rPr>
          <w:sz w:val="28"/>
          <w:szCs w:val="28"/>
          <w:u w:color="000000"/>
          <w:bdr w:val="nil"/>
          <w:shd w:val="clear" w:color="auto" w:fill="FFFFFF"/>
          <w:lang w:val="en-US"/>
        </w:rPr>
      </w:pPr>
    </w:p>
    <w:p w14:paraId="24F3617D" w14:textId="77777777" w:rsidR="009F59F5" w:rsidRPr="0059237E" w:rsidRDefault="009F59F5" w:rsidP="00436300">
      <w:pPr>
        <w:pBdr>
          <w:top w:val="nil"/>
          <w:left w:val="nil"/>
          <w:bottom w:val="nil"/>
          <w:right w:val="nil"/>
          <w:between w:val="nil"/>
          <w:bar w:val="nil"/>
        </w:pBdr>
        <w:spacing w:line="240" w:lineRule="atLeast"/>
        <w:rPr>
          <w:sz w:val="28"/>
          <w:szCs w:val="28"/>
          <w:u w:color="000000"/>
          <w:bdr w:val="nil"/>
          <w:shd w:val="clear" w:color="auto" w:fill="FFFFFF"/>
          <w:lang w:val="en-US"/>
        </w:rPr>
      </w:pPr>
    </w:p>
    <w:p w14:paraId="27EFC19F" w14:textId="77777777" w:rsidR="003C51B1" w:rsidRPr="00436300" w:rsidRDefault="003C51B1" w:rsidP="006F749C">
      <w:pPr>
        <w:pStyle w:val="ListParagraph"/>
        <w:numPr>
          <w:ilvl w:val="0"/>
          <w:numId w:val="191"/>
        </w:numPr>
        <w:pBdr>
          <w:top w:val="nil"/>
          <w:left w:val="nil"/>
          <w:bottom w:val="nil"/>
          <w:right w:val="nil"/>
          <w:between w:val="nil"/>
          <w:bar w:val="nil"/>
        </w:pBdr>
        <w:spacing w:after="0" w:line="240" w:lineRule="atLeast"/>
        <w:ind w:left="426" w:hanging="426"/>
        <w:jc w:val="both"/>
        <w:rPr>
          <w:rFonts w:ascii="Garamond" w:hAnsi="Garamond"/>
          <w:szCs w:val="28"/>
          <w:u w:color="000000"/>
          <w:bdr w:val="nil"/>
          <w:lang w:val="en-US"/>
        </w:rPr>
      </w:pPr>
      <w:r w:rsidRPr="00436300">
        <w:rPr>
          <w:rFonts w:ascii="Garamond" w:hAnsi="Garamond"/>
          <w:szCs w:val="28"/>
          <w:u w:color="000000"/>
          <w:bdr w:val="nil"/>
          <w:lang w:val="en-US"/>
        </w:rPr>
        <w:t xml:space="preserve">Total liabilities and total equity of Knipa Company on December 31, 2015 were 942,000 and 1,610,000 hryvnias respectively. During the year ended December 31, </w:t>
      </w:r>
      <w:r w:rsidRPr="00436300">
        <w:rPr>
          <w:rFonts w:ascii="Garamond" w:hAnsi="Garamond"/>
          <w:szCs w:val="28"/>
          <w:u w:color="000000"/>
          <w:bdr w:val="nil"/>
          <w:lang w:val="en-US"/>
        </w:rPr>
        <w:lastRenderedPageBreak/>
        <w:t xml:space="preserve">2015 the company earned net income of 315,000 hryvnias. What were the total assets of the company on January 1, 2015 </w:t>
      </w:r>
      <w:r w:rsidR="00680EED">
        <w:rPr>
          <w:rFonts w:ascii="Garamond" w:hAnsi="Garamond"/>
          <w:szCs w:val="28"/>
          <w:u w:color="000000"/>
          <w:bdr w:val="nil"/>
          <w:lang w:val="en-US"/>
        </w:rPr>
        <w:t>taking into account</w:t>
      </w:r>
      <w:r w:rsidRPr="00436300">
        <w:rPr>
          <w:rFonts w:ascii="Garamond" w:hAnsi="Garamond"/>
          <w:szCs w:val="28"/>
          <w:u w:color="000000"/>
          <w:bdr w:val="nil"/>
          <w:lang w:val="en-US"/>
        </w:rPr>
        <w:t xml:space="preserve"> that its ROA for the year was 0.12?</w:t>
      </w:r>
    </w:p>
    <w:p w14:paraId="33E3A6A3" w14:textId="77777777" w:rsidR="003C51B1" w:rsidRPr="0059237E" w:rsidRDefault="003C51B1" w:rsidP="00436300">
      <w:pPr>
        <w:pBdr>
          <w:top w:val="nil"/>
          <w:left w:val="nil"/>
          <w:bottom w:val="nil"/>
          <w:right w:val="nil"/>
          <w:between w:val="nil"/>
          <w:bar w:val="nil"/>
        </w:pBdr>
        <w:spacing w:line="240" w:lineRule="atLeast"/>
        <w:rPr>
          <w:sz w:val="28"/>
          <w:szCs w:val="28"/>
          <w:u w:color="000000"/>
          <w:bdr w:val="nil"/>
          <w:shd w:val="clear" w:color="auto" w:fill="FFFFFF"/>
          <w:lang w:val="en-US"/>
        </w:rPr>
      </w:pPr>
    </w:p>
    <w:p w14:paraId="3F7C85B2" w14:textId="77777777" w:rsidR="003C51B1" w:rsidRDefault="003C51B1" w:rsidP="006F749C">
      <w:pPr>
        <w:pStyle w:val="ListParagraph"/>
        <w:numPr>
          <w:ilvl w:val="0"/>
          <w:numId w:val="191"/>
        </w:numPr>
        <w:pBdr>
          <w:top w:val="nil"/>
          <w:left w:val="nil"/>
          <w:bottom w:val="nil"/>
          <w:right w:val="nil"/>
          <w:between w:val="nil"/>
          <w:bar w:val="nil"/>
        </w:pBdr>
        <w:spacing w:after="0" w:line="240" w:lineRule="atLeast"/>
        <w:ind w:left="426" w:hanging="426"/>
        <w:jc w:val="both"/>
        <w:rPr>
          <w:rFonts w:ascii="Garamond" w:hAnsi="Garamond"/>
          <w:szCs w:val="28"/>
          <w:u w:color="000000"/>
          <w:bdr w:val="nil"/>
          <w:lang w:val="en-US"/>
        </w:rPr>
      </w:pPr>
      <w:r w:rsidRPr="00436300">
        <w:rPr>
          <w:rFonts w:ascii="Garamond" w:hAnsi="Garamond"/>
          <w:szCs w:val="28"/>
          <w:u w:color="000000"/>
          <w:bdr w:val="nil"/>
          <w:lang w:val="en-US"/>
        </w:rPr>
        <w:t>Betta Bank is evaluating Procent Manufacturing</w:t>
      </w:r>
      <w:r w:rsidR="00680EED">
        <w:rPr>
          <w:rFonts w:ascii="Garamond" w:hAnsi="Garamond"/>
          <w:szCs w:val="28"/>
          <w:u w:color="000000"/>
          <w:bdr w:val="nil"/>
          <w:lang w:val="en-US"/>
        </w:rPr>
        <w:t xml:space="preserve"> </w:t>
      </w:r>
      <w:r w:rsidR="006C7966">
        <w:rPr>
          <w:rFonts w:ascii="Garamond" w:hAnsi="Garamond"/>
          <w:szCs w:val="28"/>
          <w:u w:color="000000"/>
          <w:bdr w:val="nil"/>
          <w:lang w:val="en-US"/>
        </w:rPr>
        <w:t>C</w:t>
      </w:r>
      <w:r w:rsidR="00680EED">
        <w:rPr>
          <w:rFonts w:ascii="Garamond" w:hAnsi="Garamond"/>
          <w:szCs w:val="28"/>
          <w:u w:color="000000"/>
          <w:bdr w:val="nil"/>
          <w:lang w:val="en-US"/>
        </w:rPr>
        <w:t>ompany</w:t>
      </w:r>
      <w:r w:rsidRPr="00436300">
        <w:rPr>
          <w:rFonts w:ascii="Garamond" w:hAnsi="Garamond"/>
          <w:szCs w:val="28"/>
          <w:u w:color="000000"/>
          <w:bdr w:val="nil"/>
          <w:lang w:val="en-US"/>
        </w:rPr>
        <w:t xml:space="preserve">, which has requested a 6 million hryvnias loan to assess the company’s financial leverage and financial risk. On the basis of the solvency ratios for </w:t>
      </w:r>
      <w:r w:rsidR="009F59F5">
        <w:rPr>
          <w:rFonts w:ascii="Garamond" w:hAnsi="Garamond"/>
          <w:szCs w:val="28"/>
          <w:u w:color="000000"/>
          <w:bdr w:val="nil"/>
          <w:lang w:val="en-US"/>
        </w:rPr>
        <w:t>the c</w:t>
      </w:r>
      <w:r w:rsidR="00680EED">
        <w:rPr>
          <w:rFonts w:ascii="Garamond" w:hAnsi="Garamond"/>
          <w:szCs w:val="28"/>
          <w:u w:color="000000"/>
          <w:bdr w:val="nil"/>
          <w:lang w:val="en-US"/>
        </w:rPr>
        <w:t>ompany</w:t>
      </w:r>
      <w:r w:rsidRPr="00436300">
        <w:rPr>
          <w:rFonts w:ascii="Garamond" w:hAnsi="Garamond"/>
          <w:szCs w:val="28"/>
          <w:u w:color="000000"/>
          <w:bdr w:val="nil"/>
          <w:lang w:val="en-US"/>
        </w:rPr>
        <w:t>, along with the industry averages and Procent’s Manufacturing</w:t>
      </w:r>
      <w:r w:rsidR="00680EED">
        <w:rPr>
          <w:rFonts w:ascii="Garamond" w:hAnsi="Garamond"/>
          <w:szCs w:val="28"/>
          <w:u w:color="000000"/>
          <w:bdr w:val="nil"/>
          <w:lang w:val="en-US"/>
        </w:rPr>
        <w:t xml:space="preserve"> </w:t>
      </w:r>
      <w:r w:rsidR="006C7966">
        <w:rPr>
          <w:rFonts w:ascii="Garamond" w:hAnsi="Garamond"/>
          <w:szCs w:val="28"/>
          <w:u w:color="000000"/>
          <w:bdr w:val="nil"/>
          <w:lang w:val="en-US"/>
        </w:rPr>
        <w:t>C</w:t>
      </w:r>
      <w:r w:rsidR="00680EED">
        <w:rPr>
          <w:rFonts w:ascii="Garamond" w:hAnsi="Garamond"/>
          <w:szCs w:val="28"/>
          <w:u w:color="000000"/>
          <w:bdr w:val="nil"/>
          <w:lang w:val="en-US"/>
        </w:rPr>
        <w:t>ompany</w:t>
      </w:r>
      <w:r w:rsidR="006835AF">
        <w:rPr>
          <w:rFonts w:ascii="Garamond" w:hAnsi="Garamond"/>
          <w:szCs w:val="28"/>
          <w:u w:color="000000"/>
          <w:bdr w:val="nil"/>
          <w:lang w:val="en-US"/>
        </w:rPr>
        <w:t>’s</w:t>
      </w:r>
      <w:r w:rsidRPr="00436300">
        <w:rPr>
          <w:rFonts w:ascii="Garamond" w:hAnsi="Garamond"/>
          <w:szCs w:val="28"/>
          <w:u w:color="000000"/>
          <w:bdr w:val="nil"/>
          <w:lang w:val="en-US"/>
        </w:rPr>
        <w:t xml:space="preserve"> recent financial statements (see below), evaluate and recommend appropriate action on the loan request.</w:t>
      </w:r>
    </w:p>
    <w:p w14:paraId="2721C645" w14:textId="77777777" w:rsidR="00436300" w:rsidRPr="00436300" w:rsidRDefault="00436300" w:rsidP="00436300">
      <w:pPr>
        <w:pStyle w:val="ListParagraph"/>
        <w:pBdr>
          <w:top w:val="nil"/>
          <w:left w:val="nil"/>
          <w:bottom w:val="nil"/>
          <w:right w:val="nil"/>
          <w:between w:val="nil"/>
          <w:bar w:val="nil"/>
        </w:pBdr>
        <w:spacing w:after="0" w:line="240" w:lineRule="atLeast"/>
        <w:ind w:left="426"/>
        <w:jc w:val="both"/>
        <w:rPr>
          <w:rFonts w:ascii="Garamond" w:hAnsi="Garamond"/>
          <w:szCs w:val="28"/>
          <w:u w:color="000000"/>
          <w:bdr w:val="nil"/>
          <w:lang w:val="en-US"/>
        </w:rPr>
      </w:pPr>
    </w:p>
    <w:p w14:paraId="55C01F47" w14:textId="77777777" w:rsidR="003C51B1" w:rsidRPr="00436300" w:rsidRDefault="003C51B1" w:rsidP="00680EED">
      <w:pPr>
        <w:pBdr>
          <w:top w:val="nil"/>
          <w:left w:val="nil"/>
          <w:bottom w:val="nil"/>
          <w:right w:val="nil"/>
          <w:between w:val="nil"/>
          <w:bar w:val="nil"/>
        </w:pBdr>
        <w:spacing w:line="240" w:lineRule="atLeast"/>
        <w:jc w:val="center"/>
        <w:rPr>
          <w:rFonts w:eastAsia="Times New Roman Bold" w:cs="Times New Roman Bold"/>
          <w:b/>
          <w:sz w:val="28"/>
          <w:szCs w:val="28"/>
          <w:u w:color="000000"/>
          <w:bdr w:val="nil"/>
          <w:lang w:val="en-US"/>
        </w:rPr>
      </w:pPr>
      <w:r w:rsidRPr="00436300">
        <w:rPr>
          <w:rFonts w:eastAsia="Arial Unicode MS" w:cs="Arial Unicode MS"/>
          <w:b/>
          <w:sz w:val="28"/>
          <w:szCs w:val="28"/>
          <w:u w:color="000000"/>
          <w:bdr w:val="nil"/>
          <w:lang w:val="en-US"/>
        </w:rPr>
        <w:t>Procent Manufacturing</w:t>
      </w:r>
      <w:r w:rsidR="006C7966">
        <w:rPr>
          <w:rFonts w:eastAsia="Arial Unicode MS" w:cs="Arial Unicode MS"/>
          <w:b/>
          <w:sz w:val="28"/>
          <w:szCs w:val="28"/>
          <w:u w:color="000000"/>
          <w:bdr w:val="nil"/>
          <w:lang w:val="en-US"/>
        </w:rPr>
        <w:t xml:space="preserve"> Company</w:t>
      </w:r>
    </w:p>
    <w:p w14:paraId="467CDB4E" w14:textId="77777777" w:rsidR="003C51B1" w:rsidRPr="00436300" w:rsidRDefault="003C51B1" w:rsidP="00680EED">
      <w:pPr>
        <w:pBdr>
          <w:top w:val="nil"/>
          <w:left w:val="nil"/>
          <w:bottom w:val="nil"/>
          <w:right w:val="nil"/>
          <w:between w:val="nil"/>
          <w:bar w:val="nil"/>
        </w:pBdr>
        <w:spacing w:line="240" w:lineRule="atLeast"/>
        <w:jc w:val="center"/>
        <w:rPr>
          <w:rFonts w:eastAsia="Times New Roman Bold" w:cs="Times New Roman Bold"/>
          <w:b/>
          <w:sz w:val="28"/>
          <w:szCs w:val="28"/>
          <w:u w:color="000000"/>
          <w:bdr w:val="nil"/>
          <w:lang w:val="en-US"/>
        </w:rPr>
      </w:pPr>
      <w:r w:rsidRPr="00436300">
        <w:rPr>
          <w:rFonts w:eastAsia="Arial Unicode MS" w:cs="Arial Unicode MS"/>
          <w:b/>
          <w:sz w:val="28"/>
          <w:szCs w:val="28"/>
          <w:u w:color="000000"/>
          <w:bdr w:val="nil"/>
          <w:lang w:val="en-US"/>
        </w:rPr>
        <w:t>Statement of financial position</w:t>
      </w:r>
    </w:p>
    <w:p w14:paraId="3EF62A7C" w14:textId="77777777" w:rsidR="003C51B1" w:rsidRPr="00436300" w:rsidRDefault="003C51B1" w:rsidP="00436300">
      <w:pPr>
        <w:pBdr>
          <w:top w:val="nil"/>
          <w:left w:val="nil"/>
          <w:bottom w:val="nil"/>
          <w:right w:val="nil"/>
          <w:between w:val="nil"/>
          <w:bar w:val="nil"/>
        </w:pBdr>
        <w:spacing w:line="240" w:lineRule="atLeast"/>
        <w:jc w:val="center"/>
        <w:rPr>
          <w:rFonts w:eastAsia="Times New Roman Bold" w:cs="Times New Roman Bold"/>
          <w:b/>
          <w:sz w:val="28"/>
          <w:szCs w:val="28"/>
          <w:u w:color="000000"/>
          <w:bdr w:val="nil"/>
          <w:lang w:val="fr-FR"/>
        </w:rPr>
      </w:pPr>
      <w:r w:rsidRPr="00436300">
        <w:rPr>
          <w:rFonts w:eastAsia="Arial Unicode MS" w:cs="Arial Unicode MS"/>
          <w:b/>
          <w:sz w:val="28"/>
          <w:szCs w:val="28"/>
          <w:u w:color="000000"/>
          <w:bdr w:val="nil"/>
          <w:lang w:val="fr-FR"/>
        </w:rPr>
        <w:t>December 31, 2015</w:t>
      </w:r>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3846"/>
        <w:gridCol w:w="1403"/>
        <w:gridCol w:w="2837"/>
        <w:gridCol w:w="1371"/>
      </w:tblGrid>
      <w:tr w:rsidR="003C51B1" w:rsidRPr="0059237E" w14:paraId="2A9A4052" w14:textId="77777777" w:rsidTr="00436300">
        <w:trPr>
          <w:trHeight w:val="480"/>
        </w:trPr>
        <w:tc>
          <w:tcPr>
            <w:tcW w:w="2775" w:type="pct"/>
            <w:gridSpan w:val="2"/>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04C8A726"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Assets</w:t>
            </w:r>
          </w:p>
        </w:tc>
        <w:tc>
          <w:tcPr>
            <w:tcW w:w="2225" w:type="pct"/>
            <w:gridSpan w:val="2"/>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20C116F4"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Liabilities and Stockholders</w:t>
            </w:r>
            <w:r w:rsidRPr="0059237E">
              <w:rPr>
                <w:rFonts w:eastAsia="Arial Unicode MS" w:cs="Arial Unicode MS"/>
                <w:sz w:val="28"/>
                <w:szCs w:val="28"/>
                <w:u w:color="000000"/>
                <w:bdr w:val="nil"/>
                <w:lang w:val="fr-FR"/>
              </w:rPr>
              <w:t>’ Equity</w:t>
            </w:r>
          </w:p>
        </w:tc>
      </w:tr>
      <w:tr w:rsidR="003C51B1" w:rsidRPr="0059237E" w14:paraId="49CD56EA"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AA24DAC" w14:textId="77777777" w:rsidR="003C51B1" w:rsidRPr="00436300"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u w:color="000000"/>
                <w:bdr w:val="nil"/>
                <w:lang w:val="fr-FR"/>
              </w:rPr>
            </w:pPr>
            <w:r w:rsidRPr="00436300">
              <w:rPr>
                <w:rFonts w:eastAsia="Arial Unicode MS" w:cs="Arial Unicode MS"/>
                <w:b/>
                <w:sz w:val="28"/>
                <w:szCs w:val="28"/>
                <w:u w:color="000000"/>
                <w:bdr w:val="nil"/>
                <w:lang w:val="en-US"/>
              </w:rPr>
              <w:t>Current assets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F8AAF0E"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66A7165" w14:textId="77777777" w:rsidR="003C51B1" w:rsidRPr="00436300"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u w:color="000000"/>
                <w:bdr w:val="nil"/>
                <w:lang w:val="fr-FR"/>
              </w:rPr>
            </w:pPr>
            <w:r w:rsidRPr="00436300">
              <w:rPr>
                <w:rFonts w:eastAsia="Arial Unicode MS" w:cs="Arial Unicode MS"/>
                <w:b/>
                <w:sz w:val="28"/>
                <w:szCs w:val="28"/>
                <w:u w:color="000000"/>
                <w:bdr w:val="nil"/>
                <w:lang w:val="en-US"/>
              </w:rPr>
              <w:t>Current liabilities</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C8D0A34"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1B5B0F4A"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58C29BE" w14:textId="77777777" w:rsidR="003C51B1" w:rsidRPr="0059237E"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Cash and cash equivalents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D2A5CF4"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1,200,000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D3CCAF0"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Accounts payable</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0425245"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9,000,000</w:t>
            </w:r>
          </w:p>
        </w:tc>
      </w:tr>
      <w:tr w:rsidR="003C51B1" w:rsidRPr="0059237E" w14:paraId="5F2FB456"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F6644C8" w14:textId="77777777" w:rsidR="003C51B1" w:rsidRPr="00680EED"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bdr w:val="nil"/>
                <w:lang w:val="fr-FR"/>
              </w:rPr>
            </w:pPr>
            <w:r w:rsidRPr="00680EED">
              <w:rPr>
                <w:rFonts w:eastAsia="Arial Unicode MS" w:cs="Arial Unicode MS"/>
                <w:sz w:val="28"/>
                <w:szCs w:val="28"/>
                <w:bdr w:val="nil"/>
                <w:lang w:val="en-US"/>
              </w:rPr>
              <w:t>Marketable securities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169574A"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3,000,000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1469949"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Notes payable</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C735279"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8,200,000</w:t>
            </w:r>
          </w:p>
        </w:tc>
      </w:tr>
      <w:tr w:rsidR="003C51B1" w:rsidRPr="0059237E" w14:paraId="696CFDA9"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42632EA" w14:textId="77777777" w:rsidR="003C51B1" w:rsidRPr="00680EED"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bdr w:val="nil"/>
                <w:lang w:val="fr-FR"/>
              </w:rPr>
            </w:pPr>
            <w:r w:rsidRPr="00680EED">
              <w:rPr>
                <w:rFonts w:eastAsia="Arial Unicode MS" w:cs="Arial Unicode MS"/>
                <w:sz w:val="28"/>
                <w:szCs w:val="28"/>
                <w:bdr w:val="nil"/>
                <w:lang w:val="en-US"/>
              </w:rPr>
              <w:t>Accounts receivable</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87C1586"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15,000,000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B527958"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Accruals</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605D945"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900,000</w:t>
            </w:r>
          </w:p>
        </w:tc>
      </w:tr>
      <w:tr w:rsidR="003C51B1" w:rsidRPr="0059237E" w14:paraId="57600D14"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54C352F" w14:textId="77777777" w:rsidR="003C51B1" w:rsidRPr="00680EED"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bdr w:val="nil"/>
                <w:lang w:val="fr-FR"/>
              </w:rPr>
            </w:pPr>
            <w:r w:rsidRPr="00680EED">
              <w:rPr>
                <w:rFonts w:eastAsia="Arial Unicode MS" w:cs="Arial Unicode MS"/>
                <w:sz w:val="28"/>
                <w:szCs w:val="28"/>
                <w:bdr w:val="nil"/>
                <w:lang w:val="en-US"/>
              </w:rPr>
              <w:t>Inventories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7A0F80F"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6,900,000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55922D3"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bdr w:val="nil"/>
                <w:lang w:val="fr-FR"/>
              </w:rPr>
            </w:pPr>
            <w:r w:rsidRPr="00680EED">
              <w:rPr>
                <w:rFonts w:eastAsia="Arial Unicode MS" w:cs="Arial Unicode MS"/>
                <w:sz w:val="28"/>
                <w:szCs w:val="28"/>
                <w:bdr w:val="nil"/>
                <w:lang w:val="en-US"/>
              </w:rPr>
              <w:t>Total current liabilities</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799EE84"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18,100,000</w:t>
            </w:r>
          </w:p>
        </w:tc>
      </w:tr>
      <w:tr w:rsidR="003C51B1" w:rsidRPr="0059237E" w14:paraId="18A89031"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AE28AEA" w14:textId="77777777" w:rsidR="003C51B1" w:rsidRPr="00680EED" w:rsidRDefault="003C51B1" w:rsidP="00436300">
            <w:pPr>
              <w:widowControl w:val="0"/>
              <w:pBdr>
                <w:top w:val="nil"/>
                <w:left w:val="nil"/>
                <w:bottom w:val="nil"/>
                <w:right w:val="nil"/>
                <w:between w:val="nil"/>
                <w:bar w:val="nil"/>
              </w:pBdr>
              <w:spacing w:line="240" w:lineRule="atLeast"/>
              <w:ind w:left="1440"/>
              <w:rPr>
                <w:rFonts w:eastAsia="Arial Unicode MS" w:cs="Arial Unicode MS"/>
                <w:b/>
                <w:sz w:val="28"/>
                <w:szCs w:val="28"/>
                <w:bdr w:val="nil"/>
                <w:lang w:val="fr-FR"/>
              </w:rPr>
            </w:pPr>
            <w:r w:rsidRPr="00680EED">
              <w:rPr>
                <w:rFonts w:eastAsia="Arial Unicode MS" w:cs="Arial Unicode MS"/>
                <w:b/>
                <w:sz w:val="28"/>
                <w:szCs w:val="28"/>
                <w:bdr w:val="nil"/>
                <w:lang w:val="en-US"/>
              </w:rPr>
              <w:t>Total current assets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FF7F3E4"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26,100,000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6547D91"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bdr w:val="nil"/>
                <w:lang w:val="fr-FR"/>
              </w:rPr>
            </w:pPr>
            <w:r w:rsidRPr="00680EED">
              <w:rPr>
                <w:rFonts w:eastAsia="Arial Unicode MS" w:cs="Arial Unicode MS"/>
                <w:sz w:val="28"/>
                <w:szCs w:val="28"/>
                <w:bdr w:val="nil"/>
                <w:lang w:val="en-US"/>
              </w:rPr>
              <w:t>Long-term debt</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2621ABC"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21,000,000</w:t>
            </w:r>
          </w:p>
        </w:tc>
      </w:tr>
      <w:tr w:rsidR="003C51B1" w:rsidRPr="0059237E" w14:paraId="3C90C660"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5B05EE0"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bdr w:val="nil"/>
                <w:lang w:val="en-US"/>
              </w:rPr>
            </w:pPr>
            <w:r w:rsidRPr="00680EED">
              <w:rPr>
                <w:rFonts w:eastAsia="Arial Unicode MS" w:cs="Arial Unicode MS"/>
                <w:b/>
                <w:sz w:val="28"/>
                <w:szCs w:val="28"/>
                <w:bdr w:val="nil"/>
                <w:lang w:val="en-US"/>
              </w:rPr>
              <w:t>Gross fixed assets (at cost)</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A347E42" w14:textId="77777777" w:rsidR="003C51B1" w:rsidRPr="00680EED" w:rsidRDefault="003C51B1" w:rsidP="00436300">
            <w:pPr>
              <w:pBdr>
                <w:top w:val="nil"/>
                <w:left w:val="nil"/>
                <w:bottom w:val="nil"/>
                <w:right w:val="nil"/>
                <w:between w:val="nil"/>
                <w:bar w:val="nil"/>
              </w:pBdr>
              <w:spacing w:line="240" w:lineRule="atLeast"/>
              <w:rPr>
                <w:rFonts w:eastAsia="Arial Unicode MS"/>
                <w:b/>
                <w:sz w:val="28"/>
                <w:szCs w:val="28"/>
                <w:bdr w:val="nil"/>
                <w:lang w:val="en-US" w:eastAsia="en-US"/>
              </w:rPr>
            </w:pP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ADC7D5F"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bdr w:val="nil"/>
                <w:lang w:val="fr-FR"/>
              </w:rPr>
            </w:pPr>
            <w:r w:rsidRPr="00680EED">
              <w:rPr>
                <w:rFonts w:eastAsia="Arial Unicode MS" w:cs="Arial Unicode MS"/>
                <w:b/>
                <w:sz w:val="28"/>
                <w:szCs w:val="28"/>
                <w:bdr w:val="nil"/>
                <w:lang w:val="da-DK"/>
              </w:rPr>
              <w:t>Stockholders equity</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7C285B8" w14:textId="77777777" w:rsidR="003C51B1" w:rsidRPr="00680EED"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64F06529" w14:textId="77777777" w:rsidTr="00436300">
        <w:trPr>
          <w:trHeight w:val="9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917253F" w14:textId="77777777" w:rsidR="003C51B1" w:rsidRPr="00680EED"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bdr w:val="nil"/>
                <w:lang w:val="fr-FR"/>
              </w:rPr>
            </w:pPr>
            <w:r w:rsidRPr="00680EED">
              <w:rPr>
                <w:rFonts w:eastAsia="Arial Unicode MS" w:cs="Arial Unicode MS"/>
                <w:sz w:val="28"/>
                <w:szCs w:val="28"/>
                <w:bdr w:val="nil"/>
                <w:lang w:val="en-US"/>
              </w:rPr>
              <w:t>Land and buildings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7FCA998"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12,000,000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302FF8B"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bdr w:val="nil"/>
                <w:lang w:val="en-US"/>
              </w:rPr>
            </w:pPr>
            <w:r w:rsidRPr="00680EED">
              <w:rPr>
                <w:rFonts w:eastAsia="Arial Unicode MS" w:cs="Arial Unicode MS"/>
                <w:sz w:val="28"/>
                <w:szCs w:val="28"/>
                <w:bdr w:val="nil"/>
                <w:lang w:val="en-US"/>
              </w:rPr>
              <w:t>Preferred stock (25,000 shares, 4 hryvnias dividend)</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5122A5F"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2,500,000</w:t>
            </w:r>
          </w:p>
        </w:tc>
      </w:tr>
      <w:tr w:rsidR="003C51B1" w:rsidRPr="0059237E" w14:paraId="143A8954" w14:textId="77777777" w:rsidTr="00436300">
        <w:trPr>
          <w:trHeight w:val="6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565D040" w14:textId="77777777" w:rsidR="003C51B1" w:rsidRPr="00680EED"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bdr w:val="nil"/>
                <w:lang w:val="fr-FR"/>
              </w:rPr>
            </w:pPr>
            <w:r w:rsidRPr="00680EED">
              <w:rPr>
                <w:rFonts w:eastAsia="Arial Unicode MS" w:cs="Arial Unicode MS"/>
                <w:sz w:val="28"/>
                <w:szCs w:val="28"/>
                <w:bdr w:val="nil"/>
                <w:lang w:val="en-US"/>
              </w:rPr>
              <w:t>Machinery and equipment</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DF318D7"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21,600,000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20CD808"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bdr w:val="nil"/>
                <w:lang w:val="en-US"/>
              </w:rPr>
            </w:pPr>
            <w:r w:rsidRPr="00680EED">
              <w:rPr>
                <w:rFonts w:eastAsia="Arial Unicode MS" w:cs="Arial Unicode MS"/>
                <w:sz w:val="28"/>
                <w:szCs w:val="28"/>
                <w:bdr w:val="nil"/>
                <w:lang w:val="en-US"/>
              </w:rPr>
              <w:t>Common stock (1 million shares at 6 hryvnias par)</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1C88246"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6,000,000</w:t>
            </w:r>
          </w:p>
        </w:tc>
      </w:tr>
      <w:tr w:rsidR="003C51B1" w:rsidRPr="0059237E" w14:paraId="61D169CD" w14:textId="77777777" w:rsidTr="00436300">
        <w:trPr>
          <w:trHeight w:val="6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4B32373" w14:textId="77777777" w:rsidR="003C51B1" w:rsidRPr="00680EED"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bdr w:val="nil"/>
                <w:lang w:val="fr-FR"/>
              </w:rPr>
            </w:pPr>
            <w:r w:rsidRPr="00680EED">
              <w:rPr>
                <w:rFonts w:eastAsia="Arial Unicode MS" w:cs="Arial Unicode MS"/>
                <w:sz w:val="28"/>
                <w:szCs w:val="28"/>
                <w:bdr w:val="nil"/>
                <w:lang w:val="en-US"/>
              </w:rPr>
              <w:t>Furniture and fixtures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763B4A5"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6,000,000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715C475"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bdr w:val="nil"/>
                <w:lang w:val="en-US"/>
              </w:rPr>
            </w:pPr>
            <w:r w:rsidRPr="00680EED">
              <w:rPr>
                <w:rFonts w:eastAsia="Arial Unicode MS" w:cs="Arial Unicode MS"/>
                <w:sz w:val="28"/>
                <w:szCs w:val="28"/>
                <w:bdr w:val="nil"/>
                <w:lang w:val="en-US"/>
              </w:rPr>
              <w:t>Paid in capital in excess of par value</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91E7DEB"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3,000,000</w:t>
            </w:r>
          </w:p>
        </w:tc>
      </w:tr>
      <w:tr w:rsidR="003C51B1" w:rsidRPr="0059237E" w14:paraId="1942847D"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9D4B79D" w14:textId="77777777" w:rsidR="003C51B1" w:rsidRPr="00680EED" w:rsidRDefault="003C51B1" w:rsidP="00436300">
            <w:pPr>
              <w:widowControl w:val="0"/>
              <w:pBdr>
                <w:top w:val="nil"/>
                <w:left w:val="nil"/>
                <w:bottom w:val="nil"/>
                <w:right w:val="nil"/>
                <w:between w:val="nil"/>
                <w:bar w:val="nil"/>
              </w:pBdr>
              <w:spacing w:line="240" w:lineRule="atLeast"/>
              <w:ind w:left="1440"/>
              <w:rPr>
                <w:rFonts w:eastAsia="Arial Unicode MS" w:cs="Arial Unicode MS"/>
                <w:b/>
                <w:sz w:val="28"/>
                <w:szCs w:val="28"/>
                <w:bdr w:val="nil"/>
                <w:lang w:val="fr-FR"/>
              </w:rPr>
            </w:pPr>
            <w:r w:rsidRPr="00680EED">
              <w:rPr>
                <w:rFonts w:eastAsia="Arial Unicode MS" w:cs="Arial Unicode MS"/>
                <w:b/>
                <w:sz w:val="28"/>
                <w:szCs w:val="28"/>
                <w:bdr w:val="nil"/>
                <w:lang w:val="en-US"/>
              </w:rPr>
              <w:t>Gross fixed assets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094C938"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39,600,000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6F8323F"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bdr w:val="nil"/>
                <w:lang w:val="fr-FR"/>
              </w:rPr>
            </w:pPr>
            <w:r w:rsidRPr="00680EED">
              <w:rPr>
                <w:rFonts w:eastAsia="Arial Unicode MS" w:cs="Arial Unicode MS"/>
                <w:sz w:val="28"/>
                <w:szCs w:val="28"/>
                <w:bdr w:val="nil"/>
                <w:lang w:val="en-US"/>
              </w:rPr>
              <w:t>Retained earnings</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AAC90FA"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3,100,000</w:t>
            </w:r>
          </w:p>
        </w:tc>
      </w:tr>
      <w:tr w:rsidR="003C51B1" w:rsidRPr="0059237E" w14:paraId="73B288A3"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7E175B2"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bdr w:val="nil"/>
                <w:lang w:val="fr-FR"/>
              </w:rPr>
            </w:pPr>
            <w:r w:rsidRPr="00680EED">
              <w:rPr>
                <w:rFonts w:eastAsia="Arial Unicode MS" w:cs="Arial Unicode MS"/>
                <w:sz w:val="28"/>
                <w:szCs w:val="28"/>
                <w:bdr w:val="nil"/>
                <w:lang w:val="en-US"/>
              </w:rPr>
              <w:t xml:space="preserve">Less: Accumulated depreciation </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F6CEFAE"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12,000,000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1339AA9"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bdr w:val="nil"/>
                <w:lang w:val="fr-FR"/>
              </w:rPr>
            </w:pPr>
            <w:r w:rsidRPr="00680EED">
              <w:rPr>
                <w:rFonts w:eastAsia="Arial Unicode MS" w:cs="Arial Unicode MS"/>
                <w:b/>
                <w:sz w:val="28"/>
                <w:szCs w:val="28"/>
                <w:bdr w:val="nil"/>
                <w:lang w:val="fr-FR"/>
              </w:rPr>
              <w:t xml:space="preserve">Total stockholders’ </w:t>
            </w:r>
            <w:r w:rsidRPr="00680EED">
              <w:rPr>
                <w:rFonts w:eastAsia="Arial Unicode MS" w:cs="Arial Unicode MS"/>
                <w:b/>
                <w:sz w:val="28"/>
                <w:szCs w:val="28"/>
                <w:bdr w:val="nil"/>
                <w:lang w:val="es-ES_tradnl"/>
              </w:rPr>
              <w:t>equity</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3C124EE"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bdr w:val="nil"/>
                <w:lang w:val="fr-FR"/>
              </w:rPr>
            </w:pPr>
            <w:r w:rsidRPr="00680EED">
              <w:rPr>
                <w:rFonts w:eastAsia="Arial Unicode MS" w:cs="Arial Unicode MS"/>
                <w:b/>
                <w:sz w:val="28"/>
                <w:szCs w:val="28"/>
                <w:bdr w:val="nil"/>
                <w:lang w:val="fr-FR"/>
              </w:rPr>
              <w:t>14,600,000</w:t>
            </w:r>
          </w:p>
        </w:tc>
      </w:tr>
      <w:tr w:rsidR="003C51B1" w:rsidRPr="0059237E" w14:paraId="1AB1310D" w14:textId="77777777" w:rsidTr="00436300">
        <w:trPr>
          <w:trHeight w:val="6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330CEAD"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bdr w:val="nil"/>
                <w:lang w:val="fr-FR"/>
              </w:rPr>
            </w:pPr>
            <w:r w:rsidRPr="00680EED">
              <w:rPr>
                <w:rFonts w:eastAsia="Arial Unicode MS" w:cs="Arial Unicode MS"/>
                <w:sz w:val="28"/>
                <w:szCs w:val="28"/>
                <w:bdr w:val="nil"/>
                <w:lang w:val="en-US"/>
              </w:rPr>
              <w:t>Net fixed assets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2758742"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bdr w:val="nil"/>
                <w:lang w:val="fr-FR"/>
              </w:rPr>
            </w:pPr>
            <w:r w:rsidRPr="00680EED">
              <w:rPr>
                <w:rFonts w:eastAsia="Arial Unicode MS" w:cs="Arial Unicode MS"/>
                <w:sz w:val="28"/>
                <w:szCs w:val="28"/>
                <w:bdr w:val="nil"/>
                <w:lang w:val="fr-FR"/>
              </w:rPr>
              <w:t>27,600,000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1D2C29A" w14:textId="77777777" w:rsidR="003C51B1" w:rsidRPr="00680EED"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bdr w:val="nil"/>
                <w:lang w:val="en-US"/>
              </w:rPr>
            </w:pPr>
            <w:r w:rsidRPr="00680EED">
              <w:rPr>
                <w:rFonts w:eastAsia="Arial Unicode MS" w:cs="Arial Unicode MS"/>
                <w:b/>
                <w:sz w:val="28"/>
                <w:szCs w:val="28"/>
                <w:bdr w:val="nil"/>
                <w:lang w:val="en-US"/>
              </w:rPr>
              <w:t xml:space="preserve">Total liabilities and stockholders’ equity </w:t>
            </w: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D803655" w14:textId="77777777" w:rsidR="003C51B1" w:rsidRPr="00680EED"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bdr w:val="nil"/>
                <w:lang w:val="fr-FR"/>
              </w:rPr>
            </w:pPr>
            <w:r w:rsidRPr="00680EED">
              <w:rPr>
                <w:rFonts w:eastAsia="Arial Unicode MS" w:cs="Arial Unicode MS"/>
                <w:b/>
                <w:sz w:val="28"/>
                <w:szCs w:val="28"/>
                <w:bdr w:val="nil"/>
                <w:lang w:val="fr-FR"/>
              </w:rPr>
              <w:t>53,700,000</w:t>
            </w:r>
          </w:p>
        </w:tc>
      </w:tr>
      <w:tr w:rsidR="003C51B1" w:rsidRPr="0059237E" w14:paraId="67A0F4CD" w14:textId="77777777" w:rsidTr="00436300">
        <w:trPr>
          <w:trHeight w:val="310"/>
        </w:trPr>
        <w:tc>
          <w:tcPr>
            <w:tcW w:w="2033"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AB36EDB" w14:textId="77777777" w:rsidR="003C51B1" w:rsidRPr="007767A0"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en-US"/>
              </w:rPr>
              <w:t>Total assets</w:t>
            </w:r>
          </w:p>
        </w:tc>
        <w:tc>
          <w:tcPr>
            <w:tcW w:w="742"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0B084B3" w14:textId="77777777" w:rsidR="003C51B1" w:rsidRPr="007767A0"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fr-FR"/>
              </w:rPr>
              <w:t>53,700,000</w:t>
            </w:r>
          </w:p>
        </w:tc>
        <w:tc>
          <w:tcPr>
            <w:tcW w:w="1500"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EDFA942"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725" w:type="pct"/>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56D27EA"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bl>
    <w:p w14:paraId="24DC508A" w14:textId="77777777" w:rsidR="003C51B1" w:rsidRDefault="003C51B1" w:rsidP="00436300">
      <w:pPr>
        <w:pBdr>
          <w:top w:val="nil"/>
          <w:left w:val="nil"/>
          <w:bottom w:val="nil"/>
          <w:right w:val="nil"/>
          <w:between w:val="nil"/>
          <w:bar w:val="nil"/>
        </w:pBdr>
        <w:spacing w:line="240" w:lineRule="atLeast"/>
        <w:rPr>
          <w:rFonts w:eastAsia="Times New Roman Bold" w:cs="Times New Roman Bold"/>
          <w:sz w:val="28"/>
          <w:szCs w:val="28"/>
          <w:u w:color="000000"/>
          <w:bdr w:val="nil"/>
          <w:lang w:val="fr-FR"/>
        </w:rPr>
      </w:pPr>
    </w:p>
    <w:tbl>
      <w:tblPr>
        <w:tblW w:w="475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280"/>
        <w:gridCol w:w="1475"/>
      </w:tblGrid>
      <w:tr w:rsidR="007767A0" w:rsidRPr="0059237E" w14:paraId="34C9076B" w14:textId="77777777" w:rsidTr="007767A0">
        <w:trPr>
          <w:trHeight w:val="187"/>
        </w:trPr>
        <w:tc>
          <w:tcPr>
            <w:tcW w:w="4755" w:type="dxa"/>
            <w:gridSpan w:val="2"/>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330A7F79" w14:textId="77777777" w:rsidR="007767A0" w:rsidRPr="0059237E" w:rsidRDefault="007767A0" w:rsidP="00680EED">
            <w:pPr>
              <w:widowControl w:val="0"/>
              <w:pBdr>
                <w:top w:val="nil"/>
                <w:left w:val="nil"/>
                <w:bottom w:val="nil"/>
                <w:right w:val="nil"/>
                <w:between w:val="nil"/>
                <w:bar w:val="nil"/>
              </w:pBdr>
              <w:tabs>
                <w:tab w:val="left" w:pos="3044"/>
              </w:tabs>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Industry averages</w:t>
            </w:r>
            <w:r w:rsidR="00680EED">
              <w:rPr>
                <w:rFonts w:eastAsia="Arial Unicode MS" w:cs="Arial Unicode MS"/>
                <w:sz w:val="28"/>
                <w:szCs w:val="28"/>
                <w:u w:color="000000"/>
                <w:bdr w:val="nil"/>
                <w:lang w:val="en-US"/>
              </w:rPr>
              <w:tab/>
            </w:r>
          </w:p>
        </w:tc>
      </w:tr>
      <w:tr w:rsidR="007767A0" w:rsidRPr="0059237E" w14:paraId="6B4C7652" w14:textId="77777777" w:rsidTr="007767A0">
        <w:trPr>
          <w:trHeight w:val="310"/>
        </w:trPr>
        <w:tc>
          <w:tcPr>
            <w:tcW w:w="328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F2E7222" w14:textId="77777777" w:rsidR="007767A0" w:rsidRPr="0059237E" w:rsidRDefault="007767A0" w:rsidP="00DC7FC5">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de-DE"/>
              </w:rPr>
              <w:t>Debt ratio</w:t>
            </w:r>
          </w:p>
        </w:tc>
        <w:tc>
          <w:tcPr>
            <w:tcW w:w="14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3DD4928"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0.63</w:t>
            </w:r>
          </w:p>
        </w:tc>
      </w:tr>
      <w:tr w:rsidR="007767A0" w:rsidRPr="0059237E" w14:paraId="4B3179EC" w14:textId="77777777" w:rsidTr="007767A0">
        <w:trPr>
          <w:trHeight w:val="310"/>
        </w:trPr>
        <w:tc>
          <w:tcPr>
            <w:tcW w:w="328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F640C1E" w14:textId="77777777" w:rsidR="007767A0" w:rsidRPr="0059237E" w:rsidRDefault="007767A0" w:rsidP="00DC7FC5">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Times interest earned ratio</w:t>
            </w:r>
          </w:p>
        </w:tc>
        <w:tc>
          <w:tcPr>
            <w:tcW w:w="14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C31BD21"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7.30</w:t>
            </w:r>
          </w:p>
        </w:tc>
      </w:tr>
      <w:tr w:rsidR="007767A0" w:rsidRPr="0059237E" w14:paraId="7AB1DB6B" w14:textId="77777777" w:rsidTr="007767A0">
        <w:trPr>
          <w:trHeight w:val="310"/>
        </w:trPr>
        <w:tc>
          <w:tcPr>
            <w:tcW w:w="328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41F31F8" w14:textId="77777777" w:rsidR="007767A0" w:rsidRPr="0059237E" w:rsidRDefault="007767A0" w:rsidP="00252DD6">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Fixed</w:t>
            </w:r>
            <w:r w:rsidR="00252DD6">
              <w:rPr>
                <w:rFonts w:eastAsia="Arial Unicode MS" w:cs="Arial Unicode MS"/>
                <w:sz w:val="28"/>
                <w:szCs w:val="28"/>
                <w:u w:color="000000"/>
                <w:bdr w:val="nil"/>
                <w:lang w:val="en-US"/>
              </w:rPr>
              <w:t xml:space="preserve"> </w:t>
            </w:r>
            <w:r w:rsidRPr="0059237E">
              <w:rPr>
                <w:rFonts w:eastAsia="Arial Unicode MS" w:cs="Arial Unicode MS"/>
                <w:sz w:val="28"/>
                <w:szCs w:val="28"/>
                <w:u w:color="000000"/>
                <w:bdr w:val="nil"/>
                <w:lang w:val="en-US"/>
              </w:rPr>
              <w:t>payment coverage ratio</w:t>
            </w:r>
          </w:p>
        </w:tc>
        <w:tc>
          <w:tcPr>
            <w:tcW w:w="14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BCCCBC2"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1.83</w:t>
            </w:r>
          </w:p>
        </w:tc>
      </w:tr>
    </w:tbl>
    <w:p w14:paraId="143B8126" w14:textId="77777777" w:rsidR="003C51B1" w:rsidRPr="007767A0" w:rsidRDefault="003C51B1" w:rsidP="00436300">
      <w:pPr>
        <w:pBdr>
          <w:top w:val="nil"/>
          <w:left w:val="nil"/>
          <w:bottom w:val="nil"/>
          <w:right w:val="nil"/>
          <w:between w:val="nil"/>
          <w:bar w:val="nil"/>
        </w:pBdr>
        <w:spacing w:line="240" w:lineRule="atLeast"/>
        <w:jc w:val="center"/>
        <w:rPr>
          <w:rFonts w:eastAsia="Times New Roman Bold" w:cs="Times New Roman Bold"/>
          <w:b/>
          <w:sz w:val="28"/>
          <w:szCs w:val="28"/>
          <w:u w:color="000000"/>
          <w:bdr w:val="nil"/>
          <w:lang w:val="fr-FR"/>
        </w:rPr>
      </w:pPr>
      <w:r w:rsidRPr="007767A0">
        <w:rPr>
          <w:rFonts w:eastAsia="Arial Unicode MS" w:cs="Arial Unicode MS"/>
          <w:b/>
          <w:sz w:val="28"/>
          <w:szCs w:val="28"/>
          <w:u w:color="000000"/>
          <w:bdr w:val="nil"/>
          <w:lang w:val="en-US"/>
        </w:rPr>
        <w:t>Procent Manufacturing</w:t>
      </w:r>
      <w:r w:rsidR="006C7966">
        <w:rPr>
          <w:rFonts w:eastAsia="Arial Unicode MS" w:cs="Arial Unicode MS"/>
          <w:b/>
          <w:sz w:val="28"/>
          <w:szCs w:val="28"/>
          <w:u w:color="000000"/>
          <w:bdr w:val="nil"/>
          <w:lang w:val="en-US"/>
        </w:rPr>
        <w:t xml:space="preserve"> Company</w:t>
      </w:r>
    </w:p>
    <w:p w14:paraId="49D64A39" w14:textId="77777777" w:rsidR="003C51B1" w:rsidRPr="007767A0" w:rsidRDefault="003C51B1" w:rsidP="00436300">
      <w:pPr>
        <w:pBdr>
          <w:top w:val="nil"/>
          <w:left w:val="nil"/>
          <w:bottom w:val="nil"/>
          <w:right w:val="nil"/>
          <w:between w:val="nil"/>
          <w:bar w:val="nil"/>
        </w:pBdr>
        <w:spacing w:line="240" w:lineRule="atLeast"/>
        <w:jc w:val="center"/>
        <w:rPr>
          <w:rFonts w:eastAsia="Times New Roman Bold" w:cs="Times New Roman Bold"/>
          <w:b/>
          <w:sz w:val="28"/>
          <w:szCs w:val="28"/>
          <w:u w:color="000000"/>
          <w:bdr w:val="nil"/>
          <w:lang w:val="en-US"/>
        </w:rPr>
      </w:pPr>
      <w:r w:rsidRPr="007767A0">
        <w:rPr>
          <w:rFonts w:eastAsia="Arial Unicode MS" w:cs="Arial Unicode MS"/>
          <w:b/>
          <w:sz w:val="28"/>
          <w:szCs w:val="28"/>
          <w:u w:color="000000"/>
          <w:bdr w:val="nil"/>
          <w:lang w:val="en-US"/>
        </w:rPr>
        <w:t xml:space="preserve">Statement of profit or loss and comprehensive income </w:t>
      </w:r>
    </w:p>
    <w:p w14:paraId="3CEA481F" w14:textId="77777777" w:rsidR="003C51B1" w:rsidRPr="007767A0" w:rsidRDefault="003C51B1" w:rsidP="00436300">
      <w:pPr>
        <w:pBdr>
          <w:top w:val="nil"/>
          <w:left w:val="nil"/>
          <w:bottom w:val="nil"/>
          <w:right w:val="nil"/>
          <w:between w:val="nil"/>
          <w:bar w:val="nil"/>
        </w:pBdr>
        <w:spacing w:line="240" w:lineRule="atLeast"/>
        <w:jc w:val="center"/>
        <w:rPr>
          <w:rFonts w:eastAsia="Times New Roman Bold" w:cs="Times New Roman Bold"/>
          <w:b/>
          <w:sz w:val="28"/>
          <w:szCs w:val="28"/>
          <w:u w:color="000000"/>
          <w:bdr w:val="nil"/>
          <w:lang w:val="en-US"/>
        </w:rPr>
      </w:pPr>
      <w:r w:rsidRPr="007767A0">
        <w:rPr>
          <w:rFonts w:eastAsia="Arial Unicode MS" w:cs="Arial Unicode MS"/>
          <w:b/>
          <w:sz w:val="28"/>
          <w:szCs w:val="28"/>
          <w:u w:color="000000"/>
          <w:bdr w:val="nil"/>
          <w:lang w:val="en-US"/>
        </w:rPr>
        <w:lastRenderedPageBreak/>
        <w:t>for the year ended December 31, 2015</w:t>
      </w:r>
    </w:p>
    <w:tbl>
      <w:tblPr>
        <w:tblW w:w="901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732"/>
        <w:gridCol w:w="1701"/>
        <w:gridCol w:w="1582"/>
      </w:tblGrid>
      <w:tr w:rsidR="003C51B1" w:rsidRPr="0059237E" w14:paraId="60ABFCBC"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2DD97D2" w14:textId="77777777" w:rsidR="003C51B1" w:rsidRPr="007767A0"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fr-FR"/>
              </w:rPr>
              <w:t>Sales revenue</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A15FC81" w14:textId="77777777" w:rsidR="003C51B1" w:rsidRPr="007767A0" w:rsidRDefault="003C51B1" w:rsidP="00436300">
            <w:pPr>
              <w:pBdr>
                <w:top w:val="nil"/>
                <w:left w:val="nil"/>
                <w:bottom w:val="nil"/>
                <w:right w:val="nil"/>
                <w:between w:val="nil"/>
                <w:bar w:val="nil"/>
              </w:pBdr>
              <w:spacing w:line="240" w:lineRule="atLeast"/>
              <w:rPr>
                <w:rFonts w:eastAsia="Arial Unicode MS"/>
                <w:b/>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8849099" w14:textId="77777777" w:rsidR="003C51B1" w:rsidRPr="007767A0"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fr-FR"/>
              </w:rPr>
              <w:t>33,000,000</w:t>
            </w:r>
          </w:p>
        </w:tc>
      </w:tr>
      <w:tr w:rsidR="003C51B1" w:rsidRPr="0059237E" w14:paraId="030914E7"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10BADF6"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en-US"/>
              </w:rPr>
            </w:pPr>
            <w:r w:rsidRPr="0059237E">
              <w:rPr>
                <w:rFonts w:eastAsia="Arial Unicode MS" w:cs="Arial Unicode MS"/>
                <w:sz w:val="28"/>
                <w:szCs w:val="28"/>
                <w:u w:color="000000"/>
                <w:bdr w:val="nil"/>
                <w:lang w:val="en-US"/>
              </w:rPr>
              <w:t>Less: Cost of goods sold</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81D9E5D"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3515A7C"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21,000,000</w:t>
            </w:r>
          </w:p>
        </w:tc>
      </w:tr>
      <w:tr w:rsidR="003C51B1" w:rsidRPr="0059237E" w14:paraId="7BCF5A47"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E738AD5" w14:textId="77777777" w:rsidR="003C51B1" w:rsidRPr="007767A0"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en-US"/>
              </w:rPr>
              <w:t>Gross profit</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1A1C79B" w14:textId="77777777" w:rsidR="003C51B1" w:rsidRPr="007767A0" w:rsidRDefault="003C51B1" w:rsidP="00436300">
            <w:pPr>
              <w:pBdr>
                <w:top w:val="nil"/>
                <w:left w:val="nil"/>
                <w:bottom w:val="nil"/>
                <w:right w:val="nil"/>
                <w:between w:val="nil"/>
                <w:bar w:val="nil"/>
              </w:pBdr>
              <w:spacing w:line="240" w:lineRule="atLeast"/>
              <w:rPr>
                <w:rFonts w:eastAsia="Arial Unicode MS"/>
                <w:b/>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6732E98" w14:textId="77777777" w:rsidR="003C51B1" w:rsidRPr="007767A0"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fr-FR"/>
              </w:rPr>
              <w:t>12,000,000</w:t>
            </w:r>
          </w:p>
        </w:tc>
      </w:tr>
      <w:tr w:rsidR="003C51B1" w:rsidRPr="0059237E" w14:paraId="07A186D6"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CC75206"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 xml:space="preserve">Less: Operating expenses </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5A29029"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88168E3"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46151F66"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ABE8653" w14:textId="77777777" w:rsidR="003C51B1" w:rsidRPr="0059237E"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Selling expenses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A33FC09"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3,900,000</w:t>
            </w: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758D5F7"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69BB2864"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3626E83" w14:textId="77777777" w:rsidR="003C51B1" w:rsidRPr="0059237E"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General and administrative expenses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23664FD"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1,800,000</w:t>
            </w: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BCD3019"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45FEE259"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C096117" w14:textId="77777777" w:rsidR="003C51B1" w:rsidRPr="0059237E"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Lease expenses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EDE8440"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600,000</w:t>
            </w: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9845D5F"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62A783EF"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E3E4C31" w14:textId="77777777" w:rsidR="003C51B1" w:rsidRPr="0059237E" w:rsidRDefault="003C51B1" w:rsidP="00436300">
            <w:pPr>
              <w:widowControl w:val="0"/>
              <w:pBdr>
                <w:top w:val="nil"/>
                <w:left w:val="nil"/>
                <w:bottom w:val="nil"/>
                <w:right w:val="nil"/>
                <w:between w:val="nil"/>
                <w:bar w:val="nil"/>
              </w:pBdr>
              <w:spacing w:line="240" w:lineRule="atLeast"/>
              <w:ind w:left="720"/>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Depreciation expenses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6FDE82B"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1,200,000</w:t>
            </w: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5C07078"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5A9713F0"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F7D4795" w14:textId="77777777" w:rsidR="003C51B1" w:rsidRPr="0059237E" w:rsidRDefault="003C51B1" w:rsidP="00436300">
            <w:pPr>
              <w:widowControl w:val="0"/>
              <w:pBdr>
                <w:top w:val="nil"/>
                <w:left w:val="nil"/>
                <w:bottom w:val="nil"/>
                <w:right w:val="nil"/>
                <w:between w:val="nil"/>
                <w:bar w:val="nil"/>
              </w:pBdr>
              <w:spacing w:line="240" w:lineRule="atLeast"/>
              <w:ind w:left="1440"/>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Total operating expenses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42FFE37"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0384AB7"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7,500,000</w:t>
            </w:r>
          </w:p>
        </w:tc>
      </w:tr>
      <w:tr w:rsidR="003C51B1" w:rsidRPr="0059237E" w14:paraId="3F534326"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0E4C6A3" w14:textId="77777777" w:rsidR="003C51B1" w:rsidRPr="007767A0"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en-US"/>
              </w:rPr>
              <w:t>Operating profit</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3A53D00" w14:textId="77777777" w:rsidR="003C51B1" w:rsidRPr="007767A0" w:rsidRDefault="003C51B1" w:rsidP="00436300">
            <w:pPr>
              <w:pBdr>
                <w:top w:val="nil"/>
                <w:left w:val="nil"/>
                <w:bottom w:val="nil"/>
                <w:right w:val="nil"/>
                <w:between w:val="nil"/>
                <w:bar w:val="nil"/>
              </w:pBdr>
              <w:spacing w:line="240" w:lineRule="atLeast"/>
              <w:rPr>
                <w:rFonts w:eastAsia="Arial Unicode MS"/>
                <w:b/>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521DE20" w14:textId="77777777" w:rsidR="003C51B1" w:rsidRPr="007767A0"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fr-FR"/>
              </w:rPr>
              <w:t>4,500,000</w:t>
            </w:r>
          </w:p>
        </w:tc>
      </w:tr>
      <w:tr w:rsidR="003C51B1" w:rsidRPr="0059237E" w14:paraId="495469E4"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843D441"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Less: Interesting expenses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D32BE71"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EC0E66A"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1,200,000</w:t>
            </w:r>
          </w:p>
        </w:tc>
      </w:tr>
      <w:tr w:rsidR="003C51B1" w:rsidRPr="0059237E" w14:paraId="1E30FEB5"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66F338F" w14:textId="77777777" w:rsidR="003C51B1" w:rsidRPr="007767A0"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en-US"/>
              </w:rPr>
              <w:t xml:space="preserve">Net profits before taxes </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319C5B9" w14:textId="77777777" w:rsidR="003C51B1" w:rsidRPr="007767A0" w:rsidRDefault="003C51B1" w:rsidP="00436300">
            <w:pPr>
              <w:pBdr>
                <w:top w:val="nil"/>
                <w:left w:val="nil"/>
                <w:bottom w:val="nil"/>
                <w:right w:val="nil"/>
                <w:between w:val="nil"/>
                <w:bar w:val="nil"/>
              </w:pBdr>
              <w:spacing w:line="240" w:lineRule="atLeast"/>
              <w:rPr>
                <w:rFonts w:eastAsia="Arial Unicode MS"/>
                <w:b/>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EC31CB3" w14:textId="77777777" w:rsidR="003C51B1" w:rsidRPr="007767A0"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fr-FR"/>
              </w:rPr>
              <w:t>3,300,000</w:t>
            </w:r>
          </w:p>
        </w:tc>
      </w:tr>
      <w:tr w:rsidR="003C51B1" w:rsidRPr="0059237E" w14:paraId="5B7F8748"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8A82D02"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en-US"/>
              </w:rPr>
            </w:pPr>
            <w:r w:rsidRPr="0059237E">
              <w:rPr>
                <w:rFonts w:eastAsia="Arial Unicode MS" w:cs="Arial Unicode MS"/>
                <w:sz w:val="28"/>
                <w:szCs w:val="28"/>
                <w:u w:color="000000"/>
                <w:bdr w:val="nil"/>
                <w:lang w:val="en-US"/>
              </w:rPr>
              <w:t>Less: Taxes (tax rate is 18%)</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6D39BF7"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F131E55"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594,000</w:t>
            </w:r>
          </w:p>
        </w:tc>
      </w:tr>
      <w:tr w:rsidR="003C51B1" w:rsidRPr="0059237E" w14:paraId="782DC7F1"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675BE48" w14:textId="77777777" w:rsidR="003C51B1" w:rsidRPr="007767A0"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en-US"/>
              </w:rPr>
              <w:t>Net profits after taxes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E11A3ED" w14:textId="77777777" w:rsidR="003C51B1" w:rsidRPr="007767A0" w:rsidRDefault="003C51B1" w:rsidP="00436300">
            <w:pPr>
              <w:pBdr>
                <w:top w:val="nil"/>
                <w:left w:val="nil"/>
                <w:bottom w:val="nil"/>
                <w:right w:val="nil"/>
                <w:between w:val="nil"/>
                <w:bar w:val="nil"/>
              </w:pBdr>
              <w:spacing w:line="240" w:lineRule="atLeast"/>
              <w:rPr>
                <w:rFonts w:eastAsia="Arial Unicode MS"/>
                <w:b/>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5CA97C8" w14:textId="77777777" w:rsidR="003C51B1" w:rsidRPr="007767A0"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fr-FR"/>
              </w:rPr>
              <w:t>2,706,000</w:t>
            </w:r>
          </w:p>
        </w:tc>
      </w:tr>
      <w:tr w:rsidR="003C51B1" w:rsidRPr="0059237E" w14:paraId="07DC6F88"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F5C6529"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Less: Preferred stock dividends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6A18C11"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E874E87"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100,000</w:t>
            </w:r>
          </w:p>
        </w:tc>
      </w:tr>
      <w:tr w:rsidR="003C51B1" w:rsidRPr="0059237E" w14:paraId="527CA815" w14:textId="77777777" w:rsidTr="007767A0">
        <w:trPr>
          <w:trHeight w:val="310"/>
        </w:trPr>
        <w:tc>
          <w:tcPr>
            <w:tcW w:w="573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EAF69C2" w14:textId="77777777" w:rsidR="003C51B1" w:rsidRPr="007767A0" w:rsidRDefault="003C51B1" w:rsidP="00436300">
            <w:pPr>
              <w:widowControl w:val="0"/>
              <w:pBdr>
                <w:top w:val="nil"/>
                <w:left w:val="nil"/>
                <w:bottom w:val="nil"/>
                <w:right w:val="nil"/>
                <w:between w:val="nil"/>
                <w:bar w:val="nil"/>
              </w:pBdr>
              <w:spacing w:line="240" w:lineRule="atLeast"/>
              <w:rPr>
                <w:rFonts w:eastAsia="Arial Unicode MS" w:cs="Arial Unicode MS"/>
                <w:b/>
                <w:sz w:val="28"/>
                <w:szCs w:val="28"/>
                <w:u w:color="000000"/>
                <w:bdr w:val="nil"/>
                <w:lang w:val="en-US"/>
              </w:rPr>
            </w:pPr>
            <w:r w:rsidRPr="007767A0">
              <w:rPr>
                <w:rFonts w:eastAsia="Arial Unicode MS" w:cs="Arial Unicode MS"/>
                <w:b/>
                <w:sz w:val="28"/>
                <w:szCs w:val="28"/>
                <w:u w:color="000000"/>
                <w:bdr w:val="nil"/>
                <w:lang w:val="en-US"/>
              </w:rPr>
              <w:t>Earnings available for common stockholders</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A78F78B" w14:textId="77777777" w:rsidR="003C51B1" w:rsidRPr="007767A0" w:rsidRDefault="003C51B1" w:rsidP="00436300">
            <w:pPr>
              <w:pBdr>
                <w:top w:val="nil"/>
                <w:left w:val="nil"/>
                <w:bottom w:val="nil"/>
                <w:right w:val="nil"/>
                <w:between w:val="nil"/>
                <w:bar w:val="nil"/>
              </w:pBdr>
              <w:spacing w:line="240" w:lineRule="atLeast"/>
              <w:rPr>
                <w:rFonts w:eastAsia="Arial Unicode MS"/>
                <w:b/>
                <w:sz w:val="28"/>
                <w:szCs w:val="28"/>
                <w:bdr w:val="nil"/>
                <w:lang w:val="en-US" w:eastAsia="en-US"/>
              </w:rPr>
            </w:pPr>
          </w:p>
        </w:tc>
        <w:tc>
          <w:tcPr>
            <w:tcW w:w="1582"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DBD4E96" w14:textId="77777777" w:rsidR="003C51B1" w:rsidRPr="007767A0" w:rsidRDefault="003C51B1" w:rsidP="00436300">
            <w:pPr>
              <w:widowControl w:val="0"/>
              <w:pBdr>
                <w:top w:val="nil"/>
                <w:left w:val="nil"/>
                <w:bottom w:val="nil"/>
                <w:right w:val="nil"/>
                <w:between w:val="nil"/>
                <w:bar w:val="nil"/>
              </w:pBdr>
              <w:spacing w:line="240" w:lineRule="atLeast"/>
              <w:jc w:val="center"/>
              <w:rPr>
                <w:rFonts w:eastAsia="Arial Unicode MS" w:cs="Arial Unicode MS"/>
                <w:b/>
                <w:sz w:val="28"/>
                <w:szCs w:val="28"/>
                <w:u w:color="000000"/>
                <w:bdr w:val="nil"/>
                <w:lang w:val="fr-FR"/>
              </w:rPr>
            </w:pPr>
            <w:r w:rsidRPr="007767A0">
              <w:rPr>
                <w:rFonts w:eastAsia="Arial Unicode MS" w:cs="Arial Unicode MS"/>
                <w:b/>
                <w:sz w:val="28"/>
                <w:szCs w:val="28"/>
                <w:u w:color="000000"/>
                <w:bdr w:val="nil"/>
                <w:lang w:val="fr-FR"/>
              </w:rPr>
              <w:t>2,606,000</w:t>
            </w:r>
          </w:p>
        </w:tc>
      </w:tr>
    </w:tbl>
    <w:p w14:paraId="1349146F" w14:textId="77777777" w:rsidR="003C51B1" w:rsidRPr="0059237E" w:rsidRDefault="003C51B1" w:rsidP="00436300">
      <w:pPr>
        <w:pBdr>
          <w:top w:val="nil"/>
          <w:left w:val="nil"/>
          <w:bottom w:val="nil"/>
          <w:right w:val="nil"/>
          <w:between w:val="nil"/>
          <w:bar w:val="nil"/>
        </w:pBdr>
        <w:spacing w:line="240" w:lineRule="atLeast"/>
        <w:rPr>
          <w:rFonts w:eastAsia="Times New Roman Bold" w:cs="Times New Roman Bold"/>
          <w:sz w:val="28"/>
          <w:szCs w:val="28"/>
          <w:u w:color="000000"/>
          <w:bdr w:val="nil"/>
          <w:lang w:val="fr-FR"/>
        </w:rPr>
      </w:pPr>
    </w:p>
    <w:p w14:paraId="75A1A1E4" w14:textId="77777777" w:rsidR="003C51B1" w:rsidRPr="0059237E" w:rsidRDefault="003C51B1" w:rsidP="006F749C">
      <w:pPr>
        <w:pStyle w:val="ListParagraph"/>
        <w:numPr>
          <w:ilvl w:val="0"/>
          <w:numId w:val="191"/>
        </w:numPr>
        <w:pBdr>
          <w:top w:val="nil"/>
          <w:left w:val="nil"/>
          <w:bottom w:val="nil"/>
          <w:right w:val="nil"/>
          <w:between w:val="nil"/>
          <w:bar w:val="nil"/>
        </w:pBdr>
        <w:spacing w:after="0" w:line="240" w:lineRule="atLeast"/>
        <w:ind w:left="426" w:hanging="426"/>
        <w:jc w:val="both"/>
        <w:rPr>
          <w:rFonts w:ascii="Garamond" w:hAnsi="Garamond"/>
          <w:szCs w:val="28"/>
          <w:u w:color="000000"/>
          <w:bdr w:val="nil"/>
          <w:lang w:val="en-US"/>
        </w:rPr>
      </w:pPr>
      <w:r w:rsidRPr="007767A0">
        <w:rPr>
          <w:rFonts w:ascii="Garamond" w:hAnsi="Garamond"/>
          <w:szCs w:val="28"/>
          <w:u w:color="000000"/>
          <w:bdr w:val="nil"/>
          <w:lang w:val="en-US"/>
        </w:rPr>
        <w:t>Use the ratio</w:t>
      </w:r>
      <w:r w:rsidR="004A4663">
        <w:rPr>
          <w:rFonts w:ascii="Garamond" w:hAnsi="Garamond"/>
          <w:szCs w:val="28"/>
          <w:u w:color="000000"/>
          <w:bdr w:val="nil"/>
          <w:lang w:val="en-US"/>
        </w:rPr>
        <w:t>s</w:t>
      </w:r>
      <w:r w:rsidRPr="007767A0">
        <w:rPr>
          <w:rFonts w:ascii="Garamond" w:hAnsi="Garamond"/>
          <w:szCs w:val="28"/>
          <w:u w:color="000000"/>
          <w:bdr w:val="nil"/>
          <w:lang w:val="en-US"/>
        </w:rPr>
        <w:t xml:space="preserve"> for Krampt International and the industry averages for Krampt’s line for business</w:t>
      </w:r>
      <w:r w:rsidR="004A4663">
        <w:rPr>
          <w:rFonts w:ascii="Garamond" w:hAnsi="Garamond"/>
          <w:szCs w:val="28"/>
          <w:u w:color="000000"/>
          <w:bdr w:val="nil"/>
          <w:lang w:val="en-US"/>
        </w:rPr>
        <w:t>, in order</w:t>
      </w:r>
      <w:r w:rsidRPr="007767A0">
        <w:rPr>
          <w:rFonts w:ascii="Garamond" w:hAnsi="Garamond"/>
          <w:szCs w:val="28"/>
          <w:u w:color="000000"/>
          <w:bdr w:val="nil"/>
          <w:lang w:val="en-US"/>
        </w:rPr>
        <w:t xml:space="preserve"> to</w:t>
      </w:r>
      <w:r w:rsidR="004A4663">
        <w:rPr>
          <w:rFonts w:ascii="Garamond" w:hAnsi="Garamond"/>
          <w:szCs w:val="28"/>
          <w:u w:color="000000"/>
          <w:bdr w:val="nil"/>
          <w:lang w:val="en-US"/>
        </w:rPr>
        <w:t xml:space="preserve"> do the following</w:t>
      </w:r>
      <w:r w:rsidRPr="007767A0">
        <w:rPr>
          <w:rFonts w:ascii="Garamond" w:hAnsi="Garamond"/>
          <w:szCs w:val="28"/>
          <w:u w:color="000000"/>
          <w:bdr w:val="nil"/>
          <w:lang w:val="en-US"/>
        </w:rPr>
        <w:t>:</w:t>
      </w:r>
    </w:p>
    <w:p w14:paraId="54CC912D" w14:textId="77777777" w:rsidR="003C51B1" w:rsidRPr="007767A0" w:rsidRDefault="004A4663" w:rsidP="006F749C">
      <w:pPr>
        <w:pStyle w:val="ListParagraph"/>
        <w:numPr>
          <w:ilvl w:val="0"/>
          <w:numId w:val="192"/>
        </w:numPr>
        <w:pBdr>
          <w:top w:val="nil"/>
          <w:left w:val="nil"/>
          <w:bottom w:val="nil"/>
          <w:right w:val="nil"/>
          <w:between w:val="nil"/>
          <w:bar w:val="nil"/>
        </w:pBdr>
        <w:spacing w:line="240" w:lineRule="atLeast"/>
        <w:jc w:val="both"/>
        <w:rPr>
          <w:rFonts w:ascii="Garamond" w:hAnsi="Garamond"/>
          <w:szCs w:val="28"/>
          <w:u w:color="000000"/>
          <w:bdr w:val="nil"/>
          <w:lang w:val="en-US"/>
        </w:rPr>
      </w:pPr>
      <w:r>
        <w:rPr>
          <w:rFonts w:ascii="Garamond" w:hAnsi="Garamond"/>
          <w:szCs w:val="28"/>
          <w:u w:color="000000"/>
          <w:bdr w:val="nil"/>
          <w:lang w:val="en-US"/>
        </w:rPr>
        <w:t>build</w:t>
      </w:r>
      <w:r w:rsidR="003C51B1" w:rsidRPr="007767A0">
        <w:rPr>
          <w:rFonts w:ascii="Garamond" w:hAnsi="Garamond"/>
          <w:szCs w:val="28"/>
          <w:u w:color="000000"/>
          <w:bdr w:val="nil"/>
          <w:lang w:val="en-US"/>
        </w:rPr>
        <w:t xml:space="preserve"> the DuPont system of analysis f</w:t>
      </w:r>
      <w:r w:rsidR="00680EED">
        <w:rPr>
          <w:rFonts w:ascii="Garamond" w:hAnsi="Garamond"/>
          <w:szCs w:val="28"/>
          <w:u w:color="000000"/>
          <w:bdr w:val="nil"/>
          <w:lang w:val="en-US"/>
        </w:rPr>
        <w:t>or both Krampt and the industry;</w:t>
      </w:r>
    </w:p>
    <w:p w14:paraId="46EA5406" w14:textId="77777777" w:rsidR="003C51B1" w:rsidRPr="007767A0" w:rsidRDefault="00680EED" w:rsidP="006F749C">
      <w:pPr>
        <w:pStyle w:val="ListParagraph"/>
        <w:numPr>
          <w:ilvl w:val="0"/>
          <w:numId w:val="192"/>
        </w:numPr>
        <w:pBdr>
          <w:top w:val="nil"/>
          <w:left w:val="nil"/>
          <w:bottom w:val="nil"/>
          <w:right w:val="nil"/>
          <w:between w:val="nil"/>
          <w:bar w:val="nil"/>
        </w:pBdr>
        <w:spacing w:after="0" w:line="240" w:lineRule="atLeast"/>
        <w:jc w:val="both"/>
        <w:rPr>
          <w:rFonts w:ascii="Garamond" w:hAnsi="Garamond"/>
          <w:szCs w:val="28"/>
          <w:u w:color="000000"/>
          <w:bdr w:val="nil"/>
          <w:lang w:val="en-US"/>
        </w:rPr>
      </w:pPr>
      <w:r>
        <w:rPr>
          <w:rFonts w:ascii="Garamond" w:hAnsi="Garamond"/>
          <w:szCs w:val="28"/>
          <w:u w:color="000000"/>
          <w:bdr w:val="nil"/>
          <w:lang w:val="en-US"/>
        </w:rPr>
        <w:t>e</w:t>
      </w:r>
      <w:r w:rsidR="003C51B1" w:rsidRPr="007767A0">
        <w:rPr>
          <w:rFonts w:ascii="Garamond" w:hAnsi="Garamond"/>
          <w:szCs w:val="28"/>
          <w:u w:color="000000"/>
          <w:bdr w:val="nil"/>
          <w:lang w:val="en-US"/>
        </w:rPr>
        <w:t>valuate Krampt (and the i</w:t>
      </w:r>
      <w:r>
        <w:rPr>
          <w:rFonts w:ascii="Garamond" w:hAnsi="Garamond"/>
          <w:szCs w:val="28"/>
          <w:u w:color="000000"/>
          <w:bdr w:val="nil"/>
          <w:lang w:val="en-US"/>
        </w:rPr>
        <w:t>ndustry) over the 3-year period;</w:t>
      </w:r>
    </w:p>
    <w:p w14:paraId="26A63A81" w14:textId="77777777" w:rsidR="003C51B1" w:rsidRPr="007767A0" w:rsidRDefault="00680EED" w:rsidP="006F749C">
      <w:pPr>
        <w:pStyle w:val="ListParagraph"/>
        <w:numPr>
          <w:ilvl w:val="0"/>
          <w:numId w:val="192"/>
        </w:numPr>
        <w:pBdr>
          <w:top w:val="nil"/>
          <w:left w:val="nil"/>
          <w:bottom w:val="nil"/>
          <w:right w:val="nil"/>
          <w:between w:val="nil"/>
          <w:bar w:val="nil"/>
        </w:pBdr>
        <w:spacing w:after="0" w:line="240" w:lineRule="atLeast"/>
        <w:jc w:val="both"/>
        <w:rPr>
          <w:rFonts w:ascii="Garamond" w:hAnsi="Garamond"/>
          <w:szCs w:val="28"/>
          <w:u w:color="000000"/>
          <w:bdr w:val="nil"/>
          <w:lang w:val="en-US"/>
        </w:rPr>
      </w:pPr>
      <w:r>
        <w:rPr>
          <w:rFonts w:ascii="Garamond" w:hAnsi="Garamond"/>
          <w:szCs w:val="28"/>
          <w:u w:color="000000"/>
          <w:bdr w:val="nil"/>
          <w:lang w:val="en-US"/>
        </w:rPr>
        <w:t>i</w:t>
      </w:r>
      <w:r w:rsidR="003C51B1" w:rsidRPr="007767A0">
        <w:rPr>
          <w:rFonts w:ascii="Garamond" w:hAnsi="Garamond"/>
          <w:szCs w:val="28"/>
          <w:u w:color="000000"/>
          <w:bdr w:val="nil"/>
          <w:lang w:val="en-US"/>
        </w:rPr>
        <w:t>ndicate in which areas Krampt requires further analysis. Why?</w:t>
      </w:r>
    </w:p>
    <w:p w14:paraId="521F35E9" w14:textId="77777777" w:rsidR="007767A0" w:rsidRPr="0059237E" w:rsidRDefault="007767A0" w:rsidP="00436300">
      <w:pPr>
        <w:pBdr>
          <w:top w:val="nil"/>
          <w:left w:val="nil"/>
          <w:bottom w:val="nil"/>
          <w:right w:val="nil"/>
          <w:between w:val="nil"/>
          <w:bar w:val="nil"/>
        </w:pBdr>
        <w:spacing w:line="240" w:lineRule="atLeast"/>
        <w:rPr>
          <w:sz w:val="28"/>
          <w:szCs w:val="28"/>
          <w:u w:color="000000"/>
          <w:bdr w:val="nil"/>
          <w:lang w:val="fr-FR"/>
        </w:rPr>
      </w:pPr>
    </w:p>
    <w:tbl>
      <w:tblPr>
        <w:tblW w:w="900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570"/>
        <w:gridCol w:w="1875"/>
        <w:gridCol w:w="1815"/>
        <w:gridCol w:w="1740"/>
      </w:tblGrid>
      <w:tr w:rsidR="003C51B1" w:rsidRPr="0059237E" w14:paraId="4CA1691E" w14:textId="77777777" w:rsidTr="007767A0">
        <w:trPr>
          <w:trHeight w:val="310"/>
        </w:trPr>
        <w:tc>
          <w:tcPr>
            <w:tcW w:w="3570"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12641DB0" w14:textId="77777777" w:rsidR="003C51B1" w:rsidRPr="007767A0" w:rsidRDefault="003C51B1" w:rsidP="007767A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p>
        </w:tc>
        <w:tc>
          <w:tcPr>
            <w:tcW w:w="187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25D3ADF3" w14:textId="77777777" w:rsidR="003C51B1" w:rsidRPr="0059237E" w:rsidRDefault="003C51B1" w:rsidP="007767A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7767A0">
              <w:rPr>
                <w:rFonts w:eastAsia="Arial Unicode MS" w:cs="Arial Unicode MS"/>
                <w:sz w:val="28"/>
                <w:szCs w:val="28"/>
                <w:u w:color="000000"/>
                <w:bdr w:val="nil"/>
                <w:lang w:val="fr-FR"/>
              </w:rPr>
              <w:t>2015</w:t>
            </w:r>
          </w:p>
        </w:tc>
        <w:tc>
          <w:tcPr>
            <w:tcW w:w="18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44C501EB" w14:textId="77777777" w:rsidR="003C51B1" w:rsidRPr="0059237E" w:rsidRDefault="003C51B1" w:rsidP="007767A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7767A0">
              <w:rPr>
                <w:rFonts w:eastAsia="Arial Unicode MS" w:cs="Arial Unicode MS"/>
                <w:sz w:val="28"/>
                <w:szCs w:val="28"/>
                <w:u w:color="000000"/>
                <w:bdr w:val="nil"/>
                <w:lang w:val="fr-FR"/>
              </w:rPr>
              <w:t>2014</w:t>
            </w:r>
          </w:p>
        </w:tc>
        <w:tc>
          <w:tcPr>
            <w:tcW w:w="1740"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54E76884" w14:textId="77777777" w:rsidR="003C51B1" w:rsidRPr="0059237E" w:rsidRDefault="003C51B1" w:rsidP="007767A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7767A0">
              <w:rPr>
                <w:rFonts w:eastAsia="Arial Unicode MS" w:cs="Arial Unicode MS"/>
                <w:sz w:val="28"/>
                <w:szCs w:val="28"/>
                <w:u w:color="000000"/>
                <w:bdr w:val="nil"/>
                <w:lang w:val="fr-FR"/>
              </w:rPr>
              <w:t>2013</w:t>
            </w:r>
          </w:p>
        </w:tc>
      </w:tr>
      <w:tr w:rsidR="003C51B1" w:rsidRPr="0059237E" w14:paraId="3FDD9FC8" w14:textId="77777777" w:rsidTr="007767A0">
        <w:trPr>
          <w:trHeight w:val="310"/>
        </w:trPr>
        <w:tc>
          <w:tcPr>
            <w:tcW w:w="357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74A8394" w14:textId="77777777" w:rsidR="003C51B1" w:rsidRPr="0059237E" w:rsidRDefault="003C51B1" w:rsidP="00436300">
            <w:pPr>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Krampt International</w:t>
            </w:r>
          </w:p>
        </w:tc>
        <w:tc>
          <w:tcPr>
            <w:tcW w:w="18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0A6C33F"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8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89D12BE"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CE4C81C"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0EFD3F0C" w14:textId="77777777" w:rsidTr="007767A0">
        <w:trPr>
          <w:trHeight w:val="310"/>
        </w:trPr>
        <w:tc>
          <w:tcPr>
            <w:tcW w:w="357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4478BAE"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Financial leverage multiplier</w:t>
            </w:r>
          </w:p>
        </w:tc>
        <w:tc>
          <w:tcPr>
            <w:tcW w:w="18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7C66BC0"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1.86</w:t>
            </w:r>
          </w:p>
        </w:tc>
        <w:tc>
          <w:tcPr>
            <w:tcW w:w="18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22080E9"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1.86</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3FE5485"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1.99</w:t>
            </w:r>
          </w:p>
        </w:tc>
      </w:tr>
      <w:tr w:rsidR="003C51B1" w:rsidRPr="0059237E" w14:paraId="2F111969" w14:textId="77777777" w:rsidTr="007767A0">
        <w:trPr>
          <w:trHeight w:val="310"/>
        </w:trPr>
        <w:tc>
          <w:tcPr>
            <w:tcW w:w="357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46862D6"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Net profit margin</w:t>
            </w:r>
          </w:p>
        </w:tc>
        <w:tc>
          <w:tcPr>
            <w:tcW w:w="18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53A47D6A"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0.093</w:t>
            </w:r>
          </w:p>
        </w:tc>
        <w:tc>
          <w:tcPr>
            <w:tcW w:w="18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86C24E5"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0.089</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7D059C8"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0.083</w:t>
            </w:r>
          </w:p>
        </w:tc>
      </w:tr>
      <w:tr w:rsidR="003C51B1" w:rsidRPr="0059237E" w14:paraId="7577A72A" w14:textId="77777777" w:rsidTr="007767A0">
        <w:trPr>
          <w:trHeight w:val="310"/>
        </w:trPr>
        <w:tc>
          <w:tcPr>
            <w:tcW w:w="357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E089D1F"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Tax effect</w:t>
            </w:r>
          </w:p>
        </w:tc>
        <w:tc>
          <w:tcPr>
            <w:tcW w:w="18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B808F24"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3.33</w:t>
            </w:r>
          </w:p>
        </w:tc>
        <w:tc>
          <w:tcPr>
            <w:tcW w:w="18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E0052F6"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3.12</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D7B7D03"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2.96</w:t>
            </w:r>
          </w:p>
        </w:tc>
      </w:tr>
      <w:tr w:rsidR="003C51B1" w:rsidRPr="0059237E" w14:paraId="6928FDF9" w14:textId="77777777" w:rsidTr="007767A0">
        <w:trPr>
          <w:trHeight w:val="310"/>
        </w:trPr>
        <w:tc>
          <w:tcPr>
            <w:tcW w:w="357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A54F69D"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en-US"/>
              </w:rPr>
              <w:t>Industry Averages</w:t>
            </w:r>
          </w:p>
        </w:tc>
        <w:tc>
          <w:tcPr>
            <w:tcW w:w="18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8859E5A"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8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918E12D"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A834634" w14:textId="77777777" w:rsidR="003C51B1" w:rsidRPr="0059237E" w:rsidRDefault="003C51B1" w:rsidP="00436300">
            <w:pPr>
              <w:pBdr>
                <w:top w:val="nil"/>
                <w:left w:val="nil"/>
                <w:bottom w:val="nil"/>
                <w:right w:val="nil"/>
                <w:between w:val="nil"/>
                <w:bar w:val="nil"/>
              </w:pBdr>
              <w:spacing w:line="240" w:lineRule="atLeast"/>
              <w:rPr>
                <w:rFonts w:eastAsia="Arial Unicode MS"/>
                <w:sz w:val="28"/>
                <w:szCs w:val="28"/>
                <w:bdr w:val="nil"/>
                <w:lang w:val="en-US" w:eastAsia="en-US"/>
              </w:rPr>
            </w:pPr>
          </w:p>
        </w:tc>
      </w:tr>
      <w:tr w:rsidR="003C51B1" w:rsidRPr="0059237E" w14:paraId="41973B0B" w14:textId="77777777" w:rsidTr="007767A0">
        <w:trPr>
          <w:trHeight w:val="310"/>
        </w:trPr>
        <w:tc>
          <w:tcPr>
            <w:tcW w:w="357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4A4256D"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Financial leverage multiplier</w:t>
            </w:r>
          </w:p>
        </w:tc>
        <w:tc>
          <w:tcPr>
            <w:tcW w:w="18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83CBCFD"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1.69</w:t>
            </w:r>
          </w:p>
        </w:tc>
        <w:tc>
          <w:tcPr>
            <w:tcW w:w="18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D2AE917"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1.92</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23CCD28"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2.00</w:t>
            </w:r>
          </w:p>
        </w:tc>
      </w:tr>
      <w:tr w:rsidR="003C51B1" w:rsidRPr="0059237E" w14:paraId="5CBC2BD5" w14:textId="77777777" w:rsidTr="007767A0">
        <w:trPr>
          <w:trHeight w:val="310"/>
        </w:trPr>
        <w:tc>
          <w:tcPr>
            <w:tcW w:w="357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1C0E1B9"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Net profit margin</w:t>
            </w:r>
          </w:p>
        </w:tc>
        <w:tc>
          <w:tcPr>
            <w:tcW w:w="18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FA0500C"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0.089</w:t>
            </w:r>
          </w:p>
        </w:tc>
        <w:tc>
          <w:tcPr>
            <w:tcW w:w="18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42BAE09"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0.086</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AC0424C"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0.082</w:t>
            </w:r>
          </w:p>
        </w:tc>
      </w:tr>
      <w:tr w:rsidR="003C51B1" w:rsidRPr="0059237E" w14:paraId="7D961BD7" w14:textId="77777777" w:rsidTr="007767A0">
        <w:trPr>
          <w:trHeight w:val="310"/>
        </w:trPr>
        <w:tc>
          <w:tcPr>
            <w:tcW w:w="357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9EA7C7F" w14:textId="77777777" w:rsidR="003C51B1" w:rsidRPr="0059237E" w:rsidRDefault="003C51B1" w:rsidP="00436300">
            <w:pPr>
              <w:widowControl w:val="0"/>
              <w:pBdr>
                <w:top w:val="nil"/>
                <w:left w:val="nil"/>
                <w:bottom w:val="nil"/>
                <w:right w:val="nil"/>
                <w:between w:val="nil"/>
                <w:bar w:val="nil"/>
              </w:pBdr>
              <w:spacing w:line="240" w:lineRule="atLeast"/>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Tax effect</w:t>
            </w:r>
          </w:p>
        </w:tc>
        <w:tc>
          <w:tcPr>
            <w:tcW w:w="187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3B6E01C"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3.20</w:t>
            </w:r>
          </w:p>
        </w:tc>
        <w:tc>
          <w:tcPr>
            <w:tcW w:w="18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9C0996B"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3.09</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CCA7276" w14:textId="77777777" w:rsidR="003C51B1" w:rsidRPr="0059237E" w:rsidRDefault="003C51B1" w:rsidP="00436300">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lang w:val="fr-FR"/>
              </w:rPr>
              <w:t>2.92</w:t>
            </w:r>
          </w:p>
        </w:tc>
      </w:tr>
    </w:tbl>
    <w:p w14:paraId="02B6F46E" w14:textId="77777777" w:rsidR="003C51B1" w:rsidRPr="0059237E" w:rsidRDefault="003C51B1" w:rsidP="00436300">
      <w:pPr>
        <w:pBdr>
          <w:top w:val="nil"/>
          <w:left w:val="nil"/>
          <w:bottom w:val="nil"/>
          <w:right w:val="nil"/>
          <w:between w:val="nil"/>
          <w:bar w:val="nil"/>
        </w:pBdr>
        <w:spacing w:line="240" w:lineRule="atLeast"/>
        <w:rPr>
          <w:sz w:val="28"/>
          <w:szCs w:val="28"/>
          <w:u w:color="000000"/>
          <w:bdr w:val="nil"/>
          <w:lang w:val="fr-FR"/>
        </w:rPr>
      </w:pPr>
    </w:p>
    <w:p w14:paraId="3FCBD409" w14:textId="77777777" w:rsidR="007767A0" w:rsidRPr="007767A0" w:rsidRDefault="007767A0" w:rsidP="006F749C">
      <w:pPr>
        <w:pStyle w:val="ListParagraph"/>
        <w:numPr>
          <w:ilvl w:val="0"/>
          <w:numId w:val="191"/>
        </w:numPr>
        <w:pBdr>
          <w:top w:val="nil"/>
          <w:left w:val="nil"/>
          <w:bottom w:val="nil"/>
          <w:right w:val="nil"/>
          <w:between w:val="nil"/>
          <w:bar w:val="nil"/>
        </w:pBdr>
        <w:spacing w:after="0" w:line="240" w:lineRule="atLeast"/>
        <w:ind w:left="426"/>
        <w:jc w:val="both"/>
        <w:rPr>
          <w:rFonts w:ascii="Garamond" w:hAnsi="Garamond"/>
          <w:szCs w:val="28"/>
          <w:u w:color="000000"/>
          <w:bdr w:val="nil"/>
          <w:shd w:val="clear" w:color="auto" w:fill="FFFFFF"/>
          <w:lang w:val="en-US"/>
        </w:rPr>
      </w:pPr>
      <w:r w:rsidRPr="007767A0">
        <w:rPr>
          <w:rFonts w:ascii="Garamond" w:hAnsi="Garamond"/>
          <w:szCs w:val="28"/>
          <w:u w:color="000000"/>
          <w:bdr w:val="nil"/>
          <w:lang w:val="en-US"/>
        </w:rPr>
        <w:t>Manissa Constructor Company has sales of 5 million hryvnias and a gross profit margin of 50</w:t>
      </w:r>
      <w:r w:rsidR="00680EED">
        <w:rPr>
          <w:rFonts w:ascii="Garamond" w:hAnsi="Garamond"/>
          <w:szCs w:val="28"/>
          <w:u w:color="000000"/>
          <w:bdr w:val="nil"/>
          <w:lang w:val="en-US"/>
        </w:rPr>
        <w:t xml:space="preserve"> </w:t>
      </w:r>
      <w:r w:rsidRPr="007767A0">
        <w:rPr>
          <w:rFonts w:ascii="Garamond" w:hAnsi="Garamond"/>
          <w:szCs w:val="28"/>
          <w:u w:color="000000"/>
          <w:bdr w:val="nil"/>
          <w:lang w:val="en-US"/>
        </w:rPr>
        <w:t xml:space="preserve">%. </w:t>
      </w:r>
      <w:r w:rsidRPr="007767A0">
        <w:rPr>
          <w:rFonts w:ascii="Garamond" w:eastAsia="Arial Unicode MS" w:hAnsi="Garamond" w:cs="Arial Unicode MS"/>
          <w:szCs w:val="28"/>
          <w:u w:color="000000"/>
          <w:bdr w:val="nil"/>
          <w:shd w:val="clear" w:color="auto" w:fill="FFFFFF"/>
          <w:lang w:val="en-US"/>
        </w:rPr>
        <w:t xml:space="preserve">Find the average quarterly inventory and use it </w:t>
      </w:r>
      <w:r w:rsidR="004A4663">
        <w:rPr>
          <w:rFonts w:ascii="Garamond" w:eastAsia="Arial Unicode MS" w:hAnsi="Garamond" w:cs="Arial Unicode MS"/>
          <w:szCs w:val="28"/>
          <w:u w:color="000000"/>
          <w:bdr w:val="nil"/>
          <w:shd w:val="clear" w:color="auto" w:fill="FFFFFF"/>
          <w:lang w:val="en-US"/>
        </w:rPr>
        <w:t>to calculate</w:t>
      </w:r>
      <w:r w:rsidRPr="007767A0">
        <w:rPr>
          <w:rFonts w:ascii="Garamond" w:eastAsia="Arial Unicode MS" w:hAnsi="Garamond" w:cs="Arial Unicode MS"/>
          <w:szCs w:val="28"/>
          <w:u w:color="000000"/>
          <w:bdr w:val="nil"/>
          <w:shd w:val="clear" w:color="auto" w:fill="FFFFFF"/>
          <w:lang w:val="en-US"/>
        </w:rPr>
        <w:t xml:space="preserve"> the company’s inventory turnover and the average age of inventory. Assuming that the company </w:t>
      </w:r>
      <w:r w:rsidR="004A4663">
        <w:rPr>
          <w:rFonts w:ascii="Garamond" w:eastAsia="Arial Unicode MS" w:hAnsi="Garamond" w:cs="Arial Unicode MS"/>
          <w:szCs w:val="28"/>
          <w:u w:color="000000"/>
          <w:bdr w:val="nil"/>
          <w:shd w:val="clear" w:color="auto" w:fill="FFFFFF"/>
          <w:lang w:val="en-US"/>
        </w:rPr>
        <w:t xml:space="preserve">operates </w:t>
      </w:r>
      <w:r w:rsidRPr="007767A0">
        <w:rPr>
          <w:rFonts w:ascii="Garamond" w:eastAsia="Arial Unicode MS" w:hAnsi="Garamond" w:cs="Arial Unicode MS"/>
          <w:szCs w:val="28"/>
          <w:u w:color="000000"/>
          <w:bdr w:val="nil"/>
          <w:shd w:val="clear" w:color="auto" w:fill="FFFFFF"/>
          <w:lang w:val="en-US"/>
        </w:rPr>
        <w:t xml:space="preserve">in </w:t>
      </w:r>
      <w:r w:rsidR="004A4663">
        <w:rPr>
          <w:rFonts w:ascii="Garamond" w:eastAsia="Arial Unicode MS" w:hAnsi="Garamond" w:cs="Arial Unicode MS"/>
          <w:szCs w:val="28"/>
          <w:u w:color="000000"/>
          <w:bdr w:val="nil"/>
          <w:shd w:val="clear" w:color="auto" w:fill="FFFFFF"/>
          <w:lang w:val="en-US"/>
        </w:rPr>
        <w:t>the</w:t>
      </w:r>
      <w:r w:rsidRPr="007767A0">
        <w:rPr>
          <w:rFonts w:ascii="Garamond" w:eastAsia="Arial Unicode MS" w:hAnsi="Garamond" w:cs="Arial Unicode MS"/>
          <w:szCs w:val="28"/>
          <w:u w:color="000000"/>
          <w:bdr w:val="nil"/>
          <w:shd w:val="clear" w:color="auto" w:fill="FFFFFF"/>
          <w:lang w:val="en-US"/>
        </w:rPr>
        <w:t xml:space="preserve"> industry </w:t>
      </w:r>
      <w:r w:rsidR="004A4663">
        <w:rPr>
          <w:rFonts w:ascii="Garamond" w:eastAsia="Arial Unicode MS" w:hAnsi="Garamond" w:cs="Arial Unicode MS"/>
          <w:szCs w:val="28"/>
          <w:u w:color="000000"/>
          <w:bdr w:val="nil"/>
          <w:shd w:val="clear" w:color="auto" w:fill="FFFFFF"/>
          <w:lang w:val="en-US"/>
        </w:rPr>
        <w:t>that has</w:t>
      </w:r>
      <w:r w:rsidRPr="007767A0">
        <w:rPr>
          <w:rFonts w:ascii="Garamond" w:eastAsia="Arial Unicode MS" w:hAnsi="Garamond" w:cs="Arial Unicode MS"/>
          <w:szCs w:val="28"/>
          <w:u w:color="000000"/>
          <w:bdr w:val="nil"/>
          <w:shd w:val="clear" w:color="auto" w:fill="FFFFFF"/>
          <w:lang w:val="en-US"/>
        </w:rPr>
        <w:t xml:space="preserve"> an average inventory turnover of 2.0, how would you evaluate the activity of Manissa Constructor Company’</w:t>
      </w:r>
      <w:r w:rsidR="004A4663">
        <w:rPr>
          <w:rFonts w:ascii="Garamond" w:eastAsia="Arial Unicode MS" w:hAnsi="Garamond" w:cs="Arial Unicode MS"/>
          <w:szCs w:val="28"/>
          <w:u w:color="000000"/>
          <w:bdr w:val="nil"/>
          <w:shd w:val="clear" w:color="auto" w:fill="FFFFFF"/>
          <w:lang w:val="en-US"/>
        </w:rPr>
        <w:t>s</w:t>
      </w:r>
      <w:r w:rsidRPr="007767A0">
        <w:rPr>
          <w:rFonts w:ascii="Garamond" w:eastAsia="Arial Unicode MS" w:hAnsi="Garamond" w:cs="Arial Unicode MS"/>
          <w:szCs w:val="28"/>
          <w:u w:color="000000"/>
          <w:bdr w:val="nil"/>
          <w:shd w:val="clear" w:color="auto" w:fill="FFFFFF"/>
          <w:lang w:val="en-US"/>
        </w:rPr>
        <w:t xml:space="preserve"> inventory?</w:t>
      </w:r>
    </w:p>
    <w:p w14:paraId="09924055" w14:textId="77777777" w:rsidR="007767A0" w:rsidRDefault="007767A0" w:rsidP="007767A0">
      <w:pPr>
        <w:pStyle w:val="ListParagraph"/>
        <w:pBdr>
          <w:top w:val="nil"/>
          <w:left w:val="nil"/>
          <w:bottom w:val="nil"/>
          <w:right w:val="nil"/>
          <w:between w:val="nil"/>
          <w:bar w:val="nil"/>
        </w:pBdr>
        <w:spacing w:after="0" w:line="240" w:lineRule="atLeast"/>
        <w:ind w:left="426"/>
        <w:jc w:val="both"/>
        <w:rPr>
          <w:rFonts w:ascii="Garamond" w:hAnsi="Garamond"/>
          <w:szCs w:val="28"/>
          <w:u w:color="000000"/>
          <w:bdr w:val="nil"/>
          <w:lang w:val="en-US"/>
        </w:rPr>
      </w:pPr>
    </w:p>
    <w:p w14:paraId="4ABAA5F0" w14:textId="77777777" w:rsidR="007767A0" w:rsidRDefault="004A4663" w:rsidP="007767A0">
      <w:pPr>
        <w:pStyle w:val="ListParagraph"/>
        <w:pBdr>
          <w:top w:val="nil"/>
          <w:left w:val="nil"/>
          <w:bottom w:val="nil"/>
          <w:right w:val="nil"/>
          <w:between w:val="nil"/>
          <w:bar w:val="nil"/>
        </w:pBdr>
        <w:spacing w:after="0" w:line="240" w:lineRule="atLeast"/>
        <w:ind w:left="426"/>
        <w:jc w:val="center"/>
        <w:rPr>
          <w:rFonts w:ascii="Garamond" w:hAnsi="Garamond"/>
          <w:szCs w:val="28"/>
          <w:u w:color="000000"/>
          <w:bdr w:val="nil"/>
          <w:lang w:val="en-US"/>
        </w:rPr>
      </w:pPr>
      <w:r>
        <w:rPr>
          <w:rFonts w:ascii="Garamond" w:hAnsi="Garamond"/>
          <w:szCs w:val="28"/>
          <w:u w:color="000000"/>
          <w:bdr w:val="nil"/>
          <w:lang w:val="en-US"/>
        </w:rPr>
        <w:t>End</w:t>
      </w:r>
      <w:r w:rsidR="007767A0" w:rsidRPr="00436300">
        <w:rPr>
          <w:rFonts w:ascii="Garamond" w:hAnsi="Garamond"/>
          <w:szCs w:val="28"/>
          <w:u w:color="000000"/>
          <w:bdr w:val="nil"/>
          <w:lang w:val="en-US"/>
        </w:rPr>
        <w:t xml:space="preserve">-of-quarter inventories </w:t>
      </w:r>
      <w:r>
        <w:rPr>
          <w:rFonts w:ascii="Garamond" w:hAnsi="Garamond"/>
          <w:szCs w:val="28"/>
          <w:u w:color="000000"/>
          <w:bdr w:val="nil"/>
          <w:lang w:val="en-US"/>
        </w:rPr>
        <w:t>of the company</w:t>
      </w:r>
      <w:r w:rsidR="007767A0" w:rsidRPr="00436300">
        <w:rPr>
          <w:rFonts w:ascii="Garamond" w:hAnsi="Garamond"/>
          <w:szCs w:val="28"/>
          <w:u w:color="000000"/>
          <w:bdr w:val="nil"/>
          <w:lang w:val="en-US"/>
        </w:rPr>
        <w:t>:</w:t>
      </w:r>
    </w:p>
    <w:tbl>
      <w:tblPr>
        <w:tblW w:w="2715"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200"/>
        <w:gridCol w:w="1515"/>
      </w:tblGrid>
      <w:tr w:rsidR="007767A0" w:rsidRPr="0059237E" w14:paraId="7A2B3931" w14:textId="77777777" w:rsidTr="00DC7FC5">
        <w:trPr>
          <w:trHeight w:val="310"/>
          <w:jc w:val="center"/>
        </w:trPr>
        <w:tc>
          <w:tcPr>
            <w:tcW w:w="1200"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757CD6B4" w14:textId="77777777" w:rsidR="007767A0" w:rsidRPr="00436300" w:rsidRDefault="007767A0" w:rsidP="00DC7FC5">
            <w:pPr>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lastRenderedPageBreak/>
              <w:t>Quarter</w:t>
            </w:r>
          </w:p>
        </w:tc>
        <w:tc>
          <w:tcPr>
            <w:tcW w:w="15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tcPr>
          <w:p w14:paraId="5145B485" w14:textId="77777777" w:rsidR="007767A0" w:rsidRPr="00436300" w:rsidRDefault="007767A0" w:rsidP="00DC7FC5">
            <w:pPr>
              <w:pBdr>
                <w:top w:val="nil"/>
                <w:left w:val="nil"/>
                <w:bottom w:val="nil"/>
                <w:right w:val="nil"/>
                <w:between w:val="nil"/>
                <w:bar w:val="nil"/>
              </w:pBdr>
              <w:spacing w:line="240" w:lineRule="atLeast"/>
              <w:jc w:val="center"/>
              <w:rPr>
                <w:rFonts w:eastAsia="Calibri"/>
                <w:sz w:val="28"/>
                <w:szCs w:val="28"/>
                <w:u w:color="000000"/>
                <w:bdr w:val="nil"/>
                <w:lang w:val="en-US" w:eastAsia="en-US"/>
              </w:rPr>
            </w:pPr>
            <w:r w:rsidRPr="00436300">
              <w:rPr>
                <w:rFonts w:eastAsia="Calibri"/>
                <w:sz w:val="28"/>
                <w:szCs w:val="28"/>
                <w:u w:color="000000"/>
                <w:bdr w:val="nil"/>
                <w:lang w:val="en-US" w:eastAsia="en-US"/>
              </w:rPr>
              <w:t>Inventory</w:t>
            </w:r>
          </w:p>
        </w:tc>
      </w:tr>
      <w:tr w:rsidR="007767A0" w:rsidRPr="0059237E" w14:paraId="765ADBA9" w14:textId="77777777" w:rsidTr="00DC7FC5">
        <w:trPr>
          <w:trHeight w:val="310"/>
          <w:jc w:val="center"/>
        </w:trPr>
        <w:tc>
          <w:tcPr>
            <w:tcW w:w="120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73DF5B3"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1</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4F07B941"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360,000</w:t>
            </w:r>
          </w:p>
        </w:tc>
      </w:tr>
      <w:tr w:rsidR="007767A0" w:rsidRPr="0059237E" w14:paraId="26D052E6" w14:textId="77777777" w:rsidTr="00DC7FC5">
        <w:trPr>
          <w:trHeight w:val="310"/>
          <w:jc w:val="center"/>
        </w:trPr>
        <w:tc>
          <w:tcPr>
            <w:tcW w:w="120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16A9D590"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2</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0C72AFD6"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900,000</w:t>
            </w:r>
          </w:p>
        </w:tc>
      </w:tr>
      <w:tr w:rsidR="007767A0" w:rsidRPr="0059237E" w14:paraId="4928764C" w14:textId="77777777" w:rsidTr="00DC7FC5">
        <w:trPr>
          <w:trHeight w:val="310"/>
          <w:jc w:val="center"/>
        </w:trPr>
        <w:tc>
          <w:tcPr>
            <w:tcW w:w="120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21091733"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74CBCA9A"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1,200,000</w:t>
            </w:r>
          </w:p>
        </w:tc>
      </w:tr>
      <w:tr w:rsidR="007767A0" w:rsidRPr="0059237E" w14:paraId="7E7644A3" w14:textId="77777777" w:rsidTr="00DC7FC5">
        <w:trPr>
          <w:trHeight w:val="310"/>
          <w:jc w:val="center"/>
        </w:trPr>
        <w:tc>
          <w:tcPr>
            <w:tcW w:w="1200"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304F214B"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4</w:t>
            </w:r>
          </w:p>
        </w:tc>
        <w:tc>
          <w:tcPr>
            <w:tcW w:w="1515" w:type="dxa"/>
            <w:tcBorders>
              <w:top w:val="single" w:sz="8" w:space="0" w:color="000000"/>
              <w:left w:val="single" w:sz="8" w:space="0" w:color="000000"/>
              <w:bottom w:val="single" w:sz="8" w:space="0" w:color="000000"/>
              <w:right w:val="single" w:sz="8" w:space="0" w:color="000000"/>
            </w:tcBorders>
            <w:shd w:val="clear" w:color="auto" w:fill="auto"/>
            <w:tcMar>
              <w:top w:w="0" w:type="dxa"/>
              <w:left w:w="28" w:type="dxa"/>
              <w:bottom w:w="0" w:type="dxa"/>
              <w:right w:w="28" w:type="dxa"/>
            </w:tcMar>
          </w:tcPr>
          <w:p w14:paraId="66BD125C" w14:textId="77777777" w:rsidR="007767A0" w:rsidRPr="0059237E" w:rsidRDefault="007767A0" w:rsidP="00DC7FC5">
            <w:pPr>
              <w:widowControl w:val="0"/>
              <w:pBdr>
                <w:top w:val="nil"/>
                <w:left w:val="nil"/>
                <w:bottom w:val="nil"/>
                <w:right w:val="nil"/>
                <w:between w:val="nil"/>
                <w:bar w:val="nil"/>
              </w:pBdr>
              <w:spacing w:line="240" w:lineRule="atLeast"/>
              <w:jc w:val="center"/>
              <w:rPr>
                <w:rFonts w:eastAsia="Arial Unicode MS" w:cs="Arial Unicode MS"/>
                <w:sz w:val="28"/>
                <w:szCs w:val="28"/>
                <w:u w:color="000000"/>
                <w:bdr w:val="nil"/>
                <w:lang w:val="fr-FR"/>
              </w:rPr>
            </w:pPr>
            <w:r w:rsidRPr="0059237E">
              <w:rPr>
                <w:rFonts w:eastAsia="Arial Unicode MS" w:cs="Arial Unicode MS"/>
                <w:sz w:val="28"/>
                <w:szCs w:val="28"/>
                <w:u w:color="000000"/>
                <w:bdr w:val="nil"/>
                <w:shd w:val="clear" w:color="auto" w:fill="FFFFFF"/>
                <w:lang w:val="fr-FR"/>
              </w:rPr>
              <w:t>340,000</w:t>
            </w:r>
          </w:p>
        </w:tc>
      </w:tr>
    </w:tbl>
    <w:p w14:paraId="1A340CAA" w14:textId="77777777" w:rsidR="007767A0" w:rsidRPr="007767A0" w:rsidRDefault="007767A0" w:rsidP="007767A0">
      <w:pPr>
        <w:pStyle w:val="ListParagraph"/>
        <w:pBdr>
          <w:top w:val="nil"/>
          <w:left w:val="nil"/>
          <w:bottom w:val="nil"/>
          <w:right w:val="nil"/>
          <w:between w:val="nil"/>
          <w:bar w:val="nil"/>
        </w:pBdr>
        <w:spacing w:after="0" w:line="240" w:lineRule="atLeast"/>
        <w:ind w:left="426"/>
        <w:jc w:val="both"/>
        <w:rPr>
          <w:rFonts w:ascii="Garamond" w:hAnsi="Garamond"/>
          <w:szCs w:val="28"/>
          <w:u w:color="000000"/>
          <w:bdr w:val="nil"/>
          <w:shd w:val="clear" w:color="auto" w:fill="FFFFFF"/>
          <w:lang w:val="en-US"/>
        </w:rPr>
      </w:pPr>
    </w:p>
    <w:p w14:paraId="59D69B5D" w14:textId="77777777" w:rsidR="003C51B1" w:rsidRDefault="003C51B1" w:rsidP="003C51B1">
      <w:pPr>
        <w:pBdr>
          <w:top w:val="nil"/>
          <w:left w:val="nil"/>
          <w:bottom w:val="nil"/>
          <w:right w:val="nil"/>
          <w:between w:val="nil"/>
          <w:bar w:val="nil"/>
        </w:pBdr>
        <w:spacing w:line="276" w:lineRule="auto"/>
        <w:rPr>
          <w:sz w:val="28"/>
          <w:szCs w:val="28"/>
          <w:u w:color="000000"/>
          <w:bdr w:val="nil"/>
          <w:lang w:val="en-US"/>
        </w:rPr>
      </w:pPr>
    </w:p>
    <w:p w14:paraId="1913352D"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10EBB287"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3D2C9AD8"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733D13FA"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093450EA"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3710D47C"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1BB46AB9"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736EEE3B"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01B64207"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480FABEF"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1C43BBCE"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6D889F5B"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2D5657E0"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647602EA"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1E5AC358"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1B04D5DF"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238D89C1"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07EA7E5E"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49FE9A0A"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47684CD2"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0757F04E"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53AA95E9"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5245E09D"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5DC6C020"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2CC56457"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2BA739D8"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4962DDF2"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70E97BE1"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48426751" w14:textId="77777777" w:rsidR="00BC2E5D" w:rsidRDefault="00BC2E5D" w:rsidP="003C51B1">
      <w:pPr>
        <w:pBdr>
          <w:top w:val="nil"/>
          <w:left w:val="nil"/>
          <w:bottom w:val="nil"/>
          <w:right w:val="nil"/>
          <w:between w:val="nil"/>
          <w:bar w:val="nil"/>
        </w:pBdr>
        <w:spacing w:line="276" w:lineRule="auto"/>
        <w:rPr>
          <w:sz w:val="28"/>
          <w:szCs w:val="28"/>
          <w:u w:color="000000"/>
          <w:bdr w:val="nil"/>
          <w:lang w:val="en-US"/>
        </w:rPr>
      </w:pPr>
    </w:p>
    <w:p w14:paraId="36825C94" w14:textId="77777777" w:rsidR="00BC2E5D" w:rsidRPr="00BC2E5D" w:rsidRDefault="00BC2E5D" w:rsidP="00BC2E5D">
      <w:pPr>
        <w:keepNext/>
        <w:keepLines/>
        <w:pBdr>
          <w:top w:val="single" w:sz="6" w:space="6" w:color="808080"/>
          <w:bottom w:val="single" w:sz="6" w:space="6" w:color="808080"/>
        </w:pBdr>
        <w:spacing w:after="240" w:line="240" w:lineRule="atLeast"/>
        <w:jc w:val="center"/>
        <w:outlineLvl w:val="0"/>
        <w:rPr>
          <w:b/>
          <w:caps/>
          <w:color w:val="auto"/>
          <w:spacing w:val="20"/>
          <w:kern w:val="16"/>
          <w:sz w:val="28"/>
          <w:szCs w:val="18"/>
          <w:lang w:val="en-US" w:eastAsia="ru-RU"/>
        </w:rPr>
      </w:pPr>
      <w:r w:rsidRPr="00BC2E5D">
        <w:rPr>
          <w:b/>
          <w:caps/>
          <w:color w:val="auto"/>
          <w:spacing w:val="20"/>
          <w:kern w:val="16"/>
          <w:sz w:val="28"/>
          <w:szCs w:val="18"/>
          <w:lang w:val="en-US" w:eastAsia="ru-RU"/>
        </w:rPr>
        <w:lastRenderedPageBreak/>
        <w:t>Appendix B</w:t>
      </w:r>
    </w:p>
    <w:p w14:paraId="42265E8D" w14:textId="77777777" w:rsidR="00BC2E5D" w:rsidRPr="00BC2E5D" w:rsidRDefault="00BC2E5D" w:rsidP="004A4663">
      <w:pPr>
        <w:spacing w:line="312" w:lineRule="auto"/>
        <w:jc w:val="both"/>
        <w:rPr>
          <w:rFonts w:cs="Garamond"/>
          <w:b/>
          <w:color w:val="auto"/>
          <w:sz w:val="28"/>
          <w:lang w:val="en-US" w:eastAsia="ru-RU" w:bidi="ru-RU"/>
        </w:rPr>
      </w:pPr>
      <w:r w:rsidRPr="00BC2E5D">
        <w:rPr>
          <w:rFonts w:cs="Garamond"/>
          <w:b/>
          <w:color w:val="auto"/>
          <w:sz w:val="28"/>
          <w:lang w:val="en-US" w:eastAsia="ru-RU" w:bidi="ru-RU"/>
        </w:rPr>
        <w:t>Table B.1</w:t>
      </w:r>
      <w:r w:rsidR="00252DD6">
        <w:rPr>
          <w:rFonts w:cs="Garamond"/>
          <w:b/>
          <w:color w:val="auto"/>
          <w:sz w:val="28"/>
          <w:lang w:val="en-US" w:eastAsia="ru-RU" w:bidi="ru-RU"/>
        </w:rPr>
        <w:t xml:space="preserve"> </w:t>
      </w:r>
      <w:r w:rsidR="00252DD6">
        <w:rPr>
          <w:rFonts w:eastAsia="Garamond"/>
          <w:b/>
          <w:bCs/>
          <w:sz w:val="28"/>
          <w:u w:color="000000"/>
          <w:bdr w:val="nil"/>
          <w:lang w:val="en-US" w:eastAsia="en-US"/>
        </w:rPr>
        <w:t xml:space="preserve">– </w:t>
      </w:r>
      <w:r w:rsidRPr="00BC2E5D">
        <w:rPr>
          <w:rFonts w:cs="Garamond"/>
          <w:b/>
          <w:color w:val="auto"/>
          <w:sz w:val="28"/>
          <w:lang w:val="en-US" w:eastAsia="ru-RU" w:bidi="ru-RU"/>
        </w:rPr>
        <w:t>Key financial ratios for analyzing company’s strengths and weaknesses</w:t>
      </w:r>
    </w:p>
    <w:tbl>
      <w:tblPr>
        <w:tblStyle w:val="70"/>
        <w:tblW w:w="9617" w:type="dxa"/>
        <w:tblLayout w:type="fixed"/>
        <w:tblLook w:val="04A0" w:firstRow="1" w:lastRow="0" w:firstColumn="1" w:lastColumn="0" w:noHBand="0" w:noVBand="1"/>
      </w:tblPr>
      <w:tblGrid>
        <w:gridCol w:w="1992"/>
        <w:gridCol w:w="262"/>
        <w:gridCol w:w="2957"/>
        <w:gridCol w:w="1154"/>
        <w:gridCol w:w="122"/>
        <w:gridCol w:w="3130"/>
      </w:tblGrid>
      <w:tr w:rsidR="00BC2E5D" w:rsidRPr="00BC2E5D" w14:paraId="4DF55ECA" w14:textId="77777777" w:rsidTr="006C7966">
        <w:tc>
          <w:tcPr>
            <w:tcW w:w="1992" w:type="dxa"/>
            <w:shd w:val="clear" w:color="auto" w:fill="D9D9D9" w:themeFill="background1" w:themeFillShade="D9"/>
            <w:tcMar>
              <w:left w:w="28" w:type="dxa"/>
              <w:right w:w="28" w:type="dxa"/>
            </w:tcMar>
            <w:vAlign w:val="center"/>
          </w:tcPr>
          <w:p w14:paraId="55061752" w14:textId="77777777" w:rsidR="00BC2E5D" w:rsidRPr="00210D5C" w:rsidRDefault="00BC2E5D" w:rsidP="00BC2E5D">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Ratio</w:t>
            </w:r>
          </w:p>
        </w:tc>
        <w:tc>
          <w:tcPr>
            <w:tcW w:w="3219" w:type="dxa"/>
            <w:gridSpan w:val="2"/>
            <w:shd w:val="clear" w:color="auto" w:fill="D9D9D9" w:themeFill="background1" w:themeFillShade="D9"/>
            <w:tcMar>
              <w:left w:w="28" w:type="dxa"/>
              <w:right w:w="28" w:type="dxa"/>
            </w:tcMar>
            <w:vAlign w:val="center"/>
          </w:tcPr>
          <w:p w14:paraId="65B9854B" w14:textId="77777777" w:rsidR="00BC2E5D" w:rsidRPr="00210D5C" w:rsidRDefault="00BC2E5D" w:rsidP="00BC2E5D">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Calculation</w:t>
            </w:r>
          </w:p>
        </w:tc>
        <w:tc>
          <w:tcPr>
            <w:tcW w:w="1276" w:type="dxa"/>
            <w:gridSpan w:val="2"/>
            <w:shd w:val="clear" w:color="auto" w:fill="D9D9D9" w:themeFill="background1" w:themeFillShade="D9"/>
            <w:tcMar>
              <w:left w:w="28" w:type="dxa"/>
              <w:right w:w="28" w:type="dxa"/>
            </w:tcMar>
            <w:vAlign w:val="center"/>
          </w:tcPr>
          <w:p w14:paraId="193B8CA7" w14:textId="77777777" w:rsidR="00BC2E5D" w:rsidRPr="00210D5C" w:rsidRDefault="00BC2E5D" w:rsidP="00BC2E5D">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Criterion value</w:t>
            </w:r>
          </w:p>
        </w:tc>
        <w:tc>
          <w:tcPr>
            <w:tcW w:w="3130" w:type="dxa"/>
            <w:shd w:val="clear" w:color="auto" w:fill="D9D9D9" w:themeFill="background1" w:themeFillShade="D9"/>
            <w:tcMar>
              <w:left w:w="28" w:type="dxa"/>
              <w:right w:w="28" w:type="dxa"/>
            </w:tcMar>
            <w:vAlign w:val="center"/>
          </w:tcPr>
          <w:p w14:paraId="1C8FA68E" w14:textId="77777777" w:rsidR="00BC2E5D" w:rsidRPr="00210D5C" w:rsidRDefault="00BC2E5D" w:rsidP="00BC2E5D">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Comments</w:t>
            </w:r>
          </w:p>
        </w:tc>
      </w:tr>
      <w:tr w:rsidR="00BC2E5D" w:rsidRPr="00BC2E5D" w14:paraId="610FAEBA" w14:textId="77777777" w:rsidTr="006C7966">
        <w:tc>
          <w:tcPr>
            <w:tcW w:w="9617" w:type="dxa"/>
            <w:gridSpan w:val="6"/>
            <w:shd w:val="clear" w:color="auto" w:fill="BFBFBF" w:themeFill="background1" w:themeFillShade="BF"/>
            <w:tcMar>
              <w:left w:w="28" w:type="dxa"/>
              <w:right w:w="28" w:type="dxa"/>
            </w:tcMar>
          </w:tcPr>
          <w:p w14:paraId="594256FB" w14:textId="77777777" w:rsidR="00BC2E5D" w:rsidRPr="00BC2E5D" w:rsidRDefault="00BC2E5D" w:rsidP="00BC2E5D">
            <w:pPr>
              <w:spacing w:line="240" w:lineRule="atLeast"/>
              <w:contextualSpacing/>
              <w:jc w:val="center"/>
              <w:rPr>
                <w:rFonts w:ascii="Garamond" w:hAnsi="Garamond" w:cs="Garamond"/>
                <w:b/>
                <w:sz w:val="22"/>
                <w:szCs w:val="24"/>
                <w:lang w:val="en-US" w:bidi="ru-RU"/>
              </w:rPr>
            </w:pPr>
            <w:r w:rsidRPr="00BC2E5D">
              <w:rPr>
                <w:rFonts w:ascii="Garamond" w:hAnsi="Garamond" w:cs="Garamond"/>
                <w:b/>
                <w:sz w:val="22"/>
                <w:szCs w:val="24"/>
                <w:lang w:val="en-US" w:bidi="ru-RU"/>
              </w:rPr>
              <w:t>Liquidity ratios</w:t>
            </w:r>
          </w:p>
        </w:tc>
      </w:tr>
      <w:tr w:rsidR="00BC2E5D" w:rsidRPr="00BC2E5D" w14:paraId="105CFF6C" w14:textId="77777777" w:rsidTr="006C7966">
        <w:tc>
          <w:tcPr>
            <w:tcW w:w="2254" w:type="dxa"/>
            <w:gridSpan w:val="2"/>
            <w:tcMar>
              <w:left w:w="28" w:type="dxa"/>
              <w:right w:w="28" w:type="dxa"/>
            </w:tcMar>
            <w:vAlign w:val="center"/>
          </w:tcPr>
          <w:p w14:paraId="31AF03B7"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Current ratio (also referred as working capital ratio)</w:t>
            </w:r>
          </w:p>
        </w:tc>
        <w:tc>
          <w:tcPr>
            <w:tcW w:w="2957" w:type="dxa"/>
            <w:tcMar>
              <w:left w:w="28" w:type="dxa"/>
              <w:right w:w="28" w:type="dxa"/>
            </w:tcMar>
            <w:vAlign w:val="center"/>
          </w:tcPr>
          <w:p w14:paraId="222E5DC5" w14:textId="77777777" w:rsidR="00BC2E5D" w:rsidRPr="00BC2E5D" w:rsidRDefault="00000000" w:rsidP="00BC2E5D">
            <w:pPr>
              <w:spacing w:line="240" w:lineRule="atLeast"/>
              <w:contextualSpacing/>
              <w:jc w:val="center"/>
              <w:rPr>
                <w:rFonts w:ascii="Garamond" w:hAnsi="Garamond" w:cs="Garamond"/>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Current assets</m:t>
                    </m:r>
                  </m:num>
                  <m:den>
                    <m:r>
                      <m:rPr>
                        <m:sty m:val="p"/>
                      </m:rPr>
                      <w:rPr>
                        <w:rFonts w:ascii="Cambria Math" w:hAnsi="Cambria Math" w:cs="Garamond"/>
                        <w:szCs w:val="24"/>
                        <w:lang w:val="en-US" w:bidi="ru-RU"/>
                      </w:rPr>
                      <m:t>Current liabilities</m:t>
                    </m:r>
                  </m:den>
                </m:f>
              </m:oMath>
            </m:oMathPara>
          </w:p>
        </w:tc>
        <w:tc>
          <w:tcPr>
            <w:tcW w:w="1154" w:type="dxa"/>
            <w:tcMar>
              <w:left w:w="28" w:type="dxa"/>
              <w:right w:w="28" w:type="dxa"/>
            </w:tcMar>
            <w:vAlign w:val="center"/>
          </w:tcPr>
          <w:p w14:paraId="67D023AF"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&gt; 1</w:t>
            </w:r>
          </w:p>
        </w:tc>
        <w:tc>
          <w:tcPr>
            <w:tcW w:w="3252" w:type="dxa"/>
            <w:gridSpan w:val="2"/>
            <w:tcMar>
              <w:left w:w="28" w:type="dxa"/>
              <w:right w:w="28" w:type="dxa"/>
            </w:tcMar>
            <w:vAlign w:val="center"/>
          </w:tcPr>
          <w:p w14:paraId="36F5D79A" w14:textId="77777777" w:rsidR="00BC2E5D" w:rsidRPr="00BC2E5D" w:rsidRDefault="00BC2E5D" w:rsidP="006C7966">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 xml:space="preserve">A company with high current ratio may not always be able to pay its current liabilities </w:t>
            </w:r>
            <w:r w:rsidR="006C7966">
              <w:rPr>
                <w:rFonts w:ascii="Garamond" w:hAnsi="Garamond" w:cs="Garamond"/>
                <w:sz w:val="22"/>
                <w:szCs w:val="22"/>
                <w:lang w:val="en-US" w:bidi="ru-RU"/>
              </w:rPr>
              <w:t>because</w:t>
            </w:r>
            <w:r w:rsidR="004A4663">
              <w:rPr>
                <w:rFonts w:ascii="Garamond" w:hAnsi="Garamond" w:cs="Garamond"/>
                <w:sz w:val="22"/>
                <w:szCs w:val="22"/>
                <w:lang w:val="en-US" w:bidi="ru-RU"/>
              </w:rPr>
              <w:t xml:space="preserve"> o</w:t>
            </w:r>
            <w:r w:rsidRPr="00BC2E5D">
              <w:rPr>
                <w:rFonts w:ascii="Garamond" w:hAnsi="Garamond" w:cs="Garamond"/>
                <w:sz w:val="22"/>
                <w:szCs w:val="22"/>
                <w:lang w:val="en-US" w:bidi="ru-RU"/>
              </w:rPr>
              <w:t xml:space="preserve">f a large portion of its current assets consists of slow moving or obsolete inventories; different ratio in different parts of the year; change in inventory valuation method. </w:t>
            </w:r>
          </w:p>
        </w:tc>
      </w:tr>
      <w:tr w:rsidR="00BC2E5D" w:rsidRPr="00BC2E5D" w14:paraId="010F2CC9" w14:textId="77777777" w:rsidTr="006C7966">
        <w:tc>
          <w:tcPr>
            <w:tcW w:w="2254" w:type="dxa"/>
            <w:gridSpan w:val="2"/>
            <w:tcMar>
              <w:left w:w="28" w:type="dxa"/>
              <w:right w:w="28" w:type="dxa"/>
            </w:tcMar>
            <w:vAlign w:val="center"/>
          </w:tcPr>
          <w:p w14:paraId="5ABF88DB"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Quick ratio (also referred as acid test ratio and liquid ratio)</w:t>
            </w:r>
          </w:p>
        </w:tc>
        <w:tc>
          <w:tcPr>
            <w:tcW w:w="2957" w:type="dxa"/>
            <w:tcMar>
              <w:left w:w="28" w:type="dxa"/>
              <w:right w:w="28" w:type="dxa"/>
            </w:tcMar>
            <w:vAlign w:val="center"/>
          </w:tcPr>
          <w:p w14:paraId="00F2235D" w14:textId="77777777" w:rsidR="00BC2E5D" w:rsidRPr="006C7966" w:rsidRDefault="00000000" w:rsidP="00BC2E5D">
            <w:pPr>
              <w:spacing w:line="240" w:lineRule="atLeast"/>
              <w:contextualSpacing/>
              <w:jc w:val="center"/>
              <w:rPr>
                <w:rFonts w:ascii="Garamond" w:hAnsi="Garamond" w:cs="Garamond"/>
                <w:szCs w:val="22"/>
                <w:lang w:val="en-US" w:bidi="ru-RU"/>
              </w:rPr>
            </w:pPr>
            <m:oMathPara>
              <m:oMathParaPr>
                <m:jc m:val="center"/>
              </m:oMathParaPr>
              <m:oMath>
                <m:f>
                  <m:fPr>
                    <m:ctrlPr>
                      <w:rPr>
                        <w:rFonts w:ascii="Cambria Math" w:hAnsi="Cambria Math" w:cs="Garamond"/>
                        <w:szCs w:val="22"/>
                        <w:lang w:val="en-US" w:bidi="ru-RU"/>
                      </w:rPr>
                    </m:ctrlPr>
                  </m:fPr>
                  <m:num>
                    <m:r>
                      <m:rPr>
                        <m:sty m:val="p"/>
                      </m:rPr>
                      <w:rPr>
                        <w:rFonts w:ascii="Cambria Math" w:hAnsi="Cambria Math" w:cs="Garamond"/>
                        <w:szCs w:val="22"/>
                        <w:lang w:val="en-US" w:bidi="ru-RU"/>
                      </w:rPr>
                      <m:t>Quick assets</m:t>
                    </m:r>
                  </m:num>
                  <m:den>
                    <m:r>
                      <m:rPr>
                        <m:sty m:val="p"/>
                      </m:rPr>
                      <w:rPr>
                        <w:rFonts w:ascii="Cambria Math" w:hAnsi="Cambria Math" w:cs="Garamond"/>
                        <w:szCs w:val="22"/>
                        <w:lang w:val="en-US" w:bidi="ru-RU"/>
                      </w:rPr>
                      <m:t>Current liabilities</m:t>
                    </m:r>
                  </m:den>
                </m:f>
              </m:oMath>
            </m:oMathPara>
          </w:p>
          <w:p w14:paraId="6443462E" w14:textId="77777777" w:rsidR="00BC2E5D" w:rsidRPr="00BC2E5D" w:rsidRDefault="00BC2E5D" w:rsidP="00BC2E5D">
            <w:pPr>
              <w:spacing w:line="240" w:lineRule="atLeast"/>
              <w:contextualSpacing/>
              <w:jc w:val="center"/>
              <w:rPr>
                <w:rFonts w:ascii="Garamond" w:hAnsi="Garamond" w:cs="Garamond"/>
                <w:sz w:val="22"/>
                <w:szCs w:val="22"/>
                <w:lang w:val="en-US" w:bidi="ru-RU"/>
              </w:rPr>
            </w:pPr>
          </w:p>
        </w:tc>
        <w:tc>
          <w:tcPr>
            <w:tcW w:w="1154" w:type="dxa"/>
            <w:tcMar>
              <w:left w:w="28" w:type="dxa"/>
              <w:right w:w="28" w:type="dxa"/>
            </w:tcMar>
            <w:vAlign w:val="center"/>
          </w:tcPr>
          <w:p w14:paraId="03E830AD" w14:textId="77777777" w:rsidR="00BC2E5D" w:rsidRPr="00BC2E5D" w:rsidRDefault="006C7966" w:rsidP="006C7966">
            <w:pPr>
              <w:spacing w:line="240" w:lineRule="atLeast"/>
              <w:contextualSpacing/>
              <w:jc w:val="center"/>
              <w:rPr>
                <w:rFonts w:ascii="Garamond" w:hAnsi="Garamond" w:cs="Garamond"/>
                <w:sz w:val="22"/>
                <w:szCs w:val="24"/>
                <w:lang w:val="en-US" w:bidi="ru-RU"/>
              </w:rPr>
            </w:pPr>
            <w:r>
              <w:rPr>
                <w:rFonts w:ascii="Garamond" w:hAnsi="Garamond" w:cs="Garamond"/>
                <w:sz w:val="22"/>
                <w:szCs w:val="24"/>
                <w:lang w:val="en-US" w:bidi="ru-RU"/>
              </w:rPr>
              <w:t>0.6</w:t>
            </w:r>
            <w:r w:rsidR="00BC2E5D" w:rsidRPr="00BC2E5D">
              <w:rPr>
                <w:rFonts w:ascii="Garamond" w:hAnsi="Garamond" w:cs="Garamond"/>
                <w:sz w:val="22"/>
                <w:szCs w:val="24"/>
                <w:lang w:val="en-US" w:bidi="ru-RU"/>
              </w:rPr>
              <w:t>–0.8</w:t>
            </w:r>
          </w:p>
        </w:tc>
        <w:tc>
          <w:tcPr>
            <w:tcW w:w="3252" w:type="dxa"/>
            <w:gridSpan w:val="2"/>
            <w:tcMar>
              <w:left w:w="28" w:type="dxa"/>
              <w:right w:w="28" w:type="dxa"/>
            </w:tcMar>
            <w:vAlign w:val="center"/>
          </w:tcPr>
          <w:p w14:paraId="7DA0133E"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Qu</w:t>
            </w:r>
            <w:r w:rsidR="004A4663">
              <w:rPr>
                <w:rFonts w:ascii="Garamond" w:hAnsi="Garamond" w:cs="Garamond"/>
                <w:sz w:val="22"/>
                <w:szCs w:val="22"/>
                <w:lang w:val="en-US" w:bidi="ru-RU"/>
              </w:rPr>
              <w:t>ick assets are equal to sum of c</w:t>
            </w:r>
            <w:r w:rsidRPr="00BC2E5D">
              <w:rPr>
                <w:rFonts w:ascii="Garamond" w:hAnsi="Garamond" w:cs="Garamond"/>
                <w:sz w:val="22"/>
                <w:szCs w:val="22"/>
                <w:lang w:val="en-US" w:bidi="ru-RU"/>
              </w:rPr>
              <w:t>ash and cash equivalents, marketable securities and accounts receivable</w:t>
            </w:r>
          </w:p>
        </w:tc>
      </w:tr>
      <w:tr w:rsidR="00BC2E5D" w:rsidRPr="00BC2E5D" w14:paraId="3200C213" w14:textId="77777777" w:rsidTr="006C7966">
        <w:trPr>
          <w:trHeight w:val="69"/>
        </w:trPr>
        <w:tc>
          <w:tcPr>
            <w:tcW w:w="2254" w:type="dxa"/>
            <w:gridSpan w:val="2"/>
            <w:tcMar>
              <w:left w:w="28" w:type="dxa"/>
              <w:right w:w="28" w:type="dxa"/>
            </w:tcMar>
            <w:vAlign w:val="center"/>
          </w:tcPr>
          <w:p w14:paraId="3E35C6DA"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Absolute liquid ratio (also referred as cash ratio)</w:t>
            </w:r>
          </w:p>
        </w:tc>
        <w:tc>
          <w:tcPr>
            <w:tcW w:w="2957" w:type="dxa"/>
            <w:tcMar>
              <w:left w:w="28" w:type="dxa"/>
              <w:right w:w="28" w:type="dxa"/>
            </w:tcMar>
            <w:vAlign w:val="center"/>
          </w:tcPr>
          <w:p w14:paraId="301A7D01" w14:textId="77777777" w:rsidR="00BC2E5D" w:rsidRPr="00BC2E5D" w:rsidRDefault="00000000" w:rsidP="00AF5B66">
            <w:pPr>
              <w:spacing w:line="240" w:lineRule="atLeast"/>
              <w:contextualSpacing/>
              <w:jc w:val="center"/>
              <w:rPr>
                <w:rFonts w:ascii="Garamond" w:hAnsi="Garamond" w:cs="Garamond"/>
                <w:b/>
                <w:sz w:val="22"/>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Cash and short-term investments</m:t>
                    </m:r>
                  </m:num>
                  <m:den>
                    <m:r>
                      <m:rPr>
                        <m:sty m:val="p"/>
                      </m:rPr>
                      <w:rPr>
                        <w:rFonts w:ascii="Cambria Math" w:hAnsi="Cambria Math" w:cs="Garamond"/>
                        <w:szCs w:val="24"/>
                        <w:lang w:val="en-US" w:bidi="ru-RU"/>
                      </w:rPr>
                      <m:t>Current liabilities</m:t>
                    </m:r>
                  </m:den>
                </m:f>
              </m:oMath>
            </m:oMathPara>
          </w:p>
        </w:tc>
        <w:tc>
          <w:tcPr>
            <w:tcW w:w="1154" w:type="dxa"/>
            <w:tcMar>
              <w:left w:w="28" w:type="dxa"/>
              <w:right w:w="28" w:type="dxa"/>
            </w:tcMar>
            <w:vAlign w:val="center"/>
          </w:tcPr>
          <w:p w14:paraId="033A4C36" w14:textId="77777777" w:rsidR="00BC2E5D" w:rsidRPr="00BC2E5D" w:rsidRDefault="00BC2E5D" w:rsidP="00BC2E5D">
            <w:pPr>
              <w:spacing w:line="240" w:lineRule="atLeast"/>
              <w:jc w:val="center"/>
              <w:rPr>
                <w:rFonts w:ascii="Garamond" w:hAnsi="Garamond" w:cs="Garamond"/>
                <w:sz w:val="22"/>
                <w:szCs w:val="22"/>
                <w:lang w:val="en-US" w:bidi="ru-RU"/>
              </w:rPr>
            </w:pPr>
            <w:r w:rsidRPr="00BC2E5D">
              <w:rPr>
                <w:rFonts w:ascii="Garamond" w:hAnsi="Garamond" w:cs="Garamond"/>
                <w:sz w:val="22"/>
                <w:szCs w:val="22"/>
                <w:lang w:val="en-US" w:bidi="ru-RU"/>
              </w:rPr>
              <w:t xml:space="preserve">&gt; 0.25 </w:t>
            </w:r>
          </w:p>
          <w:p w14:paraId="6E8A539C" w14:textId="77777777" w:rsidR="00BC2E5D" w:rsidRPr="00BC2E5D" w:rsidRDefault="00BC2E5D" w:rsidP="00BC2E5D">
            <w:pPr>
              <w:spacing w:line="240" w:lineRule="atLeast"/>
              <w:jc w:val="center"/>
              <w:rPr>
                <w:rFonts w:ascii="Garamond" w:hAnsi="Garamond" w:cs="Garamond"/>
                <w:sz w:val="22"/>
                <w:szCs w:val="22"/>
                <w:lang w:val="en-US" w:bidi="ru-RU"/>
              </w:rPr>
            </w:pPr>
            <w:r w:rsidRPr="00BC2E5D">
              <w:rPr>
                <w:rFonts w:ascii="Garamond" w:hAnsi="Garamond" w:cs="Garamond"/>
                <w:sz w:val="22"/>
                <w:szCs w:val="22"/>
                <w:lang w:val="en-US" w:bidi="ru-RU"/>
              </w:rPr>
              <w:t>(increasing trend)</w:t>
            </w:r>
          </w:p>
        </w:tc>
        <w:tc>
          <w:tcPr>
            <w:tcW w:w="3252" w:type="dxa"/>
            <w:gridSpan w:val="2"/>
            <w:tcMar>
              <w:left w:w="28" w:type="dxa"/>
              <w:right w:w="28" w:type="dxa"/>
            </w:tcMar>
            <w:vAlign w:val="center"/>
          </w:tcPr>
          <w:p w14:paraId="4BB67704" w14:textId="77777777" w:rsidR="00BC2E5D" w:rsidRPr="00BC2E5D" w:rsidRDefault="00BC2E5D" w:rsidP="009F59F5">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Short-term investments include savings accou</w:t>
            </w:r>
            <w:r w:rsidR="009F59F5">
              <w:rPr>
                <w:rFonts w:ascii="Garamond" w:hAnsi="Garamond" w:cs="Garamond"/>
                <w:sz w:val="22"/>
                <w:szCs w:val="22"/>
                <w:lang w:val="en-US" w:bidi="ru-RU"/>
              </w:rPr>
              <w:t xml:space="preserve">nts, certificates of deposit </w:t>
            </w:r>
            <w:r w:rsidRPr="00BC2E5D">
              <w:rPr>
                <w:rFonts w:ascii="Garamond" w:hAnsi="Garamond" w:cs="Garamond"/>
                <w:sz w:val="22"/>
                <w:szCs w:val="22"/>
                <w:lang w:val="en-US" w:bidi="ru-RU"/>
              </w:rPr>
              <w:t>, treasury bills, bonds, etc.</w:t>
            </w:r>
          </w:p>
        </w:tc>
      </w:tr>
      <w:tr w:rsidR="00BC2E5D" w:rsidRPr="00BC2E5D" w14:paraId="529CF7E5" w14:textId="77777777" w:rsidTr="006C7966">
        <w:tc>
          <w:tcPr>
            <w:tcW w:w="9617" w:type="dxa"/>
            <w:gridSpan w:val="6"/>
            <w:shd w:val="clear" w:color="auto" w:fill="BFBFBF" w:themeFill="background1" w:themeFillShade="BF"/>
            <w:tcMar>
              <w:left w:w="28" w:type="dxa"/>
              <w:right w:w="28" w:type="dxa"/>
            </w:tcMar>
            <w:vAlign w:val="center"/>
          </w:tcPr>
          <w:p w14:paraId="622222C6" w14:textId="77777777" w:rsidR="00BC2E5D" w:rsidRPr="00BC2E5D" w:rsidRDefault="00BC2E5D" w:rsidP="00BC2E5D">
            <w:pPr>
              <w:spacing w:line="240" w:lineRule="atLeast"/>
              <w:contextualSpacing/>
              <w:jc w:val="center"/>
              <w:rPr>
                <w:rFonts w:ascii="Garamond" w:hAnsi="Garamond" w:cs="Garamond"/>
                <w:sz w:val="22"/>
                <w:szCs w:val="22"/>
                <w:lang w:val="en-US" w:bidi="ru-RU"/>
              </w:rPr>
            </w:pPr>
            <w:r w:rsidRPr="00BC2E5D">
              <w:rPr>
                <w:rFonts w:ascii="Garamond" w:hAnsi="Garamond" w:cs="Garamond"/>
                <w:b/>
                <w:sz w:val="22"/>
                <w:szCs w:val="22"/>
                <w:lang w:val="en-US" w:bidi="ru-RU"/>
              </w:rPr>
              <w:t>Solvency ratios</w:t>
            </w:r>
          </w:p>
        </w:tc>
      </w:tr>
      <w:tr w:rsidR="00BC2E5D" w:rsidRPr="00BC2E5D" w14:paraId="28B85C26" w14:textId="77777777" w:rsidTr="006C7966">
        <w:tc>
          <w:tcPr>
            <w:tcW w:w="2254" w:type="dxa"/>
            <w:gridSpan w:val="2"/>
            <w:tcMar>
              <w:left w:w="28" w:type="dxa"/>
              <w:right w:w="28" w:type="dxa"/>
            </w:tcMar>
            <w:vAlign w:val="center"/>
          </w:tcPr>
          <w:p w14:paraId="6ADEF098"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Debt ratio (also referred as debt to assets ratio)</w:t>
            </w:r>
          </w:p>
        </w:tc>
        <w:tc>
          <w:tcPr>
            <w:tcW w:w="2957" w:type="dxa"/>
            <w:tcMar>
              <w:left w:w="28" w:type="dxa"/>
              <w:right w:w="28" w:type="dxa"/>
            </w:tcMar>
            <w:vAlign w:val="center"/>
          </w:tcPr>
          <w:p w14:paraId="05C0E059" w14:textId="77777777" w:rsidR="00BC2E5D" w:rsidRPr="00BC2E5D" w:rsidRDefault="00000000" w:rsidP="00BC2E5D">
            <w:pPr>
              <w:spacing w:line="240" w:lineRule="atLeast"/>
              <w:contextualSpacing/>
              <w:jc w:val="center"/>
              <w:rPr>
                <w:rFonts w:ascii="Garamond" w:hAnsi="Garamond" w:cs="Garamond"/>
                <w:b/>
                <w:sz w:val="22"/>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Total debt</m:t>
                    </m:r>
                  </m:num>
                  <m:den>
                    <m:r>
                      <m:rPr>
                        <m:sty m:val="p"/>
                      </m:rPr>
                      <w:rPr>
                        <w:rFonts w:ascii="Cambria Math" w:hAnsi="Cambria Math" w:cs="Garamond"/>
                        <w:szCs w:val="24"/>
                        <w:lang w:val="en-US" w:bidi="ru-RU"/>
                      </w:rPr>
                      <m:t>Total assets</m:t>
                    </m:r>
                  </m:den>
                </m:f>
              </m:oMath>
            </m:oMathPara>
          </w:p>
        </w:tc>
        <w:tc>
          <w:tcPr>
            <w:tcW w:w="1154" w:type="dxa"/>
            <w:tcMar>
              <w:left w:w="28" w:type="dxa"/>
              <w:right w:w="28" w:type="dxa"/>
            </w:tcMar>
            <w:vAlign w:val="center"/>
          </w:tcPr>
          <w:p w14:paraId="536B63D0"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&gt; 0.50</w:t>
            </w:r>
          </w:p>
        </w:tc>
        <w:tc>
          <w:tcPr>
            <w:tcW w:w="3252" w:type="dxa"/>
            <w:gridSpan w:val="2"/>
            <w:tcMar>
              <w:left w:w="28" w:type="dxa"/>
              <w:right w:w="28" w:type="dxa"/>
            </w:tcMar>
            <w:vAlign w:val="center"/>
          </w:tcPr>
          <w:p w14:paraId="59E10637" w14:textId="77777777" w:rsidR="00BC2E5D" w:rsidRPr="00BC2E5D" w:rsidRDefault="00BC2E5D" w:rsidP="00BC2E5D">
            <w:pPr>
              <w:spacing w:line="240" w:lineRule="atLeast"/>
              <w:contextualSpacing/>
              <w:rPr>
                <w:rFonts w:ascii="Garamond" w:hAnsi="Garamond" w:cs="Garamond"/>
                <w:sz w:val="22"/>
                <w:szCs w:val="22"/>
                <w:lang w:val="en-US" w:bidi="ru-RU"/>
              </w:rPr>
            </w:pPr>
          </w:p>
        </w:tc>
      </w:tr>
      <w:tr w:rsidR="00BC2E5D" w:rsidRPr="00BC2E5D" w14:paraId="42CE27C8" w14:textId="77777777" w:rsidTr="006C7966">
        <w:tc>
          <w:tcPr>
            <w:tcW w:w="2254" w:type="dxa"/>
            <w:gridSpan w:val="2"/>
            <w:tcMar>
              <w:left w:w="28" w:type="dxa"/>
              <w:right w:w="28" w:type="dxa"/>
            </w:tcMar>
            <w:vAlign w:val="center"/>
          </w:tcPr>
          <w:p w14:paraId="43B3F46C"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Debt to equity ratio (also referred as external-internal equity ratio)</w:t>
            </w:r>
          </w:p>
        </w:tc>
        <w:tc>
          <w:tcPr>
            <w:tcW w:w="2957" w:type="dxa"/>
            <w:tcMar>
              <w:left w:w="28" w:type="dxa"/>
              <w:right w:w="28" w:type="dxa"/>
            </w:tcMar>
            <w:vAlign w:val="center"/>
          </w:tcPr>
          <w:p w14:paraId="69B4AC2C" w14:textId="77777777" w:rsidR="00BC2E5D" w:rsidRPr="00BC2E5D" w:rsidRDefault="00000000" w:rsidP="00BC2E5D">
            <w:pPr>
              <w:spacing w:line="240" w:lineRule="atLeast"/>
              <w:contextualSpacing/>
              <w:jc w:val="center"/>
              <w:rPr>
                <w:rFonts w:ascii="Garamond" w:hAnsi="Garamond" w:cs="Garamond"/>
                <w:b/>
                <w:sz w:val="22"/>
                <w:szCs w:val="22"/>
                <w:lang w:val="en-US" w:bidi="ru-RU"/>
              </w:rPr>
            </w:pPr>
            <m:oMathPara>
              <m:oMath>
                <m:f>
                  <m:fPr>
                    <m:ctrlPr>
                      <w:rPr>
                        <w:rFonts w:ascii="Cambria Math" w:hAnsi="Cambria Math" w:cs="Garamond"/>
                        <w:szCs w:val="22"/>
                        <w:lang w:val="en-US" w:bidi="ru-RU"/>
                      </w:rPr>
                    </m:ctrlPr>
                  </m:fPr>
                  <m:num>
                    <m:r>
                      <m:rPr>
                        <m:sty m:val="p"/>
                      </m:rPr>
                      <w:rPr>
                        <w:rFonts w:ascii="Cambria Math" w:hAnsi="Cambria Math" w:cs="Garamond"/>
                        <w:szCs w:val="22"/>
                        <w:lang w:val="en-US" w:bidi="ru-RU"/>
                      </w:rPr>
                      <m:t>Total liabilities</m:t>
                    </m:r>
                  </m:num>
                  <m:den>
                    <m:sSup>
                      <m:sSupPr>
                        <m:ctrlPr>
                          <w:rPr>
                            <w:rFonts w:ascii="Cambria Math" w:hAnsi="Cambria Math" w:cs="Garamond"/>
                            <w:szCs w:val="22"/>
                            <w:lang w:val="en-US" w:bidi="ru-RU"/>
                          </w:rPr>
                        </m:ctrlPr>
                      </m:sSupPr>
                      <m:e>
                        <m:r>
                          <m:rPr>
                            <m:sty m:val="p"/>
                          </m:rPr>
                          <w:rPr>
                            <w:rFonts w:ascii="Cambria Math" w:hAnsi="Cambria Math" w:cs="Garamond"/>
                            <w:szCs w:val="22"/>
                            <w:lang w:val="en-US" w:bidi="ru-RU"/>
                          </w:rPr>
                          <m:t>Stockholder</m:t>
                        </m:r>
                      </m:e>
                      <m:sup>
                        <m:r>
                          <m:rPr>
                            <m:sty m:val="p"/>
                          </m:rPr>
                          <w:rPr>
                            <w:rFonts w:ascii="Cambria Math" w:hAnsi="Cambria Math" w:cs="Garamond"/>
                            <w:szCs w:val="22"/>
                            <w:lang w:val="en-US" w:bidi="ru-RU"/>
                          </w:rPr>
                          <m:t>'</m:t>
                        </m:r>
                      </m:sup>
                    </m:sSup>
                    <m:r>
                      <m:rPr>
                        <m:sty m:val="p"/>
                      </m:rPr>
                      <w:rPr>
                        <w:rFonts w:ascii="Cambria Math" w:hAnsi="Cambria Math" w:cs="Garamond"/>
                        <w:szCs w:val="22"/>
                        <w:lang w:val="en-US" w:bidi="ru-RU"/>
                      </w:rPr>
                      <m:t>s equity</m:t>
                    </m:r>
                  </m:den>
                </m:f>
              </m:oMath>
            </m:oMathPara>
          </w:p>
        </w:tc>
        <w:tc>
          <w:tcPr>
            <w:tcW w:w="1154" w:type="dxa"/>
            <w:tcMar>
              <w:left w:w="28" w:type="dxa"/>
              <w:right w:w="28" w:type="dxa"/>
            </w:tcMar>
            <w:vAlign w:val="center"/>
          </w:tcPr>
          <w:p w14:paraId="533E0520"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&lt;</w:t>
            </w:r>
            <w:r w:rsidR="004A4663">
              <w:rPr>
                <w:rFonts w:ascii="Garamond" w:hAnsi="Garamond" w:cs="Garamond"/>
                <w:sz w:val="22"/>
                <w:szCs w:val="24"/>
                <w:lang w:val="en-US" w:bidi="ru-RU"/>
              </w:rPr>
              <w:t xml:space="preserve"> </w:t>
            </w:r>
            <w:r w:rsidRPr="00BC2E5D">
              <w:rPr>
                <w:rFonts w:ascii="Garamond" w:hAnsi="Garamond" w:cs="Garamond"/>
                <w:sz w:val="22"/>
                <w:szCs w:val="24"/>
                <w:lang w:val="en-US" w:bidi="ru-RU"/>
              </w:rPr>
              <w:t>1</w:t>
            </w:r>
          </w:p>
          <w:p w14:paraId="0D57811B"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(decreasing trend)</w:t>
            </w:r>
          </w:p>
        </w:tc>
        <w:tc>
          <w:tcPr>
            <w:tcW w:w="3252" w:type="dxa"/>
            <w:gridSpan w:val="2"/>
            <w:tcMar>
              <w:left w:w="28" w:type="dxa"/>
              <w:right w:w="28" w:type="dxa"/>
            </w:tcMar>
            <w:vAlign w:val="center"/>
          </w:tcPr>
          <w:p w14:paraId="7100B289"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Total liabilities are equal to the sum of Short-term liabilities and Long-term liabilities</w:t>
            </w:r>
          </w:p>
        </w:tc>
      </w:tr>
      <w:tr w:rsidR="00BC2E5D" w:rsidRPr="00BC2E5D" w14:paraId="024D6777" w14:textId="77777777" w:rsidTr="006C7966">
        <w:tc>
          <w:tcPr>
            <w:tcW w:w="2254" w:type="dxa"/>
            <w:gridSpan w:val="2"/>
            <w:tcMar>
              <w:left w:w="28" w:type="dxa"/>
              <w:right w:w="28" w:type="dxa"/>
            </w:tcMar>
            <w:vAlign w:val="center"/>
          </w:tcPr>
          <w:p w14:paraId="79D900CA"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Solvency ratio</w:t>
            </w:r>
          </w:p>
        </w:tc>
        <w:tc>
          <w:tcPr>
            <w:tcW w:w="2957" w:type="dxa"/>
            <w:tcMar>
              <w:left w:w="28" w:type="dxa"/>
              <w:right w:w="28" w:type="dxa"/>
            </w:tcMar>
            <w:vAlign w:val="center"/>
          </w:tcPr>
          <w:p w14:paraId="15003D1F" w14:textId="77777777" w:rsidR="00BC2E5D" w:rsidRPr="00BC2E5D" w:rsidRDefault="00000000" w:rsidP="00BC2E5D">
            <w:pPr>
              <w:spacing w:line="240" w:lineRule="atLeast"/>
              <w:contextualSpacing/>
              <w:jc w:val="center"/>
              <w:rPr>
                <w:rFonts w:ascii="Garamond" w:hAnsi="Garamond" w:cs="Garamond"/>
                <w:b/>
                <w:sz w:val="24"/>
                <w:szCs w:val="24"/>
                <w:lang w:val="en-US" w:bidi="ru-RU"/>
              </w:rPr>
            </w:pPr>
            <m:oMathPara>
              <m:oMath>
                <m:f>
                  <m:fPr>
                    <m:ctrlPr>
                      <w:rPr>
                        <w:rFonts w:ascii="Cambria Math" w:hAnsi="Cambria Math" w:cs="Garamond"/>
                        <w:szCs w:val="22"/>
                        <w:lang w:val="en-US" w:bidi="ru-RU"/>
                      </w:rPr>
                    </m:ctrlPr>
                  </m:fPr>
                  <m:num>
                    <m:r>
                      <m:rPr>
                        <m:sty m:val="p"/>
                      </m:rPr>
                      <w:rPr>
                        <w:rFonts w:ascii="Cambria Math" w:hAnsi="Cambria Math" w:cs="Garamond"/>
                        <w:szCs w:val="22"/>
                        <w:lang w:val="en-US" w:bidi="ru-RU"/>
                      </w:rPr>
                      <m:t>Net income+Noncash expenses</m:t>
                    </m:r>
                  </m:num>
                  <m:den>
                    <m:r>
                      <m:rPr>
                        <m:sty m:val="p"/>
                      </m:rPr>
                      <w:rPr>
                        <w:rFonts w:ascii="Cambria Math" w:hAnsi="Cambria Math" w:cs="Garamond"/>
                        <w:szCs w:val="22"/>
                        <w:lang w:val="en-US" w:bidi="ru-RU"/>
                      </w:rPr>
                      <m:t>Total liabilities</m:t>
                    </m:r>
                  </m:den>
                </m:f>
              </m:oMath>
            </m:oMathPara>
          </w:p>
        </w:tc>
        <w:tc>
          <w:tcPr>
            <w:tcW w:w="1154" w:type="dxa"/>
            <w:tcMar>
              <w:left w:w="28" w:type="dxa"/>
              <w:right w:w="28" w:type="dxa"/>
            </w:tcMar>
            <w:vAlign w:val="center"/>
          </w:tcPr>
          <w:p w14:paraId="45358BC7" w14:textId="77777777" w:rsidR="00BC2E5D" w:rsidRPr="00BC2E5D" w:rsidRDefault="00BC2E5D" w:rsidP="00BC2E5D">
            <w:pPr>
              <w:spacing w:line="240" w:lineRule="atLeast"/>
              <w:jc w:val="center"/>
              <w:rPr>
                <w:rFonts w:ascii="Garamond" w:hAnsi="Garamond" w:cs="Garamond"/>
                <w:sz w:val="22"/>
                <w:szCs w:val="22"/>
                <w:lang w:val="en-US" w:bidi="ru-RU"/>
              </w:rPr>
            </w:pPr>
            <w:r w:rsidRPr="00BC2E5D">
              <w:rPr>
                <w:rFonts w:ascii="Garamond" w:hAnsi="Garamond" w:cs="Garamond"/>
                <w:sz w:val="22"/>
                <w:szCs w:val="22"/>
                <w:lang w:val="en-US" w:bidi="ru-RU"/>
              </w:rPr>
              <w:t xml:space="preserve">&gt; 0 </w:t>
            </w:r>
          </w:p>
          <w:p w14:paraId="32403001" w14:textId="77777777" w:rsidR="00BC2E5D" w:rsidRPr="00BC2E5D" w:rsidRDefault="00BC2E5D"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2"/>
                <w:szCs w:val="22"/>
                <w:lang w:val="en-US" w:bidi="ru-RU"/>
              </w:rPr>
              <w:t>(increasing trend)</w:t>
            </w:r>
          </w:p>
        </w:tc>
        <w:tc>
          <w:tcPr>
            <w:tcW w:w="3252" w:type="dxa"/>
            <w:gridSpan w:val="2"/>
            <w:tcMar>
              <w:left w:w="28" w:type="dxa"/>
              <w:right w:w="28" w:type="dxa"/>
            </w:tcMar>
            <w:vAlign w:val="center"/>
          </w:tcPr>
          <w:p w14:paraId="637E609E"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Total liabilities are equal to the sum of Short-term liabilities and Long-term liabilities. Common examples of noncash expenses are depreciation and amortization of bond issue costs</w:t>
            </w:r>
          </w:p>
        </w:tc>
      </w:tr>
      <w:tr w:rsidR="00BC2E5D" w:rsidRPr="00BC2E5D" w14:paraId="6A6ACBC9" w14:textId="77777777" w:rsidTr="006C7966">
        <w:tc>
          <w:tcPr>
            <w:tcW w:w="2254" w:type="dxa"/>
            <w:gridSpan w:val="2"/>
            <w:tcMar>
              <w:left w:w="28" w:type="dxa"/>
              <w:right w:w="28" w:type="dxa"/>
            </w:tcMar>
            <w:vAlign w:val="center"/>
          </w:tcPr>
          <w:p w14:paraId="6E870071"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Working capital to stockholder’s equity ratio</w:t>
            </w:r>
          </w:p>
        </w:tc>
        <w:tc>
          <w:tcPr>
            <w:tcW w:w="2957" w:type="dxa"/>
            <w:tcMar>
              <w:left w:w="28" w:type="dxa"/>
              <w:right w:w="28" w:type="dxa"/>
            </w:tcMar>
            <w:vAlign w:val="center"/>
          </w:tcPr>
          <w:p w14:paraId="4C28E271" w14:textId="77777777" w:rsidR="00BC2E5D" w:rsidRPr="00BC2E5D" w:rsidRDefault="00000000" w:rsidP="00AF5B66">
            <w:pPr>
              <w:spacing w:line="240" w:lineRule="atLeast"/>
              <w:contextualSpacing/>
              <w:jc w:val="center"/>
              <w:rPr>
                <w:rFonts w:ascii="Garamond" w:hAnsi="Garamond" w:cs="Garamond"/>
                <w:b/>
                <w:sz w:val="24"/>
                <w:szCs w:val="24"/>
                <w:lang w:val="en-US" w:bidi="ru-RU"/>
              </w:rPr>
            </w:pPr>
            <m:oMath>
              <m:f>
                <m:fPr>
                  <m:ctrlPr>
                    <w:rPr>
                      <w:rFonts w:ascii="Cambria Math" w:hAnsi="Cambria Math" w:cs="Garamond"/>
                      <w:sz w:val="22"/>
                      <w:szCs w:val="24"/>
                      <w:lang w:val="en-US" w:bidi="ru-RU"/>
                    </w:rPr>
                  </m:ctrlPr>
                </m:fPr>
                <m:num>
                  <m:r>
                    <m:rPr>
                      <m:sty m:val="p"/>
                    </m:rPr>
                    <w:rPr>
                      <w:rFonts w:ascii="Cambria Math" w:hAnsi="Cambria Math" w:cs="Garamond"/>
                      <w:sz w:val="22"/>
                      <w:szCs w:val="24"/>
                      <w:lang w:val="en-US" w:bidi="ru-RU"/>
                    </w:rPr>
                    <m:t>Net working capital</m:t>
                  </m:r>
                </m:num>
                <m:den>
                  <m:sSup>
                    <m:sSupPr>
                      <m:ctrlPr>
                        <w:rPr>
                          <w:rFonts w:ascii="Cambria Math" w:hAnsi="Cambria Math" w:cs="Garamond"/>
                          <w:sz w:val="22"/>
                          <w:szCs w:val="24"/>
                          <w:lang w:val="en-US" w:bidi="ru-RU"/>
                        </w:rPr>
                      </m:ctrlPr>
                    </m:sSupPr>
                    <m:e>
                      <m:r>
                        <m:rPr>
                          <m:sty m:val="p"/>
                        </m:rPr>
                        <w:rPr>
                          <w:rFonts w:ascii="Cambria Math" w:hAnsi="Cambria Math" w:cs="Garamond"/>
                          <w:sz w:val="22"/>
                          <w:szCs w:val="24"/>
                          <w:lang w:val="en-US" w:bidi="ru-RU"/>
                        </w:rPr>
                        <m:t>Stockholder</m:t>
                      </m:r>
                    </m:e>
                    <m:sup>
                      <m:r>
                        <m:rPr>
                          <m:sty m:val="p"/>
                        </m:rPr>
                        <w:rPr>
                          <w:rFonts w:ascii="Cambria Math" w:hAnsi="Cambria Math" w:cs="Garamond"/>
                          <w:sz w:val="22"/>
                          <w:szCs w:val="24"/>
                          <w:lang w:val="en-US" w:bidi="ru-RU"/>
                        </w:rPr>
                        <m:t>'</m:t>
                      </m:r>
                    </m:sup>
                  </m:sSup>
                  <m:r>
                    <m:rPr>
                      <m:sty m:val="p"/>
                    </m:rPr>
                    <w:rPr>
                      <w:rFonts w:ascii="Cambria Math" w:hAnsi="Cambria Math" w:cs="Garamond"/>
                      <w:sz w:val="22"/>
                      <w:szCs w:val="24"/>
                      <w:lang w:val="en-US" w:bidi="ru-RU"/>
                    </w:rPr>
                    <m:t>sequity</m:t>
                  </m:r>
                </m:den>
              </m:f>
            </m:oMath>
            <w:r w:rsidR="00BC2E5D" w:rsidRPr="00BC2E5D">
              <w:rPr>
                <w:rFonts w:ascii="Garamond" w:hAnsi="Garamond" w:cs="Garamond"/>
                <w:sz w:val="22"/>
                <w:szCs w:val="24"/>
                <w:lang w:val="en-US" w:bidi="ru-RU"/>
              </w:rPr>
              <w:t xml:space="preserve"> </w:t>
            </w:r>
            <w:r w:rsidR="00AF5B66">
              <w:rPr>
                <w:rFonts w:ascii="Garamond" w:hAnsi="Garamond" w:cs="Garamond"/>
                <w:sz w:val="24"/>
                <w:szCs w:val="24"/>
                <w:lang w:val="en-US" w:bidi="ru-RU"/>
              </w:rPr>
              <w:t>∙</w:t>
            </w:r>
            <w:r w:rsidR="00BC2E5D" w:rsidRPr="00BC2E5D">
              <w:rPr>
                <w:rFonts w:ascii="Garamond" w:hAnsi="Garamond" w:cs="Garamond"/>
                <w:sz w:val="24"/>
                <w:szCs w:val="24"/>
                <w:lang w:val="en-US" w:bidi="ru-RU"/>
              </w:rPr>
              <w:t>100</w:t>
            </w:r>
            <w:r w:rsidR="006C7966">
              <w:rPr>
                <w:rFonts w:ascii="Garamond" w:hAnsi="Garamond" w:cs="Garamond"/>
                <w:sz w:val="24"/>
                <w:szCs w:val="24"/>
                <w:lang w:val="en-US" w:bidi="ru-RU"/>
              </w:rPr>
              <w:t xml:space="preserve"> </w:t>
            </w:r>
            <w:r w:rsidR="00BC2E5D" w:rsidRPr="00BC2E5D">
              <w:rPr>
                <w:rFonts w:ascii="Garamond" w:hAnsi="Garamond" w:cs="Garamond"/>
                <w:sz w:val="24"/>
                <w:szCs w:val="24"/>
                <w:lang w:val="en-US" w:bidi="ru-RU"/>
              </w:rPr>
              <w:t>%</w:t>
            </w:r>
          </w:p>
        </w:tc>
        <w:tc>
          <w:tcPr>
            <w:tcW w:w="1154" w:type="dxa"/>
            <w:tcMar>
              <w:left w:w="28" w:type="dxa"/>
              <w:right w:w="28" w:type="dxa"/>
            </w:tcMar>
            <w:vAlign w:val="center"/>
          </w:tcPr>
          <w:p w14:paraId="5783EF54" w14:textId="77777777" w:rsidR="00BC2E5D" w:rsidRPr="00BC2E5D" w:rsidRDefault="00BC2E5D" w:rsidP="00BC2E5D">
            <w:pPr>
              <w:spacing w:line="240" w:lineRule="atLeast"/>
              <w:jc w:val="center"/>
              <w:rPr>
                <w:rFonts w:ascii="Garamond" w:hAnsi="Garamond" w:cs="Garamond"/>
                <w:sz w:val="22"/>
                <w:szCs w:val="22"/>
                <w:lang w:val="en-US" w:bidi="ru-RU"/>
              </w:rPr>
            </w:pPr>
            <w:r w:rsidRPr="00BC2E5D">
              <w:rPr>
                <w:rFonts w:ascii="Garamond" w:hAnsi="Garamond" w:cs="Garamond"/>
                <w:sz w:val="22"/>
                <w:szCs w:val="22"/>
                <w:lang w:val="en-US" w:bidi="ru-RU"/>
              </w:rPr>
              <w:t xml:space="preserve">&gt; 0 </w:t>
            </w:r>
          </w:p>
          <w:p w14:paraId="7B814107" w14:textId="77777777" w:rsidR="00BC2E5D" w:rsidRPr="00BC2E5D" w:rsidRDefault="00BC2E5D"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2"/>
                <w:szCs w:val="22"/>
                <w:lang w:val="en-US" w:bidi="ru-RU"/>
              </w:rPr>
              <w:t>(increasing trend)</w:t>
            </w:r>
          </w:p>
        </w:tc>
        <w:tc>
          <w:tcPr>
            <w:tcW w:w="3252" w:type="dxa"/>
            <w:gridSpan w:val="2"/>
            <w:tcMar>
              <w:left w:w="28" w:type="dxa"/>
              <w:right w:w="28" w:type="dxa"/>
            </w:tcMar>
            <w:vAlign w:val="center"/>
          </w:tcPr>
          <w:p w14:paraId="28A8AFBE" w14:textId="77777777" w:rsidR="00BC2E5D" w:rsidRPr="00BC2E5D" w:rsidRDefault="00BC2E5D" w:rsidP="006C7966">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Net working capital is equal to Current assets minus Current liabilities</w:t>
            </w:r>
          </w:p>
        </w:tc>
      </w:tr>
      <w:tr w:rsidR="00BC2E5D" w:rsidRPr="00BC2E5D" w14:paraId="38A23E71" w14:textId="77777777" w:rsidTr="006C7966">
        <w:tc>
          <w:tcPr>
            <w:tcW w:w="9617" w:type="dxa"/>
            <w:gridSpan w:val="6"/>
            <w:shd w:val="clear" w:color="auto" w:fill="BFBFBF" w:themeFill="background1" w:themeFillShade="BF"/>
            <w:tcMar>
              <w:left w:w="28" w:type="dxa"/>
              <w:right w:w="28" w:type="dxa"/>
            </w:tcMar>
            <w:vAlign w:val="center"/>
          </w:tcPr>
          <w:p w14:paraId="1E18CDF7" w14:textId="77777777" w:rsidR="00BC2E5D" w:rsidRPr="00BC2E5D" w:rsidRDefault="00BC2E5D" w:rsidP="00BC2E5D">
            <w:pPr>
              <w:spacing w:line="240" w:lineRule="atLeast"/>
              <w:contextualSpacing/>
              <w:jc w:val="center"/>
              <w:rPr>
                <w:rFonts w:ascii="Garamond" w:hAnsi="Garamond" w:cs="Garamond"/>
                <w:sz w:val="22"/>
                <w:szCs w:val="22"/>
                <w:lang w:val="en-US" w:bidi="ru-RU"/>
              </w:rPr>
            </w:pPr>
            <w:r w:rsidRPr="00BC2E5D">
              <w:rPr>
                <w:rFonts w:ascii="Garamond" w:hAnsi="Garamond" w:cs="Garamond"/>
                <w:b/>
                <w:sz w:val="22"/>
                <w:szCs w:val="22"/>
                <w:lang w:val="en-US" w:bidi="ru-RU"/>
              </w:rPr>
              <w:t>Activity ratios</w:t>
            </w:r>
          </w:p>
        </w:tc>
      </w:tr>
      <w:tr w:rsidR="00BC2E5D" w:rsidRPr="00BC2E5D" w14:paraId="7BFCB00F" w14:textId="77777777" w:rsidTr="00AF5B66">
        <w:tc>
          <w:tcPr>
            <w:tcW w:w="2254" w:type="dxa"/>
            <w:gridSpan w:val="2"/>
            <w:tcBorders>
              <w:bottom w:val="single" w:sz="4" w:space="0" w:color="auto"/>
            </w:tcBorders>
            <w:tcMar>
              <w:left w:w="28" w:type="dxa"/>
              <w:right w:w="28" w:type="dxa"/>
            </w:tcMar>
            <w:vAlign w:val="center"/>
          </w:tcPr>
          <w:p w14:paraId="43425A5B"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Asset turnover ratio</w:t>
            </w:r>
          </w:p>
        </w:tc>
        <w:tc>
          <w:tcPr>
            <w:tcW w:w="2957" w:type="dxa"/>
            <w:tcBorders>
              <w:bottom w:val="single" w:sz="4" w:space="0" w:color="auto"/>
            </w:tcBorders>
            <w:tcMar>
              <w:left w:w="28" w:type="dxa"/>
              <w:right w:w="28" w:type="dxa"/>
            </w:tcMar>
            <w:vAlign w:val="center"/>
          </w:tcPr>
          <w:p w14:paraId="63911EB6" w14:textId="77777777" w:rsidR="00BC2E5D" w:rsidRPr="006C7966" w:rsidRDefault="00000000" w:rsidP="00BC2E5D">
            <w:pPr>
              <w:spacing w:line="240" w:lineRule="atLeast"/>
              <w:contextualSpacing/>
              <w:rPr>
                <w:rFonts w:ascii="Garamond" w:hAnsi="Garamond" w:cs="Garamond"/>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Annual net sales </m:t>
                    </m:r>
                  </m:num>
                  <m:den>
                    <m:r>
                      <m:rPr>
                        <m:sty m:val="p"/>
                      </m:rPr>
                      <w:rPr>
                        <w:rFonts w:ascii="Cambria Math" w:hAnsi="Cambria Math" w:cs="Garamond"/>
                        <w:szCs w:val="24"/>
                        <w:lang w:val="en-US" w:bidi="ru-RU"/>
                      </w:rPr>
                      <m:t>Average total assets</m:t>
                    </m:r>
                    <m:r>
                      <w:rPr>
                        <w:rFonts w:ascii="Cambria Math" w:hAnsi="Cambria Math" w:cs="Garamond"/>
                        <w:szCs w:val="24"/>
                        <w:lang w:val="en-US" w:bidi="ru-RU"/>
                      </w:rPr>
                      <m:t xml:space="preserve"> </m:t>
                    </m:r>
                  </m:den>
                </m:f>
              </m:oMath>
            </m:oMathPara>
          </w:p>
          <w:p w14:paraId="51541B29" w14:textId="77777777" w:rsidR="00BC2E5D" w:rsidRPr="00BC2E5D" w:rsidRDefault="00BC2E5D" w:rsidP="00BC2E5D">
            <w:pPr>
              <w:spacing w:line="240" w:lineRule="atLeast"/>
              <w:contextualSpacing/>
              <w:jc w:val="center"/>
              <w:rPr>
                <w:rFonts w:ascii="Garamond" w:hAnsi="Garamond" w:cs="Garamond"/>
                <w:sz w:val="24"/>
                <w:szCs w:val="24"/>
                <w:lang w:val="en-US" w:bidi="ru-RU"/>
              </w:rPr>
            </w:pPr>
          </w:p>
          <w:p w14:paraId="22A2D514" w14:textId="77777777" w:rsidR="00BC2E5D" w:rsidRPr="00BC2E5D" w:rsidRDefault="00BC2E5D"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4"/>
                <w:szCs w:val="24"/>
                <w:lang w:val="en-US" w:bidi="ru-RU"/>
              </w:rPr>
              <w:t>or in days</w:t>
            </w:r>
          </w:p>
          <w:p w14:paraId="5BD52A4B" w14:textId="77777777" w:rsidR="00BC2E5D" w:rsidRPr="00BC2E5D" w:rsidRDefault="00BC2E5D" w:rsidP="00BC2E5D">
            <w:pPr>
              <w:spacing w:line="240" w:lineRule="atLeast"/>
              <w:contextualSpacing/>
              <w:jc w:val="center"/>
              <w:rPr>
                <w:rFonts w:ascii="Garamond" w:hAnsi="Garamond" w:cs="Garamond"/>
                <w:sz w:val="24"/>
                <w:szCs w:val="24"/>
                <w:lang w:val="en-US" w:bidi="ru-RU"/>
              </w:rPr>
            </w:pPr>
          </w:p>
          <w:p w14:paraId="1BC46AC5" w14:textId="77777777" w:rsidR="00BC2E5D" w:rsidRPr="00BC2E5D" w:rsidRDefault="00000000" w:rsidP="00BC2E5D">
            <w:pPr>
              <w:spacing w:line="240" w:lineRule="atLeast"/>
              <w:contextualSpacing/>
              <w:jc w:val="center"/>
              <w:rPr>
                <w:rFonts w:ascii="Garamond" w:hAnsi="Garamond" w:cs="Garamond"/>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Number of days in the period  </m:t>
                    </m:r>
                  </m:num>
                  <m:den>
                    <m:r>
                      <m:rPr>
                        <m:sty m:val="p"/>
                      </m:rPr>
                      <w:rPr>
                        <w:rFonts w:ascii="Cambria Math" w:hAnsi="Cambria Math" w:cs="Garamond"/>
                        <w:szCs w:val="24"/>
                        <w:lang w:val="en-US" w:bidi="ru-RU"/>
                      </w:rPr>
                      <m:t>Asset turnover ratio</m:t>
                    </m:r>
                    <m:r>
                      <w:rPr>
                        <w:rFonts w:ascii="Cambria Math" w:hAnsi="Cambria Math" w:cs="Garamond"/>
                        <w:szCs w:val="24"/>
                        <w:lang w:val="en-US" w:bidi="ru-RU"/>
                      </w:rPr>
                      <m:t xml:space="preserve"> </m:t>
                    </m:r>
                  </m:den>
                </m:f>
              </m:oMath>
            </m:oMathPara>
          </w:p>
        </w:tc>
        <w:tc>
          <w:tcPr>
            <w:tcW w:w="1154" w:type="dxa"/>
            <w:tcBorders>
              <w:bottom w:val="single" w:sz="4" w:space="0" w:color="auto"/>
            </w:tcBorders>
            <w:tcMar>
              <w:left w:w="28" w:type="dxa"/>
              <w:right w:w="28" w:type="dxa"/>
            </w:tcMar>
            <w:vAlign w:val="center"/>
          </w:tcPr>
          <w:p w14:paraId="5940D424"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 xml:space="preserve">increasing trend </w:t>
            </w:r>
          </w:p>
          <w:p w14:paraId="27175B58" w14:textId="77777777" w:rsidR="00BC2E5D" w:rsidRPr="00BC2E5D" w:rsidRDefault="00BC2E5D" w:rsidP="00BC2E5D">
            <w:pPr>
              <w:spacing w:line="240" w:lineRule="atLeast"/>
              <w:contextualSpacing/>
              <w:jc w:val="center"/>
              <w:rPr>
                <w:rFonts w:ascii="Garamond" w:hAnsi="Garamond" w:cs="Garamond"/>
                <w:sz w:val="22"/>
                <w:szCs w:val="24"/>
                <w:lang w:val="en-US" w:bidi="ru-RU"/>
              </w:rPr>
            </w:pPr>
          </w:p>
          <w:p w14:paraId="461818E2"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in days</w:t>
            </w:r>
          </w:p>
          <w:p w14:paraId="257F6EBE" w14:textId="77777777" w:rsidR="00BC2E5D" w:rsidRPr="00BC2E5D" w:rsidRDefault="00BC2E5D" w:rsidP="00BC2E5D">
            <w:pPr>
              <w:spacing w:line="240" w:lineRule="atLeast"/>
              <w:contextualSpacing/>
              <w:jc w:val="center"/>
              <w:rPr>
                <w:rFonts w:ascii="Garamond" w:hAnsi="Garamond" w:cs="Garamond"/>
                <w:sz w:val="22"/>
                <w:szCs w:val="24"/>
                <w:lang w:val="en-US" w:bidi="ru-RU"/>
              </w:rPr>
            </w:pPr>
          </w:p>
          <w:p w14:paraId="24C8444B"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decreasing trend</w:t>
            </w:r>
          </w:p>
        </w:tc>
        <w:tc>
          <w:tcPr>
            <w:tcW w:w="3252" w:type="dxa"/>
            <w:gridSpan w:val="2"/>
            <w:tcBorders>
              <w:bottom w:val="single" w:sz="4" w:space="0" w:color="auto"/>
            </w:tcBorders>
            <w:tcMar>
              <w:left w:w="28" w:type="dxa"/>
              <w:right w:w="28" w:type="dxa"/>
            </w:tcMar>
            <w:vAlign w:val="center"/>
          </w:tcPr>
          <w:p w14:paraId="31F0BFD9"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The numerator includes net sales i.</w:t>
            </w:r>
            <w:r w:rsidR="006C7966">
              <w:rPr>
                <w:rFonts w:ascii="Garamond" w:hAnsi="Garamond" w:cs="Garamond"/>
                <w:sz w:val="22"/>
                <w:szCs w:val="22"/>
                <w:lang w:val="en-US" w:bidi="ru-RU"/>
              </w:rPr>
              <w:t> </w:t>
            </w:r>
            <w:r w:rsidRPr="00BC2E5D">
              <w:rPr>
                <w:rFonts w:ascii="Garamond" w:hAnsi="Garamond" w:cs="Garamond"/>
                <w:sz w:val="22"/>
                <w:szCs w:val="22"/>
                <w:lang w:val="en-US" w:bidi="ru-RU"/>
              </w:rPr>
              <w:t>e., sales less sales returns and discount. The denominator includes average total assets. Average total assets are equal to total assets at the beginning of the period plus total assets at the ending of the period divided by two. Number of days in the period is equal</w:t>
            </w:r>
            <w:r w:rsidR="006C7966">
              <w:rPr>
                <w:rFonts w:ascii="Garamond" w:hAnsi="Garamond" w:cs="Garamond"/>
                <w:sz w:val="22"/>
                <w:szCs w:val="22"/>
                <w:lang w:val="en-US" w:bidi="ru-RU"/>
              </w:rPr>
              <w:t xml:space="preserve"> </w:t>
            </w:r>
            <w:r w:rsidR="006C7966">
              <w:rPr>
                <w:rFonts w:ascii="Garamond" w:hAnsi="Garamond"/>
                <w:szCs w:val="28"/>
                <w:u w:color="000000"/>
                <w:bdr w:val="nil"/>
                <w:lang w:val="en-US"/>
              </w:rPr>
              <w:t>–</w:t>
            </w:r>
            <w:r w:rsidR="006C7966">
              <w:rPr>
                <w:rFonts w:ascii="Garamond" w:hAnsi="Garamond" w:cs="Garamond"/>
                <w:sz w:val="22"/>
                <w:szCs w:val="22"/>
                <w:lang w:val="en-US" w:bidi="ru-RU"/>
              </w:rPr>
              <w:t xml:space="preserve"> 365 or 366</w:t>
            </w:r>
          </w:p>
        </w:tc>
      </w:tr>
      <w:tr w:rsidR="00BC2E5D" w:rsidRPr="00BC2E5D" w14:paraId="20EA766E" w14:textId="77777777" w:rsidTr="00AF5B66">
        <w:tc>
          <w:tcPr>
            <w:tcW w:w="2254" w:type="dxa"/>
            <w:gridSpan w:val="2"/>
            <w:tcBorders>
              <w:bottom w:val="single" w:sz="4" w:space="0" w:color="auto"/>
            </w:tcBorders>
            <w:tcMar>
              <w:left w:w="28" w:type="dxa"/>
              <w:right w:w="28" w:type="dxa"/>
            </w:tcMar>
            <w:vAlign w:val="center"/>
          </w:tcPr>
          <w:p w14:paraId="27FB338D"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Fixed asset turnover ratio (also referred as sales to fixed assets ratio)</w:t>
            </w:r>
          </w:p>
        </w:tc>
        <w:tc>
          <w:tcPr>
            <w:tcW w:w="2957" w:type="dxa"/>
            <w:tcBorders>
              <w:bottom w:val="single" w:sz="4" w:space="0" w:color="auto"/>
            </w:tcBorders>
            <w:tcMar>
              <w:left w:w="28" w:type="dxa"/>
              <w:right w:w="28" w:type="dxa"/>
            </w:tcMar>
            <w:vAlign w:val="center"/>
          </w:tcPr>
          <w:p w14:paraId="6AF564B0" w14:textId="77777777" w:rsidR="00BC2E5D" w:rsidRPr="00BC2E5D" w:rsidRDefault="00000000" w:rsidP="00BC2E5D">
            <w:pPr>
              <w:spacing w:line="240" w:lineRule="atLeast"/>
              <w:contextualSpacing/>
              <w:jc w:val="center"/>
              <w:rPr>
                <w:rFonts w:ascii="Garamond" w:hAnsi="Garamond" w:cs="Garamond"/>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Annual net sales </m:t>
                    </m:r>
                  </m:num>
                  <m:den>
                    <m:r>
                      <m:rPr>
                        <m:sty m:val="p"/>
                      </m:rPr>
                      <w:rPr>
                        <w:rFonts w:ascii="Cambria Math" w:hAnsi="Cambria Math" w:cs="Garamond"/>
                        <w:szCs w:val="24"/>
                        <w:lang w:val="en-US" w:bidi="ru-RU"/>
                      </w:rPr>
                      <m:t>Average amount of fixed assets</m:t>
                    </m:r>
                    <m:r>
                      <w:rPr>
                        <w:rFonts w:ascii="Cambria Math" w:hAnsi="Cambria Math" w:cs="Garamond"/>
                        <w:szCs w:val="24"/>
                        <w:lang w:val="en-US" w:bidi="ru-RU"/>
                      </w:rPr>
                      <m:t xml:space="preserve"> </m:t>
                    </m:r>
                  </m:den>
                </m:f>
              </m:oMath>
            </m:oMathPara>
          </w:p>
        </w:tc>
        <w:tc>
          <w:tcPr>
            <w:tcW w:w="1154" w:type="dxa"/>
            <w:tcBorders>
              <w:bottom w:val="single" w:sz="4" w:space="0" w:color="auto"/>
            </w:tcBorders>
            <w:tcMar>
              <w:left w:w="28" w:type="dxa"/>
              <w:right w:w="28" w:type="dxa"/>
            </w:tcMar>
            <w:vAlign w:val="center"/>
          </w:tcPr>
          <w:p w14:paraId="6324A42E"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increasing trend</w:t>
            </w:r>
          </w:p>
        </w:tc>
        <w:tc>
          <w:tcPr>
            <w:tcW w:w="3252" w:type="dxa"/>
            <w:gridSpan w:val="2"/>
            <w:tcBorders>
              <w:bottom w:val="single" w:sz="4" w:space="0" w:color="auto"/>
            </w:tcBorders>
            <w:tcMar>
              <w:left w:w="28" w:type="dxa"/>
              <w:right w:w="28" w:type="dxa"/>
            </w:tcMar>
            <w:vAlign w:val="center"/>
          </w:tcPr>
          <w:p w14:paraId="0FBB564D"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Average amount of fixed assets count of the amount of property, plant and equipmen</w:t>
            </w:r>
            <w:r w:rsidR="006C7966">
              <w:rPr>
                <w:rFonts w:ascii="Garamond" w:hAnsi="Garamond" w:cs="Garamond"/>
                <w:sz w:val="22"/>
                <w:szCs w:val="22"/>
                <w:lang w:val="en-US" w:bidi="ru-RU"/>
              </w:rPr>
              <w:t>t reported on the Statement of Financial P</w:t>
            </w:r>
            <w:r w:rsidRPr="00BC2E5D">
              <w:rPr>
                <w:rFonts w:ascii="Garamond" w:hAnsi="Garamond" w:cs="Garamond"/>
                <w:sz w:val="22"/>
                <w:szCs w:val="22"/>
                <w:lang w:val="en-US" w:bidi="ru-RU"/>
              </w:rPr>
              <w:t>osition after deducti</w:t>
            </w:r>
            <w:r w:rsidR="006C7966">
              <w:rPr>
                <w:rFonts w:ascii="Garamond" w:hAnsi="Garamond" w:cs="Garamond"/>
                <w:sz w:val="22"/>
                <w:szCs w:val="22"/>
                <w:lang w:val="en-US" w:bidi="ru-RU"/>
              </w:rPr>
              <w:t>ng the accumulated depreciation</w:t>
            </w:r>
            <w:r w:rsidRPr="00BC2E5D">
              <w:rPr>
                <w:rFonts w:ascii="Garamond" w:hAnsi="Garamond" w:cs="Garamond"/>
                <w:sz w:val="22"/>
                <w:szCs w:val="22"/>
                <w:lang w:val="en-US" w:bidi="ru-RU"/>
              </w:rPr>
              <w:t xml:space="preserve">  </w:t>
            </w:r>
          </w:p>
        </w:tc>
      </w:tr>
    </w:tbl>
    <w:p w14:paraId="5DCE251D" w14:textId="77777777" w:rsidR="00AF5B66" w:rsidRDefault="00AF5B66"/>
    <w:tbl>
      <w:tblPr>
        <w:tblStyle w:val="70"/>
        <w:tblW w:w="9617" w:type="dxa"/>
        <w:tblLayout w:type="fixed"/>
        <w:tblLook w:val="04A0" w:firstRow="1" w:lastRow="0" w:firstColumn="1" w:lastColumn="0" w:noHBand="0" w:noVBand="1"/>
      </w:tblPr>
      <w:tblGrid>
        <w:gridCol w:w="1951"/>
        <w:gridCol w:w="303"/>
        <w:gridCol w:w="2957"/>
        <w:gridCol w:w="1154"/>
        <w:gridCol w:w="122"/>
        <w:gridCol w:w="3130"/>
      </w:tblGrid>
      <w:tr w:rsidR="00A14FB4" w:rsidRPr="00BC2E5D" w14:paraId="0B35FEDE" w14:textId="77777777" w:rsidTr="00AF5B66">
        <w:tc>
          <w:tcPr>
            <w:tcW w:w="9617" w:type="dxa"/>
            <w:gridSpan w:val="6"/>
            <w:tcBorders>
              <w:top w:val="nil"/>
              <w:left w:val="nil"/>
              <w:bottom w:val="single" w:sz="4" w:space="0" w:color="auto"/>
              <w:right w:val="nil"/>
            </w:tcBorders>
            <w:tcMar>
              <w:left w:w="28" w:type="dxa"/>
              <w:right w:w="28" w:type="dxa"/>
            </w:tcMar>
            <w:vAlign w:val="center"/>
          </w:tcPr>
          <w:p w14:paraId="4872AA7E" w14:textId="77777777" w:rsidR="000552CE" w:rsidRDefault="000552CE" w:rsidP="00BC2E5D">
            <w:pPr>
              <w:spacing w:line="240" w:lineRule="atLeast"/>
              <w:contextualSpacing/>
              <w:rPr>
                <w:rFonts w:ascii="Garamond" w:hAnsi="Garamond" w:cs="Garamond"/>
                <w:sz w:val="28"/>
                <w:szCs w:val="24"/>
                <w:lang w:val="en-US" w:bidi="ru-RU"/>
              </w:rPr>
            </w:pPr>
          </w:p>
          <w:p w14:paraId="72037F42" w14:textId="77777777" w:rsidR="00A14FB4" w:rsidRPr="00A14FB4" w:rsidRDefault="00A14FB4" w:rsidP="00BC2E5D">
            <w:pPr>
              <w:spacing w:line="240" w:lineRule="atLeast"/>
              <w:contextualSpacing/>
              <w:rPr>
                <w:rFonts w:cs="Garamond"/>
                <w:sz w:val="22"/>
                <w:szCs w:val="22"/>
                <w:lang w:val="en-US" w:bidi="ru-RU"/>
              </w:rPr>
            </w:pPr>
            <w:r w:rsidRPr="00A14FB4">
              <w:rPr>
                <w:rFonts w:ascii="Garamond" w:hAnsi="Garamond" w:cs="Garamond"/>
                <w:sz w:val="28"/>
                <w:szCs w:val="24"/>
                <w:lang w:val="en-US" w:bidi="ru-RU"/>
              </w:rPr>
              <w:t xml:space="preserve">Continuation of </w:t>
            </w:r>
            <w:r w:rsidR="00252DD6">
              <w:rPr>
                <w:rFonts w:ascii="Garamond" w:hAnsi="Garamond" w:cs="Garamond"/>
                <w:sz w:val="28"/>
                <w:szCs w:val="24"/>
                <w:lang w:val="en-US" w:bidi="ru-RU"/>
              </w:rPr>
              <w:t xml:space="preserve">the </w:t>
            </w:r>
            <w:r w:rsidRPr="00A14FB4">
              <w:rPr>
                <w:rFonts w:ascii="Garamond" w:hAnsi="Garamond" w:cs="Garamond"/>
                <w:sz w:val="28"/>
                <w:szCs w:val="24"/>
                <w:lang w:val="en-US" w:bidi="ru-RU"/>
              </w:rPr>
              <w:t>Table B.1</w:t>
            </w:r>
          </w:p>
        </w:tc>
      </w:tr>
      <w:tr w:rsidR="00252DD6" w:rsidRPr="00BC2E5D" w14:paraId="16963FD9" w14:textId="77777777" w:rsidTr="00AF5B66">
        <w:tc>
          <w:tcPr>
            <w:tcW w:w="2254" w:type="dxa"/>
            <w:gridSpan w:val="2"/>
            <w:tcBorders>
              <w:top w:val="single" w:sz="4" w:space="0" w:color="auto"/>
            </w:tcBorders>
            <w:shd w:val="clear" w:color="auto" w:fill="D9D9D9" w:themeFill="background1" w:themeFillShade="D9"/>
            <w:tcMar>
              <w:left w:w="28" w:type="dxa"/>
              <w:right w:w="28" w:type="dxa"/>
            </w:tcMar>
            <w:vAlign w:val="center"/>
          </w:tcPr>
          <w:p w14:paraId="317F2FBD"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Ratio</w:t>
            </w:r>
          </w:p>
        </w:tc>
        <w:tc>
          <w:tcPr>
            <w:tcW w:w="2957" w:type="dxa"/>
            <w:tcBorders>
              <w:top w:val="single" w:sz="4" w:space="0" w:color="auto"/>
            </w:tcBorders>
            <w:shd w:val="clear" w:color="auto" w:fill="D9D9D9" w:themeFill="background1" w:themeFillShade="D9"/>
            <w:tcMar>
              <w:left w:w="28" w:type="dxa"/>
              <w:right w:w="28" w:type="dxa"/>
            </w:tcMar>
            <w:vAlign w:val="center"/>
          </w:tcPr>
          <w:p w14:paraId="77573C20"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Calculation</w:t>
            </w:r>
          </w:p>
        </w:tc>
        <w:tc>
          <w:tcPr>
            <w:tcW w:w="1154" w:type="dxa"/>
            <w:tcBorders>
              <w:top w:val="single" w:sz="4" w:space="0" w:color="auto"/>
            </w:tcBorders>
            <w:shd w:val="clear" w:color="auto" w:fill="D9D9D9" w:themeFill="background1" w:themeFillShade="D9"/>
            <w:tcMar>
              <w:left w:w="28" w:type="dxa"/>
              <w:right w:w="28" w:type="dxa"/>
            </w:tcMar>
            <w:vAlign w:val="center"/>
          </w:tcPr>
          <w:p w14:paraId="68AA88FD"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Criterion value</w:t>
            </w:r>
          </w:p>
        </w:tc>
        <w:tc>
          <w:tcPr>
            <w:tcW w:w="3252" w:type="dxa"/>
            <w:gridSpan w:val="2"/>
            <w:tcBorders>
              <w:top w:val="single" w:sz="4" w:space="0" w:color="auto"/>
            </w:tcBorders>
            <w:shd w:val="clear" w:color="auto" w:fill="D9D9D9" w:themeFill="background1" w:themeFillShade="D9"/>
            <w:tcMar>
              <w:left w:w="28" w:type="dxa"/>
              <w:right w:w="28" w:type="dxa"/>
            </w:tcMar>
            <w:vAlign w:val="center"/>
          </w:tcPr>
          <w:p w14:paraId="71564B5E"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Comments</w:t>
            </w:r>
          </w:p>
        </w:tc>
      </w:tr>
      <w:tr w:rsidR="00252DD6" w:rsidRPr="00BC2E5D" w14:paraId="5FBE0F2D" w14:textId="77777777" w:rsidTr="00A14FB4">
        <w:tc>
          <w:tcPr>
            <w:tcW w:w="2254" w:type="dxa"/>
            <w:gridSpan w:val="2"/>
            <w:tcBorders>
              <w:top w:val="single" w:sz="4" w:space="0" w:color="auto"/>
            </w:tcBorders>
            <w:tcMar>
              <w:left w:w="28" w:type="dxa"/>
              <w:right w:w="28" w:type="dxa"/>
            </w:tcMar>
            <w:vAlign w:val="center"/>
          </w:tcPr>
          <w:p w14:paraId="1D1C347C"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Inventory turnover ratio</w:t>
            </w:r>
          </w:p>
        </w:tc>
        <w:tc>
          <w:tcPr>
            <w:tcW w:w="2957" w:type="dxa"/>
            <w:tcBorders>
              <w:top w:val="single" w:sz="4" w:space="0" w:color="auto"/>
            </w:tcBorders>
            <w:tcMar>
              <w:left w:w="28" w:type="dxa"/>
              <w:right w:w="28" w:type="dxa"/>
            </w:tcMar>
            <w:vAlign w:val="center"/>
          </w:tcPr>
          <w:p w14:paraId="5E164BEB" w14:textId="77777777" w:rsidR="00252DD6" w:rsidRPr="00BC2E5D" w:rsidRDefault="00000000" w:rsidP="00BC2E5D">
            <w:pPr>
              <w:spacing w:line="240" w:lineRule="atLeast"/>
              <w:contextualSpacing/>
              <w:jc w:val="center"/>
              <w:rPr>
                <w:rFonts w:ascii="Garamond" w:hAnsi="Garamond" w:cs="Garamond"/>
                <w:b/>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Cost of goods sold </m:t>
                    </m:r>
                  </m:num>
                  <m:den>
                    <m:r>
                      <m:rPr>
                        <m:sty m:val="p"/>
                      </m:rPr>
                      <w:rPr>
                        <w:rFonts w:ascii="Cambria Math" w:hAnsi="Cambria Math" w:cs="Garamond"/>
                        <w:szCs w:val="24"/>
                        <w:lang w:val="en-US" w:bidi="ru-RU"/>
                      </w:rPr>
                      <m:t>Average inventories</m:t>
                    </m:r>
                  </m:den>
                </m:f>
              </m:oMath>
            </m:oMathPara>
          </w:p>
        </w:tc>
        <w:tc>
          <w:tcPr>
            <w:tcW w:w="1154" w:type="dxa"/>
            <w:tcBorders>
              <w:top w:val="single" w:sz="4" w:space="0" w:color="auto"/>
            </w:tcBorders>
            <w:tcMar>
              <w:left w:w="28" w:type="dxa"/>
              <w:right w:w="28" w:type="dxa"/>
            </w:tcMar>
            <w:vAlign w:val="center"/>
          </w:tcPr>
          <w:p w14:paraId="186B4C2B" w14:textId="77777777" w:rsidR="00252DD6" w:rsidRPr="00BC2E5D" w:rsidRDefault="00252DD6"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increasing trend</w:t>
            </w:r>
          </w:p>
        </w:tc>
        <w:tc>
          <w:tcPr>
            <w:tcW w:w="3252" w:type="dxa"/>
            <w:gridSpan w:val="2"/>
            <w:tcBorders>
              <w:top w:val="single" w:sz="4" w:space="0" w:color="auto"/>
            </w:tcBorders>
            <w:tcMar>
              <w:left w:w="28" w:type="dxa"/>
              <w:right w:w="28" w:type="dxa"/>
            </w:tcMar>
            <w:vAlign w:val="center"/>
          </w:tcPr>
          <w:p w14:paraId="6755C045" w14:textId="77777777" w:rsidR="00252DD6" w:rsidRPr="00BC2E5D" w:rsidRDefault="00252DD6" w:rsidP="00A14FB4">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 xml:space="preserve">Cost of goods sold is equal to the cost of its beginning inventory plus the cost of goods manufactured (purchases for trading company) minus the cost of its ending inventory. Average inventories </w:t>
            </w:r>
            <w:r>
              <w:rPr>
                <w:rFonts w:ascii="Garamond" w:hAnsi="Garamond" w:cs="Garamond"/>
                <w:sz w:val="22"/>
                <w:szCs w:val="22"/>
                <w:lang w:val="en-US" w:bidi="ru-RU"/>
              </w:rPr>
              <w:t>are</w:t>
            </w:r>
            <w:r w:rsidRPr="00BC2E5D">
              <w:rPr>
                <w:rFonts w:ascii="Garamond" w:hAnsi="Garamond" w:cs="Garamond"/>
                <w:sz w:val="22"/>
                <w:szCs w:val="22"/>
                <w:lang w:val="en-US" w:bidi="ru-RU"/>
              </w:rPr>
              <w:t xml:space="preserve"> equal to beginning inventories (opening balance of inventories) plus ending inventories (closing balance</w:t>
            </w:r>
            <w:r>
              <w:rPr>
                <w:rFonts w:ascii="Garamond" w:hAnsi="Garamond" w:cs="Garamond"/>
                <w:sz w:val="22"/>
                <w:szCs w:val="22"/>
                <w:lang w:val="en-US" w:bidi="ru-RU"/>
              </w:rPr>
              <w:t xml:space="preserve"> of inventories) divided by two</w:t>
            </w:r>
          </w:p>
        </w:tc>
      </w:tr>
      <w:tr w:rsidR="00252DD6" w:rsidRPr="00BC2E5D" w14:paraId="642FF1FC" w14:textId="77777777" w:rsidTr="006C7966">
        <w:tc>
          <w:tcPr>
            <w:tcW w:w="2254" w:type="dxa"/>
            <w:gridSpan w:val="2"/>
            <w:tcMar>
              <w:left w:w="28" w:type="dxa"/>
              <w:right w:w="28" w:type="dxa"/>
            </w:tcMar>
            <w:vAlign w:val="center"/>
          </w:tcPr>
          <w:p w14:paraId="195911B5"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Days inventories outstanding (also referred as DIO or days' sales in inventory or simply days of inventory)</w:t>
            </w:r>
          </w:p>
        </w:tc>
        <w:tc>
          <w:tcPr>
            <w:tcW w:w="2957" w:type="dxa"/>
            <w:tcMar>
              <w:left w:w="28" w:type="dxa"/>
              <w:right w:w="28" w:type="dxa"/>
            </w:tcMar>
            <w:vAlign w:val="center"/>
          </w:tcPr>
          <w:p w14:paraId="090916DD" w14:textId="77777777" w:rsidR="00252DD6" w:rsidRPr="00BC2E5D" w:rsidRDefault="00000000" w:rsidP="00BC2E5D">
            <w:pPr>
              <w:spacing w:line="240" w:lineRule="atLeast"/>
              <w:contextualSpacing/>
              <w:jc w:val="center"/>
              <w:rPr>
                <w:rFonts w:ascii="Garamond" w:hAnsi="Garamond" w:cs="Garamond"/>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Number of days in the period </m:t>
                    </m:r>
                  </m:num>
                  <m:den>
                    <m:r>
                      <m:rPr>
                        <m:sty m:val="p"/>
                      </m:rPr>
                      <w:rPr>
                        <w:rFonts w:ascii="Cambria Math" w:hAnsi="Cambria Math" w:cs="Garamond"/>
                        <w:szCs w:val="24"/>
                        <w:lang w:val="en-US" w:bidi="ru-RU"/>
                      </w:rPr>
                      <m:t>Inventory turnover for the period</m:t>
                    </m:r>
                  </m:den>
                </m:f>
              </m:oMath>
            </m:oMathPara>
          </w:p>
        </w:tc>
        <w:tc>
          <w:tcPr>
            <w:tcW w:w="1154" w:type="dxa"/>
            <w:tcMar>
              <w:left w:w="28" w:type="dxa"/>
              <w:right w:w="28" w:type="dxa"/>
            </w:tcMar>
            <w:vAlign w:val="center"/>
          </w:tcPr>
          <w:p w14:paraId="3CBEC20D" w14:textId="77777777" w:rsidR="00252DD6" w:rsidRPr="00BC2E5D" w:rsidRDefault="00252DD6"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decreasing trend</w:t>
            </w:r>
          </w:p>
        </w:tc>
        <w:tc>
          <w:tcPr>
            <w:tcW w:w="3252" w:type="dxa"/>
            <w:gridSpan w:val="2"/>
            <w:tcMar>
              <w:left w:w="28" w:type="dxa"/>
              <w:right w:w="28" w:type="dxa"/>
            </w:tcMar>
            <w:vAlign w:val="center"/>
          </w:tcPr>
          <w:p w14:paraId="7D27352D" w14:textId="77777777" w:rsidR="00252DD6" w:rsidRPr="00BC2E5D" w:rsidRDefault="00252DD6"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Number</w:t>
            </w:r>
            <w:r>
              <w:rPr>
                <w:rFonts w:ascii="Garamond" w:hAnsi="Garamond" w:cs="Garamond"/>
                <w:sz w:val="22"/>
                <w:szCs w:val="22"/>
                <w:lang w:val="en-US" w:bidi="ru-RU"/>
              </w:rPr>
              <w:t xml:space="preserve"> of days in the period is equal – 365 or 366</w:t>
            </w:r>
          </w:p>
        </w:tc>
      </w:tr>
      <w:tr w:rsidR="00252DD6" w:rsidRPr="00BC2E5D" w14:paraId="2BFFC87A" w14:textId="77777777" w:rsidTr="006C7966">
        <w:tc>
          <w:tcPr>
            <w:tcW w:w="2254" w:type="dxa"/>
            <w:gridSpan w:val="2"/>
            <w:tcMar>
              <w:left w:w="28" w:type="dxa"/>
              <w:right w:w="28" w:type="dxa"/>
            </w:tcMar>
            <w:vAlign w:val="center"/>
          </w:tcPr>
          <w:p w14:paraId="1E634D4E" w14:textId="77777777" w:rsidR="00252DD6" w:rsidRPr="00BC2E5D" w:rsidRDefault="00252DD6" w:rsidP="00BC2E5D">
            <w:pPr>
              <w:spacing w:line="240" w:lineRule="atLeast"/>
              <w:contextualSpacing/>
              <w:rPr>
                <w:rFonts w:ascii="Garamond" w:hAnsi="Garamond" w:cs="Garamond"/>
                <w:b/>
                <w:sz w:val="24"/>
                <w:szCs w:val="24"/>
                <w:lang w:val="en-US" w:bidi="ru-RU"/>
              </w:rPr>
            </w:pPr>
            <w:r w:rsidRPr="00BC2E5D">
              <w:rPr>
                <w:rFonts w:ascii="Garamond" w:hAnsi="Garamond" w:cs="Garamond"/>
                <w:sz w:val="22"/>
                <w:szCs w:val="24"/>
                <w:lang w:val="en-US" w:bidi="ru-RU"/>
              </w:rPr>
              <w:t>Accounts payable turnover ratio (also referred as creditors’ turnover ratio or creditors’ velocity)</w:t>
            </w:r>
          </w:p>
        </w:tc>
        <w:tc>
          <w:tcPr>
            <w:tcW w:w="2957" w:type="dxa"/>
            <w:tcMar>
              <w:left w:w="28" w:type="dxa"/>
              <w:right w:w="28" w:type="dxa"/>
            </w:tcMar>
            <w:vAlign w:val="center"/>
          </w:tcPr>
          <w:p w14:paraId="62996D5E" w14:textId="77777777" w:rsidR="00252DD6" w:rsidRPr="00BC2E5D" w:rsidRDefault="00000000" w:rsidP="00BC2E5D">
            <w:pPr>
              <w:spacing w:line="240" w:lineRule="atLeast"/>
              <w:contextualSpacing/>
              <w:jc w:val="center"/>
              <w:rPr>
                <w:rFonts w:ascii="Garamond" w:hAnsi="Garamond" w:cs="Garamond"/>
                <w:b/>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Total supplier purchases</m:t>
                    </m:r>
                  </m:num>
                  <m:den>
                    <m:r>
                      <m:rPr>
                        <m:sty m:val="p"/>
                      </m:rPr>
                      <w:rPr>
                        <w:rFonts w:ascii="Cambria Math" w:hAnsi="Cambria Math" w:cs="Garamond"/>
                        <w:szCs w:val="24"/>
                        <w:lang w:val="en-US" w:bidi="ru-RU"/>
                      </w:rPr>
                      <m:t>Average accounts payable</m:t>
                    </m:r>
                  </m:den>
                </m:f>
              </m:oMath>
            </m:oMathPara>
          </w:p>
        </w:tc>
        <w:tc>
          <w:tcPr>
            <w:tcW w:w="1154" w:type="dxa"/>
            <w:tcMar>
              <w:left w:w="28" w:type="dxa"/>
              <w:right w:w="28" w:type="dxa"/>
            </w:tcMar>
            <w:vAlign w:val="center"/>
          </w:tcPr>
          <w:p w14:paraId="3305ACA8" w14:textId="77777777" w:rsidR="00252DD6" w:rsidRPr="00BC2E5D" w:rsidRDefault="00252DD6"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2"/>
                <w:szCs w:val="24"/>
                <w:lang w:val="en-US" w:bidi="ru-RU"/>
              </w:rPr>
              <w:t>increasing trend</w:t>
            </w:r>
          </w:p>
        </w:tc>
        <w:tc>
          <w:tcPr>
            <w:tcW w:w="3252" w:type="dxa"/>
            <w:gridSpan w:val="2"/>
            <w:tcMar>
              <w:left w:w="28" w:type="dxa"/>
              <w:right w:w="28" w:type="dxa"/>
            </w:tcMar>
            <w:vAlign w:val="center"/>
          </w:tcPr>
          <w:p w14:paraId="7BBD6605" w14:textId="77777777" w:rsidR="00252DD6" w:rsidRPr="00BC2E5D" w:rsidRDefault="00252DD6"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Average accounts payable is equal to beginning accounts payable (opening balance) plus ending accounts payable (</w:t>
            </w:r>
            <w:r w:rsidR="008F6A91">
              <w:rPr>
                <w:rFonts w:ascii="Garamond" w:hAnsi="Garamond" w:cs="Garamond"/>
                <w:sz w:val="22"/>
                <w:szCs w:val="22"/>
                <w:lang w:val="en-US" w:bidi="ru-RU"/>
              </w:rPr>
              <w:t>closing balance) divided by two</w:t>
            </w:r>
          </w:p>
        </w:tc>
      </w:tr>
      <w:tr w:rsidR="00252DD6" w:rsidRPr="00BC2E5D" w14:paraId="59F0DBED" w14:textId="77777777" w:rsidTr="006C7966">
        <w:tc>
          <w:tcPr>
            <w:tcW w:w="2254" w:type="dxa"/>
            <w:gridSpan w:val="2"/>
            <w:tcMar>
              <w:left w:w="28" w:type="dxa"/>
              <w:right w:w="28" w:type="dxa"/>
            </w:tcMar>
            <w:vAlign w:val="center"/>
          </w:tcPr>
          <w:p w14:paraId="0EBAB123"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Day’s payable outstanding (DPO)</w:t>
            </w:r>
          </w:p>
        </w:tc>
        <w:tc>
          <w:tcPr>
            <w:tcW w:w="2957" w:type="dxa"/>
            <w:tcMar>
              <w:left w:w="28" w:type="dxa"/>
              <w:right w:w="28" w:type="dxa"/>
            </w:tcMar>
            <w:vAlign w:val="center"/>
          </w:tcPr>
          <w:p w14:paraId="2B2A43C3" w14:textId="77777777" w:rsidR="00252DD6" w:rsidRPr="00BC2E5D" w:rsidRDefault="00000000" w:rsidP="00BC2E5D">
            <w:pPr>
              <w:spacing w:line="240" w:lineRule="atLeast"/>
              <w:contextualSpacing/>
              <w:jc w:val="center"/>
              <w:rPr>
                <w:rFonts w:ascii="Garamond" w:hAnsi="Garamond" w:cs="Garamond"/>
                <w:b/>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Number of days in the period</m:t>
                    </m:r>
                  </m:num>
                  <m:den>
                    <m:r>
                      <m:rPr>
                        <m:sty m:val="p"/>
                      </m:rPr>
                      <w:rPr>
                        <w:rFonts w:ascii="Cambria Math" w:hAnsi="Cambria Math" w:cs="Garamond"/>
                        <w:szCs w:val="24"/>
                        <w:lang w:val="en-US" w:bidi="ru-RU"/>
                      </w:rPr>
                      <m:t>Accounts payable turnover ratio</m:t>
                    </m:r>
                  </m:den>
                </m:f>
              </m:oMath>
            </m:oMathPara>
          </w:p>
        </w:tc>
        <w:tc>
          <w:tcPr>
            <w:tcW w:w="1154" w:type="dxa"/>
            <w:tcMar>
              <w:left w:w="28" w:type="dxa"/>
              <w:right w:w="28" w:type="dxa"/>
            </w:tcMar>
            <w:vAlign w:val="center"/>
          </w:tcPr>
          <w:p w14:paraId="0F766496" w14:textId="77777777" w:rsidR="00252DD6" w:rsidRPr="00BC2E5D" w:rsidRDefault="00252DD6"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decreasing trend</w:t>
            </w:r>
          </w:p>
        </w:tc>
        <w:tc>
          <w:tcPr>
            <w:tcW w:w="3252" w:type="dxa"/>
            <w:gridSpan w:val="2"/>
            <w:tcMar>
              <w:left w:w="28" w:type="dxa"/>
              <w:right w:w="28" w:type="dxa"/>
            </w:tcMar>
            <w:vAlign w:val="center"/>
          </w:tcPr>
          <w:p w14:paraId="4BFD92AD" w14:textId="77777777" w:rsidR="00252DD6" w:rsidRPr="00BC2E5D" w:rsidRDefault="00252DD6"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 xml:space="preserve">Number of days in the period is equal </w:t>
            </w:r>
            <w:r>
              <w:rPr>
                <w:rFonts w:ascii="Garamond" w:hAnsi="Garamond" w:cs="Garamond"/>
                <w:sz w:val="22"/>
                <w:szCs w:val="22"/>
                <w:lang w:val="en-US" w:bidi="ru-RU"/>
              </w:rPr>
              <w:t>– 365 or 366</w:t>
            </w:r>
          </w:p>
        </w:tc>
      </w:tr>
      <w:tr w:rsidR="00252DD6" w:rsidRPr="00BC2E5D" w14:paraId="6E199BE8" w14:textId="77777777" w:rsidTr="006C7966">
        <w:tc>
          <w:tcPr>
            <w:tcW w:w="2254" w:type="dxa"/>
            <w:gridSpan w:val="2"/>
            <w:tcMar>
              <w:left w:w="28" w:type="dxa"/>
              <w:right w:w="28" w:type="dxa"/>
            </w:tcMar>
            <w:vAlign w:val="center"/>
          </w:tcPr>
          <w:p w14:paraId="0831EE37"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Accounts receivable turnover (also referred as debtors’ turnover ratio)</w:t>
            </w:r>
          </w:p>
        </w:tc>
        <w:tc>
          <w:tcPr>
            <w:tcW w:w="2957" w:type="dxa"/>
            <w:tcMar>
              <w:left w:w="28" w:type="dxa"/>
              <w:right w:w="28" w:type="dxa"/>
            </w:tcMar>
            <w:vAlign w:val="center"/>
          </w:tcPr>
          <w:p w14:paraId="7E8C62A8" w14:textId="77777777" w:rsidR="00252DD6" w:rsidRPr="00BC2E5D" w:rsidRDefault="00000000" w:rsidP="00BC2E5D">
            <w:pPr>
              <w:spacing w:line="240" w:lineRule="atLeast"/>
              <w:contextualSpacing/>
              <w:jc w:val="center"/>
              <w:rPr>
                <w:rFonts w:ascii="Garamond" w:hAnsi="Garamond" w:cs="Garamond"/>
                <w:b/>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Total annual credit sales</m:t>
                    </m:r>
                  </m:num>
                  <m:den>
                    <m:r>
                      <m:rPr>
                        <m:sty m:val="p"/>
                      </m:rPr>
                      <w:rPr>
                        <w:rFonts w:ascii="Cambria Math" w:hAnsi="Cambria Math" w:cs="Garamond"/>
                        <w:szCs w:val="24"/>
                        <w:lang w:val="en-US" w:bidi="ru-RU"/>
                      </w:rPr>
                      <m:t>Average accounts receivable</m:t>
                    </m:r>
                  </m:den>
                </m:f>
              </m:oMath>
            </m:oMathPara>
          </w:p>
        </w:tc>
        <w:tc>
          <w:tcPr>
            <w:tcW w:w="1154" w:type="dxa"/>
            <w:tcMar>
              <w:left w:w="28" w:type="dxa"/>
              <w:right w:w="28" w:type="dxa"/>
            </w:tcMar>
            <w:vAlign w:val="center"/>
          </w:tcPr>
          <w:p w14:paraId="6AB1CD73" w14:textId="77777777" w:rsidR="00252DD6" w:rsidRPr="00BC2E5D" w:rsidRDefault="00252DD6"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2"/>
                <w:szCs w:val="24"/>
                <w:lang w:val="en-US" w:bidi="ru-RU"/>
              </w:rPr>
              <w:t>increasing trend</w:t>
            </w:r>
          </w:p>
        </w:tc>
        <w:tc>
          <w:tcPr>
            <w:tcW w:w="3252" w:type="dxa"/>
            <w:gridSpan w:val="2"/>
            <w:tcMar>
              <w:left w:w="28" w:type="dxa"/>
              <w:right w:w="28" w:type="dxa"/>
            </w:tcMar>
            <w:vAlign w:val="center"/>
          </w:tcPr>
          <w:p w14:paraId="4223AFBC" w14:textId="77777777" w:rsidR="00252DD6" w:rsidRPr="00BC2E5D" w:rsidRDefault="00252DD6"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Average accounts receivable is equal to beginning accounts receivable (opening balance) plus ending accounts receivable (c</w:t>
            </w:r>
            <w:r>
              <w:rPr>
                <w:rFonts w:ascii="Garamond" w:hAnsi="Garamond" w:cs="Garamond"/>
                <w:sz w:val="22"/>
                <w:szCs w:val="22"/>
                <w:lang w:val="en-US" w:bidi="ru-RU"/>
              </w:rPr>
              <w:t>losing balance) divided by two</w:t>
            </w:r>
          </w:p>
        </w:tc>
      </w:tr>
      <w:tr w:rsidR="00252DD6" w:rsidRPr="00BC2E5D" w14:paraId="0A626A27" w14:textId="77777777" w:rsidTr="006C7966">
        <w:tc>
          <w:tcPr>
            <w:tcW w:w="2254" w:type="dxa"/>
            <w:gridSpan w:val="2"/>
            <w:tcMar>
              <w:left w:w="28" w:type="dxa"/>
              <w:right w:w="28" w:type="dxa"/>
            </w:tcMar>
            <w:vAlign w:val="center"/>
          </w:tcPr>
          <w:p w14:paraId="677F0099"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Day’s sales outstanding (also referred as DSO or average collection period in terms of days)</w:t>
            </w:r>
          </w:p>
        </w:tc>
        <w:tc>
          <w:tcPr>
            <w:tcW w:w="2957" w:type="dxa"/>
            <w:tcMar>
              <w:left w:w="28" w:type="dxa"/>
              <w:right w:w="28" w:type="dxa"/>
            </w:tcMar>
            <w:vAlign w:val="center"/>
          </w:tcPr>
          <w:p w14:paraId="0E46EE63" w14:textId="77777777" w:rsidR="00252DD6" w:rsidRPr="00BC2E5D" w:rsidRDefault="00000000" w:rsidP="00BC2E5D">
            <w:pPr>
              <w:spacing w:line="240" w:lineRule="atLeast"/>
              <w:contextualSpacing/>
              <w:jc w:val="center"/>
              <w:rPr>
                <w:rFonts w:ascii="Garamond" w:hAnsi="Garamond" w:cs="Garamond"/>
                <w:b/>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Number of days in the period</m:t>
                    </m:r>
                  </m:num>
                  <m:den>
                    <m:r>
                      <m:rPr>
                        <m:sty m:val="p"/>
                      </m:rPr>
                      <w:rPr>
                        <w:rFonts w:ascii="Cambria Math" w:hAnsi="Cambria Math" w:cs="Garamond"/>
                        <w:szCs w:val="24"/>
                        <w:lang w:val="en-US" w:bidi="ru-RU"/>
                      </w:rPr>
                      <m:t>Accounts receivable turnover ratio</m:t>
                    </m:r>
                  </m:den>
                </m:f>
              </m:oMath>
            </m:oMathPara>
          </w:p>
        </w:tc>
        <w:tc>
          <w:tcPr>
            <w:tcW w:w="1154" w:type="dxa"/>
            <w:tcMar>
              <w:left w:w="28" w:type="dxa"/>
              <w:right w:w="28" w:type="dxa"/>
            </w:tcMar>
            <w:vAlign w:val="center"/>
          </w:tcPr>
          <w:p w14:paraId="523408A8" w14:textId="77777777" w:rsidR="00252DD6" w:rsidRPr="00BC2E5D" w:rsidRDefault="00252DD6"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decreasing trend</w:t>
            </w:r>
          </w:p>
        </w:tc>
        <w:tc>
          <w:tcPr>
            <w:tcW w:w="3252" w:type="dxa"/>
            <w:gridSpan w:val="2"/>
            <w:tcMar>
              <w:left w:w="28" w:type="dxa"/>
              <w:right w:w="28" w:type="dxa"/>
            </w:tcMar>
            <w:vAlign w:val="center"/>
          </w:tcPr>
          <w:p w14:paraId="313CF3D1" w14:textId="77777777" w:rsidR="00252DD6" w:rsidRPr="00BC2E5D" w:rsidRDefault="00252DD6"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 xml:space="preserve">Number of days in the period is equal </w:t>
            </w:r>
            <w:r>
              <w:rPr>
                <w:rFonts w:ascii="Garamond" w:hAnsi="Garamond" w:cs="Garamond"/>
                <w:sz w:val="22"/>
                <w:szCs w:val="22"/>
                <w:lang w:val="en-US" w:bidi="ru-RU"/>
              </w:rPr>
              <w:t>– 365 or 366</w:t>
            </w:r>
          </w:p>
        </w:tc>
      </w:tr>
      <w:tr w:rsidR="00252DD6" w:rsidRPr="00BC2E5D" w14:paraId="06101639" w14:textId="77777777" w:rsidTr="006C7966">
        <w:tc>
          <w:tcPr>
            <w:tcW w:w="2254" w:type="dxa"/>
            <w:gridSpan w:val="2"/>
            <w:tcMar>
              <w:left w:w="28" w:type="dxa"/>
              <w:right w:w="28" w:type="dxa"/>
            </w:tcMar>
            <w:vAlign w:val="center"/>
          </w:tcPr>
          <w:p w14:paraId="7C8F09BE"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Equity turnover ratio (also referred as capital turnover or sales to equity ratio)</w:t>
            </w:r>
          </w:p>
        </w:tc>
        <w:tc>
          <w:tcPr>
            <w:tcW w:w="2957" w:type="dxa"/>
            <w:tcMar>
              <w:left w:w="28" w:type="dxa"/>
              <w:right w:w="28" w:type="dxa"/>
            </w:tcMar>
            <w:vAlign w:val="center"/>
          </w:tcPr>
          <w:p w14:paraId="1675CB57" w14:textId="77777777" w:rsidR="00252DD6" w:rsidRPr="00BC2E5D" w:rsidRDefault="00000000" w:rsidP="00BC2E5D">
            <w:pPr>
              <w:spacing w:line="240" w:lineRule="atLeast"/>
              <w:contextualSpacing/>
              <w:jc w:val="center"/>
              <w:rPr>
                <w:rFonts w:ascii="Garamond" w:hAnsi="Garamond" w:cs="Garamond"/>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Annual net sales </m:t>
                    </m:r>
                  </m:num>
                  <m:den>
                    <m:r>
                      <m:rPr>
                        <m:sty m:val="p"/>
                      </m:rPr>
                      <w:rPr>
                        <w:rFonts w:ascii="Cambria Math" w:hAnsi="Cambria Math" w:cs="Garamond"/>
                        <w:szCs w:val="24"/>
                        <w:lang w:val="en-US" w:bidi="ru-RU"/>
                      </w:rPr>
                      <m:t>Average total equity</m:t>
                    </m:r>
                    <m:r>
                      <w:rPr>
                        <w:rFonts w:ascii="Cambria Math" w:hAnsi="Cambria Math" w:cs="Garamond"/>
                        <w:szCs w:val="24"/>
                        <w:lang w:val="en-US" w:bidi="ru-RU"/>
                      </w:rPr>
                      <m:t xml:space="preserve"> </m:t>
                    </m:r>
                  </m:den>
                </m:f>
              </m:oMath>
            </m:oMathPara>
          </w:p>
        </w:tc>
        <w:tc>
          <w:tcPr>
            <w:tcW w:w="1154" w:type="dxa"/>
            <w:tcMar>
              <w:left w:w="28" w:type="dxa"/>
              <w:right w:w="28" w:type="dxa"/>
            </w:tcMar>
            <w:vAlign w:val="center"/>
          </w:tcPr>
          <w:p w14:paraId="4006921C" w14:textId="77777777" w:rsidR="00252DD6" w:rsidRPr="00BC2E5D" w:rsidRDefault="00252DD6"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2"/>
                <w:szCs w:val="24"/>
                <w:lang w:val="en-US" w:bidi="ru-RU"/>
              </w:rPr>
              <w:t>increasing trend</w:t>
            </w:r>
          </w:p>
        </w:tc>
        <w:tc>
          <w:tcPr>
            <w:tcW w:w="3252" w:type="dxa"/>
            <w:gridSpan w:val="2"/>
            <w:tcMar>
              <w:left w:w="28" w:type="dxa"/>
              <w:right w:w="28" w:type="dxa"/>
            </w:tcMar>
            <w:vAlign w:val="center"/>
          </w:tcPr>
          <w:p w14:paraId="57201D47" w14:textId="77777777" w:rsidR="00252DD6" w:rsidRPr="00BC2E5D" w:rsidRDefault="00252DD6"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Average total equity is equal to beginning total equity (opening balance) plus ending total equity (</w:t>
            </w:r>
            <w:r>
              <w:rPr>
                <w:rFonts w:ascii="Garamond" w:hAnsi="Garamond" w:cs="Garamond"/>
                <w:sz w:val="22"/>
                <w:szCs w:val="22"/>
                <w:lang w:val="en-US" w:bidi="ru-RU"/>
              </w:rPr>
              <w:t>closing balance) divided by two</w:t>
            </w:r>
          </w:p>
        </w:tc>
      </w:tr>
      <w:tr w:rsidR="00252DD6" w:rsidRPr="00BC2E5D" w14:paraId="3E03E3B5" w14:textId="77777777" w:rsidTr="006C7966">
        <w:tc>
          <w:tcPr>
            <w:tcW w:w="2254" w:type="dxa"/>
            <w:gridSpan w:val="2"/>
            <w:tcMar>
              <w:left w:w="28" w:type="dxa"/>
              <w:right w:w="28" w:type="dxa"/>
            </w:tcMar>
            <w:vAlign w:val="center"/>
          </w:tcPr>
          <w:p w14:paraId="32312BA0"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Operating cycle (OC)</w:t>
            </w:r>
          </w:p>
        </w:tc>
        <w:tc>
          <w:tcPr>
            <w:tcW w:w="4111" w:type="dxa"/>
            <w:gridSpan w:val="2"/>
            <w:tcMar>
              <w:left w:w="28" w:type="dxa"/>
              <w:right w:w="28" w:type="dxa"/>
            </w:tcMar>
            <w:vAlign w:val="center"/>
          </w:tcPr>
          <w:p w14:paraId="23636554" w14:textId="77777777" w:rsidR="00252DD6" w:rsidRPr="00BC2E5D" w:rsidRDefault="00252DD6"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4"/>
                <w:szCs w:val="24"/>
                <w:lang w:val="en-US" w:bidi="ru-RU"/>
              </w:rPr>
              <w:t>DIO + DSO</w:t>
            </w:r>
          </w:p>
        </w:tc>
        <w:tc>
          <w:tcPr>
            <w:tcW w:w="3252" w:type="dxa"/>
            <w:gridSpan w:val="2"/>
            <w:vMerge w:val="restart"/>
            <w:tcMar>
              <w:left w:w="28" w:type="dxa"/>
              <w:right w:w="28" w:type="dxa"/>
            </w:tcMar>
            <w:vAlign w:val="center"/>
          </w:tcPr>
          <w:p w14:paraId="373316F1" w14:textId="77777777" w:rsidR="00252DD6" w:rsidRPr="00BC2E5D" w:rsidRDefault="00252DD6"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DIO represents days inventory outstanding, DSO represents days sales outstanding and DPO represents days payable o</w:t>
            </w:r>
            <w:r>
              <w:rPr>
                <w:rFonts w:ascii="Garamond" w:hAnsi="Garamond" w:cs="Garamond"/>
                <w:sz w:val="22"/>
                <w:szCs w:val="22"/>
                <w:lang w:val="en-US" w:bidi="ru-RU"/>
              </w:rPr>
              <w:t>utstanding. CCC can be negative</w:t>
            </w:r>
          </w:p>
        </w:tc>
      </w:tr>
      <w:tr w:rsidR="00252DD6" w:rsidRPr="00BC2E5D" w14:paraId="7B845641" w14:textId="77777777" w:rsidTr="006C7966">
        <w:tc>
          <w:tcPr>
            <w:tcW w:w="2254" w:type="dxa"/>
            <w:gridSpan w:val="2"/>
            <w:tcMar>
              <w:left w:w="28" w:type="dxa"/>
              <w:right w:w="28" w:type="dxa"/>
            </w:tcMar>
            <w:vAlign w:val="center"/>
          </w:tcPr>
          <w:p w14:paraId="36436D86"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Net operating cycle (also referred as cash conversion cycle (CCC))</w:t>
            </w:r>
          </w:p>
        </w:tc>
        <w:tc>
          <w:tcPr>
            <w:tcW w:w="4111" w:type="dxa"/>
            <w:gridSpan w:val="2"/>
            <w:tcMar>
              <w:left w:w="28" w:type="dxa"/>
              <w:right w:w="28" w:type="dxa"/>
            </w:tcMar>
            <w:vAlign w:val="center"/>
          </w:tcPr>
          <w:p w14:paraId="53CD6E31" w14:textId="77777777" w:rsidR="00252DD6" w:rsidRPr="00BC2E5D" w:rsidRDefault="00252DD6"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4"/>
                <w:szCs w:val="24"/>
                <w:lang w:val="en-US" w:bidi="ru-RU"/>
              </w:rPr>
              <w:t xml:space="preserve">DIO + DSO </w:t>
            </w:r>
            <w:r>
              <w:rPr>
                <w:rFonts w:ascii="Garamond" w:hAnsi="Garamond" w:cs="Garamond"/>
                <w:sz w:val="24"/>
                <w:szCs w:val="24"/>
                <w:lang w:val="en-US" w:bidi="ru-RU"/>
              </w:rPr>
              <w:t>–</w:t>
            </w:r>
            <w:r w:rsidRPr="00BC2E5D">
              <w:rPr>
                <w:rFonts w:ascii="Garamond" w:hAnsi="Garamond" w:cs="Garamond"/>
                <w:sz w:val="24"/>
                <w:szCs w:val="24"/>
                <w:lang w:val="en-US" w:bidi="ru-RU"/>
              </w:rPr>
              <w:t xml:space="preserve"> DPO</w:t>
            </w:r>
          </w:p>
        </w:tc>
        <w:tc>
          <w:tcPr>
            <w:tcW w:w="3252" w:type="dxa"/>
            <w:gridSpan w:val="2"/>
            <w:vMerge/>
            <w:tcMar>
              <w:left w:w="28" w:type="dxa"/>
              <w:right w:w="28" w:type="dxa"/>
            </w:tcMar>
            <w:vAlign w:val="center"/>
          </w:tcPr>
          <w:p w14:paraId="0B0936B4" w14:textId="77777777" w:rsidR="00252DD6" w:rsidRPr="00BC2E5D" w:rsidRDefault="00252DD6" w:rsidP="00BC2E5D">
            <w:pPr>
              <w:spacing w:line="240" w:lineRule="atLeast"/>
              <w:contextualSpacing/>
              <w:rPr>
                <w:rFonts w:ascii="Garamond" w:hAnsi="Garamond" w:cs="Garamond"/>
                <w:sz w:val="22"/>
                <w:szCs w:val="22"/>
                <w:lang w:val="en-US" w:bidi="ru-RU"/>
              </w:rPr>
            </w:pPr>
          </w:p>
        </w:tc>
      </w:tr>
      <w:tr w:rsidR="00252DD6" w:rsidRPr="00BC2E5D" w14:paraId="276A1A90" w14:textId="77777777" w:rsidTr="006C7966">
        <w:tc>
          <w:tcPr>
            <w:tcW w:w="9617" w:type="dxa"/>
            <w:gridSpan w:val="6"/>
            <w:shd w:val="clear" w:color="auto" w:fill="BFBFBF" w:themeFill="background1" w:themeFillShade="BF"/>
            <w:tcMar>
              <w:left w:w="28" w:type="dxa"/>
              <w:right w:w="28" w:type="dxa"/>
            </w:tcMar>
            <w:vAlign w:val="center"/>
          </w:tcPr>
          <w:p w14:paraId="1EEDE4AA" w14:textId="77777777" w:rsidR="00252DD6" w:rsidRPr="00BC2E5D" w:rsidRDefault="00252DD6" w:rsidP="00BC2E5D">
            <w:pPr>
              <w:spacing w:line="240" w:lineRule="atLeast"/>
              <w:contextualSpacing/>
              <w:jc w:val="center"/>
              <w:rPr>
                <w:rFonts w:ascii="Garamond" w:hAnsi="Garamond" w:cs="Garamond"/>
                <w:sz w:val="22"/>
                <w:szCs w:val="22"/>
                <w:lang w:val="en-US" w:bidi="ru-RU"/>
              </w:rPr>
            </w:pPr>
            <w:r w:rsidRPr="00BC2E5D">
              <w:rPr>
                <w:rFonts w:ascii="Garamond" w:hAnsi="Garamond" w:cs="Garamond"/>
                <w:b/>
                <w:sz w:val="22"/>
                <w:szCs w:val="22"/>
                <w:lang w:val="en-US" w:bidi="ru-RU"/>
              </w:rPr>
              <w:t>Profitability ratios</w:t>
            </w:r>
          </w:p>
        </w:tc>
      </w:tr>
      <w:tr w:rsidR="00252DD6" w:rsidRPr="00BC2E5D" w14:paraId="5D337FED" w14:textId="77777777" w:rsidTr="006C7966">
        <w:tc>
          <w:tcPr>
            <w:tcW w:w="1951" w:type="dxa"/>
            <w:tcMar>
              <w:left w:w="28" w:type="dxa"/>
              <w:right w:w="28" w:type="dxa"/>
            </w:tcMar>
            <w:vAlign w:val="center"/>
          </w:tcPr>
          <w:p w14:paraId="2C89C0C2"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Return on assets ratio (ROA)</w:t>
            </w:r>
          </w:p>
        </w:tc>
        <w:tc>
          <w:tcPr>
            <w:tcW w:w="3260" w:type="dxa"/>
            <w:gridSpan w:val="2"/>
            <w:tcMar>
              <w:left w:w="28" w:type="dxa"/>
              <w:right w:w="28" w:type="dxa"/>
            </w:tcMar>
            <w:vAlign w:val="center"/>
          </w:tcPr>
          <w:p w14:paraId="3BB4A007" w14:textId="77777777" w:rsidR="00252DD6" w:rsidRPr="00BC2E5D" w:rsidRDefault="00000000" w:rsidP="00AF5B66">
            <w:pPr>
              <w:spacing w:line="240" w:lineRule="atLeast"/>
              <w:contextualSpacing/>
              <w:jc w:val="center"/>
              <w:rPr>
                <w:rFonts w:ascii="Garamond" w:hAnsi="Garamond" w:cs="Garamond"/>
                <w:sz w:val="24"/>
                <w:szCs w:val="24"/>
                <w:lang w:val="en-US" w:bidi="ru-RU"/>
              </w:rPr>
            </w:pPr>
            <m:oMath>
              <m:f>
                <m:fPr>
                  <m:ctrlPr>
                    <w:rPr>
                      <w:rFonts w:ascii="Cambria Math" w:hAnsi="Cambria Math" w:cs="Garamond"/>
                      <w:sz w:val="24"/>
                      <w:szCs w:val="24"/>
                      <w:lang w:val="en-US" w:bidi="ru-RU"/>
                    </w:rPr>
                  </m:ctrlPr>
                </m:fPr>
                <m:num>
                  <m:r>
                    <m:rPr>
                      <m:sty m:val="p"/>
                    </m:rPr>
                    <w:rPr>
                      <w:rFonts w:ascii="Cambria Math" w:hAnsi="Cambria Math" w:cs="Garamond"/>
                      <w:sz w:val="24"/>
                      <w:szCs w:val="24"/>
                      <w:lang w:val="en-US" w:bidi="ru-RU"/>
                    </w:rPr>
                    <m:t xml:space="preserve">Annual net income </m:t>
                  </m:r>
                </m:num>
                <m:den>
                  <m:r>
                    <m:rPr>
                      <m:sty m:val="p"/>
                    </m:rPr>
                    <w:rPr>
                      <w:rFonts w:ascii="Cambria Math" w:hAnsi="Cambria Math" w:cs="Garamond"/>
                      <w:sz w:val="24"/>
                      <w:szCs w:val="24"/>
                      <w:lang w:val="en-US" w:bidi="ru-RU"/>
                    </w:rPr>
                    <m:t>Average total assets</m:t>
                  </m:r>
                </m:den>
              </m:f>
            </m:oMath>
            <w:r w:rsidR="00252DD6" w:rsidRPr="00BC2E5D">
              <w:rPr>
                <w:rFonts w:ascii="Garamond" w:hAnsi="Garamond" w:cs="Garamond"/>
                <w:sz w:val="24"/>
                <w:szCs w:val="24"/>
                <w:lang w:val="en-US" w:bidi="ru-RU"/>
              </w:rPr>
              <w:t xml:space="preserve"> </w:t>
            </w:r>
            <w:r w:rsidR="00AF5B66">
              <w:rPr>
                <w:rFonts w:ascii="Garamond" w:hAnsi="Garamond" w:cs="Garamond"/>
                <w:sz w:val="24"/>
                <w:szCs w:val="24"/>
                <w:lang w:val="en-US" w:bidi="ru-RU"/>
              </w:rPr>
              <w:t>∙</w:t>
            </w:r>
            <w:r w:rsidR="00252DD6" w:rsidRPr="00BC2E5D">
              <w:rPr>
                <w:rFonts w:ascii="Garamond" w:hAnsi="Garamond" w:cs="Garamond"/>
                <w:sz w:val="24"/>
                <w:szCs w:val="24"/>
                <w:lang w:val="en-US" w:bidi="ru-RU"/>
              </w:rPr>
              <w:t xml:space="preserve"> 100</w:t>
            </w:r>
            <w:r w:rsidR="00252DD6">
              <w:rPr>
                <w:rFonts w:ascii="Garamond" w:hAnsi="Garamond" w:cs="Garamond"/>
                <w:sz w:val="24"/>
                <w:szCs w:val="24"/>
                <w:lang w:val="en-US" w:bidi="ru-RU"/>
              </w:rPr>
              <w:t xml:space="preserve"> </w:t>
            </w:r>
            <w:r w:rsidR="00252DD6" w:rsidRPr="00BC2E5D">
              <w:rPr>
                <w:rFonts w:ascii="Garamond" w:hAnsi="Garamond" w:cs="Garamond"/>
                <w:sz w:val="24"/>
                <w:szCs w:val="24"/>
                <w:lang w:val="en-US" w:bidi="ru-RU"/>
              </w:rPr>
              <w:t>%</w:t>
            </w:r>
          </w:p>
        </w:tc>
        <w:tc>
          <w:tcPr>
            <w:tcW w:w="1276" w:type="dxa"/>
            <w:gridSpan w:val="2"/>
            <w:tcMar>
              <w:left w:w="28" w:type="dxa"/>
              <w:right w:w="28" w:type="dxa"/>
            </w:tcMar>
            <w:vAlign w:val="center"/>
          </w:tcPr>
          <w:p w14:paraId="1B6C064F" w14:textId="77777777" w:rsidR="00252DD6" w:rsidRPr="00BC2E5D" w:rsidRDefault="00252DD6"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increasing trend</w:t>
            </w:r>
          </w:p>
        </w:tc>
        <w:tc>
          <w:tcPr>
            <w:tcW w:w="3130" w:type="dxa"/>
            <w:tcMar>
              <w:left w:w="28" w:type="dxa"/>
              <w:right w:w="28" w:type="dxa"/>
            </w:tcMar>
            <w:vAlign w:val="center"/>
          </w:tcPr>
          <w:p w14:paraId="1A3ACF68" w14:textId="77777777" w:rsidR="00252DD6" w:rsidRPr="00BC2E5D" w:rsidRDefault="00252DD6"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Average total assets are equal to the sum of total assets at the beginning and at the end of th</w:t>
            </w:r>
            <w:r>
              <w:rPr>
                <w:rFonts w:ascii="Garamond" w:hAnsi="Garamond" w:cs="Garamond"/>
                <w:sz w:val="22"/>
                <w:szCs w:val="22"/>
                <w:lang w:val="en-US" w:bidi="ru-RU"/>
              </w:rPr>
              <w:t>e financial year divided by two</w:t>
            </w:r>
          </w:p>
        </w:tc>
      </w:tr>
      <w:tr w:rsidR="00252DD6" w:rsidRPr="00BC2E5D" w14:paraId="07B54487" w14:textId="77777777" w:rsidTr="006C7966">
        <w:tc>
          <w:tcPr>
            <w:tcW w:w="1951" w:type="dxa"/>
            <w:tcMar>
              <w:left w:w="28" w:type="dxa"/>
              <w:right w:w="28" w:type="dxa"/>
            </w:tcMar>
            <w:vAlign w:val="center"/>
          </w:tcPr>
          <w:p w14:paraId="1BBF9B50" w14:textId="77777777" w:rsidR="00252DD6" w:rsidRPr="00BC2E5D" w:rsidRDefault="00252DD6"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Return on equity ratio (ROE)</w:t>
            </w:r>
          </w:p>
        </w:tc>
        <w:tc>
          <w:tcPr>
            <w:tcW w:w="3260" w:type="dxa"/>
            <w:gridSpan w:val="2"/>
            <w:tcMar>
              <w:left w:w="28" w:type="dxa"/>
              <w:right w:w="28" w:type="dxa"/>
            </w:tcMar>
            <w:vAlign w:val="center"/>
          </w:tcPr>
          <w:p w14:paraId="20B61B57" w14:textId="77777777" w:rsidR="00252DD6" w:rsidRPr="00BC2E5D" w:rsidRDefault="00000000" w:rsidP="00AF5B66">
            <w:pPr>
              <w:spacing w:line="240" w:lineRule="atLeast"/>
              <w:contextualSpacing/>
              <w:jc w:val="center"/>
              <w:rPr>
                <w:rFonts w:ascii="Garamond" w:hAnsi="Garamond" w:cs="Garamond"/>
                <w:sz w:val="24"/>
                <w:szCs w:val="24"/>
                <w:lang w:val="en-US" w:bidi="ru-RU"/>
              </w:rPr>
            </w:pPr>
            <m:oMath>
              <m:f>
                <m:fPr>
                  <m:ctrlPr>
                    <w:rPr>
                      <w:rFonts w:ascii="Cambria Math" w:hAnsi="Cambria Math" w:cs="Garamond"/>
                      <w:sz w:val="24"/>
                      <w:szCs w:val="24"/>
                      <w:lang w:val="en-US" w:bidi="ru-RU"/>
                    </w:rPr>
                  </m:ctrlPr>
                </m:fPr>
                <m:num>
                  <m:r>
                    <m:rPr>
                      <m:sty m:val="p"/>
                    </m:rPr>
                    <w:rPr>
                      <w:rFonts w:ascii="Cambria Math" w:hAnsi="Cambria Math" w:cs="Garamond"/>
                      <w:sz w:val="24"/>
                      <w:szCs w:val="24"/>
                      <w:lang w:val="en-US" w:bidi="ru-RU"/>
                    </w:rPr>
                    <m:t xml:space="preserve">Annual net income </m:t>
                  </m:r>
                </m:num>
                <m:den>
                  <m:r>
                    <m:rPr>
                      <m:sty m:val="p"/>
                    </m:rPr>
                    <w:rPr>
                      <w:rFonts w:ascii="Cambria Math" w:hAnsi="Cambria Math" w:cs="Garamond"/>
                      <w:sz w:val="24"/>
                      <w:szCs w:val="24"/>
                      <w:lang w:val="en-US" w:bidi="ru-RU"/>
                    </w:rPr>
                    <m:t>Average stockholders' equity</m:t>
                  </m:r>
                </m:den>
              </m:f>
            </m:oMath>
            <w:r w:rsidR="00252DD6" w:rsidRPr="00BC2E5D">
              <w:rPr>
                <w:rFonts w:ascii="Garamond" w:hAnsi="Garamond" w:cs="Garamond"/>
                <w:sz w:val="24"/>
                <w:szCs w:val="24"/>
                <w:lang w:val="en-US" w:bidi="ru-RU"/>
              </w:rPr>
              <w:t xml:space="preserve"> </w:t>
            </w:r>
            <w:r w:rsidR="00AF5B66">
              <w:rPr>
                <w:rFonts w:ascii="Garamond" w:hAnsi="Garamond" w:cs="Garamond"/>
                <w:sz w:val="24"/>
                <w:szCs w:val="24"/>
                <w:lang w:val="en-US" w:bidi="ru-RU"/>
              </w:rPr>
              <w:t>∙</w:t>
            </w:r>
            <w:r w:rsidR="00252DD6" w:rsidRPr="00BC2E5D">
              <w:rPr>
                <w:rFonts w:ascii="Garamond" w:hAnsi="Garamond" w:cs="Garamond"/>
                <w:sz w:val="24"/>
                <w:szCs w:val="24"/>
                <w:lang w:val="en-US" w:bidi="ru-RU"/>
              </w:rPr>
              <w:t>100</w:t>
            </w:r>
            <w:r w:rsidR="00252DD6">
              <w:rPr>
                <w:rFonts w:ascii="Garamond" w:hAnsi="Garamond" w:cs="Garamond"/>
                <w:sz w:val="24"/>
                <w:szCs w:val="24"/>
                <w:lang w:val="en-US" w:bidi="ru-RU"/>
              </w:rPr>
              <w:t xml:space="preserve"> </w:t>
            </w:r>
            <w:r w:rsidR="00252DD6" w:rsidRPr="00BC2E5D">
              <w:rPr>
                <w:rFonts w:ascii="Garamond" w:hAnsi="Garamond" w:cs="Garamond"/>
                <w:sz w:val="24"/>
                <w:szCs w:val="24"/>
                <w:lang w:val="en-US" w:bidi="ru-RU"/>
              </w:rPr>
              <w:t>%</w:t>
            </w:r>
          </w:p>
        </w:tc>
        <w:tc>
          <w:tcPr>
            <w:tcW w:w="1276" w:type="dxa"/>
            <w:gridSpan w:val="2"/>
            <w:tcMar>
              <w:left w:w="28" w:type="dxa"/>
              <w:right w:w="28" w:type="dxa"/>
            </w:tcMar>
            <w:vAlign w:val="center"/>
          </w:tcPr>
          <w:p w14:paraId="054392D4" w14:textId="77777777" w:rsidR="00252DD6" w:rsidRPr="00BC2E5D" w:rsidRDefault="00252DD6"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increasing trend</w:t>
            </w:r>
          </w:p>
        </w:tc>
        <w:tc>
          <w:tcPr>
            <w:tcW w:w="3130" w:type="dxa"/>
            <w:tcMar>
              <w:left w:w="28" w:type="dxa"/>
              <w:right w:w="28" w:type="dxa"/>
            </w:tcMar>
            <w:vAlign w:val="center"/>
          </w:tcPr>
          <w:p w14:paraId="0C6487AA" w14:textId="77777777" w:rsidR="00252DD6" w:rsidRPr="00BC2E5D" w:rsidRDefault="00252DD6"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Average shareholders' equity is equal to the sum of shareholders' equity at the beginning and at the</w:t>
            </w:r>
            <w:r>
              <w:rPr>
                <w:rFonts w:ascii="Garamond" w:hAnsi="Garamond" w:cs="Garamond"/>
                <w:sz w:val="22"/>
                <w:szCs w:val="22"/>
                <w:lang w:val="en-US" w:bidi="ru-RU"/>
              </w:rPr>
              <w:t xml:space="preserve"> end of the year divided by two</w:t>
            </w:r>
          </w:p>
        </w:tc>
      </w:tr>
    </w:tbl>
    <w:p w14:paraId="50129242" w14:textId="77777777" w:rsidR="00A14FB4" w:rsidRDefault="00A14FB4">
      <w:pPr>
        <w:rPr>
          <w:lang w:val="en-US"/>
        </w:rPr>
      </w:pPr>
    </w:p>
    <w:p w14:paraId="7381D60D" w14:textId="77777777" w:rsidR="00A14FB4" w:rsidRDefault="00A14FB4">
      <w:pPr>
        <w:rPr>
          <w:lang w:val="en-US"/>
        </w:rPr>
      </w:pPr>
    </w:p>
    <w:tbl>
      <w:tblPr>
        <w:tblStyle w:val="70"/>
        <w:tblW w:w="9617" w:type="dxa"/>
        <w:tblLayout w:type="fixed"/>
        <w:tblLook w:val="04A0" w:firstRow="1" w:lastRow="0" w:firstColumn="1" w:lastColumn="0" w:noHBand="0" w:noVBand="1"/>
      </w:tblPr>
      <w:tblGrid>
        <w:gridCol w:w="1951"/>
        <w:gridCol w:w="3260"/>
        <w:gridCol w:w="1276"/>
        <w:gridCol w:w="3130"/>
      </w:tblGrid>
      <w:tr w:rsidR="00A14FB4" w:rsidRPr="00BC2E5D" w14:paraId="59715432" w14:textId="77777777" w:rsidTr="00A14FB4">
        <w:tc>
          <w:tcPr>
            <w:tcW w:w="9617" w:type="dxa"/>
            <w:gridSpan w:val="4"/>
            <w:tcBorders>
              <w:top w:val="nil"/>
              <w:left w:val="nil"/>
              <w:right w:val="nil"/>
            </w:tcBorders>
            <w:tcMar>
              <w:left w:w="28" w:type="dxa"/>
              <w:right w:w="28" w:type="dxa"/>
            </w:tcMar>
            <w:vAlign w:val="center"/>
          </w:tcPr>
          <w:p w14:paraId="56FD9606" w14:textId="77777777" w:rsidR="00A14FB4" w:rsidRPr="00BC2E5D" w:rsidRDefault="00A14FB4" w:rsidP="00BC2E5D">
            <w:pPr>
              <w:spacing w:line="240" w:lineRule="atLeast"/>
              <w:contextualSpacing/>
              <w:rPr>
                <w:rFonts w:cs="Garamond"/>
                <w:sz w:val="22"/>
                <w:szCs w:val="22"/>
                <w:lang w:val="en-US" w:bidi="ru-RU"/>
              </w:rPr>
            </w:pPr>
            <w:r w:rsidRPr="00A14FB4">
              <w:rPr>
                <w:rFonts w:ascii="Garamond" w:hAnsi="Garamond" w:cs="Garamond"/>
                <w:sz w:val="28"/>
                <w:szCs w:val="24"/>
                <w:lang w:val="en-US" w:bidi="ru-RU"/>
              </w:rPr>
              <w:t xml:space="preserve">Continuation of </w:t>
            </w:r>
            <w:r w:rsidR="00252DD6">
              <w:rPr>
                <w:rFonts w:ascii="Garamond" w:hAnsi="Garamond" w:cs="Garamond"/>
                <w:sz w:val="28"/>
                <w:szCs w:val="24"/>
                <w:lang w:val="en-US" w:bidi="ru-RU"/>
              </w:rPr>
              <w:t xml:space="preserve">the </w:t>
            </w:r>
            <w:r w:rsidRPr="00A14FB4">
              <w:rPr>
                <w:rFonts w:ascii="Garamond" w:hAnsi="Garamond" w:cs="Garamond"/>
                <w:sz w:val="28"/>
                <w:szCs w:val="24"/>
                <w:lang w:val="en-US" w:bidi="ru-RU"/>
              </w:rPr>
              <w:t>Table B.1</w:t>
            </w:r>
          </w:p>
        </w:tc>
      </w:tr>
      <w:tr w:rsidR="00252DD6" w:rsidRPr="00BC2E5D" w14:paraId="65A7D1D4" w14:textId="77777777" w:rsidTr="00252DD6">
        <w:tc>
          <w:tcPr>
            <w:tcW w:w="1951" w:type="dxa"/>
            <w:shd w:val="clear" w:color="auto" w:fill="D9D9D9" w:themeFill="background1" w:themeFillShade="D9"/>
            <w:tcMar>
              <w:left w:w="28" w:type="dxa"/>
              <w:right w:w="28" w:type="dxa"/>
            </w:tcMar>
            <w:vAlign w:val="center"/>
          </w:tcPr>
          <w:p w14:paraId="6BB7F135"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Ratio</w:t>
            </w:r>
          </w:p>
        </w:tc>
        <w:tc>
          <w:tcPr>
            <w:tcW w:w="3260" w:type="dxa"/>
            <w:shd w:val="clear" w:color="auto" w:fill="D9D9D9" w:themeFill="background1" w:themeFillShade="D9"/>
            <w:tcMar>
              <w:left w:w="28" w:type="dxa"/>
              <w:right w:w="28" w:type="dxa"/>
            </w:tcMar>
            <w:vAlign w:val="center"/>
          </w:tcPr>
          <w:p w14:paraId="0AAD5F71"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Calculation</w:t>
            </w:r>
          </w:p>
        </w:tc>
        <w:tc>
          <w:tcPr>
            <w:tcW w:w="1276" w:type="dxa"/>
            <w:shd w:val="clear" w:color="auto" w:fill="D9D9D9" w:themeFill="background1" w:themeFillShade="D9"/>
            <w:tcMar>
              <w:left w:w="28" w:type="dxa"/>
              <w:right w:w="28" w:type="dxa"/>
            </w:tcMar>
            <w:vAlign w:val="center"/>
          </w:tcPr>
          <w:p w14:paraId="383315CB"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Criterion value</w:t>
            </w:r>
          </w:p>
        </w:tc>
        <w:tc>
          <w:tcPr>
            <w:tcW w:w="3130" w:type="dxa"/>
            <w:shd w:val="clear" w:color="auto" w:fill="D9D9D9" w:themeFill="background1" w:themeFillShade="D9"/>
            <w:tcMar>
              <w:left w:w="28" w:type="dxa"/>
              <w:right w:w="28" w:type="dxa"/>
            </w:tcMar>
            <w:vAlign w:val="center"/>
          </w:tcPr>
          <w:p w14:paraId="1AD7D8E0"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Comments</w:t>
            </w:r>
          </w:p>
        </w:tc>
      </w:tr>
      <w:tr w:rsidR="00BC2E5D" w:rsidRPr="00BC2E5D" w14:paraId="59E614FC" w14:textId="77777777" w:rsidTr="006C7966">
        <w:tc>
          <w:tcPr>
            <w:tcW w:w="1951" w:type="dxa"/>
            <w:tcMar>
              <w:left w:w="28" w:type="dxa"/>
              <w:right w:w="28" w:type="dxa"/>
            </w:tcMar>
            <w:vAlign w:val="center"/>
          </w:tcPr>
          <w:p w14:paraId="7229A4A7"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Return on invested capital (ROIC)</w:t>
            </w:r>
          </w:p>
        </w:tc>
        <w:tc>
          <w:tcPr>
            <w:tcW w:w="3260" w:type="dxa"/>
            <w:tcMar>
              <w:left w:w="28" w:type="dxa"/>
              <w:right w:w="28" w:type="dxa"/>
            </w:tcMar>
            <w:vAlign w:val="center"/>
          </w:tcPr>
          <w:p w14:paraId="429E976C" w14:textId="77777777" w:rsidR="00A14FB4" w:rsidRDefault="00000000" w:rsidP="00BC2E5D">
            <w:pPr>
              <w:spacing w:line="240" w:lineRule="atLeast"/>
              <w:contextualSpacing/>
              <w:jc w:val="center"/>
              <w:rPr>
                <w:rFonts w:ascii="Garamond" w:hAnsi="Garamond" w:cs="Garamond"/>
                <w:sz w:val="24"/>
                <w:szCs w:val="24"/>
                <w:lang w:val="en-US" w:bidi="ru-RU"/>
              </w:rPr>
            </w:pPr>
            <m:oMath>
              <m:f>
                <m:fPr>
                  <m:ctrlPr>
                    <w:rPr>
                      <w:rFonts w:ascii="Cambria Math" w:hAnsi="Cambria Math" w:cs="Garamond"/>
                      <w:sz w:val="24"/>
                      <w:szCs w:val="24"/>
                      <w:lang w:val="en-US" w:bidi="ru-RU"/>
                    </w:rPr>
                  </m:ctrlPr>
                </m:fPr>
                <m:num>
                  <m:r>
                    <m:rPr>
                      <m:sty m:val="p"/>
                    </m:rPr>
                    <w:rPr>
                      <w:rFonts w:ascii="Cambria Math" w:hAnsi="Cambria Math" w:cs="Garamond"/>
                      <w:sz w:val="24"/>
                      <w:szCs w:val="24"/>
                      <w:lang w:val="en-US" w:bidi="ru-RU"/>
                    </w:rPr>
                    <m:t xml:space="preserve">Net operating profit after taxes </m:t>
                  </m:r>
                </m:num>
                <m:den>
                  <m:r>
                    <m:rPr>
                      <m:sty m:val="p"/>
                    </m:rPr>
                    <w:rPr>
                      <w:rFonts w:ascii="Cambria Math" w:hAnsi="Cambria Math" w:cs="Garamond"/>
                      <w:sz w:val="24"/>
                      <w:szCs w:val="24"/>
                      <w:lang w:val="en-US" w:bidi="ru-RU"/>
                    </w:rPr>
                    <m:t>Invested capital</m:t>
                  </m:r>
                </m:den>
              </m:f>
            </m:oMath>
            <w:r w:rsidR="00A14FB4">
              <w:rPr>
                <w:rFonts w:ascii="Garamond" w:hAnsi="Garamond" w:cs="Garamond"/>
                <w:sz w:val="24"/>
                <w:szCs w:val="24"/>
                <w:lang w:val="en-US" w:bidi="ru-RU"/>
              </w:rPr>
              <w:t xml:space="preserve"> </w:t>
            </w:r>
            <w:r w:rsidR="008F6A91">
              <w:rPr>
                <w:rFonts w:ascii="Garamond" w:hAnsi="Garamond" w:cs="Garamond"/>
                <w:sz w:val="24"/>
                <w:szCs w:val="24"/>
                <w:lang w:val="en-US" w:bidi="ru-RU"/>
              </w:rPr>
              <w:t>x</w:t>
            </w:r>
            <w:r w:rsidR="00A14FB4">
              <w:rPr>
                <w:rFonts w:ascii="Garamond" w:hAnsi="Garamond" w:cs="Garamond"/>
                <w:sz w:val="24"/>
                <w:szCs w:val="24"/>
                <w:lang w:val="en-US" w:bidi="ru-RU"/>
              </w:rPr>
              <w:t xml:space="preserve"> </w:t>
            </w:r>
          </w:p>
          <w:p w14:paraId="5923F4B5" w14:textId="77777777" w:rsidR="00BC2E5D" w:rsidRPr="00BC2E5D" w:rsidRDefault="008F6A91" w:rsidP="00BC2E5D">
            <w:pPr>
              <w:spacing w:line="240" w:lineRule="atLeast"/>
              <w:contextualSpacing/>
              <w:jc w:val="center"/>
              <w:rPr>
                <w:rFonts w:ascii="Garamond" w:hAnsi="Garamond" w:cs="Garamond"/>
                <w:sz w:val="24"/>
                <w:szCs w:val="24"/>
                <w:lang w:val="en-US" w:bidi="ru-RU"/>
              </w:rPr>
            </w:pPr>
            <w:r>
              <w:rPr>
                <w:rFonts w:ascii="Garamond" w:hAnsi="Garamond" w:cs="Garamond"/>
                <w:sz w:val="24"/>
                <w:szCs w:val="24"/>
                <w:lang w:val="en-US" w:bidi="ru-RU"/>
              </w:rPr>
              <w:t>x</w:t>
            </w:r>
            <w:r w:rsidR="00A14FB4">
              <w:rPr>
                <w:rFonts w:ascii="Garamond" w:hAnsi="Garamond" w:cs="Garamond"/>
                <w:sz w:val="24"/>
                <w:szCs w:val="24"/>
                <w:lang w:val="en-US" w:bidi="ru-RU"/>
              </w:rPr>
              <w:t xml:space="preserve"> </w:t>
            </w:r>
            <w:r w:rsidR="00BC2E5D" w:rsidRPr="00BC2E5D">
              <w:rPr>
                <w:rFonts w:ascii="Garamond" w:hAnsi="Garamond" w:cs="Garamond"/>
                <w:sz w:val="24"/>
                <w:szCs w:val="24"/>
                <w:lang w:val="en-US" w:bidi="ru-RU"/>
              </w:rPr>
              <w:t>100</w:t>
            </w:r>
            <w:r w:rsidR="00A14FB4">
              <w:rPr>
                <w:rFonts w:ascii="Garamond" w:hAnsi="Garamond" w:cs="Garamond"/>
                <w:sz w:val="24"/>
                <w:szCs w:val="24"/>
                <w:lang w:val="en-US" w:bidi="ru-RU"/>
              </w:rPr>
              <w:t xml:space="preserve"> </w:t>
            </w:r>
            <w:r w:rsidR="00BC2E5D" w:rsidRPr="00BC2E5D">
              <w:rPr>
                <w:rFonts w:ascii="Garamond" w:hAnsi="Garamond" w:cs="Garamond"/>
                <w:sz w:val="24"/>
                <w:szCs w:val="24"/>
                <w:lang w:val="en-US" w:bidi="ru-RU"/>
              </w:rPr>
              <w:t>%</w:t>
            </w:r>
          </w:p>
        </w:tc>
        <w:tc>
          <w:tcPr>
            <w:tcW w:w="1276" w:type="dxa"/>
            <w:tcMar>
              <w:left w:w="28" w:type="dxa"/>
              <w:right w:w="28" w:type="dxa"/>
            </w:tcMar>
            <w:vAlign w:val="center"/>
          </w:tcPr>
          <w:p w14:paraId="536FA1DD"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increasing trend</w:t>
            </w:r>
          </w:p>
        </w:tc>
        <w:tc>
          <w:tcPr>
            <w:tcW w:w="3130" w:type="dxa"/>
            <w:tcMar>
              <w:left w:w="28" w:type="dxa"/>
              <w:right w:w="28" w:type="dxa"/>
            </w:tcMar>
            <w:vAlign w:val="center"/>
          </w:tcPr>
          <w:p w14:paraId="7CA17A84" w14:textId="77777777" w:rsidR="00BC2E5D" w:rsidRPr="00BC2E5D" w:rsidRDefault="00BC2E5D" w:rsidP="008F6A91">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 xml:space="preserve">Net operating profit after taxes (NOPAT) = Operating profit </w:t>
            </w:r>
            <w:r w:rsidR="008F6A91">
              <w:rPr>
                <w:rFonts w:ascii="Garamond" w:hAnsi="Garamond" w:cs="Garamond"/>
                <w:sz w:val="22"/>
                <w:szCs w:val="22"/>
                <w:lang w:val="en-US" w:bidi="ru-RU"/>
              </w:rPr>
              <w:t>•</w:t>
            </w:r>
            <w:r w:rsidRPr="00BC2E5D">
              <w:rPr>
                <w:rFonts w:ascii="Garamond" w:hAnsi="Garamond" w:cs="Garamond"/>
                <w:sz w:val="22"/>
                <w:szCs w:val="22"/>
                <w:lang w:val="en-US" w:bidi="ru-RU"/>
              </w:rPr>
              <w:t xml:space="preserve"> (1 </w:t>
            </w:r>
            <w:r w:rsidR="00A14FB4">
              <w:rPr>
                <w:rFonts w:ascii="Garamond" w:hAnsi="Garamond" w:cs="Garamond"/>
                <w:sz w:val="22"/>
                <w:szCs w:val="22"/>
                <w:lang w:val="en-US" w:bidi="ru-RU"/>
              </w:rPr>
              <w:t>–</w:t>
            </w:r>
            <w:r w:rsidRPr="00BC2E5D">
              <w:rPr>
                <w:rFonts w:ascii="Garamond" w:hAnsi="Garamond" w:cs="Garamond"/>
                <w:sz w:val="22"/>
                <w:szCs w:val="22"/>
                <w:lang w:val="en-US" w:bidi="ru-RU"/>
              </w:rPr>
              <w:t xml:space="preserve"> Tax rate). Invested capital (IC) includes fixed assets such as plant, property and equipment and non-cash working capital contains assets such as accounts receivable and inventory (Non-cash working capital = Current asset</w:t>
            </w:r>
            <w:r w:rsidR="00A14FB4">
              <w:rPr>
                <w:rFonts w:ascii="Garamond" w:hAnsi="Garamond" w:cs="Garamond"/>
                <w:sz w:val="22"/>
                <w:szCs w:val="22"/>
                <w:lang w:val="en-US" w:bidi="ru-RU"/>
              </w:rPr>
              <w:t>s – Current liabilities – Cash)</w:t>
            </w:r>
          </w:p>
        </w:tc>
      </w:tr>
      <w:tr w:rsidR="00BC2E5D" w:rsidRPr="00BC2E5D" w14:paraId="7E37837D" w14:textId="77777777" w:rsidTr="006C7966">
        <w:tc>
          <w:tcPr>
            <w:tcW w:w="1951" w:type="dxa"/>
            <w:tcMar>
              <w:left w:w="28" w:type="dxa"/>
              <w:right w:w="28" w:type="dxa"/>
            </w:tcMar>
            <w:vAlign w:val="center"/>
          </w:tcPr>
          <w:p w14:paraId="6ABFEB20"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Return on sales (ROS) (also referred as net profit (NP) margin)</w:t>
            </w:r>
          </w:p>
        </w:tc>
        <w:tc>
          <w:tcPr>
            <w:tcW w:w="3260" w:type="dxa"/>
            <w:tcMar>
              <w:left w:w="28" w:type="dxa"/>
              <w:right w:w="28" w:type="dxa"/>
            </w:tcMar>
            <w:vAlign w:val="center"/>
          </w:tcPr>
          <w:p w14:paraId="5FAC13D3" w14:textId="77777777" w:rsidR="00BC2E5D" w:rsidRPr="00BC2E5D" w:rsidRDefault="00000000" w:rsidP="00AF5B66">
            <w:pPr>
              <w:spacing w:line="240" w:lineRule="atLeast"/>
              <w:contextualSpacing/>
              <w:jc w:val="center"/>
              <w:rPr>
                <w:rFonts w:ascii="Garamond" w:hAnsi="Garamond" w:cs="Garamond"/>
                <w:sz w:val="24"/>
                <w:szCs w:val="24"/>
                <w:lang w:val="en-US" w:bidi="ru-RU"/>
              </w:rPr>
            </w:pPr>
            <m:oMath>
              <m:f>
                <m:fPr>
                  <m:ctrlPr>
                    <w:rPr>
                      <w:rFonts w:ascii="Cambria Math" w:hAnsi="Cambria Math" w:cs="Garamond"/>
                      <w:sz w:val="24"/>
                      <w:szCs w:val="24"/>
                      <w:lang w:val="en-US" w:bidi="ru-RU"/>
                    </w:rPr>
                  </m:ctrlPr>
                </m:fPr>
                <m:num>
                  <m:r>
                    <m:rPr>
                      <m:sty m:val="p"/>
                    </m:rPr>
                    <w:rPr>
                      <w:rFonts w:ascii="Cambria Math" w:hAnsi="Cambria Math" w:cs="Garamond"/>
                      <w:sz w:val="24"/>
                      <w:szCs w:val="24"/>
                      <w:lang w:val="en-US" w:bidi="ru-RU"/>
                    </w:rPr>
                    <m:t xml:space="preserve">Net income </m:t>
                  </m:r>
                </m:num>
                <m:den>
                  <m:r>
                    <m:rPr>
                      <m:sty m:val="p"/>
                    </m:rPr>
                    <w:rPr>
                      <w:rFonts w:ascii="Cambria Math" w:hAnsi="Cambria Math" w:cs="Garamond"/>
                      <w:sz w:val="24"/>
                      <w:szCs w:val="24"/>
                      <w:lang w:val="en-US" w:bidi="ru-RU"/>
                    </w:rPr>
                    <m:t>Net sales</m:t>
                  </m:r>
                </m:den>
              </m:f>
            </m:oMath>
            <w:r w:rsidR="00BC2E5D" w:rsidRPr="00BC2E5D">
              <w:rPr>
                <w:rFonts w:ascii="Garamond" w:hAnsi="Garamond" w:cs="Garamond"/>
                <w:sz w:val="24"/>
                <w:szCs w:val="24"/>
                <w:lang w:val="en-US" w:bidi="ru-RU"/>
              </w:rPr>
              <w:t xml:space="preserve"> </w:t>
            </w:r>
            <w:r w:rsidR="00AF5B66">
              <w:rPr>
                <w:rFonts w:ascii="Garamond" w:hAnsi="Garamond" w:cs="Garamond"/>
                <w:sz w:val="24"/>
                <w:szCs w:val="24"/>
                <w:lang w:val="en-US" w:bidi="ru-RU"/>
              </w:rPr>
              <w:t>∙</w:t>
            </w:r>
            <w:r w:rsidR="00A14FB4">
              <w:rPr>
                <w:rFonts w:ascii="Garamond" w:hAnsi="Garamond" w:cs="Garamond"/>
                <w:sz w:val="24"/>
                <w:szCs w:val="24"/>
                <w:lang w:val="en-US" w:bidi="ru-RU"/>
              </w:rPr>
              <w:t xml:space="preserve"> </w:t>
            </w:r>
            <w:r w:rsidR="00BC2E5D" w:rsidRPr="00BC2E5D">
              <w:rPr>
                <w:rFonts w:ascii="Garamond" w:hAnsi="Garamond" w:cs="Garamond"/>
                <w:sz w:val="24"/>
                <w:szCs w:val="24"/>
                <w:lang w:val="en-US" w:bidi="ru-RU"/>
              </w:rPr>
              <w:t>100</w:t>
            </w:r>
            <w:r w:rsidR="00A14FB4">
              <w:rPr>
                <w:rFonts w:ascii="Garamond" w:hAnsi="Garamond" w:cs="Garamond"/>
                <w:sz w:val="24"/>
                <w:szCs w:val="24"/>
                <w:lang w:val="en-US" w:bidi="ru-RU"/>
              </w:rPr>
              <w:t xml:space="preserve"> </w:t>
            </w:r>
            <w:r w:rsidR="00BC2E5D" w:rsidRPr="00BC2E5D">
              <w:rPr>
                <w:rFonts w:ascii="Garamond" w:hAnsi="Garamond" w:cs="Garamond"/>
                <w:sz w:val="24"/>
                <w:szCs w:val="24"/>
                <w:lang w:val="en-US" w:bidi="ru-RU"/>
              </w:rPr>
              <w:t>%</w:t>
            </w:r>
          </w:p>
        </w:tc>
        <w:tc>
          <w:tcPr>
            <w:tcW w:w="1276" w:type="dxa"/>
            <w:tcMar>
              <w:left w:w="28" w:type="dxa"/>
              <w:right w:w="28" w:type="dxa"/>
            </w:tcMar>
            <w:vAlign w:val="center"/>
          </w:tcPr>
          <w:p w14:paraId="67816063" w14:textId="77777777" w:rsidR="00BC2E5D" w:rsidRPr="00BC2E5D" w:rsidRDefault="00BC2E5D" w:rsidP="00BC2E5D">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increasing trend</w:t>
            </w:r>
          </w:p>
        </w:tc>
        <w:tc>
          <w:tcPr>
            <w:tcW w:w="3130" w:type="dxa"/>
            <w:tcMar>
              <w:left w:w="28" w:type="dxa"/>
              <w:right w:w="28" w:type="dxa"/>
            </w:tcMar>
            <w:vAlign w:val="center"/>
          </w:tcPr>
          <w:p w14:paraId="695BB4E4" w14:textId="77777777" w:rsidR="00BC2E5D" w:rsidRPr="00BC2E5D" w:rsidRDefault="00BC2E5D" w:rsidP="00BC2E5D">
            <w:pPr>
              <w:spacing w:line="240" w:lineRule="atLeast"/>
              <w:contextualSpacing/>
              <w:rPr>
                <w:rFonts w:ascii="Garamond" w:hAnsi="Garamond" w:cs="Garamond"/>
                <w:sz w:val="22"/>
                <w:szCs w:val="22"/>
                <w:lang w:val="en-US" w:bidi="ru-RU"/>
              </w:rPr>
            </w:pPr>
          </w:p>
        </w:tc>
      </w:tr>
      <w:tr w:rsidR="00BC2E5D" w:rsidRPr="00BC2E5D" w14:paraId="35C0FFE5" w14:textId="77777777" w:rsidTr="006C7966">
        <w:tc>
          <w:tcPr>
            <w:tcW w:w="1951" w:type="dxa"/>
            <w:tcMar>
              <w:left w:w="28" w:type="dxa"/>
              <w:right w:w="28" w:type="dxa"/>
            </w:tcMar>
            <w:vAlign w:val="center"/>
          </w:tcPr>
          <w:p w14:paraId="32BC4B7F"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Gross profit (GP) margin</w:t>
            </w:r>
          </w:p>
        </w:tc>
        <w:tc>
          <w:tcPr>
            <w:tcW w:w="3260" w:type="dxa"/>
            <w:tcMar>
              <w:left w:w="28" w:type="dxa"/>
              <w:right w:w="28" w:type="dxa"/>
            </w:tcMar>
            <w:vAlign w:val="center"/>
          </w:tcPr>
          <w:p w14:paraId="7CA90EFD" w14:textId="77777777" w:rsidR="00BC2E5D" w:rsidRPr="00BC2E5D" w:rsidRDefault="00000000" w:rsidP="00BC2E5D">
            <w:pPr>
              <w:spacing w:line="240" w:lineRule="atLeast"/>
              <w:contextualSpacing/>
              <w:jc w:val="center"/>
              <w:rPr>
                <w:rFonts w:ascii="Garamond" w:hAnsi="Garamond" w:cs="Garamond"/>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Gross profit </m:t>
                    </m:r>
                  </m:num>
                  <m:den>
                    <m:r>
                      <m:rPr>
                        <m:sty m:val="p"/>
                      </m:rPr>
                      <w:rPr>
                        <w:rFonts w:ascii="Cambria Math" w:hAnsi="Cambria Math" w:cs="Garamond"/>
                        <w:szCs w:val="24"/>
                        <w:lang w:val="en-US" w:bidi="ru-RU"/>
                      </w:rPr>
                      <m:t>Net sales</m:t>
                    </m:r>
                    <m:r>
                      <w:rPr>
                        <w:rFonts w:ascii="Cambria Math" w:hAnsi="Cambria Math" w:cs="Garamond"/>
                        <w:szCs w:val="24"/>
                        <w:lang w:val="en-US" w:bidi="ru-RU"/>
                      </w:rPr>
                      <m:t xml:space="preserve"> </m:t>
                    </m:r>
                  </m:den>
                </m:f>
              </m:oMath>
            </m:oMathPara>
          </w:p>
        </w:tc>
        <w:tc>
          <w:tcPr>
            <w:tcW w:w="1276" w:type="dxa"/>
            <w:tcMar>
              <w:left w:w="28" w:type="dxa"/>
              <w:right w:w="28" w:type="dxa"/>
            </w:tcMar>
            <w:vAlign w:val="center"/>
          </w:tcPr>
          <w:p w14:paraId="7CB10787" w14:textId="77777777" w:rsidR="00BC2E5D" w:rsidRPr="00BC2E5D" w:rsidRDefault="00BC2E5D"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2"/>
                <w:szCs w:val="24"/>
                <w:lang w:val="en-US" w:bidi="ru-RU"/>
              </w:rPr>
              <w:t>increasing trend</w:t>
            </w:r>
          </w:p>
        </w:tc>
        <w:tc>
          <w:tcPr>
            <w:tcW w:w="3130" w:type="dxa"/>
            <w:tcMar>
              <w:left w:w="28" w:type="dxa"/>
              <w:right w:w="28" w:type="dxa"/>
            </w:tcMar>
            <w:vAlign w:val="center"/>
          </w:tcPr>
          <w:p w14:paraId="2E7ABD68"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Gross profit is equal to net sales minus cost of goods sold. Net sales are equal to total gross sales less retur</w:t>
            </w:r>
            <w:r w:rsidR="00A14FB4">
              <w:rPr>
                <w:rFonts w:ascii="Garamond" w:hAnsi="Garamond" w:cs="Garamond"/>
                <w:sz w:val="22"/>
                <w:szCs w:val="22"/>
                <w:lang w:val="en-US" w:bidi="ru-RU"/>
              </w:rPr>
              <w:t>ns inwards and discount allowed</w:t>
            </w:r>
          </w:p>
        </w:tc>
      </w:tr>
      <w:tr w:rsidR="00BC2E5D" w:rsidRPr="00BC2E5D" w14:paraId="258AECCE" w14:textId="77777777" w:rsidTr="006C7966">
        <w:tc>
          <w:tcPr>
            <w:tcW w:w="1951" w:type="dxa"/>
            <w:tcMar>
              <w:left w:w="28" w:type="dxa"/>
              <w:right w:w="28" w:type="dxa"/>
            </w:tcMar>
            <w:vAlign w:val="center"/>
          </w:tcPr>
          <w:p w14:paraId="4825C81C"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Expense ratio</w:t>
            </w:r>
          </w:p>
        </w:tc>
        <w:tc>
          <w:tcPr>
            <w:tcW w:w="3260" w:type="dxa"/>
            <w:tcMar>
              <w:left w:w="28" w:type="dxa"/>
              <w:right w:w="28" w:type="dxa"/>
            </w:tcMar>
            <w:vAlign w:val="center"/>
          </w:tcPr>
          <w:p w14:paraId="6C7AC4CB" w14:textId="77777777" w:rsidR="00BC2E5D" w:rsidRPr="00BC2E5D" w:rsidRDefault="00000000" w:rsidP="00BC2E5D">
            <w:pPr>
              <w:spacing w:line="240" w:lineRule="atLeast"/>
              <w:contextualSpacing/>
              <w:jc w:val="center"/>
              <w:rPr>
                <w:rFonts w:ascii="Garamond" w:hAnsi="Garamond" w:cs="Garamond"/>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Expenses </m:t>
                    </m:r>
                  </m:num>
                  <m:den>
                    <m:r>
                      <m:rPr>
                        <m:sty m:val="p"/>
                      </m:rPr>
                      <w:rPr>
                        <w:rFonts w:ascii="Cambria Math" w:hAnsi="Cambria Math" w:cs="Garamond"/>
                        <w:szCs w:val="24"/>
                        <w:lang w:val="en-US" w:bidi="ru-RU"/>
                      </w:rPr>
                      <m:t>Net sales</m:t>
                    </m:r>
                    <m:r>
                      <w:rPr>
                        <w:rFonts w:ascii="Cambria Math" w:hAnsi="Cambria Math" w:cs="Garamond"/>
                        <w:szCs w:val="24"/>
                        <w:lang w:val="en-US" w:bidi="ru-RU"/>
                      </w:rPr>
                      <m:t xml:space="preserve"> </m:t>
                    </m:r>
                  </m:den>
                </m:f>
              </m:oMath>
            </m:oMathPara>
          </w:p>
        </w:tc>
        <w:tc>
          <w:tcPr>
            <w:tcW w:w="1276" w:type="dxa"/>
            <w:tcMar>
              <w:left w:w="28" w:type="dxa"/>
              <w:right w:w="28" w:type="dxa"/>
            </w:tcMar>
            <w:vAlign w:val="center"/>
          </w:tcPr>
          <w:p w14:paraId="3CDC8BCB" w14:textId="77777777" w:rsidR="00BC2E5D" w:rsidRPr="00BC2E5D" w:rsidRDefault="00BC2E5D"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2"/>
                <w:szCs w:val="24"/>
                <w:lang w:val="en-US" w:bidi="ru-RU"/>
              </w:rPr>
              <w:t>decreasing trend</w:t>
            </w:r>
          </w:p>
        </w:tc>
        <w:tc>
          <w:tcPr>
            <w:tcW w:w="3130" w:type="dxa"/>
            <w:tcMar>
              <w:left w:w="28" w:type="dxa"/>
              <w:right w:w="28" w:type="dxa"/>
            </w:tcMar>
            <w:vAlign w:val="center"/>
          </w:tcPr>
          <w:p w14:paraId="73EBC1BC"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Some expenses vary with the change in sales (variable expenses). The ratio for such expenses normally does not change significantly as the sales volume increases or decreases.</w:t>
            </w:r>
          </w:p>
          <w:p w14:paraId="36744514"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For fixed expenses (rent of building, fixed salaries etc.), the ratio changes significan</w:t>
            </w:r>
            <w:r w:rsidR="00A14FB4">
              <w:rPr>
                <w:rFonts w:ascii="Garamond" w:hAnsi="Garamond" w:cs="Garamond"/>
                <w:sz w:val="22"/>
                <w:szCs w:val="22"/>
                <w:lang w:val="en-US" w:bidi="ru-RU"/>
              </w:rPr>
              <w:t>tly as the sales volume changes</w:t>
            </w:r>
          </w:p>
        </w:tc>
      </w:tr>
      <w:tr w:rsidR="00BC2E5D" w:rsidRPr="00BC2E5D" w14:paraId="4A9DECA2" w14:textId="77777777" w:rsidTr="006C7966">
        <w:tc>
          <w:tcPr>
            <w:tcW w:w="1951" w:type="dxa"/>
            <w:tcMar>
              <w:left w:w="28" w:type="dxa"/>
              <w:right w:w="28" w:type="dxa"/>
            </w:tcMar>
            <w:vAlign w:val="center"/>
          </w:tcPr>
          <w:p w14:paraId="5DAB5AD3" w14:textId="77777777" w:rsidR="00BC2E5D" w:rsidRPr="00BC2E5D" w:rsidRDefault="00BC2E5D" w:rsidP="00BC2E5D">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Operating ratio (also referred as operating expense ratio (OER))</w:t>
            </w:r>
          </w:p>
        </w:tc>
        <w:tc>
          <w:tcPr>
            <w:tcW w:w="3260" w:type="dxa"/>
            <w:tcMar>
              <w:left w:w="28" w:type="dxa"/>
              <w:right w:w="28" w:type="dxa"/>
            </w:tcMar>
            <w:vAlign w:val="center"/>
          </w:tcPr>
          <w:p w14:paraId="11C82F24" w14:textId="77777777" w:rsidR="00BC2E5D" w:rsidRPr="00BC2E5D" w:rsidRDefault="00000000" w:rsidP="00BC2E5D">
            <w:pPr>
              <w:spacing w:line="240" w:lineRule="atLeast"/>
              <w:contextualSpacing/>
              <w:jc w:val="center"/>
              <w:rPr>
                <w:rFonts w:ascii="Garamond" w:hAnsi="Garamond" w:cs="Garamond"/>
                <w:sz w:val="2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Total operating expenses </m:t>
                    </m:r>
                  </m:num>
                  <m:den>
                    <m:r>
                      <m:rPr>
                        <m:sty m:val="p"/>
                      </m:rPr>
                      <w:rPr>
                        <w:rFonts w:ascii="Cambria Math" w:hAnsi="Cambria Math" w:cs="Garamond"/>
                        <w:szCs w:val="24"/>
                        <w:lang w:val="en-US" w:bidi="ru-RU"/>
                      </w:rPr>
                      <m:t>Net sales</m:t>
                    </m:r>
                    <m:r>
                      <w:rPr>
                        <w:rFonts w:ascii="Cambria Math" w:hAnsi="Cambria Math" w:cs="Garamond"/>
                        <w:szCs w:val="24"/>
                        <w:lang w:val="en-US" w:bidi="ru-RU"/>
                      </w:rPr>
                      <m:t xml:space="preserve"> </m:t>
                    </m:r>
                  </m:den>
                </m:f>
              </m:oMath>
            </m:oMathPara>
          </w:p>
        </w:tc>
        <w:tc>
          <w:tcPr>
            <w:tcW w:w="1276" w:type="dxa"/>
            <w:tcMar>
              <w:left w:w="28" w:type="dxa"/>
              <w:right w:w="28" w:type="dxa"/>
            </w:tcMar>
            <w:vAlign w:val="center"/>
          </w:tcPr>
          <w:p w14:paraId="47C52D6D" w14:textId="77777777" w:rsidR="00BC2E5D" w:rsidRPr="00BC2E5D" w:rsidRDefault="00BC2E5D"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2"/>
                <w:szCs w:val="24"/>
                <w:lang w:val="en-US" w:bidi="ru-RU"/>
              </w:rPr>
              <w:t>decreasing trend</w:t>
            </w:r>
          </w:p>
        </w:tc>
        <w:tc>
          <w:tcPr>
            <w:tcW w:w="3130" w:type="dxa"/>
            <w:tcMar>
              <w:left w:w="28" w:type="dxa"/>
              <w:right w:w="28" w:type="dxa"/>
            </w:tcMar>
            <w:vAlign w:val="center"/>
          </w:tcPr>
          <w:p w14:paraId="726C9506" w14:textId="77777777" w:rsidR="00BC2E5D" w:rsidRPr="00BC2E5D" w:rsidRDefault="00BC2E5D" w:rsidP="00A14FB4">
            <w:pPr>
              <w:spacing w:line="240" w:lineRule="atLeast"/>
              <w:contextualSpacing/>
              <w:rPr>
                <w:rFonts w:ascii="Garamond" w:hAnsi="Garamond" w:cs="Garamond"/>
                <w:sz w:val="22"/>
                <w:szCs w:val="24"/>
                <w:lang w:val="en-US" w:bidi="ru-RU"/>
              </w:rPr>
            </w:pPr>
            <w:r w:rsidRPr="00BC2E5D">
              <w:rPr>
                <w:rFonts w:ascii="Garamond" w:hAnsi="Garamond" w:cs="Garamond"/>
                <w:sz w:val="22"/>
                <w:szCs w:val="24"/>
                <w:lang w:val="en-US" w:bidi="ru-RU"/>
              </w:rPr>
              <w:t xml:space="preserve">Total operating expenses </w:t>
            </w:r>
            <w:r w:rsidR="00A14FB4">
              <w:rPr>
                <w:rFonts w:ascii="Garamond" w:hAnsi="Garamond" w:cs="Garamond"/>
                <w:sz w:val="22"/>
                <w:szCs w:val="24"/>
                <w:lang w:val="en-US" w:bidi="ru-RU"/>
              </w:rPr>
              <w:t>are</w:t>
            </w:r>
            <w:r w:rsidRPr="00BC2E5D">
              <w:rPr>
                <w:rFonts w:ascii="Garamond" w:hAnsi="Garamond" w:cs="Garamond"/>
                <w:sz w:val="22"/>
                <w:szCs w:val="24"/>
                <w:lang w:val="en-US" w:bidi="ru-RU"/>
              </w:rPr>
              <w:t xml:space="preserve"> equal to cost of goods sold plus operating expenses. Non-operating expenses such as interest charges, taxes etc., are excluded from the computations</w:t>
            </w:r>
          </w:p>
        </w:tc>
      </w:tr>
      <w:tr w:rsidR="00BC2E5D" w:rsidRPr="00BC2E5D" w14:paraId="3B4807DA" w14:textId="77777777" w:rsidTr="006C7966">
        <w:tc>
          <w:tcPr>
            <w:tcW w:w="9617" w:type="dxa"/>
            <w:gridSpan w:val="4"/>
            <w:shd w:val="clear" w:color="auto" w:fill="BFBFBF" w:themeFill="background1" w:themeFillShade="BF"/>
            <w:tcMar>
              <w:left w:w="28" w:type="dxa"/>
              <w:right w:w="28" w:type="dxa"/>
            </w:tcMar>
            <w:vAlign w:val="center"/>
          </w:tcPr>
          <w:p w14:paraId="278BDA72" w14:textId="77777777" w:rsidR="00BC2E5D" w:rsidRPr="00BC2E5D" w:rsidRDefault="00BC2E5D"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b/>
                <w:sz w:val="22"/>
                <w:szCs w:val="24"/>
                <w:lang w:val="en-US" w:bidi="ru-RU"/>
              </w:rPr>
              <w:t>Market ratios</w:t>
            </w:r>
          </w:p>
        </w:tc>
      </w:tr>
      <w:tr w:rsidR="00BC2E5D" w:rsidRPr="00BC2E5D" w14:paraId="7351E0E5" w14:textId="77777777" w:rsidTr="006C7966">
        <w:tc>
          <w:tcPr>
            <w:tcW w:w="1951" w:type="dxa"/>
            <w:tcMar>
              <w:left w:w="28" w:type="dxa"/>
              <w:right w:w="28" w:type="dxa"/>
            </w:tcMar>
            <w:vAlign w:val="center"/>
          </w:tcPr>
          <w:p w14:paraId="55621820"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Earnings per share (EPS) ratio</w:t>
            </w:r>
          </w:p>
        </w:tc>
        <w:tc>
          <w:tcPr>
            <w:tcW w:w="3260" w:type="dxa"/>
            <w:tcMar>
              <w:left w:w="28" w:type="dxa"/>
              <w:right w:w="28" w:type="dxa"/>
            </w:tcMar>
            <w:vAlign w:val="center"/>
          </w:tcPr>
          <w:p w14:paraId="2F446CFA" w14:textId="77777777" w:rsidR="00BC2E5D" w:rsidRPr="00BC2E5D" w:rsidRDefault="00000000" w:rsidP="00BC2E5D">
            <w:pPr>
              <w:spacing w:line="240" w:lineRule="atLeast"/>
              <w:contextualSpacing/>
              <w:jc w:val="center"/>
              <w:rPr>
                <w:rFonts w:ascii="Garamond" w:hAnsi="Garamond" w:cs="Garamond"/>
                <w:sz w:val="24"/>
                <w:szCs w:val="22"/>
                <w:lang w:val="en-US" w:bidi="ru-RU"/>
              </w:rPr>
            </w:pPr>
            <m:oMathPara>
              <m:oMath>
                <m:f>
                  <m:fPr>
                    <m:ctrlPr>
                      <w:rPr>
                        <w:rFonts w:ascii="Cambria Math" w:hAnsi="Cambria Math" w:cs="Garamond"/>
                        <w:szCs w:val="22"/>
                        <w:lang w:val="en-US" w:bidi="ru-RU"/>
                      </w:rPr>
                    </m:ctrlPr>
                  </m:fPr>
                  <m:num>
                    <m:eqArr>
                      <m:eqArrPr>
                        <m:ctrlPr>
                          <w:rPr>
                            <w:rFonts w:ascii="Cambria Math" w:hAnsi="Cambria Math" w:cs="Garamond"/>
                            <w:szCs w:val="24"/>
                            <w:lang w:val="en-US" w:bidi="ru-RU"/>
                          </w:rPr>
                        </m:ctrlPr>
                      </m:eqArrPr>
                      <m:e>
                        <m:r>
                          <m:rPr>
                            <m:sty m:val="p"/>
                          </m:rPr>
                          <w:rPr>
                            <w:rFonts w:ascii="Cambria Math" w:hAnsi="Cambria Math" w:cs="Garamond"/>
                            <w:szCs w:val="22"/>
                            <w:lang w:val="en-US" w:bidi="ru-RU"/>
                          </w:rPr>
                          <m:t>Net income-</m:t>
                        </m:r>
                      </m:e>
                      <m:e>
                        <m:r>
                          <m:rPr>
                            <m:sty m:val="p"/>
                          </m:rPr>
                          <w:rPr>
                            <w:rFonts w:ascii="Cambria Math" w:hAnsi="Cambria Math" w:cs="Garamond"/>
                            <w:szCs w:val="22"/>
                            <w:lang w:val="en-US" w:bidi="ru-RU"/>
                          </w:rPr>
                          <m:t>Dividends on preferred shares</m:t>
                        </m:r>
                      </m:e>
                    </m:eqArr>
                  </m:num>
                  <m:den>
                    <m:eqArr>
                      <m:eqArrPr>
                        <m:ctrlPr>
                          <w:rPr>
                            <w:rFonts w:ascii="Cambria Math" w:hAnsi="Cambria Math" w:cs="Garamond"/>
                            <w:szCs w:val="24"/>
                            <w:lang w:val="en-US" w:bidi="ru-RU"/>
                          </w:rPr>
                        </m:ctrlPr>
                      </m:eqArrPr>
                      <m:e>
                        <m:r>
                          <m:rPr>
                            <m:sty m:val="p"/>
                          </m:rPr>
                          <w:rPr>
                            <w:rFonts w:ascii="Cambria Math" w:hAnsi="Cambria Math" w:cs="Garamond"/>
                            <w:szCs w:val="22"/>
                            <w:lang w:val="en-US" w:bidi="ru-RU"/>
                          </w:rPr>
                          <m:t xml:space="preserve">Weighted average number of </m:t>
                        </m:r>
                      </m:e>
                      <m:e>
                        <m:r>
                          <m:rPr>
                            <m:sty m:val="p"/>
                          </m:rPr>
                          <w:rPr>
                            <w:rFonts w:ascii="Cambria Math" w:hAnsi="Cambria Math" w:cs="Garamond"/>
                            <w:szCs w:val="22"/>
                            <w:lang w:val="en-US" w:bidi="ru-RU"/>
                          </w:rPr>
                          <m:t>common shares outstanding</m:t>
                        </m:r>
                      </m:e>
                    </m:eqArr>
                  </m:den>
                </m:f>
              </m:oMath>
            </m:oMathPara>
          </w:p>
        </w:tc>
        <w:tc>
          <w:tcPr>
            <w:tcW w:w="1276" w:type="dxa"/>
            <w:tcMar>
              <w:left w:w="28" w:type="dxa"/>
              <w:right w:w="28" w:type="dxa"/>
            </w:tcMar>
            <w:vAlign w:val="center"/>
          </w:tcPr>
          <w:p w14:paraId="6F157521" w14:textId="77777777" w:rsidR="00BC2E5D" w:rsidRPr="00BC2E5D" w:rsidRDefault="00BC2E5D" w:rsidP="00BC2E5D">
            <w:pPr>
              <w:spacing w:line="240" w:lineRule="atLeast"/>
              <w:contextualSpacing/>
              <w:jc w:val="center"/>
              <w:rPr>
                <w:rFonts w:ascii="Garamond" w:hAnsi="Garamond" w:cs="Garamond"/>
                <w:sz w:val="22"/>
                <w:szCs w:val="22"/>
                <w:lang w:val="en-US" w:bidi="ru-RU"/>
              </w:rPr>
            </w:pPr>
            <w:r w:rsidRPr="00BC2E5D">
              <w:rPr>
                <w:rFonts w:ascii="Garamond" w:hAnsi="Garamond" w:cs="Garamond"/>
                <w:sz w:val="22"/>
                <w:szCs w:val="22"/>
                <w:lang w:val="en-US" w:bidi="ru-RU"/>
              </w:rPr>
              <w:t>increasing trend</w:t>
            </w:r>
          </w:p>
        </w:tc>
        <w:tc>
          <w:tcPr>
            <w:tcW w:w="3130" w:type="dxa"/>
            <w:tcMar>
              <w:left w:w="28" w:type="dxa"/>
              <w:right w:w="28" w:type="dxa"/>
            </w:tcMar>
            <w:vAlign w:val="center"/>
          </w:tcPr>
          <w:p w14:paraId="253B69AD" w14:textId="77777777" w:rsidR="00BC2E5D" w:rsidRPr="00BC2E5D" w:rsidRDefault="00BC2E5D" w:rsidP="002A66A8">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 xml:space="preserve">Since the number of </w:t>
            </w:r>
            <w:r w:rsidR="002A66A8" w:rsidRPr="00BC2E5D">
              <w:rPr>
                <w:rFonts w:ascii="Garamond" w:hAnsi="Garamond" w:cs="Garamond"/>
                <w:sz w:val="22"/>
                <w:szCs w:val="22"/>
                <w:lang w:val="en-US" w:bidi="ru-RU"/>
              </w:rPr>
              <w:t xml:space="preserve">outstanding </w:t>
            </w:r>
            <w:r w:rsidRPr="00BC2E5D">
              <w:rPr>
                <w:rFonts w:ascii="Garamond" w:hAnsi="Garamond" w:cs="Garamond"/>
                <w:sz w:val="22"/>
                <w:szCs w:val="22"/>
                <w:lang w:val="en-US" w:bidi="ru-RU"/>
              </w:rPr>
              <w:t xml:space="preserve">shares can change over time, the use of weighted average value of common </w:t>
            </w:r>
            <w:r w:rsidR="002A66A8" w:rsidRPr="00BC2E5D">
              <w:rPr>
                <w:rFonts w:ascii="Garamond" w:hAnsi="Garamond" w:cs="Garamond"/>
                <w:sz w:val="22"/>
                <w:szCs w:val="22"/>
                <w:lang w:val="en-US" w:bidi="ru-RU"/>
              </w:rPr>
              <w:t xml:space="preserve">outstanding </w:t>
            </w:r>
            <w:r w:rsidRPr="00BC2E5D">
              <w:rPr>
                <w:rFonts w:ascii="Garamond" w:hAnsi="Garamond" w:cs="Garamond"/>
                <w:sz w:val="22"/>
                <w:szCs w:val="22"/>
                <w:lang w:val="en-US" w:bidi="ru-RU"/>
              </w:rPr>
              <w:t xml:space="preserve">shares delivers accurate result. However, instead, a simple average or the number of common </w:t>
            </w:r>
            <w:r w:rsidR="002A66A8" w:rsidRPr="00BC2E5D">
              <w:rPr>
                <w:rFonts w:ascii="Garamond" w:hAnsi="Garamond" w:cs="Garamond"/>
                <w:sz w:val="22"/>
                <w:szCs w:val="22"/>
                <w:lang w:val="en-US" w:bidi="ru-RU"/>
              </w:rPr>
              <w:t xml:space="preserve">outstanding </w:t>
            </w:r>
            <w:r w:rsidRPr="00BC2E5D">
              <w:rPr>
                <w:rFonts w:ascii="Garamond" w:hAnsi="Garamond" w:cs="Garamond"/>
                <w:sz w:val="22"/>
                <w:szCs w:val="22"/>
                <w:lang w:val="en-US" w:bidi="ru-RU"/>
              </w:rPr>
              <w:t xml:space="preserve">share at the end of the year </w:t>
            </w:r>
            <w:r w:rsidR="00A14FB4">
              <w:rPr>
                <w:rFonts w:ascii="Garamond" w:hAnsi="Garamond" w:cs="Garamond"/>
                <w:sz w:val="22"/>
                <w:szCs w:val="22"/>
                <w:lang w:val="en-US" w:bidi="ru-RU"/>
              </w:rPr>
              <w:t>can also be used for simplicity</w:t>
            </w:r>
          </w:p>
        </w:tc>
      </w:tr>
      <w:tr w:rsidR="00BC2E5D" w:rsidRPr="00BC2E5D" w14:paraId="7162C469" w14:textId="77777777" w:rsidTr="006C7966">
        <w:tc>
          <w:tcPr>
            <w:tcW w:w="1951" w:type="dxa"/>
            <w:tcMar>
              <w:left w:w="28" w:type="dxa"/>
              <w:right w:w="28" w:type="dxa"/>
            </w:tcMar>
            <w:vAlign w:val="center"/>
          </w:tcPr>
          <w:p w14:paraId="272DA33C"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Price to earnings (P/E) ratio</w:t>
            </w:r>
          </w:p>
        </w:tc>
        <w:tc>
          <w:tcPr>
            <w:tcW w:w="3260" w:type="dxa"/>
            <w:tcMar>
              <w:left w:w="28" w:type="dxa"/>
              <w:right w:w="28" w:type="dxa"/>
            </w:tcMar>
            <w:vAlign w:val="center"/>
          </w:tcPr>
          <w:p w14:paraId="1CDBF9CF" w14:textId="77777777" w:rsidR="00BC2E5D" w:rsidRPr="00BC2E5D" w:rsidRDefault="00000000" w:rsidP="00BC2E5D">
            <w:pPr>
              <w:spacing w:line="240" w:lineRule="atLeast"/>
              <w:contextualSpacing/>
              <w:jc w:val="center"/>
              <w:rPr>
                <w:rFonts w:ascii="Garamond" w:hAnsi="Garamond" w:cs="Garamond"/>
                <w:sz w:val="24"/>
                <w:szCs w:val="22"/>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Market value per share </m:t>
                    </m:r>
                  </m:num>
                  <m:den>
                    <m:r>
                      <m:rPr>
                        <m:sty m:val="p"/>
                      </m:rPr>
                      <w:rPr>
                        <w:rFonts w:ascii="Cambria Math" w:hAnsi="Cambria Math" w:cs="Garamond"/>
                        <w:szCs w:val="24"/>
                        <w:lang w:val="en-US" w:bidi="ru-RU"/>
                      </w:rPr>
                      <m:t>Annual earnings per share</m:t>
                    </m:r>
                  </m:den>
                </m:f>
              </m:oMath>
            </m:oMathPara>
          </w:p>
        </w:tc>
        <w:tc>
          <w:tcPr>
            <w:tcW w:w="1276" w:type="dxa"/>
            <w:tcMar>
              <w:left w:w="28" w:type="dxa"/>
              <w:right w:w="28" w:type="dxa"/>
            </w:tcMar>
            <w:vAlign w:val="center"/>
          </w:tcPr>
          <w:p w14:paraId="3E0B38D7" w14:textId="77777777" w:rsidR="00BC2E5D" w:rsidRPr="00BC2E5D" w:rsidRDefault="00BC2E5D" w:rsidP="00BC2E5D">
            <w:pPr>
              <w:spacing w:line="240" w:lineRule="atLeast"/>
              <w:contextualSpacing/>
              <w:jc w:val="center"/>
              <w:rPr>
                <w:rFonts w:ascii="Garamond" w:hAnsi="Garamond" w:cs="Garamond"/>
                <w:sz w:val="22"/>
                <w:szCs w:val="22"/>
                <w:lang w:val="en-US" w:bidi="ru-RU"/>
              </w:rPr>
            </w:pPr>
            <w:r w:rsidRPr="00BC2E5D">
              <w:rPr>
                <w:rFonts w:ascii="Garamond" w:hAnsi="Garamond" w:cs="Garamond"/>
                <w:sz w:val="22"/>
                <w:szCs w:val="22"/>
                <w:lang w:val="en-US" w:bidi="ru-RU"/>
              </w:rPr>
              <w:t>increasing trend</w:t>
            </w:r>
          </w:p>
        </w:tc>
        <w:tc>
          <w:tcPr>
            <w:tcW w:w="3130" w:type="dxa"/>
            <w:tcMar>
              <w:left w:w="28" w:type="dxa"/>
              <w:right w:w="28" w:type="dxa"/>
            </w:tcMar>
            <w:vAlign w:val="center"/>
          </w:tcPr>
          <w:p w14:paraId="4F906440" w14:textId="77777777" w:rsidR="00BC2E5D" w:rsidRPr="00BC2E5D" w:rsidRDefault="00BC2E5D" w:rsidP="00BC2E5D">
            <w:pPr>
              <w:spacing w:line="240" w:lineRule="atLeast"/>
              <w:contextualSpacing/>
              <w:rPr>
                <w:rFonts w:ascii="Garamond" w:hAnsi="Garamond" w:cs="Garamond"/>
                <w:sz w:val="22"/>
                <w:szCs w:val="22"/>
                <w:lang w:val="en-US" w:bidi="ru-RU"/>
              </w:rPr>
            </w:pPr>
          </w:p>
        </w:tc>
      </w:tr>
    </w:tbl>
    <w:p w14:paraId="7515F630" w14:textId="77777777" w:rsidR="00252DD6" w:rsidRDefault="00252DD6">
      <w:pPr>
        <w:rPr>
          <w:lang w:val="en-US"/>
        </w:rPr>
      </w:pPr>
    </w:p>
    <w:p w14:paraId="66928DFD" w14:textId="77777777" w:rsidR="00252DD6" w:rsidRDefault="00252DD6">
      <w:pPr>
        <w:rPr>
          <w:lang w:val="en-US"/>
        </w:rPr>
      </w:pPr>
    </w:p>
    <w:p w14:paraId="1F5E1B2C" w14:textId="77777777" w:rsidR="00525312" w:rsidRDefault="00525312">
      <w:pPr>
        <w:rPr>
          <w:lang w:val="en-US"/>
        </w:rPr>
      </w:pPr>
    </w:p>
    <w:p w14:paraId="78452EEA" w14:textId="77777777" w:rsidR="00252DD6" w:rsidRPr="00252DD6" w:rsidRDefault="00252DD6">
      <w:pPr>
        <w:rPr>
          <w:lang w:val="en-US"/>
        </w:rPr>
      </w:pPr>
    </w:p>
    <w:tbl>
      <w:tblPr>
        <w:tblStyle w:val="70"/>
        <w:tblW w:w="9617" w:type="dxa"/>
        <w:tblLayout w:type="fixed"/>
        <w:tblLook w:val="04A0" w:firstRow="1" w:lastRow="0" w:firstColumn="1" w:lastColumn="0" w:noHBand="0" w:noVBand="1"/>
      </w:tblPr>
      <w:tblGrid>
        <w:gridCol w:w="1951"/>
        <w:gridCol w:w="3260"/>
        <w:gridCol w:w="1276"/>
        <w:gridCol w:w="3130"/>
      </w:tblGrid>
      <w:tr w:rsidR="00252DD6" w:rsidRPr="00BC2E5D" w14:paraId="6DC05DBF" w14:textId="77777777" w:rsidTr="00252DD6">
        <w:tc>
          <w:tcPr>
            <w:tcW w:w="9617" w:type="dxa"/>
            <w:gridSpan w:val="4"/>
            <w:tcBorders>
              <w:top w:val="nil"/>
              <w:left w:val="nil"/>
              <w:bottom w:val="single" w:sz="4" w:space="0" w:color="auto"/>
              <w:right w:val="nil"/>
            </w:tcBorders>
            <w:tcMar>
              <w:left w:w="28" w:type="dxa"/>
              <w:right w:w="28" w:type="dxa"/>
            </w:tcMar>
            <w:vAlign w:val="center"/>
          </w:tcPr>
          <w:p w14:paraId="1125AF3C" w14:textId="77777777" w:rsidR="00252DD6" w:rsidRPr="00BC2E5D" w:rsidRDefault="00252DD6" w:rsidP="005F27C2">
            <w:pPr>
              <w:spacing w:line="240" w:lineRule="atLeast"/>
              <w:contextualSpacing/>
              <w:rPr>
                <w:rFonts w:cs="Garamond"/>
                <w:sz w:val="22"/>
                <w:szCs w:val="22"/>
                <w:lang w:val="en-US" w:bidi="ru-RU"/>
              </w:rPr>
            </w:pPr>
            <w:r w:rsidRPr="00A14FB4">
              <w:rPr>
                <w:rFonts w:ascii="Garamond" w:hAnsi="Garamond" w:cs="Garamond"/>
                <w:sz w:val="28"/>
                <w:szCs w:val="24"/>
                <w:lang w:val="en-US" w:bidi="ru-RU"/>
              </w:rPr>
              <w:t>Continuation of Table B.1</w:t>
            </w:r>
          </w:p>
        </w:tc>
      </w:tr>
      <w:tr w:rsidR="00252DD6" w:rsidRPr="00BC2E5D" w14:paraId="7FE36DFF" w14:textId="77777777" w:rsidTr="00252DD6">
        <w:tc>
          <w:tcPr>
            <w:tcW w:w="1951" w:type="dxa"/>
            <w:tcBorders>
              <w:bottom w:val="single" w:sz="4" w:space="0" w:color="auto"/>
            </w:tcBorders>
            <w:shd w:val="clear" w:color="auto" w:fill="D9D9D9" w:themeFill="background1" w:themeFillShade="D9"/>
            <w:tcMar>
              <w:left w:w="28" w:type="dxa"/>
              <w:right w:w="28" w:type="dxa"/>
            </w:tcMar>
            <w:vAlign w:val="center"/>
          </w:tcPr>
          <w:p w14:paraId="07D95722"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Ratio</w:t>
            </w:r>
          </w:p>
        </w:tc>
        <w:tc>
          <w:tcPr>
            <w:tcW w:w="3260" w:type="dxa"/>
            <w:tcBorders>
              <w:bottom w:val="single" w:sz="4" w:space="0" w:color="auto"/>
            </w:tcBorders>
            <w:shd w:val="clear" w:color="auto" w:fill="D9D9D9" w:themeFill="background1" w:themeFillShade="D9"/>
            <w:tcMar>
              <w:left w:w="28" w:type="dxa"/>
              <w:right w:w="28" w:type="dxa"/>
            </w:tcMar>
            <w:vAlign w:val="center"/>
          </w:tcPr>
          <w:p w14:paraId="37F078A9"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Calculation</w:t>
            </w:r>
          </w:p>
        </w:tc>
        <w:tc>
          <w:tcPr>
            <w:tcW w:w="1276" w:type="dxa"/>
            <w:tcBorders>
              <w:bottom w:val="single" w:sz="4" w:space="0" w:color="auto"/>
            </w:tcBorders>
            <w:shd w:val="clear" w:color="auto" w:fill="D9D9D9" w:themeFill="background1" w:themeFillShade="D9"/>
            <w:tcMar>
              <w:left w:w="28" w:type="dxa"/>
              <w:right w:w="28" w:type="dxa"/>
            </w:tcMar>
            <w:vAlign w:val="center"/>
          </w:tcPr>
          <w:p w14:paraId="1F51C5E9"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Criterion value</w:t>
            </w:r>
          </w:p>
        </w:tc>
        <w:tc>
          <w:tcPr>
            <w:tcW w:w="3130" w:type="dxa"/>
            <w:tcBorders>
              <w:bottom w:val="single" w:sz="4" w:space="0" w:color="auto"/>
            </w:tcBorders>
            <w:shd w:val="clear" w:color="auto" w:fill="D9D9D9" w:themeFill="background1" w:themeFillShade="D9"/>
            <w:tcMar>
              <w:left w:w="28" w:type="dxa"/>
              <w:right w:w="28" w:type="dxa"/>
            </w:tcMar>
            <w:vAlign w:val="center"/>
          </w:tcPr>
          <w:p w14:paraId="1F223F4F" w14:textId="77777777" w:rsidR="00252DD6" w:rsidRPr="00210D5C" w:rsidRDefault="00252DD6" w:rsidP="005F27C2">
            <w:pPr>
              <w:spacing w:line="240" w:lineRule="atLeast"/>
              <w:contextualSpacing/>
              <w:jc w:val="center"/>
              <w:rPr>
                <w:rFonts w:ascii="Garamond" w:hAnsi="Garamond" w:cs="Garamond"/>
                <w:b/>
                <w:sz w:val="22"/>
                <w:szCs w:val="24"/>
                <w:lang w:val="en-US" w:bidi="ru-RU"/>
              </w:rPr>
            </w:pPr>
            <w:r w:rsidRPr="00210D5C">
              <w:rPr>
                <w:rFonts w:ascii="Garamond" w:hAnsi="Garamond" w:cs="Garamond"/>
                <w:b/>
                <w:sz w:val="22"/>
                <w:szCs w:val="24"/>
                <w:lang w:val="en-US" w:bidi="ru-RU"/>
              </w:rPr>
              <w:t>Comments</w:t>
            </w:r>
          </w:p>
        </w:tc>
      </w:tr>
      <w:tr w:rsidR="00BC2E5D" w:rsidRPr="00BC2E5D" w14:paraId="2EE805A8" w14:textId="77777777" w:rsidTr="00252DD6">
        <w:tc>
          <w:tcPr>
            <w:tcW w:w="1951" w:type="dxa"/>
            <w:tcBorders>
              <w:bottom w:val="single" w:sz="4" w:space="0" w:color="auto"/>
            </w:tcBorders>
            <w:tcMar>
              <w:left w:w="28" w:type="dxa"/>
              <w:right w:w="28" w:type="dxa"/>
            </w:tcMar>
            <w:vAlign w:val="center"/>
          </w:tcPr>
          <w:p w14:paraId="52FFC799"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Price to book (P/B) ratio (also referred as market to book ratio)</w:t>
            </w:r>
          </w:p>
        </w:tc>
        <w:tc>
          <w:tcPr>
            <w:tcW w:w="3260" w:type="dxa"/>
            <w:tcBorders>
              <w:bottom w:val="single" w:sz="4" w:space="0" w:color="auto"/>
            </w:tcBorders>
            <w:tcMar>
              <w:left w:w="28" w:type="dxa"/>
              <w:right w:w="28" w:type="dxa"/>
            </w:tcMar>
            <w:vAlign w:val="center"/>
          </w:tcPr>
          <w:p w14:paraId="39990B14" w14:textId="77777777" w:rsidR="00BC2E5D" w:rsidRPr="00BC2E5D" w:rsidRDefault="00BC2E5D" w:rsidP="00BC2E5D">
            <w:pPr>
              <w:spacing w:line="240" w:lineRule="atLeast"/>
              <w:contextualSpacing/>
              <w:jc w:val="center"/>
              <w:rPr>
                <w:rFonts w:ascii="Garamond" w:hAnsi="Garamond" w:cs="Garamond"/>
                <w:sz w:val="22"/>
                <w:szCs w:val="24"/>
                <w:lang w:val="en-US" w:bidi="ru-RU"/>
              </w:rPr>
            </w:pPr>
          </w:p>
          <w:p w14:paraId="3F4AD795" w14:textId="77777777" w:rsidR="00BC2E5D" w:rsidRPr="002A66A8" w:rsidRDefault="00000000" w:rsidP="00BC2E5D">
            <w:pPr>
              <w:spacing w:line="240" w:lineRule="atLeast"/>
              <w:contextualSpacing/>
              <w:jc w:val="center"/>
              <w:rPr>
                <w:rFonts w:ascii="Garamond" w:hAnsi="Garamond" w:cs="Garamond"/>
                <w:sz w:val="14"/>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Market price per share</m:t>
                    </m:r>
                  </m:num>
                  <m:den>
                    <m:r>
                      <m:rPr>
                        <m:sty m:val="p"/>
                      </m:rPr>
                      <w:rPr>
                        <w:rFonts w:ascii="Cambria Math" w:hAnsi="Cambria Math" w:cs="Garamond"/>
                        <w:szCs w:val="24"/>
                        <w:lang w:val="en-US" w:bidi="ru-RU"/>
                      </w:rPr>
                      <m:t>Book value per share</m:t>
                    </m:r>
                  </m:den>
                </m:f>
              </m:oMath>
            </m:oMathPara>
          </w:p>
          <w:p w14:paraId="353D3663" w14:textId="77777777" w:rsidR="00BC2E5D" w:rsidRPr="00BC2E5D" w:rsidRDefault="00BC2E5D" w:rsidP="00BC2E5D">
            <w:pPr>
              <w:spacing w:line="240" w:lineRule="atLeast"/>
              <w:contextualSpacing/>
              <w:jc w:val="center"/>
              <w:rPr>
                <w:rFonts w:ascii="Garamond" w:hAnsi="Garamond" w:cs="Garamond"/>
                <w:sz w:val="24"/>
                <w:szCs w:val="24"/>
                <w:lang w:val="en-US" w:bidi="ru-RU"/>
              </w:rPr>
            </w:pPr>
            <w:r w:rsidRPr="00BC2E5D">
              <w:rPr>
                <w:rFonts w:ascii="Garamond" w:hAnsi="Garamond" w:cs="Garamond"/>
                <w:sz w:val="22"/>
                <w:szCs w:val="24"/>
                <w:lang w:val="en-US" w:bidi="ru-RU"/>
              </w:rPr>
              <w:t xml:space="preserve">or </w:t>
            </w:r>
            <m:oMath>
              <m:r>
                <m:rPr>
                  <m:sty m:val="p"/>
                </m:rPr>
                <w:rPr>
                  <w:rFonts w:ascii="Cambria Math" w:hAnsi="Cambria Math" w:cs="Garamond"/>
                  <w:sz w:val="24"/>
                  <w:szCs w:val="24"/>
                  <w:lang w:val="en-US" w:bidi="ru-RU"/>
                </w:rPr>
                <w:br/>
              </m:r>
            </m:oMath>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Total market capitalization</m:t>
                    </m:r>
                  </m:num>
                  <m:den>
                    <m:r>
                      <m:rPr>
                        <m:sty m:val="p"/>
                      </m:rPr>
                      <w:rPr>
                        <w:rFonts w:ascii="Cambria Math" w:hAnsi="Cambria Math" w:cs="Garamond"/>
                        <w:szCs w:val="24"/>
                        <w:lang w:val="en-US" w:bidi="ru-RU"/>
                      </w:rPr>
                      <m:t>Total book value</m:t>
                    </m:r>
                    <m:r>
                      <w:rPr>
                        <w:rFonts w:ascii="Cambria Math" w:hAnsi="Cambria Math" w:cs="Garamond"/>
                        <w:szCs w:val="24"/>
                        <w:lang w:val="en-US" w:bidi="ru-RU"/>
                      </w:rPr>
                      <m:t xml:space="preserve"> </m:t>
                    </m:r>
                  </m:den>
                </m:f>
              </m:oMath>
            </m:oMathPara>
          </w:p>
          <w:p w14:paraId="085C43D8" w14:textId="77777777" w:rsidR="00BC2E5D" w:rsidRPr="00BC2E5D" w:rsidRDefault="00BC2E5D" w:rsidP="00BC2E5D">
            <w:pPr>
              <w:spacing w:line="240" w:lineRule="atLeast"/>
              <w:contextualSpacing/>
              <w:jc w:val="center"/>
              <w:rPr>
                <w:rFonts w:ascii="Garamond" w:hAnsi="Garamond" w:cs="Garamond"/>
                <w:sz w:val="24"/>
                <w:szCs w:val="22"/>
                <w:lang w:val="en-US" w:bidi="ru-RU"/>
              </w:rPr>
            </w:pPr>
          </w:p>
        </w:tc>
        <w:tc>
          <w:tcPr>
            <w:tcW w:w="1276" w:type="dxa"/>
            <w:tcBorders>
              <w:bottom w:val="single" w:sz="4" w:space="0" w:color="auto"/>
            </w:tcBorders>
            <w:tcMar>
              <w:left w:w="28" w:type="dxa"/>
              <w:right w:w="28" w:type="dxa"/>
            </w:tcMar>
            <w:vAlign w:val="center"/>
          </w:tcPr>
          <w:p w14:paraId="56A35AB5" w14:textId="77777777" w:rsidR="00BC2E5D" w:rsidRPr="00BC2E5D" w:rsidRDefault="00BC2E5D" w:rsidP="00BC2E5D">
            <w:pPr>
              <w:spacing w:line="240" w:lineRule="atLeast"/>
              <w:contextualSpacing/>
              <w:jc w:val="center"/>
              <w:rPr>
                <w:rFonts w:ascii="Garamond" w:hAnsi="Garamond" w:cs="Garamond"/>
                <w:sz w:val="22"/>
                <w:szCs w:val="22"/>
                <w:lang w:val="en-US" w:bidi="ru-RU"/>
              </w:rPr>
            </w:pPr>
            <w:r w:rsidRPr="00BC2E5D">
              <w:rPr>
                <w:rFonts w:ascii="Garamond" w:hAnsi="Garamond" w:cs="Garamond"/>
                <w:sz w:val="22"/>
                <w:szCs w:val="22"/>
                <w:lang w:val="en-US" w:bidi="ru-RU"/>
              </w:rPr>
              <w:t>increasing trend</w:t>
            </w:r>
          </w:p>
        </w:tc>
        <w:tc>
          <w:tcPr>
            <w:tcW w:w="3130" w:type="dxa"/>
            <w:tcBorders>
              <w:bottom w:val="single" w:sz="4" w:space="0" w:color="auto"/>
            </w:tcBorders>
            <w:tcMar>
              <w:left w:w="28" w:type="dxa"/>
              <w:right w:w="28" w:type="dxa"/>
            </w:tcMar>
            <w:vAlign w:val="center"/>
          </w:tcPr>
          <w:p w14:paraId="53DBB628" w14:textId="77777777" w:rsidR="00BC2E5D" w:rsidRPr="00BC2E5D" w:rsidRDefault="00BC2E5D" w:rsidP="00BC2E5D">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Total book value is equal to Total shareholde</w:t>
            </w:r>
            <w:r w:rsidR="002A66A8">
              <w:rPr>
                <w:rFonts w:ascii="Garamond" w:hAnsi="Garamond" w:cs="Garamond"/>
                <w:sz w:val="22"/>
                <w:szCs w:val="22"/>
                <w:lang w:val="en-US" w:bidi="ru-RU"/>
              </w:rPr>
              <w:t>r equity minus Preferred equity</w:t>
            </w:r>
          </w:p>
        </w:tc>
      </w:tr>
      <w:tr w:rsidR="00252DD6" w:rsidRPr="00BC2E5D" w14:paraId="67260582" w14:textId="77777777" w:rsidTr="005F27C2">
        <w:tc>
          <w:tcPr>
            <w:tcW w:w="1951" w:type="dxa"/>
            <w:tcBorders>
              <w:bottom w:val="single" w:sz="4" w:space="0" w:color="auto"/>
            </w:tcBorders>
            <w:tcMar>
              <w:left w:w="28" w:type="dxa"/>
              <w:right w:w="28" w:type="dxa"/>
            </w:tcMar>
            <w:vAlign w:val="center"/>
          </w:tcPr>
          <w:p w14:paraId="162DD1CE" w14:textId="77777777" w:rsidR="00252DD6" w:rsidRPr="00BC2E5D" w:rsidRDefault="00252DD6" w:rsidP="005F27C2">
            <w:pPr>
              <w:spacing w:line="240" w:lineRule="atLeast"/>
              <w:contextualSpacing/>
              <w:rPr>
                <w:rFonts w:ascii="Garamond" w:hAnsi="Garamond" w:cs="Garamond"/>
                <w:sz w:val="22"/>
                <w:szCs w:val="22"/>
                <w:lang w:val="en-US" w:bidi="ru-RU"/>
              </w:rPr>
            </w:pPr>
            <w:r w:rsidRPr="00BC2E5D">
              <w:rPr>
                <w:rFonts w:ascii="Garamond" w:hAnsi="Garamond" w:cs="Garamond"/>
                <w:sz w:val="22"/>
                <w:szCs w:val="22"/>
                <w:lang w:val="en-US" w:bidi="ru-RU"/>
              </w:rPr>
              <w:t>Dividend payout ratio</w:t>
            </w:r>
          </w:p>
        </w:tc>
        <w:tc>
          <w:tcPr>
            <w:tcW w:w="3260" w:type="dxa"/>
            <w:tcBorders>
              <w:bottom w:val="single" w:sz="4" w:space="0" w:color="auto"/>
            </w:tcBorders>
            <w:tcMar>
              <w:left w:w="28" w:type="dxa"/>
              <w:right w:w="28" w:type="dxa"/>
            </w:tcMar>
            <w:vAlign w:val="center"/>
          </w:tcPr>
          <w:p w14:paraId="76D68228" w14:textId="77777777" w:rsidR="00252DD6" w:rsidRPr="00BC2E5D" w:rsidRDefault="00252DD6" w:rsidP="005F27C2">
            <w:pPr>
              <w:spacing w:line="240" w:lineRule="atLeast"/>
              <w:contextualSpacing/>
              <w:jc w:val="center"/>
              <w:rPr>
                <w:rFonts w:ascii="Garamond" w:hAnsi="Garamond" w:cs="Garamond"/>
                <w:sz w:val="24"/>
                <w:szCs w:val="24"/>
                <w:lang w:val="en-US" w:bidi="ru-RU"/>
              </w:rPr>
            </w:pPr>
          </w:p>
          <w:p w14:paraId="1E4C2CD3" w14:textId="77777777" w:rsidR="00252DD6" w:rsidRPr="002A66A8" w:rsidRDefault="00000000" w:rsidP="005F27C2">
            <w:pPr>
              <w:spacing w:line="240" w:lineRule="atLeast"/>
              <w:contextualSpacing/>
              <w:jc w:val="center"/>
              <w:rPr>
                <w:rFonts w:ascii="Garamond" w:hAnsi="Garamond" w:cs="Garamond"/>
                <w:szCs w:val="24"/>
                <w:lang w:val="en-US" w:bidi="ru-RU"/>
              </w:rPr>
            </w:pPr>
            <m:oMathPara>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 xml:space="preserve"> Dividend per share</m:t>
                    </m:r>
                  </m:num>
                  <m:den>
                    <m:r>
                      <m:rPr>
                        <m:sty m:val="p"/>
                      </m:rPr>
                      <w:rPr>
                        <w:rFonts w:ascii="Cambria Math" w:hAnsi="Cambria Math" w:cs="Garamond"/>
                        <w:szCs w:val="24"/>
                        <w:lang w:val="en-US" w:bidi="ru-RU"/>
                      </w:rPr>
                      <m:t>Earnings per share</m:t>
                    </m:r>
                  </m:den>
                </m:f>
              </m:oMath>
            </m:oMathPara>
          </w:p>
          <w:p w14:paraId="6B604A87" w14:textId="77777777" w:rsidR="00252DD6" w:rsidRPr="00BC2E5D" w:rsidRDefault="00252DD6" w:rsidP="005F27C2">
            <w:pPr>
              <w:spacing w:line="240" w:lineRule="atLeast"/>
              <w:contextualSpacing/>
              <w:jc w:val="center"/>
              <w:rPr>
                <w:rFonts w:ascii="Garamond" w:hAnsi="Garamond" w:cs="Garamond"/>
                <w:sz w:val="22"/>
                <w:szCs w:val="24"/>
                <w:lang w:val="en-US" w:bidi="ru-RU"/>
              </w:rPr>
            </w:pPr>
          </w:p>
          <w:p w14:paraId="68181FDE" w14:textId="77777777" w:rsidR="00252DD6" w:rsidRPr="00BC2E5D" w:rsidRDefault="00252DD6" w:rsidP="005F27C2">
            <w:pPr>
              <w:spacing w:line="240" w:lineRule="atLeast"/>
              <w:contextualSpacing/>
              <w:jc w:val="center"/>
              <w:rPr>
                <w:rFonts w:ascii="Garamond" w:hAnsi="Garamond" w:cs="Garamond"/>
                <w:sz w:val="22"/>
                <w:szCs w:val="24"/>
                <w:lang w:val="en-US" w:bidi="ru-RU"/>
              </w:rPr>
            </w:pPr>
            <w:r w:rsidRPr="00BC2E5D">
              <w:rPr>
                <w:rFonts w:ascii="Garamond" w:hAnsi="Garamond" w:cs="Garamond"/>
                <w:sz w:val="22"/>
                <w:szCs w:val="24"/>
                <w:lang w:val="en-US" w:bidi="ru-RU"/>
              </w:rPr>
              <w:t xml:space="preserve">or </w:t>
            </w:r>
          </w:p>
          <w:p w14:paraId="008B6709" w14:textId="77777777" w:rsidR="00252DD6" w:rsidRPr="00BC2E5D" w:rsidRDefault="00252DD6" w:rsidP="005F27C2">
            <w:pPr>
              <w:spacing w:line="240" w:lineRule="atLeast"/>
              <w:contextualSpacing/>
              <w:jc w:val="center"/>
              <w:rPr>
                <w:rFonts w:ascii="Garamond" w:hAnsi="Garamond" w:cs="Garamond"/>
                <w:sz w:val="24"/>
                <w:szCs w:val="24"/>
                <w:lang w:val="en-US" w:bidi="ru-RU"/>
              </w:rPr>
            </w:pPr>
            <m:oMathPara>
              <m:oMath>
                <m:r>
                  <m:rPr>
                    <m:sty m:val="p"/>
                  </m:rPr>
                  <w:rPr>
                    <w:rFonts w:ascii="Cambria Math" w:hAnsi="Cambria Math" w:cs="Garamond"/>
                    <w:sz w:val="24"/>
                    <w:szCs w:val="24"/>
                    <w:lang w:val="en-US" w:bidi="ru-RU"/>
                  </w:rPr>
                  <w:br/>
                </m:r>
              </m:oMath>
              <m:oMath>
                <m:f>
                  <m:fPr>
                    <m:ctrlPr>
                      <w:rPr>
                        <w:rFonts w:ascii="Cambria Math" w:hAnsi="Cambria Math" w:cs="Garamond"/>
                        <w:szCs w:val="24"/>
                        <w:lang w:val="en-US" w:bidi="ru-RU"/>
                      </w:rPr>
                    </m:ctrlPr>
                  </m:fPr>
                  <m:num>
                    <m:r>
                      <m:rPr>
                        <m:sty m:val="p"/>
                      </m:rPr>
                      <w:rPr>
                        <w:rFonts w:ascii="Cambria Math" w:hAnsi="Cambria Math" w:cs="Garamond"/>
                        <w:szCs w:val="24"/>
                        <w:lang w:val="en-US" w:bidi="ru-RU"/>
                      </w:rPr>
                      <m:t>Total dividend paid for the period</m:t>
                    </m:r>
                  </m:num>
                  <m:den>
                    <m:eqArr>
                      <m:eqArrPr>
                        <m:ctrlPr>
                          <w:rPr>
                            <w:rFonts w:ascii="Cambria Math" w:hAnsi="Cambria Math" w:cs="Garamond"/>
                            <w:szCs w:val="24"/>
                            <w:lang w:val="en-US" w:bidi="ru-RU"/>
                          </w:rPr>
                        </m:ctrlPr>
                      </m:eqArrPr>
                      <m:e>
                        <m:r>
                          <m:rPr>
                            <m:sty m:val="p"/>
                          </m:rPr>
                          <w:rPr>
                            <w:rFonts w:ascii="Cambria Math" w:hAnsi="Cambria Math" w:cs="Garamond"/>
                            <w:szCs w:val="24"/>
                            <w:lang w:val="en-US" w:bidi="ru-RU"/>
                          </w:rPr>
                          <m:t xml:space="preserve">Net income available </m:t>
                        </m:r>
                      </m:e>
                      <m:e>
                        <m:r>
                          <m:rPr>
                            <m:sty m:val="p"/>
                          </m:rPr>
                          <w:rPr>
                            <w:rFonts w:ascii="Cambria Math" w:hAnsi="Cambria Math" w:cs="Garamond"/>
                            <w:szCs w:val="24"/>
                            <w:lang w:val="en-US" w:bidi="ru-RU"/>
                          </w:rPr>
                          <m:t>for common stockholders</m:t>
                        </m:r>
                        <m:r>
                          <w:rPr>
                            <w:rFonts w:ascii="Cambria Math" w:hAnsi="Cambria Math" w:cs="Garamond"/>
                            <w:szCs w:val="24"/>
                            <w:lang w:val="en-US" w:bidi="ru-RU"/>
                          </w:rPr>
                          <m:t xml:space="preserve"> </m:t>
                        </m:r>
                        <m:ctrlPr>
                          <w:rPr>
                            <w:rFonts w:ascii="Cambria Math" w:hAnsi="Cambria Math" w:cs="Garamond"/>
                            <w:i/>
                            <w:szCs w:val="24"/>
                            <w:lang w:val="en-US" w:bidi="ru-RU"/>
                          </w:rPr>
                        </m:ctrlPr>
                      </m:e>
                    </m:eqArr>
                  </m:den>
                </m:f>
              </m:oMath>
            </m:oMathPara>
          </w:p>
          <w:p w14:paraId="7EFC8082" w14:textId="77777777" w:rsidR="00252DD6" w:rsidRPr="00BC2E5D" w:rsidRDefault="00252DD6" w:rsidP="005F27C2">
            <w:pPr>
              <w:spacing w:line="240" w:lineRule="atLeast"/>
              <w:contextualSpacing/>
              <w:jc w:val="center"/>
              <w:rPr>
                <w:rFonts w:ascii="Garamond" w:hAnsi="Garamond" w:cs="Garamond"/>
                <w:sz w:val="24"/>
                <w:szCs w:val="22"/>
                <w:lang w:val="en-US" w:bidi="ru-RU"/>
              </w:rPr>
            </w:pPr>
          </w:p>
        </w:tc>
        <w:tc>
          <w:tcPr>
            <w:tcW w:w="4406" w:type="dxa"/>
            <w:gridSpan w:val="2"/>
            <w:tcBorders>
              <w:bottom w:val="single" w:sz="4" w:space="0" w:color="auto"/>
            </w:tcBorders>
            <w:tcMar>
              <w:left w:w="28" w:type="dxa"/>
              <w:right w:w="28" w:type="dxa"/>
            </w:tcMar>
            <w:vAlign w:val="center"/>
          </w:tcPr>
          <w:p w14:paraId="37DAFCEE" w14:textId="77777777" w:rsidR="00252DD6" w:rsidRPr="00BC2E5D" w:rsidRDefault="00252DD6" w:rsidP="00BC2E5D">
            <w:pPr>
              <w:spacing w:line="240" w:lineRule="atLeast"/>
              <w:contextualSpacing/>
              <w:rPr>
                <w:rFonts w:cs="Garamond"/>
                <w:sz w:val="22"/>
                <w:szCs w:val="22"/>
                <w:lang w:val="en-US" w:bidi="ru-RU"/>
              </w:rPr>
            </w:pPr>
            <w:r w:rsidRPr="00BC2E5D">
              <w:rPr>
                <w:rFonts w:ascii="Garamond" w:hAnsi="Garamond" w:cs="Garamond"/>
                <w:sz w:val="22"/>
                <w:szCs w:val="22"/>
                <w:lang w:val="en-US" w:bidi="ru-RU"/>
              </w:rPr>
              <w:t>Depends on the intention of the investor</w:t>
            </w:r>
          </w:p>
        </w:tc>
      </w:tr>
      <w:tr w:rsidR="00252DD6" w:rsidRPr="00BC2E5D" w14:paraId="3761F5C3" w14:textId="77777777" w:rsidTr="00252DD6">
        <w:tc>
          <w:tcPr>
            <w:tcW w:w="1951" w:type="dxa"/>
            <w:tcBorders>
              <w:bottom w:val="single" w:sz="4" w:space="0" w:color="auto"/>
            </w:tcBorders>
            <w:tcMar>
              <w:left w:w="28" w:type="dxa"/>
              <w:right w:w="28" w:type="dxa"/>
            </w:tcMar>
            <w:vAlign w:val="center"/>
          </w:tcPr>
          <w:p w14:paraId="38AE3E45" w14:textId="77777777" w:rsidR="00252DD6" w:rsidRPr="00BC2E5D" w:rsidRDefault="00252DD6" w:rsidP="005F27C2">
            <w:pPr>
              <w:spacing w:line="240" w:lineRule="atLeast"/>
              <w:contextualSpacing/>
              <w:rPr>
                <w:rFonts w:ascii="Garamond" w:hAnsi="Garamond" w:cs="Garamond"/>
                <w:sz w:val="24"/>
                <w:szCs w:val="24"/>
                <w:lang w:val="en-US" w:bidi="ru-RU"/>
              </w:rPr>
            </w:pPr>
            <w:r w:rsidRPr="00BC2E5D">
              <w:rPr>
                <w:rFonts w:ascii="Garamond" w:hAnsi="Garamond" w:cs="Garamond"/>
                <w:sz w:val="22"/>
                <w:szCs w:val="22"/>
                <w:lang w:val="en-US" w:bidi="ru-RU"/>
              </w:rPr>
              <w:t>Dividend yield ratio (also referred as dividend yield percentage)</w:t>
            </w:r>
          </w:p>
        </w:tc>
        <w:tc>
          <w:tcPr>
            <w:tcW w:w="3260" w:type="dxa"/>
            <w:tcBorders>
              <w:bottom w:val="single" w:sz="4" w:space="0" w:color="auto"/>
            </w:tcBorders>
            <w:tcMar>
              <w:left w:w="28" w:type="dxa"/>
              <w:right w:w="28" w:type="dxa"/>
            </w:tcMar>
            <w:vAlign w:val="center"/>
          </w:tcPr>
          <w:p w14:paraId="0F97A214" w14:textId="77777777" w:rsidR="00252DD6" w:rsidRPr="00BC2E5D" w:rsidRDefault="00000000" w:rsidP="00AF5B66">
            <w:pPr>
              <w:spacing w:line="240" w:lineRule="atLeast"/>
              <w:contextualSpacing/>
              <w:jc w:val="center"/>
              <w:rPr>
                <w:rFonts w:ascii="Garamond" w:hAnsi="Garamond" w:cs="Garamond"/>
                <w:sz w:val="24"/>
                <w:szCs w:val="24"/>
                <w:lang w:val="en-US" w:bidi="ru-RU"/>
              </w:rPr>
            </w:pPr>
            <m:oMath>
              <m:f>
                <m:fPr>
                  <m:ctrlPr>
                    <w:rPr>
                      <w:rFonts w:ascii="Cambria Math" w:hAnsi="Cambria Math" w:cs="Garamond"/>
                      <w:sz w:val="24"/>
                      <w:szCs w:val="24"/>
                      <w:lang w:val="en-US" w:bidi="ru-RU"/>
                    </w:rPr>
                  </m:ctrlPr>
                </m:fPr>
                <m:num>
                  <m:r>
                    <m:rPr>
                      <m:sty m:val="p"/>
                    </m:rPr>
                    <w:rPr>
                      <w:rFonts w:ascii="Cambria Math" w:hAnsi="Cambria Math" w:cs="Garamond"/>
                      <w:sz w:val="24"/>
                      <w:szCs w:val="24"/>
                      <w:lang w:val="en-US" w:bidi="ru-RU"/>
                    </w:rPr>
                    <m:t xml:space="preserve"> Dividend per share</m:t>
                  </m:r>
                </m:num>
                <m:den>
                  <m:eqArr>
                    <m:eqArrPr>
                      <m:ctrlPr>
                        <w:rPr>
                          <w:rFonts w:ascii="Cambria Math" w:hAnsi="Cambria Math" w:cs="Garamond"/>
                          <w:sz w:val="24"/>
                          <w:szCs w:val="24"/>
                          <w:lang w:val="en-US" w:bidi="ru-RU"/>
                        </w:rPr>
                      </m:ctrlPr>
                    </m:eqArrPr>
                    <m:e>
                      <m:r>
                        <m:rPr>
                          <m:sty m:val="p"/>
                        </m:rPr>
                        <w:rPr>
                          <w:rFonts w:ascii="Cambria Math" w:hAnsi="Cambria Math" w:cs="Garamond"/>
                          <w:sz w:val="24"/>
                          <w:szCs w:val="24"/>
                          <w:lang w:val="en-US" w:bidi="ru-RU"/>
                        </w:rPr>
                        <m:t xml:space="preserve">Stock price or </m:t>
                      </m:r>
                    </m:e>
                    <m:e>
                      <m:r>
                        <m:rPr>
                          <m:sty m:val="p"/>
                        </m:rPr>
                        <w:rPr>
                          <w:rFonts w:ascii="Cambria Math" w:hAnsi="Cambria Math" w:cs="Garamond"/>
                          <w:sz w:val="24"/>
                          <w:szCs w:val="24"/>
                          <w:lang w:val="en-US" w:bidi="ru-RU"/>
                        </w:rPr>
                        <m:t>Market price per share</m:t>
                      </m:r>
                    </m:e>
                  </m:eqArr>
                </m:den>
              </m:f>
            </m:oMath>
            <w:r w:rsidR="00252DD6" w:rsidRPr="00BC2E5D">
              <w:rPr>
                <w:rFonts w:ascii="Garamond" w:hAnsi="Garamond" w:cs="Garamond"/>
                <w:sz w:val="24"/>
                <w:szCs w:val="24"/>
                <w:lang w:val="en-US" w:bidi="ru-RU"/>
              </w:rPr>
              <w:t xml:space="preserve"> </w:t>
            </w:r>
            <w:r w:rsidR="00AF5B66">
              <w:rPr>
                <w:rFonts w:ascii="Garamond" w:hAnsi="Garamond" w:cs="Garamond"/>
                <w:sz w:val="24"/>
                <w:szCs w:val="24"/>
                <w:lang w:val="en-US" w:bidi="ru-RU"/>
              </w:rPr>
              <w:t>∙</w:t>
            </w:r>
            <w:r w:rsidR="00252DD6" w:rsidRPr="00BC2E5D">
              <w:rPr>
                <w:rFonts w:ascii="Garamond" w:hAnsi="Garamond" w:cs="Garamond"/>
                <w:sz w:val="24"/>
                <w:szCs w:val="24"/>
                <w:lang w:val="en-US" w:bidi="ru-RU"/>
              </w:rPr>
              <w:t xml:space="preserve"> 100</w:t>
            </w:r>
            <w:r w:rsidR="00252DD6">
              <w:rPr>
                <w:rFonts w:ascii="Garamond" w:hAnsi="Garamond" w:cs="Garamond"/>
                <w:sz w:val="24"/>
                <w:szCs w:val="24"/>
                <w:lang w:val="en-US" w:bidi="ru-RU"/>
              </w:rPr>
              <w:t xml:space="preserve"> </w:t>
            </w:r>
            <w:r w:rsidR="00252DD6" w:rsidRPr="00BC2E5D">
              <w:rPr>
                <w:rFonts w:ascii="Garamond" w:hAnsi="Garamond" w:cs="Garamond"/>
                <w:sz w:val="24"/>
                <w:szCs w:val="24"/>
                <w:lang w:val="en-US" w:bidi="ru-RU"/>
              </w:rPr>
              <w:t>%</w:t>
            </w:r>
          </w:p>
        </w:tc>
        <w:tc>
          <w:tcPr>
            <w:tcW w:w="1276" w:type="dxa"/>
            <w:tcBorders>
              <w:bottom w:val="single" w:sz="4" w:space="0" w:color="auto"/>
            </w:tcBorders>
            <w:tcMar>
              <w:left w:w="28" w:type="dxa"/>
              <w:right w:w="28" w:type="dxa"/>
            </w:tcMar>
            <w:vAlign w:val="center"/>
          </w:tcPr>
          <w:p w14:paraId="473197E8" w14:textId="77777777" w:rsidR="00252DD6" w:rsidRPr="00BC2E5D" w:rsidRDefault="00252DD6" w:rsidP="005F27C2">
            <w:pPr>
              <w:spacing w:line="240" w:lineRule="atLeast"/>
              <w:contextualSpacing/>
              <w:jc w:val="center"/>
              <w:rPr>
                <w:rFonts w:ascii="Garamond" w:hAnsi="Garamond" w:cs="Garamond"/>
                <w:sz w:val="22"/>
                <w:szCs w:val="22"/>
                <w:lang w:val="en-US" w:bidi="ru-RU"/>
              </w:rPr>
            </w:pPr>
            <w:r w:rsidRPr="00BC2E5D">
              <w:rPr>
                <w:rFonts w:ascii="Garamond" w:hAnsi="Garamond" w:cs="Garamond"/>
                <w:sz w:val="22"/>
                <w:szCs w:val="22"/>
                <w:lang w:val="en-US" w:bidi="ru-RU"/>
              </w:rPr>
              <w:t>increasing trend</w:t>
            </w:r>
          </w:p>
        </w:tc>
        <w:tc>
          <w:tcPr>
            <w:tcW w:w="3130" w:type="dxa"/>
            <w:tcBorders>
              <w:bottom w:val="single" w:sz="4" w:space="0" w:color="auto"/>
            </w:tcBorders>
            <w:tcMar>
              <w:left w:w="28" w:type="dxa"/>
              <w:right w:w="28" w:type="dxa"/>
            </w:tcMar>
            <w:vAlign w:val="center"/>
          </w:tcPr>
          <w:p w14:paraId="549D736D" w14:textId="77777777" w:rsidR="00252DD6" w:rsidRPr="00BC2E5D" w:rsidRDefault="00252DD6" w:rsidP="00BC2E5D">
            <w:pPr>
              <w:spacing w:line="240" w:lineRule="atLeast"/>
              <w:contextualSpacing/>
              <w:rPr>
                <w:rFonts w:cs="Garamond"/>
                <w:sz w:val="22"/>
                <w:szCs w:val="22"/>
                <w:lang w:val="en-US" w:bidi="ru-RU"/>
              </w:rPr>
            </w:pPr>
          </w:p>
        </w:tc>
      </w:tr>
    </w:tbl>
    <w:p w14:paraId="441E1986"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51C601CB"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343FB9F7"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0BCDFDD1"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788F0088"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211457CC"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2478E04A"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4C412CAE"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7B5BF915"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126F8DB9"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5C9CA5AE"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008CFC40"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3BB5D647"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49EA3005"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38410709"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31B7A83B"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6DBDAF9B"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2106B4C9"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19525704"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06E0FFAF"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00BD9E24"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05687C16" w14:textId="77777777" w:rsidR="00BC2E5D" w:rsidRPr="00BC2E5D" w:rsidRDefault="00BC2E5D" w:rsidP="00BC2E5D">
      <w:pPr>
        <w:spacing w:line="312" w:lineRule="auto"/>
        <w:ind w:firstLine="357"/>
        <w:jc w:val="both"/>
        <w:rPr>
          <w:rFonts w:asciiTheme="minorHAnsi" w:eastAsiaTheme="minorHAnsi" w:hAnsiTheme="minorHAnsi" w:cstheme="minorBidi"/>
          <w:color w:val="auto"/>
          <w:sz w:val="22"/>
          <w:szCs w:val="22"/>
          <w:lang w:val="en-US" w:eastAsia="en-US"/>
        </w:rPr>
      </w:pPr>
    </w:p>
    <w:p w14:paraId="146D0388" w14:textId="77777777" w:rsidR="00BC2E5D" w:rsidRPr="00BC2E5D" w:rsidRDefault="00BC2E5D" w:rsidP="00BC2E5D">
      <w:pPr>
        <w:tabs>
          <w:tab w:val="left" w:pos="3162"/>
        </w:tabs>
        <w:jc w:val="center"/>
        <w:rPr>
          <w:rFonts w:cs="Garamond"/>
          <w:b/>
          <w:color w:val="auto"/>
          <w:lang w:val="en-US" w:eastAsia="ru-RU" w:bidi="ru-RU"/>
        </w:rPr>
      </w:pPr>
      <w:r w:rsidRPr="00BC2E5D">
        <w:rPr>
          <w:rFonts w:cs="Garamond"/>
          <w:b/>
          <w:noProof/>
          <w:color w:val="auto"/>
          <w:lang w:val="ru-RU" w:eastAsia="ru-RU"/>
        </w:rPr>
        <mc:AlternateContent>
          <mc:Choice Requires="wpc">
            <w:drawing>
              <wp:inline distT="0" distB="0" distL="0" distR="0" wp14:anchorId="01CADF19" wp14:editId="5EDD6D8A">
                <wp:extent cx="5712643" cy="4468305"/>
                <wp:effectExtent l="0" t="0" r="21590" b="8890"/>
                <wp:docPr id="1073742163" name="Полотно 107374216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73742116" name="Поле 15"/>
                        <wps:cNvSpPr txBox="1"/>
                        <wps:spPr>
                          <a:xfrm>
                            <a:off x="3175952" y="3999014"/>
                            <a:ext cx="1159472" cy="408900"/>
                          </a:xfrm>
                          <a:prstGeom prst="rect">
                            <a:avLst/>
                          </a:prstGeom>
                          <a:solidFill>
                            <a:sysClr val="window" lastClr="FFFFFF"/>
                          </a:solidFill>
                          <a:ln w="6350">
                            <a:noFill/>
                          </a:ln>
                          <a:effectLst/>
                        </wps:spPr>
                        <wps:txbx>
                          <w:txbxContent>
                            <w:p w14:paraId="69581342"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Effect of non-operating items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3742117" name="Овал 1073742117"/>
                        <wps:cNvSpPr/>
                        <wps:spPr>
                          <a:xfrm>
                            <a:off x="1104015" y="103673"/>
                            <a:ext cx="1374986" cy="499616"/>
                          </a:xfrm>
                          <a:prstGeom prst="ellipse">
                            <a:avLst/>
                          </a:prstGeom>
                          <a:solidFill>
                            <a:sysClr val="window" lastClr="FFFFFF">
                              <a:lumMod val="85000"/>
                            </a:sysClr>
                          </a:solidFill>
                          <a:ln w="25400" cap="flat" cmpd="sng" algn="ctr">
                            <a:noFill/>
                            <a:prstDash val="solid"/>
                          </a:ln>
                          <a:effectLst/>
                        </wps:spPr>
                        <wps:txbx>
                          <w:txbxContent>
                            <w:p w14:paraId="3EB2D4AE" w14:textId="77777777" w:rsidR="00B56753" w:rsidRPr="00BC2E5D" w:rsidRDefault="00B56753" w:rsidP="00BC2E5D">
                              <w:pPr>
                                <w:jc w:val="center"/>
                                <w:rPr>
                                  <w:b/>
                                  <w:color w:val="000000" w:themeColor="text1"/>
                                  <w:sz w:val="22"/>
                                  <w:szCs w:val="22"/>
                                  <w:lang w:val="en-US"/>
                                </w:rPr>
                              </w:pPr>
                              <w:r w:rsidRPr="00BC2E5D">
                                <w:rPr>
                                  <w:b/>
                                  <w:color w:val="000000" w:themeColor="text1"/>
                                  <w:sz w:val="22"/>
                                  <w:szCs w:val="22"/>
                                  <w:lang w:val="en-US"/>
                                </w:rPr>
                                <w:t>Return on equity (ROE)</w:t>
                              </w:r>
                            </w:p>
                          </w:txbxContent>
                        </wps:txbx>
                        <wps:bodyPr rot="0" spcFirstLastPara="0" vertOverflow="overflow" horzOverflow="overflow" vert="horz" wrap="square" lIns="18000" tIns="18000" rIns="18000" bIns="18000" numCol="1" spcCol="0" rtlCol="0" fromWordArt="0" anchor="ctr" anchorCtr="0" forceAA="0" compatLnSpc="1">
                          <a:prstTxWarp prst="textNoShape">
                            <a:avLst/>
                          </a:prstTxWarp>
                          <a:noAutofit/>
                        </wps:bodyPr>
                      </wps:wsp>
                      <wps:wsp>
                        <wps:cNvPr id="1073742118" name="Прямая со стрелкой 1073742118"/>
                        <wps:cNvCnPr/>
                        <wps:spPr>
                          <a:xfrm flipH="1">
                            <a:off x="678692" y="603290"/>
                            <a:ext cx="1102668" cy="326660"/>
                          </a:xfrm>
                          <a:prstGeom prst="straightConnector1">
                            <a:avLst/>
                          </a:prstGeom>
                          <a:noFill/>
                          <a:ln w="9525" cap="flat" cmpd="sng" algn="ctr">
                            <a:solidFill>
                              <a:sysClr val="windowText" lastClr="000000">
                                <a:shade val="95000"/>
                                <a:satMod val="105000"/>
                              </a:sysClr>
                            </a:solidFill>
                            <a:prstDash val="solid"/>
                            <a:tailEnd type="stealth" w="med" len="lg"/>
                          </a:ln>
                          <a:effectLst/>
                        </wps:spPr>
                        <wps:bodyPr/>
                      </wps:wsp>
                      <wps:wsp>
                        <wps:cNvPr id="1073742119" name="Поле 15"/>
                        <wps:cNvSpPr txBox="1"/>
                        <wps:spPr>
                          <a:xfrm>
                            <a:off x="2479001" y="974017"/>
                            <a:ext cx="942340" cy="411480"/>
                          </a:xfrm>
                          <a:prstGeom prst="rect">
                            <a:avLst/>
                          </a:prstGeom>
                          <a:solidFill>
                            <a:sysClr val="window" lastClr="FFFFFF"/>
                          </a:solidFill>
                          <a:ln w="6350">
                            <a:noFill/>
                          </a:ln>
                          <a:effectLst/>
                        </wps:spPr>
                        <wps:txbx>
                          <w:txbxContent>
                            <w:p w14:paraId="2C36526E" w14:textId="77777777" w:rsidR="00B56753" w:rsidRPr="00BC2E5D" w:rsidRDefault="00000000" w:rsidP="00BC2E5D">
                              <w:pPr>
                                <w:pStyle w:val="NormalWeb"/>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Cs/>
                                          <w:sz w:val="22"/>
                                          <w:szCs w:val="22"/>
                                        </w:rPr>
                                      </m:ctrlPr>
                                    </m:fPr>
                                    <m:num>
                                      <m:r>
                                        <m:rPr>
                                          <m:sty m:val="p"/>
                                        </m:rPr>
                                        <w:rPr>
                                          <w:rFonts w:ascii="Cambria Math" w:eastAsia="Calibri" w:hAnsi="Cambria Math"/>
                                          <w:sz w:val="22"/>
                                          <w:szCs w:val="22"/>
                                        </w:rPr>
                                        <m:t>Net income</m:t>
                                      </m:r>
                                    </m:num>
                                    <m:den>
                                      <m:r>
                                        <m:rPr>
                                          <m:sty m:val="p"/>
                                        </m:rPr>
                                        <w:rPr>
                                          <w:rFonts w:ascii="Cambria Math" w:eastAsia="Calibri" w:hAnsi="Cambria Math"/>
                                          <w:sz w:val="22"/>
                                          <w:szCs w:val="22"/>
                                        </w:rPr>
                                        <m:t>Total assets</m:t>
                                      </m:r>
                                    </m:den>
                                  </m:f>
                                </m:oMath>
                              </m:oMathPara>
                            </w:p>
                          </w:txbxContent>
                        </wps:txbx>
                        <wps:bodyPr rot="0" spcFirstLastPara="0" vert="horz" wrap="square" lIns="91440" tIns="45720" rIns="91440" bIns="45720" numCol="1" spcCol="0" rtlCol="0" fromWordArt="0" anchor="t" anchorCtr="0" forceAA="0" compatLnSpc="1">
                          <a:prstTxWarp prst="textNoShape">
                            <a:avLst/>
                          </a:prstTxWarp>
                          <a:spAutoFit/>
                        </wps:bodyPr>
                      </wps:wsp>
                      <wps:wsp>
                        <wps:cNvPr id="1073742120" name="Полилиния 1073742120"/>
                        <wps:cNvSpPr/>
                        <wps:spPr>
                          <a:xfrm>
                            <a:off x="2307735" y="1357019"/>
                            <a:ext cx="1281430" cy="113030"/>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4DC1973B" w14:textId="77777777" w:rsidR="00B56753" w:rsidRPr="00BC2E5D" w:rsidRDefault="00B56753" w:rsidP="00BC2E5D">
                              <w:pPr>
                                <w:rPr>
                                  <w:sz w:val="22"/>
                                  <w:szCs w:val="22"/>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21" name="Поле 15"/>
                        <wps:cNvSpPr txBox="1"/>
                        <wps:spPr>
                          <a:xfrm>
                            <a:off x="2478842" y="1544434"/>
                            <a:ext cx="1093470" cy="412115"/>
                          </a:xfrm>
                          <a:prstGeom prst="rect">
                            <a:avLst/>
                          </a:prstGeom>
                          <a:solidFill>
                            <a:sysClr val="window" lastClr="FFFFFF"/>
                          </a:solidFill>
                          <a:ln w="6350">
                            <a:noFill/>
                          </a:ln>
                          <a:effectLst/>
                        </wps:spPr>
                        <wps:txbx>
                          <w:txbxContent>
                            <w:p w14:paraId="4ED592CA"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Return on assets (ROA)</w:t>
                              </w:r>
                            </w:p>
                          </w:txbxContent>
                        </wps:txbx>
                        <wps:bodyPr rot="0" spcFirstLastPara="0" vert="horz" wrap="square" lIns="91440" tIns="45720" rIns="91440" bIns="45720" numCol="1" spcCol="0" rtlCol="0" fromWordArt="0" anchor="t" anchorCtr="0" forceAA="0" compatLnSpc="1">
                          <a:prstTxWarp prst="textNoShape">
                            <a:avLst/>
                          </a:prstTxWarp>
                          <a:spAutoFit/>
                        </wps:bodyPr>
                      </wps:wsp>
                      <wps:wsp>
                        <wps:cNvPr id="1073742122" name="Прямая соединительная линия 1073742122"/>
                        <wps:cNvCnPr/>
                        <wps:spPr>
                          <a:xfrm flipV="1">
                            <a:off x="31412" y="2200484"/>
                            <a:ext cx="5458120" cy="1"/>
                          </a:xfrm>
                          <a:prstGeom prst="line">
                            <a:avLst/>
                          </a:prstGeom>
                          <a:noFill/>
                          <a:ln w="9525" cap="flat" cmpd="sng" algn="ctr">
                            <a:solidFill>
                              <a:sysClr val="windowText" lastClr="000000"/>
                            </a:solidFill>
                            <a:prstDash val="dash"/>
                          </a:ln>
                          <a:effectLst/>
                        </wps:spPr>
                        <wps:bodyPr/>
                      </wps:wsp>
                      <wps:wsp>
                        <wps:cNvPr id="1073742123" name="Прямая со стрелкой 1073742123"/>
                        <wps:cNvCnPr/>
                        <wps:spPr>
                          <a:xfrm flipH="1">
                            <a:off x="1781585" y="1979618"/>
                            <a:ext cx="1159484" cy="381947"/>
                          </a:xfrm>
                          <a:prstGeom prst="straightConnector1">
                            <a:avLst/>
                          </a:prstGeom>
                          <a:noFill/>
                          <a:ln w="9525" cap="flat" cmpd="sng" algn="ctr">
                            <a:solidFill>
                              <a:sysClr val="windowText" lastClr="000000">
                                <a:shade val="95000"/>
                                <a:satMod val="105000"/>
                              </a:sysClr>
                            </a:solidFill>
                            <a:prstDash val="solid"/>
                            <a:tailEnd type="stealth" w="med" len="lg"/>
                          </a:ln>
                          <a:effectLst/>
                        </wps:spPr>
                        <wps:bodyPr/>
                      </wps:wsp>
                      <wps:wsp>
                        <wps:cNvPr id="1073742124" name="Поле 15"/>
                        <wps:cNvSpPr txBox="1"/>
                        <wps:spPr>
                          <a:xfrm>
                            <a:off x="3572756" y="2434899"/>
                            <a:ext cx="811368" cy="360324"/>
                          </a:xfrm>
                          <a:prstGeom prst="rect">
                            <a:avLst/>
                          </a:prstGeom>
                          <a:solidFill>
                            <a:sysClr val="window" lastClr="FFFFFF"/>
                          </a:solidFill>
                          <a:ln w="6350">
                            <a:noFill/>
                          </a:ln>
                          <a:effectLst/>
                        </wps:spPr>
                        <wps:txbx>
                          <w:txbxContent>
                            <w:p w14:paraId="5FA28F16" w14:textId="77777777" w:rsidR="00B56753" w:rsidRPr="00BC2E5D" w:rsidRDefault="00000000" w:rsidP="00BC2E5D">
                              <w:pPr>
                                <w:pStyle w:val="NormalWeb"/>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Net income</m:t>
                                      </m:r>
                                    </m:num>
                                    <m:den>
                                      <m:r>
                                        <m:rPr>
                                          <m:sty m:val="p"/>
                                        </m:rPr>
                                        <w:rPr>
                                          <w:rFonts w:ascii="Cambria Math" w:eastAsia="Calibri" w:hAnsi="Cambria Math"/>
                                          <w:sz w:val="22"/>
                                          <w:szCs w:val="22"/>
                                        </w:rPr>
                                        <m:t>Net sales</m:t>
                                      </m:r>
                                    </m:den>
                                  </m:f>
                                </m:oMath>
                              </m:oMathPara>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25" name="Полилиния 1073742125"/>
                        <wps:cNvSpPr/>
                        <wps:spPr>
                          <a:xfrm>
                            <a:off x="3454232" y="2754606"/>
                            <a:ext cx="1006374" cy="113030"/>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22E55C39" w14:textId="77777777" w:rsidR="00B56753" w:rsidRPr="00BC2E5D" w:rsidRDefault="00B56753" w:rsidP="00BC2E5D">
                              <w:pPr>
                                <w:pStyle w:val="NormalWeb"/>
                                <w:spacing w:before="0" w:beforeAutospacing="0" w:after="0" w:afterAutospacing="0"/>
                                <w:ind w:firstLine="706"/>
                                <w:rPr>
                                  <w:rFonts w:ascii="Garamond" w:hAnsi="Garamond"/>
                                  <w:sz w:val="22"/>
                                  <w:szCs w:val="22"/>
                                </w:rPr>
                              </w:pPr>
                              <w:r w:rsidRPr="00BC2E5D">
                                <w:rPr>
                                  <w:rFonts w:ascii="Garamond" w:hAnsi="Garamond"/>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26" name="Поле 15"/>
                        <wps:cNvSpPr txBox="1"/>
                        <wps:spPr>
                          <a:xfrm>
                            <a:off x="3441671" y="2922308"/>
                            <a:ext cx="1010551" cy="216785"/>
                          </a:xfrm>
                          <a:prstGeom prst="rect">
                            <a:avLst/>
                          </a:prstGeom>
                          <a:solidFill>
                            <a:sysClr val="window" lastClr="FFFFFF"/>
                          </a:solidFill>
                          <a:ln w="6350">
                            <a:noFill/>
                          </a:ln>
                          <a:effectLst/>
                        </wps:spPr>
                        <wps:txbx>
                          <w:txbxContent>
                            <w:p w14:paraId="7A1746B0"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Net profit margin</w:t>
                              </w:r>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27" name="Прямая соединительная линия 1073742127"/>
                        <wps:cNvCnPr/>
                        <wps:spPr>
                          <a:xfrm>
                            <a:off x="25" y="3289934"/>
                            <a:ext cx="5712136" cy="0"/>
                          </a:xfrm>
                          <a:prstGeom prst="line">
                            <a:avLst/>
                          </a:prstGeom>
                          <a:noFill/>
                          <a:ln w="9525" cap="flat" cmpd="sng" algn="ctr">
                            <a:solidFill>
                              <a:sysClr val="windowText" lastClr="000000"/>
                            </a:solidFill>
                            <a:prstDash val="dash"/>
                          </a:ln>
                          <a:effectLst/>
                        </wps:spPr>
                        <wps:bodyPr/>
                      </wps:wsp>
                      <wps:wsp>
                        <wps:cNvPr id="1073742128" name="Поле 15"/>
                        <wps:cNvSpPr txBox="1"/>
                        <wps:spPr>
                          <a:xfrm>
                            <a:off x="18" y="3383478"/>
                            <a:ext cx="1140625" cy="611119"/>
                          </a:xfrm>
                          <a:prstGeom prst="rect">
                            <a:avLst/>
                          </a:prstGeom>
                          <a:solidFill>
                            <a:sysClr val="window" lastClr="FFFFFF"/>
                          </a:solidFill>
                          <a:ln w="6350">
                            <a:noFill/>
                          </a:ln>
                          <a:effectLst/>
                        </wps:spPr>
                        <wps:txbx>
                          <w:txbxContent>
                            <w:p w14:paraId="159F8C4F" w14:textId="77777777" w:rsidR="00B56753" w:rsidRPr="00BC2E5D" w:rsidRDefault="00000000" w:rsidP="00BC2E5D">
                              <w:pPr>
                                <w:pStyle w:val="NormalWeb"/>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num>
                                    <m:den>
                                      <m:eqArr>
                                        <m:eqArrPr>
                                          <m:ctrlPr>
                                            <w:rPr>
                                              <w:rFonts w:ascii="Cambria Math" w:eastAsia="Calibri" w:hAnsi="Cambria Math"/>
                                              <w:i/>
                                              <w:iCs/>
                                              <w:sz w:val="22"/>
                                              <w:szCs w:val="22"/>
                                            </w:rPr>
                                          </m:ctrlPr>
                                        </m:eqArrPr>
                                        <m:e>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Stockholders</m:t>
                                          </m:r>
                                        </m:e>
                                        <m:e>
                                          <m:r>
                                            <m:rPr>
                                              <m:sty m:val="p"/>
                                            </m:rPr>
                                            <w:rPr>
                                              <w:rFonts w:ascii="Cambria Math" w:eastAsia="Calibri" w:hAnsi="Cambria Math"/>
                                              <w:sz w:val="22"/>
                                              <w:szCs w:val="22"/>
                                            </w:rPr>
                                            <m:t>equity</m:t>
                                          </m:r>
                                        </m:e>
                                      </m:eqArr>
                                    </m:den>
                                  </m:f>
                                </m:oMath>
                              </m:oMathPara>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3742129" name="Полилиния 1073742129"/>
                        <wps:cNvSpPr/>
                        <wps:spPr>
                          <a:xfrm>
                            <a:off x="96720" y="3902479"/>
                            <a:ext cx="941150" cy="96138"/>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545C0D01" w14:textId="77777777" w:rsidR="00B56753" w:rsidRPr="00BC2E5D" w:rsidRDefault="00B56753" w:rsidP="00BC2E5D">
                              <w:pPr>
                                <w:pStyle w:val="NormalWeb"/>
                                <w:spacing w:before="0" w:beforeAutospacing="0" w:after="0" w:afterAutospacing="0"/>
                                <w:ind w:firstLine="706"/>
                                <w:rPr>
                                  <w:rFonts w:ascii="Garamond" w:hAnsi="Garamond"/>
                                  <w:sz w:val="22"/>
                                  <w:szCs w:val="22"/>
                                </w:rPr>
                              </w:pPr>
                              <w:r w:rsidRPr="00BC2E5D">
                                <w:rPr>
                                  <w:rFonts w:ascii="Garamond" w:hAnsi="Garamond"/>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30" name="Поле 15"/>
                        <wps:cNvSpPr txBox="1"/>
                        <wps:spPr>
                          <a:xfrm>
                            <a:off x="188092" y="4049540"/>
                            <a:ext cx="849804" cy="390479"/>
                          </a:xfrm>
                          <a:prstGeom prst="rect">
                            <a:avLst/>
                          </a:prstGeom>
                          <a:solidFill>
                            <a:sysClr val="window" lastClr="FFFFFF"/>
                          </a:solidFill>
                          <a:ln w="6350">
                            <a:noFill/>
                          </a:ln>
                          <a:effectLst/>
                        </wps:spPr>
                        <wps:txbx>
                          <w:txbxContent>
                            <w:p w14:paraId="43421F54"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Equity multiplier</w:t>
                              </w:r>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31" name="Поле 15"/>
                        <wps:cNvSpPr txBox="1"/>
                        <wps:spPr>
                          <a:xfrm>
                            <a:off x="1282007" y="3489350"/>
                            <a:ext cx="705095" cy="379479"/>
                          </a:xfrm>
                          <a:prstGeom prst="rect">
                            <a:avLst/>
                          </a:prstGeom>
                          <a:solidFill>
                            <a:sysClr val="window" lastClr="FFFFFF"/>
                          </a:solidFill>
                          <a:ln w="6350">
                            <a:noFill/>
                          </a:ln>
                          <a:effectLst/>
                        </wps:spPr>
                        <wps:txbx>
                          <w:txbxContent>
                            <w:p w14:paraId="79DCA634" w14:textId="77777777" w:rsidR="00B56753" w:rsidRPr="00BC2E5D" w:rsidRDefault="00000000" w:rsidP="00BC2E5D">
                              <w:pPr>
                                <w:pStyle w:val="NormalWeb"/>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Net sales</m:t>
                                      </m:r>
                                    </m:num>
                                    <m:den>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den>
                                  </m:f>
                                </m:oMath>
                              </m:oMathPara>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32" name="Полилиния 1073742132"/>
                        <wps:cNvSpPr/>
                        <wps:spPr>
                          <a:xfrm>
                            <a:off x="1198080" y="3896353"/>
                            <a:ext cx="790560" cy="98643"/>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74C373F3" w14:textId="77777777" w:rsidR="00B56753" w:rsidRPr="00BC2E5D" w:rsidRDefault="00B56753" w:rsidP="00BC2E5D">
                              <w:pPr>
                                <w:pStyle w:val="NormalWeb"/>
                                <w:spacing w:before="0" w:beforeAutospacing="0" w:after="0" w:afterAutospacing="0"/>
                                <w:ind w:firstLine="706"/>
                                <w:rPr>
                                  <w:rFonts w:ascii="Garamond" w:hAnsi="Garamond"/>
                                  <w:sz w:val="22"/>
                                  <w:szCs w:val="22"/>
                                </w:rPr>
                              </w:pPr>
                              <w:r w:rsidRPr="00BC2E5D">
                                <w:rPr>
                                  <w:rFonts w:ascii="Garamond" w:hAnsi="Garamond"/>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33" name="Поле 15"/>
                        <wps:cNvSpPr txBox="1"/>
                        <wps:spPr>
                          <a:xfrm>
                            <a:off x="1148147" y="4049943"/>
                            <a:ext cx="839020" cy="325602"/>
                          </a:xfrm>
                          <a:prstGeom prst="rect">
                            <a:avLst/>
                          </a:prstGeom>
                          <a:solidFill>
                            <a:sysClr val="window" lastClr="FFFFFF"/>
                          </a:solidFill>
                          <a:ln w="6350">
                            <a:noFill/>
                          </a:ln>
                          <a:effectLst/>
                        </wps:spPr>
                        <wps:txbx>
                          <w:txbxContent>
                            <w:p w14:paraId="188FA8D5"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Total assets turnover</w:t>
                              </w:r>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34" name="Прямая со стрелкой 1073742134"/>
                        <wps:cNvCnPr/>
                        <wps:spPr>
                          <a:xfrm flipH="1">
                            <a:off x="2630802" y="3187304"/>
                            <a:ext cx="1233689" cy="196848"/>
                          </a:xfrm>
                          <a:prstGeom prst="straightConnector1">
                            <a:avLst/>
                          </a:prstGeom>
                          <a:noFill/>
                          <a:ln w="9525" cap="flat" cmpd="sng" algn="ctr">
                            <a:solidFill>
                              <a:sysClr val="windowText" lastClr="000000">
                                <a:shade val="95000"/>
                                <a:satMod val="105000"/>
                              </a:sysClr>
                            </a:solidFill>
                            <a:prstDash val="solid"/>
                            <a:tailEnd type="stealth" w="med" len="lg"/>
                          </a:ln>
                          <a:effectLst/>
                        </wps:spPr>
                        <wps:bodyPr/>
                      </wps:wsp>
                      <wps:wsp>
                        <wps:cNvPr id="1073742135" name="Прямая со стрелкой 1073742135"/>
                        <wps:cNvCnPr/>
                        <wps:spPr>
                          <a:xfrm>
                            <a:off x="3864615" y="3187321"/>
                            <a:ext cx="0" cy="212276"/>
                          </a:xfrm>
                          <a:prstGeom prst="straightConnector1">
                            <a:avLst/>
                          </a:prstGeom>
                          <a:noFill/>
                          <a:ln w="9525" cap="flat" cmpd="sng" algn="ctr">
                            <a:solidFill>
                              <a:sysClr val="windowText" lastClr="000000">
                                <a:shade val="95000"/>
                                <a:satMod val="105000"/>
                              </a:sysClr>
                            </a:solidFill>
                            <a:prstDash val="solid"/>
                            <a:tailEnd type="stealth" w="med" len="lg"/>
                          </a:ln>
                          <a:effectLst/>
                        </wps:spPr>
                        <wps:bodyPr/>
                      </wps:wsp>
                      <wps:wsp>
                        <wps:cNvPr id="1073742136" name="Прямая со стрелкой 1073742136"/>
                        <wps:cNvCnPr/>
                        <wps:spPr>
                          <a:xfrm>
                            <a:off x="3864491" y="3187304"/>
                            <a:ext cx="1273118" cy="212252"/>
                          </a:xfrm>
                          <a:prstGeom prst="straightConnector1">
                            <a:avLst/>
                          </a:prstGeom>
                          <a:noFill/>
                          <a:ln w="9525" cap="flat" cmpd="sng" algn="ctr">
                            <a:solidFill>
                              <a:sysClr val="windowText" lastClr="000000">
                                <a:shade val="95000"/>
                                <a:satMod val="105000"/>
                              </a:sysClr>
                            </a:solidFill>
                            <a:prstDash val="solid"/>
                            <a:tailEnd type="stealth" w="med" len="lg"/>
                          </a:ln>
                          <a:effectLst/>
                        </wps:spPr>
                        <wps:bodyPr/>
                      </wps:wsp>
                      <wps:wsp>
                        <wps:cNvPr id="1073742137" name="Поле 15"/>
                        <wps:cNvSpPr txBox="1"/>
                        <wps:spPr>
                          <a:xfrm>
                            <a:off x="2028474" y="3489699"/>
                            <a:ext cx="989418" cy="384033"/>
                          </a:xfrm>
                          <a:prstGeom prst="rect">
                            <a:avLst/>
                          </a:prstGeom>
                          <a:solidFill>
                            <a:sysClr val="window" lastClr="FFFFFF"/>
                          </a:solidFill>
                          <a:ln w="6350">
                            <a:noFill/>
                          </a:ln>
                          <a:effectLst/>
                        </wps:spPr>
                        <wps:txbx>
                          <w:txbxContent>
                            <w:p w14:paraId="4AFA4219" w14:textId="77777777" w:rsidR="00B56753" w:rsidRPr="00BC2E5D" w:rsidRDefault="00000000" w:rsidP="00BC2E5D">
                              <w:pPr>
                                <w:pStyle w:val="NormalWeb"/>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Operating income</m:t>
                                      </m:r>
                                    </m:num>
                                    <m:den>
                                      <m:r>
                                        <m:rPr>
                                          <m:sty m:val="p"/>
                                        </m:rPr>
                                        <w:rPr>
                                          <w:rFonts w:ascii="Cambria Math" w:eastAsia="Calibri" w:hAnsi="Cambria Math"/>
                                          <w:sz w:val="22"/>
                                          <w:szCs w:val="22"/>
                                        </w:rPr>
                                        <m:t>Net sales</m:t>
                                      </m:r>
                                    </m:den>
                                  </m:f>
                                </m:oMath>
                              </m:oMathPara>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38" name="Поле 15"/>
                        <wps:cNvSpPr txBox="1"/>
                        <wps:spPr>
                          <a:xfrm>
                            <a:off x="3089516" y="3477304"/>
                            <a:ext cx="1152289" cy="428834"/>
                          </a:xfrm>
                          <a:prstGeom prst="rect">
                            <a:avLst/>
                          </a:prstGeom>
                          <a:solidFill>
                            <a:sysClr val="window" lastClr="FFFFFF"/>
                          </a:solidFill>
                          <a:ln w="6350">
                            <a:noFill/>
                          </a:ln>
                          <a:effectLst/>
                        </wps:spPr>
                        <wps:txbx>
                          <w:txbxContent>
                            <w:p w14:paraId="48693D9A" w14:textId="77777777" w:rsidR="00B56753" w:rsidRPr="00BC2E5D" w:rsidRDefault="00000000" w:rsidP="00BC2E5D">
                              <w:pPr>
                                <w:pStyle w:val="NormalWeb"/>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Cs/>
                                          <w:sz w:val="22"/>
                                          <w:szCs w:val="22"/>
                                        </w:rPr>
                                      </m:ctrlPr>
                                    </m:fPr>
                                    <m:num>
                                      <m:r>
                                        <m:rPr>
                                          <m:sty m:val="p"/>
                                        </m:rPr>
                                        <w:rPr>
                                          <w:rFonts w:ascii="Cambria Math" w:eastAsia="Calibri" w:hAnsi="Cambria Math"/>
                                          <w:sz w:val="22"/>
                                          <w:szCs w:val="22"/>
                                        </w:rPr>
                                        <m:t>Income before tax</m:t>
                                      </m:r>
                                    </m:num>
                                    <m:den>
                                      <m:r>
                                        <m:rPr>
                                          <m:sty m:val="p"/>
                                        </m:rPr>
                                        <w:rPr>
                                          <w:rFonts w:ascii="Cambria Math" w:eastAsia="Calibri" w:hAnsi="Cambria Math"/>
                                          <w:sz w:val="22"/>
                                          <w:szCs w:val="22"/>
                                        </w:rPr>
                                        <m:t>Operating income</m:t>
                                      </m:r>
                                    </m:den>
                                  </m:f>
                                </m:oMath>
                              </m:oMathPara>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39" name="Поле 15"/>
                        <wps:cNvSpPr txBox="1"/>
                        <wps:spPr>
                          <a:xfrm>
                            <a:off x="4243798" y="3509713"/>
                            <a:ext cx="1468546" cy="405074"/>
                          </a:xfrm>
                          <a:prstGeom prst="rect">
                            <a:avLst/>
                          </a:prstGeom>
                          <a:solidFill>
                            <a:sysClr val="window" lastClr="FFFFFF"/>
                          </a:solidFill>
                          <a:ln w="6350">
                            <a:noFill/>
                          </a:ln>
                          <a:effectLst/>
                        </wps:spPr>
                        <wps:txbx>
                          <w:txbxContent>
                            <w:p w14:paraId="5B74B5AC" w14:textId="77777777" w:rsidR="00B56753" w:rsidRPr="00BC2E5D" w:rsidRDefault="00000000" w:rsidP="00BC2E5D">
                              <w:pPr>
                                <w:pStyle w:val="NormalWeb"/>
                                <w:spacing w:before="0" w:beforeAutospacing="0" w:after="0" w:afterAutospacing="0"/>
                                <w:rPr>
                                  <w:rFonts w:ascii="Garamond" w:hAnsi="Garamond"/>
                                  <w:sz w:val="20"/>
                                  <w:szCs w:val="22"/>
                                  <w:lang w:val="en-US"/>
                                </w:rPr>
                              </w:pPr>
                              <m:oMathPara>
                                <m:oMathParaPr>
                                  <m:jc m:val="centerGroup"/>
                                </m:oMathParaPr>
                                <m:oMath>
                                  <m:d>
                                    <m:dPr>
                                      <m:ctrlPr>
                                        <w:rPr>
                                          <w:rFonts w:ascii="Cambria Math" w:hAnsi="Cambria Math"/>
                                          <w:sz w:val="20"/>
                                          <w:szCs w:val="22"/>
                                          <w:lang w:val="en-US"/>
                                        </w:rPr>
                                      </m:ctrlPr>
                                    </m:dPr>
                                    <m:e>
                                      <m:r>
                                        <m:rPr>
                                          <m:sty m:val="p"/>
                                        </m:rPr>
                                        <w:rPr>
                                          <w:rFonts w:ascii="Cambria Math" w:hAnsi="Cambria Math"/>
                                          <w:sz w:val="20"/>
                                          <w:szCs w:val="22"/>
                                          <w:lang w:val="en-US"/>
                                        </w:rPr>
                                        <m:t xml:space="preserve">1- </m:t>
                                      </m:r>
                                      <m:f>
                                        <m:fPr>
                                          <m:ctrlPr>
                                            <w:rPr>
                                              <w:rFonts w:ascii="Cambria Math" w:hAnsi="Cambria Math"/>
                                              <w:sz w:val="20"/>
                                              <w:szCs w:val="22"/>
                                              <w:lang w:val="en-US"/>
                                            </w:rPr>
                                          </m:ctrlPr>
                                        </m:fPr>
                                        <m:num>
                                          <m:r>
                                            <m:rPr>
                                              <m:sty m:val="p"/>
                                            </m:rPr>
                                            <w:rPr>
                                              <w:rFonts w:ascii="Cambria Math" w:hAnsi="Cambria Math"/>
                                              <w:sz w:val="20"/>
                                              <w:szCs w:val="22"/>
                                              <w:lang w:val="en-US"/>
                                            </w:rPr>
                                            <m:t>Tax</m:t>
                                          </m:r>
                                        </m:num>
                                        <m:den>
                                          <m:r>
                                            <m:rPr>
                                              <m:sty m:val="p"/>
                                            </m:rPr>
                                            <w:rPr>
                                              <w:rFonts w:ascii="Cambria Math" w:hAnsi="Cambria Math"/>
                                              <w:sz w:val="20"/>
                                              <w:szCs w:val="22"/>
                                              <w:lang w:val="en-US"/>
                                            </w:rPr>
                                            <m:t>Income before tax</m:t>
                                          </m:r>
                                        </m:den>
                                      </m:f>
                                    </m:e>
                                  </m:d>
                                </m:oMath>
                              </m:oMathPara>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40" name="Полилиния 1073742140"/>
                        <wps:cNvSpPr/>
                        <wps:spPr>
                          <a:xfrm>
                            <a:off x="4384127" y="3894613"/>
                            <a:ext cx="1164097" cy="108985"/>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3BADCA94" w14:textId="77777777" w:rsidR="00B56753" w:rsidRPr="00BC2E5D" w:rsidRDefault="00B56753" w:rsidP="00BC2E5D">
                              <w:pPr>
                                <w:pStyle w:val="NormalWeb"/>
                                <w:spacing w:before="0" w:beforeAutospacing="0" w:after="0" w:afterAutospacing="0"/>
                                <w:ind w:firstLine="706"/>
                                <w:rPr>
                                  <w:rFonts w:ascii="Garamond" w:hAnsi="Garamond"/>
                                  <w:sz w:val="22"/>
                                  <w:szCs w:val="22"/>
                                </w:rPr>
                              </w:pPr>
                              <w:r w:rsidRPr="00BC2E5D">
                                <w:rPr>
                                  <w:rFonts w:ascii="Garamond" w:hAnsi="Garamond"/>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41" name="Поле 15"/>
                        <wps:cNvSpPr txBox="1"/>
                        <wps:spPr>
                          <a:xfrm>
                            <a:off x="4553214" y="4049943"/>
                            <a:ext cx="951718" cy="286387"/>
                          </a:xfrm>
                          <a:prstGeom prst="rect">
                            <a:avLst/>
                          </a:prstGeom>
                          <a:solidFill>
                            <a:sysClr val="window" lastClr="FFFFFF"/>
                          </a:solidFill>
                          <a:ln w="6350">
                            <a:noFill/>
                          </a:ln>
                          <a:effectLst/>
                        </wps:spPr>
                        <wps:txbx>
                          <w:txbxContent>
                            <w:p w14:paraId="07218C25"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Tax effect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3742142" name="Полилиния 1073742142"/>
                        <wps:cNvSpPr/>
                        <wps:spPr>
                          <a:xfrm>
                            <a:off x="3204791" y="3881210"/>
                            <a:ext cx="971284" cy="124481"/>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751C990B" w14:textId="77777777" w:rsidR="00B56753" w:rsidRPr="00BC2E5D" w:rsidRDefault="00B56753" w:rsidP="00BC2E5D">
                              <w:pPr>
                                <w:pStyle w:val="NormalWeb"/>
                                <w:spacing w:before="0" w:beforeAutospacing="0" w:after="0" w:afterAutospacing="0"/>
                                <w:ind w:firstLine="706"/>
                                <w:rPr>
                                  <w:rFonts w:ascii="Garamond" w:hAnsi="Garamond"/>
                                  <w:sz w:val="22"/>
                                  <w:szCs w:val="22"/>
                                </w:rPr>
                              </w:pPr>
                              <w:r w:rsidRPr="00BC2E5D">
                                <w:rPr>
                                  <w:rFonts w:ascii="Garamond" w:hAnsi="Garamond"/>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43" name="Полилиния 1073742143"/>
                        <wps:cNvSpPr/>
                        <wps:spPr>
                          <a:xfrm>
                            <a:off x="2176162" y="3893485"/>
                            <a:ext cx="838689" cy="112605"/>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52EFAB39" w14:textId="77777777" w:rsidR="00B56753" w:rsidRPr="00BC2E5D" w:rsidRDefault="00B56753" w:rsidP="00BC2E5D">
                              <w:pPr>
                                <w:pStyle w:val="NormalWeb"/>
                                <w:spacing w:before="0" w:beforeAutospacing="0" w:after="0" w:afterAutospacing="0"/>
                                <w:ind w:firstLine="706"/>
                                <w:rPr>
                                  <w:rFonts w:ascii="Garamond" w:hAnsi="Garamond"/>
                                  <w:sz w:val="22"/>
                                  <w:szCs w:val="22"/>
                                </w:rPr>
                              </w:pPr>
                              <w:r w:rsidRPr="00BC2E5D">
                                <w:rPr>
                                  <w:rFonts w:ascii="Garamond" w:hAnsi="Garamond"/>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44" name="Поле 15"/>
                        <wps:cNvSpPr txBox="1"/>
                        <wps:spPr>
                          <a:xfrm>
                            <a:off x="2130451" y="4027818"/>
                            <a:ext cx="1167258" cy="412643"/>
                          </a:xfrm>
                          <a:prstGeom prst="rect">
                            <a:avLst/>
                          </a:prstGeom>
                          <a:solidFill>
                            <a:sysClr val="window" lastClr="FFFFFF"/>
                          </a:solidFill>
                          <a:ln w="6350">
                            <a:noFill/>
                          </a:ln>
                          <a:effectLst/>
                        </wps:spPr>
                        <wps:txbx>
                          <w:txbxContent>
                            <w:p w14:paraId="43CF3C29"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Operating profit margin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3742145" name="Поле 15"/>
                        <wps:cNvSpPr txBox="1"/>
                        <wps:spPr>
                          <a:xfrm>
                            <a:off x="31413" y="2256155"/>
                            <a:ext cx="1140460" cy="599440"/>
                          </a:xfrm>
                          <a:prstGeom prst="rect">
                            <a:avLst/>
                          </a:prstGeom>
                          <a:solidFill>
                            <a:sysClr val="window" lastClr="FFFFFF"/>
                          </a:solidFill>
                          <a:ln w="6350">
                            <a:noFill/>
                          </a:ln>
                          <a:effectLst/>
                        </wps:spPr>
                        <wps:txbx>
                          <w:txbxContent>
                            <w:p w14:paraId="42FF08E4" w14:textId="77777777" w:rsidR="00B56753" w:rsidRPr="00BC2E5D" w:rsidRDefault="00000000" w:rsidP="00BC2E5D">
                              <w:pPr>
                                <w:pStyle w:val="NormalWeb"/>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num>
                                    <m:den>
                                      <m:eqArr>
                                        <m:eqArrPr>
                                          <m:ctrlPr>
                                            <w:rPr>
                                              <w:rFonts w:ascii="Cambria Math" w:eastAsia="Calibri" w:hAnsi="Cambria Math"/>
                                              <w:i/>
                                              <w:iCs/>
                                              <w:sz w:val="22"/>
                                              <w:szCs w:val="22"/>
                                            </w:rPr>
                                          </m:ctrlPr>
                                        </m:eqArrPr>
                                        <m:e>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Stockholders</m:t>
                                          </m:r>
                                        </m:e>
                                        <m:e>
                                          <m:r>
                                            <m:rPr>
                                              <m:sty m:val="p"/>
                                            </m:rPr>
                                            <w:rPr>
                                              <w:rFonts w:ascii="Cambria Math" w:eastAsia="Calibri" w:hAnsi="Cambria Math"/>
                                              <w:sz w:val="22"/>
                                              <w:szCs w:val="22"/>
                                            </w:rPr>
                                            <m:t>equity</m:t>
                                          </m:r>
                                        </m:e>
                                      </m:eqArr>
                                    </m:den>
                                  </m:f>
                                </m:oMath>
                              </m:oMathPara>
                            </w:p>
                          </w:txbxContent>
                        </wps:txbx>
                        <wps:bodyPr rot="0" spcFirstLastPara="0" vert="horz" wrap="square" lIns="91440" tIns="45720" rIns="91440" bIns="45720" numCol="1" spcCol="0" rtlCol="0" fromWordArt="0" anchor="t" anchorCtr="0" forceAA="0" compatLnSpc="1">
                          <a:prstTxWarp prst="textNoShape">
                            <a:avLst/>
                          </a:prstTxWarp>
                          <a:spAutoFit/>
                        </wps:bodyPr>
                      </wps:wsp>
                      <wps:wsp>
                        <wps:cNvPr id="1073742146" name="Полилиния 1073742146"/>
                        <wps:cNvSpPr/>
                        <wps:spPr>
                          <a:xfrm>
                            <a:off x="127935" y="2774976"/>
                            <a:ext cx="1007110" cy="112395"/>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534581AB" w14:textId="77777777" w:rsidR="00B56753" w:rsidRPr="00BC2E5D" w:rsidRDefault="00B56753" w:rsidP="00BC2E5D">
                              <w:pPr>
                                <w:pStyle w:val="NormalWeb"/>
                                <w:spacing w:before="0" w:beforeAutospacing="0" w:after="0" w:afterAutospacing="0"/>
                                <w:ind w:firstLine="706"/>
                                <w:rPr>
                                  <w:rFonts w:ascii="Garamond" w:hAnsi="Garamond"/>
                                  <w:sz w:val="22"/>
                                  <w:szCs w:val="22"/>
                                </w:rPr>
                              </w:pPr>
                              <w:r w:rsidRPr="00BC2E5D">
                                <w:rPr>
                                  <w:rFonts w:ascii="Garamond" w:hAnsi="Garamond"/>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47" name="Поле 15"/>
                        <wps:cNvSpPr txBox="1"/>
                        <wps:spPr>
                          <a:xfrm>
                            <a:off x="219368" y="2887085"/>
                            <a:ext cx="849630" cy="354294"/>
                          </a:xfrm>
                          <a:prstGeom prst="rect">
                            <a:avLst/>
                          </a:prstGeom>
                          <a:solidFill>
                            <a:sysClr val="window" lastClr="FFFFFF"/>
                          </a:solidFill>
                          <a:ln w="6350">
                            <a:noFill/>
                          </a:ln>
                          <a:effectLst/>
                        </wps:spPr>
                        <wps:txbx>
                          <w:txbxContent>
                            <w:p w14:paraId="1E081784"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Equity multiplier</w:t>
                              </w:r>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48" name="Поле 15"/>
                        <wps:cNvSpPr txBox="1"/>
                        <wps:spPr>
                          <a:xfrm>
                            <a:off x="1442738" y="2361356"/>
                            <a:ext cx="782250" cy="379095"/>
                          </a:xfrm>
                          <a:prstGeom prst="rect">
                            <a:avLst/>
                          </a:prstGeom>
                          <a:solidFill>
                            <a:sysClr val="window" lastClr="FFFFFF"/>
                          </a:solidFill>
                          <a:ln w="6350">
                            <a:noFill/>
                          </a:ln>
                          <a:effectLst/>
                        </wps:spPr>
                        <wps:txbx>
                          <w:txbxContent>
                            <w:p w14:paraId="0277BDFC" w14:textId="77777777" w:rsidR="00B56753" w:rsidRPr="00BC2E5D" w:rsidRDefault="00000000" w:rsidP="00BC2E5D">
                              <w:pPr>
                                <w:pStyle w:val="NormalWeb"/>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Net</m:t>
                                      </m:r>
                                      <m:r>
                                        <w:rPr>
                                          <w:rFonts w:ascii="Cambria Math" w:eastAsia="Calibri" w:hAnsi="Cambria Math"/>
                                          <w:sz w:val="22"/>
                                          <w:szCs w:val="22"/>
                                        </w:rPr>
                                        <m:t> </m:t>
                                      </m:r>
                                      <m:r>
                                        <m:rPr>
                                          <m:sty m:val="p"/>
                                        </m:rPr>
                                        <w:rPr>
                                          <w:rFonts w:ascii="Cambria Math" w:eastAsia="Calibri" w:hAnsi="Cambria Math"/>
                                          <w:sz w:val="22"/>
                                          <w:szCs w:val="22"/>
                                        </w:rPr>
                                        <m:t>sales</m:t>
                                      </m:r>
                                    </m:num>
                                    <m:den>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den>
                                  </m:f>
                                </m:oMath>
                              </m:oMathPara>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49" name="Полилиния 1073742149"/>
                        <wps:cNvSpPr/>
                        <wps:spPr>
                          <a:xfrm>
                            <a:off x="1386223" y="2749370"/>
                            <a:ext cx="789940" cy="98425"/>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53FDF354" w14:textId="77777777" w:rsidR="00B56753" w:rsidRPr="00BC2E5D" w:rsidRDefault="00B56753" w:rsidP="00BC2E5D">
                              <w:pPr>
                                <w:pStyle w:val="NormalWeb"/>
                                <w:spacing w:before="0" w:beforeAutospacing="0" w:after="0" w:afterAutospacing="0"/>
                                <w:ind w:firstLine="706"/>
                                <w:rPr>
                                  <w:rFonts w:ascii="Garamond" w:hAnsi="Garamond"/>
                                  <w:sz w:val="22"/>
                                  <w:szCs w:val="22"/>
                                </w:rPr>
                              </w:pPr>
                              <w:r w:rsidRPr="00BC2E5D">
                                <w:rPr>
                                  <w:rFonts w:ascii="Garamond" w:hAnsi="Garamond"/>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50" name="Поле 15"/>
                        <wps:cNvSpPr txBox="1"/>
                        <wps:spPr>
                          <a:xfrm>
                            <a:off x="1386224" y="2903537"/>
                            <a:ext cx="838835" cy="325120"/>
                          </a:xfrm>
                          <a:prstGeom prst="rect">
                            <a:avLst/>
                          </a:prstGeom>
                          <a:solidFill>
                            <a:sysClr val="window" lastClr="FFFFFF"/>
                          </a:solidFill>
                          <a:ln w="6350">
                            <a:noFill/>
                          </a:ln>
                          <a:effectLst/>
                        </wps:spPr>
                        <wps:txbx>
                          <w:txbxContent>
                            <w:p w14:paraId="74C5FB1C"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Total assets turnover</w:t>
                              </w:r>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51" name="Прямая со стрелкой 1073742151"/>
                        <wps:cNvCnPr/>
                        <wps:spPr>
                          <a:xfrm>
                            <a:off x="2940981" y="1980020"/>
                            <a:ext cx="1158838" cy="381558"/>
                          </a:xfrm>
                          <a:prstGeom prst="straightConnector1">
                            <a:avLst/>
                          </a:prstGeom>
                          <a:noFill/>
                          <a:ln w="9525" cap="flat" cmpd="sng" algn="ctr">
                            <a:solidFill>
                              <a:sysClr val="windowText" lastClr="000000">
                                <a:shade val="95000"/>
                                <a:satMod val="105000"/>
                              </a:sysClr>
                            </a:solidFill>
                            <a:prstDash val="solid"/>
                            <a:tailEnd type="stealth" w="med" len="lg"/>
                          </a:ln>
                          <a:effectLst/>
                        </wps:spPr>
                        <wps:bodyPr/>
                      </wps:wsp>
                      <wps:wsp>
                        <wps:cNvPr id="1073742152" name="Поле 15"/>
                        <wps:cNvSpPr txBox="1"/>
                        <wps:spPr>
                          <a:xfrm>
                            <a:off x="95083" y="929965"/>
                            <a:ext cx="1139825" cy="598805"/>
                          </a:xfrm>
                          <a:prstGeom prst="rect">
                            <a:avLst/>
                          </a:prstGeom>
                          <a:solidFill>
                            <a:sysClr val="window" lastClr="FFFFFF"/>
                          </a:solidFill>
                          <a:ln w="6350">
                            <a:noFill/>
                          </a:ln>
                          <a:effectLst/>
                        </wps:spPr>
                        <wps:txbx>
                          <w:txbxContent>
                            <w:p w14:paraId="1951569D" w14:textId="77777777" w:rsidR="00B56753" w:rsidRPr="00BC2E5D" w:rsidRDefault="00000000" w:rsidP="00BC2E5D">
                              <w:pPr>
                                <w:pStyle w:val="NormalWeb"/>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num>
                                    <m:den>
                                      <m:eqArr>
                                        <m:eqArrPr>
                                          <m:ctrlPr>
                                            <w:rPr>
                                              <w:rFonts w:ascii="Cambria Math" w:eastAsia="Calibri" w:hAnsi="Cambria Math"/>
                                              <w:i/>
                                              <w:iCs/>
                                              <w:sz w:val="22"/>
                                              <w:szCs w:val="22"/>
                                            </w:rPr>
                                          </m:ctrlPr>
                                        </m:eqArrPr>
                                        <m:e>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Stockholders</m:t>
                                          </m:r>
                                        </m:e>
                                        <m:e>
                                          <m:r>
                                            <m:rPr>
                                              <m:sty m:val="p"/>
                                            </m:rPr>
                                            <w:rPr>
                                              <w:rFonts w:ascii="Cambria Math" w:eastAsia="Calibri" w:hAnsi="Cambria Math"/>
                                              <w:sz w:val="22"/>
                                              <w:szCs w:val="22"/>
                                            </w:rPr>
                                            <m:t>equity</m:t>
                                          </m:r>
                                        </m:e>
                                      </m:eqArr>
                                    </m:den>
                                  </m:f>
                                </m:oMath>
                              </m:oMathPara>
                            </w:p>
                          </w:txbxContent>
                        </wps:txbx>
                        <wps:bodyPr rot="0" spcFirstLastPara="0" vert="horz" wrap="square" lIns="91440" tIns="45720" rIns="91440" bIns="45720" numCol="1" spcCol="0" rtlCol="0" fromWordArt="0" anchor="t" anchorCtr="0" forceAA="0" compatLnSpc="1">
                          <a:prstTxWarp prst="textNoShape">
                            <a:avLst/>
                          </a:prstTxWarp>
                          <a:spAutoFit/>
                        </wps:bodyPr>
                      </wps:wsp>
                      <wps:wsp>
                        <wps:cNvPr id="1073742153" name="Полилиния 1073742153"/>
                        <wps:cNvSpPr/>
                        <wps:spPr>
                          <a:xfrm>
                            <a:off x="191603" y="1448760"/>
                            <a:ext cx="1006475" cy="111760"/>
                          </a:xfrm>
                          <a:custGeom>
                            <a:avLst/>
                            <a:gdLst>
                              <a:gd name="connsiteX0" fmla="*/ 0 w 1282045"/>
                              <a:gd name="connsiteY0" fmla="*/ 0 h 273378"/>
                              <a:gd name="connsiteX1" fmla="*/ 622169 w 1282045"/>
                              <a:gd name="connsiteY1" fmla="*/ 273378 h 273378"/>
                              <a:gd name="connsiteX2" fmla="*/ 1282045 w 1282045"/>
                              <a:gd name="connsiteY2" fmla="*/ 0 h 273378"/>
                              <a:gd name="connsiteX3" fmla="*/ 1282045 w 1282045"/>
                              <a:gd name="connsiteY3" fmla="*/ 0 h 273378"/>
                              <a:gd name="connsiteX0" fmla="*/ 0 w 1282045"/>
                              <a:gd name="connsiteY0" fmla="*/ 0 h 339413"/>
                              <a:gd name="connsiteX1" fmla="*/ 641022 w 1282045"/>
                              <a:gd name="connsiteY1" fmla="*/ 339413 h 339413"/>
                              <a:gd name="connsiteX2" fmla="*/ 1282045 w 1282045"/>
                              <a:gd name="connsiteY2" fmla="*/ 0 h 339413"/>
                              <a:gd name="connsiteX3" fmla="*/ 1282045 w 1282045"/>
                              <a:gd name="connsiteY3" fmla="*/ 0 h 339413"/>
                              <a:gd name="connsiteX0" fmla="*/ 0 w 1282045"/>
                              <a:gd name="connsiteY0" fmla="*/ 0 h 216895"/>
                              <a:gd name="connsiteX1" fmla="*/ 631595 w 1282045"/>
                              <a:gd name="connsiteY1" fmla="*/ 216895 h 216895"/>
                              <a:gd name="connsiteX2" fmla="*/ 1282045 w 1282045"/>
                              <a:gd name="connsiteY2" fmla="*/ 0 h 216895"/>
                              <a:gd name="connsiteX3" fmla="*/ 1282045 w 1282045"/>
                              <a:gd name="connsiteY3" fmla="*/ 0 h 216895"/>
                            </a:gdLst>
                            <a:ahLst/>
                            <a:cxnLst>
                              <a:cxn ang="0">
                                <a:pos x="connsiteX0" y="connsiteY0"/>
                              </a:cxn>
                              <a:cxn ang="0">
                                <a:pos x="connsiteX1" y="connsiteY1"/>
                              </a:cxn>
                              <a:cxn ang="0">
                                <a:pos x="connsiteX2" y="connsiteY2"/>
                              </a:cxn>
                              <a:cxn ang="0">
                                <a:pos x="connsiteX3" y="connsiteY3"/>
                              </a:cxn>
                            </a:cxnLst>
                            <a:rect l="l" t="t" r="r" b="b"/>
                            <a:pathLst>
                              <a:path w="1282045" h="216895">
                                <a:moveTo>
                                  <a:pt x="0" y="0"/>
                                </a:moveTo>
                                <a:cubicBezTo>
                                  <a:pt x="204247" y="136689"/>
                                  <a:pt x="417921" y="216895"/>
                                  <a:pt x="631595" y="216895"/>
                                </a:cubicBezTo>
                                <a:cubicBezTo>
                                  <a:pt x="845269" y="216895"/>
                                  <a:pt x="1173637" y="36149"/>
                                  <a:pt x="1282045" y="0"/>
                                </a:cubicBezTo>
                                <a:lnTo>
                                  <a:pt x="1282045" y="0"/>
                                </a:lnTo>
                              </a:path>
                            </a:pathLst>
                          </a:custGeom>
                          <a:noFill/>
                          <a:ln w="12700" cap="rnd" cmpd="sng" algn="ctr">
                            <a:solidFill>
                              <a:sysClr val="windowText" lastClr="000000"/>
                            </a:solidFill>
                            <a:prstDash val="solid"/>
                          </a:ln>
                          <a:effectLst/>
                        </wps:spPr>
                        <wps:txbx>
                          <w:txbxContent>
                            <w:p w14:paraId="6EA1F25F" w14:textId="77777777" w:rsidR="00B56753" w:rsidRPr="00BC2E5D" w:rsidRDefault="00B56753" w:rsidP="00BC2E5D">
                              <w:pPr>
                                <w:pStyle w:val="NormalWeb"/>
                                <w:spacing w:before="0" w:beforeAutospacing="0" w:after="0" w:afterAutospacing="0"/>
                                <w:ind w:firstLine="706"/>
                                <w:rPr>
                                  <w:rFonts w:ascii="Garamond" w:hAnsi="Garamond"/>
                                  <w:sz w:val="22"/>
                                  <w:szCs w:val="22"/>
                                </w:rPr>
                              </w:pPr>
                              <w:r w:rsidRPr="00BC2E5D">
                                <w:rPr>
                                  <w:rFonts w:ascii="Garamond" w:hAnsi="Garamond"/>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3742154" name="Поле 15"/>
                        <wps:cNvSpPr txBox="1"/>
                        <wps:spPr>
                          <a:xfrm>
                            <a:off x="283034" y="1595921"/>
                            <a:ext cx="848995" cy="383500"/>
                          </a:xfrm>
                          <a:prstGeom prst="rect">
                            <a:avLst/>
                          </a:prstGeom>
                          <a:solidFill>
                            <a:sysClr val="window" lastClr="FFFFFF"/>
                          </a:solidFill>
                          <a:ln w="6350">
                            <a:noFill/>
                          </a:ln>
                          <a:effectLst/>
                        </wps:spPr>
                        <wps:txbx>
                          <w:txbxContent>
                            <w:p w14:paraId="792DB301" w14:textId="77777777" w:rsidR="00B56753" w:rsidRPr="00BC2E5D" w:rsidRDefault="00B56753" w:rsidP="00BC2E5D">
                              <w:pPr>
                                <w:pStyle w:val="NormalWeb"/>
                                <w:spacing w:before="0" w:beforeAutospacing="0" w:after="0" w:afterAutospacing="0"/>
                                <w:jc w:val="center"/>
                                <w:rPr>
                                  <w:rFonts w:ascii="Garamond" w:hAnsi="Garamond"/>
                                  <w:sz w:val="22"/>
                                  <w:szCs w:val="22"/>
                                </w:rPr>
                              </w:pPr>
                              <w:r w:rsidRPr="00BC2E5D">
                                <w:rPr>
                                  <w:rFonts w:ascii="Garamond" w:hAnsi="Garamond"/>
                                  <w:b/>
                                  <w:bCs/>
                                  <w:sz w:val="22"/>
                                  <w:szCs w:val="22"/>
                                  <w:lang w:val="en-US"/>
                                </w:rPr>
                                <w:t>Equity multiplier</w:t>
                              </w:r>
                            </w:p>
                          </w:txbxContent>
                        </wps:txbx>
                        <wps:bodyPr rot="0" spcFirstLastPara="0" vert="horz" wrap="square" lIns="18000" tIns="18000" rIns="18000" bIns="18000" numCol="1" spcCol="0" rtlCol="0" fromWordArt="0" anchor="t" anchorCtr="0" forceAA="0" compatLnSpc="1">
                          <a:prstTxWarp prst="textNoShape">
                            <a:avLst/>
                          </a:prstTxWarp>
                          <a:noAutofit/>
                        </wps:bodyPr>
                      </wps:wsp>
                      <wps:wsp>
                        <wps:cNvPr id="1073742155" name="Прямая со стрелкой 1073742155"/>
                        <wps:cNvCnPr/>
                        <wps:spPr>
                          <a:xfrm>
                            <a:off x="1781584" y="603298"/>
                            <a:ext cx="1093606" cy="326659"/>
                          </a:xfrm>
                          <a:prstGeom prst="straightConnector1">
                            <a:avLst/>
                          </a:prstGeom>
                          <a:noFill/>
                          <a:ln w="9525" cap="flat" cmpd="sng" algn="ctr">
                            <a:solidFill>
                              <a:sysClr val="windowText" lastClr="000000">
                                <a:shade val="95000"/>
                                <a:satMod val="105000"/>
                              </a:sysClr>
                            </a:solidFill>
                            <a:prstDash val="solid"/>
                            <a:tailEnd type="stealth" w="med" len="lg"/>
                          </a:ln>
                          <a:effectLst/>
                        </wps:spPr>
                        <wps:bodyPr/>
                      </wps:wsp>
                      <wps:wsp>
                        <wps:cNvPr id="1073742156" name="Поле 1073742156"/>
                        <wps:cNvSpPr txBox="1"/>
                        <wps:spPr>
                          <a:xfrm>
                            <a:off x="1686804" y="1299476"/>
                            <a:ext cx="94615" cy="163830"/>
                          </a:xfrm>
                          <a:prstGeom prst="rect">
                            <a:avLst/>
                          </a:prstGeom>
                          <a:solidFill>
                            <a:sysClr val="window" lastClr="FFFFFF"/>
                          </a:solidFill>
                          <a:ln w="6350">
                            <a:noFill/>
                          </a:ln>
                          <a:effectLst/>
                        </wps:spPr>
                        <wps:txbx>
                          <w:txbxContent>
                            <w:p w14:paraId="4FC15A6D" w14:textId="77777777" w:rsidR="00B56753" w:rsidRPr="00BC2E5D" w:rsidRDefault="00B56753" w:rsidP="00BC2E5D">
                              <w:pPr>
                                <w:ind w:left="-709"/>
                                <w:rPr>
                                  <w:sz w:val="22"/>
                                  <w:szCs w:val="22"/>
                                  <w:lang w:val="en-US"/>
                                </w:rPr>
                              </w:pPr>
                              <w:r w:rsidRPr="00BC2E5D">
                                <w:rPr>
                                  <w:sz w:val="22"/>
                                  <w:szCs w:val="22"/>
                                  <w:lang w:val="en-US"/>
                                </w:rPr>
                                <w:t>X</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1073742157" name="Поле 24"/>
                        <wps:cNvSpPr txBox="1"/>
                        <wps:spPr>
                          <a:xfrm>
                            <a:off x="1198040" y="2706104"/>
                            <a:ext cx="93980" cy="163830"/>
                          </a:xfrm>
                          <a:prstGeom prst="rect">
                            <a:avLst/>
                          </a:prstGeom>
                          <a:solidFill>
                            <a:sysClr val="window" lastClr="FFFFFF"/>
                          </a:solidFill>
                          <a:ln w="6350">
                            <a:noFill/>
                          </a:ln>
                          <a:effectLst/>
                        </wps:spPr>
                        <wps:txbx>
                          <w:txbxContent>
                            <w:p w14:paraId="50D05661" w14:textId="77777777" w:rsidR="00B56753" w:rsidRPr="00BC2E5D" w:rsidRDefault="00B56753" w:rsidP="00BC2E5D">
                              <w:pPr>
                                <w:pStyle w:val="NormalWeb"/>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wps:txbx>
                        <wps:bodyPr rot="0" spcFirstLastPara="0" vert="horz" wrap="square" lIns="0" tIns="0" rIns="0" bIns="0" numCol="1" spcCol="0" rtlCol="0" fromWordArt="0" anchor="t" anchorCtr="0" forceAA="0" compatLnSpc="1">
                          <a:prstTxWarp prst="textNoShape">
                            <a:avLst/>
                          </a:prstTxWarp>
                          <a:spAutoFit/>
                        </wps:bodyPr>
                      </wps:wsp>
                      <wps:wsp>
                        <wps:cNvPr id="1073742158" name="Поле 24"/>
                        <wps:cNvSpPr txBox="1"/>
                        <wps:spPr>
                          <a:xfrm>
                            <a:off x="2875100" y="2693490"/>
                            <a:ext cx="93980" cy="163830"/>
                          </a:xfrm>
                          <a:prstGeom prst="rect">
                            <a:avLst/>
                          </a:prstGeom>
                          <a:solidFill>
                            <a:sysClr val="window" lastClr="FFFFFF"/>
                          </a:solidFill>
                          <a:ln w="6350">
                            <a:noFill/>
                          </a:ln>
                          <a:effectLst/>
                        </wps:spPr>
                        <wps:txbx>
                          <w:txbxContent>
                            <w:p w14:paraId="7533067D" w14:textId="77777777" w:rsidR="00B56753" w:rsidRPr="00BC2E5D" w:rsidRDefault="00B56753" w:rsidP="00BC2E5D">
                              <w:pPr>
                                <w:pStyle w:val="NormalWeb"/>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wps:txbx>
                        <wps:bodyPr rot="0" spcFirstLastPara="0" vert="horz" wrap="square" lIns="0" tIns="0" rIns="0" bIns="0" numCol="1" spcCol="0" rtlCol="0" fromWordArt="0" anchor="t" anchorCtr="0" forceAA="0" compatLnSpc="1">
                          <a:prstTxWarp prst="textNoShape">
                            <a:avLst/>
                          </a:prstTxWarp>
                          <a:spAutoFit/>
                        </wps:bodyPr>
                      </wps:wsp>
                      <wps:wsp>
                        <wps:cNvPr id="1073742159" name="Поле 24"/>
                        <wps:cNvSpPr txBox="1"/>
                        <wps:spPr>
                          <a:xfrm>
                            <a:off x="1085930" y="3844998"/>
                            <a:ext cx="93980" cy="163830"/>
                          </a:xfrm>
                          <a:prstGeom prst="rect">
                            <a:avLst/>
                          </a:prstGeom>
                          <a:solidFill>
                            <a:sysClr val="window" lastClr="FFFFFF"/>
                          </a:solidFill>
                          <a:ln w="6350">
                            <a:noFill/>
                          </a:ln>
                          <a:effectLst/>
                        </wps:spPr>
                        <wps:txbx>
                          <w:txbxContent>
                            <w:p w14:paraId="57358ED5" w14:textId="77777777" w:rsidR="00B56753" w:rsidRPr="00BC2E5D" w:rsidRDefault="00B56753" w:rsidP="00BC2E5D">
                              <w:pPr>
                                <w:pStyle w:val="NormalWeb"/>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wps:txbx>
                        <wps:bodyPr rot="0" spcFirstLastPara="0" vert="horz" wrap="square" lIns="0" tIns="0" rIns="0" bIns="0" numCol="1" spcCol="0" rtlCol="0" fromWordArt="0" anchor="t" anchorCtr="0" forceAA="0" compatLnSpc="1">
                          <a:prstTxWarp prst="textNoShape">
                            <a:avLst/>
                          </a:prstTxWarp>
                          <a:spAutoFit/>
                        </wps:bodyPr>
                      </wps:wsp>
                      <wps:wsp>
                        <wps:cNvPr id="1073742160" name="Поле 24"/>
                        <wps:cNvSpPr txBox="1"/>
                        <wps:spPr>
                          <a:xfrm>
                            <a:off x="2027553" y="3863658"/>
                            <a:ext cx="93345" cy="163830"/>
                          </a:xfrm>
                          <a:prstGeom prst="rect">
                            <a:avLst/>
                          </a:prstGeom>
                          <a:solidFill>
                            <a:sysClr val="window" lastClr="FFFFFF"/>
                          </a:solidFill>
                          <a:ln w="6350">
                            <a:noFill/>
                          </a:ln>
                          <a:effectLst/>
                        </wps:spPr>
                        <wps:txbx>
                          <w:txbxContent>
                            <w:p w14:paraId="181F7AFD" w14:textId="77777777" w:rsidR="00B56753" w:rsidRPr="00BC2E5D" w:rsidRDefault="00B56753" w:rsidP="00BC2E5D">
                              <w:pPr>
                                <w:pStyle w:val="NormalWeb"/>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wps:txbx>
                        <wps:bodyPr rot="0" spcFirstLastPara="0" vert="horz" wrap="square" lIns="0" tIns="0" rIns="0" bIns="0" numCol="1" spcCol="0" rtlCol="0" fromWordArt="0" anchor="t" anchorCtr="0" forceAA="0" compatLnSpc="1">
                          <a:prstTxWarp prst="textNoShape">
                            <a:avLst/>
                          </a:prstTxWarp>
                          <a:spAutoFit/>
                        </wps:bodyPr>
                      </wps:wsp>
                      <wps:wsp>
                        <wps:cNvPr id="1073742161" name="Поле 24"/>
                        <wps:cNvSpPr txBox="1"/>
                        <wps:spPr>
                          <a:xfrm>
                            <a:off x="3082415" y="3844633"/>
                            <a:ext cx="93345" cy="163830"/>
                          </a:xfrm>
                          <a:prstGeom prst="rect">
                            <a:avLst/>
                          </a:prstGeom>
                          <a:solidFill>
                            <a:sysClr val="window" lastClr="FFFFFF"/>
                          </a:solidFill>
                          <a:ln w="6350">
                            <a:noFill/>
                          </a:ln>
                          <a:effectLst/>
                        </wps:spPr>
                        <wps:txbx>
                          <w:txbxContent>
                            <w:p w14:paraId="34059598" w14:textId="77777777" w:rsidR="00B56753" w:rsidRPr="00BC2E5D" w:rsidRDefault="00B56753" w:rsidP="00BC2E5D">
                              <w:pPr>
                                <w:pStyle w:val="NormalWeb"/>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wps:txbx>
                        <wps:bodyPr rot="0" spcFirstLastPara="0" vert="horz" wrap="square" lIns="0" tIns="0" rIns="0" bIns="0" numCol="1" spcCol="0" rtlCol="0" fromWordArt="0" anchor="t" anchorCtr="0" forceAA="0" compatLnSpc="1">
                          <a:prstTxWarp prst="textNoShape">
                            <a:avLst/>
                          </a:prstTxWarp>
                          <a:spAutoFit/>
                        </wps:bodyPr>
                      </wps:wsp>
                      <wps:wsp>
                        <wps:cNvPr id="1073742162" name="Поле 24"/>
                        <wps:cNvSpPr txBox="1"/>
                        <wps:spPr>
                          <a:xfrm>
                            <a:off x="4241941" y="3844268"/>
                            <a:ext cx="93345" cy="163830"/>
                          </a:xfrm>
                          <a:prstGeom prst="rect">
                            <a:avLst/>
                          </a:prstGeom>
                          <a:solidFill>
                            <a:sysClr val="window" lastClr="FFFFFF"/>
                          </a:solidFill>
                          <a:ln w="6350">
                            <a:noFill/>
                          </a:ln>
                          <a:effectLst/>
                        </wps:spPr>
                        <wps:txbx>
                          <w:txbxContent>
                            <w:p w14:paraId="62217871" w14:textId="77777777" w:rsidR="00B56753" w:rsidRPr="00BC2E5D" w:rsidRDefault="00B56753" w:rsidP="00BC2E5D">
                              <w:pPr>
                                <w:pStyle w:val="NormalWeb"/>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wps:txbx>
                        <wps:bodyPr rot="0" spcFirstLastPara="0" vert="horz" wrap="square" lIns="0" tIns="0" rIns="0" bIns="0" numCol="1" spcCol="0" rtlCol="0" fromWordArt="0" anchor="t" anchorCtr="0" forceAA="0" compatLnSpc="1">
                          <a:prstTxWarp prst="textNoShape">
                            <a:avLst/>
                          </a:prstTxWarp>
                          <a:spAutoFit/>
                        </wps:bodyPr>
                      </wps:wsp>
                    </wpc:wpc>
                  </a:graphicData>
                </a:graphic>
              </wp:inline>
            </w:drawing>
          </mc:Choice>
          <mc:Fallback>
            <w:pict>
              <v:group id="Полотно 1073742163" o:spid="_x0000_s1251" editas="canvas" style="width:449.8pt;height:351.85pt;mso-position-horizontal-relative:char;mso-position-vertical-relative:line" coordsize="57124,44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">
                <v:shape id="_x0000_s1252" type="#_x0000_t75" style="position:absolute;width:57124;height:44678;visibility:visible;mso-wrap-style:square">
                  <v:fill o:detectmouseclick="t"/>
                  <v:path o:connecttype="none"/>
                </v:shape>
                <v:shape id="_x0000_s1253" type="#_x0000_t202" style="position:absolute;left:31759;top:39990;width:11595;height:40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DCr8kA&#10;AADjAAAADwAAAGRycy9kb3ducmV2LnhtbERPX0vDMBB/F/Ydwg18c2mnbKNbNkQUN7BMO8HXo7m1&#10;1eZSkrjWffpFEHy83/9bbQbTihM531hWkE4SEMSl1Q1XCt4PTzcLED4ga2wtk4If8rBZj65WmGnb&#10;8xudilCJGMI+QwV1CF0mpS9rMugntiOO3NE6gyGerpLaYR/DTSunSTKTBhuODTV29FBT+VV8GwUf&#10;ffHs9rvd52u3zc/7c5G/0GOu1PV4uF+CCDSEf/Gfe6vj/GR+O7+bpukMfn+KAMj1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hDCr8kAAADjAAAADwAAAAAAAAAAAAAAAACYAgAA&#10;ZHJzL2Rvd25yZXYueG1sUEsFBgAAAAAEAAQA9QAAAI4DAAAAAA==&#10;" fillcolor="window" stroked="f" strokeweight=".5pt">
                  <v:textbox>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Effect of non-operating items</w:t>
                        </w:r>
                      </w:p>
                    </w:txbxContent>
                  </v:textbox>
                </v:shape>
                <v:oval id="Овал 1073742117" o:spid="_x0000_s1254" style="position:absolute;left:11040;top:1036;width:13750;height:49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lU1cYA&#10;AADjAAAADwAAAGRycy9kb3ducmV2LnhtbERPS2vCQBC+F/wPywi91U1sayS6igiCFC+NgtchO+Zh&#10;djZk1yT++26h0ON871lvR9OInjpXWVYQzyIQxLnVFRcKLufD2xKE88gaG8uk4EkOtpvJyxpTbQf+&#10;pj7zhQgh7FJUUHrfplK6vCSDbmZb4sDdbGfQh7MrpO5wCOGmkfMoWkiDFYeGElval5Tfs4dR4E49&#10;2qwed0n9ufzay6trh/qk1Ot03K1AeBr9v/jPfdRhfpS8Jx/zOE7g96cAgN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lU1cYAAADjAAAADwAAAAAAAAAAAAAAAACYAgAAZHJz&#10;L2Rvd25yZXYueG1sUEsFBgAAAAAEAAQA9QAAAIsDAAAAAA==&#10;" fillcolor="#d9d9d9" stroked="f" strokeweight="2pt">
                  <v:textbox inset=".5mm,.5mm,.5mm,.5mm">
                    <w:txbxContent>
                      <w:p w:rsidR="00B56753" w:rsidRPr="00BC2E5D" w:rsidRDefault="00B56753" w:rsidP="00BC2E5D">
                        <w:pPr>
                          <w:jc w:val="center"/>
                          <w:rPr>
                            <w:b/>
                            <w:color w:val="000000" w:themeColor="text1"/>
                            <w:sz w:val="22"/>
                            <w:szCs w:val="22"/>
                            <w:lang w:val="en-US"/>
                          </w:rPr>
                        </w:pPr>
                        <w:r w:rsidRPr="00BC2E5D">
                          <w:rPr>
                            <w:b/>
                            <w:color w:val="000000" w:themeColor="text1"/>
                            <w:sz w:val="22"/>
                            <w:szCs w:val="22"/>
                            <w:lang w:val="en-US"/>
                          </w:rPr>
                          <w:t>Return on equity (ROE)</w:t>
                        </w:r>
                      </w:p>
                    </w:txbxContent>
                  </v:textbox>
                </v:oval>
                <v:shape id="Прямая со стрелкой 1073742118" o:spid="_x0000_s1255" type="#_x0000_t32" style="position:absolute;left:6786;top:6032;width:11027;height:32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TpPeGygAAAOMAAAAPAAAA&#10;AAAAAAAAAAAAAKECAABkcnMvZG93bnJldi54bWxQSwUGAAAAAAQABAD5AAAAmAMAAAAA&#10;">
                  <v:stroke endarrow="classic" endarrowlength="long"/>
                </v:shape>
                <v:shape id="_x0000_s1256" type="#_x0000_t202" style="position:absolute;left:24790;top:9740;width:9423;height:4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MsQscA&#10;AADjAAAADwAAAGRycy9kb3ducmV2LnhtbERPzWrCQBC+F3yHZQRvdROVRqOriFC1PRTUPMCQHZNg&#10;djZktxp9elco9Djf/yxWnanFlVpXWVYQDyMQxLnVFRcKstPn+xSE88gaa8uk4E4OVsve2wJTbW98&#10;oOvRFyKEsEtRQel9k0rp8pIMuqFtiAN3tq1BH862kLrFWwg3tRxF0Yc0WHFoKLGhTUn55fhrFPzM&#10;Hg+XXNzajr++q+1kl8nsnik16HfrOQhPnf8X/7n3OsyPknEyGcXxDF4/BQDk8g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CjLELHAAAA4wAAAA8AAAAAAAAAAAAAAAAAmAIAAGRy&#10;cy9kb3ducmV2LnhtbFBLBQYAAAAABAAEAPUAAACMAwAAAAA=&#10;" fillcolor="window" stroked="f" strokeweight=".5pt">
                  <v:textbox style="mso-fit-shape-to-text:t">
                    <w:txbxContent>
                      <w:p w:rsidR="00B56753" w:rsidRPr="00BC2E5D" w:rsidRDefault="00B56753" w:rsidP="00BC2E5D">
                        <w:pPr>
                          <w:pStyle w:val="afc"/>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Cs/>
                                    <w:sz w:val="22"/>
                                    <w:szCs w:val="22"/>
                                  </w:rPr>
                                </m:ctrlPr>
                              </m:fPr>
                              <m:num>
                                <m:r>
                                  <m:rPr>
                                    <m:sty m:val="p"/>
                                  </m:rPr>
                                  <w:rPr>
                                    <w:rFonts w:ascii="Cambria Math" w:eastAsia="Calibri" w:hAnsi="Cambria Math"/>
                                    <w:sz w:val="22"/>
                                    <w:szCs w:val="22"/>
                                  </w:rPr>
                                  <m:t>Net income</m:t>
                                </m:r>
                              </m:num>
                              <m:den>
                                <m:r>
                                  <m:rPr>
                                    <m:sty m:val="p"/>
                                  </m:rPr>
                                  <w:rPr>
                                    <w:rFonts w:ascii="Cambria Math" w:eastAsia="Calibri" w:hAnsi="Cambria Math"/>
                                    <w:sz w:val="22"/>
                                    <w:szCs w:val="22"/>
                                  </w:rPr>
                                  <m:t>Total assets</m:t>
                                </m:r>
                              </m:den>
                            </m:f>
                          </m:oMath>
                        </m:oMathPara>
                      </w:p>
                    </w:txbxContent>
                  </v:textbox>
                </v:shape>
                <v:shape id="Полилиния 1073742120" o:spid="_x0000_s1257" style="position:absolute;left:23077;top:13570;width:12814;height:1130;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" adj="-11796480,,5400" path="m,c204247,136689,417921,216895,631595,216895,845269,216895,1173637,36149,1282045,r,e" filled="f" strokecolor="windowText" strokeweight="1pt">
                  <v:stroke joinstyle="miter" endcap="round"/>
                  <v:formulas/>
                  <v:path arrowok="t" o:connecttype="custom" o:connectlocs="0,0;631292,113030;1281430,0;1281430,0" o:connectangles="0,0,0,0" textboxrect="0,0,1282045,216895"/>
                  <v:textbox>
                    <w:txbxContent>
                      <w:p w:rsidR="00B56753" w:rsidRPr="00BC2E5D" w:rsidRDefault="00B56753" w:rsidP="00BC2E5D">
                        <w:pPr>
                          <w:rPr>
                            <w:sz w:val="22"/>
                            <w:szCs w:val="22"/>
                          </w:rPr>
                        </w:pPr>
                      </w:p>
                    </w:txbxContent>
                  </v:textbox>
                </v:shape>
                <v:shape id="_x0000_s1258" type="#_x0000_t202" style="position:absolute;left:24788;top:15444;width:10935;height:4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nq+cgA&#10;AADjAAAADwAAAGRycy9kb3ducmV2LnhtbERPzWrCQBC+F3yHZQRvdZMojU1dRYRa60FQ8wBDdkyC&#10;2dmQ3Wr06btCocf5/me+7E0jrtS52rKCeByBIC6srrlUkJ8+X2cgnEfW2FgmBXdysFwMXuaYaXvj&#10;A12PvhQhhF2GCirv20xKV1Rk0I1tSxy4s+0M+nB2pdQd3kK4aWQSRW/SYM2hocKW1hUVl+OPUbB/&#10;fzxcenErO/ne1ZvpVy7ze67UaNivPkB46v2/+M+91WF+lE7SaRInMTx/CgDIx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uer5yAAAAOMAAAAPAAAAAAAAAAAAAAAAAJgCAABk&#10;cnMvZG93bnJldi54bWxQSwUGAAAAAAQABAD1AAAAjQMAAAAA&#10;" fillcolor="window" stroked="f" strokeweight=".5pt">
                  <v:textbox style="mso-fit-shape-to-text:t">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Return on assets (ROA)</w:t>
                        </w:r>
                      </w:p>
                    </w:txbxContent>
                  </v:textbox>
                </v:shape>
                <v:line id="Прямая соединительная линия 1073742122" o:spid="_x0000_s1259" style="position:absolute;flip:y;visibility:visible;mso-wrap-style:square" from="314,22004" to="54895,22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3dysgAAADjAAAADwAAAGRycy9kb3ducmV2LnhtbERPX0vDMBB/F/wO4QRfxKWNbpVu2XDD&#10;ga92Q/DtaG5NsbmUJlurn94Igo/3+3+rzeQ6caEhtJ415LMMBHHtTcuNhuNhf/8EIkRkg51n0vBF&#10;ATbr66sVlsaP/EaXKjYihXAoUYONsS+lDLUlh2Hme+LEnfzgMKZzaKQZcEzhrpMqyxbSYcupwWJP&#10;O0v1Z3V2GrZ3Vr2M52q7my9M8e6/84857rW+vZmelyAiTfFf/Od+NWl+VjwUjypXCn5/SgDI9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q3dysgAAADjAAAADwAAAAAA&#10;AAAAAAAAAAChAgAAZHJzL2Rvd25yZXYueG1sUEsFBgAAAAAEAAQA+QAAAJYDAAAAAA==&#10;" strokecolor="windowText">
                  <v:stroke dashstyle="dash"/>
                </v:line>
                <v:shape id="Прямая со стрелкой 1073742123" o:spid="_x0000_s1260" type="#_x0000_t32" style="position:absolute;left:17815;top:19796;width:11595;height:381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2yvSsUAAADjAAAADwAAAGRycy9kb3ducmV2LnhtbERPzYrCMBC+L/gOYQRva2JdtlKNoqKy&#10;J8GfBxiasa02k9JErW9vFhb2ON//zBadrcWDWl851jAaKhDEuTMVFxrOp+3nBIQPyAZrx6ThRR4W&#10;897HDDPjnnygxzEUIoawz1BDGUKTSenzkiz6oWuII3dxrcUQz7aQpsVnDLe1TJT6lhYrjg0lNrQu&#10;Kb8d71aDnexrLlyyvLq9sht1OqTb3UrrQb9bTkEE6sK/+M/9Y+J8lY7Tr2SUjOH3pwiAnL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2yvSsUAAADjAAAADwAAAAAAAAAA&#10;AAAAAAChAgAAZHJzL2Rvd25yZXYueG1sUEsFBgAAAAAEAAQA+QAAAJMDAAAAAA==&#10;">
                  <v:stroke endarrow="classic" endarrowlength="long"/>
                </v:shape>
                <v:shape id="_x0000_s1261" type="#_x0000_t202" style="position:absolute;left:35727;top:24348;width:8114;height:3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JgMYA&#10;AADjAAAADwAAAGRycy9kb3ducmV2LnhtbERPzYrCMBC+C75DmAVvmlrLunSNIoK40JPVg8ehGduy&#10;zaQ20da33wjCHuf7n9VmMI14UOdqywrmswgEcWF1zaWC82k//QLhPLLGxjIpeJKDzXo8WmGqbc9H&#10;euS+FCGEXYoKKu/bVEpXVGTQzWxLHLir7Qz6cHal1B32Idw0Mo6iT2mw5tBQYUu7iorf/G4UuOJ6&#10;1nl22x/vTZkdnn2S0e2i1ORj2H6D8DT4f/Hb/aPD/Gi5WCbxPE7g9VMA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iJgMYAAADjAAAADwAAAAAAAAAAAAAAAACYAgAAZHJz&#10;L2Rvd25yZXYueG1sUEsFBgAAAAAEAAQA9QAAAIsDAAAAAA==&#10;" fillcolor="window" stroked="f" strokeweight=".5pt">
                  <v:textbox inset=".5mm,.5mm,.5mm,.5mm">
                    <w:txbxContent>
                      <w:p w:rsidR="00B56753" w:rsidRPr="00BC2E5D" w:rsidRDefault="00B56753" w:rsidP="00BC2E5D">
                        <w:pPr>
                          <w:pStyle w:val="afc"/>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Net income</m:t>
                                </m:r>
                              </m:num>
                              <m:den>
                                <m:r>
                                  <m:rPr>
                                    <m:sty m:val="p"/>
                                  </m:rPr>
                                  <w:rPr>
                                    <w:rFonts w:ascii="Cambria Math" w:eastAsia="Calibri" w:hAnsi="Cambria Math"/>
                                    <w:sz w:val="22"/>
                                    <w:szCs w:val="22"/>
                                  </w:rPr>
                                  <m:t>Net sales</m:t>
                                </m:r>
                              </m:den>
                            </m:f>
                          </m:oMath>
                        </m:oMathPara>
                      </w:p>
                    </w:txbxContent>
                  </v:textbox>
                </v:shape>
                <v:shape id="Полилиния 1073742125" o:spid="_x0000_s1262" style="position:absolute;left:34542;top:27546;width:10064;height:1130;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vvYcoA&#10;AADjAAAADwAAAGRycy9kb3ducmV2LnhtbERPX0vDMBB/F/Ydwgm+uaRVt1mXjSEK+qK4DZxvR3M2&#10;Zc2la+Ja/fRGGPh4v/83Xw6uEUfqQu1ZQzZWIIhLb2quNGw3j5czECEiG2w8k4ZvCrBcjM7mWBjf&#10;8xsd17ESKYRDgRpsjG0hZSgtOQxj3xIn7tN3DmM6u0qaDvsU7hqZKzWRDmtODRZburdU7tdfTsPt&#10;4fXl3Qx72+/Mzy6fZQ8fh2el9cX5sLoDEWmI/+KT+8mk+Wp6Nb3Os/wG/n5KAMjF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IsL72HKAAAA4wAAAA8AAAAAAAAAAAAAAAAAmAIA&#10;AGRycy9kb3ducmV2LnhtbFBLBQYAAAAABAAEAPUAAACPAwAAAAA=&#10;" adj="-11796480,,5400" path="m,c204247,136689,417921,216895,631595,216895,845269,216895,1173637,36149,1282045,r,e" filled="f" strokecolor="windowText" strokeweight="1pt">
                  <v:stroke joinstyle="miter" endcap="round"/>
                  <v:formulas/>
                  <v:path arrowok="t" o:connecttype="custom" o:connectlocs="0,0;495787,113030;1006374,0;1006374,0" o:connectangles="0,0,0,0" textboxrect="0,0,1282045,216895"/>
                  <v:textbox>
                    <w:txbxContent>
                      <w:p w:rsidR="00B56753" w:rsidRPr="00BC2E5D" w:rsidRDefault="00B56753" w:rsidP="00BC2E5D">
                        <w:pPr>
                          <w:pStyle w:val="afc"/>
                          <w:spacing w:before="0" w:beforeAutospacing="0" w:after="0" w:afterAutospacing="0"/>
                          <w:ind w:firstLine="706"/>
                          <w:rPr>
                            <w:rFonts w:ascii="Garamond" w:hAnsi="Garamond"/>
                            <w:sz w:val="22"/>
                            <w:szCs w:val="22"/>
                          </w:rPr>
                        </w:pPr>
                        <w:r w:rsidRPr="00BC2E5D">
                          <w:rPr>
                            <w:rFonts w:ascii="Garamond" w:hAnsi="Garamond"/>
                            <w:sz w:val="22"/>
                            <w:szCs w:val="22"/>
                          </w:rPr>
                          <w:t> </w:t>
                        </w:r>
                      </w:p>
                    </w:txbxContent>
                  </v:textbox>
                </v:shape>
                <v:shape id="_x0000_s1263" type="#_x0000_t202" style="position:absolute;left:34416;top:29223;width:10106;height:21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aybMUA&#10;AADjAAAADwAAAGRycy9kb3ducmV2LnhtbERPzYrCMBC+L+w7hFnwtqZWUekaRQRR6MnqwePQjG3Z&#10;ZlKbaOvbG0HwON//LFa9qcWdWldZVjAaRiCIc6srLhScjtvfOQjnkTXWlknBgxyslt9fC0y07fhA&#10;98wXIoSwS1BB6X2TSOnykgy6oW2IA3exrUEfzraQusUuhJtaxlE0lQYrDg0lNrQpKf/PbkaByy8n&#10;naXX7eFWF+nu0U1Sup6VGvz06z8Qnnr/Eb/dex3mR7PxbBKP4im8fgoAyO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prJsxQAAAOMAAAAPAAAAAAAAAAAAAAAAAJgCAABkcnMv&#10;ZG93bnJldi54bWxQSwUGAAAAAAQABAD1AAAAigMAAAAA&#10;" fillcolor="window" stroked="f" strokeweight=".5pt">
                  <v:textbox inset=".5mm,.5mm,.5mm,.5mm">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Net profit margin</w:t>
                        </w:r>
                      </w:p>
                    </w:txbxContent>
                  </v:textbox>
                </v:shape>
                <v:line id="Прямая соединительная линия 1073742127" o:spid="_x0000_s1264" style="position:absolute;visibility:visible;mso-wrap-style:square" from="0,32899" to="57121,32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n3ERvJAAAA4wAAAA8AAAAA&#10;AAAAAAAAAAAAoQIAAGRycy9kb3ducmV2LnhtbFBLBQYAAAAABAAEAPkAAACXAwAAAAA=&#10;" strokecolor="windowText">
                  <v:stroke dashstyle="dash"/>
                </v:line>
                <v:shape id="_x0000_s1265" type="#_x0000_t202" style="position:absolute;top:33834;width:11406;height:61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85+8wA&#10;AADjAAAADwAAAGRycy9kb3ducmV2LnhtbESPQUvDQBCF74L/YRnBm900ipXYbRFRbMFQjYLXITsm&#10;0exs2F2b2F/fOQgeZ96b975ZrifXqz2F2Hk2MJ9loIhrbztuDLy/PV7cgIoJ2WLvmQz8UoT16vRk&#10;iYX1I7/SvkqNkhCOBRpoUxoKrWPdksM48wOxaJ8+OEwyhkbbgKOEu17nWXatHXYsDS0OdN9S/V39&#10;OAMfY/UUdtvt18uwKQ+7Q1U+00NpzPnZdHcLKtGU/s1/1xsr+NnicnGVz3OBlp9kAXp1B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lq85+8wAAADjAAAADwAAAAAAAAAAAAAAAACY&#10;AgAAZHJzL2Rvd25yZXYueG1sUEsFBgAAAAAEAAQA9QAAAJEDAAAAAA==&#10;" fillcolor="window" stroked="f" strokeweight=".5pt">
                  <v:textbox>
                    <w:txbxContent>
                      <w:p w:rsidR="00B56753" w:rsidRPr="00BC2E5D" w:rsidRDefault="00B56753" w:rsidP="00BC2E5D">
                        <w:pPr>
                          <w:pStyle w:val="afc"/>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num>
                              <m:den>
                                <m:eqArr>
                                  <m:eqArrPr>
                                    <m:ctrlPr>
                                      <w:rPr>
                                        <w:rFonts w:ascii="Cambria Math" w:eastAsia="Calibri" w:hAnsi="Cambria Math"/>
                                        <w:i/>
                                        <w:iCs/>
                                        <w:sz w:val="22"/>
                                        <w:szCs w:val="22"/>
                                      </w:rPr>
                                    </m:ctrlPr>
                                  </m:eqArrPr>
                                  <m:e>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Stockholders</m:t>
                                    </m:r>
                                  </m:e>
                                  <m:e>
                                    <m:r>
                                      <m:rPr>
                                        <m:sty m:val="p"/>
                                      </m:rPr>
                                      <w:rPr>
                                        <w:rFonts w:ascii="Cambria Math" w:eastAsia="Calibri" w:hAnsi="Cambria Math"/>
                                        <w:sz w:val="22"/>
                                        <w:szCs w:val="22"/>
                                      </w:rPr>
                                      <m:t>equity</m:t>
                                    </m:r>
                                  </m:e>
                                </m:eqArr>
                              </m:den>
                            </m:f>
                          </m:oMath>
                        </m:oMathPara>
                      </w:p>
                    </w:txbxContent>
                  </v:textbox>
                </v:shape>
                <v:shape id="Полилиния 1073742129" o:spid="_x0000_s1266" style="position:absolute;left:967;top:39024;width:9411;height:962;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blZMkA&#10;AADjAAAADwAAAGRycy9kb3ducmV2LnhtbERPX0vDMBB/F/wO4QTfXNIqbuuWDREFfVE2hW1vR3Nr&#10;yppL18S1+umNIOzxfv9vvhxcI07UhdqzhmykQBCX3tRcafj8eL6ZgAgR2WDjmTR8U4Dl4vJijoXx&#10;Pa/otI6VSCEcCtRgY2wLKUNpyWEY+ZY4cXvfOYzp7CppOuxTuGtkrtS9dFhzarDY0qOl8rD+chqm&#10;x/e3jRkOtt+an20+yZ52x1el9fXV8DADEWmIZ/G/+8Wk+Wp8O77Ls3wKfz8lAOTi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kblZMkAAADjAAAADwAAAAAAAAAAAAAAAACYAgAA&#10;ZHJzL2Rvd25yZXYueG1sUEsFBgAAAAAEAAQA9QAAAI4DAAAAAA==&#10;" adj="-11796480,,5400" path="m,c204247,136689,417921,216895,631595,216895,845269,216895,1173637,36149,1282045,r,e" filled="f" strokecolor="windowText" strokeweight="1pt">
                  <v:stroke joinstyle="miter" endcap="round"/>
                  <v:formulas/>
                  <v:path arrowok="t" o:connecttype="custom" o:connectlocs="0,0;463654,96138;941150,0;941150,0" o:connectangles="0,0,0,0" textboxrect="0,0,1282045,216895"/>
                  <v:textbox>
                    <w:txbxContent>
                      <w:p w:rsidR="00B56753" w:rsidRPr="00BC2E5D" w:rsidRDefault="00B56753" w:rsidP="00BC2E5D">
                        <w:pPr>
                          <w:pStyle w:val="afc"/>
                          <w:spacing w:before="0" w:beforeAutospacing="0" w:after="0" w:afterAutospacing="0"/>
                          <w:ind w:firstLine="706"/>
                          <w:rPr>
                            <w:rFonts w:ascii="Garamond" w:hAnsi="Garamond"/>
                            <w:sz w:val="22"/>
                            <w:szCs w:val="22"/>
                          </w:rPr>
                        </w:pPr>
                        <w:r w:rsidRPr="00BC2E5D">
                          <w:rPr>
                            <w:rFonts w:ascii="Garamond" w:hAnsi="Garamond"/>
                            <w:sz w:val="22"/>
                            <w:szCs w:val="22"/>
                          </w:rPr>
                          <w:t> </w:t>
                        </w:r>
                      </w:p>
                    </w:txbxContent>
                  </v:textbox>
                </v:shape>
                <v:shape id="_x0000_s1267" type="#_x0000_t202" style="position:absolute;left:1880;top:40495;width:8498;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oZXssA&#10;AADjAAAADwAAAGRycy9kb3ducmV2LnhtbESPzWrDQAyE74G+w6JCb8k6P9TFzdqUQmjBp7g59Ci8&#10;im3q1TreTey8fXUo9ChpNDPfvphdr240hs6zgfUqAUVce9txY+D0dVi+gAoR2WLvmQzcKUCRPyz2&#10;mFk/8ZFuVWyUmHDI0EAb45BpHeqWHIaVH4jldvajwyjj2Gg74iTmrtebJHnWDjuWhBYHem+p/qmu&#10;zkCozydblZfD8do35cd92pV0+Tbm6XF+ewUVaY7/4r/vTyv1k3Sb7jbrrVAIkyxA57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s2hleywAAAOMAAAAPAAAAAAAAAAAAAAAAAJgC&#10;AABkcnMvZG93bnJldi54bWxQSwUGAAAAAAQABAD1AAAAkAMAAAAA&#10;" fillcolor="window" stroked="f" strokeweight=".5pt">
                  <v:textbox inset=".5mm,.5mm,.5mm,.5mm">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Equity multiplier</w:t>
                        </w:r>
                      </w:p>
                    </w:txbxContent>
                  </v:textbox>
                </v:shape>
                <v:shape id="_x0000_s1268" type="#_x0000_t202" style="position:absolute;left:12820;top:34893;width:7051;height:3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a8xcUA&#10;AADjAAAADwAAAGRycy9kb3ducmV2LnhtbERPzYrCMBC+C/sOYRa8aVoVla5RRBCFnqwePA7N2JZt&#10;JrWJtr69WVjwON//rDa9qcWTWldZVhCPIxDEudUVFwou5/1oCcJ5ZI21ZVLwIgeb9ddghYm2HZ/o&#10;mflChBB2CSoovW8SKV1ekkE3tg1x4G62NejD2RZSt9iFcFPLSRTNpcGKQ0OJDe1Kyn+zh1Hg8ttF&#10;Z+l9f3rURXp4dbOU7lelht/99geEp95/xP/uow7zo8V0MZvE0xj+fgoAyPU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lrzFxQAAAOMAAAAPAAAAAAAAAAAAAAAAAJgCAABkcnMv&#10;ZG93bnJldi54bWxQSwUGAAAAAAQABAD1AAAAigMAAAAA&#10;" fillcolor="window" stroked="f" strokeweight=".5pt">
                  <v:textbox inset=".5mm,.5mm,.5mm,.5mm">
                    <w:txbxContent>
                      <w:p w:rsidR="00B56753" w:rsidRPr="00BC2E5D" w:rsidRDefault="00B56753" w:rsidP="00BC2E5D">
                        <w:pPr>
                          <w:pStyle w:val="afc"/>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Net sales</m:t>
                                </m:r>
                              </m:num>
                              <m:den>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den>
                            </m:f>
                          </m:oMath>
                        </m:oMathPara>
                      </w:p>
                    </w:txbxContent>
                  </v:textbox>
                </v:shape>
                <v:shape id="Полилиния 1073742132" o:spid="_x0000_s1269" style="position:absolute;left:11980;top:38963;width:7906;height:986;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vhyMkA&#10;AADjAAAADwAAAGRycy9kb3ducmV2LnhtbERPX0vDMBB/F/wO4QTfXNJO3NYtGyIK+qI4hW1vR3M2&#10;Zc2la+Ja9+nNQPDxfv9vsRpcI47UhdqzhmykQBCX3tRcafj8eLqZgggR2WDjmTT8UIDV8vJigYXx&#10;Pb/TcR0rkUI4FKjBxtgWUobSksMw8i1x4r585zCms6uk6bBP4a6RuVJ30mHNqcFiSw+Wyv3622mY&#10;Hd5eN2bY235rTtt8mj3uDi9K6+ur4X4OItIQ/8V/7meT5qvJeHKbZ+Mczj8lAOTy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TvhyMkAAADjAAAADwAAAAAAAAAAAAAAAACYAgAA&#10;ZHJzL2Rvd25yZXYueG1sUEsFBgAAAAAEAAQA9QAAAI4DAAAAAA==&#10;" adj="-11796480,,5400" path="m,c204247,136689,417921,216895,631595,216895,845269,216895,1173637,36149,1282045,r,e" filled="f" strokecolor="windowText" strokeweight="1pt">
                  <v:stroke joinstyle="miter" endcap="round"/>
                  <v:formulas/>
                  <v:path arrowok="t" o:connecttype="custom" o:connectlocs="0,0;389467,98643;790560,0;790560,0" o:connectangles="0,0,0,0" textboxrect="0,0,1282045,216895"/>
                  <v:textbox>
                    <w:txbxContent>
                      <w:p w:rsidR="00B56753" w:rsidRPr="00BC2E5D" w:rsidRDefault="00B56753" w:rsidP="00BC2E5D">
                        <w:pPr>
                          <w:pStyle w:val="afc"/>
                          <w:spacing w:before="0" w:beforeAutospacing="0" w:after="0" w:afterAutospacing="0"/>
                          <w:ind w:firstLine="706"/>
                          <w:rPr>
                            <w:rFonts w:ascii="Garamond" w:hAnsi="Garamond"/>
                            <w:sz w:val="22"/>
                            <w:szCs w:val="22"/>
                          </w:rPr>
                        </w:pPr>
                        <w:r w:rsidRPr="00BC2E5D">
                          <w:rPr>
                            <w:rFonts w:ascii="Garamond" w:hAnsi="Garamond"/>
                            <w:sz w:val="22"/>
                            <w:szCs w:val="22"/>
                          </w:rPr>
                          <w:t> </w:t>
                        </w:r>
                      </w:p>
                    </w:txbxContent>
                  </v:textbox>
                </v:shape>
                <v:shape id="_x0000_s1270" type="#_x0000_t202" style="position:absolute;left:11481;top:40499;width:8390;height:32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iHKcYA&#10;AADjAAAADwAAAGRycy9kb3ducmV2LnhtbERPzYrCMBC+L/gOYYS9ralWtlKNIoLsQk9WDx6HZmyL&#10;zaQ20da33wjCHuf7n9VmMI14UOdqywqmkwgEcWF1zaWC03H/tQDhPLLGxjIpeJKDzXr0scJU254P&#10;9Mh9KUIIuxQVVN63qZSuqMigm9iWOHAX2xn04exKqTvsQ7hp5CyKvqXBmkNDhS3tKiqu+d0ocMXl&#10;pPPstj/cmzL7efbzjG5npT7Hw3YJwtPg/8Vv968O86MkTuazaRzD66cA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AiHKcYAAADjAAAADwAAAAAAAAAAAAAAAACYAgAAZHJz&#10;L2Rvd25yZXYueG1sUEsFBgAAAAAEAAQA9QAAAIsDAAAAAA==&#10;" fillcolor="window" stroked="f" strokeweight=".5pt">
                  <v:textbox inset=".5mm,.5mm,.5mm,.5mm">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Total assets turnover</w:t>
                        </w:r>
                      </w:p>
                    </w:txbxContent>
                  </v:textbox>
                </v:shape>
                <v:shape id="Прямая со стрелкой 1073742134" o:spid="_x0000_s1271" type="#_x0000_t32" style="position:absolute;left:26308;top:31873;width:12336;height:196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yh48UAAADjAAAADwAAAGRycy9kb3ducmV2LnhtbERPzYrCMBC+C75DGMGbJlbZStcoKrp4&#10;EtR9gKEZ22ozKU3U7ttvFoQ9zvc/i1Vna/Gk1leONUzGCgRx7kzFhYbvy340B+EDssHaMWn4IQ+r&#10;Zb+3wMy4F5/oeQ6FiCHsM9RQhtBkUvq8JIt+7BriyF1dazHEsy2kafEVw20tE6U+pMWKY0OJDW1L&#10;yu/nh9Vg58eaC5esb+6o7E5dTun+a6P1cNCtP0EE6sK/+O0+mDhfpdN0lkymM/j7KQI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Vyh48UAAADjAAAADwAAAAAAAAAA&#10;AAAAAAChAgAAZHJzL2Rvd25yZXYueG1sUEsFBgAAAAAEAAQA+QAAAJMDAAAAAA==&#10;">
                  <v:stroke endarrow="classic" endarrowlength="long"/>
                </v:shape>
                <v:shape id="Прямая со стрелкой 1073742135" o:spid="_x0000_s1272" type="#_x0000_t32" style="position:absolute;left:38646;top:31873;width:0;height:21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zgicgAAADjAAAADwAAAGRycy9kb3ducmV2LnhtbERPzUrDQBC+C77DMoKXYjdNtZGYTTFF&#10;pddUweuQHZNodjZk1yTt07tCocf5/ifbzqYTIw2utaxgtYxAEFdWt1wr+Hh/vXsE4Tyyxs4yKTiS&#10;g21+fZVhqu3EJY0HX4sQwi5FBY33fSqlqxoy6Ja2Jw7clx0M+nAOtdQDTiHcdDKOoo002HJoaLCn&#10;XUPVz+HXKCi7RZG8fZ425Uvcf+/HqSh2i1Kp25v5+QmEp9lfxGf3Xof5UbJO7uPV+gH+fwoAyPwP&#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5zgicgAAADjAAAADwAAAAAA&#10;AAAAAAAAAAChAgAAZHJzL2Rvd25yZXYueG1sUEsFBgAAAAAEAAQA+QAAAJYDAAAAAA==&#10;">
                  <v:stroke endarrow="classic" endarrowlength="long"/>
                </v:shape>
                <v:shape id="Прямая со стрелкой 1073742136" o:spid="_x0000_s1273" type="#_x0000_t32" style="position:absolute;left:38644;top:31873;width:12732;height:21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5+/sgAAADjAAAADwAAAGRycy9kb3ducmV2LnhtbERPzUrDQBC+C32HZQpeit00laTEbosp&#10;Kr2mFXodsmMSzc6G7JpEn94VCj3O9z/b/WRaMVDvGssKVssIBHFpdcOVgvfz68MGhPPIGlvLpOCH&#10;HOx3s7stZtqOXNBw8pUIIewyVFB732VSurImg25pO+LAfdjeoA9nX0nd4xjCTSvjKEqkwYZDQ40d&#10;HWoqv07fRkHRLvL07fKbFC9x93kcxjw/LAql7ufT8xMIT5O/ia/uow7zo3SdPsardQL/PwUA5O4P&#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05+/sgAAADjAAAADwAAAAAA&#10;AAAAAAAAAAChAgAAZHJzL2Rvd25yZXYueG1sUEsFBgAAAAAEAAQA+QAAAJYDAAAAAA==&#10;">
                  <v:stroke endarrow="classic" endarrowlength="long"/>
                </v:shape>
                <v:shape id="_x0000_s1274" type="#_x0000_t202" style="position:absolute;left:20284;top:34896;width:9894;height:38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OBKsYA&#10;AADjAAAADwAAAGRycy9kb3ducmV2LnhtbERPS4vCMBC+C/sfwix409QHVrpGEUEUerJ68Dg0Y1u2&#10;mdQm2vrvzcKCx/nes9r0phZPal1lWcFkHIEgzq2uuFBwOe9HSxDOI2usLZOCFznYrL8GK0y07fhE&#10;z8wXIoSwS1BB6X2TSOnykgy6sW2IA3ezrUEfzraQusUuhJtaTqNoIQ1WHBpKbGhXUv6bPYwCl98u&#10;Okvv+9OjLtLDq5undL8qNfzutz8gPPX+I/53H3WYH8WzeD6dzGL4+ykAINd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zOBKsYAAADjAAAADwAAAAAAAAAAAAAAAACYAgAAZHJz&#10;L2Rvd25yZXYueG1sUEsFBgAAAAAEAAQA9QAAAIsDAAAAAA==&#10;" fillcolor="window" stroked="f" strokeweight=".5pt">
                  <v:textbox inset=".5mm,.5mm,.5mm,.5mm">
                    <w:txbxContent>
                      <w:p w:rsidR="00B56753" w:rsidRPr="00BC2E5D" w:rsidRDefault="00B56753" w:rsidP="00BC2E5D">
                        <w:pPr>
                          <w:pStyle w:val="afc"/>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Operating income</m:t>
                                </m:r>
                              </m:num>
                              <m:den>
                                <m:r>
                                  <m:rPr>
                                    <m:sty m:val="p"/>
                                  </m:rPr>
                                  <w:rPr>
                                    <w:rFonts w:ascii="Cambria Math" w:eastAsia="Calibri" w:hAnsi="Cambria Math"/>
                                    <w:sz w:val="22"/>
                                    <w:szCs w:val="22"/>
                                  </w:rPr>
                                  <m:t>Net sales</m:t>
                                </m:r>
                              </m:den>
                            </m:f>
                          </m:oMath>
                        </m:oMathPara>
                      </w:p>
                    </w:txbxContent>
                  </v:textbox>
                </v:shape>
                <v:shape id="_x0000_s1275" type="#_x0000_t202" style="position:absolute;left:30895;top:34773;width:11523;height:4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wVWMsA&#10;AADjAAAADwAAAGRycy9kb3ducmV2LnhtbESPzWrDQAyE74G+w6JCb8k6P9TFzdqUQmjBp7g59Ci8&#10;im3q1TreTey8fXUo9CjNaObTvphdr240hs6zgfUqAUVce9txY+D0dVi+gAoR2WLvmQzcKUCRPyz2&#10;mFk/8ZFuVWyUhHDI0EAb45BpHeqWHIaVH4hFO/vRYZRxbLQdcZJw1+tNkjxrhx1LQ4sDvbdU/1RX&#10;ZyDU55OtysvheO2b8uM+7Uq6fBvz9Di/vYKKNMd/89/1pxX8JN2mu816K9DykyxA57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SrBVYywAAAOMAAAAPAAAAAAAAAAAAAAAAAJgC&#10;AABkcnMvZG93bnJldi54bWxQSwUGAAAAAAQABAD1AAAAkAMAAAAA&#10;" fillcolor="window" stroked="f" strokeweight=".5pt">
                  <v:textbox inset=".5mm,.5mm,.5mm,.5mm">
                    <w:txbxContent>
                      <w:p w:rsidR="00B56753" w:rsidRPr="00BC2E5D" w:rsidRDefault="00B56753" w:rsidP="00BC2E5D">
                        <w:pPr>
                          <w:pStyle w:val="afc"/>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Cs/>
                                    <w:sz w:val="22"/>
                                    <w:szCs w:val="22"/>
                                  </w:rPr>
                                </m:ctrlPr>
                              </m:fPr>
                              <m:num>
                                <m:r>
                                  <m:rPr>
                                    <m:sty m:val="p"/>
                                  </m:rPr>
                                  <w:rPr>
                                    <w:rFonts w:ascii="Cambria Math" w:eastAsia="Calibri" w:hAnsi="Cambria Math"/>
                                    <w:sz w:val="22"/>
                                    <w:szCs w:val="22"/>
                                  </w:rPr>
                                  <m:t>Income before tax</m:t>
                                </m:r>
                              </m:num>
                              <m:den>
                                <m:r>
                                  <m:rPr>
                                    <m:sty m:val="p"/>
                                  </m:rPr>
                                  <w:rPr>
                                    <w:rFonts w:ascii="Cambria Math" w:eastAsia="Calibri" w:hAnsi="Cambria Math"/>
                                    <w:sz w:val="22"/>
                                    <w:szCs w:val="22"/>
                                  </w:rPr>
                                  <m:t>Operating income</m:t>
                                </m:r>
                              </m:den>
                            </m:f>
                          </m:oMath>
                        </m:oMathPara>
                      </w:p>
                    </w:txbxContent>
                  </v:textbox>
                </v:shape>
                <v:shape id="_x0000_s1276" type="#_x0000_t202" style="position:absolute;left:42437;top:35097;width:14686;height:40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ww8cA&#10;AADjAAAADwAAAGRycy9kb3ducmV2LnhtbERPS4vCMBC+C/sfwix409QHdrcaZVkQF3qyevA4NGNb&#10;bCa1ibb++40geJzvPatNb2pxp9ZVlhVMxhEI4tzqigsFx8N29AXCeWSNtWVS8CAHm/XHYIWJth3v&#10;6Z75QoQQdgkqKL1vEildXpJBN7YNceDOtjXow9kWUrfYhXBTy2kULaTBikNDiQ39lpRfsptR4PLz&#10;UWfpdbu/1UW6e3TzlK4npYaf/c8ShKfev8Uv958O86N4Fs+nk9k3PH8KAMj1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3gsMPHAAAA4wAAAA8AAAAAAAAAAAAAAAAAmAIAAGRy&#10;cy9kb3ducmV2LnhtbFBLBQYAAAAABAAEAPUAAACMAwAAAAA=&#10;" fillcolor="window" stroked="f" strokeweight=".5pt">
                  <v:textbox inset=".5mm,.5mm,.5mm,.5mm">
                    <w:txbxContent>
                      <w:p w:rsidR="00B56753" w:rsidRPr="00BC2E5D" w:rsidRDefault="00B56753" w:rsidP="00BC2E5D">
                        <w:pPr>
                          <w:pStyle w:val="afc"/>
                          <w:spacing w:before="0" w:beforeAutospacing="0" w:after="0" w:afterAutospacing="0"/>
                          <w:rPr>
                            <w:rFonts w:ascii="Garamond" w:hAnsi="Garamond"/>
                            <w:sz w:val="20"/>
                            <w:szCs w:val="22"/>
                            <w:lang w:val="en-US"/>
                          </w:rPr>
                        </w:pPr>
                        <m:oMathPara>
                          <m:oMathParaPr>
                            <m:jc m:val="centerGroup"/>
                          </m:oMathParaPr>
                          <m:oMath>
                            <m:d>
                              <m:dPr>
                                <m:ctrlPr>
                                  <w:rPr>
                                    <w:rFonts w:ascii="Cambria Math" w:hAnsi="Cambria Math"/>
                                    <w:sz w:val="20"/>
                                    <w:szCs w:val="22"/>
                                    <w:lang w:val="en-US"/>
                                  </w:rPr>
                                </m:ctrlPr>
                              </m:dPr>
                              <m:e>
                                <m:r>
                                  <m:rPr>
                                    <m:sty m:val="p"/>
                                  </m:rPr>
                                  <w:rPr>
                                    <w:rFonts w:ascii="Cambria Math" w:hAnsi="Cambria Math"/>
                                    <w:sz w:val="20"/>
                                    <w:szCs w:val="22"/>
                                    <w:lang w:val="en-US"/>
                                  </w:rPr>
                                  <m:t xml:space="preserve">1- </m:t>
                                </m:r>
                                <m:f>
                                  <m:fPr>
                                    <m:ctrlPr>
                                      <w:rPr>
                                        <w:rFonts w:ascii="Cambria Math" w:hAnsi="Cambria Math"/>
                                        <w:sz w:val="20"/>
                                        <w:szCs w:val="22"/>
                                        <w:lang w:val="en-US"/>
                                      </w:rPr>
                                    </m:ctrlPr>
                                  </m:fPr>
                                  <m:num>
                                    <m:r>
                                      <m:rPr>
                                        <m:sty m:val="p"/>
                                      </m:rPr>
                                      <w:rPr>
                                        <w:rFonts w:ascii="Cambria Math" w:hAnsi="Cambria Math"/>
                                        <w:sz w:val="20"/>
                                        <w:szCs w:val="22"/>
                                        <w:lang w:val="en-US"/>
                                      </w:rPr>
                                      <m:t>Tax</m:t>
                                    </m:r>
                                  </m:num>
                                  <m:den>
                                    <m:r>
                                      <m:rPr>
                                        <m:sty m:val="p"/>
                                      </m:rPr>
                                      <w:rPr>
                                        <w:rFonts w:ascii="Cambria Math" w:hAnsi="Cambria Math"/>
                                        <w:sz w:val="20"/>
                                        <w:szCs w:val="22"/>
                                        <w:lang w:val="en-US"/>
                                      </w:rPr>
                                      <m:t>Income before tax</m:t>
                                    </m:r>
                                  </m:den>
                                </m:f>
                              </m:e>
                            </m:d>
                          </m:oMath>
                        </m:oMathPara>
                      </w:p>
                    </w:txbxContent>
                  </v:textbox>
                </v:shape>
                <v:shape id="Полилиния 1073742140" o:spid="_x0000_s1277" style="position:absolute;left:43841;top:38946;width:11641;height:1089;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" adj="-11796480,,5400" path="m,c204247,136689,417921,216895,631595,216895,845269,216895,1173637,36149,1282045,r,e" filled="f" strokecolor="windowText" strokeweight="1pt">
                  <v:stroke joinstyle="miter" endcap="round"/>
                  <v:formulas/>
                  <v:path arrowok="t" o:connecttype="custom" o:connectlocs="0,0;573488,108985;1164097,0;1164097,0" o:connectangles="0,0,0,0" textboxrect="0,0,1282045,216895"/>
                  <v:textbox>
                    <w:txbxContent>
                      <w:p w:rsidR="00B56753" w:rsidRPr="00BC2E5D" w:rsidRDefault="00B56753" w:rsidP="00BC2E5D">
                        <w:pPr>
                          <w:pStyle w:val="afc"/>
                          <w:spacing w:before="0" w:beforeAutospacing="0" w:after="0" w:afterAutospacing="0"/>
                          <w:ind w:firstLine="706"/>
                          <w:rPr>
                            <w:rFonts w:ascii="Garamond" w:hAnsi="Garamond"/>
                            <w:sz w:val="22"/>
                            <w:szCs w:val="22"/>
                          </w:rPr>
                        </w:pPr>
                        <w:r w:rsidRPr="00BC2E5D">
                          <w:rPr>
                            <w:rFonts w:ascii="Garamond" w:hAnsi="Garamond"/>
                            <w:sz w:val="22"/>
                            <w:szCs w:val="22"/>
                          </w:rPr>
                          <w:t> </w:t>
                        </w:r>
                      </w:p>
                    </w:txbxContent>
                  </v:textbox>
                </v:shape>
                <v:shape id="_x0000_s1278" type="#_x0000_t202" style="position:absolute;left:45532;top:40499;width:9517;height:2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p1xskA&#10;AADjAAAADwAAAGRycy9kb3ducmV2LnhtbERPX0vDMBB/F/wO4YS9ubTbcKMuGyKKG1imneDr0Zxt&#10;t+ZSkrjWffpFEHy83/9brgfTihM531hWkI4TEMSl1Q1XCj72z7cLED4ga2wtk4If8rBeXV8tMdO2&#10;53c6FaESMYR9hgrqELpMSl/WZNCPbUccuS/rDIZ4ukpqh30MN62cJMmdNNhwbKixo8eaymPxbRR8&#10;9sWL2223h7duk5935yJ/padcqdHN8HAPItAQ/sV/7o2O85P5dD6bpLMUfn+KAMjV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2kp1xskAAADjAAAADwAAAAAAAAAAAAAAAACYAgAA&#10;ZHJzL2Rvd25yZXYueG1sUEsFBgAAAAAEAAQA9QAAAI4DAAAAAA==&#10;" fillcolor="window" stroked="f" strokeweight=".5pt">
                  <v:textbox>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Tax effect</w:t>
                        </w:r>
                      </w:p>
                    </w:txbxContent>
                  </v:textbox>
                </v:shape>
                <v:shape id="Полилиния 1073742142" o:spid="_x0000_s1279" style="position:absolute;left:32047;top:38812;width:9713;height:1244;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2StckA&#10;AADjAAAADwAAAGRycy9kb3ducmV2LnhtbERPX0vDMBB/F/wO4QTfXNI63NYtGyIK7kVxCtvejuZs&#10;yppL18S189MbQfDxfv9vsRpcI07UhdqzhmykQBCX3tRcafh4f7qZgggR2WDjmTScKcBqeXmxwML4&#10;nt/otImVSCEcCtRgY2wLKUNpyWEY+ZY4cZ++cxjT2VXSdNincNfIXKk76bDm1GCxpQdL5WHz5TTM&#10;jq8vWzMcbL8z37t8mj3uj2ul9fXVcD8HEWmI/+I/97NJ89XkdjLOs3EOvz8lAOTy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2T2StckAAADjAAAADwAAAAAAAAAAAAAAAACYAgAA&#10;ZHJzL2Rvd25yZXYueG1sUEsFBgAAAAAEAAQA9QAAAI4DAAAAAA==&#10;" adj="-11796480,,5400" path="m,c204247,136689,417921,216895,631595,216895,845269,216895,1173637,36149,1282045,r,e" filled="f" strokecolor="windowText" strokeweight="1pt">
                  <v:stroke joinstyle="miter" endcap="round"/>
                  <v:formulas/>
                  <v:path arrowok="t" o:connecttype="custom" o:connectlocs="0,0;478500,124481;971284,0;971284,0" o:connectangles="0,0,0,0" textboxrect="0,0,1282045,216895"/>
                  <v:textbox>
                    <w:txbxContent>
                      <w:p w:rsidR="00B56753" w:rsidRPr="00BC2E5D" w:rsidRDefault="00B56753" w:rsidP="00BC2E5D">
                        <w:pPr>
                          <w:pStyle w:val="afc"/>
                          <w:spacing w:before="0" w:beforeAutospacing="0" w:after="0" w:afterAutospacing="0"/>
                          <w:ind w:firstLine="706"/>
                          <w:rPr>
                            <w:rFonts w:ascii="Garamond" w:hAnsi="Garamond"/>
                            <w:sz w:val="22"/>
                            <w:szCs w:val="22"/>
                          </w:rPr>
                        </w:pPr>
                        <w:r w:rsidRPr="00BC2E5D">
                          <w:rPr>
                            <w:rFonts w:ascii="Garamond" w:hAnsi="Garamond"/>
                            <w:sz w:val="22"/>
                            <w:szCs w:val="22"/>
                          </w:rPr>
                          <w:t> </w:t>
                        </w:r>
                      </w:p>
                    </w:txbxContent>
                  </v:textbox>
                </v:shape>
                <v:shape id="Полилиния 1073742143" o:spid="_x0000_s1280" style="position:absolute;left:21761;top:38934;width:8387;height:1126;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E3LsoA&#10;AADjAAAADwAAAGRycy9kb3ducmV2LnhtbERPX0vDMBB/F/wO4QTfXNJuuNktGyIK7sXhFJxvR3Nr&#10;yppL18S189MbQfDxfv9vsRpcI07UhdqzhmykQBCX3tRcaXh/e7qZgQgR2WDjmTScKcBqeXmxwML4&#10;nl/ptI2VSCEcCtRgY2wLKUNpyWEY+ZY4cXvfOYzp7CppOuxTuGtkrtStdFhzarDY0oOl8rD9chru&#10;jpuXDzMcbL8z37t8lj1+HtdK6+ur4X4OItIQ/8V/7meT5qvpeDrJs8kYfn9KAMjl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ZxNy7KAAAA4wAAAA8AAAAAAAAAAAAAAAAAmAIA&#10;AGRycy9kb3ducmV2LnhtbFBLBQYAAAAABAAEAPUAAACPAwAAAAA=&#10;" adj="-11796480,,5400" path="m,c204247,136689,417921,216895,631595,216895,845269,216895,1173637,36149,1282045,r,e" filled="f" strokecolor="windowText" strokeweight="1pt">
                  <v:stroke joinstyle="miter" endcap="round"/>
                  <v:formulas/>
                  <v:path arrowok="t" o:connecttype="custom" o:connectlocs="0,0;413177,112605;838689,0;838689,0" o:connectangles="0,0,0,0" textboxrect="0,0,1282045,216895"/>
                  <v:textbox>
                    <w:txbxContent>
                      <w:p w:rsidR="00B56753" w:rsidRPr="00BC2E5D" w:rsidRDefault="00B56753" w:rsidP="00BC2E5D">
                        <w:pPr>
                          <w:pStyle w:val="afc"/>
                          <w:spacing w:before="0" w:beforeAutospacing="0" w:after="0" w:afterAutospacing="0"/>
                          <w:ind w:firstLine="706"/>
                          <w:rPr>
                            <w:rFonts w:ascii="Garamond" w:hAnsi="Garamond"/>
                            <w:sz w:val="22"/>
                            <w:szCs w:val="22"/>
                          </w:rPr>
                        </w:pPr>
                        <w:r w:rsidRPr="00BC2E5D">
                          <w:rPr>
                            <w:rFonts w:ascii="Garamond" w:hAnsi="Garamond"/>
                            <w:sz w:val="22"/>
                            <w:szCs w:val="22"/>
                          </w:rPr>
                          <w:t> </w:t>
                        </w:r>
                      </w:p>
                    </w:txbxContent>
                  </v:textbox>
                </v:shape>
                <v:shape id="_x0000_s1281" type="#_x0000_t202" style="position:absolute;left:21304;top:40278;width:11673;height:41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3WXskA&#10;AADjAAAADwAAAGRycy9kb3ducmV2LnhtbERPX0vDMBB/F/wO4YS9uXRbcaMuGyKKG1imneDr0Zxt&#10;tbmUJK51n34ZDHy83/9brgfTigM531hWMBknIIhLqxuuFHzsn28XIHxA1thaJgV/5GG9ur5aYqZt&#10;z+90KEIlYgj7DBXUIXSZlL6syaAf2444cl/WGQzxdJXUDvsYblo5TZI7abDh2FBjR481lT/Fr1Hw&#10;2Rcvbrfdfr91m/y4Oxb5Kz3lSo1uhod7EIGG8C++uDc6zk/ms3k6naQpnH+KAMjVC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j3WXskAAADjAAAADwAAAAAAAAAAAAAAAACYAgAA&#10;ZHJzL2Rvd25yZXYueG1sUEsFBgAAAAAEAAQA9QAAAI4DAAAAAA==&#10;" fillcolor="window" stroked="f" strokeweight=".5pt">
                  <v:textbox>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Operating profit margin</w:t>
                        </w:r>
                      </w:p>
                    </w:txbxContent>
                  </v:textbox>
                </v:shape>
                <v:shape id="_x0000_s1282" type="#_x0000_t202" style="position:absolute;left:314;top:22561;width:11404;height:59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0JWsgA&#10;AADjAAAADwAAAGRycy9kb3ducmV2LnhtbERPzWrCQBC+F3yHZQRvulHTRlNXEUGtHgq1eYAhO02C&#10;2dmQXTX69N2C0ON8/7NYdaYWV2pdZVnBeBSBIM6trrhQkH1vhzMQziNrrC2Tgjs5WC17LwtMtb3x&#10;F11PvhAhhF2KCkrvm1RKl5dk0I1sQxy4H9sa9OFsC6lbvIVwU8tJFL1JgxWHhhIb2pSUn08Xo+Bz&#10;/ni45OzWdno4Vrt4n8nsnik16HfrdxCeOv8vfro/dJgfJdMknozjV/j7KQAgl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XQlayAAAAOMAAAAPAAAAAAAAAAAAAAAAAJgCAABk&#10;cnMvZG93bnJldi54bWxQSwUGAAAAAAQABAD1AAAAjQMAAAAA&#10;" fillcolor="window" stroked="f" strokeweight=".5pt">
                  <v:textbox style="mso-fit-shape-to-text:t">
                    <w:txbxContent>
                      <w:p w:rsidR="00B56753" w:rsidRPr="00BC2E5D" w:rsidRDefault="00B56753" w:rsidP="00BC2E5D">
                        <w:pPr>
                          <w:pStyle w:val="afc"/>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num>
                              <m:den>
                                <m:eqArr>
                                  <m:eqArrPr>
                                    <m:ctrlPr>
                                      <w:rPr>
                                        <w:rFonts w:ascii="Cambria Math" w:eastAsia="Calibri" w:hAnsi="Cambria Math"/>
                                        <w:i/>
                                        <w:iCs/>
                                        <w:sz w:val="22"/>
                                        <w:szCs w:val="22"/>
                                      </w:rPr>
                                    </m:ctrlPr>
                                  </m:eqArrPr>
                                  <m:e>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Stockholders</m:t>
                                    </m:r>
                                  </m:e>
                                  <m:e>
                                    <m:r>
                                      <m:rPr>
                                        <m:sty m:val="p"/>
                                      </m:rPr>
                                      <w:rPr>
                                        <w:rFonts w:ascii="Cambria Math" w:eastAsia="Calibri" w:hAnsi="Cambria Math"/>
                                        <w:sz w:val="22"/>
                                        <w:szCs w:val="22"/>
                                      </w:rPr>
                                      <m:t>equity</m:t>
                                    </m:r>
                                  </m:e>
                                </m:eqArr>
                              </m:den>
                            </m:f>
                          </m:oMath>
                        </m:oMathPara>
                      </w:p>
                    </w:txbxContent>
                  </v:textbox>
                </v:shape>
                <v:shape id="Полилиния 1073742146" o:spid="_x0000_s1283" style="position:absolute;left:1279;top:27749;width:10071;height:1124;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aUtsoA&#10;AADjAAAADwAAAGRycy9kb3ducmV2LnhtbERPX0vDMBB/F/wO4QTfXNI6ttktGyIK+uLYFJxvR3Nr&#10;yppL18S1+umNMPDxfv9vsRpcI07UhdqzhmykQBCX3tRcaXh/e7qZgQgR2WDjmTR8U4DV8vJigYXx&#10;PW/otI2VSCEcCtRgY2wLKUNpyWEY+ZY4cXvfOYzp7CppOuxTuGtkrtREOqw5NVhs6cFSedh+OQ13&#10;x/XrhxkOtt+Zn10+yx4/jy9K6+ur4X4OItIQ/8Vn97NJ89X0djrOs/EE/n5KAMjl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YGlLbKAAAA4wAAAA8AAAAAAAAAAAAAAAAAmAIA&#10;AGRycy9kb3ducmV2LnhtbFBLBQYAAAAABAAEAPUAAACPAwAAAAA=&#10;" adj="-11796480,,5400" path="m,c204247,136689,417921,216895,631595,216895,845269,216895,1173637,36149,1282045,r,e" filled="f" strokecolor="windowText" strokeweight="1pt">
                  <v:stroke joinstyle="miter" endcap="round"/>
                  <v:formulas/>
                  <v:path arrowok="t" o:connecttype="custom" o:connectlocs="0,0;496149,112395;1007110,0;1007110,0" o:connectangles="0,0,0,0" textboxrect="0,0,1282045,216895"/>
                  <v:textbox>
                    <w:txbxContent>
                      <w:p w:rsidR="00B56753" w:rsidRPr="00BC2E5D" w:rsidRDefault="00B56753" w:rsidP="00BC2E5D">
                        <w:pPr>
                          <w:pStyle w:val="afc"/>
                          <w:spacing w:before="0" w:beforeAutospacing="0" w:after="0" w:afterAutospacing="0"/>
                          <w:ind w:firstLine="706"/>
                          <w:rPr>
                            <w:rFonts w:ascii="Garamond" w:hAnsi="Garamond"/>
                            <w:sz w:val="22"/>
                            <w:szCs w:val="22"/>
                          </w:rPr>
                        </w:pPr>
                        <w:r w:rsidRPr="00BC2E5D">
                          <w:rPr>
                            <w:rFonts w:ascii="Garamond" w:hAnsi="Garamond"/>
                            <w:sz w:val="22"/>
                            <w:szCs w:val="22"/>
                          </w:rPr>
                          <w:t> </w:t>
                        </w:r>
                      </w:p>
                    </w:txbxContent>
                  </v:textbox>
                </v:shape>
                <v:shape id="_x0000_s1284" type="#_x0000_t202" style="position:absolute;left:2193;top:28870;width:8496;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XyV8YA&#10;AADjAAAADwAAAGRycy9kb3ducmV2LnhtbERPzYrCMBC+L/gOYQRva6oWK9UosiAr9GTXwx6HZmyL&#10;zaQ20da3NwsLHuf7n81uMI14UOdqywpm0wgEcWF1zaWC88/hcwXCeWSNjWVS8CQHu+3oY4Optj2f&#10;6JH7UoQQdikqqLxvUyldUZFBN7UtceAutjPow9mVUnfYh3DTyHkULaXBmkNDhS19VVRc87tR4IrL&#10;WefZ7XC6N2X2/ezjjG6/Sk3Gw34NwtPg3+J/91GH+VGySOL5LE7g76cAgN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zXyV8YAAADjAAAADwAAAAAAAAAAAAAAAACYAgAAZHJz&#10;L2Rvd25yZXYueG1sUEsFBgAAAAAEAAQA9QAAAIsDAAAAAA==&#10;" fillcolor="window" stroked="f" strokeweight=".5pt">
                  <v:textbox inset=".5mm,.5mm,.5mm,.5mm">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Equity multiplier</w:t>
                        </w:r>
                      </w:p>
                    </w:txbxContent>
                  </v:textbox>
                </v:shape>
                <v:shape id="_x0000_s1285" type="#_x0000_t202" style="position:absolute;left:14427;top:23613;width:7822;height:37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pmJcoA&#10;AADjAAAADwAAAGRycy9kb3ducmV2LnhtbESPQWvCQBCF7wX/wzJCb3WjDVVSVxFBWsjJ6MHjkB2T&#10;0OxszK4m/vvOodDjzHvz3jfr7eha9aA+NJ4NzGcJKOLS24YrA+fT4W0FKkRki61nMvCkANvN5GWN&#10;mfUDH+lRxEpJCIcMDdQxdpnWoazJYZj5jli0q+8dRhn7StseBwl3rV4kyYd22LA01NjRvqbyp7g7&#10;A6G8nm2R3w7He1vlX88hzel2MeZ1Ou4+QUUa47/57/rbCn6yfF+mi3kq0PKTLEBvfg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qqZiXKAAAA4wAAAA8AAAAAAAAAAAAAAAAAmAIA&#10;AGRycy9kb3ducmV2LnhtbFBLBQYAAAAABAAEAPUAAACPAwAAAAA=&#10;" fillcolor="window" stroked="f" strokeweight=".5pt">
                  <v:textbox inset=".5mm,.5mm,.5mm,.5mm">
                    <w:txbxContent>
                      <w:p w:rsidR="00B56753" w:rsidRPr="00BC2E5D" w:rsidRDefault="00B56753" w:rsidP="00BC2E5D">
                        <w:pPr>
                          <w:pStyle w:val="afc"/>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Net</m:t>
                                </m:r>
                                <m:r>
                                  <w:rPr>
                                    <w:rFonts w:ascii="Cambria Math" w:eastAsia="Calibri" w:hAnsi="Cambria Math"/>
                                    <w:sz w:val="22"/>
                                    <w:szCs w:val="22"/>
                                  </w:rPr>
                                  <m:t> </m:t>
                                </m:r>
                                <m:r>
                                  <m:rPr>
                                    <m:sty m:val="p"/>
                                  </m:rPr>
                                  <w:rPr>
                                    <w:rFonts w:ascii="Cambria Math" w:eastAsia="Calibri" w:hAnsi="Cambria Math"/>
                                    <w:sz w:val="22"/>
                                    <w:szCs w:val="22"/>
                                  </w:rPr>
                                  <m:t>sales</m:t>
                                </m:r>
                              </m:num>
                              <m:den>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den>
                            </m:f>
                          </m:oMath>
                        </m:oMathPara>
                      </w:p>
                    </w:txbxContent>
                  </v:textbox>
                </v:shape>
                <v:shape id="Полилиния 1073742149" o:spid="_x0000_s1286" style="position:absolute;left:13862;top:27493;width:7899;height:984;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kAxMoA&#10;AADjAAAADwAAAGRycy9kb3ducmV2LnhtbERPX0vDMBB/F/Ydwgm+uaR1uK0uG0MU3IvDKTjfjuZs&#10;yppL18S189MbQfDxfv9vsRpcI07UhdqzhmysQBCX3tRcaXh7fbyegQgR2WDjmTScKcBqObpYYGF8&#10;zy902sVKpBAOBWqwMbaFlKG05DCMfUucuE/fOYzp7CppOuxTuGtkrtStdFhzarDY0r2l8rD7chrm&#10;x+3zuxkOtt+b730+yx4+jhul9dXlsL4DEWmI/+I/95NJ89X0ZjrJs8kcfn9KAMjl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eZAMTKAAAA4wAAAA8AAAAAAAAAAAAAAAAAmAIA&#10;AGRycy9kb3ducmV2LnhtbFBLBQYAAAAABAAEAPUAAACPAwAAAAA=&#10;" adj="-11796480,,5400" path="m,c204247,136689,417921,216895,631595,216895,845269,216895,1173637,36149,1282045,r,e" filled="f" strokecolor="windowText" strokeweight="1pt">
                  <v:stroke joinstyle="miter" endcap="round"/>
                  <v:formulas/>
                  <v:path arrowok="t" o:connecttype="custom" o:connectlocs="0,0;389161,98425;789940,0;789940,0" o:connectangles="0,0,0,0" textboxrect="0,0,1282045,216895"/>
                  <v:textbox>
                    <w:txbxContent>
                      <w:p w:rsidR="00B56753" w:rsidRPr="00BC2E5D" w:rsidRDefault="00B56753" w:rsidP="00BC2E5D">
                        <w:pPr>
                          <w:pStyle w:val="afc"/>
                          <w:spacing w:before="0" w:beforeAutospacing="0" w:after="0" w:afterAutospacing="0"/>
                          <w:ind w:firstLine="706"/>
                          <w:rPr>
                            <w:rFonts w:ascii="Garamond" w:hAnsi="Garamond"/>
                            <w:sz w:val="22"/>
                            <w:szCs w:val="22"/>
                          </w:rPr>
                        </w:pPr>
                        <w:r w:rsidRPr="00BC2E5D">
                          <w:rPr>
                            <w:rFonts w:ascii="Garamond" w:hAnsi="Garamond"/>
                            <w:sz w:val="22"/>
                            <w:szCs w:val="22"/>
                          </w:rPr>
                          <w:t> </w:t>
                        </w:r>
                      </w:p>
                    </w:txbxContent>
                  </v:textbox>
                </v:shape>
                <v:shape id="_x0000_s1287" type="#_x0000_t202" style="position:absolute;left:13862;top:29035;width:8388;height:3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X8/ssA&#10;AADjAAAADwAAAGRycy9kb3ducmV2LnhtbESPzW7CQAyE70h9h5UrcYMNPy0oZUFVJVSknEg5cLSy&#10;Joma9YbsQsLb1wekHm2PZ+bb7AbXqDt1ofZsYDZNQBEX3tZcGjj97CdrUCEiW2w8k4EHBdhtX0Yb&#10;TK3v+Uj3PJZKTDikaKCKsU21DkVFDsPUt8Ryu/jOYZSxK7XtsBdz1+h5krxrhzVLQoUtfVVU/OY3&#10;ZyAUl5PNs+v+eGvK7PvRLzO6no0Zvw6fH6AiDfFf/Pw+WKmfrBar5Xz2JhTCJAvQ2z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xBfz+ywAAAOMAAAAPAAAAAAAAAAAAAAAAAJgC&#10;AABkcnMvZG93bnJldi54bWxQSwUGAAAAAAQABAD1AAAAkAMAAAAA&#10;" fillcolor="window" stroked="f" strokeweight=".5pt">
                  <v:textbox inset=".5mm,.5mm,.5mm,.5mm">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Total assets turnover</w:t>
                        </w:r>
                      </w:p>
                    </w:txbxContent>
                  </v:textbox>
                </v:shape>
                <v:shape id="Прямая со стрелкой 1073742151" o:spid="_x0000_s1288" type="#_x0000_t32" style="position:absolute;left:29409;top:19800;width:11589;height:38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gDKskAAADjAAAADwAAAGRycy9kb3ducmV2LnhtbERPzUrDQBC+C77DMgUvxW4StZG022KK&#10;Sq+phV6H7Jikzc6G7JpEn94VCh7n+5/1djKtGKh3jWUF8SICQVxa3XCl4Pjxdv8Mwnlkja1lUvBN&#10;Drab25s1ZtqOXNBw8JUIIewyVFB732VSurImg25hO+LAfdreoA9nX0nd4xjCTSuTKFpKgw2Hhho7&#10;2tVUXg5fRkHRzvP0/fSzLF6T7rwfxjzfzQul7mbTywqEp8n/i6/uvQ7zo/QhfUzipxj+fgoAyM0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l4AyrJAAAA4wAAAA8AAAAA&#10;AAAAAAAAAAAAoQIAAGRycy9kb3ducmV2LnhtbFBLBQYAAAAABAAEAPkAAACXAwAAAAA=&#10;">
                  <v:stroke endarrow="classic" endarrowlength="long"/>
                </v:shape>
                <v:shape id="_x0000_s1289" type="#_x0000_t202" style="position:absolute;left:950;top:9299;width:11399;height:5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0H88cA&#10;AADjAAAADwAAAGRycy9kb3ducmV2LnhtbERPzYrCMBC+L/gOYQRvmlpdq9UoIrh/B2HdPsDQjG2x&#10;mZQmavXpNwvCHuf7n9WmM7W4UusqywrGowgEcW51xYWC7Gc/nINwHlljbZkU3MnBZt17WWGq7Y2/&#10;6Xr0hQgh7FJUUHrfpFK6vCSDbmQb4sCdbGvQh7MtpG7xFsJNLeMomkmDFYeGEhvalZSfjxej4LB4&#10;PFxydls7+fyq3qbvmczumVKDfrddgvDU+X/x0/2hw/womSTTePwaw99PAQC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tB/PHAAAA4wAAAA8AAAAAAAAAAAAAAAAAmAIAAGRy&#10;cy9kb3ducmV2LnhtbFBLBQYAAAAABAAEAPUAAACMAwAAAAA=&#10;" fillcolor="window" stroked="f" strokeweight=".5pt">
                  <v:textbox style="mso-fit-shape-to-text:t">
                    <w:txbxContent>
                      <w:p w:rsidR="00B56753" w:rsidRPr="00BC2E5D" w:rsidRDefault="00B56753" w:rsidP="00BC2E5D">
                        <w:pPr>
                          <w:pStyle w:val="afc"/>
                          <w:spacing w:before="0" w:beforeAutospacing="0" w:after="0" w:afterAutospacing="0"/>
                          <w:ind w:firstLine="706"/>
                          <w:rPr>
                            <w:rFonts w:ascii="Garamond" w:hAnsi="Garamond"/>
                            <w:sz w:val="22"/>
                            <w:szCs w:val="22"/>
                          </w:rPr>
                        </w:pPr>
                        <m:oMathPara>
                          <m:oMathParaPr>
                            <m:jc m:val="centerGroup"/>
                          </m:oMathParaPr>
                          <m:oMath>
                            <m:f>
                              <m:fPr>
                                <m:ctrlPr>
                                  <w:rPr>
                                    <w:rFonts w:ascii="Cambria Math" w:eastAsia="Calibri" w:hAnsi="Cambria Math"/>
                                    <w:i/>
                                    <w:iCs/>
                                    <w:sz w:val="22"/>
                                    <w:szCs w:val="22"/>
                                  </w:rPr>
                                </m:ctrlPr>
                              </m:fPr>
                              <m:num>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assets</m:t>
                                </m:r>
                              </m:num>
                              <m:den>
                                <m:eqArr>
                                  <m:eqArrPr>
                                    <m:ctrlPr>
                                      <w:rPr>
                                        <w:rFonts w:ascii="Cambria Math" w:eastAsia="Calibri" w:hAnsi="Cambria Math"/>
                                        <w:i/>
                                        <w:iCs/>
                                        <w:sz w:val="22"/>
                                        <w:szCs w:val="22"/>
                                      </w:rPr>
                                    </m:ctrlPr>
                                  </m:eqArrPr>
                                  <m:e>
                                    <m:r>
                                      <m:rPr>
                                        <m:sty m:val="p"/>
                                      </m:rPr>
                                      <w:rPr>
                                        <w:rFonts w:ascii="Cambria Math" w:eastAsia="Calibri" w:hAnsi="Cambria Math"/>
                                        <w:sz w:val="22"/>
                                        <w:szCs w:val="22"/>
                                      </w:rPr>
                                      <m:t>Total</m:t>
                                    </m:r>
                                    <m:r>
                                      <w:rPr>
                                        <w:rFonts w:ascii="Cambria Math" w:eastAsia="Calibri" w:hAnsi="Cambria Math"/>
                                        <w:sz w:val="22"/>
                                        <w:szCs w:val="22"/>
                                      </w:rPr>
                                      <m:t> </m:t>
                                    </m:r>
                                    <m:r>
                                      <m:rPr>
                                        <m:sty m:val="p"/>
                                      </m:rPr>
                                      <w:rPr>
                                        <w:rFonts w:ascii="Cambria Math" w:eastAsia="Calibri" w:hAnsi="Cambria Math"/>
                                        <w:sz w:val="22"/>
                                        <w:szCs w:val="22"/>
                                      </w:rPr>
                                      <m:t>Stockholders</m:t>
                                    </m:r>
                                  </m:e>
                                  <m:e>
                                    <m:r>
                                      <m:rPr>
                                        <m:sty m:val="p"/>
                                      </m:rPr>
                                      <w:rPr>
                                        <w:rFonts w:ascii="Cambria Math" w:eastAsia="Calibri" w:hAnsi="Cambria Math"/>
                                        <w:sz w:val="22"/>
                                        <w:szCs w:val="22"/>
                                      </w:rPr>
                                      <m:t>equity</m:t>
                                    </m:r>
                                  </m:e>
                                </m:eqArr>
                              </m:den>
                            </m:f>
                          </m:oMath>
                        </m:oMathPara>
                      </w:p>
                    </w:txbxContent>
                  </v:textbox>
                </v:shape>
                <v:shape id="Полилиния 1073742153" o:spid="_x0000_s1290" style="position:absolute;left:1916;top:14487;width:10064;height:1118;visibility:visible;mso-wrap-style:square;v-text-anchor:middle" coordsize="1282045,2168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ih88oA&#10;AADjAAAADwAAAGRycy9kb3ducmV2LnhtbERPX0vDMBB/F/wO4QTfXNLOua0uGyIK7mXiFNzejuZs&#10;yppL18S1+umNIPh4v/+3WA2uESfqQu1ZQzZSIIhLb2quNLy9Pl7NQISIbLDxTBq+KMBqeX62wML4&#10;nl/otI2VSCEcCtRgY2wLKUNpyWEY+ZY4cR++cxjT2VXSdNincNfIXKkb6bDm1GCxpXtL5WH76TTM&#10;j8+bdzMcbL8z37t8lj3sj2ul9eXFcHcLItIQ/8V/7ieT5qvpeHqdZ5Mx/P6UAJDL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OoofPKAAAA4wAAAA8AAAAAAAAAAAAAAAAAmAIA&#10;AGRycy9kb3ducmV2LnhtbFBLBQYAAAAABAAEAPUAAACPAwAAAAA=&#10;" adj="-11796480,,5400" path="m,c204247,136689,417921,216895,631595,216895,845269,216895,1173637,36149,1282045,r,e" filled="f" strokecolor="windowText" strokeweight="1pt">
                  <v:stroke joinstyle="miter" endcap="round"/>
                  <v:formulas/>
                  <v:path arrowok="t" o:connecttype="custom" o:connectlocs="0,0;495836,111760;1006475,0;1006475,0" o:connectangles="0,0,0,0" textboxrect="0,0,1282045,216895"/>
                  <v:textbox>
                    <w:txbxContent>
                      <w:p w:rsidR="00B56753" w:rsidRPr="00BC2E5D" w:rsidRDefault="00B56753" w:rsidP="00BC2E5D">
                        <w:pPr>
                          <w:pStyle w:val="afc"/>
                          <w:spacing w:before="0" w:beforeAutospacing="0" w:after="0" w:afterAutospacing="0"/>
                          <w:ind w:firstLine="706"/>
                          <w:rPr>
                            <w:rFonts w:ascii="Garamond" w:hAnsi="Garamond"/>
                            <w:sz w:val="22"/>
                            <w:szCs w:val="22"/>
                          </w:rPr>
                        </w:pPr>
                        <w:r w:rsidRPr="00BC2E5D">
                          <w:rPr>
                            <w:rFonts w:ascii="Garamond" w:hAnsi="Garamond"/>
                            <w:sz w:val="22"/>
                            <w:szCs w:val="22"/>
                          </w:rPr>
                          <w:t> </w:t>
                        </w:r>
                      </w:p>
                    </w:txbxContent>
                  </v:textbox>
                </v:shape>
                <v:shape id="_x0000_s1291" type="#_x0000_t202" style="position:absolute;left:2830;top:15959;width:8490;height:3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76/cYA&#10;AADjAAAADwAAAGRycy9kb3ducmV2LnhtbERPzYrCMBC+L+w7hBG8ralu1aVrlGVBFHqyevA4NGNb&#10;bCa1iba+vREEj/P9z2LVm1rcqHWVZQXjUQSCOLe64kLBYb/++gHhPLLG2jIpuJOD1fLzY4GJth3v&#10;6Jb5QoQQdgkqKL1vEildXpJBN7INceBOtjXow9kWUrfYhXBTy0kUzaTBikNDiQ39l5Sfs6tR4PLT&#10;QWfpZb271kW6uXdxSpejUsNB//cLwlPv3+KXe6vD/Gj+PY8n42kMz58CAH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j76/cYAAADjAAAADwAAAAAAAAAAAAAAAACYAgAAZHJz&#10;L2Rvd25yZXYueG1sUEsFBgAAAAAEAAQA9QAAAIsDAAAAAA==&#10;" fillcolor="window" stroked="f" strokeweight=".5pt">
                  <v:textbox inset=".5mm,.5mm,.5mm,.5mm">
                    <w:txbxContent>
                      <w:p w:rsidR="00B56753" w:rsidRPr="00BC2E5D" w:rsidRDefault="00B56753" w:rsidP="00BC2E5D">
                        <w:pPr>
                          <w:pStyle w:val="afc"/>
                          <w:spacing w:before="0" w:beforeAutospacing="0" w:after="0" w:afterAutospacing="0"/>
                          <w:jc w:val="center"/>
                          <w:rPr>
                            <w:rFonts w:ascii="Garamond" w:hAnsi="Garamond"/>
                            <w:sz w:val="22"/>
                            <w:szCs w:val="22"/>
                          </w:rPr>
                        </w:pPr>
                        <w:r w:rsidRPr="00BC2E5D">
                          <w:rPr>
                            <w:rFonts w:ascii="Garamond" w:hAnsi="Garamond"/>
                            <w:b/>
                            <w:bCs/>
                            <w:sz w:val="22"/>
                            <w:szCs w:val="22"/>
                            <w:lang w:val="en-US"/>
                          </w:rPr>
                          <w:t>Equity multiplier</w:t>
                        </w:r>
                      </w:p>
                    </w:txbxContent>
                  </v:textbox>
                </v:shape>
                <v:shape id="Прямая со стрелкой 1073742155" o:spid="_x0000_s1292" type="#_x0000_t32" style="position:absolute;left:17815;top:6032;width:10936;height:32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MFKckAAADjAAAADwAAAGRycy9kb3ducmV2LnhtbERPzWrCQBC+F/oOyxR6kboxViOpqzRi&#10;i9dYweuQHZO02dmQ3SbRp+8WCj3O9z/r7Wga0VPnassKZtMIBHFhdc2lgtPH29MKhPPIGhvLpOBK&#10;Drab+7s1ptoOnFN/9KUIIexSVFB536ZSuqIig25qW+LAXWxn0IezK6XucAjhppFxFC2lwZpDQ4Ut&#10;7Soqvo7fRkHeTLLk/Xxb5vu4/Tz0Q5btJrlSjw/j6wsIT6P/F/+5DzrMj5J58hzPFgv4/SkAIDc/&#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FZDBSnJAAAA4wAAAA8AAAAA&#10;AAAAAAAAAAAAoQIAAGRycy9kb3ducmV2LnhtbFBLBQYAAAAABAAEAPkAAACXAwAAAAA=&#10;">
                  <v:stroke endarrow="classic" endarrowlength="long"/>
                </v:shape>
                <v:shape id="Поле 1073742156" o:spid="_x0000_s1293" type="#_x0000_t202" style="position:absolute;left:16868;top:12994;width:946;height:1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XJlMsA&#10;AADjAAAADwAAAGRycy9kb3ducmV2LnhtbERPS0vDQBC+C/6HZQQv0m5StdHYTSlVoQc99EHB25gd&#10;s8HsbMxu0/TfdwXB43zvmc0H24ieOl87VpCOExDEpdM1Vwp229fRAwgfkDU2jknBiTzMi8uLGeba&#10;HXlN/SZUIoawz1GBCaHNpfSlIYt+7FriyH25zmKIZ1dJ3eExhttGTpJkKi3WHBsMtrQ0VH5vDlbB&#10;6u30/ryXnz/943Kx9i/mJss+DkpdXw2LJxCBhvAv/nOvdJyfZLfZ3SS9n8LvTxEAWZwB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AEFcmUywAAAOMAAAAPAAAAAAAAAAAAAAAAAJgC&#10;AABkcnMvZG93bnJldi54bWxQSwUGAAAAAAQABAD1AAAAkAMAAAAA&#10;" fillcolor="window" stroked="f" strokeweight=".5pt">
                  <v:textbox style="mso-fit-shape-to-text:t" inset="0,0,0,0">
                    <w:txbxContent>
                      <w:p w:rsidR="00B56753" w:rsidRPr="00BC2E5D" w:rsidRDefault="00B56753" w:rsidP="00BC2E5D">
                        <w:pPr>
                          <w:ind w:left="-709"/>
                          <w:rPr>
                            <w:sz w:val="22"/>
                            <w:szCs w:val="22"/>
                            <w:lang w:val="en-US"/>
                          </w:rPr>
                        </w:pPr>
                        <w:r w:rsidRPr="00BC2E5D">
                          <w:rPr>
                            <w:sz w:val="22"/>
                            <w:szCs w:val="22"/>
                            <w:lang w:val="en-US"/>
                          </w:rPr>
                          <w:t>X</w:t>
                        </w:r>
                      </w:p>
                    </w:txbxContent>
                  </v:textbox>
                </v:shape>
                <v:shape id="Поле 24" o:spid="_x0000_s1294" type="#_x0000_t202" style="position:absolute;left:11980;top:27061;width:940;height:1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lsD8sA&#10;AADjAAAADwAAAGRycy9kb3ducmV2LnhtbERPS0sDMRC+F/wPYQpexGZbH9G1aSlVoQc99IHgbdxM&#10;N4ubybpJt9t/bwShx/neM533rhYdtaHyrGE8ykAQF95UXGrYbV+vH0CEiGyw9kwaThRgPrsYTDE3&#10;/shr6jaxFCmEQ44abIxNLmUoLDkMI98QJ27vW4cxnW0pTYvHFO5qOcmye+mw4tRgsaGlpeJ7c3Aa&#10;Vm+n9+cP+fXTPS4X6/Bir5T6PGh9OewXTyAi9fEs/nevTJqfqRt1OxnfKfj7KQEgZ7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rWWwPywAAAOMAAAAPAAAAAAAAAAAAAAAAAJgC&#10;AABkcnMvZG93bnJldi54bWxQSwUGAAAAAAQABAD1AAAAkAMAAAAA&#10;" fillcolor="window" stroked="f" strokeweight=".5pt">
                  <v:textbox style="mso-fit-shape-to-text:t" inset="0,0,0,0">
                    <w:txbxContent>
                      <w:p w:rsidR="00B56753" w:rsidRPr="00BC2E5D" w:rsidRDefault="00B56753" w:rsidP="00BC2E5D">
                        <w:pPr>
                          <w:pStyle w:val="afc"/>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v:textbox>
                </v:shape>
                <v:shape id="Поле 24" o:spid="_x0000_s1295" type="#_x0000_t202" style="position:absolute;left:28751;top:26934;width:939;height:1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" fillcolor="window" stroked="f" strokeweight=".5pt">
                  <v:textbox style="mso-fit-shape-to-text:t" inset="0,0,0,0">
                    <w:txbxContent>
                      <w:p w:rsidR="00B56753" w:rsidRPr="00BC2E5D" w:rsidRDefault="00B56753" w:rsidP="00BC2E5D">
                        <w:pPr>
                          <w:pStyle w:val="afc"/>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v:textbox>
                </v:shape>
                <v:shape id="Поле 24" o:spid="_x0000_s1296" type="#_x0000_t202" style="position:absolute;left:10859;top:38449;width:940;height:1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pd5ssA&#10;AADjAAAADwAAAGRycy9kb3ducmV2LnhtbERPzU7CQBC+k/AOmzHxYmQLKJXKQghowkEOoDHxNnbH&#10;bkN3tnaXUt6eNTHhON//zBadrURLjS8dKxgOEhDEudMlFwo+3l/vn0D4gKyxckwKzuRhMe/3Zphp&#10;d+IdtftQiBjCPkMFJoQ6k9Lnhiz6gauJI/fjGoshnk0hdYOnGG4rOUqSibRYcmwwWNPKUH7YH62C&#10;zdt5u/6U37/tdLXc+Rdzl6ZfR6Vub7rlM4hAXbiK/90bHecn6Th9GA0fp/D3UwRAzi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1il3mywAAAOMAAAAPAAAAAAAAAAAAAAAAAJgC&#10;AABkcnMvZG93bnJldi54bWxQSwUGAAAAAAQABAD1AAAAkAMAAAAA&#10;" fillcolor="window" stroked="f" strokeweight=".5pt">
                  <v:textbox style="mso-fit-shape-to-text:t" inset="0,0,0,0">
                    <w:txbxContent>
                      <w:p w:rsidR="00B56753" w:rsidRPr="00BC2E5D" w:rsidRDefault="00B56753" w:rsidP="00BC2E5D">
                        <w:pPr>
                          <w:pStyle w:val="afc"/>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v:textbox>
                </v:shape>
                <v:shape id="Поле 24" o:spid="_x0000_s1297" type="#_x0000_t202" style="position:absolute;left:20275;top:38636;width:933;height:1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" fillcolor="window" stroked="f" strokeweight=".5pt">
                  <v:textbox style="mso-fit-shape-to-text:t" inset="0,0,0,0">
                    <w:txbxContent>
                      <w:p w:rsidR="00B56753" w:rsidRPr="00BC2E5D" w:rsidRDefault="00B56753" w:rsidP="00BC2E5D">
                        <w:pPr>
                          <w:pStyle w:val="afc"/>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v:textbox>
                </v:shape>
                <v:shape id="Поле 24" o:spid="_x0000_s1298" type="#_x0000_t202" style="position:absolute;left:30824;top:38446;width:933;height:1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CbXcsA&#10;AADjAAAADwAAAGRycy9kb3ducmV2LnhtbERPzU7CQBC+k/gOmzHxQmRbMFQqCyGoCQc8gMbE29Ad&#10;u43d2dpdSnl7l4TE43z/M1/2thYdtb5yrCAdJSCIC6crLhV8vL/eP4LwAVlj7ZgUnMnDcnEzmGOu&#10;3Yl31O1DKWII+xwVmBCaXEpfGLLoR64hjty3ay2GeLal1C2eYrit5ThJptJixbHBYENrQ8XP/mgV&#10;bLbnt+dPefjtZuvVzr+YYZZ9HZW6u+1XTyAC9eFffHVvdJyfZJPsYZxOU7j8FAGQiz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FkJtdywAAAOMAAAAPAAAAAAAAAAAAAAAAAJgC&#10;AABkcnMvZG93bnJldi54bWxQSwUGAAAAAAQABAD1AAAAkAMAAAAA&#10;" fillcolor="window" stroked="f" strokeweight=".5pt">
                  <v:textbox style="mso-fit-shape-to-text:t" inset="0,0,0,0">
                    <w:txbxContent>
                      <w:p w:rsidR="00B56753" w:rsidRPr="00BC2E5D" w:rsidRDefault="00B56753" w:rsidP="00BC2E5D">
                        <w:pPr>
                          <w:pStyle w:val="afc"/>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v:textbox>
                </v:shape>
                <v:shape id="Поле 24" o:spid="_x0000_s1299" type="#_x0000_t202" style="position:absolute;left:42419;top:38442;width:933;height:1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IFKssA&#10;AADjAAAADwAAAGRycy9kb3ducmV2LnhtbERPzU7CQBC+k/gOmzHxQmRLMVQqCyGoCQc8gMbE29Ad&#10;u43d2dpdSnl7l4TE43z/M1/2thYdtb5yrGA8SkAQF05XXCr4eH+9fwThA7LG2jEpOJOH5eJmMMdc&#10;uxPvqNuHUsQQ9jkqMCE0uZS+MGTRj1xDHLlv11oM8WxLqVs8xXBbyzRJptJixbHBYENrQ8XP/mgV&#10;bLbnt+dPefjtZuvVzr+YYZZ9HZW6u+1XTyAC9eFffHVvdJyfZJPsIR1PU7j8FAGQiz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1QgUqywAAAOMAAAAPAAAAAAAAAAAAAAAAAJgC&#10;AABkcnMvZG93bnJldi54bWxQSwUGAAAAAAQABAD1AAAAkAMAAAAA&#10;" fillcolor="window" stroked="f" strokeweight=".5pt">
                  <v:textbox style="mso-fit-shape-to-text:t" inset="0,0,0,0">
                    <w:txbxContent>
                      <w:p w:rsidR="00B56753" w:rsidRPr="00BC2E5D" w:rsidRDefault="00B56753" w:rsidP="00BC2E5D">
                        <w:pPr>
                          <w:pStyle w:val="afc"/>
                          <w:spacing w:before="0" w:beforeAutospacing="0" w:after="0" w:afterAutospacing="0"/>
                          <w:rPr>
                            <w:rFonts w:ascii="Garamond" w:hAnsi="Garamond"/>
                            <w:sz w:val="22"/>
                            <w:szCs w:val="22"/>
                          </w:rPr>
                        </w:pPr>
                        <w:r w:rsidRPr="00BC2E5D">
                          <w:rPr>
                            <w:rFonts w:ascii="Garamond" w:eastAsia="Calibri" w:hAnsi="Garamond"/>
                            <w:sz w:val="22"/>
                            <w:szCs w:val="22"/>
                            <w:lang w:val="en-US"/>
                          </w:rPr>
                          <w:t>X</w:t>
                        </w:r>
                      </w:p>
                    </w:txbxContent>
                  </v:textbox>
                </v:shape>
                <w10:anchorlock/>
              </v:group>
            </w:pict>
          </mc:Fallback>
        </mc:AlternateContent>
      </w:r>
    </w:p>
    <w:p w14:paraId="352D257A" w14:textId="77777777" w:rsidR="00BC2E5D" w:rsidRPr="00BC2E5D" w:rsidRDefault="00BC2E5D" w:rsidP="00BC2E5D">
      <w:pPr>
        <w:tabs>
          <w:tab w:val="left" w:pos="3162"/>
        </w:tabs>
        <w:jc w:val="center"/>
        <w:rPr>
          <w:rFonts w:cs="Garamond"/>
          <w:b/>
          <w:color w:val="auto"/>
          <w:lang w:val="en-US" w:eastAsia="ru-RU" w:bidi="ru-RU"/>
        </w:rPr>
      </w:pPr>
    </w:p>
    <w:p w14:paraId="200389D5" w14:textId="77777777" w:rsidR="00BC2E5D" w:rsidRPr="00BC2E5D" w:rsidRDefault="00BC2E5D" w:rsidP="00BC2E5D">
      <w:pPr>
        <w:tabs>
          <w:tab w:val="left" w:pos="3162"/>
        </w:tabs>
        <w:jc w:val="center"/>
        <w:rPr>
          <w:rFonts w:asciiTheme="minorHAnsi" w:eastAsiaTheme="minorHAnsi" w:hAnsiTheme="minorHAnsi" w:cstheme="minorBidi"/>
          <w:color w:val="auto"/>
          <w:szCs w:val="22"/>
          <w:lang w:val="en-US" w:eastAsia="en-US"/>
        </w:rPr>
      </w:pPr>
      <w:r w:rsidRPr="00BC2E5D">
        <w:rPr>
          <w:rFonts w:cs="Garamond"/>
          <w:b/>
          <w:color w:val="auto"/>
          <w:sz w:val="28"/>
          <w:lang w:val="en-US" w:eastAsia="ru-RU" w:bidi="ru-RU"/>
        </w:rPr>
        <w:t>Figure B.1</w:t>
      </w:r>
      <w:r w:rsidR="00252DD6">
        <w:rPr>
          <w:rFonts w:cs="Garamond"/>
          <w:b/>
          <w:color w:val="auto"/>
          <w:sz w:val="28"/>
          <w:lang w:val="en-US" w:eastAsia="ru-RU" w:bidi="ru-RU"/>
        </w:rPr>
        <w:t xml:space="preserve"> –</w:t>
      </w:r>
      <w:r w:rsidRPr="00BC2E5D">
        <w:rPr>
          <w:rFonts w:cs="Garamond"/>
          <w:b/>
          <w:color w:val="auto"/>
          <w:sz w:val="28"/>
          <w:lang w:val="en-US" w:eastAsia="ru-RU" w:bidi="ru-RU"/>
        </w:rPr>
        <w:t xml:space="preserve"> Step by step approach to DuPont analysis</w:t>
      </w:r>
    </w:p>
    <w:p w14:paraId="42CB7DAB" w14:textId="77777777" w:rsidR="00BC2E5D" w:rsidRPr="007767A0" w:rsidRDefault="00BC2E5D" w:rsidP="003C51B1">
      <w:pPr>
        <w:pBdr>
          <w:top w:val="nil"/>
          <w:left w:val="nil"/>
          <w:bottom w:val="nil"/>
          <w:right w:val="nil"/>
          <w:between w:val="nil"/>
          <w:bar w:val="nil"/>
        </w:pBdr>
        <w:spacing w:line="276" w:lineRule="auto"/>
        <w:rPr>
          <w:sz w:val="28"/>
          <w:szCs w:val="28"/>
          <w:u w:color="000000"/>
          <w:bdr w:val="nil"/>
          <w:lang w:val="en-US"/>
        </w:rPr>
      </w:pPr>
    </w:p>
    <w:p w14:paraId="13A0DDAE" w14:textId="77777777" w:rsidR="003C51B1" w:rsidRPr="003C51B1" w:rsidRDefault="003C51B1" w:rsidP="003C51B1">
      <w:pPr>
        <w:pBdr>
          <w:top w:val="nil"/>
          <w:left w:val="nil"/>
          <w:bottom w:val="nil"/>
          <w:right w:val="nil"/>
          <w:between w:val="nil"/>
          <w:bar w:val="nil"/>
        </w:pBdr>
        <w:spacing w:line="276" w:lineRule="auto"/>
        <w:rPr>
          <w:rFonts w:ascii="Arial" w:eastAsia="Arial Unicode MS" w:hAnsi="Arial Unicode MS" w:cs="Arial Unicode MS"/>
          <w:u w:color="000000"/>
          <w:bdr w:val="nil"/>
          <w:lang w:val="en-US"/>
        </w:rPr>
      </w:pPr>
    </w:p>
    <w:p w14:paraId="1D652232" w14:textId="77777777" w:rsidR="003C51B1" w:rsidRDefault="003C51B1">
      <w:pPr>
        <w:rPr>
          <w:rFonts w:eastAsia="Garamond"/>
          <w:b/>
          <w:bCs/>
          <w:caps/>
          <w:spacing w:val="20"/>
          <w:kern w:val="16"/>
          <w:u w:color="000000"/>
          <w:bdr w:val="nil"/>
          <w:lang w:val="en-US"/>
        </w:rPr>
      </w:pPr>
      <w:r>
        <w:rPr>
          <w:rFonts w:eastAsia="Garamond"/>
          <w:b/>
          <w:bCs/>
          <w:caps/>
          <w:spacing w:val="20"/>
          <w:kern w:val="16"/>
          <w:u w:color="000000"/>
          <w:bdr w:val="nil"/>
          <w:lang w:val="en-US"/>
        </w:rPr>
        <w:br w:type="page"/>
      </w:r>
    </w:p>
    <w:p w14:paraId="4BDDA4AA" w14:textId="77777777" w:rsidR="003C51B1" w:rsidRPr="003C51B1" w:rsidRDefault="003C51B1" w:rsidP="007767A0">
      <w:pPr>
        <w:pStyle w:val="eng"/>
        <w:rPr>
          <w:rFonts w:eastAsia="Garamond"/>
          <w:u w:color="000000"/>
          <w:bdr w:val="nil"/>
          <w:lang w:val="en-US"/>
        </w:rPr>
      </w:pPr>
      <w:r w:rsidRPr="003C51B1">
        <w:rPr>
          <w:rFonts w:eastAsia="Calibri"/>
          <w:u w:color="000000"/>
          <w:bdr w:val="nil"/>
          <w:lang w:val="en-US"/>
        </w:rPr>
        <w:lastRenderedPageBreak/>
        <w:t>Chapter 9</w:t>
      </w:r>
      <w:r w:rsidR="00303D5B">
        <w:rPr>
          <w:rFonts w:eastAsia="Calibri"/>
          <w:u w:color="000000"/>
          <w:bdr w:val="nil"/>
          <w:lang w:val="en-US"/>
        </w:rPr>
        <w:t>:</w:t>
      </w:r>
      <w:r w:rsidRPr="003C51B1">
        <w:rPr>
          <w:rFonts w:eastAsia="Calibri"/>
          <w:u w:color="000000"/>
          <w:bdr w:val="nil"/>
          <w:lang w:val="en-US"/>
        </w:rPr>
        <w:t xml:space="preserve"> </w:t>
      </w:r>
    </w:p>
    <w:p w14:paraId="1102F90F" w14:textId="77777777" w:rsidR="003C51B1" w:rsidRPr="003C51B1" w:rsidRDefault="003C51B1" w:rsidP="007767A0">
      <w:pPr>
        <w:pStyle w:val="eng"/>
        <w:rPr>
          <w:rFonts w:eastAsia="Garamond"/>
          <w:u w:color="000000"/>
          <w:bdr w:val="nil"/>
          <w:lang w:val="en-US"/>
        </w:rPr>
      </w:pPr>
      <w:r w:rsidRPr="003C51B1">
        <w:rPr>
          <w:rFonts w:eastAsia="Calibri"/>
          <w:u w:color="000000"/>
          <w:bdr w:val="nil"/>
          <w:lang w:val="en-US"/>
        </w:rPr>
        <w:t>Financial market</w:t>
      </w:r>
    </w:p>
    <w:p w14:paraId="3A196C1F" w14:textId="77777777" w:rsidR="003C51B1" w:rsidRPr="007767A0" w:rsidRDefault="003C51B1" w:rsidP="007767A0">
      <w:pPr>
        <w:pStyle w:val="end2"/>
        <w:rPr>
          <w:rFonts w:eastAsia="Garamond"/>
          <w:szCs w:val="28"/>
          <w:u w:color="000000"/>
          <w:bdr w:val="nil"/>
        </w:rPr>
      </w:pPr>
      <w:r w:rsidRPr="007767A0">
        <w:rPr>
          <w:rFonts w:eastAsia="Calibri"/>
          <w:szCs w:val="28"/>
          <w:u w:color="000000"/>
          <w:bdr w:val="nil"/>
        </w:rPr>
        <w:t>summary</w:t>
      </w:r>
    </w:p>
    <w:p w14:paraId="7C55B986" w14:textId="77777777" w:rsidR="003C51B1" w:rsidRPr="007767A0" w:rsidRDefault="003C51B1" w:rsidP="00407341">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b/>
          <w:bCs/>
          <w:sz w:val="28"/>
          <w:szCs w:val="28"/>
          <w:u w:color="000000"/>
          <w:bdr w:val="nil"/>
          <w:lang w:val="en-US"/>
        </w:rPr>
        <w:t>The financial market</w:t>
      </w:r>
      <w:r w:rsidRPr="007767A0">
        <w:rPr>
          <w:rFonts w:eastAsia="Calibri" w:cs="Calibri"/>
          <w:sz w:val="28"/>
          <w:szCs w:val="28"/>
          <w:u w:color="000000"/>
          <w:bdr w:val="nil"/>
          <w:lang w:val="en-US"/>
        </w:rPr>
        <w:t xml:space="preserve"> is a specialized market that is responsible for channeling financial resources from the surplus units (agents who have saved funds) to the deficit units (agents who needed additional funds) to carry out some form of economic activities. The financial market, therefore, constitute</w:t>
      </w:r>
      <w:r w:rsidR="00303D5B">
        <w:rPr>
          <w:rFonts w:eastAsia="Calibri" w:cs="Calibri"/>
          <w:sz w:val="28"/>
          <w:szCs w:val="28"/>
          <w:u w:color="000000"/>
          <w:bdr w:val="nil"/>
          <w:lang w:val="en-US"/>
        </w:rPr>
        <w:t>s</w:t>
      </w:r>
      <w:r w:rsidRPr="007767A0">
        <w:rPr>
          <w:rFonts w:eastAsia="Calibri" w:cs="Calibri"/>
          <w:sz w:val="28"/>
          <w:szCs w:val="28"/>
          <w:u w:color="000000"/>
          <w:bdr w:val="nil"/>
          <w:lang w:val="en-US"/>
        </w:rPr>
        <w:t xml:space="preserve"> of all financial institutions that receive financial resources from the surplus units of the economy in the form of savings a</w:t>
      </w:r>
      <w:r w:rsidR="005B4C7B">
        <w:rPr>
          <w:rFonts w:eastAsia="Calibri" w:cs="Calibri"/>
          <w:sz w:val="28"/>
          <w:szCs w:val="28"/>
          <w:u w:color="000000"/>
          <w:bdr w:val="nil"/>
          <w:lang w:val="en-US"/>
        </w:rPr>
        <w:t>nd transfer them to the deficit</w:t>
      </w:r>
      <w:r w:rsidRPr="007767A0">
        <w:rPr>
          <w:rFonts w:eastAsia="Calibri" w:cs="Calibri"/>
          <w:sz w:val="28"/>
          <w:szCs w:val="28"/>
          <w:u w:color="000000"/>
          <w:bdr w:val="nil"/>
          <w:lang w:val="en-US"/>
        </w:rPr>
        <w:t xml:space="preserve"> units through lending activities. This role of transferring financial resources from the surplus units to the deficit units is what is referred to as financial intermediation. This function is illustrated quite </w:t>
      </w:r>
      <w:r w:rsidR="005B4C7B">
        <w:rPr>
          <w:rFonts w:eastAsia="Calibri" w:cs="Calibri"/>
          <w:sz w:val="28"/>
          <w:szCs w:val="28"/>
          <w:u w:color="000000"/>
          <w:bdr w:val="nil"/>
          <w:lang w:val="en-US"/>
        </w:rPr>
        <w:t>clear</w:t>
      </w:r>
      <w:r w:rsidRPr="007767A0">
        <w:rPr>
          <w:rFonts w:eastAsia="Calibri" w:cs="Calibri"/>
          <w:sz w:val="28"/>
          <w:szCs w:val="28"/>
          <w:u w:color="000000"/>
          <w:bdr w:val="nil"/>
          <w:lang w:val="en-US"/>
        </w:rPr>
        <w:t xml:space="preserve">ly in Mishkin’s </w:t>
      </w:r>
      <w:r w:rsidR="00613E76">
        <w:rPr>
          <w:rFonts w:eastAsia="Calibri" w:cs="Calibri"/>
          <w:sz w:val="28"/>
          <w:szCs w:val="28"/>
          <w:u w:color="000000"/>
          <w:bdr w:val="nil"/>
          <w:lang w:val="en-US"/>
        </w:rPr>
        <w:t>Figure</w:t>
      </w:r>
      <w:r w:rsidRPr="007767A0">
        <w:rPr>
          <w:rFonts w:eastAsia="Calibri" w:cs="Calibri"/>
          <w:sz w:val="28"/>
          <w:szCs w:val="28"/>
          <w:u w:color="000000"/>
          <w:bdr w:val="nil"/>
          <w:lang w:val="en-US"/>
        </w:rPr>
        <w:t xml:space="preserve"> 9.1, which also serves conveniently to introduce us a number of other concepts and terms.</w:t>
      </w:r>
    </w:p>
    <w:p w14:paraId="7FBB48D4" w14:textId="77777777" w:rsidR="003C51B1" w:rsidRPr="007767A0" w:rsidRDefault="007767A0" w:rsidP="003C51B1">
      <w:pPr>
        <w:pBdr>
          <w:top w:val="nil"/>
          <w:left w:val="nil"/>
          <w:bottom w:val="nil"/>
          <w:right w:val="nil"/>
          <w:between w:val="nil"/>
          <w:bar w:val="nil"/>
        </w:pBdr>
        <w:spacing w:line="312" w:lineRule="auto"/>
        <w:ind w:firstLine="357"/>
        <w:jc w:val="both"/>
        <w:rPr>
          <w:rFonts w:eastAsia="Garamond"/>
          <w:sz w:val="28"/>
          <w:szCs w:val="28"/>
          <w:u w:color="000000"/>
          <w:bdr w:val="nil"/>
          <w:lang w:val="en-US"/>
        </w:rPr>
      </w:pPr>
      <w:r w:rsidRPr="007767A0">
        <w:rPr>
          <w:rFonts w:cs="Garamond"/>
          <w:noProof/>
          <w:color w:val="auto"/>
          <w:lang w:val="ru-RU" w:eastAsia="ru-RU"/>
        </w:rPr>
        <mc:AlternateContent>
          <mc:Choice Requires="wpc">
            <w:drawing>
              <wp:inline distT="0" distB="0" distL="0" distR="0" wp14:anchorId="6FC02E75" wp14:editId="3AC341DB">
                <wp:extent cx="5486400" cy="2667295"/>
                <wp:effectExtent l="0" t="0" r="0" b="0"/>
                <wp:docPr id="305" name="Полотно 30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85" name="Поле 19"/>
                        <wps:cNvSpPr txBox="1"/>
                        <wps:spPr>
                          <a:xfrm>
                            <a:off x="3180715" y="1444580"/>
                            <a:ext cx="1048385" cy="314960"/>
                          </a:xfrm>
                          <a:prstGeom prst="rect">
                            <a:avLst/>
                          </a:prstGeom>
                          <a:solidFill>
                            <a:sysClr val="window" lastClr="FFFFFF"/>
                          </a:solidFill>
                          <a:ln w="6350">
                            <a:noFill/>
                          </a:ln>
                          <a:effectLst/>
                        </wps:spPr>
                        <wps:txbx>
                          <w:txbxContent>
                            <w:p w14:paraId="2ADD7903" w14:textId="77777777" w:rsidR="00B56753" w:rsidRDefault="00B56753" w:rsidP="007767A0">
                              <w:pPr>
                                <w:pStyle w:val="NormalWeb"/>
                                <w:spacing w:before="0" w:beforeAutospacing="0" w:after="0" w:afterAutospacing="0"/>
                                <w:jc w:val="right"/>
                              </w:pPr>
                              <w:r>
                                <w:rPr>
                                  <w:rFonts w:ascii="Garamond" w:eastAsia="Calibri" w:hAnsi="Garamond"/>
                                  <w:b/>
                                  <w:bCs/>
                                  <w:sz w:val="22"/>
                                  <w:szCs w:val="22"/>
                                  <w:lang w:val="en-US"/>
                                </w:rPr>
                                <w:t>Issue securities   (liabilities)</w:t>
                              </w:r>
                            </w:p>
                          </w:txbxContent>
                        </wps:txbx>
                        <wps:bodyPr rot="0" spcFirstLastPara="0" vert="horz" wrap="square" lIns="0" tIns="0" rIns="0" bIns="0" numCol="1" spcCol="0" rtlCol="0" fromWordArt="0" anchor="t" anchorCtr="0" forceAA="0" compatLnSpc="1">
                          <a:prstTxWarp prst="textNoShape">
                            <a:avLst/>
                          </a:prstTxWarp>
                          <a:noAutofit/>
                        </wps:bodyPr>
                      </wps:wsp>
                      <wps:wsp>
                        <wps:cNvPr id="286" name="Овал 286"/>
                        <wps:cNvSpPr/>
                        <wps:spPr>
                          <a:xfrm>
                            <a:off x="1904025" y="389550"/>
                            <a:ext cx="1752600" cy="439125"/>
                          </a:xfrm>
                          <a:prstGeom prst="ellipse">
                            <a:avLst/>
                          </a:prstGeom>
                          <a:solidFill>
                            <a:sysClr val="window" lastClr="FFFFFF"/>
                          </a:solidFill>
                          <a:ln w="9525" cap="flat" cmpd="sng" algn="ctr">
                            <a:solidFill>
                              <a:sysClr val="windowText" lastClr="000000"/>
                            </a:solidFill>
                            <a:prstDash val="solid"/>
                          </a:ln>
                          <a:effectLst/>
                        </wps:spPr>
                        <wps:txbx>
                          <w:txbxContent>
                            <w:p w14:paraId="5447B587" w14:textId="77777777" w:rsidR="00B56753" w:rsidRPr="007767A0" w:rsidRDefault="00B56753" w:rsidP="007767A0">
                              <w:pPr>
                                <w:pStyle w:val="NormalWeb"/>
                                <w:spacing w:before="0" w:beforeAutospacing="0" w:after="0" w:afterAutospacing="0" w:line="240" w:lineRule="atLeast"/>
                                <w:jc w:val="center"/>
                                <w:rPr>
                                  <w:sz w:val="28"/>
                                </w:rPr>
                              </w:pPr>
                              <w:r w:rsidRPr="007767A0">
                                <w:rPr>
                                  <w:rFonts w:ascii="Garamond" w:eastAsia="Calibri" w:hAnsi="Garamond"/>
                                  <w:szCs w:val="22"/>
                                  <w:lang w:val="en-US"/>
                                </w:rPr>
                                <w:t>Financial Intermediaries</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87" name="Поле 2"/>
                        <wps:cNvSpPr txBox="1"/>
                        <wps:spPr>
                          <a:xfrm>
                            <a:off x="0" y="1379997"/>
                            <a:ext cx="1257300" cy="1177724"/>
                          </a:xfrm>
                          <a:prstGeom prst="rect">
                            <a:avLst/>
                          </a:prstGeom>
                          <a:solidFill>
                            <a:sysClr val="window" lastClr="FFFFFF">
                              <a:lumMod val="85000"/>
                            </a:sysClr>
                          </a:solidFill>
                          <a:ln w="6350">
                            <a:noFill/>
                          </a:ln>
                          <a:effectLst/>
                        </wps:spPr>
                        <wps:txbx>
                          <w:txbxContent>
                            <w:p w14:paraId="07FC268F" w14:textId="77777777" w:rsidR="00B56753" w:rsidRPr="007767A0" w:rsidRDefault="00B56753" w:rsidP="007767A0">
                              <w:pPr>
                                <w:pStyle w:val="NormalWeb"/>
                                <w:spacing w:before="0" w:beforeAutospacing="0" w:after="0" w:afterAutospacing="0"/>
                                <w:jc w:val="center"/>
                                <w:rPr>
                                  <w:rFonts w:ascii="Garamond" w:eastAsia="Calibri" w:hAnsi="Garamond"/>
                                  <w:szCs w:val="22"/>
                                  <w:lang w:val="en-US"/>
                                </w:rPr>
                              </w:pPr>
                              <w:r w:rsidRPr="007767A0">
                                <w:rPr>
                                  <w:rFonts w:ascii="Garamond" w:eastAsia="Calibri" w:hAnsi="Garamond"/>
                                  <w:szCs w:val="22"/>
                                  <w:lang w:val="en-US"/>
                                </w:rPr>
                                <w:t>L</w:t>
                              </w:r>
                              <w:r>
                                <w:rPr>
                                  <w:rFonts w:ascii="Garamond" w:eastAsia="Calibri" w:hAnsi="Garamond"/>
                                  <w:szCs w:val="22"/>
                                  <w:lang w:val="en-US"/>
                                </w:rPr>
                                <w:t>enders/</w:t>
                              </w:r>
                              <w:r w:rsidRPr="007767A0">
                                <w:rPr>
                                  <w:rFonts w:ascii="Garamond" w:eastAsia="Calibri" w:hAnsi="Garamond"/>
                                  <w:szCs w:val="22"/>
                                  <w:lang w:val="en-US"/>
                                </w:rPr>
                                <w:t>Savers</w:t>
                              </w:r>
                            </w:p>
                            <w:p w14:paraId="6F6002AE" w14:textId="77777777" w:rsidR="00B56753" w:rsidRPr="007767A0" w:rsidRDefault="00B56753" w:rsidP="006F749C">
                              <w:pPr>
                                <w:pStyle w:val="NormalWeb"/>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Household</w:t>
                              </w:r>
                              <w:r>
                                <w:rPr>
                                  <w:rFonts w:ascii="Garamond" w:eastAsia="Calibri" w:hAnsi="Garamond"/>
                                  <w:szCs w:val="22"/>
                                  <w:lang w:val="en-US"/>
                                </w:rPr>
                                <w:t>er</w:t>
                              </w:r>
                              <w:r w:rsidRPr="007767A0">
                                <w:rPr>
                                  <w:rFonts w:ascii="Garamond" w:eastAsia="Calibri" w:hAnsi="Garamond"/>
                                  <w:szCs w:val="22"/>
                                  <w:lang w:val="en-US"/>
                                </w:rPr>
                                <w:t>s</w:t>
                              </w:r>
                            </w:p>
                            <w:p w14:paraId="5153B908" w14:textId="77777777" w:rsidR="00B56753" w:rsidRPr="007767A0" w:rsidRDefault="00B56753" w:rsidP="006F749C">
                              <w:pPr>
                                <w:pStyle w:val="NormalWeb"/>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Businesses</w:t>
                              </w:r>
                            </w:p>
                            <w:p w14:paraId="13EE506F" w14:textId="77777777" w:rsidR="00B56753" w:rsidRPr="007767A0" w:rsidRDefault="00B56753" w:rsidP="006F749C">
                              <w:pPr>
                                <w:pStyle w:val="NormalWeb"/>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Governments</w:t>
                              </w:r>
                            </w:p>
                            <w:p w14:paraId="389074B6" w14:textId="77777777" w:rsidR="00B56753" w:rsidRPr="007767A0" w:rsidRDefault="00B56753" w:rsidP="006F749C">
                              <w:pPr>
                                <w:pStyle w:val="NormalWeb"/>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Foreigners</w:t>
                              </w:r>
                            </w:p>
                          </w:txbxContent>
                        </wps:txbx>
                        <wps:bodyPr rot="0" spcFirstLastPara="0" vert="horz" wrap="square" lIns="36000" tIns="0" rIns="36000" bIns="0" numCol="1" spcCol="0" rtlCol="0" fromWordArt="0" anchor="t" anchorCtr="0" forceAA="0" compatLnSpc="1">
                          <a:prstTxWarp prst="textNoShape">
                            <a:avLst/>
                          </a:prstTxWarp>
                          <a:noAutofit/>
                        </wps:bodyPr>
                      </wps:wsp>
                      <wps:wsp>
                        <wps:cNvPr id="288" name="Поле 2"/>
                        <wps:cNvSpPr txBox="1"/>
                        <wps:spPr>
                          <a:xfrm>
                            <a:off x="4229100" y="1380029"/>
                            <a:ext cx="1257300" cy="1177975"/>
                          </a:xfrm>
                          <a:prstGeom prst="rect">
                            <a:avLst/>
                          </a:prstGeom>
                          <a:solidFill>
                            <a:sysClr val="window" lastClr="FFFFFF">
                              <a:lumMod val="85000"/>
                            </a:sysClr>
                          </a:solidFill>
                          <a:ln w="6350">
                            <a:noFill/>
                          </a:ln>
                          <a:effectLst/>
                        </wps:spPr>
                        <wps:txbx>
                          <w:txbxContent>
                            <w:p w14:paraId="080C2414" w14:textId="77777777" w:rsidR="00B56753" w:rsidRPr="007767A0" w:rsidRDefault="00B56753" w:rsidP="007767A0">
                              <w:pPr>
                                <w:pStyle w:val="NormalWeb"/>
                                <w:spacing w:before="0" w:beforeAutospacing="0" w:after="0" w:afterAutospacing="0"/>
                                <w:jc w:val="center"/>
                                <w:rPr>
                                  <w:sz w:val="28"/>
                                </w:rPr>
                              </w:pPr>
                              <w:r w:rsidRPr="007767A0">
                                <w:rPr>
                                  <w:rFonts w:ascii="Garamond" w:eastAsia="Calibri" w:hAnsi="Garamond"/>
                                  <w:szCs w:val="22"/>
                                  <w:lang w:val="en-US"/>
                                </w:rPr>
                                <w:t>Borrowers/ Spenders</w:t>
                              </w:r>
                            </w:p>
                            <w:p w14:paraId="54D0B8F4" w14:textId="77777777" w:rsidR="00B56753" w:rsidRPr="007767A0" w:rsidRDefault="00B56753" w:rsidP="006F749C">
                              <w:pPr>
                                <w:pStyle w:val="NormalWeb"/>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Household</w:t>
                              </w:r>
                              <w:r>
                                <w:rPr>
                                  <w:rFonts w:ascii="Garamond" w:eastAsia="Calibri" w:hAnsi="Garamond"/>
                                  <w:szCs w:val="22"/>
                                  <w:lang w:val="en-US"/>
                                </w:rPr>
                                <w:t>er</w:t>
                              </w:r>
                              <w:r w:rsidRPr="007767A0">
                                <w:rPr>
                                  <w:rFonts w:ascii="Garamond" w:eastAsia="Calibri" w:hAnsi="Garamond"/>
                                  <w:szCs w:val="22"/>
                                  <w:lang w:val="en-US"/>
                                </w:rPr>
                                <w:t>s</w:t>
                              </w:r>
                            </w:p>
                            <w:p w14:paraId="6654507D" w14:textId="77777777" w:rsidR="00B56753" w:rsidRPr="007767A0" w:rsidRDefault="00B56753" w:rsidP="006F749C">
                              <w:pPr>
                                <w:pStyle w:val="NormalWeb"/>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Businesses</w:t>
                              </w:r>
                            </w:p>
                            <w:p w14:paraId="4BA0C22C" w14:textId="77777777" w:rsidR="00B56753" w:rsidRPr="007767A0" w:rsidRDefault="00B56753" w:rsidP="006F749C">
                              <w:pPr>
                                <w:pStyle w:val="NormalWeb"/>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Governments</w:t>
                              </w:r>
                            </w:p>
                            <w:p w14:paraId="7145E800" w14:textId="77777777" w:rsidR="00B56753" w:rsidRPr="007767A0" w:rsidRDefault="00B56753" w:rsidP="006F749C">
                              <w:pPr>
                                <w:pStyle w:val="NormalWeb"/>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Foreigners</w:t>
                              </w:r>
                            </w:p>
                          </w:txbxContent>
                        </wps:txbx>
                        <wps:bodyPr rot="0" spcFirstLastPara="0" vert="horz" wrap="square" lIns="36000" tIns="0" rIns="36000" bIns="0" numCol="1" spcCol="0" rtlCol="0" fromWordArt="0" anchor="t" anchorCtr="0" forceAA="0" compatLnSpc="1">
                          <a:prstTxWarp prst="textNoShape">
                            <a:avLst/>
                          </a:prstTxWarp>
                          <a:noAutofit/>
                        </wps:bodyPr>
                      </wps:wsp>
                      <wps:wsp>
                        <wps:cNvPr id="289" name="Овал 289"/>
                        <wps:cNvSpPr/>
                        <wps:spPr>
                          <a:xfrm>
                            <a:off x="1904025" y="1624785"/>
                            <a:ext cx="1752600" cy="438785"/>
                          </a:xfrm>
                          <a:prstGeom prst="ellipse">
                            <a:avLst/>
                          </a:prstGeom>
                          <a:solidFill>
                            <a:sysClr val="window" lastClr="FFFFFF"/>
                          </a:solidFill>
                          <a:ln w="9525" cap="flat" cmpd="sng" algn="ctr">
                            <a:solidFill>
                              <a:sysClr val="windowText" lastClr="000000"/>
                            </a:solidFill>
                            <a:prstDash val="solid"/>
                          </a:ln>
                          <a:effectLst/>
                        </wps:spPr>
                        <wps:txbx>
                          <w:txbxContent>
                            <w:p w14:paraId="7E3B6430" w14:textId="77777777" w:rsidR="00B56753" w:rsidRPr="007767A0" w:rsidRDefault="00B56753" w:rsidP="007767A0">
                              <w:pPr>
                                <w:pStyle w:val="NormalWeb"/>
                                <w:spacing w:before="0" w:beforeAutospacing="0" w:after="0" w:afterAutospacing="0"/>
                                <w:jc w:val="center"/>
                                <w:rPr>
                                  <w:sz w:val="28"/>
                                  <w:lang w:val="en-US"/>
                                </w:rPr>
                              </w:pPr>
                              <w:r w:rsidRPr="007767A0">
                                <w:rPr>
                                  <w:rFonts w:ascii="Garamond" w:eastAsia="Calibri" w:hAnsi="Garamond"/>
                                  <w:szCs w:val="22"/>
                                  <w:lang w:val="en-US"/>
                                </w:rPr>
                                <w:t>Financial Market</w:t>
                              </w:r>
                              <w:r w:rsidRPr="007767A0">
                                <w:rPr>
                                  <w:sz w:val="28"/>
                                </w:rPr>
                                <w:t> </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90" name="Скругленная соединительная линия 290"/>
                        <wps:cNvCnPr>
                          <a:endCxn id="286" idx="2"/>
                        </wps:cNvCnPr>
                        <wps:spPr>
                          <a:xfrm flipV="1">
                            <a:off x="610575" y="609113"/>
                            <a:ext cx="1293450" cy="771037"/>
                          </a:xfrm>
                          <a:prstGeom prst="curvedConnector3">
                            <a:avLst>
                              <a:gd name="adj1" fmla="val -75"/>
                            </a:avLst>
                          </a:prstGeom>
                          <a:noFill/>
                          <a:ln w="9525" cap="flat" cmpd="sng" algn="ctr">
                            <a:solidFill>
                              <a:sysClr val="windowText" lastClr="000000">
                                <a:shade val="95000"/>
                                <a:satMod val="105000"/>
                              </a:sysClr>
                            </a:solidFill>
                            <a:prstDash val="solid"/>
                            <a:headEnd type="none" w="med" len="med"/>
                            <a:tailEnd type="stealth" w="med" len="med"/>
                          </a:ln>
                          <a:effectLst/>
                        </wps:spPr>
                        <wps:bodyPr/>
                      </wps:wsp>
                      <wps:wsp>
                        <wps:cNvPr id="291" name="Скругленная соединительная линия 291"/>
                        <wps:cNvCnPr/>
                        <wps:spPr>
                          <a:xfrm rot="10800000">
                            <a:off x="3656625" y="609114"/>
                            <a:ext cx="1210650" cy="771037"/>
                          </a:xfrm>
                          <a:prstGeom prst="curvedConnector3">
                            <a:avLst>
                              <a:gd name="adj1" fmla="val 433"/>
                            </a:avLst>
                          </a:prstGeom>
                          <a:noFill/>
                          <a:ln w="9525" cap="flat" cmpd="sng" algn="ctr">
                            <a:solidFill>
                              <a:sysClr val="windowText" lastClr="000000">
                                <a:shade val="95000"/>
                                <a:satMod val="105000"/>
                              </a:sysClr>
                            </a:solidFill>
                            <a:prstDash val="solid"/>
                            <a:tailEnd type="stealth"/>
                          </a:ln>
                          <a:effectLst/>
                        </wps:spPr>
                        <wps:bodyPr/>
                      </wps:wsp>
                      <wps:wsp>
                        <wps:cNvPr id="292" name="Прямая со стрелкой 292"/>
                        <wps:cNvCnPr>
                          <a:endCxn id="289" idx="2"/>
                        </wps:cNvCnPr>
                        <wps:spPr>
                          <a:xfrm>
                            <a:off x="1257300" y="1844178"/>
                            <a:ext cx="646725" cy="0"/>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293" name="Прямая со стрелкой 293"/>
                        <wps:cNvCnPr/>
                        <wps:spPr>
                          <a:xfrm flipH="1">
                            <a:off x="3656625" y="1844178"/>
                            <a:ext cx="572475" cy="0"/>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294" name="Прямая со стрелкой 294"/>
                        <wps:cNvCnPr/>
                        <wps:spPr>
                          <a:xfrm>
                            <a:off x="3582670" y="1947840"/>
                            <a:ext cx="646430" cy="0"/>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295" name="Прямая со стрелкой 295"/>
                        <wps:cNvCnPr/>
                        <wps:spPr>
                          <a:xfrm flipH="1">
                            <a:off x="1257300" y="1962105"/>
                            <a:ext cx="769916" cy="0"/>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296" name="Прямая со стрелкой 296"/>
                        <wps:cNvCnPr/>
                        <wps:spPr>
                          <a:xfrm>
                            <a:off x="2771775" y="828675"/>
                            <a:ext cx="0" cy="796110"/>
                          </a:xfrm>
                          <a:prstGeom prst="straightConnector1">
                            <a:avLst/>
                          </a:prstGeom>
                          <a:noFill/>
                          <a:ln w="9525" cap="flat" cmpd="sng" algn="ctr">
                            <a:solidFill>
                              <a:sysClr val="windowText" lastClr="000000">
                                <a:shade val="95000"/>
                                <a:satMod val="105000"/>
                              </a:sysClr>
                            </a:solidFill>
                            <a:prstDash val="solid"/>
                            <a:tailEnd type="stealth"/>
                          </a:ln>
                          <a:effectLst/>
                        </wps:spPr>
                        <wps:bodyPr/>
                      </wps:wsp>
                      <wps:wsp>
                        <wps:cNvPr id="297" name="Поле 297"/>
                        <wps:cNvSpPr txBox="1"/>
                        <wps:spPr>
                          <a:xfrm>
                            <a:off x="610575" y="304767"/>
                            <a:ext cx="646725" cy="304279"/>
                          </a:xfrm>
                          <a:prstGeom prst="rect">
                            <a:avLst/>
                          </a:prstGeom>
                          <a:solidFill>
                            <a:sysClr val="window" lastClr="FFFFFF"/>
                          </a:solidFill>
                          <a:ln w="6350">
                            <a:noFill/>
                          </a:ln>
                          <a:effectLst/>
                        </wps:spPr>
                        <wps:txbx>
                          <w:txbxContent>
                            <w:p w14:paraId="04673D09" w14:textId="77777777" w:rsidR="00B56753" w:rsidRPr="00526E1D" w:rsidRDefault="00B56753" w:rsidP="007767A0">
                              <w:pPr>
                                <w:rPr>
                                  <w:b/>
                                  <w:lang w:val="en-US"/>
                                </w:rPr>
                              </w:pPr>
                              <w:r w:rsidRPr="00526E1D">
                                <w:rPr>
                                  <w:b/>
                                  <w:lang w:val="en-US"/>
                                </w:rPr>
                                <w:t>Funds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8" name="Поле 19"/>
                        <wps:cNvSpPr txBox="1"/>
                        <wps:spPr>
                          <a:xfrm>
                            <a:off x="4332899" y="304767"/>
                            <a:ext cx="736811" cy="303791"/>
                          </a:xfrm>
                          <a:prstGeom prst="rect">
                            <a:avLst/>
                          </a:prstGeom>
                          <a:solidFill>
                            <a:sysClr val="window" lastClr="FFFFFF"/>
                          </a:solidFill>
                          <a:ln w="6350">
                            <a:noFill/>
                          </a:ln>
                          <a:effectLst/>
                        </wps:spPr>
                        <wps:txbx>
                          <w:txbxContent>
                            <w:p w14:paraId="35600F58" w14:textId="77777777" w:rsidR="00B56753" w:rsidRPr="007767A0" w:rsidRDefault="00B56753" w:rsidP="007767A0">
                              <w:pPr>
                                <w:pStyle w:val="NormalWeb"/>
                                <w:spacing w:before="0" w:beforeAutospacing="0" w:after="0" w:afterAutospacing="0"/>
                                <w:rPr>
                                  <w:sz w:val="28"/>
                                </w:rPr>
                              </w:pPr>
                              <w:r w:rsidRPr="007767A0">
                                <w:rPr>
                                  <w:rFonts w:ascii="Garamond" w:eastAsia="Calibri" w:hAnsi="Garamond"/>
                                  <w:b/>
                                  <w:bCs/>
                                  <w:szCs w:val="22"/>
                                  <w:lang w:val="en-US"/>
                                </w:rPr>
                                <w:t>Funds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9" name="Поле 19"/>
                        <wps:cNvSpPr txBox="1"/>
                        <wps:spPr>
                          <a:xfrm>
                            <a:off x="2027216" y="1160819"/>
                            <a:ext cx="646430" cy="283601"/>
                          </a:xfrm>
                          <a:prstGeom prst="rect">
                            <a:avLst/>
                          </a:prstGeom>
                          <a:solidFill>
                            <a:sysClr val="window" lastClr="FFFFFF"/>
                          </a:solidFill>
                          <a:ln w="6350">
                            <a:noFill/>
                          </a:ln>
                          <a:effectLst/>
                        </wps:spPr>
                        <wps:txbx>
                          <w:txbxContent>
                            <w:p w14:paraId="53EC1496" w14:textId="77777777" w:rsidR="00B56753" w:rsidRPr="007767A0" w:rsidRDefault="00B56753" w:rsidP="007767A0">
                              <w:pPr>
                                <w:pStyle w:val="NormalWeb"/>
                                <w:spacing w:before="0" w:beforeAutospacing="0" w:after="0" w:afterAutospacing="0"/>
                                <w:rPr>
                                  <w:sz w:val="28"/>
                                </w:rPr>
                              </w:pPr>
                              <w:r w:rsidRPr="007767A0">
                                <w:rPr>
                                  <w:rFonts w:ascii="Garamond" w:eastAsia="Calibri" w:hAnsi="Garamond"/>
                                  <w:b/>
                                  <w:bCs/>
                                  <w:szCs w:val="22"/>
                                  <w:lang w:val="en-US"/>
                                </w:rPr>
                                <w:t>Funds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0" name="Поле 19"/>
                        <wps:cNvSpPr txBox="1"/>
                        <wps:spPr>
                          <a:xfrm>
                            <a:off x="1380786" y="1522857"/>
                            <a:ext cx="646430" cy="236488"/>
                          </a:xfrm>
                          <a:prstGeom prst="rect">
                            <a:avLst/>
                          </a:prstGeom>
                          <a:solidFill>
                            <a:sysClr val="window" lastClr="FFFFFF"/>
                          </a:solidFill>
                          <a:ln w="6350">
                            <a:noFill/>
                          </a:ln>
                          <a:effectLst/>
                        </wps:spPr>
                        <wps:txbx>
                          <w:txbxContent>
                            <w:p w14:paraId="549477DD" w14:textId="77777777" w:rsidR="00B56753" w:rsidRPr="007767A0" w:rsidRDefault="00B56753" w:rsidP="007767A0">
                              <w:pPr>
                                <w:pStyle w:val="NormalWeb"/>
                                <w:spacing w:before="0" w:beforeAutospacing="0" w:after="0" w:afterAutospacing="0"/>
                                <w:rPr>
                                  <w:sz w:val="28"/>
                                </w:rPr>
                              </w:pPr>
                              <w:r w:rsidRPr="007767A0">
                                <w:rPr>
                                  <w:rFonts w:ascii="Garamond" w:eastAsia="Calibri" w:hAnsi="Garamond"/>
                                  <w:b/>
                                  <w:bCs/>
                                  <w:szCs w:val="22"/>
                                  <w:lang w:val="en-US"/>
                                </w:rPr>
                                <w:t>Funds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1" name="Поле 19"/>
                        <wps:cNvSpPr txBox="1"/>
                        <wps:spPr>
                          <a:xfrm>
                            <a:off x="3526495" y="2056198"/>
                            <a:ext cx="646430" cy="315002"/>
                          </a:xfrm>
                          <a:prstGeom prst="rect">
                            <a:avLst/>
                          </a:prstGeom>
                          <a:solidFill>
                            <a:sysClr val="window" lastClr="FFFFFF"/>
                          </a:solidFill>
                          <a:ln w="6350">
                            <a:noFill/>
                          </a:ln>
                          <a:effectLst/>
                        </wps:spPr>
                        <wps:txbx>
                          <w:txbxContent>
                            <w:p w14:paraId="1C34B676" w14:textId="77777777" w:rsidR="00B56753" w:rsidRPr="007767A0" w:rsidRDefault="00B56753" w:rsidP="007767A0">
                              <w:pPr>
                                <w:pStyle w:val="NormalWeb"/>
                                <w:spacing w:before="0" w:beforeAutospacing="0" w:after="0" w:afterAutospacing="0"/>
                                <w:rPr>
                                  <w:sz w:val="28"/>
                                </w:rPr>
                              </w:pPr>
                              <w:r w:rsidRPr="007767A0">
                                <w:rPr>
                                  <w:rFonts w:ascii="Garamond" w:eastAsia="Calibri" w:hAnsi="Garamond"/>
                                  <w:b/>
                                  <w:bCs/>
                                  <w:szCs w:val="22"/>
                                  <w:lang w:val="en-US"/>
                                </w:rPr>
                                <w:t>Funds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2" name="Поле 19"/>
                        <wps:cNvSpPr txBox="1"/>
                        <wps:spPr>
                          <a:xfrm>
                            <a:off x="1257300" y="2056198"/>
                            <a:ext cx="1254406" cy="315299"/>
                          </a:xfrm>
                          <a:prstGeom prst="rect">
                            <a:avLst/>
                          </a:prstGeom>
                          <a:solidFill>
                            <a:sysClr val="window" lastClr="FFFFFF"/>
                          </a:solidFill>
                          <a:ln w="6350">
                            <a:noFill/>
                          </a:ln>
                          <a:effectLst/>
                        </wps:spPr>
                        <wps:txbx>
                          <w:txbxContent>
                            <w:p w14:paraId="5447C0EC" w14:textId="77777777" w:rsidR="00B56753" w:rsidRPr="007767A0" w:rsidRDefault="00B56753" w:rsidP="007767A0">
                              <w:pPr>
                                <w:pStyle w:val="NormalWeb"/>
                                <w:spacing w:before="0" w:beforeAutospacing="0" w:after="0" w:afterAutospacing="0"/>
                                <w:jc w:val="center"/>
                                <w:rPr>
                                  <w:sz w:val="28"/>
                                </w:rPr>
                              </w:pPr>
                              <w:r w:rsidRPr="007767A0">
                                <w:rPr>
                                  <w:rFonts w:ascii="Garamond" w:eastAsia="Calibri" w:hAnsi="Garamond"/>
                                  <w:b/>
                                  <w:bCs/>
                                  <w:szCs w:val="22"/>
                                  <w:lang w:val="en-US"/>
                                </w:rPr>
                                <w:t>Buy securities (financial assets)</w:t>
                              </w:r>
                            </w:p>
                          </w:txbxContent>
                        </wps:txbx>
                        <wps:bodyPr rot="0" spcFirstLastPara="0" vert="horz" wrap="square" lIns="0" tIns="0" rIns="0" bIns="0" numCol="1" spcCol="0" rtlCol="0" fromWordArt="0" anchor="t" anchorCtr="0" forceAA="0" compatLnSpc="1">
                          <a:prstTxWarp prst="textNoShape">
                            <a:avLst/>
                          </a:prstTxWarp>
                          <a:noAutofit/>
                        </wps:bodyPr>
                      </wps:wsp>
                      <wps:wsp>
                        <wps:cNvPr id="303" name="Поле 303"/>
                        <wps:cNvSpPr txBox="1"/>
                        <wps:spPr>
                          <a:xfrm>
                            <a:off x="2007531" y="94265"/>
                            <a:ext cx="1609725" cy="295242"/>
                          </a:xfrm>
                          <a:prstGeom prst="rect">
                            <a:avLst/>
                          </a:prstGeom>
                          <a:solidFill>
                            <a:sysClr val="window" lastClr="FFFFFF"/>
                          </a:solidFill>
                          <a:ln w="6350">
                            <a:noFill/>
                          </a:ln>
                          <a:effectLst/>
                        </wps:spPr>
                        <wps:txbx>
                          <w:txbxContent>
                            <w:p w14:paraId="07CFC09F" w14:textId="77777777" w:rsidR="00B56753" w:rsidRPr="00465421" w:rsidRDefault="00B56753" w:rsidP="007767A0">
                              <w:pPr>
                                <w:jc w:val="center"/>
                                <w:rPr>
                                  <w:b/>
                                  <w:lang w:val="en-US"/>
                                </w:rPr>
                              </w:pPr>
                              <w:r w:rsidRPr="007767A0">
                                <w:rPr>
                                  <w:b/>
                                  <w:sz w:val="28"/>
                                  <w:lang w:val="en-US"/>
                                </w:rPr>
                                <w:t>INDIRECT</w:t>
                              </w:r>
                              <w:r w:rsidRPr="00465421">
                                <w:rPr>
                                  <w:b/>
                                  <w:lang w:val="en-US"/>
                                </w:rPr>
                                <w:t xml:space="preserve"> FINANCE</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304" name="Поле 27"/>
                        <wps:cNvSpPr txBox="1"/>
                        <wps:spPr>
                          <a:xfrm>
                            <a:off x="2046900" y="2371462"/>
                            <a:ext cx="1609725" cy="290715"/>
                          </a:xfrm>
                          <a:prstGeom prst="rect">
                            <a:avLst/>
                          </a:prstGeom>
                          <a:solidFill>
                            <a:sysClr val="window" lastClr="FFFFFF"/>
                          </a:solidFill>
                          <a:ln w="6350">
                            <a:noFill/>
                          </a:ln>
                          <a:effectLst/>
                        </wps:spPr>
                        <wps:txbx>
                          <w:txbxContent>
                            <w:p w14:paraId="289B85CE" w14:textId="77777777" w:rsidR="00B56753" w:rsidRPr="007767A0" w:rsidRDefault="00B56753" w:rsidP="007767A0">
                              <w:pPr>
                                <w:pStyle w:val="NormalWeb"/>
                                <w:spacing w:before="0" w:beforeAutospacing="0" w:after="0" w:afterAutospacing="0"/>
                                <w:jc w:val="center"/>
                                <w:rPr>
                                  <w:b/>
                                  <w:sz w:val="28"/>
                                </w:rPr>
                              </w:pPr>
                              <w:r w:rsidRPr="007767A0">
                                <w:rPr>
                                  <w:rFonts w:ascii="Garamond" w:eastAsia="Calibri" w:hAnsi="Garamond"/>
                                  <w:b/>
                                  <w:szCs w:val="22"/>
                                  <w:lang w:val="en-US"/>
                                </w:rPr>
                                <w:t>DIRECT FINANCE</w:t>
                              </w:r>
                            </w:p>
                          </w:txbxContent>
                        </wps:txbx>
                        <wps:bodyPr rot="0" spcFirstLastPara="0" vert="horz" wrap="square" lIns="36000" tIns="36000" rIns="36000" bIns="36000" numCol="1" spcCol="0" rtlCol="0" fromWordArt="0" anchor="t" anchorCtr="0" forceAA="0" compatLnSpc="1">
                          <a:prstTxWarp prst="textNoShape">
                            <a:avLst/>
                          </a:prstTxWarp>
                          <a:noAutofit/>
                        </wps:bodyPr>
                      </wps:wsp>
                    </wpc:wpc>
                  </a:graphicData>
                </a:graphic>
              </wp:inline>
            </w:drawing>
          </mc:Choice>
          <mc:Fallback>
            <w:pict>
              <v:group id="Полотно 305" o:spid="_x0000_s1300" editas="canvas" style="width:6in;height:210pt;mso-position-horizontal-relative:char;mso-position-vertical-relative:line" coordsize="54864,26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">
                <v:shape id="_x0000_s1301" type="#_x0000_t75" style="position:absolute;width:54864;height:26670;visibility:visible;mso-wrap-style:square">
                  <v:fill o:detectmouseclick="t"/>
                  <v:path o:connecttype="none"/>
                </v:shape>
                <v:shape id="Поле 19" o:spid="_x0000_s1302" type="#_x0000_t202" style="position:absolute;left:31807;top:14445;width:10484;height:3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lMcUA&#10;AADcAAAADwAAAGRycy9kb3ducmV2LnhtbESPS4vCQBCE74L/YWjBm06iuIToKCqKC8sefB28NZnO&#10;AzM9ITNq9t/vLCx4LKrqK2qx6kwtntS6yrKCeByBIM6srrhQcDnvRwkI55E11pZJwQ85WC37vQWm&#10;2r74SM+TL0SAsEtRQel9k0rpspIMurFtiIOX29agD7ItpG7xFeCmlpMo+pAGKw4LJTa0LSm7nx5G&#10;wTWafe3yafHdHC66yo8bf4tjrdRw0K3nIDx1/h3+b39qBZNk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OUxxQAAANwAAAAPAAAAAAAAAAAAAAAAAJgCAABkcnMv&#10;ZG93bnJldi54bWxQSwUGAAAAAAQABAD1AAAAigMAAAAA&#10;" fillcolor="window" stroked="f" strokeweight=".5pt">
                  <v:textbox inset="0,0,0,0">
                    <w:txbxContent>
                      <w:p w:rsidR="00B56753" w:rsidRDefault="00B56753" w:rsidP="007767A0">
                        <w:pPr>
                          <w:pStyle w:val="afc"/>
                          <w:spacing w:before="0" w:beforeAutospacing="0" w:after="0" w:afterAutospacing="0"/>
                          <w:jc w:val="right"/>
                        </w:pPr>
                        <w:r>
                          <w:rPr>
                            <w:rFonts w:ascii="Garamond" w:eastAsia="Calibri" w:hAnsi="Garamond"/>
                            <w:b/>
                            <w:bCs/>
                            <w:sz w:val="22"/>
                            <w:szCs w:val="22"/>
                            <w:lang w:val="en-US"/>
                          </w:rPr>
                          <w:t>Issue securities   (liabilities)</w:t>
                        </w:r>
                      </w:p>
                    </w:txbxContent>
                  </v:textbox>
                </v:shape>
                <v:oval id="Овал 286" o:spid="_x0000_s1303" style="position:absolute;left:19040;top:3895;width:17526;height:43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uhS8AA&#10;AADcAAAADwAAAGRycy9kb3ducmV2LnhtbESPzQrCMBCE74LvEFbwpqk9qFSjiCJ48eBP70uzttVm&#10;U5qo1ac3guBxmJlvmPmyNZV4UONKywpGwwgEcWZ1ybmC82k7mIJwHlljZZkUvMjBctHtzDHR9skH&#10;ehx9LgKEXYIKCu/rREqXFWTQDW1NHLyLbQz6IJtc6gafAW4qGUfRWBosOSwUWNO6oOx2vBsF5vpO&#10;92Uq08N7NDF6E+8yvlil+r12NQPhqfX/8K+90wri6Ri+Z8IRkI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4uhS8AAAADcAAAADwAAAAAAAAAAAAAAAACYAgAAZHJzL2Rvd25y&#10;ZXYueG1sUEsFBgAAAAAEAAQA9QAAAIUDAAAAAA==&#10;" fillcolor="window" strokecolor="windowText">
                  <v:textbox inset="1mm,0,1mm,0">
                    <w:txbxContent>
                      <w:p w:rsidR="00B56753" w:rsidRPr="007767A0" w:rsidRDefault="00B56753" w:rsidP="007767A0">
                        <w:pPr>
                          <w:pStyle w:val="afc"/>
                          <w:spacing w:before="0" w:beforeAutospacing="0" w:after="0" w:afterAutospacing="0" w:line="240" w:lineRule="atLeast"/>
                          <w:jc w:val="center"/>
                          <w:rPr>
                            <w:sz w:val="28"/>
                          </w:rPr>
                        </w:pPr>
                        <w:r w:rsidRPr="007767A0">
                          <w:rPr>
                            <w:rFonts w:ascii="Garamond" w:eastAsia="Calibri" w:hAnsi="Garamond"/>
                            <w:szCs w:val="22"/>
                            <w:lang w:val="en-US"/>
                          </w:rPr>
                          <w:t>Financial Intermediaries</w:t>
                        </w:r>
                      </w:p>
                    </w:txbxContent>
                  </v:textbox>
                </v:oval>
                <v:shape id="Поле 2" o:spid="_x0000_s1304" type="#_x0000_t202" style="position:absolute;top:13799;width:12573;height:117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jk8UA&#10;AADcAAAADwAAAGRycy9kb3ducmV2LnhtbESPQWvCQBCF74L/YRnBm24qWNPUVUQIlIqH2B56HLJj&#10;knZ3NmS3Sfrv3YLg8fHmfW/edj9aI3rqfONYwdMyAUFcOt1wpeDzI1+kIHxA1mgck4I/8rDfTSdb&#10;zLQbuKD+EioRIewzVFCH0GZS+rImi37pWuLoXV1nMUTZVVJ3OES4NXKVJM/SYsOxocaWjjWVP5df&#10;G9/4Dsf0zO/5y+lgzPpKhaGvUan5bDy8ggg0hsfxPf2mFazSDfyPiQSQu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VWOTxQAAANwAAAAPAAAAAAAAAAAAAAAAAJgCAABkcnMv&#10;ZG93bnJldi54bWxQSwUGAAAAAAQABAD1AAAAigMAAAAA&#10;" fillcolor="#d9d9d9" stroked="f" strokeweight=".5pt">
                  <v:textbox inset="1mm,0,1mm,0">
                    <w:txbxContent>
                      <w:p w:rsidR="00B56753" w:rsidRPr="007767A0" w:rsidRDefault="00B56753" w:rsidP="007767A0">
                        <w:pPr>
                          <w:pStyle w:val="afc"/>
                          <w:spacing w:before="0" w:beforeAutospacing="0" w:after="0" w:afterAutospacing="0"/>
                          <w:jc w:val="center"/>
                          <w:rPr>
                            <w:rFonts w:ascii="Garamond" w:eastAsia="Calibri" w:hAnsi="Garamond"/>
                            <w:szCs w:val="22"/>
                            <w:lang w:val="en-US"/>
                          </w:rPr>
                        </w:pPr>
                        <w:r w:rsidRPr="007767A0">
                          <w:rPr>
                            <w:rFonts w:ascii="Garamond" w:eastAsia="Calibri" w:hAnsi="Garamond"/>
                            <w:szCs w:val="22"/>
                            <w:lang w:val="en-US"/>
                          </w:rPr>
                          <w:t>L</w:t>
                        </w:r>
                        <w:r>
                          <w:rPr>
                            <w:rFonts w:ascii="Garamond" w:eastAsia="Calibri" w:hAnsi="Garamond"/>
                            <w:szCs w:val="22"/>
                            <w:lang w:val="en-US"/>
                          </w:rPr>
                          <w:t>enders/</w:t>
                        </w:r>
                        <w:r w:rsidRPr="007767A0">
                          <w:rPr>
                            <w:rFonts w:ascii="Garamond" w:eastAsia="Calibri" w:hAnsi="Garamond"/>
                            <w:szCs w:val="22"/>
                            <w:lang w:val="en-US"/>
                          </w:rPr>
                          <w:t>Savers</w:t>
                        </w:r>
                      </w:p>
                      <w:p w:rsidR="00B56753" w:rsidRPr="007767A0" w:rsidRDefault="00B56753" w:rsidP="006F749C">
                        <w:pPr>
                          <w:pStyle w:val="afc"/>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Household</w:t>
                        </w:r>
                        <w:r>
                          <w:rPr>
                            <w:rFonts w:ascii="Garamond" w:eastAsia="Calibri" w:hAnsi="Garamond"/>
                            <w:szCs w:val="22"/>
                            <w:lang w:val="en-US"/>
                          </w:rPr>
                          <w:t>er</w:t>
                        </w:r>
                        <w:r w:rsidRPr="007767A0">
                          <w:rPr>
                            <w:rFonts w:ascii="Garamond" w:eastAsia="Calibri" w:hAnsi="Garamond"/>
                            <w:szCs w:val="22"/>
                            <w:lang w:val="en-US"/>
                          </w:rPr>
                          <w:t>s</w:t>
                        </w:r>
                      </w:p>
                      <w:p w:rsidR="00B56753" w:rsidRPr="007767A0" w:rsidRDefault="00B56753" w:rsidP="006F749C">
                        <w:pPr>
                          <w:pStyle w:val="afc"/>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Businesses</w:t>
                        </w:r>
                      </w:p>
                      <w:p w:rsidR="00B56753" w:rsidRPr="007767A0" w:rsidRDefault="00B56753" w:rsidP="006F749C">
                        <w:pPr>
                          <w:pStyle w:val="afc"/>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Governments</w:t>
                        </w:r>
                      </w:p>
                      <w:p w:rsidR="00B56753" w:rsidRPr="007767A0" w:rsidRDefault="00B56753" w:rsidP="006F749C">
                        <w:pPr>
                          <w:pStyle w:val="afc"/>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Foreigners</w:t>
                        </w:r>
                      </w:p>
                    </w:txbxContent>
                  </v:textbox>
                </v:shape>
                <v:shape id="Поле 2" o:spid="_x0000_s1305" type="#_x0000_t202" style="position:absolute;left:42291;top:13800;width:12573;height:1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r34cMA&#10;AADcAAAADwAAAGRycy9kb3ducmV2LnhtbESPwWrCQBCG7wXfYRnBW90oWGJ0FREEsfSg7cHjkB2T&#10;6O5syK4a375zKPQ4/PN/881y3XunHtTFJrCByTgDRVwG23Bl4Od7956DignZogtMBl4UYb0avC2x&#10;sOHJR3qcUqUEwrFAA3VKbaF1LGvyGMehJZbsEjqPScau0rbDp8C909Ms+9AeG5YLNba0ram8ne5e&#10;NK5pm3/xYTf/3Dg3u9DR0bk3ZjTsNwtQifr0v/zX3lsD01xs5RkhgF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8r34cMAAADcAAAADwAAAAAAAAAAAAAAAACYAgAAZHJzL2Rv&#10;d25yZXYueG1sUEsFBgAAAAAEAAQA9QAAAIgDAAAAAA==&#10;" fillcolor="#d9d9d9" stroked="f" strokeweight=".5pt">
                  <v:textbox inset="1mm,0,1mm,0">
                    <w:txbxContent>
                      <w:p w:rsidR="00B56753" w:rsidRPr="007767A0" w:rsidRDefault="00B56753" w:rsidP="007767A0">
                        <w:pPr>
                          <w:pStyle w:val="afc"/>
                          <w:spacing w:before="0" w:beforeAutospacing="0" w:after="0" w:afterAutospacing="0"/>
                          <w:jc w:val="center"/>
                          <w:rPr>
                            <w:sz w:val="28"/>
                          </w:rPr>
                        </w:pPr>
                        <w:r w:rsidRPr="007767A0">
                          <w:rPr>
                            <w:rFonts w:ascii="Garamond" w:eastAsia="Calibri" w:hAnsi="Garamond"/>
                            <w:szCs w:val="22"/>
                            <w:lang w:val="en-US"/>
                          </w:rPr>
                          <w:t>Borrowers/ Spenders</w:t>
                        </w:r>
                      </w:p>
                      <w:p w:rsidR="00B56753" w:rsidRPr="007767A0" w:rsidRDefault="00B56753" w:rsidP="006F749C">
                        <w:pPr>
                          <w:pStyle w:val="afc"/>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Household</w:t>
                        </w:r>
                        <w:r>
                          <w:rPr>
                            <w:rFonts w:ascii="Garamond" w:eastAsia="Calibri" w:hAnsi="Garamond"/>
                            <w:szCs w:val="22"/>
                            <w:lang w:val="en-US"/>
                          </w:rPr>
                          <w:t>er</w:t>
                        </w:r>
                        <w:r w:rsidRPr="007767A0">
                          <w:rPr>
                            <w:rFonts w:ascii="Garamond" w:eastAsia="Calibri" w:hAnsi="Garamond"/>
                            <w:szCs w:val="22"/>
                            <w:lang w:val="en-US"/>
                          </w:rPr>
                          <w:t>s</w:t>
                        </w:r>
                      </w:p>
                      <w:p w:rsidR="00B56753" w:rsidRPr="007767A0" w:rsidRDefault="00B56753" w:rsidP="006F749C">
                        <w:pPr>
                          <w:pStyle w:val="afc"/>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Businesses</w:t>
                        </w:r>
                      </w:p>
                      <w:p w:rsidR="00B56753" w:rsidRPr="007767A0" w:rsidRDefault="00B56753" w:rsidP="006F749C">
                        <w:pPr>
                          <w:pStyle w:val="afc"/>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Governments</w:t>
                        </w:r>
                      </w:p>
                      <w:p w:rsidR="00B56753" w:rsidRPr="007767A0" w:rsidRDefault="00B56753" w:rsidP="006F749C">
                        <w:pPr>
                          <w:pStyle w:val="afc"/>
                          <w:numPr>
                            <w:ilvl w:val="0"/>
                            <w:numId w:val="193"/>
                          </w:numPr>
                          <w:spacing w:before="0" w:beforeAutospacing="0" w:after="0" w:afterAutospacing="0"/>
                          <w:ind w:left="284" w:hanging="284"/>
                          <w:jc w:val="both"/>
                          <w:rPr>
                            <w:rFonts w:ascii="Garamond" w:eastAsia="Calibri" w:hAnsi="Garamond"/>
                            <w:szCs w:val="22"/>
                            <w:lang w:val="en-US"/>
                          </w:rPr>
                        </w:pPr>
                        <w:r w:rsidRPr="007767A0">
                          <w:rPr>
                            <w:rFonts w:ascii="Garamond" w:eastAsia="Calibri" w:hAnsi="Garamond"/>
                            <w:szCs w:val="22"/>
                            <w:lang w:val="en-US"/>
                          </w:rPr>
                          <w:t>Foreigners</w:t>
                        </w:r>
                      </w:p>
                    </w:txbxContent>
                  </v:textbox>
                </v:shape>
                <v:oval id="Овал 289" o:spid="_x0000_s1306" style="position:absolute;left:19040;top:16247;width:17526;height:43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Q1OcEA&#10;AADcAAAADwAAAGRycy9kb3ducmV2LnhtbESPQYvCMBSE74L/ITzBm03tQd1qFFEWvHhQt/dH82yr&#10;zUtpslr99UYQPA4z8w2zWHWmFjdqXWVZwTiKQRDnVldcKPg7/Y5mIJxH1lhbJgUPcrBa9nsLTLW9&#10;84FuR1+IAGGXooLS+yaV0uUlGXSRbYiDd7atQR9kW0jd4j3ATS2TOJ5IgxWHhRIb2pSUX4//RoG5&#10;PLN9lcns8BxPjd4mu5zPVqnhoFvPQXjq/Df8ae+0gmT2A+8z4QjI5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4UNTnBAAAA3AAAAA8AAAAAAAAAAAAAAAAAmAIAAGRycy9kb3du&#10;cmV2LnhtbFBLBQYAAAAABAAEAPUAAACGAwAAAAA=&#10;" fillcolor="window" strokecolor="windowText">
                  <v:textbox inset="1mm,0,1mm,0">
                    <w:txbxContent>
                      <w:p w:rsidR="00B56753" w:rsidRPr="007767A0" w:rsidRDefault="00B56753" w:rsidP="007767A0">
                        <w:pPr>
                          <w:pStyle w:val="afc"/>
                          <w:spacing w:before="0" w:beforeAutospacing="0" w:after="0" w:afterAutospacing="0"/>
                          <w:jc w:val="center"/>
                          <w:rPr>
                            <w:sz w:val="28"/>
                            <w:lang w:val="en-US"/>
                          </w:rPr>
                        </w:pPr>
                        <w:r w:rsidRPr="007767A0">
                          <w:rPr>
                            <w:rFonts w:ascii="Garamond" w:eastAsia="Calibri" w:hAnsi="Garamond"/>
                            <w:szCs w:val="22"/>
                            <w:lang w:val="en-US"/>
                          </w:rPr>
                          <w:t>Financial Market</w:t>
                        </w:r>
                        <w:r w:rsidRPr="007767A0">
                          <w:rPr>
                            <w:sz w:val="28"/>
                          </w:rPr>
                          <w:t> </w:t>
                        </w:r>
                      </w:p>
                    </w:txbxContent>
                  </v:textbox>
                </v:oval>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Скругленная соединительная линия 290" o:spid="_x0000_s1307" type="#_x0000_t38" style="position:absolute;left:6105;top:6091;width:12935;height:7710;flip:y;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OkAsMAAADcAAAADwAAAGRycy9kb3ducmV2LnhtbERPTWvCQBC9C/0PyxR6042KQaOrlBap&#10;XgTTWuptyI5JaHY2ZlcT/717EDw+3vdi1ZlKXKlxpWUFw0EEgjizuuRcwc/3uj8F4TyyxsoyKbiR&#10;g9XypbfARNuW93RNfS5CCLsEFRTe14mULivIoBvYmjhwJ9sY9AE2udQNtiHcVHIURbE0WHJoKLCm&#10;j4Ky//RiFBziz8p357/YrXcxpuPtpP36PSr19tq9z0F46vxT/HBvtILRLMwPZ8IRkM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DpALDAAAA3AAAAA8AAAAAAAAAAAAA&#10;AAAAoQIAAGRycy9kb3ducmV2LnhtbFBLBQYAAAAABAAEAPkAAACRAwAAAAA=&#10;" adj="-16">
                  <v:stroke endarrow="classic"/>
                </v:shape>
                <v:shape id="Скругленная соединительная линия 291" o:spid="_x0000_s1308" type="#_x0000_t38" style="position:absolute;left:36566;top:6091;width:12106;height:7710;rotation:180;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OJ8YAAADcAAAADwAAAGRycy9kb3ducmV2LnhtbESP0UoDMRRE3wX/IVyhbzbbFkS3TYva&#10;ShWqYNsPuCS3m62bmyVJt6tfbwqCj8PMnGFmi941oqMQa88KRsMCBLH2puZKwX73cnsPIiZkg41n&#10;UvBNERbz66sZlsaf+ZO6bapEhnAsUYFNqS2ljNqSwzj0LXH2Dj44TFmGSpqA5wx3jRwXxZ10WHNe&#10;sNjSsyX9tT05BT+6XvN6tdo86cn7PnSb45v9WCo1uOkfpyAS9ek//Nd+NQrGDyO4nMlH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PTifGAAAA3AAAAA8AAAAAAAAA&#10;AAAAAAAAoQIAAGRycy9kb3ducmV2LnhtbFBLBQYAAAAABAAEAPkAAACUAwAAAAA=&#10;" adj="94">
                  <v:stroke endarrow="classic"/>
                </v:shape>
                <v:shape id="Прямая со стрелкой 292" o:spid="_x0000_s1309" type="#_x0000_t32" style="position:absolute;left:12573;top:18441;width:64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4e8cAAADcAAAADwAAAGRycy9kb3ducmV2LnhtbESPzU7DMBCE70i8g7VIXFDrNAcEad0K&#10;8ace2kMD6nkbL3GUeJ3aJg08Pa5UieNoZr7RLFaj7cRAPjSOFcymGQjiyumGawWfH2+TBxAhImvs&#10;HJOCHwqwWl5fLbDQ7sQ7GspYiwThUKACE2NfSBkqQxbD1PXEyfty3mJM0tdSezwluO1knmX30mLD&#10;acFgT8+Gqrb8tgpK9Lvf4X1vXo4b2b4e1tvhrt0qdXszPs1BRBrjf/jSXmsF+WMO5zPpCMj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rh7xwAAANwAAAAPAAAAAAAA&#10;AAAAAAAAAKECAABkcnMvZG93bnJldi54bWxQSwUGAAAAAAQABAD5AAAAlQMAAAAA&#10;">
                  <v:stroke endarrow="classic"/>
                </v:shape>
                <v:shape id="Прямая со стрелкой 293" o:spid="_x0000_s1310" type="#_x0000_t32" style="position:absolute;left:36566;top:18441;width:572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iwkMUAAADcAAAADwAAAGRycy9kb3ducmV2LnhtbESPQWsCMRSE70L/Q3iFXqRmtSB2a5Si&#10;LPXiQe0PeGxed1c3LzGJ6+qvbwoFj8PMfMPMl71pRUc+NJYVjEcZCOLS6oYrBd+H4nUGIkRkja1l&#10;UnCjAMvF02COubZX3lG3j5VIEA45KqhjdLmUoazJYBhZR5y8H+sNxiR9JbXHa4KbVk6ybCoNNpwW&#10;anS0qqk87S9GQRH9eXU8bk9f9r4utsHJodt0Sr08958fICL18RH+b2+0gsn7G/ydSUdAL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iwkMUAAADcAAAADwAAAAAAAAAA&#10;AAAAAAChAgAAZHJzL2Rvd25yZXYueG1sUEsFBgAAAAAEAAQA+QAAAJMDAAAAAA==&#10;">
                  <v:stroke endarrow="classic"/>
                </v:shape>
                <v:shape id="Прямая со стрелкой 294" o:spid="_x0000_s1311" type="#_x0000_t32" style="position:absolute;left:35826;top:19478;width:64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FlMcAAADcAAAADwAAAGRycy9kb3ducmV2LnhtbESPQUsDMRSE74L/ITzBi9isRYquTYuo&#10;lR7aQ9fS83Pz3Cy7eVmTdLvtr2+EgsdhZr5hpvPBtqInH2rHCh5GGQji0umaKwXbr8X9E4gQkTW2&#10;jknBkQLMZ9dXU8y1O/CG+iJWIkE45KjAxNjlUobSkMUwch1x8n6ctxiT9JXUHg8Jbls5zrKJtFhz&#10;WjDY0Zuhsin2VkGBfnPqP3fm/Xclm4/v5bq/a9ZK3d4Mry8gIg3xP3xpL7WC8fMj/J1JR0DOz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X4WUxwAAANwAAAAPAAAAAAAA&#10;AAAAAAAAAKECAABkcnMvZG93bnJldi54bWxQSwUGAAAAAAQABAD5AAAAlQMAAAAA&#10;">
                  <v:stroke endarrow="classic"/>
                </v:shape>
                <v:shape id="Прямая со стрелкой 295" o:spid="_x0000_s1312" type="#_x0000_t32" style="position:absolute;left:12573;top:19621;width:769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2Nf8UAAADcAAAADwAAAGRycy9kb3ducmV2LnhtbESPQWsCMRSE70L/Q3iFXqRmFSp2a5Si&#10;LPXiQe0PeGxed1c3LzGJ6+qvbwoFj8PMfMPMl71pRUc+NJYVjEcZCOLS6oYrBd+H4nUGIkRkja1l&#10;UnCjAMvF02COubZX3lG3j5VIEA45KqhjdLmUoazJYBhZR5y8H+sNxiR9JbXHa4KbVk6ybCoNNpwW&#10;anS0qqk87S9GQRH9eXU8bk9f9r4utsHJodt0Sr08958fICL18RH+b2+0gsn7G/ydSUdAL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H2Nf8UAAADcAAAADwAAAAAAAAAA&#10;AAAAAAChAgAAZHJzL2Rvd25yZXYueG1sUEsFBgAAAAAEAAQA+QAAAJMDAAAAAA==&#10;">
                  <v:stroke endarrow="classic"/>
                </v:shape>
                <v:shape id="Прямая со стрелкой 296" o:spid="_x0000_s1313" type="#_x0000_t32" style="position:absolute;left:27717;top:8286;width:0;height:79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G+eMcAAADcAAAADwAAAGRycy9kb3ducmV2LnhtbESPQU8CMRSE7yb+h+aZeDHSlQPRhUKM&#10;IuEgB1bD+bl9bje7fV3asiz8emtCwnEyM99kZovBtqInH2rHCp5GGQji0umaKwXfXx+PzyBCRNbY&#10;OiYFJwqwmN/ezDDX7shb6otYiQThkKMCE2OXSxlKQxbDyHXEyft13mJM0ldSezwmuG3lOMsm0mLN&#10;acFgR2+GyqY4WAUF+u25X+3M+/5TNsuf9aZ/aDZK3d8Nr1MQkYZ4DV/aa61g/DKB/zPpCMj5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wb54xwAAANwAAAAPAAAAAAAA&#10;AAAAAAAAAKECAABkcnMvZG93bnJldi54bWxQSwUGAAAAAAQABAD5AAAAlQMAAAAA&#10;">
                  <v:stroke endarrow="classic"/>
                </v:shape>
                <v:shape id="Поле 297" o:spid="_x0000_s1314" type="#_x0000_t202" style="position:absolute;left:6105;top:3047;width:6468;height:30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osHMcA&#10;AADcAAAADwAAAGRycy9kb3ducmV2LnhtbESPQWvCQBSE7wX/w/IEb3WjB1tTV5HSUoUGbVrw+sg+&#10;k2j2bdjdmtRf3xUKPQ4z8w2zWPWmERdyvrasYDJOQBAXVtdcKvj6fL1/BOEDssbGMin4IQ+r5eBu&#10;gam2HX/QJQ+liBD2KSqoQmhTKX1RkUE/ti1x9I7WGQxRulJqh12Em0ZOk2QmDdYcFyps6bmi4px/&#10;GwWHLn9zu+32tG832XV3zbN3esmUGg379ROIQH34D/+1N1rBdP4AtzPxCM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6LBzHAAAA3AAAAA8AAAAAAAAAAAAAAAAAmAIAAGRy&#10;cy9kb3ducmV2LnhtbFBLBQYAAAAABAAEAPUAAACMAwAAAAA=&#10;" fillcolor="window" stroked="f" strokeweight=".5pt">
                  <v:textbox>
                    <w:txbxContent>
                      <w:p w:rsidR="00B56753" w:rsidRPr="00526E1D" w:rsidRDefault="00B56753" w:rsidP="007767A0">
                        <w:pPr>
                          <w:rPr>
                            <w:b/>
                            <w:lang w:val="en-US"/>
                          </w:rPr>
                        </w:pPr>
                        <w:r w:rsidRPr="00526E1D">
                          <w:rPr>
                            <w:b/>
                            <w:lang w:val="en-US"/>
                          </w:rPr>
                          <w:t>Funds</w:t>
                        </w:r>
                      </w:p>
                    </w:txbxContent>
                  </v:textbox>
                </v:shape>
                <v:shape id="Поле 19" o:spid="_x0000_s1315" type="#_x0000_t202" style="position:absolute;left:43328;top:3047;width:7369;height:30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W4bsMA&#10;AADcAAAADwAAAGRycy9kb3ducmV2LnhtbERPz2vCMBS+D/Y/hDfwNtN5kFmNIrIxhRW1Cl4fzbOt&#10;Ni8lyWznX28Ogx0/vt+zRW8acSPna8sK3oYJCOLC6ppLBcfD5+s7CB+QNTaWScEveVjMn59mmGrb&#10;8Z5ueShFDGGfooIqhDaV0hcVGfRD2xJH7mydwRChK6V22MVw08hRkoylwZpjQ4UtrSoqrvmPUXDq&#10;8i+33Wwuu3ad3bf3PPumj0ypwUu/nIII1Id/8Z97rRWMJnFtPBOPgJ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OW4bsMAAADcAAAADwAAAAAAAAAAAAAAAACYAgAAZHJzL2Rv&#10;d25yZXYueG1sUEsFBgAAAAAEAAQA9QAAAIgDAAAAAA==&#10;" fillcolor="window" stroked="f" strokeweight=".5pt">
                  <v:textbox>
                    <w:txbxContent>
                      <w:p w:rsidR="00B56753" w:rsidRPr="007767A0" w:rsidRDefault="00B56753" w:rsidP="007767A0">
                        <w:pPr>
                          <w:pStyle w:val="afc"/>
                          <w:spacing w:before="0" w:beforeAutospacing="0" w:after="0" w:afterAutospacing="0"/>
                          <w:rPr>
                            <w:sz w:val="28"/>
                          </w:rPr>
                        </w:pPr>
                        <w:r w:rsidRPr="007767A0">
                          <w:rPr>
                            <w:rFonts w:ascii="Garamond" w:eastAsia="Calibri" w:hAnsi="Garamond"/>
                            <w:b/>
                            <w:bCs/>
                            <w:szCs w:val="22"/>
                            <w:lang w:val="en-US"/>
                          </w:rPr>
                          <w:t>Funds</w:t>
                        </w:r>
                      </w:p>
                    </w:txbxContent>
                  </v:textbox>
                </v:shape>
                <v:shape id="Поле 19" o:spid="_x0000_s1316" type="#_x0000_t202" style="position:absolute;left:20272;top:11608;width:6464;height:2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kd9cYA&#10;AADcAAAADwAAAGRycy9kb3ducmV2LnhtbESPQWvCQBSE74X+h+UVvNVNPRRNXaUUpQoGNS30+si+&#10;JtHs27C7mtRf7xYEj8PMfMNM571pxJmcry0reBkmIIgLq2suFXx/LZ/HIHxA1thYJgV/5GE+e3yY&#10;Yqptx3s656EUEcI+RQVVCG0qpS8qMuiHtiWO3q91BkOUrpTaYRfhppGjJHmVBmuOCxW29FFRccxP&#10;RsFPl3+67Xp92LWr7LK95NmGFplSg6f+/Q1EoD7cw7f2SisYTSbwfyYeAT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6kd9cYAAADcAAAADwAAAAAAAAAAAAAAAACYAgAAZHJz&#10;L2Rvd25yZXYueG1sUEsFBgAAAAAEAAQA9QAAAIsDAAAAAA==&#10;" fillcolor="window" stroked="f" strokeweight=".5pt">
                  <v:textbox>
                    <w:txbxContent>
                      <w:p w:rsidR="00B56753" w:rsidRPr="007767A0" w:rsidRDefault="00B56753" w:rsidP="007767A0">
                        <w:pPr>
                          <w:pStyle w:val="afc"/>
                          <w:spacing w:before="0" w:beforeAutospacing="0" w:after="0" w:afterAutospacing="0"/>
                          <w:rPr>
                            <w:sz w:val="28"/>
                          </w:rPr>
                        </w:pPr>
                        <w:r w:rsidRPr="007767A0">
                          <w:rPr>
                            <w:rFonts w:ascii="Garamond" w:eastAsia="Calibri" w:hAnsi="Garamond"/>
                            <w:b/>
                            <w:bCs/>
                            <w:szCs w:val="22"/>
                            <w:lang w:val="en-US"/>
                          </w:rPr>
                          <w:t>Funds</w:t>
                        </w:r>
                      </w:p>
                    </w:txbxContent>
                  </v:textbox>
                </v:shape>
                <v:shape id="Поле 19" o:spid="_x0000_s1317" type="#_x0000_t202" style="position:absolute;left:13807;top:15228;width:6465;height:2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gucsMA&#10;AADcAAAADwAAAGRycy9kb3ducmV2LnhtbERPXWvCMBR9H+w/hDvYm03nQEZnFBkbKljUTvD10lzb&#10;bs1NSaKt/vrlQdjj4XxP54NpxYWcbywreElSEMSl1Q1XCg7fX6M3ED4ga2wtk4IreZjPHh+mmGnb&#10;854uRahEDGGfoYI6hC6T0pc1GfSJ7Ygjd7LOYIjQVVI77GO4aeU4TSfSYMOxocaOPmoqf4uzUXDs&#10;i6Xbrtc/u26V37a3It/QZ67U89OweAcRaAj/4rt7pRW8pnF+PBOPgJ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gucsMAAADcAAAADwAAAAAAAAAAAAAAAACYAgAAZHJzL2Rv&#10;d25yZXYueG1sUEsFBgAAAAAEAAQA9QAAAIgDAAAAAA==&#10;" fillcolor="window" stroked="f" strokeweight=".5pt">
                  <v:textbox>
                    <w:txbxContent>
                      <w:p w:rsidR="00B56753" w:rsidRPr="007767A0" w:rsidRDefault="00B56753" w:rsidP="007767A0">
                        <w:pPr>
                          <w:pStyle w:val="afc"/>
                          <w:spacing w:before="0" w:beforeAutospacing="0" w:after="0" w:afterAutospacing="0"/>
                          <w:rPr>
                            <w:sz w:val="28"/>
                          </w:rPr>
                        </w:pPr>
                        <w:r w:rsidRPr="007767A0">
                          <w:rPr>
                            <w:rFonts w:ascii="Garamond" w:eastAsia="Calibri" w:hAnsi="Garamond"/>
                            <w:b/>
                            <w:bCs/>
                            <w:szCs w:val="22"/>
                            <w:lang w:val="en-US"/>
                          </w:rPr>
                          <w:t>Funds</w:t>
                        </w:r>
                      </w:p>
                    </w:txbxContent>
                  </v:textbox>
                </v:shape>
                <v:shape id="Поле 19" o:spid="_x0000_s1318" type="#_x0000_t202" style="position:absolute;left:35264;top:20561;width:6465;height:31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L6cYA&#10;AADcAAAADwAAAGRycy9kb3ducmV2LnhtbESPQWvCQBSE74X+h+UVeqsbWygSXUWkpQoNahS8PrLP&#10;JJp9G3a3JvXXdwuCx2FmvmEms9404kLO15YVDAcJCOLC6ppLBfvd58sIhA/IGhvLpOCXPMymjw8T&#10;TLXteEuXPJQiQtinqKAKoU2l9EVFBv3AtsTRO1pnMETpSqkddhFuGvmaJO/SYM1xocKWFhUV5/zH&#10;KDh0+Zdbr1anTbvMrutrnn3TR6bU81M/H4MI1Id7+NZeagVvyRD+z8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SL6cYAAADcAAAADwAAAAAAAAAAAAAAAACYAgAAZHJz&#10;L2Rvd25yZXYueG1sUEsFBgAAAAAEAAQA9QAAAIsDAAAAAA==&#10;" fillcolor="window" stroked="f" strokeweight=".5pt">
                  <v:textbox>
                    <w:txbxContent>
                      <w:p w:rsidR="00B56753" w:rsidRPr="007767A0" w:rsidRDefault="00B56753" w:rsidP="007767A0">
                        <w:pPr>
                          <w:pStyle w:val="afc"/>
                          <w:spacing w:before="0" w:beforeAutospacing="0" w:after="0" w:afterAutospacing="0"/>
                          <w:rPr>
                            <w:sz w:val="28"/>
                          </w:rPr>
                        </w:pPr>
                        <w:r w:rsidRPr="007767A0">
                          <w:rPr>
                            <w:rFonts w:ascii="Garamond" w:eastAsia="Calibri" w:hAnsi="Garamond"/>
                            <w:b/>
                            <w:bCs/>
                            <w:szCs w:val="22"/>
                            <w:lang w:val="en-US"/>
                          </w:rPr>
                          <w:t>Funds</w:t>
                        </w:r>
                      </w:p>
                    </w:txbxContent>
                  </v:textbox>
                </v:shape>
                <v:shape id="Поле 19" o:spid="_x0000_s1319" type="#_x0000_t202" style="position:absolute;left:12573;top:20561;width:12544;height:3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dxgsUA&#10;AADcAAAADwAAAGRycy9kb3ducmV2LnhtbESPzWsCMRTE7wX/h/AEbzVZpUVWo6hUWpAe/Dp4e2ze&#10;fuDmZdmkuv3vjSB4HGbmN8xs0dlaXKn1lWMNyVCBIM6cqbjQcDxs3icgfEA2WDsmDf/kYTHvvc0w&#10;Ne7GO7ruQyEihH2KGsoQmlRKn5Vk0Q9dQxy93LUWQ5RtIU2Ltwi3tRwp9SktVhwXSmxoXVJ22f9Z&#10;DSf1sf3Kx8Vv8300Vb5bhXOSGK0H/W45BRGoC6/ws/1jNIzVCB5n4hG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h3GCxQAAANwAAAAPAAAAAAAAAAAAAAAAAJgCAABkcnMv&#10;ZG93bnJldi54bWxQSwUGAAAAAAQABAD1AAAAigMAAAAA&#10;" fillcolor="window" stroked="f" strokeweight=".5pt">
                  <v:textbox inset="0,0,0,0">
                    <w:txbxContent>
                      <w:p w:rsidR="00B56753" w:rsidRPr="007767A0" w:rsidRDefault="00B56753" w:rsidP="007767A0">
                        <w:pPr>
                          <w:pStyle w:val="afc"/>
                          <w:spacing w:before="0" w:beforeAutospacing="0" w:after="0" w:afterAutospacing="0"/>
                          <w:jc w:val="center"/>
                          <w:rPr>
                            <w:sz w:val="28"/>
                          </w:rPr>
                        </w:pPr>
                        <w:r w:rsidRPr="007767A0">
                          <w:rPr>
                            <w:rFonts w:ascii="Garamond" w:eastAsia="Calibri" w:hAnsi="Garamond"/>
                            <w:b/>
                            <w:bCs/>
                            <w:szCs w:val="22"/>
                            <w:lang w:val="en-US"/>
                          </w:rPr>
                          <w:t>Buy securities (financial assets)</w:t>
                        </w:r>
                      </w:p>
                    </w:txbxContent>
                  </v:textbox>
                </v:shape>
                <v:shape id="Поле 303" o:spid="_x0000_s1320" type="#_x0000_t202" style="position:absolute;left:20075;top:942;width:16097;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67VsUA&#10;AADcAAAADwAAAGRycy9kb3ducmV2LnhtbESPQWvCQBSE7wX/w/IEb3VXA9KmriJKxUNpqRbPj+xr&#10;Epp9G7KvMfrru4VCj8PMfMMs14NvVE9drANbmE0NKOIiuJpLCx+n5/sHUFGQHTaBycKVIqxXo7sl&#10;5i5c+J36o5QqQTjmaKESaXOtY1GRxzgNLXHyPkPnUZLsSu06vCS4b/TcmIX2WHNaqLClbUXF1/Hb&#10;W3iRTN4W5nrYN+fT4+t5v3P97GbtZDxsnkAJDfIf/msfnIXMZPB7Jh0Bv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nrtWxQAAANwAAAAPAAAAAAAAAAAAAAAAAJgCAABkcnMv&#10;ZG93bnJldi54bWxQSwUGAAAAAAQABAD1AAAAigMAAAAA&#10;" fillcolor="window" stroked="f" strokeweight=".5pt">
                  <v:textbox inset="1mm,1mm,1mm,1mm">
                    <w:txbxContent>
                      <w:p w:rsidR="00B56753" w:rsidRPr="00465421" w:rsidRDefault="00B56753" w:rsidP="007767A0">
                        <w:pPr>
                          <w:jc w:val="center"/>
                          <w:rPr>
                            <w:b/>
                            <w:lang w:val="en-US"/>
                          </w:rPr>
                        </w:pPr>
                        <w:r w:rsidRPr="007767A0">
                          <w:rPr>
                            <w:b/>
                            <w:sz w:val="28"/>
                            <w:lang w:val="en-US"/>
                          </w:rPr>
                          <w:t>INDIRECT</w:t>
                        </w:r>
                        <w:r w:rsidRPr="00465421">
                          <w:rPr>
                            <w:b/>
                            <w:lang w:val="en-US"/>
                          </w:rPr>
                          <w:t xml:space="preserve"> FINANCE</w:t>
                        </w:r>
                      </w:p>
                    </w:txbxContent>
                  </v:textbox>
                </v:shape>
                <v:shape id="Поле 27" o:spid="_x0000_s1321" type="#_x0000_t202" style="position:absolute;left:20469;top:23714;width:16097;height:29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cjIsUA&#10;AADcAAAADwAAAGRycy9kb3ducmV2LnhtbESPQWvCQBSE7wX/w/IEb3XXWsSmriItiodSUYvnR/Y1&#10;CWbfhuxrjP313UKhx2FmvmEWq97XqqM2VoEtTMYGFHEeXMWFhY/T5n4OKgqywzowWbhRhNVycLfA&#10;zIUrH6g7SqEShGOGFkqRJtM65iV5jOPQECfvM7QeJcm20K7Fa4L7Wj8YM9MeK04LJTb0UlJ+OX55&#10;C28ylf3M3Hbb+nx6ej9vX103+bZ2NOzXz6CEevkP/7V3zsLUPMLvmXQE9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dyMixQAAANwAAAAPAAAAAAAAAAAAAAAAAJgCAABkcnMv&#10;ZG93bnJldi54bWxQSwUGAAAAAAQABAD1AAAAigMAAAAA&#10;" fillcolor="window" stroked="f" strokeweight=".5pt">
                  <v:textbox inset="1mm,1mm,1mm,1mm">
                    <w:txbxContent>
                      <w:p w:rsidR="00B56753" w:rsidRPr="007767A0" w:rsidRDefault="00B56753" w:rsidP="007767A0">
                        <w:pPr>
                          <w:pStyle w:val="afc"/>
                          <w:spacing w:before="0" w:beforeAutospacing="0" w:after="0" w:afterAutospacing="0"/>
                          <w:jc w:val="center"/>
                          <w:rPr>
                            <w:b/>
                            <w:sz w:val="28"/>
                          </w:rPr>
                        </w:pPr>
                        <w:r w:rsidRPr="007767A0">
                          <w:rPr>
                            <w:rFonts w:ascii="Garamond" w:eastAsia="Calibri" w:hAnsi="Garamond"/>
                            <w:b/>
                            <w:szCs w:val="22"/>
                            <w:lang w:val="en-US"/>
                          </w:rPr>
                          <w:t>DIRECT FINANCE</w:t>
                        </w:r>
                      </w:p>
                    </w:txbxContent>
                  </v:textbox>
                </v:shape>
                <w10:anchorlock/>
              </v:group>
            </w:pict>
          </mc:Fallback>
        </mc:AlternateContent>
      </w:r>
    </w:p>
    <w:p w14:paraId="4EE5F6A9" w14:textId="77777777" w:rsidR="003C51B1" w:rsidRPr="007767A0" w:rsidRDefault="003C51B1" w:rsidP="003C51B1">
      <w:pPr>
        <w:pBdr>
          <w:top w:val="nil"/>
          <w:left w:val="nil"/>
          <w:bottom w:val="nil"/>
          <w:right w:val="nil"/>
          <w:between w:val="nil"/>
          <w:bar w:val="nil"/>
        </w:pBdr>
        <w:spacing w:line="312" w:lineRule="auto"/>
        <w:ind w:firstLine="357"/>
        <w:jc w:val="center"/>
        <w:rPr>
          <w:rFonts w:eastAsia="Garamond"/>
          <w:b/>
          <w:bCs/>
          <w:sz w:val="28"/>
          <w:szCs w:val="28"/>
          <w:u w:color="000000"/>
          <w:bdr w:val="nil"/>
          <w:lang w:val="en-US"/>
        </w:rPr>
      </w:pPr>
      <w:r w:rsidRPr="007767A0">
        <w:rPr>
          <w:rFonts w:eastAsia="Calibri" w:cs="Calibri"/>
          <w:b/>
          <w:bCs/>
          <w:sz w:val="28"/>
          <w:szCs w:val="28"/>
          <w:u w:color="000000"/>
          <w:bdr w:val="nil"/>
          <w:lang w:val="en-US"/>
        </w:rPr>
        <w:t>Figure 9.1</w:t>
      </w:r>
      <w:r w:rsidR="00407341">
        <w:rPr>
          <w:rFonts w:eastAsia="Calibri" w:cs="Calibri"/>
          <w:b/>
          <w:bCs/>
          <w:sz w:val="28"/>
          <w:szCs w:val="28"/>
          <w:u w:color="000000"/>
          <w:bdr w:val="nil"/>
          <w:lang w:val="en-US"/>
        </w:rPr>
        <w:t xml:space="preserve"> </w:t>
      </w:r>
      <w:r w:rsidR="00407341">
        <w:rPr>
          <w:rFonts w:cs="Garamond"/>
          <w:b/>
          <w:color w:val="auto"/>
          <w:sz w:val="28"/>
          <w:lang w:val="en-US" w:eastAsia="ru-RU" w:bidi="ru-RU"/>
        </w:rPr>
        <w:t>–</w:t>
      </w:r>
      <w:r w:rsidRPr="007767A0">
        <w:rPr>
          <w:rFonts w:eastAsia="Calibri" w:cs="Calibri"/>
          <w:b/>
          <w:bCs/>
          <w:sz w:val="28"/>
          <w:szCs w:val="28"/>
          <w:u w:color="000000"/>
          <w:bdr w:val="nil"/>
          <w:lang w:val="en-US"/>
        </w:rPr>
        <w:t xml:space="preserve"> The main function of the financial market</w:t>
      </w:r>
    </w:p>
    <w:p w14:paraId="67347ECB" w14:textId="77777777" w:rsidR="003C51B1" w:rsidRPr="007767A0" w:rsidRDefault="003C51B1" w:rsidP="003C51B1">
      <w:pPr>
        <w:pBdr>
          <w:top w:val="nil"/>
          <w:left w:val="nil"/>
          <w:bottom w:val="nil"/>
          <w:right w:val="nil"/>
          <w:between w:val="nil"/>
          <w:bar w:val="nil"/>
        </w:pBdr>
        <w:spacing w:line="312" w:lineRule="auto"/>
        <w:ind w:firstLine="357"/>
        <w:jc w:val="both"/>
        <w:rPr>
          <w:rFonts w:eastAsia="Garamond"/>
          <w:sz w:val="28"/>
          <w:szCs w:val="28"/>
          <w:u w:color="000000"/>
          <w:bdr w:val="nil"/>
          <w:lang w:val="en-US"/>
        </w:rPr>
      </w:pPr>
    </w:p>
    <w:p w14:paraId="63F123EF" w14:textId="77777777" w:rsidR="003C51B1" w:rsidRPr="007767A0" w:rsidRDefault="003C51B1" w:rsidP="00407341">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Those net flows go through the financial system (or financial sector), but there are two basic routes through it. One involves </w:t>
      </w:r>
      <w:r w:rsidRPr="007767A0">
        <w:rPr>
          <w:rFonts w:eastAsia="Calibri" w:cs="Calibri"/>
          <w:b/>
          <w:bCs/>
          <w:sz w:val="28"/>
          <w:szCs w:val="28"/>
          <w:u w:color="000000"/>
          <w:bdr w:val="nil"/>
          <w:lang w:val="en-US"/>
        </w:rPr>
        <w:t>direct finance</w:t>
      </w:r>
      <w:r w:rsidRPr="007767A0">
        <w:rPr>
          <w:rFonts w:eastAsia="Calibri" w:cs="Calibri"/>
          <w:sz w:val="28"/>
          <w:szCs w:val="28"/>
          <w:u w:color="000000"/>
          <w:bdr w:val="nil"/>
          <w:lang w:val="en-US"/>
        </w:rPr>
        <w:t>: firms, for example, which obtain finance directly from household</w:t>
      </w:r>
      <w:r w:rsidR="005B4C7B">
        <w:rPr>
          <w:rFonts w:eastAsia="Calibri" w:cs="Calibri"/>
          <w:sz w:val="28"/>
          <w:szCs w:val="28"/>
          <w:u w:color="000000"/>
          <w:bdr w:val="nil"/>
          <w:lang w:val="en-US"/>
        </w:rPr>
        <w:t>er</w:t>
      </w:r>
      <w:r w:rsidRPr="007767A0">
        <w:rPr>
          <w:rFonts w:eastAsia="Calibri" w:cs="Calibri"/>
          <w:sz w:val="28"/>
          <w:szCs w:val="28"/>
          <w:u w:color="000000"/>
          <w:bdr w:val="nil"/>
          <w:lang w:val="en-US"/>
        </w:rPr>
        <w:t>s by selling them bonds or new equities</w:t>
      </w:r>
      <w:r w:rsidR="005B4C7B">
        <w:rPr>
          <w:rFonts w:eastAsia="Calibri" w:cs="Calibri"/>
          <w:sz w:val="28"/>
          <w:szCs w:val="28"/>
          <w:u w:color="000000"/>
          <w:bdr w:val="nil"/>
          <w:lang w:val="en-US"/>
        </w:rPr>
        <w:t xml:space="preserve"> </w:t>
      </w:r>
      <w:r w:rsidRPr="007767A0">
        <w:rPr>
          <w:rFonts w:eastAsia="Calibri" w:cs="Calibri"/>
          <w:sz w:val="28"/>
          <w:szCs w:val="28"/>
          <w:u w:color="000000"/>
          <w:bdr w:val="nil"/>
          <w:lang w:val="en-US"/>
        </w:rPr>
        <w:t xml:space="preserve">that could only occur through a financial market. But even that route is not as direct as it used to be since a large part of new issues of securities are purchased not </w:t>
      </w:r>
      <w:r w:rsidR="00303D5B">
        <w:rPr>
          <w:rFonts w:eastAsia="Calibri" w:cs="Calibri"/>
          <w:sz w:val="28"/>
          <w:szCs w:val="28"/>
          <w:u w:color="000000"/>
          <w:bdr w:val="nil"/>
          <w:lang w:val="en-US"/>
        </w:rPr>
        <w:t xml:space="preserve">only </w:t>
      </w:r>
      <w:r w:rsidRPr="007767A0">
        <w:rPr>
          <w:rFonts w:eastAsia="Calibri" w:cs="Calibri"/>
          <w:sz w:val="28"/>
          <w:szCs w:val="28"/>
          <w:u w:color="000000"/>
          <w:bdr w:val="nil"/>
          <w:lang w:val="en-US"/>
        </w:rPr>
        <w:t xml:space="preserve">by individuals but </w:t>
      </w:r>
      <w:r w:rsidR="00303D5B">
        <w:rPr>
          <w:rFonts w:eastAsia="Calibri" w:cs="Calibri"/>
          <w:sz w:val="28"/>
          <w:szCs w:val="28"/>
          <w:u w:color="000000"/>
          <w:bdr w:val="nil"/>
          <w:lang w:val="en-US"/>
        </w:rPr>
        <w:t xml:space="preserve">also </w:t>
      </w:r>
      <w:r w:rsidRPr="007767A0">
        <w:rPr>
          <w:rFonts w:eastAsia="Calibri" w:cs="Calibri"/>
          <w:sz w:val="28"/>
          <w:szCs w:val="28"/>
          <w:u w:color="000000"/>
          <w:bdr w:val="nil"/>
          <w:lang w:val="en-US"/>
        </w:rPr>
        <w:t xml:space="preserve">pension funds and insurance companies, financial </w:t>
      </w:r>
      <w:r w:rsidRPr="007767A0">
        <w:rPr>
          <w:rFonts w:eastAsia="Calibri" w:cs="Calibri"/>
          <w:sz w:val="28"/>
          <w:szCs w:val="28"/>
          <w:u w:color="000000"/>
          <w:bdr w:val="nil"/>
          <w:lang w:val="en-US"/>
        </w:rPr>
        <w:lastRenderedPageBreak/>
        <w:t>intermediaries which manag</w:t>
      </w:r>
      <w:r w:rsidR="005B4C7B">
        <w:rPr>
          <w:rFonts w:eastAsia="Calibri" w:cs="Calibri"/>
          <w:sz w:val="28"/>
          <w:szCs w:val="28"/>
          <w:u w:color="000000"/>
          <w:bdr w:val="nil"/>
          <w:lang w:val="en-US"/>
        </w:rPr>
        <w:t>e</w:t>
      </w:r>
      <w:r w:rsidRPr="007767A0">
        <w:rPr>
          <w:rFonts w:eastAsia="Calibri" w:cs="Calibri"/>
          <w:sz w:val="28"/>
          <w:szCs w:val="28"/>
          <w:u w:color="000000"/>
          <w:bdr w:val="nil"/>
          <w:lang w:val="en-US"/>
        </w:rPr>
        <w:t xml:space="preserve"> household savings placed with them as pension contributions or insurance premiums. </w:t>
      </w:r>
    </w:p>
    <w:p w14:paraId="34FC8122" w14:textId="77777777" w:rsidR="003C51B1" w:rsidRPr="007767A0" w:rsidRDefault="003C51B1" w:rsidP="00407341">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The second route involves </w:t>
      </w:r>
      <w:r w:rsidRPr="007767A0">
        <w:rPr>
          <w:rFonts w:eastAsia="Calibri" w:cs="Calibri"/>
          <w:b/>
          <w:bCs/>
          <w:sz w:val="28"/>
          <w:szCs w:val="28"/>
          <w:u w:color="000000"/>
          <w:bdr w:val="nil"/>
          <w:lang w:val="en-US"/>
        </w:rPr>
        <w:t>indirect finance</w:t>
      </w:r>
      <w:r w:rsidRPr="007767A0">
        <w:rPr>
          <w:rFonts w:eastAsia="Calibri" w:cs="Calibri"/>
          <w:sz w:val="28"/>
          <w:szCs w:val="28"/>
          <w:u w:color="000000"/>
          <w:bdr w:val="nil"/>
          <w:lang w:val="en-US"/>
        </w:rPr>
        <w:t>: surplus units such as household</w:t>
      </w:r>
      <w:r w:rsidR="005B4C7B">
        <w:rPr>
          <w:rFonts w:eastAsia="Calibri" w:cs="Calibri"/>
          <w:sz w:val="28"/>
          <w:szCs w:val="28"/>
          <w:u w:color="000000"/>
          <w:bdr w:val="nil"/>
          <w:lang w:val="en-US"/>
        </w:rPr>
        <w:t>er</w:t>
      </w:r>
      <w:r w:rsidRPr="007767A0">
        <w:rPr>
          <w:rFonts w:eastAsia="Calibri" w:cs="Calibri"/>
          <w:sz w:val="28"/>
          <w:szCs w:val="28"/>
          <w:u w:color="000000"/>
          <w:bdr w:val="nil"/>
          <w:lang w:val="en-US"/>
        </w:rPr>
        <w:t>s lend their funds to financial intermediaries, which themselves lend to deficit units such as firms (or finance them in other ways). These are two basic or pure routes by which funds flow through a financial system in a simple model. In reality, there are more complex flows too, which combine different elements.</w:t>
      </w:r>
    </w:p>
    <w:p w14:paraId="55F2D21D" w14:textId="77777777" w:rsidR="003C51B1" w:rsidRPr="007767A0" w:rsidRDefault="003C51B1" w:rsidP="00407341">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One point is that not all firms’ finance comes from outside the firm or the firm sector; much of their investment is financed from their own saving (retained profits). Another point is that financial intermediaries and markets are not purely separate, alternative, channels for finance. Financial intermediaries operate on a financial market, buying and selling securities, instead of only receiving non-marketable deposits and making non-marketable loans.</w:t>
      </w:r>
    </w:p>
    <w:p w14:paraId="5F73776D" w14:textId="77777777" w:rsidR="003C51B1" w:rsidRPr="007767A0" w:rsidRDefault="003C51B1" w:rsidP="00407341">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Thus, a financial market comprises all institutions that play the role of financial intermediation. These set</w:t>
      </w:r>
      <w:r w:rsidR="005B4C7B">
        <w:rPr>
          <w:rFonts w:eastAsia="Calibri" w:cs="Calibri"/>
          <w:sz w:val="28"/>
          <w:szCs w:val="28"/>
          <w:u w:color="000000"/>
          <w:bdr w:val="nil"/>
          <w:lang w:val="en-US"/>
        </w:rPr>
        <w:t>s</w:t>
      </w:r>
      <w:r w:rsidRPr="007767A0">
        <w:rPr>
          <w:rFonts w:eastAsia="Calibri" w:cs="Calibri"/>
          <w:sz w:val="28"/>
          <w:szCs w:val="28"/>
          <w:u w:color="000000"/>
          <w:bdr w:val="nil"/>
          <w:lang w:val="en-US"/>
        </w:rPr>
        <w:t xml:space="preserve"> of institutions are therefore referred to as financial intermediaries. The businessman who needed some additional money to start his business, the </w:t>
      </w:r>
      <w:r w:rsidR="005B4C7B">
        <w:rPr>
          <w:rFonts w:eastAsia="Calibri" w:cs="Calibri"/>
          <w:sz w:val="28"/>
          <w:szCs w:val="28"/>
          <w:u w:color="000000"/>
          <w:bdr w:val="nil"/>
          <w:lang w:val="en-US"/>
        </w:rPr>
        <w:t>g</w:t>
      </w:r>
      <w:r w:rsidRPr="007767A0">
        <w:rPr>
          <w:rFonts w:eastAsia="Calibri" w:cs="Calibri"/>
          <w:sz w:val="28"/>
          <w:szCs w:val="28"/>
          <w:u w:color="000000"/>
          <w:bdr w:val="nil"/>
          <w:lang w:val="en-US"/>
        </w:rPr>
        <w:t xml:space="preserve">overnment that needed more funds to undertake developmental projects, the student </w:t>
      </w:r>
      <w:r w:rsidR="005B4C7B">
        <w:rPr>
          <w:rFonts w:eastAsia="Calibri" w:cs="Calibri"/>
          <w:sz w:val="28"/>
          <w:szCs w:val="28"/>
          <w:u w:color="000000"/>
          <w:bdr w:val="nil"/>
          <w:lang w:val="en-US"/>
        </w:rPr>
        <w:t>who needed a loan to pay his/</w:t>
      </w:r>
      <w:r w:rsidRPr="007767A0">
        <w:rPr>
          <w:rFonts w:eastAsia="Calibri" w:cs="Calibri"/>
          <w:sz w:val="28"/>
          <w:szCs w:val="28"/>
          <w:u w:color="000000"/>
          <w:bdr w:val="nil"/>
          <w:lang w:val="en-US"/>
        </w:rPr>
        <w:t>her college fees, and the company that needed more finances to expand its operation will find the financial market a useful avenue to access additional funding.</w:t>
      </w:r>
    </w:p>
    <w:p w14:paraId="6BB98914" w14:textId="77777777" w:rsidR="003C51B1" w:rsidRPr="007767A0" w:rsidRDefault="003C51B1" w:rsidP="00407341">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Financial markets provide the following three major </w:t>
      </w:r>
      <w:r w:rsidRPr="007767A0">
        <w:rPr>
          <w:rFonts w:eastAsia="Calibri" w:cs="Calibri"/>
          <w:b/>
          <w:bCs/>
          <w:sz w:val="28"/>
          <w:szCs w:val="28"/>
          <w:u w:color="000000"/>
          <w:bdr w:val="nil"/>
          <w:lang w:val="en-US"/>
        </w:rPr>
        <w:t>economic functions</w:t>
      </w:r>
      <w:r w:rsidRPr="007767A0">
        <w:rPr>
          <w:rFonts w:eastAsia="Calibri" w:cs="Calibri"/>
          <w:sz w:val="28"/>
          <w:szCs w:val="28"/>
          <w:u w:color="000000"/>
          <w:bdr w:val="nil"/>
          <w:lang w:val="en-US"/>
        </w:rPr>
        <w:t>:</w:t>
      </w:r>
    </w:p>
    <w:p w14:paraId="47CCC777" w14:textId="77777777" w:rsidR="003C51B1" w:rsidRPr="007767A0" w:rsidRDefault="003C51B1" w:rsidP="00407341">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1) </w:t>
      </w:r>
      <w:r w:rsidRPr="007767A0">
        <w:rPr>
          <w:rFonts w:eastAsia="Calibri" w:cs="Calibri"/>
          <w:b/>
          <w:bCs/>
          <w:sz w:val="28"/>
          <w:szCs w:val="28"/>
          <w:u w:color="000000"/>
          <w:bdr w:val="nil"/>
          <w:lang w:val="en-US"/>
        </w:rPr>
        <w:t>Price discovery function</w:t>
      </w:r>
      <w:r w:rsidRPr="007767A0">
        <w:rPr>
          <w:rFonts w:eastAsia="Calibri" w:cs="Calibri"/>
          <w:sz w:val="28"/>
          <w:szCs w:val="28"/>
          <w:u w:color="000000"/>
          <w:bdr w:val="nil"/>
          <w:lang w:val="en-US"/>
        </w:rPr>
        <w:t xml:space="preserve"> means that transactions between buyers and sellers of financial instruments in a financial market determine the price of the traded asset. At the same time, the required return from the investment of funds is determined by the participants in a financial market. The motivation for those seeking funds (deficit units) depends on the required return that investors demand. </w:t>
      </w:r>
      <w:r w:rsidR="005B4C7B">
        <w:rPr>
          <w:rFonts w:eastAsia="Calibri" w:cs="Calibri"/>
          <w:sz w:val="28"/>
          <w:szCs w:val="28"/>
          <w:u w:color="000000"/>
          <w:bdr w:val="nil"/>
          <w:lang w:val="en-US"/>
        </w:rPr>
        <w:t>T</w:t>
      </w:r>
      <w:r w:rsidRPr="007767A0">
        <w:rPr>
          <w:rFonts w:eastAsia="Calibri" w:cs="Calibri"/>
          <w:sz w:val="28"/>
          <w:szCs w:val="28"/>
          <w:u w:color="000000"/>
          <w:bdr w:val="nil"/>
          <w:lang w:val="en-US"/>
        </w:rPr>
        <w:t xml:space="preserve">hese functions of financial markets signal how the funds available from those who want to lend or invest funds will be allocated among those needing funds and raise those funds by issuing financial instruments. </w:t>
      </w:r>
    </w:p>
    <w:p w14:paraId="160CFC2C" w14:textId="77777777" w:rsidR="003C51B1" w:rsidRPr="007767A0" w:rsidRDefault="003C51B1" w:rsidP="00407341">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2) </w:t>
      </w:r>
      <w:r w:rsidRPr="007767A0">
        <w:rPr>
          <w:rFonts w:eastAsia="Calibri" w:cs="Calibri"/>
          <w:b/>
          <w:bCs/>
          <w:sz w:val="28"/>
          <w:szCs w:val="28"/>
          <w:u w:color="000000"/>
          <w:bdr w:val="nil"/>
          <w:lang w:val="en-US"/>
        </w:rPr>
        <w:t>Liquidity function</w:t>
      </w:r>
      <w:r w:rsidRPr="007767A0">
        <w:rPr>
          <w:rFonts w:eastAsia="Calibri" w:cs="Calibri"/>
          <w:sz w:val="28"/>
          <w:szCs w:val="28"/>
          <w:u w:color="000000"/>
          <w:bdr w:val="nil"/>
          <w:lang w:val="en-US"/>
        </w:rPr>
        <w:t xml:space="preserve"> provides an opportunity for investors to sell a financial instrument since it is referred to as a measure of the ability to sell an asset at its fair market value at any time. Without liquidity, an investor would be forced to hold a financial instrument until conditions arise to sell it or the issuer is contractually obligated to pay it off. The debt instrument is liquidated when it matures, and equity </w:t>
      </w:r>
      <w:r w:rsidRPr="007767A0">
        <w:rPr>
          <w:rFonts w:eastAsia="Calibri" w:cs="Calibri"/>
          <w:sz w:val="28"/>
          <w:szCs w:val="28"/>
          <w:u w:color="000000"/>
          <w:bdr w:val="nil"/>
          <w:lang w:val="en-US"/>
        </w:rPr>
        <w:lastRenderedPageBreak/>
        <w:t xml:space="preserve">instrument is </w:t>
      </w:r>
      <w:r w:rsidR="005B4C7B" w:rsidRPr="007767A0">
        <w:rPr>
          <w:rFonts w:eastAsia="Calibri" w:cs="Calibri"/>
          <w:sz w:val="28"/>
          <w:szCs w:val="28"/>
          <w:u w:color="000000"/>
          <w:bdr w:val="nil"/>
          <w:lang w:val="en-US"/>
        </w:rPr>
        <w:t xml:space="preserve">liquidated </w:t>
      </w:r>
      <w:r w:rsidRPr="007767A0">
        <w:rPr>
          <w:rFonts w:eastAsia="Calibri" w:cs="Calibri"/>
          <w:sz w:val="28"/>
          <w:szCs w:val="28"/>
          <w:u w:color="000000"/>
          <w:bdr w:val="nil"/>
          <w:lang w:val="en-US"/>
        </w:rPr>
        <w:t xml:space="preserve">until the company is either voluntarily or involuntarily. All financial markets provide some form of liquidity. However, different financial markets are characterized by the degree of liquidity. </w:t>
      </w:r>
    </w:p>
    <w:p w14:paraId="0B32D298" w14:textId="77777777" w:rsidR="003C51B1" w:rsidRPr="007767A0" w:rsidRDefault="003C51B1" w:rsidP="00407341">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3) The </w:t>
      </w:r>
      <w:r w:rsidRPr="007767A0">
        <w:rPr>
          <w:rFonts w:eastAsia="Calibri" w:cs="Calibri"/>
          <w:b/>
          <w:bCs/>
          <w:sz w:val="28"/>
          <w:szCs w:val="28"/>
          <w:u w:color="000000"/>
          <w:bdr w:val="nil"/>
          <w:lang w:val="en-US"/>
        </w:rPr>
        <w:t>function of the reduction of transaction costs</w:t>
      </w:r>
      <w:r w:rsidRPr="007767A0">
        <w:rPr>
          <w:rFonts w:eastAsia="Calibri" w:cs="Calibri"/>
          <w:sz w:val="28"/>
          <w:szCs w:val="28"/>
          <w:u w:color="000000"/>
          <w:bdr w:val="nil"/>
          <w:lang w:val="en-US"/>
        </w:rPr>
        <w:t xml:space="preserve"> is performed, when financial market participants are charged and/or bear the costs of trading financial instrument. In market economies the economic rationale for the existence of institutions and instruments is related to transaction costs, thus the surviving institutions and instruments are those that have the lowest transaction costs.</w:t>
      </w:r>
    </w:p>
    <w:p w14:paraId="37C5C3F2" w14:textId="77777777" w:rsidR="003C51B1" w:rsidRDefault="003C51B1" w:rsidP="00407341">
      <w:pPr>
        <w:pBdr>
          <w:top w:val="nil"/>
          <w:left w:val="nil"/>
          <w:bottom w:val="nil"/>
          <w:right w:val="nil"/>
          <w:between w:val="nil"/>
          <w:bar w:val="nil"/>
        </w:pBdr>
        <w:spacing w:line="312" w:lineRule="auto"/>
        <w:ind w:firstLine="709"/>
        <w:jc w:val="both"/>
        <w:rPr>
          <w:rFonts w:eastAsia="Calibri" w:cs="Calibri"/>
          <w:sz w:val="28"/>
          <w:szCs w:val="28"/>
          <w:u w:color="000000"/>
          <w:bdr w:val="nil"/>
          <w:lang w:val="en-US"/>
        </w:rPr>
      </w:pPr>
      <w:r w:rsidRPr="007767A0">
        <w:rPr>
          <w:rFonts w:eastAsia="Calibri" w:cs="Calibri"/>
          <w:sz w:val="28"/>
          <w:szCs w:val="28"/>
          <w:u w:color="000000"/>
          <w:bdr w:val="nil"/>
          <w:lang w:val="en-US"/>
        </w:rPr>
        <w:t xml:space="preserve">There </w:t>
      </w:r>
      <w:r w:rsidR="005B4C7B">
        <w:rPr>
          <w:rFonts w:eastAsia="Calibri" w:cs="Calibri"/>
          <w:sz w:val="28"/>
          <w:szCs w:val="28"/>
          <w:u w:color="000000"/>
          <w:bdr w:val="nil"/>
          <w:lang w:val="en-US"/>
        </w:rPr>
        <w:t xml:space="preserve">are </w:t>
      </w:r>
      <w:r w:rsidRPr="007767A0">
        <w:rPr>
          <w:rFonts w:eastAsia="Calibri" w:cs="Calibri"/>
          <w:sz w:val="28"/>
          <w:szCs w:val="28"/>
          <w:u w:color="000000"/>
          <w:bdr w:val="nil"/>
          <w:lang w:val="en-US"/>
        </w:rPr>
        <w:t xml:space="preserve">different ways to classify financial markets. They are classified according to the financial instruments they are trading, features of services they provide, trading procedures, key market participants, as well as the origin of the markets. The structure of financial market according to the financial instruments they are trading is shown in </w:t>
      </w:r>
      <w:r w:rsidR="00613E76">
        <w:rPr>
          <w:rFonts w:eastAsia="Calibri" w:cs="Calibri"/>
          <w:sz w:val="28"/>
          <w:szCs w:val="28"/>
          <w:u w:color="000000"/>
          <w:bdr w:val="nil"/>
          <w:lang w:val="en-US"/>
        </w:rPr>
        <w:t>Figure</w:t>
      </w:r>
      <w:r w:rsidRPr="007767A0">
        <w:rPr>
          <w:rFonts w:eastAsia="Calibri" w:cs="Calibri"/>
          <w:sz w:val="28"/>
          <w:szCs w:val="28"/>
          <w:u w:color="000000"/>
          <w:bdr w:val="nil"/>
          <w:lang w:val="en-US"/>
        </w:rPr>
        <w:t xml:space="preserve"> 9.2.</w:t>
      </w:r>
    </w:p>
    <w:p w14:paraId="38FAF3A1" w14:textId="77777777" w:rsidR="007767A0" w:rsidRPr="007767A0" w:rsidRDefault="007767A0" w:rsidP="003C51B1">
      <w:pPr>
        <w:pBdr>
          <w:top w:val="nil"/>
          <w:left w:val="nil"/>
          <w:bottom w:val="nil"/>
          <w:right w:val="nil"/>
          <w:between w:val="nil"/>
          <w:bar w:val="nil"/>
        </w:pBdr>
        <w:spacing w:line="312" w:lineRule="auto"/>
        <w:ind w:firstLine="357"/>
        <w:jc w:val="both"/>
        <w:rPr>
          <w:rFonts w:eastAsia="Garamond"/>
          <w:sz w:val="28"/>
          <w:szCs w:val="28"/>
          <w:u w:color="000000"/>
          <w:bdr w:val="nil"/>
          <w:lang w:val="en-US"/>
        </w:rPr>
      </w:pPr>
      <w:r w:rsidRPr="007767A0">
        <w:rPr>
          <w:rFonts w:cs="Garamond"/>
          <w:noProof/>
          <w:color w:val="auto"/>
          <w:lang w:val="ru-RU" w:eastAsia="ru-RU"/>
        </w:rPr>
        <mc:AlternateContent>
          <mc:Choice Requires="wpc">
            <w:drawing>
              <wp:inline distT="0" distB="0" distL="0" distR="0" wp14:anchorId="6FC23211" wp14:editId="0807A945">
                <wp:extent cx="5968365" cy="2499296"/>
                <wp:effectExtent l="0" t="0" r="13335" b="0"/>
                <wp:docPr id="1073741912" name="Полотно 107374191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06" name="Поле 306"/>
                        <wps:cNvSpPr txBox="1"/>
                        <wps:spPr>
                          <a:xfrm>
                            <a:off x="2419350" y="1"/>
                            <a:ext cx="1654938" cy="225380"/>
                          </a:xfrm>
                          <a:prstGeom prst="rect">
                            <a:avLst/>
                          </a:prstGeom>
                          <a:solidFill>
                            <a:sysClr val="window" lastClr="FFFFFF">
                              <a:lumMod val="75000"/>
                            </a:sysClr>
                          </a:solidFill>
                          <a:ln w="6350">
                            <a:noFill/>
                          </a:ln>
                          <a:effectLst/>
                        </wps:spPr>
                        <wps:txbx>
                          <w:txbxContent>
                            <w:p w14:paraId="62FBC22B" w14:textId="77777777" w:rsidR="00B56753" w:rsidRPr="007767A0" w:rsidRDefault="00B56753" w:rsidP="007767A0">
                              <w:pPr>
                                <w:jc w:val="center"/>
                                <w:rPr>
                                  <w:b/>
                                  <w:lang w:val="en-US"/>
                                </w:rPr>
                              </w:pPr>
                              <w:r w:rsidRPr="007767A0">
                                <w:rPr>
                                  <w:b/>
                                  <w:lang w:val="en-US"/>
                                </w:rPr>
                                <w:t>Financial market</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wps:wsp>
                        <wps:cNvPr id="307" name="Прямая соединительная линия 307"/>
                        <wps:cNvCnPr/>
                        <wps:spPr>
                          <a:xfrm>
                            <a:off x="3013657" y="225359"/>
                            <a:ext cx="0" cy="126333"/>
                          </a:xfrm>
                          <a:prstGeom prst="line">
                            <a:avLst/>
                          </a:prstGeom>
                          <a:noFill/>
                          <a:ln w="9525" cap="flat" cmpd="sng" algn="ctr">
                            <a:solidFill>
                              <a:sysClr val="windowText" lastClr="000000">
                                <a:shade val="95000"/>
                                <a:satMod val="105000"/>
                              </a:sysClr>
                            </a:solidFill>
                            <a:prstDash val="solid"/>
                          </a:ln>
                          <a:effectLst/>
                        </wps:spPr>
                        <wps:bodyPr/>
                      </wps:wsp>
                      <wps:wsp>
                        <wps:cNvPr id="310" name="Прямая соединительная линия 310"/>
                        <wps:cNvCnPr/>
                        <wps:spPr>
                          <a:xfrm>
                            <a:off x="1155561" y="351315"/>
                            <a:ext cx="3165230" cy="321"/>
                          </a:xfrm>
                          <a:prstGeom prst="line">
                            <a:avLst/>
                          </a:prstGeom>
                          <a:noFill/>
                          <a:ln w="9525" cap="flat" cmpd="sng" algn="ctr">
                            <a:solidFill>
                              <a:sysClr val="windowText" lastClr="000000">
                                <a:shade val="95000"/>
                                <a:satMod val="105000"/>
                              </a:sysClr>
                            </a:solidFill>
                            <a:prstDash val="solid"/>
                          </a:ln>
                          <a:effectLst/>
                        </wps:spPr>
                        <wps:bodyPr/>
                      </wps:wsp>
                      <wps:wsp>
                        <wps:cNvPr id="311" name="Прямая соединительная линия 311"/>
                        <wps:cNvCnPr/>
                        <wps:spPr>
                          <a:xfrm>
                            <a:off x="1155561" y="351580"/>
                            <a:ext cx="0" cy="191031"/>
                          </a:xfrm>
                          <a:prstGeom prst="line">
                            <a:avLst/>
                          </a:prstGeom>
                          <a:noFill/>
                          <a:ln w="9525" cap="flat" cmpd="sng" algn="ctr">
                            <a:solidFill>
                              <a:sysClr val="windowText" lastClr="000000"/>
                            </a:solidFill>
                            <a:prstDash val="solid"/>
                            <a:headEnd type="none" w="med" len="med"/>
                            <a:tailEnd type="stealth" w="med" len="med"/>
                          </a:ln>
                          <a:effectLst/>
                        </wps:spPr>
                        <wps:bodyPr/>
                      </wps:wsp>
                      <wps:wsp>
                        <wps:cNvPr id="312" name="Прямая соединительная линия 312"/>
                        <wps:cNvCnPr/>
                        <wps:spPr>
                          <a:xfrm>
                            <a:off x="4320791" y="350023"/>
                            <a:ext cx="0" cy="190500"/>
                          </a:xfrm>
                          <a:prstGeom prst="line">
                            <a:avLst/>
                          </a:prstGeom>
                          <a:noFill/>
                          <a:ln w="9525" cap="flat" cmpd="sng" algn="ctr">
                            <a:solidFill>
                              <a:sysClr val="windowText" lastClr="000000"/>
                            </a:solidFill>
                            <a:prstDash val="solid"/>
                            <a:headEnd type="none" w="med" len="med"/>
                            <a:tailEnd type="stealth" w="med" len="med"/>
                          </a:ln>
                          <a:effectLst/>
                        </wps:spPr>
                        <wps:bodyPr/>
                      </wps:wsp>
                      <wps:wsp>
                        <wps:cNvPr id="314" name="Поле 314"/>
                        <wps:cNvSpPr txBox="1"/>
                        <wps:spPr>
                          <a:xfrm>
                            <a:off x="643094" y="541924"/>
                            <a:ext cx="1105319" cy="261944"/>
                          </a:xfrm>
                          <a:prstGeom prst="rect">
                            <a:avLst/>
                          </a:prstGeom>
                          <a:solidFill>
                            <a:sysClr val="window" lastClr="FFFFFF">
                              <a:lumMod val="85000"/>
                            </a:sysClr>
                          </a:solidFill>
                          <a:ln w="6350">
                            <a:noFill/>
                          </a:ln>
                          <a:effectLst/>
                        </wps:spPr>
                        <wps:txbx>
                          <w:txbxContent>
                            <w:p w14:paraId="24BD33CC" w14:textId="77777777" w:rsidR="00B56753" w:rsidRPr="007767A0" w:rsidRDefault="00B56753" w:rsidP="007767A0">
                              <w:pPr>
                                <w:jc w:val="center"/>
                                <w:rPr>
                                  <w:lang w:val="en-US"/>
                                </w:rPr>
                              </w:pPr>
                              <w:r w:rsidRPr="007767A0">
                                <w:rPr>
                                  <w:lang w:val="en-US"/>
                                </w:rPr>
                                <w:t>Money market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6" name="Поле 46"/>
                        <wps:cNvSpPr txBox="1"/>
                        <wps:spPr>
                          <a:xfrm>
                            <a:off x="3817504" y="540523"/>
                            <a:ext cx="1104900" cy="261620"/>
                          </a:xfrm>
                          <a:prstGeom prst="rect">
                            <a:avLst/>
                          </a:prstGeom>
                          <a:solidFill>
                            <a:sysClr val="window" lastClr="FFFFFF">
                              <a:lumMod val="85000"/>
                            </a:sysClr>
                          </a:solidFill>
                          <a:ln w="6350">
                            <a:noFill/>
                          </a:ln>
                          <a:effectLst/>
                        </wps:spPr>
                        <wps:txbx>
                          <w:txbxContent>
                            <w:p w14:paraId="7BEB558A" w14:textId="77777777" w:rsidR="00B56753" w:rsidRPr="007767A0" w:rsidRDefault="00B56753" w:rsidP="007767A0">
                              <w:pPr>
                                <w:pStyle w:val="NormalWeb"/>
                                <w:spacing w:before="0" w:beforeAutospacing="0" w:after="0" w:afterAutospacing="0"/>
                                <w:jc w:val="center"/>
                                <w:rPr>
                                  <w:lang w:val="en-US"/>
                                </w:rPr>
                              </w:pPr>
                              <w:r w:rsidRPr="007767A0">
                                <w:rPr>
                                  <w:rFonts w:ascii="Garamond" w:eastAsia="Calibri" w:hAnsi="Garamond"/>
                                  <w:lang w:val="en-US"/>
                                </w:rPr>
                                <w:t>Capital market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7" name="Прямая соединительная линия 317"/>
                        <wps:cNvCnPr/>
                        <wps:spPr>
                          <a:xfrm flipH="1">
                            <a:off x="462224" y="672661"/>
                            <a:ext cx="180870" cy="0"/>
                          </a:xfrm>
                          <a:prstGeom prst="line">
                            <a:avLst/>
                          </a:prstGeom>
                          <a:noFill/>
                          <a:ln w="9525" cap="flat" cmpd="sng" algn="ctr">
                            <a:solidFill>
                              <a:sysClr val="windowText" lastClr="000000">
                                <a:shade val="95000"/>
                                <a:satMod val="105000"/>
                              </a:sysClr>
                            </a:solidFill>
                            <a:prstDash val="solid"/>
                          </a:ln>
                          <a:effectLst/>
                        </wps:spPr>
                        <wps:bodyPr/>
                      </wps:wsp>
                      <wps:wsp>
                        <wps:cNvPr id="318" name="Прямая соединительная линия 318"/>
                        <wps:cNvCnPr/>
                        <wps:spPr>
                          <a:xfrm>
                            <a:off x="462224" y="672126"/>
                            <a:ext cx="314" cy="1486672"/>
                          </a:xfrm>
                          <a:prstGeom prst="line">
                            <a:avLst/>
                          </a:prstGeom>
                          <a:noFill/>
                          <a:ln w="9525" cap="flat" cmpd="sng" algn="ctr">
                            <a:solidFill>
                              <a:sysClr val="windowText" lastClr="000000">
                                <a:shade val="95000"/>
                                <a:satMod val="105000"/>
                              </a:sysClr>
                            </a:solidFill>
                            <a:prstDash val="solid"/>
                          </a:ln>
                          <a:effectLst/>
                        </wps:spPr>
                        <wps:bodyPr/>
                      </wps:wsp>
                      <wps:wsp>
                        <wps:cNvPr id="319" name="Поле 46"/>
                        <wps:cNvSpPr txBox="1"/>
                        <wps:spPr>
                          <a:xfrm>
                            <a:off x="643512" y="923284"/>
                            <a:ext cx="1687706" cy="261620"/>
                          </a:xfrm>
                          <a:prstGeom prst="rect">
                            <a:avLst/>
                          </a:prstGeom>
                          <a:solidFill>
                            <a:sysClr val="window" lastClr="FFFFFF"/>
                          </a:solidFill>
                          <a:ln w="6350">
                            <a:noFill/>
                          </a:ln>
                          <a:effectLst/>
                        </wps:spPr>
                        <wps:txbx>
                          <w:txbxContent>
                            <w:p w14:paraId="67ED87CD" w14:textId="77777777" w:rsidR="00B56753" w:rsidRPr="007767A0" w:rsidRDefault="00B56753" w:rsidP="007767A0">
                              <w:pPr>
                                <w:pStyle w:val="NormalWeb"/>
                                <w:spacing w:before="0" w:beforeAutospacing="0" w:after="0" w:afterAutospacing="0"/>
                                <w:rPr>
                                  <w:lang w:val="en-US"/>
                                </w:rPr>
                              </w:pPr>
                              <w:r w:rsidRPr="007767A0">
                                <w:rPr>
                                  <w:rFonts w:ascii="Garamond" w:eastAsia="Calibri" w:hAnsi="Garamond"/>
                                  <w:lang w:val="en-US"/>
                                </w:rPr>
                                <w:t>Interbank market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3741840" name="Поле 46"/>
                        <wps:cNvSpPr txBox="1"/>
                        <wps:spPr>
                          <a:xfrm>
                            <a:off x="643093" y="1294955"/>
                            <a:ext cx="1688125" cy="261620"/>
                          </a:xfrm>
                          <a:prstGeom prst="rect">
                            <a:avLst/>
                          </a:prstGeom>
                          <a:solidFill>
                            <a:sysClr val="window" lastClr="FFFFFF"/>
                          </a:solidFill>
                          <a:ln w="6350">
                            <a:noFill/>
                          </a:ln>
                          <a:effectLst/>
                        </wps:spPr>
                        <wps:txbx>
                          <w:txbxContent>
                            <w:p w14:paraId="242F904B" w14:textId="77777777" w:rsidR="00B56753" w:rsidRPr="007767A0" w:rsidRDefault="00B56753" w:rsidP="007767A0">
                              <w:pPr>
                                <w:pStyle w:val="NormalWeb"/>
                                <w:spacing w:before="0" w:beforeAutospacing="0" w:after="0" w:afterAutospacing="0"/>
                                <w:rPr>
                                  <w:lang w:val="en-US"/>
                                </w:rPr>
                              </w:pPr>
                              <w:r w:rsidRPr="007767A0">
                                <w:rPr>
                                  <w:rFonts w:ascii="Garamond" w:eastAsia="Calibri" w:hAnsi="Garamond"/>
                                  <w:lang w:val="en-US"/>
                                </w:rPr>
                                <w:t>Bill market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3741843" name="Поле 46"/>
                        <wps:cNvSpPr txBox="1"/>
                        <wps:spPr>
                          <a:xfrm>
                            <a:off x="633045" y="1666096"/>
                            <a:ext cx="1786305" cy="261620"/>
                          </a:xfrm>
                          <a:prstGeom prst="rect">
                            <a:avLst/>
                          </a:prstGeom>
                          <a:solidFill>
                            <a:sysClr val="window" lastClr="FFFFFF"/>
                          </a:solidFill>
                          <a:ln w="6350">
                            <a:noFill/>
                          </a:ln>
                          <a:effectLst/>
                        </wps:spPr>
                        <wps:txbx>
                          <w:txbxContent>
                            <w:p w14:paraId="786D5C01" w14:textId="77777777" w:rsidR="00B56753" w:rsidRPr="007767A0" w:rsidRDefault="00B56753" w:rsidP="007767A0">
                              <w:pPr>
                                <w:pStyle w:val="NormalWeb"/>
                                <w:spacing w:before="0" w:beforeAutospacing="0" w:after="0" w:afterAutospacing="0"/>
                                <w:rPr>
                                  <w:lang w:val="en-US"/>
                                </w:rPr>
                              </w:pPr>
                              <w:r w:rsidRPr="007767A0">
                                <w:rPr>
                                  <w:rFonts w:ascii="Garamond" w:eastAsia="Calibri" w:hAnsi="Garamond"/>
                                  <w:lang w:val="en-US"/>
                                </w:rPr>
                                <w:t>Foreign exchange market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3741850" name="Поле 46"/>
                        <wps:cNvSpPr txBox="1"/>
                        <wps:spPr>
                          <a:xfrm>
                            <a:off x="633045" y="2037325"/>
                            <a:ext cx="1698173" cy="414150"/>
                          </a:xfrm>
                          <a:prstGeom prst="rect">
                            <a:avLst/>
                          </a:prstGeom>
                          <a:solidFill>
                            <a:sysClr val="window" lastClr="FFFFFF"/>
                          </a:solidFill>
                          <a:ln w="6350">
                            <a:noFill/>
                          </a:ln>
                          <a:effectLst/>
                        </wps:spPr>
                        <wps:txbx>
                          <w:txbxContent>
                            <w:p w14:paraId="4F3D0E88" w14:textId="77777777" w:rsidR="00B56753" w:rsidRPr="007767A0" w:rsidRDefault="00B56753" w:rsidP="007767A0">
                              <w:pPr>
                                <w:pStyle w:val="NormalWeb"/>
                                <w:spacing w:before="0" w:beforeAutospacing="0" w:after="0" w:afterAutospacing="0"/>
                                <w:rPr>
                                  <w:lang w:val="en-US"/>
                                </w:rPr>
                              </w:pPr>
                              <w:r w:rsidRPr="007767A0">
                                <w:rPr>
                                  <w:rFonts w:ascii="Garamond" w:eastAsia="Calibri" w:hAnsi="Garamond"/>
                                  <w:lang w:val="en-US"/>
                                </w:rPr>
                                <w:t>Market of short-term credit-deposit operations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3741851" name="Прямая соединительная линия 1073741851"/>
                        <wps:cNvCnPr>
                          <a:endCxn id="319" idx="1"/>
                        </wps:cNvCnPr>
                        <wps:spPr>
                          <a:xfrm flipV="1">
                            <a:off x="462224" y="1054073"/>
                            <a:ext cx="181288" cy="672"/>
                          </a:xfrm>
                          <a:prstGeom prst="line">
                            <a:avLst/>
                          </a:prstGeom>
                          <a:noFill/>
                          <a:ln w="9525" cap="flat" cmpd="sng" algn="ctr">
                            <a:solidFill>
                              <a:sysClr val="windowText" lastClr="000000">
                                <a:shade val="95000"/>
                                <a:satMod val="105000"/>
                              </a:sysClr>
                            </a:solidFill>
                            <a:prstDash val="solid"/>
                            <a:headEnd type="none" w="med" len="med"/>
                            <a:tailEnd type="stealth" w="med" len="med"/>
                          </a:ln>
                          <a:effectLst/>
                        </wps:spPr>
                        <wps:bodyPr/>
                      </wps:wsp>
                      <wps:wsp>
                        <wps:cNvPr id="1073741852" name="Прямая соединительная линия 1073741852"/>
                        <wps:cNvCnPr/>
                        <wps:spPr>
                          <a:xfrm flipV="1">
                            <a:off x="462538" y="1436044"/>
                            <a:ext cx="180975" cy="635"/>
                          </a:xfrm>
                          <a:prstGeom prst="line">
                            <a:avLst/>
                          </a:prstGeom>
                          <a:noFill/>
                          <a:ln w="9525" cap="flat" cmpd="sng" algn="ctr">
                            <a:solidFill>
                              <a:sysClr val="windowText" lastClr="000000">
                                <a:shade val="95000"/>
                                <a:satMod val="105000"/>
                              </a:sysClr>
                            </a:solidFill>
                            <a:prstDash val="solid"/>
                            <a:headEnd type="none" w="med" len="med"/>
                            <a:tailEnd type="stealth" w="med" len="med"/>
                          </a:ln>
                          <a:effectLst/>
                        </wps:spPr>
                        <wps:bodyPr/>
                      </wps:wsp>
                      <wps:wsp>
                        <wps:cNvPr id="1073741853" name="Прямая соединительная линия 1073741853"/>
                        <wps:cNvCnPr/>
                        <wps:spPr>
                          <a:xfrm flipV="1">
                            <a:off x="462119" y="1797785"/>
                            <a:ext cx="180975" cy="635"/>
                          </a:xfrm>
                          <a:prstGeom prst="line">
                            <a:avLst/>
                          </a:prstGeom>
                          <a:noFill/>
                          <a:ln w="9525" cap="flat" cmpd="sng" algn="ctr">
                            <a:solidFill>
                              <a:sysClr val="windowText" lastClr="000000">
                                <a:shade val="95000"/>
                                <a:satMod val="105000"/>
                              </a:sysClr>
                            </a:solidFill>
                            <a:prstDash val="solid"/>
                            <a:headEnd type="none" w="med" len="med"/>
                            <a:tailEnd type="stealth" w="med" len="med"/>
                          </a:ln>
                          <a:effectLst/>
                        </wps:spPr>
                        <wps:bodyPr/>
                      </wps:wsp>
                      <wps:wsp>
                        <wps:cNvPr id="1073741855" name="Прямая соединительная линия 1073741855"/>
                        <wps:cNvCnPr/>
                        <wps:spPr>
                          <a:xfrm flipV="1">
                            <a:off x="462119" y="2158506"/>
                            <a:ext cx="180975" cy="635"/>
                          </a:xfrm>
                          <a:prstGeom prst="line">
                            <a:avLst/>
                          </a:prstGeom>
                          <a:noFill/>
                          <a:ln w="9525" cap="flat" cmpd="sng" algn="ctr">
                            <a:solidFill>
                              <a:sysClr val="windowText" lastClr="000000">
                                <a:shade val="95000"/>
                                <a:satMod val="105000"/>
                              </a:sysClr>
                            </a:solidFill>
                            <a:prstDash val="solid"/>
                            <a:headEnd type="none" w="med" len="med"/>
                            <a:tailEnd type="stealth" w="med" len="med"/>
                          </a:ln>
                          <a:effectLst/>
                        </wps:spPr>
                        <wps:bodyPr/>
                      </wps:wsp>
                      <wps:wsp>
                        <wps:cNvPr id="1073741856" name="Прямая соединительная линия 1073741856"/>
                        <wps:cNvCnPr/>
                        <wps:spPr>
                          <a:xfrm>
                            <a:off x="4350936" y="802972"/>
                            <a:ext cx="0" cy="140339"/>
                          </a:xfrm>
                          <a:prstGeom prst="line">
                            <a:avLst/>
                          </a:prstGeom>
                          <a:noFill/>
                          <a:ln w="9525" cap="flat" cmpd="sng" algn="ctr">
                            <a:solidFill>
                              <a:sysClr val="windowText" lastClr="000000">
                                <a:shade val="95000"/>
                                <a:satMod val="105000"/>
                              </a:sysClr>
                            </a:solidFill>
                            <a:prstDash val="solid"/>
                          </a:ln>
                          <a:effectLst/>
                        </wps:spPr>
                        <wps:bodyPr/>
                      </wps:wsp>
                      <wps:wsp>
                        <wps:cNvPr id="1073741907" name="Прямая соединительная линия 1073741907"/>
                        <wps:cNvCnPr/>
                        <wps:spPr>
                          <a:xfrm>
                            <a:off x="5364531" y="944047"/>
                            <a:ext cx="0" cy="189618"/>
                          </a:xfrm>
                          <a:prstGeom prst="line">
                            <a:avLst/>
                          </a:prstGeom>
                          <a:noFill/>
                          <a:ln w="9525" cap="flat" cmpd="sng" algn="ctr">
                            <a:solidFill>
                              <a:sysClr val="windowText" lastClr="000000"/>
                            </a:solidFill>
                            <a:prstDash val="solid"/>
                            <a:headEnd type="none" w="med" len="med"/>
                            <a:tailEnd type="stealth" w="med" len="med"/>
                          </a:ln>
                          <a:effectLst/>
                        </wps:spPr>
                        <wps:bodyPr/>
                      </wps:wsp>
                      <wps:wsp>
                        <wps:cNvPr id="1073741908" name="Поле 46"/>
                        <wps:cNvSpPr txBox="1"/>
                        <wps:spPr>
                          <a:xfrm>
                            <a:off x="4682516" y="1130500"/>
                            <a:ext cx="1306286" cy="305410"/>
                          </a:xfrm>
                          <a:prstGeom prst="rect">
                            <a:avLst/>
                          </a:prstGeom>
                          <a:solidFill>
                            <a:sysClr val="window" lastClr="FFFFFF"/>
                          </a:solidFill>
                          <a:ln w="6350">
                            <a:noFill/>
                          </a:ln>
                          <a:effectLst/>
                        </wps:spPr>
                        <wps:txbx>
                          <w:txbxContent>
                            <w:p w14:paraId="21A0CA84" w14:textId="77777777" w:rsidR="00B56753" w:rsidRPr="007767A0" w:rsidRDefault="00B56753" w:rsidP="007767A0">
                              <w:pPr>
                                <w:pStyle w:val="NormalWeb"/>
                                <w:spacing w:before="0" w:beforeAutospacing="0" w:after="0" w:afterAutospacing="0"/>
                                <w:jc w:val="center"/>
                              </w:pPr>
                              <w:r w:rsidRPr="007767A0">
                                <w:rPr>
                                  <w:rFonts w:ascii="Garamond" w:eastAsia="Calibri" w:hAnsi="Garamond"/>
                                  <w:lang w:val="en-US"/>
                                </w:rPr>
                                <w:t xml:space="preserve">Stock market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3741909" name="Прямая соединительная линия 1073741909"/>
                        <wps:cNvCnPr/>
                        <wps:spPr>
                          <a:xfrm>
                            <a:off x="3324716" y="944047"/>
                            <a:ext cx="2039815" cy="0"/>
                          </a:xfrm>
                          <a:prstGeom prst="line">
                            <a:avLst/>
                          </a:prstGeom>
                          <a:noFill/>
                          <a:ln w="9525" cap="flat" cmpd="sng" algn="ctr">
                            <a:solidFill>
                              <a:sysClr val="windowText" lastClr="000000">
                                <a:shade val="95000"/>
                                <a:satMod val="105000"/>
                              </a:sysClr>
                            </a:solidFill>
                            <a:prstDash val="solid"/>
                          </a:ln>
                          <a:effectLst/>
                        </wps:spPr>
                        <wps:bodyPr/>
                      </wps:wsp>
                      <wps:wsp>
                        <wps:cNvPr id="1073741910" name="Прямая соединительная линия 1073741910"/>
                        <wps:cNvCnPr/>
                        <wps:spPr>
                          <a:xfrm>
                            <a:off x="3324716" y="944065"/>
                            <a:ext cx="0" cy="207114"/>
                          </a:xfrm>
                          <a:prstGeom prst="line">
                            <a:avLst/>
                          </a:prstGeom>
                          <a:noFill/>
                          <a:ln w="9525" cap="flat" cmpd="sng" algn="ctr">
                            <a:solidFill>
                              <a:sysClr val="windowText" lastClr="000000"/>
                            </a:solidFill>
                            <a:prstDash val="solid"/>
                            <a:headEnd type="none" w="med" len="med"/>
                            <a:tailEnd type="stealth" w="med" len="med"/>
                          </a:ln>
                          <a:effectLst/>
                        </wps:spPr>
                        <wps:bodyPr/>
                      </wps:wsp>
                      <wps:wsp>
                        <wps:cNvPr id="1073741911" name="Поле 46"/>
                        <wps:cNvSpPr txBox="1"/>
                        <wps:spPr>
                          <a:xfrm>
                            <a:off x="2742330" y="1141756"/>
                            <a:ext cx="1498074" cy="586560"/>
                          </a:xfrm>
                          <a:prstGeom prst="rect">
                            <a:avLst/>
                          </a:prstGeom>
                          <a:noFill/>
                          <a:ln w="6350">
                            <a:noFill/>
                          </a:ln>
                          <a:effectLst/>
                        </wps:spPr>
                        <wps:txbx>
                          <w:txbxContent>
                            <w:p w14:paraId="1F27219D" w14:textId="77777777" w:rsidR="00B56753" w:rsidRPr="007767A0" w:rsidRDefault="00B56753" w:rsidP="007767A0">
                              <w:pPr>
                                <w:pStyle w:val="NormalWeb"/>
                                <w:spacing w:before="0" w:beforeAutospacing="0" w:after="0" w:afterAutospacing="0"/>
                                <w:jc w:val="center"/>
                              </w:pPr>
                              <w:r w:rsidRPr="007767A0">
                                <w:rPr>
                                  <w:rFonts w:ascii="Garamond" w:eastAsia="Calibri" w:hAnsi="Garamond"/>
                                  <w:lang w:val="en-US"/>
                                </w:rPr>
                                <w:t>Market of long- (and medium-) term credit operations</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Полотно 1073741912" o:spid="_x0000_s1322" editas="canvas" style="width:469.95pt;height:196.8pt;mso-position-horizontal-relative:char;mso-position-vertical-relative:line" coordsize="59683,24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">
                <v:shape id="_x0000_s1323" type="#_x0000_t75" style="position:absolute;width:59683;height:24987;visibility:visible;mso-wrap-style:square">
                  <v:fill o:detectmouseclick="t"/>
                  <v:path o:connecttype="none"/>
                </v:shape>
                <v:shape id="Поле 306" o:spid="_x0000_s1324" type="#_x0000_t202" style="position:absolute;left:24193;width:16549;height:2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jQPsMA&#10;AADcAAAADwAAAGRycy9kb3ducmV2LnhtbESPQWsCMRSE74L/ITzBm2arImVrlCIKvQjVlvb62Dw3&#10;0c3LkqS6/vtGEDwOM/MNs1h1rhEXCtF6VvAyLkAQV15brhV8f21HryBiQtbYeCYFN4qwWvZ7Cyy1&#10;v/KeLodUiwzhWKICk1JbShkrQw7j2LfE2Tv64DBlGWqpA14z3DVyUhRz6dByXjDY0tpQdT78OQXb&#10;WfXJptlP4vpkdzb9bn7C5qzUcNC9v4FI1KVn+NH+0AqmxRzuZ/IRkM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jQPsMAAADcAAAADwAAAAAAAAAAAAAAAACYAgAAZHJzL2Rv&#10;d25yZXYueG1sUEsFBgAAAAAEAAQA9QAAAIgDAAAAAA==&#10;" fillcolor="#bfbfbf" stroked="f" strokeweight=".5pt">
                  <v:textbox inset=",0,,0">
                    <w:txbxContent>
                      <w:p w:rsidR="00B56753" w:rsidRPr="007767A0" w:rsidRDefault="00B56753" w:rsidP="007767A0">
                        <w:pPr>
                          <w:jc w:val="center"/>
                          <w:rPr>
                            <w:b/>
                            <w:lang w:val="en-US"/>
                          </w:rPr>
                        </w:pPr>
                        <w:r w:rsidRPr="007767A0">
                          <w:rPr>
                            <w:b/>
                            <w:lang w:val="en-US"/>
                          </w:rPr>
                          <w:t>Financial market</w:t>
                        </w:r>
                      </w:p>
                    </w:txbxContent>
                  </v:textbox>
                </v:shape>
                <v:line id="Прямая соединительная линия 307" o:spid="_x0000_s1325" style="position:absolute;visibility:visible;mso-wrap-style:square" from="30136,2253" to="30136,3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T2S8cAAADcAAAADwAAAGRycy9kb3ducmV2LnhtbESPT2vCQBTE74LfYXlCb7qxQiqpq4il&#10;oD2U+gfa4zP7mkSzb8PuNkm/fbcgeBxm5jfMYtWbWrTkfGVZwXSSgCDOra64UHA6vo7nIHxA1lhb&#10;JgW/5GG1HA4WmGnb8Z7aQyhEhLDPUEEZQpNJ6fOSDPqJbYij922dwRClK6R22EW4qeVjkqTSYMVx&#10;ocSGNiXl18OPUfA++0jb9e5t23/u0nP+sj9/XTqn1MOoXz+DCNSHe/jW3moFs+QJ/s/EI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01PZLxwAAANwAAAAPAAAAAAAA&#10;AAAAAAAAAKECAABkcnMvZG93bnJldi54bWxQSwUGAAAAAAQABAD5AAAAlQMAAAAA&#10;"/>
                <v:line id="Прямая соединительная линия 310" o:spid="_x0000_s1326" style="position:absolute;visibility:visible;mso-wrap-style:square" from="11555,3513" to="43207,3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T44sMAAADcAAAADwAAAGRycy9kb3ducmV2LnhtbERPz2vCMBS+D/wfwhN2m6kTyqhGEUVQ&#10;D2M6QY/P5tlWm5eSxLb775fDYMeP7/ds0ZtatOR8ZVnBeJSAIM6trrhQcPrevH2A8AFZY22ZFPyQ&#10;h8V88DLDTNuOD9QeQyFiCPsMFZQhNJmUPi/JoB/ZhjhyN+sMhghdIbXDLoabWr4nSSoNVhwbSmxo&#10;VVL+OD6Ngs/JV9oud/ttf96l13x9uF7unVPqddgvpyAC9eFf/OfeagWTcZwfz8QjIO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7k+OLDAAAA3AAAAA8AAAAAAAAAAAAA&#10;AAAAoQIAAGRycy9kb3ducmV2LnhtbFBLBQYAAAAABAAEAPkAAACRAwAAAAA=&#10;"/>
                <v:line id="Прямая соединительная линия 311" o:spid="_x0000_s1327" style="position:absolute;visibility:visible;mso-wrap-style:square" from="11555,3515" to="11555,5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PtcQAAADcAAAADwAAAGRycy9kb3ducmV2LnhtbESPQYvCMBSE74L/ITzBm6ZVWLRrFBUF&#10;YVGwysLeHs2z7dq8lCZq999vBMHjMDPfMLNFaypxp8aVlhXEwwgEcWZ1ybmC82k7mIBwHlljZZkU&#10;/JGDxbzbmWGi7YOPdE99LgKEXYIKCu/rREqXFWTQDW1NHLyLbQz6IJtc6gYfAW4qOYqiD2mw5LBQ&#10;YE3rgrJrejMKLtF++uMmm/P3aSwPX78u1Ssqler32uUnCE+tf4df7Z1WMI5jeJ4JR0DO/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I+1xAAAANwAAAAPAAAAAAAAAAAA&#10;AAAAAKECAABkcnMvZG93bnJldi54bWxQSwUGAAAAAAQABAD5AAAAkgMAAAAA&#10;" strokecolor="windowText">
                  <v:stroke endarrow="classic"/>
                </v:line>
                <v:line id="Прямая соединительная линия 312" o:spid="_x0000_s1328" style="position:absolute;visibility:visible;mso-wrap-style:square" from="43207,3500" to="43207,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oRwsMAAADcAAAADwAAAGRycy9kb3ducmV2LnhtbESPQYvCMBSE74L/ITzBm6YqLFqNossK&#10;wuKCVQRvj+bZVpuX0kSt/94ICx6HmfmGmS0aU4o71a6wrGDQj0AQp1YXnCk47Ne9MQjnkTWWlknB&#10;kxws5u3WDGNtH7yje+IzESDsYlSQe1/FUro0J4Oubyvi4J1tbdAHWWdS1/gIcFPKYRR9SYMFh4Uc&#10;K/rOKb0mN6PgHG0nJzf+ORz3I/n3e3GJXlGhVLfTLKcgPDX+E/5vb7SC0WAI7zPhCMj5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0qEcLDAAAA3AAAAA8AAAAAAAAAAAAA&#10;AAAAoQIAAGRycy9kb3ducmV2LnhtbFBLBQYAAAAABAAEAPkAAACRAwAAAAA=&#10;" strokecolor="windowText">
                  <v:stroke endarrow="classic"/>
                </v:line>
                <v:shape id="Поле 314" o:spid="_x0000_s1329" type="#_x0000_t202" style="position:absolute;left:6430;top:5419;width:11054;height:2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xT2cMA&#10;AADcAAAADwAAAGRycy9kb3ducmV2LnhtbESPQWvCQBSE70L/w/IEb7pRi9bUVYooCnoxqfdH9pmk&#10;Zt+G7GrSf98tCB6HmfmGWa47U4kHNa60rGA8ikAQZ1aXnCv4TnfDDxDOI2usLJOCX3KwXr31lhhr&#10;2/KZHonPRYCwi1FB4X0dS+myggy6ka2Jg3e1jUEfZJNL3WAb4KaSkyiaSYMlh4UCa9oUlN2Su1Eg&#10;r/OoXWwP6XGzz+iSJnz68XulBv3u6xOEp86/ws/2QSuYjt/h/0w4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uxT2cMAAADcAAAADwAAAAAAAAAAAAAAAACYAgAAZHJzL2Rv&#10;d25yZXYueG1sUEsFBgAAAAAEAAQA9QAAAIgDAAAAAA==&#10;" fillcolor="#d9d9d9" stroked="f" strokeweight=".5pt">
                  <v:textbox>
                    <w:txbxContent>
                      <w:p w:rsidR="00B56753" w:rsidRPr="007767A0" w:rsidRDefault="00B56753" w:rsidP="007767A0">
                        <w:pPr>
                          <w:jc w:val="center"/>
                          <w:rPr>
                            <w:lang w:val="en-US"/>
                          </w:rPr>
                        </w:pPr>
                        <w:r w:rsidRPr="007767A0">
                          <w:rPr>
                            <w:lang w:val="en-US"/>
                          </w:rPr>
                          <w:t>Money market</w:t>
                        </w:r>
                      </w:p>
                    </w:txbxContent>
                  </v:textbox>
                </v:shape>
                <v:shape id="Поле 46" o:spid="_x0000_s1330" type="#_x0000_t202" style="position:absolute;left:38175;top:5405;width:11049;height:2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oNcMA&#10;AADcAAAADwAAAGRycy9kb3ducmV2LnhtbESPQYvCMBSE78L+h/AEb5q6gq7VKIvsoqAX2/X+aJ5t&#10;tXkpTdbWf28EweMwM98wy3VnKnGjxpWWFYxHEQjizOqScwV/6e/wC4TzyBory6TgTg7Wq4/eEmNt&#10;Wz7SLfG5CBB2MSoovK9jKV1WkEE3sjVx8M62MeiDbHKpG2wD3FTyM4qm0mDJYaHAmjYFZdfk3yiQ&#10;51nUzn926X6zzeiUJny4+K1Sg373vQDhqfPv8Ku90wom4yk8z4Qj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XJoNcMAAADcAAAADwAAAAAAAAAAAAAAAACYAgAAZHJzL2Rv&#10;d25yZXYueG1sUEsFBgAAAAAEAAQA9QAAAIgDAAAAAA==&#10;" fillcolor="#d9d9d9" stroked="f" strokeweight=".5pt">
                  <v:textbox>
                    <w:txbxContent>
                      <w:p w:rsidR="00B56753" w:rsidRPr="007767A0" w:rsidRDefault="00B56753" w:rsidP="007767A0">
                        <w:pPr>
                          <w:pStyle w:val="afc"/>
                          <w:spacing w:before="0" w:beforeAutospacing="0" w:after="0" w:afterAutospacing="0"/>
                          <w:jc w:val="center"/>
                          <w:rPr>
                            <w:lang w:val="en-US"/>
                          </w:rPr>
                        </w:pPr>
                        <w:r w:rsidRPr="007767A0">
                          <w:rPr>
                            <w:rFonts w:ascii="Garamond" w:eastAsia="Calibri" w:hAnsi="Garamond"/>
                            <w:lang w:val="en-US"/>
                          </w:rPr>
                          <w:t>Capital market</w:t>
                        </w:r>
                      </w:p>
                    </w:txbxContent>
                  </v:textbox>
                </v:shape>
                <v:line id="Прямая соединительная линия 317" o:spid="_x0000_s1331" style="position:absolute;flip:x;visibility:visible;mso-wrap-style:square" from="4622,6726" to="6430,6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nh6ccAAADcAAAADwAAAGRycy9kb3ducmV2LnhtbESPQWsCMRSE74X+h/AKvYhmbaXq1ihS&#10;EHrwUisr3p6b182ym5dtEnX775uC0OMwM98wi1VvW3EhH2rHCsajDARx6XTNlYL952Y4AxEissbW&#10;MSn4oQCr5f3dAnPtrvxBl12sRIJwyFGBibHLpQylIYth5Dri5H05bzEm6SupPV4T3LbyKctepMWa&#10;04LBjt4Mlc3ubBXI2Xbw7denSVM0h8PcFGXRHbdKPT7061cQkfr4H76137WC5/EU/s6kIy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KeHpxwAAANwAAAAPAAAAAAAA&#10;AAAAAAAAAKECAABkcnMvZG93bnJldi54bWxQSwUGAAAAAAQABAD5AAAAlQMAAAAA&#10;"/>
                <v:line id="Прямая соединительная линия 318" o:spid="_x0000_s1332" style="position:absolute;visibility:visible;mso-wrap-style:square" from="4622,6721" to="4625,21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L05MMAAADcAAAADwAAAGRycy9kb3ducmV2LnhtbERPz2vCMBS+D/wfwhN2m6kTyqhGEUVQ&#10;D2M6QY/P5tlWm5eSxLb775fDYMeP7/ds0ZtatOR8ZVnBeJSAIM6trrhQcPrevH2A8AFZY22ZFPyQ&#10;h8V88DLDTNuOD9QeQyFiCPsMFZQhNJmUPi/JoB/ZhjhyN+sMhghdIbXDLoabWr4nSSoNVhwbSmxo&#10;VVL+OD6Ngs/JV9oud/ttf96l13x9uF7unVPqddgvpyAC9eFf/OfeagWTcVwbz8QjIO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CS9OTDAAAA3AAAAA8AAAAAAAAAAAAA&#10;AAAAoQIAAGRycy9kb3ducmV2LnhtbFBLBQYAAAAABAAEAPkAAACRAwAAAAA=&#10;"/>
                <v:shape id="Поле 46" o:spid="_x0000_s1333" type="#_x0000_t202" style="position:absolute;left:6435;top:9232;width:16877;height: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sRMsYA&#10;AADcAAAADwAAAGRycy9kb3ducmV2LnhtbESPQWvCQBSE74L/YXlCb3VjC6VGVymlokKDGoVeH9nX&#10;JG32bdjdmtRf3xUKHoeZ+YaZL3vTiDM5X1tWMBknIIgLq2suFZyOq/tnED4ga2wsk4Jf8rBcDAdz&#10;TLXt+EDnPJQiQtinqKAKoU2l9EVFBv3YtsTR+7TOYIjSlVI77CLcNPIhSZ6kwZrjQoUtvVZUfOc/&#10;RsFHl6/dbrv92reb7LK75Nk7vWVK3Y36lxmIQH24hf/bG63gcTKF65l4BOTi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sRMsYAAADcAAAADwAAAAAAAAAAAAAAAACYAgAAZHJz&#10;L2Rvd25yZXYueG1sUEsFBgAAAAAEAAQA9QAAAIsDAAAAAA==&#10;" fillcolor="window" stroked="f" strokeweight=".5pt">
                  <v:textbox>
                    <w:txbxContent>
                      <w:p w:rsidR="00B56753" w:rsidRPr="007767A0" w:rsidRDefault="00B56753" w:rsidP="007767A0">
                        <w:pPr>
                          <w:pStyle w:val="afc"/>
                          <w:spacing w:before="0" w:beforeAutospacing="0" w:after="0" w:afterAutospacing="0"/>
                          <w:rPr>
                            <w:lang w:val="en-US"/>
                          </w:rPr>
                        </w:pPr>
                        <w:r w:rsidRPr="007767A0">
                          <w:rPr>
                            <w:rFonts w:ascii="Garamond" w:eastAsia="Calibri" w:hAnsi="Garamond"/>
                            <w:lang w:val="en-US"/>
                          </w:rPr>
                          <w:t>Interbank market</w:t>
                        </w:r>
                      </w:p>
                    </w:txbxContent>
                  </v:textbox>
                </v:shape>
                <v:shape id="Поле 46" o:spid="_x0000_s1334" type="#_x0000_t202" style="position:absolute;left:6430;top:12949;width:16882;height:2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" fillcolor="window" stroked="f" strokeweight=".5pt">
                  <v:textbox>
                    <w:txbxContent>
                      <w:p w:rsidR="00B56753" w:rsidRPr="007767A0" w:rsidRDefault="00B56753" w:rsidP="007767A0">
                        <w:pPr>
                          <w:pStyle w:val="afc"/>
                          <w:spacing w:before="0" w:beforeAutospacing="0" w:after="0" w:afterAutospacing="0"/>
                          <w:rPr>
                            <w:lang w:val="en-US"/>
                          </w:rPr>
                        </w:pPr>
                        <w:r w:rsidRPr="007767A0">
                          <w:rPr>
                            <w:rFonts w:ascii="Garamond" w:eastAsia="Calibri" w:hAnsi="Garamond"/>
                            <w:lang w:val="en-US"/>
                          </w:rPr>
                          <w:t>Bill market</w:t>
                        </w:r>
                      </w:p>
                    </w:txbxContent>
                  </v:textbox>
                </v:shape>
                <v:shape id="Поле 46" o:spid="_x0000_s1335" type="#_x0000_t202" style="position:absolute;left:6330;top:16660;width:17863;height: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FllcoA&#10;AADjAAAADwAAAGRycy9kb3ducmV2LnhtbERPX2vCMBB/F/Ydwg1809QpUzqjyNhQYcWtG+z1aG5t&#10;Z3MpSWY7P70RBnu83/9brnvTiBM5X1tWMBknIIgLq2suFXy8P48WIHxA1thYJgW/5GG9uhksMdW2&#10;4zc65aEUMYR9igqqENpUSl9UZNCPbUscuS/rDIZ4ulJqh10MN428S5J7abDm2FBhS48VFcf8xyj4&#10;7PKtO+z336/tLjsfznn2Qk+ZUsPbfvMAIlAf/sV/7p2O85P5dD6bLGZTuP4UAZCrC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xBZZXKAAAA4wAAAA8AAAAAAAAAAAAAAAAAmAIA&#10;AGRycy9kb3ducmV2LnhtbFBLBQYAAAAABAAEAPUAAACPAwAAAAA=&#10;" fillcolor="window" stroked="f" strokeweight=".5pt">
                  <v:textbox>
                    <w:txbxContent>
                      <w:p w:rsidR="00B56753" w:rsidRPr="007767A0" w:rsidRDefault="00B56753" w:rsidP="007767A0">
                        <w:pPr>
                          <w:pStyle w:val="afc"/>
                          <w:spacing w:before="0" w:beforeAutospacing="0" w:after="0" w:afterAutospacing="0"/>
                          <w:rPr>
                            <w:lang w:val="en-US"/>
                          </w:rPr>
                        </w:pPr>
                        <w:r w:rsidRPr="007767A0">
                          <w:rPr>
                            <w:rFonts w:ascii="Garamond" w:eastAsia="Calibri" w:hAnsi="Garamond"/>
                            <w:lang w:val="en-US"/>
                          </w:rPr>
                          <w:t>Foreign exchange market</w:t>
                        </w:r>
                      </w:p>
                    </w:txbxContent>
                  </v:textbox>
                </v:shape>
                <v:shape id="Поле 46" o:spid="_x0000_s1336" type="#_x0000_t202" style="position:absolute;left:6330;top:20373;width:16982;height:41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" fillcolor="window" stroked="f" strokeweight=".5pt">
                  <v:textbox>
                    <w:txbxContent>
                      <w:p w:rsidR="00B56753" w:rsidRPr="007767A0" w:rsidRDefault="00B56753" w:rsidP="007767A0">
                        <w:pPr>
                          <w:pStyle w:val="afc"/>
                          <w:spacing w:before="0" w:beforeAutospacing="0" w:after="0" w:afterAutospacing="0"/>
                          <w:rPr>
                            <w:lang w:val="en-US"/>
                          </w:rPr>
                        </w:pPr>
                        <w:r w:rsidRPr="007767A0">
                          <w:rPr>
                            <w:rFonts w:ascii="Garamond" w:eastAsia="Calibri" w:hAnsi="Garamond"/>
                            <w:lang w:val="en-US"/>
                          </w:rPr>
                          <w:t>Market of short-term credit-deposit operations</w:t>
                        </w:r>
                      </w:p>
                    </w:txbxContent>
                  </v:textbox>
                </v:shape>
                <v:line id="Прямая соединительная линия 1073741851" o:spid="_x0000_s1337" style="position:absolute;flip:y;visibility:visible;mso-wrap-style:square" from="4622,10540" to="6435,105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5S9MgAAADjAAAADwAAAGRycy9kb3ducmV2LnhtbERPyU7DMBC9I/EP1iBxo3ZY2iitW0El&#10;FnFBCfmAaTwkgXgcxcZN/x4jIXGct89mN9tBRJp871hDtlAgiBtnem411O+PVzkIH5ANDo5Jw4k8&#10;7LbnZxssjDtySbEKrUgh7AvU0IUwFlL6piOLfuFG4sR9uMliSOfUSjPhMYXbQV4rtZQWe04NHY60&#10;76j5qr6thtfnOh6a/cPnMq9jJU9PZXxTpdaXF/P9GkSgOfyL/9wvJs1Xq5vVbZbfZfD7UwJAbn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v5S9MgAAADjAAAADwAAAAAA&#10;AAAAAAAAAAChAgAAZHJzL2Rvd25yZXYueG1sUEsFBgAAAAAEAAQA+QAAAJYDAAAAAA==&#10;">
                  <v:stroke endarrow="classic"/>
                </v:line>
                <v:line id="Прямая соединительная линия 1073741852" o:spid="_x0000_s1338" style="position:absolute;flip:y;visibility:visible;mso-wrap-style:square" from="4625,14360" to="6435,14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zMg8gAAADjAAAADwAAAGRycy9kb3ducmV2LnhtbERPS07DMBDdI3EHa5DYUbsF2iitW0El&#10;PuoGJeQAQzxNAvE4io2b3h4jIbGc95/NbrK9iDT6zrGG+UyBIK6d6bjRUL0/3WQgfEA22DsmDWfy&#10;sNteXmwwN+7EBcUyNCKFsM9RQxvCkEvp65Ys+pkbiBN3dKPFkM6xkWbEUwq3vVwotZQWO04NLQ60&#10;b6n+Kr+thsNLFT/q/ePnMqtiKc/PRXxThdbXV9PDGkSgKfyL/9yvJs1Xq9vV3Ty7X8DvTwkAuf0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7izMg8gAAADjAAAADwAAAAAA&#10;AAAAAAAAAAChAgAAZHJzL2Rvd25yZXYueG1sUEsFBgAAAAAEAAQA+QAAAJYDAAAAAA==&#10;">
                  <v:stroke endarrow="classic"/>
                </v:line>
                <v:line id="Прямая соединительная линия 1073741853" o:spid="_x0000_s1339" style="position:absolute;flip:y;visibility:visible;mso-wrap-style:square" from="4621,17977" to="6430,179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BpGMgAAADjAAAADwAAAGRycy9kb3ducmV2LnhtbERPS07DMBDdI3EHa5DYUbsU2iitW0El&#10;PuoGJeQAQzxNAvE4io2b3h4jIbGc95/NbrK9iDT6zrGG+UyBIK6d6bjRUL0/3WQgfEA22DsmDWfy&#10;sNteXmwwN+7EBcUyNCKFsM9RQxvCkEvp65Ys+pkbiBN3dKPFkM6xkWbEUwq3vbxVaiktdpwaWhxo&#10;31L9VX5bDYeXKn7U+8fPZVbFUp6fi/imCq2vr6aHNYhAU/gX/7lfTZqvVovV3Ty7X8DvTwkAuf0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WBpGMgAAADjAAAADwAAAAAA&#10;AAAAAAAAAAChAgAAZHJzL2Rvd25yZXYueG1sUEsFBgAAAAAEAAQA+QAAAJYDAAAAAA==&#10;">
                  <v:stroke endarrow="classic"/>
                </v:line>
                <v:line id="Прямая соединительная линия 1073741855" o:spid="_x0000_s1340" style="position:absolute;flip:y;visibility:visible;mso-wrap-style:square" from="4621,21585" to="6430,21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VU98gAAADjAAAADwAAAGRycy9kb3ducmV2LnhtbERPS07DMBDdI3EHa5DYUbtA2yitW0El&#10;PuoGJeQAQzxNAvE4io2b3h4jIbGc95/NbrK9iDT6zrGG+UyBIK6d6bjRUL0/3WQgfEA22DsmDWfy&#10;sNteXmwwN+7EBcUyNCKFsM9RQxvCkEvp65Ys+pkbiBN3dKPFkM6xkWbEUwq3vbxVaiktdpwaWhxo&#10;31L9VX5bDYeXKn7U+8fPZVbFUp6fi/imCq2vr6aHNYhAU/gX/7lfTZqvVner+3m2WMDvTwkAuf0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cVU98gAAADjAAAADwAAAAAA&#10;AAAAAAAAAAChAgAAZHJzL2Rvd25yZXYueG1sUEsFBgAAAAAEAAQA+QAAAJYDAAAAAA==&#10;">
                  <v:stroke endarrow="classic"/>
                </v:line>
                <v:line id="Прямая соединительная линия 1073741856" o:spid="_x0000_s1341" style="position:absolute;visibility:visible;mso-wrap-style:square" from="43509,8029" to="43509,9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YD6sPygAAAOMAAAAPAAAA&#10;AAAAAAAAAAAAAKECAABkcnMvZG93bnJldi54bWxQSwUGAAAAAAQABAD5AAAAmAMAAAAA&#10;"/>
                <v:line id="Прямая соединительная линия 1073741907" o:spid="_x0000_s1342" style="position:absolute;visibility:visible;mso-wrap-style:square" from="53645,9440" to="53645,11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cT38gAAADjAAAADwAAAGRycy9kb3ducmV2LnhtbERP3WvCMBB/H/g/hBP2NhM/sFqN4sYG&#10;wnBgFcG3oznbbs2lNJl2//0yEPZ4v+9brjtbiyu1vnKsYThQIIhzZyouNBwPb08zED4gG6wdk4Yf&#10;8rBe9R6WmBp34z1ds1CIGMI+RQ1lCE0qpc9LsugHriGO3MW1FkM820KaFm8x3NZypNRUWqw4NpTY&#10;0EtJ+Vf2bTVc1G5+9rPX4+kwlh/vnz4zz1Rp/djvNgsQgbrwL767tybOV8k4mQznKoG/nyIAcvU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jcT38gAAADjAAAADwAAAAAA&#10;AAAAAAAAAAChAgAAZHJzL2Rvd25yZXYueG1sUEsFBgAAAAAEAAQA+QAAAJYDAAAAAA==&#10;" strokecolor="windowText">
                  <v:stroke endarrow="classic"/>
                </v:line>
                <v:shape id="Поле 46" o:spid="_x0000_s1343" type="#_x0000_t202" style="position:absolute;left:46825;top:11305;width:13063;height:3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" fillcolor="window" stroked="f" strokeweight=".5pt">
                  <v:textbox>
                    <w:txbxContent>
                      <w:p w:rsidR="00B56753" w:rsidRPr="007767A0" w:rsidRDefault="00B56753" w:rsidP="007767A0">
                        <w:pPr>
                          <w:pStyle w:val="afc"/>
                          <w:spacing w:before="0" w:beforeAutospacing="0" w:after="0" w:afterAutospacing="0"/>
                          <w:jc w:val="center"/>
                        </w:pPr>
                        <w:r w:rsidRPr="007767A0">
                          <w:rPr>
                            <w:rFonts w:ascii="Garamond" w:eastAsia="Calibri" w:hAnsi="Garamond"/>
                            <w:lang w:val="en-US"/>
                          </w:rPr>
                          <w:t xml:space="preserve">Stock market </w:t>
                        </w:r>
                      </w:p>
                    </w:txbxContent>
                  </v:textbox>
                </v:shape>
                <v:line id="Прямая соединительная линия 1073741909" o:spid="_x0000_s1344" style="position:absolute;visibility:visible;mso-wrap-style:square" from="33247,9440" to="53645,9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Mwh/9ygAAAOMAAAAPAAAA&#10;AAAAAAAAAAAAAKECAABkcnMvZG93bnJldi54bWxQSwUGAAAAAAQABAD5AAAAmAMAAAAA&#10;"/>
                <v:line id="Прямая соединительная линия 1073741910" o:spid="_x0000_s1345" style="position:absolute;visibility:visible;mso-wrap-style:square" from="33247,9440" to="33247,11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IAHHXbMAAAA4wAAAA8A&#10;AAAAAAAAAAAAAAAAoQIAAGRycy9kb3ducmV2LnhtbFBLBQYAAAAABAAEAPkAAACaAwAAAAA=&#10;" strokecolor="windowText">
                  <v:stroke endarrow="classic"/>
                </v:line>
                <v:shape id="Поле 46" o:spid="_x0000_s1346" type="#_x0000_t202" style="position:absolute;left:27423;top:11417;width:14981;height:58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JXnsoA&#10;AADjAAAADwAAAGRycy9kb3ducmV2LnhtbERPzWrCQBC+F3yHZQq91U20NZq6igSkUvSg9dLbmB2T&#10;YHY2Zrea9undQsHjfP8znXemFhdqXWVZQdyPQBDnVldcKNh/Lp/HIJxH1lhbJgU/5GA+6z1MMdX2&#10;ylu67HwhQgi7FBWU3jeplC4vyaDr24Y4cEfbGvThbAupW7yGcFPLQRSNpMGKQ0OJDWUl5afdt1Hw&#10;kS03uD0MzPi3zt7Xx0Vz3n+9KvX02C3eQHjq/F38717pMD9KhslLPIlj+PspACBnN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ZCV57KAAAA4wAAAA8AAAAAAAAAAAAAAAAAmAIA&#10;AGRycy9kb3ducmV2LnhtbFBLBQYAAAAABAAEAPUAAACPAwAAAAA=&#10;" filled="f" stroked="f" strokeweight=".5pt">
                  <v:textbox>
                    <w:txbxContent>
                      <w:p w:rsidR="00B56753" w:rsidRPr="007767A0" w:rsidRDefault="00B56753" w:rsidP="007767A0">
                        <w:pPr>
                          <w:pStyle w:val="afc"/>
                          <w:spacing w:before="0" w:beforeAutospacing="0" w:after="0" w:afterAutospacing="0"/>
                          <w:jc w:val="center"/>
                        </w:pPr>
                        <w:r w:rsidRPr="007767A0">
                          <w:rPr>
                            <w:rFonts w:ascii="Garamond" w:eastAsia="Calibri" w:hAnsi="Garamond"/>
                            <w:lang w:val="en-US"/>
                          </w:rPr>
                          <w:t>Market of long- (and medium-) term credit operations</w:t>
                        </w:r>
                      </w:p>
                    </w:txbxContent>
                  </v:textbox>
                </v:shape>
                <w10:anchorlock/>
              </v:group>
            </w:pict>
          </mc:Fallback>
        </mc:AlternateContent>
      </w:r>
    </w:p>
    <w:p w14:paraId="0E6143BA" w14:textId="77777777" w:rsidR="007767A0" w:rsidRPr="007767A0" w:rsidRDefault="007767A0" w:rsidP="007767A0">
      <w:pPr>
        <w:pBdr>
          <w:top w:val="nil"/>
          <w:left w:val="nil"/>
          <w:bottom w:val="nil"/>
          <w:right w:val="nil"/>
          <w:between w:val="nil"/>
          <w:bar w:val="nil"/>
        </w:pBdr>
        <w:spacing w:line="312" w:lineRule="auto"/>
        <w:jc w:val="center"/>
        <w:rPr>
          <w:rFonts w:eastAsia="Garamond"/>
          <w:b/>
          <w:bCs/>
          <w:sz w:val="28"/>
          <w:szCs w:val="28"/>
          <w:u w:color="000000"/>
          <w:bdr w:val="nil"/>
          <w:lang w:val="en-US"/>
        </w:rPr>
      </w:pPr>
      <w:r w:rsidRPr="007767A0">
        <w:rPr>
          <w:rFonts w:eastAsia="Calibri" w:cs="Calibri"/>
          <w:b/>
          <w:bCs/>
          <w:sz w:val="28"/>
          <w:szCs w:val="28"/>
          <w:u w:color="000000"/>
          <w:bdr w:val="nil"/>
          <w:lang w:val="en-US"/>
        </w:rPr>
        <w:t>Figure 9.2</w:t>
      </w:r>
      <w:r w:rsidR="00305E02">
        <w:rPr>
          <w:rFonts w:eastAsia="Calibri" w:cs="Calibri"/>
          <w:b/>
          <w:bCs/>
          <w:sz w:val="28"/>
          <w:szCs w:val="28"/>
          <w:u w:color="000000"/>
          <w:bdr w:val="nil"/>
          <w:lang w:val="en-US"/>
        </w:rPr>
        <w:t xml:space="preserve"> </w:t>
      </w:r>
      <w:r w:rsidR="00305E02">
        <w:rPr>
          <w:rFonts w:cs="Garamond"/>
          <w:b/>
          <w:color w:val="auto"/>
          <w:sz w:val="28"/>
          <w:lang w:val="en-US" w:eastAsia="ru-RU" w:bidi="ru-RU"/>
        </w:rPr>
        <w:t>–</w:t>
      </w:r>
      <w:r w:rsidRPr="007767A0">
        <w:rPr>
          <w:rFonts w:eastAsia="Calibri" w:cs="Calibri"/>
          <w:b/>
          <w:bCs/>
          <w:sz w:val="28"/>
          <w:szCs w:val="28"/>
          <w:u w:color="000000"/>
          <w:bdr w:val="nil"/>
          <w:lang w:val="en-US"/>
        </w:rPr>
        <w:t xml:space="preserve"> The structure of financial market according to financial instruments they are trading</w:t>
      </w:r>
    </w:p>
    <w:p w14:paraId="4470010D" w14:textId="77777777" w:rsidR="007767A0" w:rsidRDefault="007767A0" w:rsidP="003C51B1">
      <w:pPr>
        <w:pBdr>
          <w:top w:val="nil"/>
          <w:left w:val="nil"/>
          <w:bottom w:val="nil"/>
          <w:right w:val="nil"/>
          <w:between w:val="nil"/>
          <w:bar w:val="nil"/>
        </w:pBdr>
        <w:spacing w:line="312" w:lineRule="auto"/>
        <w:ind w:firstLine="357"/>
        <w:jc w:val="both"/>
        <w:rPr>
          <w:rFonts w:eastAsia="Calibri" w:cs="Calibri"/>
          <w:sz w:val="28"/>
          <w:szCs w:val="28"/>
          <w:u w:color="000000"/>
          <w:bdr w:val="nil"/>
          <w:lang w:val="en-US"/>
        </w:rPr>
      </w:pPr>
    </w:p>
    <w:p w14:paraId="17E51855"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From the perspective of country origin, its financial market can be broken down into an internal market and external </w:t>
      </w:r>
      <w:r w:rsidR="005B4C7B">
        <w:rPr>
          <w:rFonts w:eastAsia="Calibri" w:cs="Calibri"/>
          <w:sz w:val="28"/>
          <w:szCs w:val="28"/>
          <w:u w:color="000000"/>
          <w:bdr w:val="nil"/>
          <w:lang w:val="en-US"/>
        </w:rPr>
        <w:t>one</w:t>
      </w:r>
      <w:r w:rsidRPr="007767A0">
        <w:rPr>
          <w:rFonts w:eastAsia="Calibri" w:cs="Calibri"/>
          <w:sz w:val="28"/>
          <w:szCs w:val="28"/>
          <w:u w:color="000000"/>
          <w:bdr w:val="nil"/>
          <w:lang w:val="en-US"/>
        </w:rPr>
        <w:t xml:space="preserve">. </w:t>
      </w:r>
      <w:r w:rsidRPr="007767A0">
        <w:rPr>
          <w:rFonts w:eastAsia="Calibri" w:cs="Calibri"/>
          <w:b/>
          <w:bCs/>
          <w:sz w:val="28"/>
          <w:szCs w:val="28"/>
          <w:u w:color="000000"/>
          <w:bdr w:val="nil"/>
          <w:lang w:val="en-US"/>
        </w:rPr>
        <w:t>The internal market</w:t>
      </w:r>
      <w:r w:rsidR="005B4C7B" w:rsidRPr="00303D5B">
        <w:rPr>
          <w:rFonts w:eastAsia="Calibri" w:cs="Calibri"/>
          <w:bCs/>
          <w:sz w:val="28"/>
          <w:szCs w:val="28"/>
          <w:u w:color="000000"/>
          <w:bdr w:val="nil"/>
          <w:lang w:val="en-US"/>
        </w:rPr>
        <w:t>,</w:t>
      </w:r>
      <w:r w:rsidRPr="007767A0">
        <w:rPr>
          <w:rFonts w:eastAsia="Calibri" w:cs="Calibri"/>
          <w:sz w:val="28"/>
          <w:szCs w:val="28"/>
          <w:u w:color="000000"/>
          <w:bdr w:val="nil"/>
          <w:lang w:val="en-US"/>
        </w:rPr>
        <w:t xml:space="preserve"> also called the national market, consists of two parts: the domestic market and the foreign market. The </w:t>
      </w:r>
      <w:r w:rsidRPr="007767A0">
        <w:rPr>
          <w:rFonts w:eastAsia="Calibri" w:cs="Calibri"/>
          <w:b/>
          <w:bCs/>
          <w:sz w:val="28"/>
          <w:szCs w:val="28"/>
          <w:u w:color="000000"/>
          <w:bdr w:val="nil"/>
          <w:lang w:val="en-US"/>
        </w:rPr>
        <w:t>domestic market</w:t>
      </w:r>
      <w:r w:rsidRPr="007767A0">
        <w:rPr>
          <w:rFonts w:eastAsia="Calibri" w:cs="Calibri"/>
          <w:sz w:val="28"/>
          <w:szCs w:val="28"/>
          <w:u w:color="000000"/>
          <w:bdr w:val="nil"/>
          <w:lang w:val="en-US"/>
        </w:rPr>
        <w:t xml:space="preserve"> is </w:t>
      </w:r>
      <w:r w:rsidR="00303D5B">
        <w:rPr>
          <w:rFonts w:eastAsia="Calibri" w:cs="Calibri"/>
          <w:sz w:val="28"/>
          <w:szCs w:val="28"/>
          <w:u w:color="000000"/>
          <w:bdr w:val="nil"/>
          <w:lang w:val="en-US"/>
        </w:rPr>
        <w:t xml:space="preserve">the place </w:t>
      </w:r>
      <w:r w:rsidRPr="007767A0">
        <w:rPr>
          <w:rFonts w:eastAsia="Calibri" w:cs="Calibri"/>
          <w:sz w:val="28"/>
          <w:szCs w:val="28"/>
          <w:u w:color="000000"/>
          <w:bdr w:val="nil"/>
          <w:lang w:val="en-US"/>
        </w:rPr>
        <w:t xml:space="preserve">where issuers domiciled </w:t>
      </w:r>
      <w:r w:rsidR="005B4C7B" w:rsidRPr="007767A0">
        <w:rPr>
          <w:rFonts w:eastAsia="Calibri" w:cs="Calibri"/>
          <w:sz w:val="28"/>
          <w:szCs w:val="28"/>
          <w:u w:color="000000"/>
          <w:bdr w:val="nil"/>
          <w:lang w:val="en-US"/>
        </w:rPr>
        <w:t xml:space="preserve">issue securities </w:t>
      </w:r>
      <w:r w:rsidRPr="007767A0">
        <w:rPr>
          <w:rFonts w:eastAsia="Calibri" w:cs="Calibri"/>
          <w:sz w:val="28"/>
          <w:szCs w:val="28"/>
          <w:u w:color="000000"/>
          <w:bdr w:val="nil"/>
          <w:lang w:val="en-US"/>
        </w:rPr>
        <w:t xml:space="preserve">in the country and where those securities are subsequently traded. The </w:t>
      </w:r>
      <w:r w:rsidRPr="007767A0">
        <w:rPr>
          <w:rFonts w:eastAsia="Calibri" w:cs="Calibri"/>
          <w:b/>
          <w:bCs/>
          <w:sz w:val="28"/>
          <w:szCs w:val="28"/>
          <w:u w:color="000000"/>
          <w:bdr w:val="nil"/>
          <w:lang w:val="en-US"/>
        </w:rPr>
        <w:t>foreign market</w:t>
      </w:r>
      <w:r w:rsidRPr="007767A0">
        <w:rPr>
          <w:rFonts w:eastAsia="Calibri" w:cs="Calibri"/>
          <w:sz w:val="28"/>
          <w:szCs w:val="28"/>
          <w:u w:color="000000"/>
          <w:bdr w:val="nil"/>
          <w:lang w:val="en-US"/>
        </w:rPr>
        <w:t xml:space="preserve"> is </w:t>
      </w:r>
      <w:r w:rsidR="00303D5B">
        <w:rPr>
          <w:rFonts w:eastAsia="Calibri" w:cs="Calibri"/>
          <w:sz w:val="28"/>
          <w:szCs w:val="28"/>
          <w:u w:color="000000"/>
          <w:bdr w:val="nil"/>
          <w:lang w:val="en-US"/>
        </w:rPr>
        <w:t xml:space="preserve">the place </w:t>
      </w:r>
      <w:r w:rsidRPr="007767A0">
        <w:rPr>
          <w:rFonts w:eastAsia="Calibri" w:cs="Calibri"/>
          <w:sz w:val="28"/>
          <w:szCs w:val="28"/>
          <w:u w:color="000000"/>
          <w:bdr w:val="nil"/>
          <w:lang w:val="en-US"/>
        </w:rPr>
        <w:t>where securities are sold and traded outside the country of issuers.</w:t>
      </w:r>
    </w:p>
    <w:p w14:paraId="4AE328BB"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b/>
          <w:bCs/>
          <w:sz w:val="28"/>
          <w:szCs w:val="28"/>
          <w:u w:color="000000"/>
          <w:bdr w:val="nil"/>
          <w:lang w:val="en-US"/>
        </w:rPr>
        <w:t>External market</w:t>
      </w:r>
      <w:r w:rsidRPr="007767A0">
        <w:rPr>
          <w:rFonts w:eastAsia="Calibri" w:cs="Calibri"/>
          <w:sz w:val="28"/>
          <w:szCs w:val="28"/>
          <w:u w:color="000000"/>
          <w:bdr w:val="nil"/>
          <w:lang w:val="en-US"/>
        </w:rPr>
        <w:t xml:space="preserve"> is the market where securities with the following two distinguishing features are trading: 1) at issuance they are offered simultaneously to </w:t>
      </w:r>
      <w:r w:rsidRPr="007767A0">
        <w:rPr>
          <w:rFonts w:eastAsia="Calibri" w:cs="Calibri"/>
          <w:sz w:val="28"/>
          <w:szCs w:val="28"/>
          <w:u w:color="000000"/>
          <w:bdr w:val="nil"/>
          <w:lang w:val="en-US"/>
        </w:rPr>
        <w:lastRenderedPageBreak/>
        <w:t>investors in a number of coun</w:t>
      </w:r>
      <w:r w:rsidR="005B4C7B">
        <w:rPr>
          <w:rFonts w:eastAsia="Calibri" w:cs="Calibri"/>
          <w:sz w:val="28"/>
          <w:szCs w:val="28"/>
          <w:u w:color="000000"/>
          <w:bdr w:val="nil"/>
          <w:lang w:val="en-US"/>
        </w:rPr>
        <w:t>tries</w:t>
      </w:r>
      <w:r w:rsidRPr="007767A0">
        <w:rPr>
          <w:rFonts w:eastAsia="Calibri" w:cs="Calibri"/>
          <w:sz w:val="28"/>
          <w:szCs w:val="28"/>
          <w:u w:color="000000"/>
          <w:bdr w:val="nil"/>
          <w:lang w:val="en-US"/>
        </w:rPr>
        <w:t xml:space="preserve"> and 2) they are issued outside the jurisdiction of any single country. The external market is also referred to as the international market, offs</w:t>
      </w:r>
      <w:r w:rsidR="005B4C7B">
        <w:rPr>
          <w:rFonts w:eastAsia="Calibri" w:cs="Calibri"/>
          <w:sz w:val="28"/>
          <w:szCs w:val="28"/>
          <w:u w:color="000000"/>
          <w:bdr w:val="nil"/>
          <w:lang w:val="en-US"/>
        </w:rPr>
        <w:t>hore market, and the Euromarket</w:t>
      </w:r>
      <w:r w:rsidRPr="007767A0">
        <w:rPr>
          <w:rFonts w:eastAsia="Calibri" w:cs="Calibri"/>
          <w:sz w:val="28"/>
          <w:szCs w:val="28"/>
          <w:u w:color="000000"/>
          <w:bdr w:val="nil"/>
          <w:lang w:val="en-US"/>
        </w:rPr>
        <w:t xml:space="preserve"> (despite the fact that this market is not limited to Europe). </w:t>
      </w:r>
    </w:p>
    <w:p w14:paraId="079E5C16"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b/>
          <w:bCs/>
          <w:sz w:val="28"/>
          <w:szCs w:val="28"/>
          <w:u w:color="000000"/>
          <w:bdr w:val="nil"/>
          <w:lang w:val="en-US"/>
        </w:rPr>
        <w:t>The money market</w:t>
      </w:r>
      <w:r w:rsidRPr="007767A0">
        <w:rPr>
          <w:rFonts w:eastAsia="Calibri" w:cs="Calibri"/>
          <w:sz w:val="28"/>
          <w:szCs w:val="28"/>
          <w:u w:color="000000"/>
          <w:bdr w:val="nil"/>
          <w:lang w:val="en-US"/>
        </w:rPr>
        <w:t xml:space="preserve"> is the sector of the financial market that includes financial instruments that have a maturity or redemption date that is one year or less at the time of issuance (short-term securities). These are mainly wholesale markets. The best known of short-term securities are probably </w:t>
      </w:r>
      <w:r w:rsidR="005B4C7B">
        <w:rPr>
          <w:rFonts w:eastAsia="Calibri" w:cs="Calibri"/>
          <w:sz w:val="28"/>
          <w:szCs w:val="28"/>
          <w:u w:color="000000"/>
          <w:bdr w:val="nil"/>
          <w:lang w:val="en-US"/>
        </w:rPr>
        <w:t>t</w:t>
      </w:r>
      <w:r w:rsidRPr="007767A0">
        <w:rPr>
          <w:rFonts w:eastAsia="Calibri" w:cs="Calibri"/>
          <w:sz w:val="28"/>
          <w:szCs w:val="28"/>
          <w:u w:color="000000"/>
          <w:bdr w:val="nil"/>
          <w:lang w:val="en-US"/>
        </w:rPr>
        <w:t xml:space="preserve">reasury bills. The </w:t>
      </w:r>
      <w:r w:rsidRPr="007767A0">
        <w:rPr>
          <w:rFonts w:eastAsia="Calibri" w:cs="Calibri"/>
          <w:b/>
          <w:bCs/>
          <w:sz w:val="28"/>
          <w:szCs w:val="28"/>
          <w:u w:color="000000"/>
          <w:bdr w:val="nil"/>
          <w:lang w:val="en-US"/>
        </w:rPr>
        <w:t>capital market</w:t>
      </w:r>
      <w:r w:rsidRPr="007767A0">
        <w:rPr>
          <w:rFonts w:eastAsia="Calibri" w:cs="Calibri"/>
          <w:sz w:val="28"/>
          <w:szCs w:val="28"/>
          <w:u w:color="000000"/>
          <w:bdr w:val="nil"/>
          <w:lang w:val="en-US"/>
        </w:rPr>
        <w:t xml:space="preserve"> is the sector of the financial market where long- (and medium-) term financial instruments </w:t>
      </w:r>
      <w:r w:rsidR="00745BA0">
        <w:rPr>
          <w:rFonts w:eastAsia="Calibri" w:cs="Calibri"/>
          <w:sz w:val="28"/>
          <w:szCs w:val="28"/>
          <w:u w:color="000000"/>
          <w:bdr w:val="nil"/>
          <w:lang w:val="en-US"/>
        </w:rPr>
        <w:t xml:space="preserve">are </w:t>
      </w:r>
      <w:r w:rsidRPr="007767A0">
        <w:rPr>
          <w:rFonts w:eastAsia="Calibri" w:cs="Calibri"/>
          <w:sz w:val="28"/>
          <w:szCs w:val="28"/>
          <w:u w:color="000000"/>
          <w:bdr w:val="nil"/>
          <w:lang w:val="en-US"/>
        </w:rPr>
        <w:t>issued by corporations and governments trade. Here “long-term”</w:t>
      </w:r>
      <w:r w:rsidR="00745BA0">
        <w:rPr>
          <w:rFonts w:eastAsia="Calibri" w:cs="Calibri"/>
          <w:sz w:val="28"/>
          <w:szCs w:val="28"/>
          <w:u w:color="000000"/>
          <w:bdr w:val="nil"/>
          <w:lang w:val="en-US"/>
        </w:rPr>
        <w:t xml:space="preserve"> is referred</w:t>
      </w:r>
      <w:r w:rsidRPr="007767A0">
        <w:rPr>
          <w:rFonts w:eastAsia="Calibri" w:cs="Calibri"/>
          <w:sz w:val="28"/>
          <w:szCs w:val="28"/>
          <w:u w:color="000000"/>
          <w:bdr w:val="nil"/>
          <w:lang w:val="en-US"/>
        </w:rPr>
        <w:t xml:space="preserve"> to a financial instrument with an original maturity greater than one year and perpetual securities (those with no maturity). </w:t>
      </w:r>
    </w:p>
    <w:p w14:paraId="613F7CC6"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There are two types of capital market securities: those that represent shares of ownership interest</w:t>
      </w:r>
      <w:r w:rsidR="00745BA0">
        <w:rPr>
          <w:rFonts w:eastAsia="Calibri" w:cs="Calibri"/>
          <w:sz w:val="28"/>
          <w:szCs w:val="28"/>
          <w:u w:color="000000"/>
          <w:bdr w:val="nil"/>
          <w:lang w:val="en-US"/>
        </w:rPr>
        <w:t>,</w:t>
      </w:r>
      <w:r w:rsidRPr="007767A0">
        <w:rPr>
          <w:rFonts w:eastAsia="Calibri" w:cs="Calibri"/>
          <w:sz w:val="28"/>
          <w:szCs w:val="28"/>
          <w:u w:color="000000"/>
          <w:bdr w:val="nil"/>
          <w:lang w:val="en-US"/>
        </w:rPr>
        <w:t xml:space="preserve"> also called </w:t>
      </w:r>
      <w:r w:rsidRPr="007767A0">
        <w:rPr>
          <w:rFonts w:eastAsia="Calibri" w:cs="Calibri"/>
          <w:b/>
          <w:bCs/>
          <w:sz w:val="28"/>
          <w:szCs w:val="28"/>
          <w:u w:color="000000"/>
          <w:bdr w:val="nil"/>
          <w:lang w:val="en-US"/>
        </w:rPr>
        <w:t>equity</w:t>
      </w:r>
      <w:r w:rsidRPr="007767A0">
        <w:rPr>
          <w:rFonts w:eastAsia="Calibri" w:cs="Calibri"/>
          <w:sz w:val="28"/>
          <w:szCs w:val="28"/>
          <w:u w:color="000000"/>
          <w:bdr w:val="nil"/>
          <w:lang w:val="en-US"/>
        </w:rPr>
        <w:t xml:space="preserve">, issued by corporations, and those that represent indebtedness, or </w:t>
      </w:r>
      <w:r w:rsidRPr="007767A0">
        <w:rPr>
          <w:rFonts w:eastAsia="Calibri" w:cs="Calibri"/>
          <w:b/>
          <w:bCs/>
          <w:sz w:val="28"/>
          <w:szCs w:val="28"/>
          <w:u w:color="000000"/>
          <w:bdr w:val="nil"/>
          <w:lang w:val="en-US"/>
        </w:rPr>
        <w:t>debt</w:t>
      </w:r>
      <w:r w:rsidRPr="007767A0">
        <w:rPr>
          <w:rFonts w:eastAsia="Calibri" w:cs="Calibri"/>
          <w:sz w:val="28"/>
          <w:szCs w:val="28"/>
          <w:u w:color="000000"/>
          <w:bdr w:val="nil"/>
          <w:lang w:val="en-US"/>
        </w:rPr>
        <w:t xml:space="preserve"> issued by corporations and by the state and local governments. Institutional investors (insurance companies a</w:t>
      </w:r>
      <w:r w:rsidR="00745BA0">
        <w:rPr>
          <w:rFonts w:eastAsia="Calibri" w:cs="Calibri"/>
          <w:sz w:val="28"/>
          <w:szCs w:val="28"/>
          <w:u w:color="000000"/>
          <w:bdr w:val="nil"/>
          <w:lang w:val="en-US"/>
        </w:rPr>
        <w:t>nd pension funds) and special</w:t>
      </w:r>
      <w:r w:rsidRPr="007767A0">
        <w:rPr>
          <w:rFonts w:eastAsia="Calibri" w:cs="Calibri"/>
          <w:sz w:val="28"/>
          <w:szCs w:val="28"/>
          <w:u w:color="000000"/>
          <w:bdr w:val="nil"/>
          <w:lang w:val="en-US"/>
        </w:rPr>
        <w:t xml:space="preserve"> agents such as investment banks, brokers and dealers are the major players in the capital markets. This refers to a distinction within capital markets. An enterprise can </w:t>
      </w:r>
      <w:r w:rsidR="00745BA0" w:rsidRPr="007767A0">
        <w:rPr>
          <w:rFonts w:eastAsia="Calibri" w:cs="Calibri"/>
          <w:sz w:val="28"/>
          <w:szCs w:val="28"/>
          <w:u w:color="000000"/>
          <w:bdr w:val="nil"/>
          <w:lang w:val="en-US"/>
        </w:rPr>
        <w:t xml:space="preserve">typically </w:t>
      </w:r>
      <w:r w:rsidRPr="007767A0">
        <w:rPr>
          <w:rFonts w:eastAsia="Calibri" w:cs="Calibri"/>
          <w:sz w:val="28"/>
          <w:szCs w:val="28"/>
          <w:u w:color="000000"/>
          <w:bdr w:val="nil"/>
          <w:lang w:val="en-US"/>
        </w:rPr>
        <w:t xml:space="preserve">raise funds in the capital markets in two distinct ways. First, it can issue or sell a debt instrument such as a bond, or raise a loan from a bank. The second main way in which an enterprise can raise finance is through the issue of equities such as common stock (US) or ordinary shares (UK). The markets for bonds and bank loans are collectively known as </w:t>
      </w:r>
      <w:r w:rsidRPr="007767A0">
        <w:rPr>
          <w:rFonts w:eastAsia="Calibri" w:cs="Calibri"/>
          <w:b/>
          <w:bCs/>
          <w:sz w:val="28"/>
          <w:szCs w:val="28"/>
          <w:u w:color="000000"/>
          <w:bdr w:val="nil"/>
          <w:lang w:val="en-US"/>
        </w:rPr>
        <w:t>debt markets</w:t>
      </w:r>
      <w:r w:rsidRPr="007767A0">
        <w:rPr>
          <w:rFonts w:eastAsia="Calibri" w:cs="Calibri"/>
          <w:sz w:val="28"/>
          <w:szCs w:val="28"/>
          <w:u w:color="000000"/>
          <w:bdr w:val="nil"/>
          <w:lang w:val="en-US"/>
        </w:rPr>
        <w:t xml:space="preserve">. While bonds tend to be long-term financial assets, bank loans typically are short- to medium-term assets, but both pay a rate of interest. </w:t>
      </w:r>
      <w:r w:rsidRPr="007767A0">
        <w:rPr>
          <w:rFonts w:eastAsia="Calibri" w:cs="Calibri"/>
          <w:b/>
          <w:bCs/>
          <w:sz w:val="28"/>
          <w:szCs w:val="28"/>
          <w:u w:color="000000"/>
          <w:bdr w:val="nil"/>
          <w:lang w:val="en-US"/>
        </w:rPr>
        <w:t xml:space="preserve">Equities </w:t>
      </w:r>
      <w:r w:rsidRPr="007767A0">
        <w:rPr>
          <w:rFonts w:eastAsia="Calibri" w:cs="Calibri"/>
          <w:sz w:val="28"/>
          <w:szCs w:val="28"/>
          <w:u w:color="000000"/>
          <w:bdr w:val="nil"/>
          <w:lang w:val="en-US"/>
        </w:rPr>
        <w:t>represent future claims on an enterprise’s net profits and a residual claim on its net assets in the case of liquidation. Equity holders receive periodic (typically annual) payments, called dividends, from the enterprise. Equities are viewed as long-term securities since they have no final maturity date, unlike most bank loans and bonds.</w:t>
      </w:r>
    </w:p>
    <w:p w14:paraId="5BA2AE64"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Financial markets can be classified in terms of </w:t>
      </w:r>
      <w:r w:rsidRPr="007767A0">
        <w:rPr>
          <w:rFonts w:eastAsia="Calibri" w:cs="Calibri"/>
          <w:b/>
          <w:bCs/>
          <w:sz w:val="28"/>
          <w:szCs w:val="28"/>
          <w:u w:color="000000"/>
          <w:bdr w:val="nil"/>
          <w:lang w:val="en-US"/>
        </w:rPr>
        <w:t>cash market</w:t>
      </w:r>
      <w:r w:rsidRPr="007767A0">
        <w:rPr>
          <w:rFonts w:eastAsia="Calibri" w:cs="Calibri"/>
          <w:sz w:val="28"/>
          <w:szCs w:val="28"/>
          <w:u w:color="000000"/>
          <w:bdr w:val="nil"/>
          <w:lang w:val="en-US"/>
        </w:rPr>
        <w:t xml:space="preserve"> and </w:t>
      </w:r>
      <w:r w:rsidRPr="007767A0">
        <w:rPr>
          <w:rFonts w:eastAsia="Calibri" w:cs="Calibri"/>
          <w:b/>
          <w:bCs/>
          <w:sz w:val="28"/>
          <w:szCs w:val="28"/>
          <w:u w:color="000000"/>
          <w:bdr w:val="nil"/>
          <w:lang w:val="en-US"/>
        </w:rPr>
        <w:t>derivative markets</w:t>
      </w:r>
      <w:r w:rsidRPr="007767A0">
        <w:rPr>
          <w:rFonts w:eastAsia="Calibri" w:cs="Calibri"/>
          <w:sz w:val="28"/>
          <w:szCs w:val="28"/>
          <w:u w:color="000000"/>
          <w:bdr w:val="nil"/>
          <w:lang w:val="en-US"/>
        </w:rPr>
        <w:t xml:space="preserve">. The </w:t>
      </w:r>
      <w:r w:rsidRPr="007767A0">
        <w:rPr>
          <w:rFonts w:eastAsia="Calibri" w:cs="Calibri"/>
          <w:b/>
          <w:bCs/>
          <w:sz w:val="28"/>
          <w:szCs w:val="28"/>
          <w:u w:color="000000"/>
          <w:bdr w:val="nil"/>
          <w:lang w:val="en-US"/>
        </w:rPr>
        <w:t>cash market</w:t>
      </w:r>
      <w:r w:rsidRPr="007767A0">
        <w:rPr>
          <w:rFonts w:eastAsia="Calibri" w:cs="Calibri"/>
          <w:sz w:val="28"/>
          <w:szCs w:val="28"/>
          <w:u w:color="000000"/>
          <w:bdr w:val="nil"/>
          <w:lang w:val="en-US"/>
        </w:rPr>
        <w:t xml:space="preserve"> also</w:t>
      </w:r>
      <w:r w:rsidR="00745BA0">
        <w:rPr>
          <w:rFonts w:eastAsia="Calibri" w:cs="Calibri"/>
          <w:sz w:val="28"/>
          <w:szCs w:val="28"/>
          <w:u w:color="000000"/>
          <w:bdr w:val="nil"/>
          <w:lang w:val="en-US"/>
        </w:rPr>
        <w:t xml:space="preserve"> referred to as the spot market</w:t>
      </w:r>
      <w:r w:rsidR="00303D5B">
        <w:rPr>
          <w:rFonts w:eastAsia="Calibri" w:cs="Calibri"/>
          <w:sz w:val="28"/>
          <w:szCs w:val="28"/>
          <w:u w:color="000000"/>
          <w:bdr w:val="nil"/>
          <w:lang w:val="en-US"/>
        </w:rPr>
        <w:t>,</w:t>
      </w:r>
      <w:r w:rsidRPr="007767A0">
        <w:rPr>
          <w:rFonts w:eastAsia="Calibri" w:cs="Calibri"/>
          <w:sz w:val="28"/>
          <w:szCs w:val="28"/>
          <w:u w:color="000000"/>
          <w:bdr w:val="nil"/>
          <w:lang w:val="en-US"/>
        </w:rPr>
        <w:t xml:space="preserve"> is the market for the immediate purchase and sale of a financial instrument. In contrast, some financial instruments are contracts that specify that the contract holder has either the obligation or the choice to buy or sell another something at or by some future date. The </w:t>
      </w:r>
      <w:r w:rsidRPr="007767A0">
        <w:rPr>
          <w:rFonts w:eastAsia="Calibri" w:cs="Calibri"/>
          <w:sz w:val="28"/>
          <w:szCs w:val="28"/>
          <w:u w:color="000000"/>
          <w:bdr w:val="nil"/>
          <w:lang w:val="en-US"/>
        </w:rPr>
        <w:lastRenderedPageBreak/>
        <w:t xml:space="preserve">“something” </w:t>
      </w:r>
      <w:r w:rsidR="00745BA0">
        <w:rPr>
          <w:rFonts w:eastAsia="Calibri" w:cs="Calibri"/>
          <w:sz w:val="28"/>
          <w:szCs w:val="28"/>
          <w:u w:color="000000"/>
          <w:bdr w:val="nil"/>
          <w:lang w:val="en-US"/>
        </w:rPr>
        <w:t>means that</w:t>
      </w:r>
      <w:r w:rsidRPr="007767A0">
        <w:rPr>
          <w:rFonts w:eastAsia="Calibri" w:cs="Calibri"/>
          <w:sz w:val="28"/>
          <w:szCs w:val="28"/>
          <w:u w:color="000000"/>
          <w:bdr w:val="nil"/>
          <w:lang w:val="en-US"/>
        </w:rPr>
        <w:t xml:space="preserve"> the subject of the contract is called the underlying (asset). The underlying asset is a stock, a bond, a financial index, an interest rate, a currency, or a commodity. Because the price of such contracts derives their value from the value of the underlying assets, these contracts are called derivative instruments and the market where they are traded is called the </w:t>
      </w:r>
      <w:r w:rsidRPr="007767A0">
        <w:rPr>
          <w:rFonts w:eastAsia="Calibri" w:cs="Calibri"/>
          <w:b/>
          <w:bCs/>
          <w:sz w:val="28"/>
          <w:szCs w:val="28"/>
          <w:u w:color="000000"/>
          <w:bdr w:val="nil"/>
          <w:lang w:val="en-US"/>
        </w:rPr>
        <w:t>derivatives market</w:t>
      </w:r>
      <w:r w:rsidRPr="007767A0">
        <w:rPr>
          <w:rFonts w:eastAsia="Calibri" w:cs="Calibri"/>
          <w:sz w:val="28"/>
          <w:szCs w:val="28"/>
          <w:u w:color="000000"/>
          <w:bdr w:val="nil"/>
          <w:lang w:val="en-US"/>
        </w:rPr>
        <w:t>.</w:t>
      </w:r>
    </w:p>
    <w:p w14:paraId="0B0912D7"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When a financial instrument is first issued, it is sold in the </w:t>
      </w:r>
      <w:r w:rsidRPr="007767A0">
        <w:rPr>
          <w:rFonts w:eastAsia="Calibri" w:cs="Calibri"/>
          <w:b/>
          <w:bCs/>
          <w:sz w:val="28"/>
          <w:szCs w:val="28"/>
          <w:u w:color="000000"/>
          <w:bdr w:val="nil"/>
          <w:lang w:val="en-US"/>
        </w:rPr>
        <w:t>primary market</w:t>
      </w:r>
      <w:r w:rsidRPr="007767A0">
        <w:rPr>
          <w:rFonts w:eastAsia="Calibri" w:cs="Calibri"/>
          <w:sz w:val="28"/>
          <w:szCs w:val="28"/>
          <w:u w:color="000000"/>
          <w:bdr w:val="nil"/>
          <w:lang w:val="en-US"/>
        </w:rPr>
        <w:t xml:space="preserve">. A </w:t>
      </w:r>
      <w:r w:rsidRPr="007767A0">
        <w:rPr>
          <w:rFonts w:eastAsia="Calibri" w:cs="Calibri"/>
          <w:b/>
          <w:bCs/>
          <w:sz w:val="28"/>
          <w:szCs w:val="28"/>
          <w:u w:color="000000"/>
          <w:bdr w:val="nil"/>
          <w:lang w:val="en-US"/>
        </w:rPr>
        <w:t>secondary market</w:t>
      </w:r>
      <w:r w:rsidRPr="007767A0">
        <w:rPr>
          <w:rFonts w:eastAsia="Calibri" w:cs="Calibri"/>
          <w:sz w:val="28"/>
          <w:szCs w:val="28"/>
          <w:u w:color="000000"/>
          <w:bdr w:val="nil"/>
          <w:lang w:val="en-US"/>
        </w:rPr>
        <w:t xml:space="preserve"> is such </w:t>
      </w:r>
      <w:r w:rsidR="00745BA0">
        <w:rPr>
          <w:rFonts w:eastAsia="Calibri" w:cs="Calibri"/>
          <w:sz w:val="28"/>
          <w:szCs w:val="28"/>
          <w:u w:color="000000"/>
          <w:bdr w:val="nil"/>
          <w:lang w:val="en-US"/>
        </w:rPr>
        <w:t xml:space="preserve">a market </w:t>
      </w:r>
      <w:r w:rsidRPr="007767A0">
        <w:rPr>
          <w:rFonts w:eastAsia="Calibri" w:cs="Calibri"/>
          <w:sz w:val="28"/>
          <w:szCs w:val="28"/>
          <w:u w:color="000000"/>
          <w:bdr w:val="nil"/>
          <w:lang w:val="en-US"/>
        </w:rPr>
        <w:t xml:space="preserve">in which financial instruments are resold among investors. No new capital is raised by the issuer of the security. Trading takes place among investors. Note that the originally issuer or borrower receives funds only when </w:t>
      </w:r>
      <w:r w:rsidR="00745BA0">
        <w:rPr>
          <w:rFonts w:eastAsia="Calibri" w:cs="Calibri"/>
          <w:sz w:val="28"/>
          <w:szCs w:val="28"/>
          <w:u w:color="000000"/>
          <w:bdr w:val="nil"/>
          <w:lang w:val="en-US"/>
        </w:rPr>
        <w:t>hi</w:t>
      </w:r>
      <w:r w:rsidRPr="007767A0">
        <w:rPr>
          <w:rFonts w:eastAsia="Calibri" w:cs="Calibri"/>
          <w:sz w:val="28"/>
          <w:szCs w:val="28"/>
          <w:u w:color="000000"/>
          <w:bdr w:val="nil"/>
          <w:lang w:val="en-US"/>
        </w:rPr>
        <w:t>s securities are first sold in the primary market; the issue</w:t>
      </w:r>
      <w:r w:rsidR="00303D5B">
        <w:rPr>
          <w:rFonts w:eastAsia="Calibri" w:cs="Calibri"/>
          <w:sz w:val="28"/>
          <w:szCs w:val="28"/>
          <w:u w:color="000000"/>
          <w:bdr w:val="nil"/>
          <w:lang w:val="en-US"/>
        </w:rPr>
        <w:t>r does not receive funds when hi</w:t>
      </w:r>
      <w:r w:rsidRPr="007767A0">
        <w:rPr>
          <w:rFonts w:eastAsia="Calibri" w:cs="Calibri"/>
          <w:sz w:val="28"/>
          <w:szCs w:val="28"/>
          <w:u w:color="000000"/>
          <w:bdr w:val="nil"/>
          <w:lang w:val="en-US"/>
        </w:rPr>
        <w:t xml:space="preserve">s securities are traded in the secondary market. Nevertheless, secondary markets perform two </w:t>
      </w:r>
      <w:r w:rsidR="007767A0">
        <w:rPr>
          <w:rFonts w:eastAsia="Calibri" w:cs="Calibri"/>
          <w:sz w:val="28"/>
          <w:szCs w:val="28"/>
          <w:u w:color="000000"/>
          <w:bdr w:val="nil"/>
          <w:lang w:val="en-US"/>
        </w:rPr>
        <w:t>essential</w:t>
      </w:r>
      <w:r w:rsidRPr="007767A0">
        <w:rPr>
          <w:rFonts w:eastAsia="Calibri" w:cs="Calibri"/>
          <w:sz w:val="28"/>
          <w:szCs w:val="28"/>
          <w:u w:color="000000"/>
          <w:bdr w:val="nil"/>
          <w:lang w:val="en-US"/>
        </w:rPr>
        <w:t xml:space="preserve"> functions: (i) they allow the original buyers of securities to sell them before the maturity date, if necessary (that is, they make the securities more liquid); (ii) they allow participants in the primary markets to make judgements about the value of newly-issued securities by looking at the prices of similar, existing securities that are traded in the secondary markets. Secondary markets are also classified in terms of organized stock exchanges and over-the-counter (OTC) markets. </w:t>
      </w:r>
      <w:r w:rsidRPr="007767A0">
        <w:rPr>
          <w:rFonts w:eastAsia="Calibri" w:cs="Calibri"/>
          <w:b/>
          <w:bCs/>
          <w:sz w:val="28"/>
          <w:szCs w:val="28"/>
          <w:u w:color="000000"/>
          <w:bdr w:val="nil"/>
          <w:lang w:val="en-US"/>
        </w:rPr>
        <w:t>Stock exchanges</w:t>
      </w:r>
      <w:r w:rsidRPr="007767A0">
        <w:rPr>
          <w:rFonts w:eastAsia="Calibri" w:cs="Calibri"/>
          <w:sz w:val="28"/>
          <w:szCs w:val="28"/>
          <w:u w:color="000000"/>
          <w:bdr w:val="nil"/>
          <w:lang w:val="en-US"/>
        </w:rPr>
        <w:t xml:space="preserve"> are central trading locations where financial instruments are traded. In contrast, an </w:t>
      </w:r>
      <w:r w:rsidRPr="007767A0">
        <w:rPr>
          <w:rFonts w:eastAsia="Calibri" w:cs="Calibri"/>
          <w:b/>
          <w:bCs/>
          <w:sz w:val="28"/>
          <w:szCs w:val="28"/>
          <w:u w:color="000000"/>
          <w:bdr w:val="nil"/>
          <w:lang w:val="en-US"/>
        </w:rPr>
        <w:t>OTC market</w:t>
      </w:r>
      <w:r w:rsidRPr="007767A0">
        <w:rPr>
          <w:rFonts w:eastAsia="Calibri" w:cs="Calibri"/>
          <w:sz w:val="28"/>
          <w:szCs w:val="28"/>
          <w:u w:color="000000"/>
          <w:bdr w:val="nil"/>
          <w:lang w:val="en-US"/>
        </w:rPr>
        <w:t xml:space="preserve"> is </w:t>
      </w:r>
      <w:r w:rsidR="00745BA0">
        <w:rPr>
          <w:rFonts w:eastAsia="Calibri" w:cs="Calibri"/>
          <w:sz w:val="28"/>
          <w:szCs w:val="28"/>
          <w:u w:color="000000"/>
          <w:bdr w:val="nil"/>
          <w:lang w:val="en-US"/>
        </w:rPr>
        <w:t>market</w:t>
      </w:r>
      <w:r w:rsidRPr="007767A0">
        <w:rPr>
          <w:rFonts w:eastAsia="Calibri" w:cs="Calibri"/>
          <w:sz w:val="28"/>
          <w:szCs w:val="28"/>
          <w:u w:color="000000"/>
          <w:bdr w:val="nil"/>
          <w:lang w:val="en-US"/>
        </w:rPr>
        <w:t xml:space="preserve"> where unlisted financial instruments are traded.</w:t>
      </w:r>
    </w:p>
    <w:p w14:paraId="762473C8" w14:textId="77777777" w:rsidR="003C51B1" w:rsidRDefault="003C51B1" w:rsidP="00305E02">
      <w:pPr>
        <w:pBdr>
          <w:top w:val="nil"/>
          <w:left w:val="nil"/>
          <w:bottom w:val="nil"/>
          <w:right w:val="nil"/>
          <w:between w:val="nil"/>
          <w:bar w:val="nil"/>
        </w:pBdr>
        <w:spacing w:line="312" w:lineRule="auto"/>
        <w:ind w:firstLine="709"/>
        <w:jc w:val="both"/>
        <w:rPr>
          <w:rFonts w:eastAsia="Calibri" w:cs="Calibri"/>
          <w:sz w:val="28"/>
          <w:szCs w:val="28"/>
          <w:u w:color="000000"/>
          <w:bdr w:val="nil"/>
          <w:lang w:val="en-US"/>
        </w:rPr>
      </w:pPr>
      <w:r w:rsidRPr="007767A0">
        <w:rPr>
          <w:rFonts w:eastAsia="Calibri" w:cs="Calibri"/>
          <w:sz w:val="28"/>
          <w:szCs w:val="28"/>
          <w:u w:color="000000"/>
          <w:bdr w:val="nil"/>
          <w:lang w:val="en-US"/>
        </w:rPr>
        <w:t>There is a great variety of financial instrument</w:t>
      </w:r>
      <w:r w:rsidR="00745BA0">
        <w:rPr>
          <w:rFonts w:eastAsia="Calibri" w:cs="Calibri"/>
          <w:sz w:val="28"/>
          <w:szCs w:val="28"/>
          <w:u w:color="000000"/>
          <w:bdr w:val="nil"/>
          <w:lang w:val="en-US"/>
        </w:rPr>
        <w:t>s</w:t>
      </w:r>
      <w:r w:rsidRPr="007767A0">
        <w:rPr>
          <w:rFonts w:eastAsia="Calibri" w:cs="Calibri"/>
          <w:sz w:val="28"/>
          <w:szCs w:val="28"/>
          <w:u w:color="000000"/>
          <w:bdr w:val="nil"/>
          <w:lang w:val="en-US"/>
        </w:rPr>
        <w:t xml:space="preserve"> in the financial marketplace. The use of these instruments by major market participants depends upon their offered risk and return characteristics, as well as availability in retail or wholesale markets. In </w:t>
      </w:r>
      <w:r w:rsidR="00745BA0">
        <w:rPr>
          <w:rFonts w:eastAsia="Calibri" w:cs="Calibri"/>
          <w:sz w:val="28"/>
          <w:szCs w:val="28"/>
          <w:u w:color="000000"/>
          <w:bdr w:val="nil"/>
          <w:lang w:val="en-US"/>
        </w:rPr>
        <w:t>T</w:t>
      </w:r>
      <w:r w:rsidRPr="007767A0">
        <w:rPr>
          <w:rFonts w:eastAsia="Calibri" w:cs="Calibri"/>
          <w:sz w:val="28"/>
          <w:szCs w:val="28"/>
          <w:u w:color="000000"/>
          <w:bdr w:val="nil"/>
          <w:lang w:val="en-US"/>
        </w:rPr>
        <w:t>able</w:t>
      </w:r>
      <w:r w:rsidR="00745BA0">
        <w:rPr>
          <w:rFonts w:eastAsia="Calibri" w:cs="Calibri"/>
          <w:sz w:val="28"/>
          <w:szCs w:val="28"/>
          <w:u w:color="000000"/>
          <w:bdr w:val="nil"/>
          <w:lang w:val="en-US"/>
        </w:rPr>
        <w:t> </w:t>
      </w:r>
      <w:r w:rsidRPr="007767A0">
        <w:rPr>
          <w:rFonts w:eastAsia="Calibri" w:cs="Calibri"/>
          <w:sz w:val="28"/>
          <w:szCs w:val="28"/>
          <w:u w:color="000000"/>
          <w:bdr w:val="nil"/>
          <w:lang w:val="en-US"/>
        </w:rPr>
        <w:t>9.1 the general view on the financial instrument categories is provided.</w:t>
      </w:r>
    </w:p>
    <w:p w14:paraId="6F7AA9E7" w14:textId="77777777" w:rsidR="003C51B1" w:rsidRPr="007767A0" w:rsidRDefault="003C51B1" w:rsidP="00305E02">
      <w:pPr>
        <w:pBdr>
          <w:top w:val="nil"/>
          <w:left w:val="nil"/>
          <w:bottom w:val="nil"/>
          <w:right w:val="nil"/>
          <w:between w:val="nil"/>
          <w:bar w:val="nil"/>
        </w:pBdr>
        <w:tabs>
          <w:tab w:val="left" w:pos="5669"/>
        </w:tabs>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A </w:t>
      </w:r>
      <w:r w:rsidRPr="007767A0">
        <w:rPr>
          <w:rFonts w:eastAsia="Calibri" w:cs="Calibri"/>
          <w:b/>
          <w:bCs/>
          <w:sz w:val="28"/>
          <w:szCs w:val="28"/>
          <w:u w:color="000000"/>
          <w:bdr w:val="nil"/>
          <w:lang w:val="en-US"/>
        </w:rPr>
        <w:t>financial instrument</w:t>
      </w:r>
      <w:r w:rsidRPr="007767A0">
        <w:rPr>
          <w:rFonts w:eastAsia="Calibri" w:cs="Calibri"/>
          <w:sz w:val="28"/>
          <w:szCs w:val="28"/>
          <w:u w:color="000000"/>
          <w:bdr w:val="nil"/>
          <w:lang w:val="en-US"/>
        </w:rPr>
        <w:t xml:space="preserve"> can be classified by the type of claims that the investor has on the issuer. A financial instrument in which the issuer agrees to pay the investor interest </w:t>
      </w:r>
      <w:r w:rsidR="00745BA0">
        <w:rPr>
          <w:rFonts w:eastAsia="Calibri" w:cs="Calibri"/>
          <w:sz w:val="28"/>
          <w:szCs w:val="28"/>
          <w:u w:color="000000"/>
          <w:bdr w:val="nil"/>
          <w:lang w:val="en-US"/>
        </w:rPr>
        <w:t>and</w:t>
      </w:r>
      <w:r w:rsidRPr="007767A0">
        <w:rPr>
          <w:rFonts w:eastAsia="Calibri" w:cs="Calibri"/>
          <w:sz w:val="28"/>
          <w:szCs w:val="28"/>
          <w:u w:color="000000"/>
          <w:bdr w:val="nil"/>
          <w:lang w:val="en-US"/>
        </w:rPr>
        <w:t xml:space="preserve"> repay the amount borrowed is a </w:t>
      </w:r>
      <w:r w:rsidRPr="007767A0">
        <w:rPr>
          <w:rFonts w:eastAsia="Calibri" w:cs="Calibri"/>
          <w:b/>
          <w:bCs/>
          <w:sz w:val="28"/>
          <w:szCs w:val="28"/>
          <w:u w:color="000000"/>
          <w:bdr w:val="nil"/>
          <w:lang w:val="en-US"/>
        </w:rPr>
        <w:t>debt instrument</w:t>
      </w:r>
      <w:r w:rsidRPr="007767A0">
        <w:rPr>
          <w:rFonts w:eastAsia="Calibri" w:cs="Calibri"/>
          <w:sz w:val="28"/>
          <w:szCs w:val="28"/>
          <w:u w:color="000000"/>
          <w:bdr w:val="nil"/>
          <w:lang w:val="en-US"/>
        </w:rPr>
        <w:t xml:space="preserve">. A debt instrument also referred to as an instrument of indebtedness, can be in the form of a note, bond, or loan. The interest payments that must be made by the issuer are fixed contractually. For example, in the case of a debt instrument that is required to make payments in </w:t>
      </w:r>
      <w:r w:rsidR="00745BA0">
        <w:rPr>
          <w:rFonts w:eastAsia="Calibri" w:cs="Calibri"/>
          <w:sz w:val="28"/>
          <w:szCs w:val="28"/>
          <w:u w:color="000000"/>
          <w:bdr w:val="nil"/>
          <w:lang w:val="en-US"/>
        </w:rPr>
        <w:t>e</w:t>
      </w:r>
      <w:r w:rsidRPr="007767A0">
        <w:rPr>
          <w:rFonts w:eastAsia="Calibri" w:cs="Calibri"/>
          <w:sz w:val="28"/>
          <w:szCs w:val="28"/>
          <w:u w:color="000000"/>
          <w:bdr w:val="nil"/>
          <w:lang w:val="en-US"/>
        </w:rPr>
        <w:t xml:space="preserve">uros, the amount can be a fixed </w:t>
      </w:r>
      <w:r w:rsidR="00745BA0">
        <w:rPr>
          <w:rFonts w:eastAsia="Calibri" w:cs="Calibri"/>
          <w:sz w:val="28"/>
          <w:szCs w:val="28"/>
          <w:u w:color="000000"/>
          <w:bdr w:val="nil"/>
          <w:lang w:val="en-US"/>
        </w:rPr>
        <w:t>e</w:t>
      </w:r>
      <w:r w:rsidRPr="007767A0">
        <w:rPr>
          <w:rFonts w:eastAsia="Calibri" w:cs="Calibri"/>
          <w:sz w:val="28"/>
          <w:szCs w:val="28"/>
          <w:u w:color="000000"/>
          <w:bdr w:val="nil"/>
          <w:lang w:val="en-US"/>
        </w:rPr>
        <w:t xml:space="preserve">uro amount or it can vary depending upon some benchmark. The investor in a debt instrument can realize no more than the contractual amount. For this reason, debt instruments are often called </w:t>
      </w:r>
      <w:r w:rsidRPr="007767A0">
        <w:rPr>
          <w:rFonts w:eastAsia="Calibri" w:cs="Calibri"/>
          <w:b/>
          <w:bCs/>
          <w:sz w:val="28"/>
          <w:szCs w:val="28"/>
          <w:u w:color="000000"/>
          <w:bdr w:val="nil"/>
          <w:lang w:val="en-US"/>
        </w:rPr>
        <w:t>fixed income instruments</w:t>
      </w:r>
      <w:r w:rsidRPr="007767A0">
        <w:rPr>
          <w:rFonts w:eastAsia="Calibri" w:cs="Calibri"/>
          <w:sz w:val="28"/>
          <w:szCs w:val="28"/>
          <w:u w:color="000000"/>
          <w:bdr w:val="nil"/>
          <w:lang w:val="en-US"/>
        </w:rPr>
        <w:t>.</w:t>
      </w:r>
    </w:p>
    <w:p w14:paraId="4FD4F27C" w14:textId="77777777" w:rsidR="00DC7FC5" w:rsidRPr="007767A0" w:rsidRDefault="00DC7FC5" w:rsidP="00303D5B">
      <w:pPr>
        <w:pBdr>
          <w:top w:val="nil"/>
          <w:left w:val="nil"/>
          <w:bottom w:val="nil"/>
          <w:right w:val="nil"/>
          <w:between w:val="nil"/>
          <w:bar w:val="nil"/>
        </w:pBdr>
        <w:spacing w:line="312" w:lineRule="auto"/>
        <w:jc w:val="both"/>
        <w:rPr>
          <w:rFonts w:eastAsia="Garamond"/>
          <w:b/>
          <w:bCs/>
          <w:sz w:val="28"/>
          <w:szCs w:val="28"/>
          <w:u w:color="000000"/>
          <w:bdr w:val="nil"/>
          <w:lang w:val="en-US"/>
        </w:rPr>
      </w:pPr>
      <w:r w:rsidRPr="007767A0">
        <w:rPr>
          <w:rFonts w:eastAsia="Calibri" w:cs="Calibri"/>
          <w:b/>
          <w:bCs/>
          <w:sz w:val="28"/>
          <w:szCs w:val="28"/>
          <w:u w:color="000000"/>
          <w:bdr w:val="nil"/>
          <w:lang w:val="en-US"/>
        </w:rPr>
        <w:t>Table 9.1</w:t>
      </w:r>
      <w:r w:rsidR="00305E02">
        <w:rPr>
          <w:rFonts w:eastAsia="Garamond"/>
          <w:b/>
          <w:bCs/>
          <w:sz w:val="28"/>
          <w:szCs w:val="28"/>
          <w:u w:color="000000"/>
          <w:bdr w:val="nil"/>
          <w:lang w:val="en-US"/>
        </w:rPr>
        <w:t xml:space="preserve"> </w:t>
      </w:r>
      <w:r w:rsidR="00305E02">
        <w:rPr>
          <w:rFonts w:cs="Garamond"/>
          <w:b/>
          <w:color w:val="auto"/>
          <w:sz w:val="28"/>
          <w:lang w:val="en-US" w:eastAsia="ru-RU" w:bidi="ru-RU"/>
        </w:rPr>
        <w:t xml:space="preserve">– </w:t>
      </w:r>
      <w:r w:rsidRPr="007767A0">
        <w:rPr>
          <w:rFonts w:eastAsia="Calibri" w:cs="Calibri"/>
          <w:b/>
          <w:bCs/>
          <w:sz w:val="28"/>
          <w:szCs w:val="28"/>
          <w:u w:color="000000"/>
          <w:bdr w:val="nil"/>
          <w:lang w:val="en-US"/>
        </w:rPr>
        <w:t>Types of financial instruments</w:t>
      </w:r>
    </w:p>
    <w:tbl>
      <w:tblPr>
        <w:tblW w:w="9617"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951"/>
        <w:gridCol w:w="2835"/>
        <w:gridCol w:w="2268"/>
        <w:gridCol w:w="2563"/>
      </w:tblGrid>
      <w:tr w:rsidR="00DC7FC5" w:rsidRPr="007767A0" w14:paraId="6FDF6ED7" w14:textId="77777777" w:rsidTr="00DC7FC5">
        <w:trPr>
          <w:trHeight w:val="280"/>
          <w:jc w:val="center"/>
        </w:trPr>
        <w:tc>
          <w:tcPr>
            <w:tcW w:w="19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37676AB8" w14:textId="77777777" w:rsidR="00DC7FC5" w:rsidRPr="007767A0" w:rsidRDefault="00DC7FC5" w:rsidP="00DC7FC5">
            <w:pPr>
              <w:pBdr>
                <w:top w:val="nil"/>
                <w:left w:val="nil"/>
                <w:bottom w:val="nil"/>
                <w:right w:val="nil"/>
                <w:between w:val="nil"/>
                <w:bar w:val="nil"/>
              </w:pBdr>
              <w:jc w:val="center"/>
              <w:rPr>
                <w:rFonts w:eastAsia="Calibri" w:cs="Calibri"/>
                <w:sz w:val="28"/>
                <w:szCs w:val="28"/>
                <w:u w:color="000000"/>
                <w:bdr w:val="nil"/>
                <w:lang w:val="en-US"/>
              </w:rPr>
            </w:pPr>
            <w:r w:rsidRPr="007767A0">
              <w:rPr>
                <w:rFonts w:eastAsia="Calibri" w:cs="Calibri"/>
                <w:b/>
                <w:bCs/>
                <w:sz w:val="28"/>
                <w:szCs w:val="28"/>
                <w:u w:color="000000"/>
                <w:bdr w:val="nil"/>
                <w:lang w:val="en-US"/>
              </w:rPr>
              <w:lastRenderedPageBreak/>
              <w:t>Category</w:t>
            </w:r>
          </w:p>
        </w:tc>
        <w:tc>
          <w:tcPr>
            <w:tcW w:w="283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1575EF5C" w14:textId="77777777" w:rsidR="00DC7FC5" w:rsidRPr="007767A0" w:rsidRDefault="00DC7FC5" w:rsidP="00DC7FC5">
            <w:pPr>
              <w:pBdr>
                <w:top w:val="nil"/>
                <w:left w:val="nil"/>
                <w:bottom w:val="nil"/>
                <w:right w:val="nil"/>
                <w:between w:val="nil"/>
                <w:bar w:val="nil"/>
              </w:pBdr>
              <w:jc w:val="center"/>
              <w:rPr>
                <w:rFonts w:eastAsia="Calibri" w:cs="Calibri"/>
                <w:sz w:val="28"/>
                <w:szCs w:val="28"/>
                <w:u w:color="000000"/>
                <w:bdr w:val="nil"/>
                <w:lang w:val="en-US"/>
              </w:rPr>
            </w:pPr>
            <w:r w:rsidRPr="007767A0">
              <w:rPr>
                <w:rFonts w:eastAsia="Calibri" w:cs="Calibri"/>
                <w:b/>
                <w:bCs/>
                <w:sz w:val="28"/>
                <w:szCs w:val="28"/>
                <w:u w:color="000000"/>
                <w:bdr w:val="nil"/>
                <w:lang w:val="en-US"/>
              </w:rPr>
              <w:t>Risk determinants</w:t>
            </w:r>
          </w:p>
        </w:tc>
        <w:tc>
          <w:tcPr>
            <w:tcW w:w="226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686C6014" w14:textId="77777777" w:rsidR="00DC7FC5" w:rsidRPr="007767A0" w:rsidRDefault="00DC7FC5" w:rsidP="00DC7FC5">
            <w:pPr>
              <w:pBdr>
                <w:top w:val="nil"/>
                <w:left w:val="nil"/>
                <w:bottom w:val="nil"/>
                <w:right w:val="nil"/>
                <w:between w:val="nil"/>
                <w:bar w:val="nil"/>
              </w:pBdr>
              <w:jc w:val="center"/>
              <w:rPr>
                <w:rFonts w:eastAsia="Calibri" w:cs="Calibri"/>
                <w:sz w:val="28"/>
                <w:szCs w:val="28"/>
                <w:u w:color="000000"/>
                <w:bdr w:val="nil"/>
                <w:lang w:val="en-US"/>
              </w:rPr>
            </w:pPr>
            <w:r w:rsidRPr="007767A0">
              <w:rPr>
                <w:rFonts w:eastAsia="Calibri" w:cs="Calibri"/>
                <w:b/>
                <w:bCs/>
                <w:sz w:val="28"/>
                <w:szCs w:val="28"/>
                <w:u w:color="000000"/>
                <w:bdr w:val="nil"/>
                <w:lang w:val="en-US"/>
              </w:rPr>
              <w:t>Expected returns</w:t>
            </w:r>
          </w:p>
        </w:tc>
        <w:tc>
          <w:tcPr>
            <w:tcW w:w="256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20AEE04B" w14:textId="77777777" w:rsidR="00DC7FC5" w:rsidRPr="007767A0" w:rsidRDefault="00DC7FC5" w:rsidP="00DC7FC5">
            <w:pPr>
              <w:pBdr>
                <w:top w:val="nil"/>
                <w:left w:val="nil"/>
                <w:bottom w:val="nil"/>
                <w:right w:val="nil"/>
                <w:between w:val="nil"/>
                <w:bar w:val="nil"/>
              </w:pBdr>
              <w:jc w:val="center"/>
              <w:rPr>
                <w:rFonts w:eastAsia="Calibri" w:cs="Calibri"/>
                <w:sz w:val="28"/>
                <w:szCs w:val="28"/>
                <w:u w:color="000000"/>
                <w:bdr w:val="nil"/>
                <w:lang w:val="en-US"/>
              </w:rPr>
            </w:pPr>
            <w:r w:rsidRPr="007767A0">
              <w:rPr>
                <w:rFonts w:eastAsia="Calibri" w:cs="Calibri"/>
                <w:b/>
                <w:bCs/>
                <w:sz w:val="28"/>
                <w:szCs w:val="28"/>
                <w:u w:color="000000"/>
                <w:bdr w:val="nil"/>
                <w:lang w:val="en-US"/>
              </w:rPr>
              <w:t>Main participants</w:t>
            </w:r>
          </w:p>
        </w:tc>
      </w:tr>
      <w:tr w:rsidR="00DC7FC5" w:rsidRPr="007767A0" w14:paraId="75B49CA9" w14:textId="77777777" w:rsidTr="00DC7FC5">
        <w:trPr>
          <w:trHeight w:val="800"/>
          <w:jc w:val="center"/>
        </w:trPr>
        <w:tc>
          <w:tcPr>
            <w:tcW w:w="1951"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9AC26E3"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fr-BE"/>
              </w:rPr>
            </w:pPr>
            <w:r w:rsidRPr="007767A0">
              <w:rPr>
                <w:rFonts w:eastAsia="Calibri" w:cs="Calibri"/>
                <w:sz w:val="28"/>
                <w:szCs w:val="28"/>
                <w:u w:color="000000"/>
                <w:bdr w:val="nil"/>
                <w:lang w:val="fr-FR"/>
              </w:rPr>
              <w:t>Non-tradables and non-transferables</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0C5CCB2E"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In wholesale money markets: transaction volumes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5EEB48B9"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In wholesale money markets: low</w:t>
            </w: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0351D713"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In wholesale money markets: banks</w:t>
            </w:r>
          </w:p>
        </w:tc>
      </w:tr>
      <w:tr w:rsidR="00DC7FC5" w:rsidRPr="007767A0" w14:paraId="68D8F482" w14:textId="77777777" w:rsidTr="00DC7FC5">
        <w:trPr>
          <w:trHeight w:val="1060"/>
          <w:jc w:val="center"/>
        </w:trPr>
        <w:tc>
          <w:tcPr>
            <w:tcW w:w="1951" w:type="dxa"/>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2CEAF868" w14:textId="77777777" w:rsidR="00DC7FC5" w:rsidRPr="007767A0" w:rsidRDefault="00DC7FC5" w:rsidP="00DC7FC5">
            <w:pPr>
              <w:pBdr>
                <w:top w:val="nil"/>
                <w:left w:val="nil"/>
                <w:bottom w:val="nil"/>
                <w:right w:val="nil"/>
                <w:between w:val="nil"/>
                <w:bar w:val="nil"/>
              </w:pBdr>
              <w:rPr>
                <w:rFonts w:eastAsia="Arial Unicode MS"/>
                <w:sz w:val="28"/>
                <w:szCs w:val="28"/>
                <w:bdr w:val="nil"/>
                <w:lang w:val="en-US" w:eastAsia="en-U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4D4885AC"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In retail markets: low transparency, lack of standardization, low creditworthiness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723CF3CB"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In credit markets: low</w:t>
            </w: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2761AA8F"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In retail markets: banks, non-bank firms and households</w:t>
            </w:r>
          </w:p>
        </w:tc>
      </w:tr>
      <w:tr w:rsidR="00DC7FC5" w:rsidRPr="007767A0" w14:paraId="71542395" w14:textId="77777777" w:rsidTr="00DC7FC5">
        <w:trPr>
          <w:trHeight w:val="800"/>
          <w:jc w:val="center"/>
        </w:trPr>
        <w:tc>
          <w:tcPr>
            <w:tcW w:w="1951" w:type="dxa"/>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662900C8" w14:textId="77777777" w:rsidR="00DC7FC5" w:rsidRPr="007767A0" w:rsidRDefault="00DC7FC5" w:rsidP="00DC7FC5">
            <w:pPr>
              <w:pBdr>
                <w:top w:val="nil"/>
                <w:left w:val="nil"/>
                <w:bottom w:val="nil"/>
                <w:right w:val="nil"/>
                <w:between w:val="nil"/>
                <w:bar w:val="nil"/>
              </w:pBdr>
              <w:rPr>
                <w:rFonts w:eastAsia="Arial Unicode MS"/>
                <w:sz w:val="28"/>
                <w:szCs w:val="28"/>
                <w:bdr w:val="nil"/>
                <w:lang w:val="en-US" w:eastAsia="en-U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4E0FE587"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In foreign exchange markets: high volatility, change of currency</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52E542F5"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In foreign exchange markets: high</w:t>
            </w: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4046A5D1"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In foreign exchange markets: financial institutions, companies</w:t>
            </w:r>
          </w:p>
        </w:tc>
      </w:tr>
      <w:tr w:rsidR="00DC7FC5" w:rsidRPr="007767A0" w14:paraId="1E389F26" w14:textId="77777777" w:rsidTr="00DC7FC5">
        <w:trPr>
          <w:trHeight w:val="540"/>
          <w:jc w:val="center"/>
        </w:trPr>
        <w:tc>
          <w:tcPr>
            <w:tcW w:w="1951"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3E5F11B"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Securities</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675F7AE3"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Market volatility, individual risks, and failures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54FA4DC0"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Comparably high</w:t>
            </w: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21859F2F"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Banks and non-bank firms, individuals</w:t>
            </w:r>
          </w:p>
        </w:tc>
      </w:tr>
      <w:tr w:rsidR="00DC7FC5" w:rsidRPr="007767A0" w14:paraId="676EAC95" w14:textId="77777777" w:rsidTr="00DC7FC5">
        <w:trPr>
          <w:trHeight w:val="540"/>
          <w:jc w:val="center"/>
        </w:trPr>
        <w:tc>
          <w:tcPr>
            <w:tcW w:w="1951"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7D3E3CCF"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Derivatives</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57AFC064"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Market volatility, leverage</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0C74AB73"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Very high</w:t>
            </w: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tcPr>
          <w:p w14:paraId="72E21C90" w14:textId="77777777" w:rsidR="00DC7FC5" w:rsidRPr="007767A0" w:rsidRDefault="00DC7FC5" w:rsidP="00DC7FC5">
            <w:pPr>
              <w:pBdr>
                <w:top w:val="nil"/>
                <w:left w:val="nil"/>
                <w:bottom w:val="nil"/>
                <w:right w:val="nil"/>
                <w:between w:val="nil"/>
                <w:bar w:val="nil"/>
              </w:pBdr>
              <w:rPr>
                <w:rFonts w:eastAsia="Calibri" w:cs="Calibri"/>
                <w:sz w:val="28"/>
                <w:szCs w:val="28"/>
                <w:u w:color="000000"/>
                <w:bdr w:val="nil"/>
                <w:lang w:val="en-US"/>
              </w:rPr>
            </w:pPr>
            <w:r w:rsidRPr="007767A0">
              <w:rPr>
                <w:rFonts w:eastAsia="Calibri" w:cs="Calibri"/>
                <w:sz w:val="28"/>
                <w:szCs w:val="28"/>
                <w:u w:color="000000"/>
                <w:bdr w:val="nil"/>
                <w:lang w:val="en-US"/>
              </w:rPr>
              <w:t>Banks and non-bank firms, individuals</w:t>
            </w:r>
          </w:p>
        </w:tc>
      </w:tr>
      <w:tr w:rsidR="00305E02" w:rsidRPr="007767A0" w14:paraId="71400177" w14:textId="77777777" w:rsidTr="005F27C2">
        <w:trPr>
          <w:trHeight w:val="540"/>
          <w:jc w:val="center"/>
        </w:trPr>
        <w:tc>
          <w:tcPr>
            <w:tcW w:w="9617"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BDFBC1A" w14:textId="77777777" w:rsidR="00305E02" w:rsidRPr="007767A0" w:rsidRDefault="00305E02" w:rsidP="00305E02">
            <w:pPr>
              <w:pBdr>
                <w:top w:val="nil"/>
                <w:left w:val="nil"/>
                <w:bottom w:val="nil"/>
                <w:right w:val="nil"/>
                <w:between w:val="nil"/>
                <w:bar w:val="nil"/>
              </w:pBdr>
              <w:spacing w:line="312" w:lineRule="auto"/>
              <w:ind w:firstLine="357"/>
              <w:rPr>
                <w:rFonts w:eastAsia="Calibri" w:cs="Calibri"/>
                <w:sz w:val="28"/>
                <w:szCs w:val="28"/>
                <w:u w:color="000000"/>
                <w:bdr w:val="nil"/>
                <w:lang w:val="en-US"/>
              </w:rPr>
            </w:pPr>
            <w:r w:rsidRPr="007767A0">
              <w:rPr>
                <w:rFonts w:eastAsia="Calibri" w:cs="Calibri"/>
                <w:sz w:val="28"/>
                <w:szCs w:val="28"/>
                <w:u w:color="000000"/>
                <w:bdr w:val="nil"/>
                <w:lang w:val="en-US"/>
              </w:rPr>
              <w:t>Source: Reszat B. (2008). European Financial Systems in the Global Economy</w:t>
            </w:r>
          </w:p>
        </w:tc>
      </w:tr>
    </w:tbl>
    <w:p w14:paraId="3F853222" w14:textId="77777777" w:rsidR="00DC7FC5" w:rsidRPr="00305E02" w:rsidRDefault="00DC7FC5" w:rsidP="003C51B1">
      <w:pPr>
        <w:pBdr>
          <w:top w:val="nil"/>
          <w:left w:val="nil"/>
          <w:bottom w:val="nil"/>
          <w:right w:val="nil"/>
          <w:between w:val="nil"/>
          <w:bar w:val="nil"/>
        </w:pBdr>
        <w:spacing w:line="312" w:lineRule="auto"/>
        <w:ind w:firstLine="357"/>
        <w:jc w:val="both"/>
        <w:rPr>
          <w:rFonts w:eastAsia="Calibri" w:cs="Calibri"/>
          <w:sz w:val="28"/>
          <w:szCs w:val="28"/>
          <w:u w:color="000000"/>
          <w:bdr w:val="nil"/>
        </w:rPr>
      </w:pPr>
    </w:p>
    <w:p w14:paraId="73E11E96"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In contrast to a debt obligation, an </w:t>
      </w:r>
      <w:r w:rsidRPr="007767A0">
        <w:rPr>
          <w:rFonts w:eastAsia="Calibri" w:cs="Calibri"/>
          <w:b/>
          <w:bCs/>
          <w:sz w:val="28"/>
          <w:szCs w:val="28"/>
          <w:u w:color="000000"/>
          <w:bdr w:val="nil"/>
          <w:lang w:val="en-US"/>
        </w:rPr>
        <w:t>equity instrument</w:t>
      </w:r>
      <w:r w:rsidRPr="007767A0">
        <w:rPr>
          <w:rFonts w:eastAsia="Calibri" w:cs="Calibri"/>
          <w:sz w:val="28"/>
          <w:szCs w:val="28"/>
          <w:u w:color="000000"/>
          <w:bdr w:val="nil"/>
          <w:lang w:val="en-US"/>
        </w:rPr>
        <w:t xml:space="preserve"> specifies that the issuer pays the investor an amount based on earnings, if any, after the obligations that the issuer is required to make to investors of the firm’s debt instruments have been paid.</w:t>
      </w:r>
    </w:p>
    <w:p w14:paraId="1E5F5156"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b/>
          <w:bCs/>
          <w:sz w:val="28"/>
          <w:szCs w:val="28"/>
          <w:u w:color="000000"/>
          <w:bdr w:val="nil"/>
          <w:lang w:val="en-US"/>
        </w:rPr>
        <w:t>Common stock</w:t>
      </w:r>
      <w:r w:rsidRPr="007767A0">
        <w:rPr>
          <w:rFonts w:eastAsia="Calibri" w:cs="Calibri"/>
          <w:sz w:val="28"/>
          <w:szCs w:val="28"/>
          <w:u w:color="000000"/>
          <w:bdr w:val="nil"/>
          <w:lang w:val="en-US"/>
        </w:rPr>
        <w:t xml:space="preserve"> is an example of equity instruments. Some financial instruments due to their characteristics can be viewed as a mix of debt and equity. </w:t>
      </w:r>
      <w:r w:rsidRPr="007767A0">
        <w:rPr>
          <w:rFonts w:eastAsia="Calibri" w:cs="Calibri"/>
          <w:b/>
          <w:bCs/>
          <w:sz w:val="28"/>
          <w:szCs w:val="28"/>
          <w:u w:color="000000"/>
          <w:bdr w:val="nil"/>
          <w:lang w:val="en-US"/>
        </w:rPr>
        <w:t>Preferred stock</w:t>
      </w:r>
      <w:r w:rsidRPr="007767A0">
        <w:rPr>
          <w:rFonts w:eastAsia="Calibri" w:cs="Calibri"/>
          <w:sz w:val="28"/>
          <w:szCs w:val="28"/>
          <w:u w:color="000000"/>
          <w:bdr w:val="nil"/>
          <w:lang w:val="en-US"/>
        </w:rPr>
        <w:t xml:space="preserve"> is a financial instrument, which has the attribute of a debt because typically the investor is only entitled to receive a fixed contractual amount. However, it is similar to an equity instrument because the payment is only made after payments to the investors in the firm’s debt instruments are satisfied. Another “combination” instrument is a </w:t>
      </w:r>
      <w:r w:rsidRPr="007767A0">
        <w:rPr>
          <w:rFonts w:eastAsia="Calibri" w:cs="Calibri"/>
          <w:b/>
          <w:bCs/>
          <w:sz w:val="28"/>
          <w:szCs w:val="28"/>
          <w:u w:color="000000"/>
          <w:bdr w:val="nil"/>
          <w:lang w:val="en-US"/>
        </w:rPr>
        <w:t>convertible bond</w:t>
      </w:r>
      <w:r w:rsidRPr="007767A0">
        <w:rPr>
          <w:rFonts w:eastAsia="Calibri" w:cs="Calibri"/>
          <w:sz w:val="28"/>
          <w:szCs w:val="28"/>
          <w:u w:color="000000"/>
          <w:bdr w:val="nil"/>
          <w:lang w:val="en-US"/>
        </w:rPr>
        <w:t xml:space="preserve">, which allows the investor to convert debt into equity under certain circumstances. Because preferred stockholders typically are entitled to a fixed contractual amount, preferred stock is referred to as a </w:t>
      </w:r>
      <w:r w:rsidRPr="007767A0">
        <w:rPr>
          <w:rFonts w:eastAsia="Calibri" w:cs="Calibri"/>
          <w:b/>
          <w:bCs/>
          <w:sz w:val="28"/>
          <w:szCs w:val="28"/>
          <w:u w:color="000000"/>
          <w:bdr w:val="nil"/>
          <w:lang w:val="en-US"/>
        </w:rPr>
        <w:t>fixed income instrument</w:t>
      </w:r>
      <w:r w:rsidRPr="007767A0">
        <w:rPr>
          <w:rFonts w:eastAsia="Calibri" w:cs="Calibri"/>
          <w:sz w:val="28"/>
          <w:szCs w:val="28"/>
          <w:u w:color="000000"/>
          <w:bdr w:val="nil"/>
          <w:lang w:val="en-US"/>
        </w:rPr>
        <w:t>. Hence, fixed income instruments include debt instruments and preferred stock.</w:t>
      </w:r>
    </w:p>
    <w:p w14:paraId="49C018D9"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The classification of debt and equity is especially important for two legal reasons. First, in the case of a bankruptcy of the issuer, an investor in debt instruments </w:t>
      </w:r>
      <w:r w:rsidRPr="007767A0">
        <w:rPr>
          <w:rFonts w:eastAsia="Calibri" w:cs="Calibri"/>
          <w:sz w:val="28"/>
          <w:szCs w:val="28"/>
          <w:u w:color="000000"/>
          <w:bdr w:val="nil"/>
          <w:lang w:val="en-US"/>
        </w:rPr>
        <w:lastRenderedPageBreak/>
        <w:t>has a priority on the claim on the issuer’s assets over equity investors. Second, the tax treatment of the payments by the issuer can differ depending on the type of financial instrument class.</w:t>
      </w:r>
    </w:p>
    <w:p w14:paraId="6986170B"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The list of important financial ratios for assessment financial instruments, their volatility and profitability (financial market analysis) </w:t>
      </w:r>
      <w:r w:rsidR="00745BA0">
        <w:rPr>
          <w:rFonts w:eastAsia="Calibri" w:cs="Calibri"/>
          <w:sz w:val="28"/>
          <w:szCs w:val="28"/>
          <w:u w:color="000000"/>
          <w:bdr w:val="nil"/>
          <w:lang w:val="en-US"/>
        </w:rPr>
        <w:t xml:space="preserve">is </w:t>
      </w:r>
      <w:r w:rsidRPr="007767A0">
        <w:rPr>
          <w:rFonts w:eastAsia="Calibri" w:cs="Calibri"/>
          <w:sz w:val="28"/>
          <w:szCs w:val="28"/>
          <w:u w:color="000000"/>
          <w:bdr w:val="nil"/>
          <w:lang w:val="en-US"/>
        </w:rPr>
        <w:t xml:space="preserve">presented in Appendix </w:t>
      </w:r>
      <w:r w:rsidR="00463F85">
        <w:rPr>
          <w:rFonts w:eastAsia="Calibri" w:cs="Calibri"/>
          <w:sz w:val="28"/>
          <w:szCs w:val="28"/>
          <w:u w:color="000000"/>
          <w:bdr w:val="nil"/>
          <w:lang w:val="en-US"/>
        </w:rPr>
        <w:t>C</w:t>
      </w:r>
      <w:r w:rsidRPr="007767A0">
        <w:rPr>
          <w:rFonts w:eastAsia="Calibri" w:cs="Calibri"/>
          <w:sz w:val="28"/>
          <w:szCs w:val="28"/>
          <w:u w:color="000000"/>
          <w:bdr w:val="nil"/>
          <w:lang w:val="en-US"/>
        </w:rPr>
        <w:t>.</w:t>
      </w:r>
    </w:p>
    <w:p w14:paraId="582EF582"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 xml:space="preserve">There are various kinds of </w:t>
      </w:r>
      <w:r w:rsidRPr="007767A0">
        <w:rPr>
          <w:rFonts w:eastAsia="Calibri" w:cs="Calibri"/>
          <w:b/>
          <w:bCs/>
          <w:sz w:val="28"/>
          <w:szCs w:val="28"/>
          <w:u w:color="000000"/>
          <w:bdr w:val="nil"/>
          <w:lang w:val="en-US"/>
        </w:rPr>
        <w:t>participants in financial markets</w:t>
      </w:r>
      <w:r w:rsidRPr="007767A0">
        <w:rPr>
          <w:rFonts w:eastAsia="Calibri" w:cs="Calibri"/>
          <w:sz w:val="28"/>
          <w:szCs w:val="28"/>
          <w:u w:color="000000"/>
          <w:bdr w:val="nil"/>
          <w:lang w:val="en-US"/>
        </w:rPr>
        <w:t xml:space="preserve"> who assume different kinds of roles. They may be borrowers, lenders, financial intermediaries, infrastructure providers or regulators (see </w:t>
      </w:r>
      <w:r w:rsidR="00613E76">
        <w:rPr>
          <w:rFonts w:eastAsia="Calibri" w:cs="Calibri"/>
          <w:sz w:val="28"/>
          <w:szCs w:val="28"/>
          <w:u w:color="000000"/>
          <w:bdr w:val="nil"/>
          <w:lang w:val="en-US"/>
        </w:rPr>
        <w:t>Figure</w:t>
      </w:r>
      <w:r w:rsidRPr="007767A0">
        <w:rPr>
          <w:rFonts w:eastAsia="Calibri" w:cs="Calibri"/>
          <w:sz w:val="28"/>
          <w:szCs w:val="28"/>
          <w:u w:color="000000"/>
          <w:bdr w:val="nil"/>
          <w:lang w:val="en-US"/>
        </w:rPr>
        <w:t xml:space="preserve"> 9.3). </w:t>
      </w:r>
    </w:p>
    <w:p w14:paraId="1C8D6760" w14:textId="77777777" w:rsidR="003C51B1" w:rsidRPr="007767A0" w:rsidRDefault="00DC7FC5" w:rsidP="003C51B1">
      <w:pPr>
        <w:pBdr>
          <w:top w:val="nil"/>
          <w:left w:val="nil"/>
          <w:bottom w:val="nil"/>
          <w:right w:val="nil"/>
          <w:between w:val="nil"/>
          <w:bar w:val="nil"/>
        </w:pBdr>
        <w:spacing w:line="312" w:lineRule="auto"/>
        <w:jc w:val="both"/>
        <w:rPr>
          <w:rFonts w:eastAsia="Garamond"/>
          <w:sz w:val="28"/>
          <w:szCs w:val="28"/>
          <w:u w:color="000000"/>
          <w:bdr w:val="nil"/>
          <w:lang w:val="en-US"/>
        </w:rPr>
      </w:pPr>
      <w:r w:rsidRPr="00DC7FC5">
        <w:rPr>
          <w:rFonts w:cs="Garamond"/>
          <w:noProof/>
          <w:color w:val="auto"/>
          <w:lang w:val="ru-RU" w:eastAsia="ru-RU"/>
        </w:rPr>
        <mc:AlternateContent>
          <mc:Choice Requires="wpc">
            <w:drawing>
              <wp:inline distT="0" distB="0" distL="0" distR="0" wp14:anchorId="28F56F8B" wp14:editId="6AC4F92A">
                <wp:extent cx="6088282" cy="2060293"/>
                <wp:effectExtent l="0" t="0" r="8255" b="0"/>
                <wp:docPr id="1073741956" name="Полотно 107374195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73741913" name="Прямоугольник 1073741913"/>
                        <wps:cNvSpPr/>
                        <wps:spPr>
                          <a:xfrm>
                            <a:off x="28574" y="1"/>
                            <a:ext cx="5990591" cy="323850"/>
                          </a:xfrm>
                          <a:prstGeom prst="rect">
                            <a:avLst/>
                          </a:prstGeom>
                          <a:solidFill>
                            <a:sysClr val="window" lastClr="FFFFFF">
                              <a:lumMod val="85000"/>
                            </a:sysClr>
                          </a:solidFill>
                          <a:ln w="9525" cap="flat" cmpd="sng" algn="ctr">
                            <a:solidFill>
                              <a:sysClr val="window" lastClr="FFFFFF"/>
                            </a:solidFill>
                            <a:prstDash val="solid"/>
                          </a:ln>
                          <a:effectLst/>
                        </wps:spPr>
                        <wps:txbx>
                          <w:txbxContent>
                            <w:p w14:paraId="4FAAF1E2" w14:textId="77777777" w:rsidR="00B56753" w:rsidRPr="00DC7FC5" w:rsidRDefault="00B56753" w:rsidP="00DC7FC5">
                              <w:pPr>
                                <w:spacing w:line="240" w:lineRule="atLeast"/>
                                <w:jc w:val="center"/>
                                <w:rPr>
                                  <w:lang w:val="en-US"/>
                                </w:rPr>
                              </w:pPr>
                              <w:r w:rsidRPr="00DC7FC5">
                                <w:rPr>
                                  <w:lang w:val="en-US"/>
                                </w:rPr>
                                <w:t>Key players in financial markets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3741914" name="Скругленный прямоугольник 1073741914"/>
                        <wps:cNvSpPr/>
                        <wps:spPr>
                          <a:xfrm>
                            <a:off x="28574" y="676275"/>
                            <a:ext cx="1095376" cy="1245121"/>
                          </a:xfrm>
                          <a:prstGeom prst="roundRect">
                            <a:avLst/>
                          </a:prstGeom>
                          <a:noFill/>
                          <a:ln w="9525" cap="flat" cmpd="sng" algn="ctr">
                            <a:solidFill>
                              <a:sysClr val="windowText" lastClr="000000"/>
                            </a:solidFill>
                            <a:prstDash val="solid"/>
                          </a:ln>
                          <a:effectLst/>
                        </wps:spPr>
                        <wps:txbx>
                          <w:txbxContent>
                            <w:p w14:paraId="7A71E37A" w14:textId="77777777" w:rsidR="00B56753" w:rsidRPr="00DC7FC5"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business entities;</w:t>
                              </w:r>
                            </w:p>
                            <w:p w14:paraId="7E30C750" w14:textId="77777777" w:rsidR="00B56753" w:rsidRPr="00DC7FC5"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governments;</w:t>
                              </w:r>
                            </w:p>
                            <w:p w14:paraId="305B3BFA" w14:textId="77777777" w:rsidR="00B56753" w:rsidRPr="00DC7FC5"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Pr>
                                  <w:rFonts w:ascii="Garamond" w:hAnsi="Garamond"/>
                                  <w:color w:val="000000" w:themeColor="text1"/>
                                  <w:sz w:val="24"/>
                                  <w:lang w:val="en-US"/>
                                </w:rPr>
                                <w:t>households</w:t>
                              </w:r>
                            </w:p>
                            <w:p w14:paraId="3718BFA9" w14:textId="77777777" w:rsidR="00B56753" w:rsidRPr="00DC7FC5" w:rsidRDefault="00B56753" w:rsidP="00DC7FC5">
                              <w:pPr>
                                <w:spacing w:line="240" w:lineRule="atLeast"/>
                                <w:rPr>
                                  <w:color w:val="000000" w:themeColor="text1"/>
                                  <w:lang w:val="en-US"/>
                                </w:rPr>
                              </w:pP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wps:wsp>
                        <wps:cNvPr id="1073741915" name="Прямоугольник 1073741915"/>
                        <wps:cNvSpPr/>
                        <wps:spPr>
                          <a:xfrm>
                            <a:off x="285748" y="1618612"/>
                            <a:ext cx="838202" cy="400051"/>
                          </a:xfrm>
                          <a:prstGeom prst="rect">
                            <a:avLst/>
                          </a:prstGeom>
                          <a:solidFill>
                            <a:sysClr val="window" lastClr="FFFFFF">
                              <a:lumMod val="85000"/>
                            </a:sysClr>
                          </a:solidFill>
                          <a:ln w="9525" cap="flat" cmpd="sng" algn="ctr">
                            <a:solidFill>
                              <a:sysClr val="windowText" lastClr="000000"/>
                            </a:solidFill>
                            <a:prstDash val="solid"/>
                          </a:ln>
                          <a:effectLst/>
                        </wps:spPr>
                        <wps:txbx>
                          <w:txbxContent>
                            <w:p w14:paraId="29D9CD91" w14:textId="77777777" w:rsidR="00B56753" w:rsidRPr="00DC7FC5" w:rsidRDefault="00B56753" w:rsidP="00DC7FC5">
                              <w:pPr>
                                <w:spacing w:line="240" w:lineRule="atLeast"/>
                                <w:jc w:val="center"/>
                                <w:rPr>
                                  <w:color w:val="000000" w:themeColor="text1"/>
                                  <w:lang w:val="en-US"/>
                                </w:rPr>
                              </w:pPr>
                              <w:r w:rsidRPr="00DC7FC5">
                                <w:rPr>
                                  <w:color w:val="000000" w:themeColor="text1"/>
                                  <w:lang w:val="en-US"/>
                                </w:rPr>
                                <w:t>Borrowers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73741916" name="Скругленный прямоугольник 1073741916"/>
                        <wps:cNvSpPr/>
                        <wps:spPr>
                          <a:xfrm>
                            <a:off x="1190626" y="666749"/>
                            <a:ext cx="1118052" cy="1254648"/>
                          </a:xfrm>
                          <a:prstGeom prst="roundRect">
                            <a:avLst/>
                          </a:prstGeom>
                          <a:noFill/>
                          <a:ln w="9525" cap="flat" cmpd="sng" algn="ctr">
                            <a:solidFill>
                              <a:sysClr val="windowText" lastClr="000000"/>
                            </a:solidFill>
                            <a:prstDash val="solid"/>
                          </a:ln>
                          <a:effectLst/>
                        </wps:spPr>
                        <wps:txbx>
                          <w:txbxContent>
                            <w:p w14:paraId="3245C6AC" w14:textId="77777777" w:rsidR="00B56753" w:rsidRPr="00DC7FC5" w:rsidRDefault="00B56753" w:rsidP="00DC7FC5">
                              <w:pPr>
                                <w:pStyle w:val="NormalWeb"/>
                                <w:spacing w:before="0" w:beforeAutospacing="0" w:after="0" w:afterAutospacing="0" w:line="240" w:lineRule="atLeast"/>
                                <w:ind w:left="144" w:hanging="144"/>
                                <w:rPr>
                                  <w:rFonts w:ascii="Garamond" w:eastAsia="Calibri" w:hAnsi="Garamond"/>
                                  <w:lang w:val="en-US"/>
                                </w:rPr>
                              </w:pPr>
                            </w:p>
                            <w:p w14:paraId="39E38076" w14:textId="77777777" w:rsidR="00B56753" w:rsidRPr="00745BA0"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sidRPr="00745BA0">
                                <w:rPr>
                                  <w:rFonts w:ascii="Garamond" w:hAnsi="Garamond"/>
                                  <w:color w:val="000000" w:themeColor="text1"/>
                                  <w:sz w:val="24"/>
                                  <w:lang w:val="en-US"/>
                                </w:rPr>
                                <w:t>governments;</w:t>
                              </w:r>
                            </w:p>
                            <w:p w14:paraId="67C40FBF" w14:textId="77777777" w:rsidR="00B56753" w:rsidRPr="00745BA0"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sidRPr="00745BA0">
                                <w:rPr>
                                  <w:rFonts w:ascii="Garamond" w:hAnsi="Garamond"/>
                                  <w:color w:val="000000" w:themeColor="text1"/>
                                  <w:sz w:val="24"/>
                                  <w:lang w:val="en-US"/>
                                </w:rPr>
                                <w:t>institutional investors;</w:t>
                              </w:r>
                            </w:p>
                            <w:p w14:paraId="679D0D44" w14:textId="77777777" w:rsidR="00B56753" w:rsidRPr="00745BA0"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Pr>
                                  <w:rFonts w:ascii="Garamond" w:hAnsi="Garamond"/>
                                  <w:color w:val="000000" w:themeColor="text1"/>
                                  <w:sz w:val="24"/>
                                  <w:lang w:val="en-US"/>
                                </w:rPr>
                                <w:t>retail investors</w:t>
                              </w:r>
                            </w:p>
                            <w:p w14:paraId="0F12E5B6" w14:textId="77777777" w:rsidR="00B56753" w:rsidRPr="00DC7FC5" w:rsidRDefault="00B56753" w:rsidP="00DC7FC5">
                              <w:pPr>
                                <w:pStyle w:val="NormalWeb"/>
                                <w:spacing w:before="0" w:beforeAutospacing="0" w:after="0" w:afterAutospacing="0" w:line="240" w:lineRule="atLeast"/>
                                <w:ind w:firstLine="706"/>
                              </w:pPr>
                              <w:r w:rsidRPr="00DC7FC5">
                                <w:rPr>
                                  <w:rFonts w:ascii="Garamond" w:eastAsia="Calibri" w:hAnsi="Garamond"/>
                                  <w:lang w:val="en-US"/>
                                </w:rPr>
                                <w:t> </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1073741917" name="Прямоугольник 1073741917"/>
                        <wps:cNvSpPr/>
                        <wps:spPr>
                          <a:xfrm>
                            <a:off x="1375228" y="419102"/>
                            <a:ext cx="933450" cy="390526"/>
                          </a:xfrm>
                          <a:prstGeom prst="rect">
                            <a:avLst/>
                          </a:prstGeom>
                          <a:solidFill>
                            <a:sysClr val="window" lastClr="FFFFFF">
                              <a:lumMod val="85000"/>
                            </a:sysClr>
                          </a:solidFill>
                          <a:ln w="9525" cap="flat" cmpd="sng" algn="ctr">
                            <a:solidFill>
                              <a:sysClr val="windowText" lastClr="000000"/>
                            </a:solidFill>
                            <a:prstDash val="solid"/>
                          </a:ln>
                          <a:effectLst/>
                        </wps:spPr>
                        <wps:txbx>
                          <w:txbxContent>
                            <w:p w14:paraId="0F0F5228" w14:textId="77777777" w:rsidR="00B56753" w:rsidRPr="00DC7FC5" w:rsidRDefault="00B56753" w:rsidP="00DC7FC5">
                              <w:pPr>
                                <w:pStyle w:val="NormalWeb"/>
                                <w:spacing w:before="0" w:beforeAutospacing="0" w:after="0" w:afterAutospacing="0" w:line="240" w:lineRule="atLeast"/>
                                <w:jc w:val="center"/>
                              </w:pPr>
                              <w:r w:rsidRPr="00DC7FC5">
                                <w:rPr>
                                  <w:rFonts w:ascii="Garamond" w:eastAsia="Calibri" w:hAnsi="Garamond"/>
                                  <w:lang w:val="en-US"/>
                                </w:rPr>
                                <w:t>Lenders</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1073741918" name="Скругленный прямоугольник 1073741918"/>
                        <wps:cNvSpPr/>
                        <wps:spPr>
                          <a:xfrm>
                            <a:off x="2366553" y="666748"/>
                            <a:ext cx="1179830" cy="1254649"/>
                          </a:xfrm>
                          <a:prstGeom prst="roundRect">
                            <a:avLst/>
                          </a:prstGeom>
                          <a:noFill/>
                          <a:ln w="9525" cap="flat" cmpd="sng" algn="ctr">
                            <a:solidFill>
                              <a:sysClr val="windowText" lastClr="000000"/>
                            </a:solidFill>
                            <a:prstDash val="solid"/>
                          </a:ln>
                          <a:effectLst/>
                        </wps:spPr>
                        <wps:txbx>
                          <w:txbxContent>
                            <w:p w14:paraId="08B28072" w14:textId="77777777" w:rsidR="00B56753" w:rsidRPr="00DC7FC5"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banks;</w:t>
                              </w:r>
                            </w:p>
                            <w:p w14:paraId="42F63E06" w14:textId="77777777" w:rsidR="00B56753" w:rsidRPr="00DC7FC5"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non-bank financial intermediaries</w:t>
                              </w:r>
                            </w:p>
                            <w:p w14:paraId="7BB65740" w14:textId="77777777" w:rsidR="00B56753" w:rsidRPr="00DC7FC5" w:rsidRDefault="00B56753" w:rsidP="00DC7FC5">
                              <w:pPr>
                                <w:pStyle w:val="ListParagraph"/>
                                <w:spacing w:after="0" w:line="240" w:lineRule="atLeast"/>
                                <w:ind w:left="142"/>
                                <w:rPr>
                                  <w:rFonts w:ascii="Garamond" w:hAnsi="Garamond"/>
                                  <w:color w:val="000000" w:themeColor="text1"/>
                                  <w:sz w:val="24"/>
                                  <w:lang w:val="en-US"/>
                                </w:rPr>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1073741919" name="Прямоугольник 1073741919"/>
                        <wps:cNvSpPr/>
                        <wps:spPr>
                          <a:xfrm>
                            <a:off x="2612933" y="1618613"/>
                            <a:ext cx="933450" cy="400050"/>
                          </a:xfrm>
                          <a:prstGeom prst="rect">
                            <a:avLst/>
                          </a:prstGeom>
                          <a:solidFill>
                            <a:sysClr val="window" lastClr="FFFFFF">
                              <a:lumMod val="85000"/>
                            </a:sysClr>
                          </a:solidFill>
                          <a:ln w="9525" cap="flat" cmpd="sng" algn="ctr">
                            <a:solidFill>
                              <a:sysClr val="windowText" lastClr="000000"/>
                            </a:solidFill>
                            <a:prstDash val="solid"/>
                          </a:ln>
                          <a:effectLst/>
                        </wps:spPr>
                        <wps:txbx>
                          <w:txbxContent>
                            <w:p w14:paraId="73A15AA6" w14:textId="77777777" w:rsidR="00B56753" w:rsidRPr="00DC7FC5" w:rsidRDefault="00B56753" w:rsidP="00DC7FC5">
                              <w:pPr>
                                <w:pStyle w:val="NormalWeb"/>
                                <w:spacing w:before="0" w:beforeAutospacing="0" w:after="0" w:afterAutospacing="0" w:line="240" w:lineRule="atLeast"/>
                              </w:pPr>
                              <w:r w:rsidRPr="00DC7FC5">
                                <w:rPr>
                                  <w:rFonts w:ascii="Garamond" w:eastAsia="Calibri" w:hAnsi="Garamond"/>
                                  <w:lang w:val="en-US"/>
                                </w:rPr>
                                <w:t>Financial intermediaries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1073741952" name="Скругленный прямоугольник 1073741952"/>
                        <wps:cNvSpPr/>
                        <wps:spPr>
                          <a:xfrm>
                            <a:off x="3598840" y="666519"/>
                            <a:ext cx="1229701" cy="1351798"/>
                          </a:xfrm>
                          <a:prstGeom prst="roundRect">
                            <a:avLst/>
                          </a:prstGeom>
                          <a:noFill/>
                          <a:ln w="9525" cap="flat" cmpd="sng" algn="ctr">
                            <a:solidFill>
                              <a:sysClr val="windowText" lastClr="000000"/>
                            </a:solidFill>
                            <a:prstDash val="solid"/>
                          </a:ln>
                          <a:effectLst/>
                        </wps:spPr>
                        <wps:txbx>
                          <w:txbxContent>
                            <w:p w14:paraId="25F0FAA7" w14:textId="77777777" w:rsidR="00B56753" w:rsidRPr="00DC7FC5" w:rsidRDefault="00B56753" w:rsidP="00DC7FC5">
                              <w:pPr>
                                <w:spacing w:line="240" w:lineRule="atLeast"/>
                                <w:rPr>
                                  <w:color w:val="000000" w:themeColor="text1"/>
                                  <w:sz w:val="2"/>
                                  <w:lang w:val="en-US"/>
                                </w:rPr>
                              </w:pPr>
                            </w:p>
                            <w:p w14:paraId="28CC901E" w14:textId="77777777" w:rsidR="00B56753" w:rsidRPr="00DC7FC5" w:rsidRDefault="00B56753" w:rsidP="006F749C">
                              <w:pPr>
                                <w:pStyle w:val="ListParagraph"/>
                                <w:numPr>
                                  <w:ilvl w:val="0"/>
                                  <w:numId w:val="194"/>
                                </w:numPr>
                                <w:spacing w:after="0" w:line="240" w:lineRule="atLeast"/>
                                <w:ind w:left="142" w:hanging="153"/>
                                <w:rPr>
                                  <w:rFonts w:ascii="Garamond" w:hAnsi="Garamond"/>
                                  <w:color w:val="000000" w:themeColor="text1"/>
                                  <w:sz w:val="24"/>
                                  <w:lang w:val="en-US"/>
                                </w:rPr>
                              </w:pPr>
                              <w:r w:rsidRPr="00DC7FC5">
                                <w:rPr>
                                  <w:rFonts w:ascii="Garamond" w:hAnsi="Garamond"/>
                                  <w:color w:val="000000" w:themeColor="text1"/>
                                  <w:sz w:val="24"/>
                                  <w:lang w:val="en-US"/>
                                </w:rPr>
                                <w:t>stock exchanges;</w:t>
                              </w:r>
                            </w:p>
                            <w:p w14:paraId="4AC19242" w14:textId="77777777" w:rsidR="00B56753" w:rsidRPr="00DC7FC5" w:rsidRDefault="00B56753" w:rsidP="006F749C">
                              <w:pPr>
                                <w:pStyle w:val="ListParagraph"/>
                                <w:numPr>
                                  <w:ilvl w:val="0"/>
                                  <w:numId w:val="194"/>
                                </w:numPr>
                                <w:spacing w:after="0" w:line="240" w:lineRule="atLeast"/>
                                <w:ind w:left="142" w:hanging="153"/>
                                <w:rPr>
                                  <w:rFonts w:ascii="Garamond" w:hAnsi="Garamond"/>
                                  <w:color w:val="000000" w:themeColor="text1"/>
                                  <w:sz w:val="24"/>
                                  <w:lang w:val="en-US"/>
                                </w:rPr>
                              </w:pPr>
                              <w:r w:rsidRPr="00DC7FC5">
                                <w:rPr>
                                  <w:rFonts w:ascii="Garamond" w:hAnsi="Garamond"/>
                                  <w:color w:val="000000" w:themeColor="text1"/>
                                  <w:sz w:val="24"/>
                                  <w:lang w:val="en-US"/>
                                </w:rPr>
                                <w:t>rating agencies;</w:t>
                              </w:r>
                            </w:p>
                            <w:p w14:paraId="7F14D320" w14:textId="77777777" w:rsidR="00B56753" w:rsidRPr="00DC7FC5" w:rsidRDefault="00B56753" w:rsidP="006F749C">
                              <w:pPr>
                                <w:pStyle w:val="ListParagraph"/>
                                <w:numPr>
                                  <w:ilvl w:val="0"/>
                                  <w:numId w:val="194"/>
                                </w:numPr>
                                <w:spacing w:after="0" w:line="240" w:lineRule="atLeast"/>
                                <w:ind w:left="142" w:hanging="153"/>
                                <w:rPr>
                                  <w:rFonts w:ascii="Garamond" w:hAnsi="Garamond"/>
                                  <w:color w:val="000000" w:themeColor="text1"/>
                                  <w:sz w:val="24"/>
                                  <w:lang w:val="en-US"/>
                                </w:rPr>
                              </w:pPr>
                              <w:r w:rsidRPr="00DC7FC5">
                                <w:rPr>
                                  <w:rFonts w:ascii="Garamond" w:hAnsi="Garamond"/>
                                  <w:color w:val="000000" w:themeColor="text1"/>
                                  <w:sz w:val="24"/>
                                  <w:lang w:val="en-US"/>
                                </w:rPr>
                                <w:t>depositories;</w:t>
                              </w:r>
                            </w:p>
                            <w:p w14:paraId="5CF47B11" w14:textId="77777777" w:rsidR="00B56753" w:rsidRPr="00DC7FC5" w:rsidRDefault="00B56753" w:rsidP="006F749C">
                              <w:pPr>
                                <w:pStyle w:val="ListParagraph"/>
                                <w:numPr>
                                  <w:ilvl w:val="0"/>
                                  <w:numId w:val="194"/>
                                </w:numPr>
                                <w:spacing w:after="0" w:line="240" w:lineRule="atLeast"/>
                                <w:ind w:left="142" w:hanging="153"/>
                                <w:rPr>
                                  <w:rFonts w:ascii="Garamond" w:hAnsi="Garamond"/>
                                  <w:color w:val="000000" w:themeColor="text1"/>
                                  <w:sz w:val="24"/>
                                </w:rPr>
                              </w:pPr>
                              <w:r w:rsidRPr="00DC7FC5">
                                <w:rPr>
                                  <w:rFonts w:ascii="Garamond" w:hAnsi="Garamond"/>
                                  <w:color w:val="000000" w:themeColor="text1"/>
                                  <w:sz w:val="24"/>
                                  <w:lang w:val="en-US"/>
                                </w:rPr>
                                <w:t>accounting firms, etc.</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1073741953" name="Прямоугольник 1073741953"/>
                        <wps:cNvSpPr/>
                        <wps:spPr>
                          <a:xfrm>
                            <a:off x="3895725" y="447674"/>
                            <a:ext cx="933450" cy="400050"/>
                          </a:xfrm>
                          <a:prstGeom prst="rect">
                            <a:avLst/>
                          </a:prstGeom>
                          <a:solidFill>
                            <a:sysClr val="window" lastClr="FFFFFF">
                              <a:lumMod val="85000"/>
                            </a:sysClr>
                          </a:solidFill>
                          <a:ln w="9525" cap="flat" cmpd="sng" algn="ctr">
                            <a:solidFill>
                              <a:sysClr val="windowText" lastClr="000000"/>
                            </a:solidFill>
                            <a:prstDash val="solid"/>
                          </a:ln>
                          <a:effectLst/>
                        </wps:spPr>
                        <wps:txbx>
                          <w:txbxContent>
                            <w:p w14:paraId="7CF9992B" w14:textId="77777777" w:rsidR="00B56753" w:rsidRPr="00DC7FC5" w:rsidRDefault="00B56753" w:rsidP="00DC7FC5">
                              <w:pPr>
                                <w:pStyle w:val="NormalWeb"/>
                                <w:spacing w:before="0" w:beforeAutospacing="0" w:after="0" w:afterAutospacing="0" w:line="240" w:lineRule="atLeast"/>
                              </w:pPr>
                              <w:r w:rsidRPr="00DC7FC5">
                                <w:rPr>
                                  <w:rFonts w:ascii="Garamond" w:eastAsia="Calibri" w:hAnsi="Garamond"/>
                                  <w:lang w:val="en-US"/>
                                </w:rPr>
                                <w:t>Infrastructure providers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1073741954" name="Скругленный прямоугольник 1073741954"/>
                        <wps:cNvSpPr/>
                        <wps:spPr>
                          <a:xfrm>
                            <a:off x="4895418" y="676159"/>
                            <a:ext cx="1123216" cy="1245122"/>
                          </a:xfrm>
                          <a:prstGeom prst="roundRect">
                            <a:avLst/>
                          </a:prstGeom>
                          <a:noFill/>
                          <a:ln w="9525" cap="flat" cmpd="sng" algn="ctr">
                            <a:solidFill>
                              <a:sysClr val="windowText" lastClr="000000"/>
                            </a:solidFill>
                            <a:prstDash val="solid"/>
                          </a:ln>
                          <a:effectLst/>
                        </wps:spPr>
                        <wps:txbx>
                          <w:txbxContent>
                            <w:p w14:paraId="5F0234A4" w14:textId="77777777" w:rsidR="00B56753" w:rsidRPr="00DC7FC5"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government organizations;</w:t>
                              </w:r>
                            </w:p>
                            <w:p w14:paraId="72AA6A37" w14:textId="77777777" w:rsidR="00B56753" w:rsidRPr="00DC7FC5" w:rsidRDefault="00B56753" w:rsidP="006F749C">
                              <w:pPr>
                                <w:pStyle w:val="ListParagraph"/>
                                <w:numPr>
                                  <w:ilvl w:val="0"/>
                                  <w:numId w:val="194"/>
                                </w:numPr>
                                <w:spacing w:after="0" w:line="240" w:lineRule="atLeast"/>
                                <w:ind w:left="142" w:hanging="142"/>
                                <w:rPr>
                                  <w:rFonts w:ascii="Garamond" w:hAnsi="Garamond"/>
                                  <w:color w:val="000000" w:themeColor="text1"/>
                                  <w:sz w:val="24"/>
                                  <w:lang w:val="en-US"/>
                                </w:rPr>
                              </w:pPr>
                              <w:r>
                                <w:rPr>
                                  <w:rFonts w:ascii="Garamond" w:hAnsi="Garamond"/>
                                  <w:color w:val="000000" w:themeColor="text1"/>
                                  <w:sz w:val="24"/>
                                  <w:lang w:val="en-US"/>
                                </w:rPr>
                                <w:t>non-government organization</w:t>
                              </w:r>
                            </w:p>
                            <w:p w14:paraId="0EB9BCBD" w14:textId="77777777" w:rsidR="00B56753" w:rsidRPr="00DC7FC5" w:rsidRDefault="00B56753" w:rsidP="00DC7FC5">
                              <w:pPr>
                                <w:pStyle w:val="ListParagraph"/>
                                <w:spacing w:after="0" w:line="240" w:lineRule="atLeast"/>
                                <w:ind w:left="142"/>
                                <w:rPr>
                                  <w:rFonts w:ascii="Garamond" w:hAnsi="Garamond"/>
                                  <w:color w:val="000000" w:themeColor="text1"/>
                                  <w:sz w:val="24"/>
                                  <w:lang w:val="en-US"/>
                                </w:rPr>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1073741955" name="Прямоугольник 1073741955"/>
                        <wps:cNvSpPr/>
                        <wps:spPr>
                          <a:xfrm>
                            <a:off x="5085715" y="1645279"/>
                            <a:ext cx="933450" cy="400050"/>
                          </a:xfrm>
                          <a:prstGeom prst="rect">
                            <a:avLst/>
                          </a:prstGeom>
                          <a:solidFill>
                            <a:sysClr val="window" lastClr="FFFFFF">
                              <a:lumMod val="85000"/>
                            </a:sysClr>
                          </a:solidFill>
                          <a:ln w="9525" cap="flat" cmpd="sng" algn="ctr">
                            <a:solidFill>
                              <a:sysClr val="windowText" lastClr="000000"/>
                            </a:solidFill>
                            <a:prstDash val="solid"/>
                          </a:ln>
                          <a:effectLst/>
                        </wps:spPr>
                        <wps:txbx>
                          <w:txbxContent>
                            <w:p w14:paraId="05FBFDAE" w14:textId="77777777" w:rsidR="00B56753" w:rsidRPr="00DC7FC5" w:rsidRDefault="00B56753" w:rsidP="00DC7FC5">
                              <w:pPr>
                                <w:pStyle w:val="NormalWeb"/>
                                <w:spacing w:before="0" w:beforeAutospacing="0" w:after="0" w:afterAutospacing="0" w:line="240" w:lineRule="atLeast"/>
                                <w:jc w:val="center"/>
                              </w:pPr>
                              <w:r w:rsidRPr="00DC7FC5">
                                <w:rPr>
                                  <w:rFonts w:ascii="Garamond" w:eastAsia="Calibri" w:hAnsi="Garamond"/>
                                  <w:lang w:val="en-US"/>
                                </w:rPr>
                                <w:t>Regulators</w:t>
                              </w:r>
                            </w:p>
                          </w:txbxContent>
                        </wps:txbx>
                        <wps:bodyPr rot="0" spcFirstLastPara="0" vert="horz" wrap="square" lIns="0" tIns="0" rIns="0" bIns="0" numCol="1" spcCol="0" rtlCol="0" fromWordArt="0" anchor="ctr" anchorCtr="0" forceAA="0" compatLnSpc="1">
                          <a:prstTxWarp prst="textNoShape">
                            <a:avLst/>
                          </a:prstTxWarp>
                          <a:noAutofit/>
                        </wps:bodyPr>
                      </wps:wsp>
                    </wpc:wpc>
                  </a:graphicData>
                </a:graphic>
              </wp:inline>
            </w:drawing>
          </mc:Choice>
          <mc:Fallback>
            <w:pict>
              <v:group id="Полотно 1073741956" o:spid="_x0000_s1347" editas="canvas" style="width:479.4pt;height:162.25pt;mso-position-horizontal-relative:char;mso-position-vertical-relative:line" coordsize="60877,205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">
                <v:shape id="_x0000_s1348" type="#_x0000_t75" style="position:absolute;width:60877;height:20599;visibility:visible;mso-wrap-style:square">
                  <v:fill o:detectmouseclick="t"/>
                  <v:path o:connecttype="none"/>
                </v:shape>
                <v:rect id="Прямоугольник 1073741913" o:spid="_x0000_s1349" style="position:absolute;left:285;width:59906;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mzwscA&#10;AADjAAAADwAAAGRycy9kb3ducmV2LnhtbERPS0sDMRC+C/6HMII3m91WrF2bliLu4sVDH6DHIRk3&#10;i5vJksTu+u+NIPQ433vW28n14kwhdp4VlLMCBLH2puNWwelY3z2CiAnZYO+ZFPxQhO3m+mqNlfEj&#10;7+l8SK3IIRwrVGBTGiopo7bkMM78QJy5Tx8cpnyGVpqAYw53vZwXxYN02HFusDjQsyX9dfh2Cj7K&#10;lX2px6D1qeGpqd+a2Lw7pW5vpt0TiERTuoj/3a8mzy+Wi+V9uSoX8PdTBkB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A5s8LHAAAA4wAAAA8AAAAAAAAAAAAAAAAAmAIAAGRy&#10;cy9kb3ducmV2LnhtbFBLBQYAAAAABAAEAPUAAACMAwAAAAA=&#10;" fillcolor="#d9d9d9" strokecolor="window">
                  <v:textbox>
                    <w:txbxContent>
                      <w:p w:rsidR="00B56753" w:rsidRPr="00DC7FC5" w:rsidRDefault="00B56753" w:rsidP="00DC7FC5">
                        <w:pPr>
                          <w:spacing w:line="240" w:lineRule="atLeast"/>
                          <w:jc w:val="center"/>
                          <w:rPr>
                            <w:lang w:val="en-US"/>
                          </w:rPr>
                        </w:pPr>
                        <w:r w:rsidRPr="00DC7FC5">
                          <w:rPr>
                            <w:lang w:val="en-US"/>
                          </w:rPr>
                          <w:t>Key players in financial markets</w:t>
                        </w:r>
                      </w:p>
                    </w:txbxContent>
                  </v:textbox>
                </v:rect>
                <v:roundrect id="Скругленный прямоугольник 1073741914" o:spid="_x0000_s1350" style="position:absolute;left:285;top:6762;width:10954;height:1245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UYckA&#10;AADjAAAADwAAAGRycy9kb3ducmV2LnhtbERPS2vCQBC+F/wPyxS81c1WadrUVYoQKfakLX3chuyY&#10;BLOzMbvG9N93C4LH+d4zXw62ET11vnasQU0SEMSFMzWXGj7e87tHED4gG2wck4Zf8rBcjG7mmBl3&#10;5i31u1CKGMI+Qw1VCG0mpS8qsugnriWO3N51FkM8u1KaDs8x3DbyPkkepMWaY0OFLa0qKg67k9WQ&#10;280+/6y/1Hfq1lO16X/eTsdW6/Ht8PIMItAQruKL+9XE+Uk6TWfqSc3g/6cIgFz8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c+UYckAAADjAAAADwAAAAAAAAAAAAAAAACYAgAA&#10;ZHJzL2Rvd25yZXYueG1sUEsFBgAAAAAEAAQA9QAAAI4DAAAAAA==&#10;" filled="f" strokecolor="windowText">
                  <v:textbox inset="1mm,0,1mm,0">
                    <w:txbxContent>
                      <w:p w:rsidR="00B56753" w:rsidRPr="00DC7FC5"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business entities;</w:t>
                        </w:r>
                      </w:p>
                      <w:p w:rsidR="00B56753" w:rsidRPr="00DC7FC5"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governments;</w:t>
                        </w:r>
                      </w:p>
                      <w:p w:rsidR="00B56753" w:rsidRPr="00DC7FC5"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Pr>
                            <w:rFonts w:ascii="Garamond" w:hAnsi="Garamond"/>
                            <w:color w:val="000000" w:themeColor="text1"/>
                            <w:sz w:val="24"/>
                            <w:lang w:val="en-US"/>
                          </w:rPr>
                          <w:t>households</w:t>
                        </w:r>
                      </w:p>
                      <w:p w:rsidR="00B56753" w:rsidRPr="00DC7FC5" w:rsidRDefault="00B56753" w:rsidP="00DC7FC5">
                        <w:pPr>
                          <w:spacing w:line="240" w:lineRule="atLeast"/>
                          <w:rPr>
                            <w:color w:val="000000" w:themeColor="text1"/>
                            <w:lang w:val="en-US"/>
                          </w:rPr>
                        </w:pPr>
                      </w:p>
                    </w:txbxContent>
                  </v:textbox>
                </v:roundrect>
                <v:rect id="Прямоугольник 1073741915" o:spid="_x0000_s1351" style="position:absolute;left:2857;top:16186;width:8382;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4dQMoA&#10;AADjAAAADwAAAGRycy9kb3ducmV2LnhtbERPX0vDMBB/F/wO4QRfZEu6dXbWZUMGA8WnzaF7PJuz&#10;LTaXrold9+2NIOzxfv9vsRpsI3rqfO1YQzJWIIgLZ2ouNezfNqM5CB+QDTaOScOZPKyW11cLzI07&#10;8Zb6XShFDGGfo4YqhDaX0hcVWfRj1xJH7st1FkM8u1KaDk8x3DZyotS9tFhzbKiwpXVFxffux2q4&#10;6z8n69nxI92cj6iyw0v6+j5Ntb69GZ4eQQQawkX87342cb7KplmaPCQz+PspAiCX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ROHUDKAAAA4wAAAA8AAAAAAAAAAAAAAAAAmAIA&#10;AGRycy9kb3ducmV2LnhtbFBLBQYAAAAABAAEAPUAAACPAwAAAAA=&#10;" fillcolor="#d9d9d9" strokecolor="windowText">
                  <v:textbox inset="0,0,0,0">
                    <w:txbxContent>
                      <w:p w:rsidR="00B56753" w:rsidRPr="00DC7FC5" w:rsidRDefault="00B56753" w:rsidP="00DC7FC5">
                        <w:pPr>
                          <w:spacing w:line="240" w:lineRule="atLeast"/>
                          <w:jc w:val="center"/>
                          <w:rPr>
                            <w:color w:val="000000" w:themeColor="text1"/>
                            <w:lang w:val="en-US"/>
                          </w:rPr>
                        </w:pPr>
                        <w:r w:rsidRPr="00DC7FC5">
                          <w:rPr>
                            <w:color w:val="000000" w:themeColor="text1"/>
                            <w:lang w:val="en-US"/>
                          </w:rPr>
                          <w:t>Borrowers</w:t>
                        </w:r>
                      </w:p>
                    </w:txbxContent>
                  </v:textbox>
                </v:rect>
                <v:roundrect id="Скругленный прямоугольник 1073741916" o:spid="_x0000_s1352" style="position:absolute;left:11906;top:6667;width:11180;height:1254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GvjckA&#10;AADjAAAADwAAAGRycy9kb3ducmV2LnhtbERPS0vDQBC+C/6HZQre7GZbaTTtthQhIvXUB9rehuw0&#10;CWZnY3abxn/vCoLH+d6zWA22ET11vnasQY0TEMSFMzWXGg77/P4RhA/IBhvHpOGbPKyWtzcLzIy7&#10;8pb6XShFDGGfoYYqhDaT0hcVWfRj1xJH7uw6iyGeXSlNh9cYbhs5SZKZtFhzbKiwpeeKis/dxWrI&#10;7eacv9cf6pi6l6na9Ke3y1er9d1oWM9BBBrCv/jP/Wri/CSdpg/qSc3g96cIgF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lGvjckAAADjAAAADwAAAAAAAAAAAAAAAACYAgAA&#10;ZHJzL2Rvd25yZXYueG1sUEsFBgAAAAAEAAQA9QAAAI4DAAAAAA==&#10;" filled="f" strokecolor="windowText">
                  <v:textbox inset="1mm,0,1mm,0">
                    <w:txbxContent>
                      <w:p w:rsidR="00B56753" w:rsidRPr="00DC7FC5" w:rsidRDefault="00B56753" w:rsidP="00DC7FC5">
                        <w:pPr>
                          <w:pStyle w:val="afc"/>
                          <w:spacing w:before="0" w:beforeAutospacing="0" w:after="0" w:afterAutospacing="0" w:line="240" w:lineRule="atLeast"/>
                          <w:ind w:left="144" w:hanging="144"/>
                          <w:rPr>
                            <w:rFonts w:ascii="Garamond" w:eastAsia="Calibri" w:hAnsi="Garamond"/>
                            <w:lang w:val="en-US"/>
                          </w:rPr>
                        </w:pPr>
                      </w:p>
                      <w:p w:rsidR="00B56753" w:rsidRPr="00745BA0"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sidRPr="00745BA0">
                          <w:rPr>
                            <w:rFonts w:ascii="Garamond" w:hAnsi="Garamond"/>
                            <w:color w:val="000000" w:themeColor="text1"/>
                            <w:sz w:val="24"/>
                            <w:lang w:val="en-US"/>
                          </w:rPr>
                          <w:t>governments;</w:t>
                        </w:r>
                      </w:p>
                      <w:p w:rsidR="00B56753" w:rsidRPr="00745BA0"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sidRPr="00745BA0">
                          <w:rPr>
                            <w:rFonts w:ascii="Garamond" w:hAnsi="Garamond"/>
                            <w:color w:val="000000" w:themeColor="text1"/>
                            <w:sz w:val="24"/>
                            <w:lang w:val="en-US"/>
                          </w:rPr>
                          <w:t>institutional investors;</w:t>
                        </w:r>
                      </w:p>
                      <w:p w:rsidR="00B56753" w:rsidRPr="00745BA0"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Pr>
                            <w:rFonts w:ascii="Garamond" w:hAnsi="Garamond"/>
                            <w:color w:val="000000" w:themeColor="text1"/>
                            <w:sz w:val="24"/>
                            <w:lang w:val="en-US"/>
                          </w:rPr>
                          <w:t>retail investors</w:t>
                        </w:r>
                      </w:p>
                      <w:p w:rsidR="00B56753" w:rsidRPr="00DC7FC5" w:rsidRDefault="00B56753" w:rsidP="00DC7FC5">
                        <w:pPr>
                          <w:pStyle w:val="afc"/>
                          <w:spacing w:before="0" w:beforeAutospacing="0" w:after="0" w:afterAutospacing="0" w:line="240" w:lineRule="atLeast"/>
                          <w:ind w:firstLine="706"/>
                        </w:pPr>
                        <w:r w:rsidRPr="00DC7FC5">
                          <w:rPr>
                            <w:rFonts w:ascii="Garamond" w:eastAsia="Calibri" w:hAnsi="Garamond"/>
                            <w:lang w:val="en-US"/>
                          </w:rPr>
                          <w:t> </w:t>
                        </w:r>
                      </w:p>
                    </w:txbxContent>
                  </v:textbox>
                </v:roundrect>
                <v:rect id="Прямоугольник 1073741917" o:spid="_x0000_s1353" style="position:absolute;left:13752;top:4191;width:9334;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AmrMoA&#10;AADjAAAADwAAAGRycy9kb3ducmV2LnhtbERPX0vDMBB/F/wO4QRfZEu61XXWZUMGA2VPbqI+3pqz&#10;LTaXrold9+2NIOzxfv9vsRpsI3rqfO1YQzJWIIgLZ2ouNbztN6M5CB+QDTaOScOZPKyW11cLzI07&#10;8Sv1u1CKGMI+Rw1VCG0upS8qsujHriWO3JfrLIZ4dqU0HZ5iuG3kRKmZtFhzbKiwpXVFxffux2q4&#10;6w+T9f3xI92cj6iyz5d0+z5Ntb69GZ4eQQQawkX87342cb7KplmaPCQZ/P0UAZ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vQJqzKAAAA4wAAAA8AAAAAAAAAAAAAAAAAmAIA&#10;AGRycy9kb3ducmV2LnhtbFBLBQYAAAAABAAEAPUAAACPAwAAAAA=&#10;" fillcolor="#d9d9d9" strokecolor="windowText">
                  <v:textbox inset="0,0,0,0">
                    <w:txbxContent>
                      <w:p w:rsidR="00B56753" w:rsidRPr="00DC7FC5" w:rsidRDefault="00B56753" w:rsidP="00DC7FC5">
                        <w:pPr>
                          <w:pStyle w:val="afc"/>
                          <w:spacing w:before="0" w:beforeAutospacing="0" w:after="0" w:afterAutospacing="0" w:line="240" w:lineRule="atLeast"/>
                          <w:jc w:val="center"/>
                        </w:pPr>
                        <w:r w:rsidRPr="00DC7FC5">
                          <w:rPr>
                            <w:rFonts w:ascii="Garamond" w:eastAsia="Calibri" w:hAnsi="Garamond"/>
                            <w:lang w:val="en-US"/>
                          </w:rPr>
                          <w:t>Lenders</w:t>
                        </w:r>
                      </w:p>
                    </w:txbxContent>
                  </v:textbox>
                </v:rect>
                <v:roundrect id="Скругленный прямоугольник 1073741918" o:spid="_x0000_s1354" style="position:absolute;left:23665;top:6667;width:11798;height:1254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KeZMwA&#10;AADjAAAADwAAAGRycy9kb3ducmV2LnhtbESPQU/DMAyF70j8h8hI3FgahiiUZRNCKkLjtIE2uFmN&#10;11Y0Tmmyrvx7fEDiaL/n9z4vVpPv1EhDbANbMLMMFHEVXMu1hfe38uoOVEzIDrvAZOGHIqyW52cL&#10;LFw48YbGbaqVhHAs0EKTUl9oHauGPMZZ6IlFO4TBY5JxqLUb8CThvtPXWXarPbYsDQ329NRQ9bU9&#10;egulXx/KXbs3H3l4npv1+Pl6/O6tvbyYHh9AJZrSv/nv+sUJfpbP8xtzbwRafpIF6OUv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oIKeZMwAAADjAAAADwAAAAAAAAAAAAAAAACY&#10;AgAAZHJzL2Rvd25yZXYueG1sUEsFBgAAAAAEAAQA9QAAAJEDAAAAAA==&#10;" filled="f" strokecolor="windowText">
                  <v:textbox inset="1mm,0,1mm,0">
                    <w:txbxContent>
                      <w:p w:rsidR="00B56753" w:rsidRPr="00DC7FC5"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banks;</w:t>
                        </w:r>
                      </w:p>
                      <w:p w:rsidR="00B56753" w:rsidRPr="00DC7FC5"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non-bank financial intermediaries</w:t>
                        </w:r>
                      </w:p>
                      <w:p w:rsidR="00B56753" w:rsidRPr="00DC7FC5" w:rsidRDefault="00B56753" w:rsidP="00DC7FC5">
                        <w:pPr>
                          <w:pStyle w:val="afb"/>
                          <w:spacing w:after="0" w:line="240" w:lineRule="atLeast"/>
                          <w:ind w:left="142"/>
                          <w:rPr>
                            <w:rFonts w:ascii="Garamond" w:hAnsi="Garamond"/>
                            <w:color w:val="000000" w:themeColor="text1"/>
                            <w:sz w:val="24"/>
                            <w:lang w:val="en-US"/>
                          </w:rPr>
                        </w:pPr>
                      </w:p>
                    </w:txbxContent>
                  </v:textbox>
                </v:roundrect>
                <v:rect id="Прямоугольник 1073741919" o:spid="_x0000_s1355" style="position:absolute;left:26129;top:16186;width:9334;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Bf/scA&#10;AADjAAAADwAAAGRycy9kb3ducmV2LnhtbERPX0vDMBB/F/Ydwg18c0lV7FaXjVEQfbRVmY+35taU&#10;NZfSxK1+eyMIPt7v/623k+vFmcbQedaQLRQI4sabjlsN729PN0sQISIb7D2Thm8KsN3MrtZYGH/h&#10;is51bEUK4VCgBhvjUEgZGksOw8IPxIk7+tFhTOfYSjPiJYW7Xt4q9SAddpwaLA5UWmpO9ZfTUJVd&#10;WVfRHZ4PH9UxvO4n9Zlbra/n0+4RRKQp/ov/3C8mzVf5XX6frbIV/P6UAJ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GgX/7HAAAA4wAAAA8AAAAAAAAAAAAAAAAAmAIAAGRy&#10;cy9kb3ducmV2LnhtbFBLBQYAAAAABAAEAPUAAACMAwAAAAA=&#10;" fillcolor="#d9d9d9" strokecolor="windowText">
                  <v:textbox inset="1mm,1mm,1mm,1mm">
                    <w:txbxContent>
                      <w:p w:rsidR="00B56753" w:rsidRPr="00DC7FC5" w:rsidRDefault="00B56753" w:rsidP="00DC7FC5">
                        <w:pPr>
                          <w:pStyle w:val="afc"/>
                          <w:spacing w:before="0" w:beforeAutospacing="0" w:after="0" w:afterAutospacing="0" w:line="240" w:lineRule="atLeast"/>
                        </w:pPr>
                        <w:r w:rsidRPr="00DC7FC5">
                          <w:rPr>
                            <w:rFonts w:ascii="Garamond" w:eastAsia="Calibri" w:hAnsi="Garamond"/>
                            <w:lang w:val="en-US"/>
                          </w:rPr>
                          <w:t>Financial intermediaries</w:t>
                        </w:r>
                      </w:p>
                    </w:txbxContent>
                  </v:textbox>
                </v:rect>
                <v:roundrect id="Скругленный прямоугольник 1073741952" o:spid="_x0000_s1356" style="position:absolute;left:35988;top:6665;width:12297;height:135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AQTskA&#10;AADjAAAADwAAAGRycy9kb3ducmV2LnhtbERPzWrCQBC+F3yHZYTe6iZaGxtdpRRSij1VRe1tyI5J&#10;MDubZteYvn23IPQ43/8sVr2pRUetqywriEcRCOLc6ooLBbtt9jAD4TyyxtoyKfghB6vl4G6BqbZX&#10;/qRu4wsRQtilqKD0vkmldHlJBt3INsSBO9nWoA9nW0jd4jWEm1qOo+hJGqw4NJTY0GtJ+XlzMQoy&#10;sz5l++oQHxP7NonX3dfH5btR6n7Yv8xBeOr9v/jmftdhfpRMksf4eTqGv58CAHL5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wAQTskAAADjAAAADwAAAAAAAAAAAAAAAACYAgAA&#10;ZHJzL2Rvd25yZXYueG1sUEsFBgAAAAAEAAQA9QAAAI4DAAAAAA==&#10;" filled="f" strokecolor="windowText">
                  <v:textbox inset="1mm,0,1mm,0">
                    <w:txbxContent>
                      <w:p w:rsidR="00B56753" w:rsidRPr="00DC7FC5" w:rsidRDefault="00B56753" w:rsidP="00DC7FC5">
                        <w:pPr>
                          <w:spacing w:line="240" w:lineRule="atLeast"/>
                          <w:rPr>
                            <w:color w:val="000000" w:themeColor="text1"/>
                            <w:sz w:val="2"/>
                            <w:lang w:val="en-US"/>
                          </w:rPr>
                        </w:pPr>
                      </w:p>
                      <w:p w:rsidR="00B56753" w:rsidRPr="00DC7FC5" w:rsidRDefault="00B56753" w:rsidP="006F749C">
                        <w:pPr>
                          <w:pStyle w:val="afb"/>
                          <w:numPr>
                            <w:ilvl w:val="0"/>
                            <w:numId w:val="194"/>
                          </w:numPr>
                          <w:spacing w:after="0" w:line="240" w:lineRule="atLeast"/>
                          <w:ind w:left="142" w:hanging="153"/>
                          <w:rPr>
                            <w:rFonts w:ascii="Garamond" w:hAnsi="Garamond"/>
                            <w:color w:val="000000" w:themeColor="text1"/>
                            <w:sz w:val="24"/>
                            <w:lang w:val="en-US"/>
                          </w:rPr>
                        </w:pPr>
                        <w:r w:rsidRPr="00DC7FC5">
                          <w:rPr>
                            <w:rFonts w:ascii="Garamond" w:hAnsi="Garamond"/>
                            <w:color w:val="000000" w:themeColor="text1"/>
                            <w:sz w:val="24"/>
                            <w:lang w:val="en-US"/>
                          </w:rPr>
                          <w:t>stock exchanges;</w:t>
                        </w:r>
                      </w:p>
                      <w:p w:rsidR="00B56753" w:rsidRPr="00DC7FC5" w:rsidRDefault="00B56753" w:rsidP="006F749C">
                        <w:pPr>
                          <w:pStyle w:val="afb"/>
                          <w:numPr>
                            <w:ilvl w:val="0"/>
                            <w:numId w:val="194"/>
                          </w:numPr>
                          <w:spacing w:after="0" w:line="240" w:lineRule="atLeast"/>
                          <w:ind w:left="142" w:hanging="153"/>
                          <w:rPr>
                            <w:rFonts w:ascii="Garamond" w:hAnsi="Garamond"/>
                            <w:color w:val="000000" w:themeColor="text1"/>
                            <w:sz w:val="24"/>
                            <w:lang w:val="en-US"/>
                          </w:rPr>
                        </w:pPr>
                        <w:r w:rsidRPr="00DC7FC5">
                          <w:rPr>
                            <w:rFonts w:ascii="Garamond" w:hAnsi="Garamond"/>
                            <w:color w:val="000000" w:themeColor="text1"/>
                            <w:sz w:val="24"/>
                            <w:lang w:val="en-US"/>
                          </w:rPr>
                          <w:t>rating agencies;</w:t>
                        </w:r>
                      </w:p>
                      <w:p w:rsidR="00B56753" w:rsidRPr="00DC7FC5" w:rsidRDefault="00B56753" w:rsidP="006F749C">
                        <w:pPr>
                          <w:pStyle w:val="afb"/>
                          <w:numPr>
                            <w:ilvl w:val="0"/>
                            <w:numId w:val="194"/>
                          </w:numPr>
                          <w:spacing w:after="0" w:line="240" w:lineRule="atLeast"/>
                          <w:ind w:left="142" w:hanging="153"/>
                          <w:rPr>
                            <w:rFonts w:ascii="Garamond" w:hAnsi="Garamond"/>
                            <w:color w:val="000000" w:themeColor="text1"/>
                            <w:sz w:val="24"/>
                            <w:lang w:val="en-US"/>
                          </w:rPr>
                        </w:pPr>
                        <w:r w:rsidRPr="00DC7FC5">
                          <w:rPr>
                            <w:rFonts w:ascii="Garamond" w:hAnsi="Garamond"/>
                            <w:color w:val="000000" w:themeColor="text1"/>
                            <w:sz w:val="24"/>
                            <w:lang w:val="en-US"/>
                          </w:rPr>
                          <w:t>depositories;</w:t>
                        </w:r>
                      </w:p>
                      <w:p w:rsidR="00B56753" w:rsidRPr="00DC7FC5" w:rsidRDefault="00B56753" w:rsidP="006F749C">
                        <w:pPr>
                          <w:pStyle w:val="afb"/>
                          <w:numPr>
                            <w:ilvl w:val="0"/>
                            <w:numId w:val="194"/>
                          </w:numPr>
                          <w:spacing w:after="0" w:line="240" w:lineRule="atLeast"/>
                          <w:ind w:left="142" w:hanging="153"/>
                          <w:rPr>
                            <w:rFonts w:ascii="Garamond" w:hAnsi="Garamond"/>
                            <w:color w:val="000000" w:themeColor="text1"/>
                            <w:sz w:val="24"/>
                          </w:rPr>
                        </w:pPr>
                        <w:r w:rsidRPr="00DC7FC5">
                          <w:rPr>
                            <w:rFonts w:ascii="Garamond" w:hAnsi="Garamond"/>
                            <w:color w:val="000000" w:themeColor="text1"/>
                            <w:sz w:val="24"/>
                            <w:lang w:val="en-US"/>
                          </w:rPr>
                          <w:t>accounting firms, etc.</w:t>
                        </w:r>
                      </w:p>
                    </w:txbxContent>
                  </v:textbox>
                </v:roundrect>
                <v:rect id="Прямоугольник 1073741953" o:spid="_x0000_s1357" style="position:absolute;left:38957;top:4476;width:9334;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LR1McA&#10;AADjAAAADwAAAGRycy9kb3ducmV2LnhtbERPX0vDMBB/F/Ydwg18c8mcWtctG1IQfbTVMR9vza0p&#10;NpfSxK1+eyMMfLzf/1tvR9eJEw2h9axhPlMgiGtvWm40fLw/3zyCCBHZYOeZNPxQgO1mcrXG3Pgz&#10;l3SqYiNSCIccNdgY+1zKUFtyGGa+J07c0Q8OYzqHRpoBzyncdfJWqQfpsOXUYLGnwlL9VX07DWXR&#10;FlUZ3eHlsCuP4W0/qs/Man09HZ9WICKN8V98cb+aNF9li+xuvrxfwN9PCQC5+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i0dTHAAAA4wAAAA8AAAAAAAAAAAAAAAAAmAIAAGRy&#10;cy9kb3ducmV2LnhtbFBLBQYAAAAABAAEAPUAAACMAwAAAAA=&#10;" fillcolor="#d9d9d9" strokecolor="windowText">
                  <v:textbox inset="1mm,1mm,1mm,1mm">
                    <w:txbxContent>
                      <w:p w:rsidR="00B56753" w:rsidRPr="00DC7FC5" w:rsidRDefault="00B56753" w:rsidP="00DC7FC5">
                        <w:pPr>
                          <w:pStyle w:val="afc"/>
                          <w:spacing w:before="0" w:beforeAutospacing="0" w:after="0" w:afterAutospacing="0" w:line="240" w:lineRule="atLeast"/>
                        </w:pPr>
                        <w:r w:rsidRPr="00DC7FC5">
                          <w:rPr>
                            <w:rFonts w:ascii="Garamond" w:eastAsia="Calibri" w:hAnsi="Garamond"/>
                            <w:lang w:val="en-US"/>
                          </w:rPr>
                          <w:t>Infrastructure providers</w:t>
                        </w:r>
                      </w:p>
                    </w:txbxContent>
                  </v:textbox>
                </v:rect>
                <v:roundrect id="Скругленный прямоугольник 1073741954" o:spid="_x0000_s1358" style="position:absolute;left:48954;top:6761;width:11232;height:1245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UtocoA&#10;AADjAAAADwAAAGRycy9kb3ducmV2LnhtbERPS2vCQBC+F/wPywi91U3qIzW6ShFSij3VlrbehuyY&#10;BLOzMbvG9N93C4LH+d6zXPemFh21rrKsIB5FIIhzqysuFHx+ZA9PIJxH1lhbJgW/5GC9GtwtMdX2&#10;wu/U7XwhQgi7FBWU3jeplC4vyaAb2YY4cAfbGvThbAupW7yEcFPLxyiaSYMVh4YSG9qUlB93Z6Mg&#10;M9tD9lV9xz+JfRnH227/dj41St0P++cFCE+9v4mv7lcd5kfJOJnE8+kE/n8KAMjV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elLaHKAAAA4wAAAA8AAAAAAAAAAAAAAAAAmAIA&#10;AGRycy9kb3ducmV2LnhtbFBLBQYAAAAABAAEAPUAAACPAwAAAAA=&#10;" filled="f" strokecolor="windowText">
                  <v:textbox inset="1mm,0,1mm,0">
                    <w:txbxContent>
                      <w:p w:rsidR="00B56753" w:rsidRPr="00DC7FC5"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sidRPr="00DC7FC5">
                          <w:rPr>
                            <w:rFonts w:ascii="Garamond" w:hAnsi="Garamond"/>
                            <w:color w:val="000000" w:themeColor="text1"/>
                            <w:sz w:val="24"/>
                            <w:lang w:val="en-US"/>
                          </w:rPr>
                          <w:t>government organizations;</w:t>
                        </w:r>
                      </w:p>
                      <w:p w:rsidR="00B56753" w:rsidRPr="00DC7FC5" w:rsidRDefault="00B56753" w:rsidP="006F749C">
                        <w:pPr>
                          <w:pStyle w:val="afb"/>
                          <w:numPr>
                            <w:ilvl w:val="0"/>
                            <w:numId w:val="194"/>
                          </w:numPr>
                          <w:spacing w:after="0" w:line="240" w:lineRule="atLeast"/>
                          <w:ind w:left="142" w:hanging="142"/>
                          <w:rPr>
                            <w:rFonts w:ascii="Garamond" w:hAnsi="Garamond"/>
                            <w:color w:val="000000" w:themeColor="text1"/>
                            <w:sz w:val="24"/>
                            <w:lang w:val="en-US"/>
                          </w:rPr>
                        </w:pPr>
                        <w:r>
                          <w:rPr>
                            <w:rFonts w:ascii="Garamond" w:hAnsi="Garamond"/>
                            <w:color w:val="000000" w:themeColor="text1"/>
                            <w:sz w:val="24"/>
                            <w:lang w:val="en-US"/>
                          </w:rPr>
                          <w:t>non-government organization</w:t>
                        </w:r>
                      </w:p>
                      <w:p w:rsidR="00B56753" w:rsidRPr="00DC7FC5" w:rsidRDefault="00B56753" w:rsidP="00DC7FC5">
                        <w:pPr>
                          <w:pStyle w:val="afb"/>
                          <w:spacing w:after="0" w:line="240" w:lineRule="atLeast"/>
                          <w:ind w:left="142"/>
                          <w:rPr>
                            <w:rFonts w:ascii="Garamond" w:hAnsi="Garamond"/>
                            <w:color w:val="000000" w:themeColor="text1"/>
                            <w:sz w:val="24"/>
                            <w:lang w:val="en-US"/>
                          </w:rPr>
                        </w:pPr>
                      </w:p>
                    </w:txbxContent>
                  </v:textbox>
                </v:roundrect>
                <v:rect id="Прямоугольник 1073741955" o:spid="_x0000_s1359" style="position:absolute;left:50857;top:16452;width:9334;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SkgMoA&#10;AADjAAAADwAAAGRycy9kb3ducmV2LnhtbERPX0vDMBB/F/wO4QRfZEu2tXbWZUMGA8WnzaF7PJuz&#10;LTaXrold9+2NIOzxfv9vsRpsI3rqfO1Yw2SsQBAXztRcati/bUZzED4gG2wck4YzeVgtr68WmBt3&#10;4i31u1CKGMI+Rw1VCG0upS8qsujHriWO3JfrLIZ4dqU0HZ5iuG3kVKl7abHm2FBhS+uKiu/dj9Vw&#10;139O1+nxI9mcj6iyw0vy+j5LtL69GZ4eQQQawkX87342cb7KZlkyeUhT+PspAiCX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IkpIDKAAAA4wAAAA8AAAAAAAAAAAAAAAAAmAIA&#10;AGRycy9kb3ducmV2LnhtbFBLBQYAAAAABAAEAPUAAACPAwAAAAA=&#10;" fillcolor="#d9d9d9" strokecolor="windowText">
                  <v:textbox inset="0,0,0,0">
                    <w:txbxContent>
                      <w:p w:rsidR="00B56753" w:rsidRPr="00DC7FC5" w:rsidRDefault="00B56753" w:rsidP="00DC7FC5">
                        <w:pPr>
                          <w:pStyle w:val="afc"/>
                          <w:spacing w:before="0" w:beforeAutospacing="0" w:after="0" w:afterAutospacing="0" w:line="240" w:lineRule="atLeast"/>
                          <w:jc w:val="center"/>
                        </w:pPr>
                        <w:r w:rsidRPr="00DC7FC5">
                          <w:rPr>
                            <w:rFonts w:ascii="Garamond" w:eastAsia="Calibri" w:hAnsi="Garamond"/>
                            <w:lang w:val="en-US"/>
                          </w:rPr>
                          <w:t>Regulators</w:t>
                        </w:r>
                      </w:p>
                    </w:txbxContent>
                  </v:textbox>
                </v:rect>
                <w10:anchorlock/>
              </v:group>
            </w:pict>
          </mc:Fallback>
        </mc:AlternateContent>
      </w:r>
    </w:p>
    <w:p w14:paraId="77C39DF8" w14:textId="77777777" w:rsidR="003C51B1" w:rsidRDefault="00305E02" w:rsidP="003C51B1">
      <w:pPr>
        <w:pBdr>
          <w:top w:val="nil"/>
          <w:left w:val="nil"/>
          <w:bottom w:val="nil"/>
          <w:right w:val="nil"/>
          <w:between w:val="nil"/>
          <w:bar w:val="nil"/>
        </w:pBdr>
        <w:spacing w:line="312" w:lineRule="auto"/>
        <w:jc w:val="center"/>
        <w:rPr>
          <w:rFonts w:eastAsia="Calibri" w:cs="Calibri"/>
          <w:b/>
          <w:bCs/>
          <w:sz w:val="28"/>
          <w:szCs w:val="28"/>
          <w:u w:color="000000"/>
          <w:bdr w:val="nil"/>
          <w:lang w:val="en-US"/>
        </w:rPr>
      </w:pPr>
      <w:r>
        <w:rPr>
          <w:rFonts w:eastAsia="Calibri" w:cs="Calibri"/>
          <w:b/>
          <w:bCs/>
          <w:sz w:val="28"/>
          <w:szCs w:val="28"/>
          <w:u w:color="000000"/>
          <w:bdr w:val="nil"/>
          <w:lang w:val="en-US"/>
        </w:rPr>
        <w:t xml:space="preserve">Figure 9.3 </w:t>
      </w:r>
      <w:r>
        <w:rPr>
          <w:rFonts w:cs="Garamond"/>
          <w:b/>
          <w:color w:val="auto"/>
          <w:sz w:val="28"/>
          <w:lang w:val="en-US" w:eastAsia="ru-RU" w:bidi="ru-RU"/>
        </w:rPr>
        <w:t>–</w:t>
      </w:r>
      <w:r w:rsidR="003C51B1" w:rsidRPr="007767A0">
        <w:rPr>
          <w:rFonts w:eastAsia="Calibri" w:cs="Calibri"/>
          <w:b/>
          <w:bCs/>
          <w:sz w:val="28"/>
          <w:szCs w:val="28"/>
          <w:u w:color="000000"/>
          <w:bdr w:val="nil"/>
          <w:lang w:val="en-US"/>
        </w:rPr>
        <w:t xml:space="preserve"> Key pa</w:t>
      </w:r>
      <w:r w:rsidR="00DC7FC5">
        <w:rPr>
          <w:rFonts w:eastAsia="Calibri" w:cs="Calibri"/>
          <w:b/>
          <w:bCs/>
          <w:sz w:val="28"/>
          <w:szCs w:val="28"/>
          <w:u w:color="000000"/>
          <w:bdr w:val="nil"/>
          <w:lang w:val="en-US"/>
        </w:rPr>
        <w:t>rticipants in financial markets</w:t>
      </w:r>
    </w:p>
    <w:p w14:paraId="269039F7" w14:textId="77777777" w:rsidR="00DC7FC5" w:rsidRPr="007767A0" w:rsidRDefault="00DC7FC5" w:rsidP="003C51B1">
      <w:pPr>
        <w:pBdr>
          <w:top w:val="nil"/>
          <w:left w:val="nil"/>
          <w:bottom w:val="nil"/>
          <w:right w:val="nil"/>
          <w:between w:val="nil"/>
          <w:bar w:val="nil"/>
        </w:pBdr>
        <w:spacing w:line="312" w:lineRule="auto"/>
        <w:jc w:val="center"/>
        <w:rPr>
          <w:rFonts w:eastAsia="Garamond"/>
          <w:b/>
          <w:bCs/>
          <w:sz w:val="28"/>
          <w:szCs w:val="28"/>
          <w:u w:color="000000"/>
          <w:bdr w:val="nil"/>
          <w:lang w:val="en-US"/>
        </w:rPr>
      </w:pPr>
    </w:p>
    <w:p w14:paraId="060C90C6"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b/>
          <w:bCs/>
          <w:sz w:val="28"/>
          <w:szCs w:val="28"/>
          <w:u w:color="000000"/>
          <w:bdr w:val="nil"/>
          <w:lang w:val="en-US"/>
        </w:rPr>
      </w:pPr>
      <w:r w:rsidRPr="007767A0">
        <w:rPr>
          <w:rFonts w:eastAsia="Calibri" w:cs="Calibri"/>
          <w:b/>
          <w:bCs/>
          <w:sz w:val="28"/>
          <w:szCs w:val="28"/>
          <w:u w:color="000000"/>
          <w:bdr w:val="nil"/>
          <w:lang w:val="en-US"/>
        </w:rPr>
        <w:t xml:space="preserve">Borrowers </w:t>
      </w:r>
      <w:r w:rsidRPr="007767A0">
        <w:rPr>
          <w:rFonts w:eastAsia="Calibri" w:cs="Calibri"/>
          <w:sz w:val="28"/>
          <w:szCs w:val="28"/>
          <w:u w:color="000000"/>
          <w:bdr w:val="nil"/>
          <w:lang w:val="en-US"/>
        </w:rPr>
        <w:t>in the financial market are individuals, business entities, or governments that have applied, met specific requirements, and received a monetary loan from a lender with the agreement that the money will be repaid. The individual initiating the request signs a promissory note agreeing to pay the lien holder back during a specified timeframe for the entire loan amount plus any additional fees. Thus, most borrowers borrow at interest, meaning they pay a certain percentage of the principal amount to the lender as</w:t>
      </w:r>
      <w:r w:rsidR="003B7BEB">
        <w:rPr>
          <w:rFonts w:eastAsia="Calibri" w:cs="Calibri"/>
          <w:sz w:val="28"/>
          <w:szCs w:val="28"/>
          <w:u w:color="000000"/>
          <w:bdr w:val="nil"/>
          <w:lang w:val="en-US"/>
        </w:rPr>
        <w:t xml:space="preserve"> a</w:t>
      </w:r>
      <w:r w:rsidRPr="007767A0">
        <w:rPr>
          <w:rFonts w:eastAsia="Calibri" w:cs="Calibri"/>
          <w:sz w:val="28"/>
          <w:szCs w:val="28"/>
          <w:u w:color="000000"/>
          <w:bdr w:val="nil"/>
          <w:lang w:val="en-US"/>
        </w:rPr>
        <w:t xml:space="preserve"> compensation for borrowing. Most loans also have a maturity date by which time the borrower must repa</w:t>
      </w:r>
      <w:r w:rsidR="003B7BEB">
        <w:rPr>
          <w:rFonts w:eastAsia="Calibri" w:cs="Calibri"/>
          <w:sz w:val="28"/>
          <w:szCs w:val="28"/>
          <w:u w:color="000000"/>
          <w:bdr w:val="nil"/>
          <w:lang w:val="en-US"/>
        </w:rPr>
        <w:t>y</w:t>
      </w:r>
      <w:r w:rsidRPr="007767A0">
        <w:rPr>
          <w:rFonts w:eastAsia="Calibri" w:cs="Calibri"/>
          <w:sz w:val="28"/>
          <w:szCs w:val="28"/>
          <w:u w:color="000000"/>
          <w:bdr w:val="nil"/>
          <w:lang w:val="en-US"/>
        </w:rPr>
        <w:t xml:space="preserve"> the loan. The borrower is legally responsible for repayment of the loan and is subject to any penalties for not repaying the loan back based on the lending terms agreed upon.</w:t>
      </w:r>
    </w:p>
    <w:p w14:paraId="2B1ABFD1"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b/>
          <w:bCs/>
          <w:sz w:val="28"/>
          <w:szCs w:val="28"/>
          <w:u w:color="000000"/>
          <w:bdr w:val="nil"/>
          <w:lang w:val="en-US"/>
        </w:rPr>
        <w:t>Lenders</w:t>
      </w:r>
      <w:r w:rsidRPr="007767A0">
        <w:rPr>
          <w:rFonts w:eastAsia="Calibri" w:cs="Calibri"/>
          <w:sz w:val="28"/>
          <w:szCs w:val="28"/>
          <w:u w:color="000000"/>
          <w:bdr w:val="nil"/>
          <w:lang w:val="en-US"/>
        </w:rPr>
        <w:t xml:space="preserve"> in the financial market could be viewed as investors that advance extra funds to borrowers for a stated period on the condition of getting back the principal amount together with some interest/profit or charge (for a fixed or variable rate of interest, with or without a security other than the borrower's signatures). A person lends money when (i) puts money in a savings account at a bank; (ii) contributes to a pension plan; (iii) pays premiums to an insurance company; (iv) invests in government </w:t>
      </w:r>
      <w:r w:rsidRPr="007767A0">
        <w:rPr>
          <w:rFonts w:eastAsia="Calibri" w:cs="Calibri"/>
          <w:sz w:val="28"/>
          <w:szCs w:val="28"/>
          <w:u w:color="000000"/>
          <w:bdr w:val="nil"/>
          <w:lang w:val="en-US"/>
        </w:rPr>
        <w:lastRenderedPageBreak/>
        <w:t>bonds. Companies tend to be lenders of capital. When companies have surplus cash that is not needed for a short period of time, they may seek to make money from their cash surplus by lending it via short-term markets called money markets. Alternatively, such companies may decide to return the cash surplus to their shareholders (e.</w:t>
      </w:r>
      <w:r w:rsidR="003B7BEB">
        <w:rPr>
          <w:rFonts w:eastAsia="Calibri" w:cs="Calibri"/>
          <w:sz w:val="28"/>
          <w:szCs w:val="28"/>
          <w:u w:color="000000"/>
          <w:bdr w:val="nil"/>
          <w:lang w:val="en-US"/>
        </w:rPr>
        <w:t xml:space="preserve"> </w:t>
      </w:r>
      <w:r w:rsidRPr="007767A0">
        <w:rPr>
          <w:rFonts w:eastAsia="Calibri" w:cs="Calibri"/>
          <w:sz w:val="28"/>
          <w:szCs w:val="28"/>
          <w:u w:color="000000"/>
          <w:bdr w:val="nil"/>
          <w:lang w:val="en-US"/>
        </w:rPr>
        <w:t xml:space="preserve">g. via a share repurchase or dividend payment).  </w:t>
      </w:r>
    </w:p>
    <w:p w14:paraId="3C3D7E22"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sz w:val="28"/>
          <w:szCs w:val="28"/>
          <w:u w:color="000000"/>
          <w:bdr w:val="nil"/>
          <w:lang w:val="en-US"/>
        </w:rPr>
        <w:t>Borrowing and lending occur informally between family and friends, at the retail level through banks and on a large scale through governments and institutional investors.</w:t>
      </w:r>
    </w:p>
    <w:p w14:paraId="1E1CA396"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b/>
          <w:bCs/>
          <w:sz w:val="28"/>
          <w:szCs w:val="28"/>
          <w:u w:color="000000"/>
          <w:bdr w:val="nil"/>
          <w:lang w:val="en-US"/>
        </w:rPr>
        <w:t>A financial intermediary</w:t>
      </w:r>
      <w:r w:rsidRPr="007767A0">
        <w:rPr>
          <w:rFonts w:eastAsia="Calibri" w:cs="Calibri"/>
          <w:sz w:val="28"/>
          <w:szCs w:val="28"/>
          <w:u w:color="000000"/>
          <w:bdr w:val="nil"/>
          <w:lang w:val="en-US"/>
        </w:rPr>
        <w:t xml:space="preserve"> is a special financial entity, which performs the role of efficient allocation of funds when there are conditions that make it difficult for lenders or investors of funds to deal directly with borrowers of funds in financial markets. Financial intermediaries include depository institutions, insurance companies, regulated investment companies, investment banks, pension funds. The role of </w:t>
      </w:r>
      <w:r w:rsidR="003B7BEB">
        <w:rPr>
          <w:rFonts w:eastAsia="Calibri" w:cs="Calibri"/>
          <w:sz w:val="28"/>
          <w:szCs w:val="28"/>
          <w:u w:color="000000"/>
          <w:bdr w:val="nil"/>
          <w:lang w:val="en-US"/>
        </w:rPr>
        <w:t xml:space="preserve">the </w:t>
      </w:r>
      <w:r w:rsidRPr="007767A0">
        <w:rPr>
          <w:rFonts w:eastAsia="Calibri" w:cs="Calibri"/>
          <w:sz w:val="28"/>
          <w:szCs w:val="28"/>
          <w:u w:color="000000"/>
          <w:bdr w:val="nil"/>
          <w:lang w:val="en-US"/>
        </w:rPr>
        <w:t>financial intermediaries is to create more favorable transaction terms tha</w:t>
      </w:r>
      <w:r w:rsidR="003B7BEB">
        <w:rPr>
          <w:rFonts w:eastAsia="Calibri" w:cs="Calibri"/>
          <w:sz w:val="28"/>
          <w:szCs w:val="28"/>
          <w:u w:color="000000"/>
          <w:bdr w:val="nil"/>
          <w:lang w:val="en-US"/>
        </w:rPr>
        <w:t>t</w:t>
      </w:r>
      <w:r w:rsidRPr="007767A0">
        <w:rPr>
          <w:rFonts w:eastAsia="Calibri" w:cs="Calibri"/>
          <w:sz w:val="28"/>
          <w:szCs w:val="28"/>
          <w:u w:color="000000"/>
          <w:bdr w:val="nil"/>
          <w:lang w:val="en-US"/>
        </w:rPr>
        <w:t xml:space="preserve"> could be realized by lenders/investors and borrowers dealing directly with each other in the financial market. The financial intermediaries are engaged in: (i) obtaining funds from lenders or investors, and (ii) lending or investing the funds that they borrow to those who need funds. </w:t>
      </w:r>
    </w:p>
    <w:p w14:paraId="4BBC8509"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b/>
          <w:bCs/>
          <w:sz w:val="28"/>
          <w:szCs w:val="28"/>
          <w:u w:color="000000"/>
          <w:bdr w:val="nil"/>
          <w:lang w:val="en-US"/>
        </w:rPr>
        <w:t>Infrastructure providers</w:t>
      </w:r>
      <w:r w:rsidRPr="007767A0">
        <w:rPr>
          <w:rFonts w:eastAsia="Calibri" w:cs="Calibri"/>
          <w:sz w:val="28"/>
          <w:szCs w:val="28"/>
          <w:u w:color="000000"/>
          <w:bdr w:val="nil"/>
          <w:lang w:val="en-US"/>
        </w:rPr>
        <w:t xml:space="preserve"> that facilitate the clearing, settlement, and recording of monetary and other financial transactions can strengthen the financial markets they serve and play a critical role in the smooth functioning of the economy and fostering financial stability. However, if not properly managed, they can pose significant risks (systemic risk) to the financial system and be a potential source of contagion, especially in periods of market stress. </w:t>
      </w:r>
    </w:p>
    <w:p w14:paraId="1A48986B" w14:textId="77777777" w:rsidR="003C51B1" w:rsidRPr="007767A0" w:rsidRDefault="003C51B1" w:rsidP="00305E02">
      <w:pPr>
        <w:pBdr>
          <w:top w:val="nil"/>
          <w:left w:val="nil"/>
          <w:bottom w:val="nil"/>
          <w:right w:val="nil"/>
          <w:between w:val="nil"/>
          <w:bar w:val="nil"/>
        </w:pBdr>
        <w:spacing w:line="312" w:lineRule="auto"/>
        <w:ind w:firstLine="709"/>
        <w:jc w:val="both"/>
        <w:rPr>
          <w:rFonts w:eastAsia="Garamond"/>
          <w:sz w:val="28"/>
          <w:szCs w:val="28"/>
          <w:u w:color="000000"/>
          <w:bdr w:val="nil"/>
          <w:lang w:val="en-US"/>
        </w:rPr>
      </w:pPr>
      <w:r w:rsidRPr="007767A0">
        <w:rPr>
          <w:rFonts w:eastAsia="Calibri" w:cs="Calibri"/>
          <w:b/>
          <w:bCs/>
          <w:sz w:val="28"/>
          <w:szCs w:val="28"/>
          <w:u w:color="000000"/>
          <w:bdr w:val="nil"/>
          <w:lang w:val="en-US"/>
        </w:rPr>
        <w:t>Regulators</w:t>
      </w:r>
      <w:r w:rsidRPr="007767A0">
        <w:rPr>
          <w:rFonts w:eastAsia="Calibri" w:cs="Calibri"/>
          <w:sz w:val="28"/>
          <w:szCs w:val="28"/>
          <w:u w:color="000000"/>
          <w:bdr w:val="nil"/>
          <w:lang w:val="en-US"/>
        </w:rPr>
        <w:t xml:space="preserve"> are government and non-government organization</w:t>
      </w:r>
      <w:r w:rsidR="003B7BEB">
        <w:rPr>
          <w:rFonts w:eastAsia="Calibri" w:cs="Calibri"/>
          <w:sz w:val="28"/>
          <w:szCs w:val="28"/>
          <w:u w:color="000000"/>
          <w:bdr w:val="nil"/>
          <w:lang w:val="en-US"/>
        </w:rPr>
        <w:t>s</w:t>
      </w:r>
      <w:r w:rsidRPr="007767A0">
        <w:rPr>
          <w:rFonts w:eastAsia="Calibri" w:cs="Calibri"/>
          <w:sz w:val="28"/>
          <w:szCs w:val="28"/>
          <w:u w:color="000000"/>
          <w:bdr w:val="nil"/>
          <w:lang w:val="en-US"/>
        </w:rPr>
        <w:t xml:space="preserve"> that influence </w:t>
      </w:r>
      <w:r w:rsidR="003B7BEB">
        <w:rPr>
          <w:rFonts w:eastAsia="Calibri" w:cs="Calibri"/>
          <w:sz w:val="28"/>
          <w:szCs w:val="28"/>
          <w:u w:color="000000"/>
          <w:bdr w:val="nil"/>
          <w:lang w:val="en-US"/>
        </w:rPr>
        <w:t xml:space="preserve">on </w:t>
      </w:r>
      <w:r w:rsidRPr="007767A0">
        <w:rPr>
          <w:rFonts w:eastAsia="Calibri" w:cs="Calibri"/>
          <w:sz w:val="28"/>
          <w:szCs w:val="28"/>
          <w:u w:color="000000"/>
          <w:bdr w:val="nil"/>
          <w:lang w:val="en-US"/>
        </w:rPr>
        <w:t>financial markets and companies in the form of regulatio</w:t>
      </w:r>
      <w:r w:rsidR="003B7BEB">
        <w:rPr>
          <w:rFonts w:eastAsia="Calibri" w:cs="Calibri"/>
          <w:sz w:val="28"/>
          <w:szCs w:val="28"/>
          <w:u w:color="000000"/>
          <w:bdr w:val="nil"/>
          <w:lang w:val="en-US"/>
        </w:rPr>
        <w:t>n or supervision, which subject</w:t>
      </w:r>
      <w:r w:rsidRPr="007767A0">
        <w:rPr>
          <w:rFonts w:eastAsia="Calibri" w:cs="Calibri"/>
          <w:sz w:val="28"/>
          <w:szCs w:val="28"/>
          <w:u w:color="000000"/>
          <w:bdr w:val="nil"/>
          <w:lang w:val="en-US"/>
        </w:rPr>
        <w:t xml:space="preserve"> financial institutions to certain requirements, restrictions and guidelines, aiming to maintain the integrity of the financial system. Financial regulation has also influenced the structure of banking sectors by decreasing borrowing costs and increasing the variety of financial products available.</w:t>
      </w:r>
    </w:p>
    <w:p w14:paraId="6E0BF4CB" w14:textId="77777777" w:rsidR="003C51B1" w:rsidRPr="00DC7FC5" w:rsidRDefault="007557BC" w:rsidP="00DC7FC5">
      <w:pPr>
        <w:keepNext/>
        <w:keepLines/>
        <w:pBdr>
          <w:top w:val="single" w:sz="6" w:space="6" w:color="808080"/>
          <w:bottom w:val="single" w:sz="6" w:space="6" w:color="808080"/>
        </w:pBdr>
        <w:spacing w:before="240" w:after="240"/>
        <w:jc w:val="center"/>
        <w:outlineLvl w:val="0"/>
        <w:rPr>
          <w:b/>
          <w:caps/>
          <w:spacing w:val="20"/>
          <w:kern w:val="16"/>
          <w:sz w:val="28"/>
          <w:szCs w:val="18"/>
          <w:lang w:val="en-US"/>
        </w:rPr>
      </w:pPr>
      <w:r w:rsidRPr="00DC7FC5">
        <w:rPr>
          <w:b/>
          <w:caps/>
          <w:spacing w:val="20"/>
          <w:kern w:val="16"/>
          <w:sz w:val="28"/>
          <w:szCs w:val="18"/>
          <w:lang w:val="en-US"/>
        </w:rPr>
        <w:lastRenderedPageBreak/>
        <w:t>RECOMMENDED</w:t>
      </w:r>
      <w:r w:rsidR="003C51B1" w:rsidRPr="00DC7FC5">
        <w:rPr>
          <w:b/>
          <w:caps/>
          <w:spacing w:val="20"/>
          <w:kern w:val="16"/>
          <w:sz w:val="28"/>
          <w:szCs w:val="18"/>
          <w:lang w:val="en-US"/>
        </w:rPr>
        <w:t xml:space="preserve"> reading </w:t>
      </w:r>
    </w:p>
    <w:p w14:paraId="5BBB0B3A" w14:textId="77777777" w:rsidR="0072591B" w:rsidRPr="00305E02" w:rsidRDefault="0072591B"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sidRPr="00305E02">
        <w:rPr>
          <w:rFonts w:ascii="Garamond" w:hAnsi="Garamond" w:cs="Calibri"/>
          <w:szCs w:val="28"/>
          <w:bdr w:val="none" w:sz="0" w:space="0" w:color="auto" w:frame="1"/>
          <w:lang w:val="en-US"/>
        </w:rPr>
        <w:t>Allen, F., Carletti, E.,</w:t>
      </w:r>
      <w:r w:rsidR="00305E02">
        <w:rPr>
          <w:rFonts w:ascii="Garamond" w:hAnsi="Garamond" w:cs="Calibri"/>
          <w:szCs w:val="28"/>
          <w:bdr w:val="none" w:sz="0" w:space="0" w:color="auto" w:frame="1"/>
          <w:lang w:val="en-US"/>
        </w:rPr>
        <w:t xml:space="preserve"> and Marquez, R., 2011,</w:t>
      </w:r>
      <w:r w:rsidRPr="00305E02">
        <w:rPr>
          <w:rFonts w:ascii="Garamond" w:hAnsi="Garamond" w:cs="Calibri"/>
          <w:szCs w:val="28"/>
          <w:bdr w:val="none" w:sz="0" w:space="0" w:color="auto" w:frame="1"/>
          <w:lang w:val="en-US"/>
        </w:rPr>
        <w:t xml:space="preserve"> Credit market com</w:t>
      </w:r>
      <w:r w:rsidR="00305E02">
        <w:rPr>
          <w:rFonts w:ascii="Garamond" w:hAnsi="Garamond" w:cs="Calibri"/>
          <w:szCs w:val="28"/>
          <w:bdr w:val="none" w:sz="0" w:space="0" w:color="auto" w:frame="1"/>
          <w:lang w:val="en-US"/>
        </w:rPr>
        <w:t>petition and capital regulation,</w:t>
      </w:r>
      <w:r w:rsidRPr="00305E02">
        <w:rPr>
          <w:rFonts w:ascii="Garamond" w:hAnsi="Garamond" w:cs="Calibri"/>
          <w:szCs w:val="28"/>
          <w:bdr w:val="none" w:sz="0" w:space="0" w:color="auto" w:frame="1"/>
          <w:lang w:val="en-US"/>
        </w:rPr>
        <w:t xml:space="preserve"> </w:t>
      </w:r>
      <w:r w:rsidRPr="00305E02">
        <w:rPr>
          <w:rFonts w:ascii="Garamond" w:hAnsi="Garamond" w:cs="Calibri"/>
          <w:i/>
          <w:szCs w:val="28"/>
          <w:bdr w:val="none" w:sz="0" w:space="0" w:color="auto" w:frame="1"/>
          <w:lang w:val="en-US"/>
        </w:rPr>
        <w:t>Review of Financial Studies</w:t>
      </w:r>
      <w:r w:rsidRPr="00305E02">
        <w:rPr>
          <w:rFonts w:ascii="Garamond" w:hAnsi="Garamond" w:cs="Calibri"/>
          <w:szCs w:val="28"/>
          <w:bdr w:val="none" w:sz="0" w:space="0" w:color="auto" w:frame="1"/>
          <w:lang w:val="en-US"/>
        </w:rPr>
        <w:t xml:space="preserve">, 24(4), </w:t>
      </w:r>
      <w:r w:rsidR="00305E02">
        <w:rPr>
          <w:rFonts w:ascii="Garamond" w:hAnsi="Garamond" w:cs="Calibri"/>
          <w:szCs w:val="28"/>
          <w:bdr w:val="none" w:sz="0" w:space="0" w:color="auto" w:frame="1"/>
          <w:lang w:val="en-US"/>
        </w:rPr>
        <w:t xml:space="preserve">pp. </w:t>
      </w:r>
      <w:r w:rsidRPr="00305E02">
        <w:rPr>
          <w:rFonts w:ascii="Garamond" w:hAnsi="Garamond" w:cs="Calibri"/>
          <w:szCs w:val="28"/>
          <w:bdr w:val="none" w:sz="0" w:space="0" w:color="auto" w:frame="1"/>
          <w:lang w:val="en-US"/>
        </w:rPr>
        <w:t>983</w:t>
      </w:r>
      <w:r w:rsidR="00305E02" w:rsidRPr="00305E02">
        <w:rPr>
          <w:rFonts w:cs="Garamond"/>
          <w:color w:val="auto"/>
          <w:lang w:val="en-US" w:eastAsia="ru-RU" w:bidi="ru-RU"/>
        </w:rPr>
        <w:t>–</w:t>
      </w:r>
      <w:r w:rsidRPr="00305E02">
        <w:rPr>
          <w:rFonts w:ascii="Garamond" w:hAnsi="Garamond" w:cs="Calibri"/>
          <w:szCs w:val="28"/>
          <w:bdr w:val="none" w:sz="0" w:space="0" w:color="auto" w:frame="1"/>
          <w:lang w:val="en-US"/>
        </w:rPr>
        <w:t>1018.</w:t>
      </w:r>
    </w:p>
    <w:p w14:paraId="31AA9719" w14:textId="77777777" w:rsidR="0072591B" w:rsidRPr="00305E02" w:rsidRDefault="00305E02"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Pr>
          <w:rFonts w:ascii="Garamond" w:hAnsi="Garamond" w:cs="Calibri"/>
          <w:szCs w:val="28"/>
          <w:bdr w:val="none" w:sz="0" w:space="0" w:color="auto" w:frame="1"/>
          <w:lang w:val="en-US"/>
        </w:rPr>
        <w:t>Blake, D., 2000,</w:t>
      </w:r>
      <w:r w:rsidR="0072591B" w:rsidRPr="00305E02">
        <w:rPr>
          <w:rFonts w:ascii="Garamond" w:hAnsi="Garamond" w:cs="Calibri"/>
          <w:szCs w:val="28"/>
          <w:bdr w:val="none" w:sz="0" w:space="0" w:color="auto" w:frame="1"/>
          <w:lang w:val="en-US"/>
        </w:rPr>
        <w:t xml:space="preserve"> </w:t>
      </w:r>
      <w:r w:rsidR="0072591B" w:rsidRPr="00305E02">
        <w:rPr>
          <w:rFonts w:ascii="Garamond" w:hAnsi="Garamond" w:cs="Calibri"/>
          <w:i/>
          <w:szCs w:val="28"/>
          <w:bdr w:val="none" w:sz="0" w:space="0" w:color="auto" w:frame="1"/>
          <w:lang w:val="en-US"/>
        </w:rPr>
        <w:t>Financial market analysis</w:t>
      </w:r>
      <w:r>
        <w:rPr>
          <w:rFonts w:ascii="Garamond" w:hAnsi="Garamond" w:cs="Calibri"/>
          <w:szCs w:val="28"/>
          <w:bdr w:val="none" w:sz="0" w:space="0" w:color="auto" w:frame="1"/>
          <w:lang w:val="en-US"/>
        </w:rPr>
        <w:t>,</w:t>
      </w:r>
      <w:r w:rsidR="0072591B" w:rsidRPr="00305E02">
        <w:rPr>
          <w:rFonts w:ascii="Garamond" w:hAnsi="Garamond" w:cs="Calibri"/>
          <w:szCs w:val="28"/>
          <w:bdr w:val="none" w:sz="0" w:space="0" w:color="auto" w:frame="1"/>
          <w:lang w:val="en-US"/>
        </w:rPr>
        <w:t xml:space="preserve"> New York: Wiley. </w:t>
      </w:r>
    </w:p>
    <w:p w14:paraId="78736A8D" w14:textId="77777777" w:rsidR="0072591B" w:rsidRPr="00305E02" w:rsidRDefault="0072591B"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sidRPr="00305E02">
        <w:rPr>
          <w:rFonts w:ascii="Garamond" w:hAnsi="Garamond" w:cs="Calibri"/>
          <w:szCs w:val="28"/>
          <w:bdr w:val="none" w:sz="0" w:space="0" w:color="auto" w:frame="1"/>
          <w:lang w:val="en-US"/>
        </w:rPr>
        <w:t xml:space="preserve">Bekaert, G., Harvey, C. R., Lundblad, C. T., </w:t>
      </w:r>
      <w:r w:rsidR="00305E02">
        <w:rPr>
          <w:rFonts w:ascii="Garamond" w:hAnsi="Garamond" w:cs="Calibri"/>
          <w:szCs w:val="28"/>
          <w:bdr w:val="none" w:sz="0" w:space="0" w:color="auto" w:frame="1"/>
          <w:lang w:val="en-US"/>
        </w:rPr>
        <w:t xml:space="preserve">and </w:t>
      </w:r>
      <w:r w:rsidRPr="00305E02">
        <w:rPr>
          <w:rFonts w:ascii="Garamond" w:hAnsi="Garamond" w:cs="Calibri"/>
          <w:szCs w:val="28"/>
          <w:bdr w:val="none" w:sz="0" w:space="0" w:color="auto" w:frame="1"/>
          <w:lang w:val="en-US"/>
        </w:rPr>
        <w:t>Sieg</w:t>
      </w:r>
      <w:r w:rsidR="00305E02">
        <w:rPr>
          <w:rFonts w:ascii="Garamond" w:hAnsi="Garamond" w:cs="Calibri"/>
          <w:szCs w:val="28"/>
          <w:bdr w:val="none" w:sz="0" w:space="0" w:color="auto" w:frame="1"/>
          <w:lang w:val="en-US"/>
        </w:rPr>
        <w:t>el, S., 2013,</w:t>
      </w:r>
      <w:r w:rsidRPr="00305E02">
        <w:rPr>
          <w:rFonts w:ascii="Garamond" w:hAnsi="Garamond" w:cs="Calibri"/>
          <w:szCs w:val="28"/>
          <w:bdr w:val="none" w:sz="0" w:space="0" w:color="auto" w:frame="1"/>
          <w:lang w:val="en-US"/>
        </w:rPr>
        <w:t xml:space="preserve"> The European Union, the Euro</w:t>
      </w:r>
      <w:r w:rsidR="00305E02">
        <w:rPr>
          <w:rFonts w:ascii="Garamond" w:hAnsi="Garamond" w:cs="Calibri"/>
          <w:szCs w:val="28"/>
          <w:bdr w:val="none" w:sz="0" w:space="0" w:color="auto" w:frame="1"/>
          <w:lang w:val="en-US"/>
        </w:rPr>
        <w:t>, and equity market integration,</w:t>
      </w:r>
      <w:r w:rsidRPr="00305E02">
        <w:rPr>
          <w:rFonts w:ascii="Garamond" w:hAnsi="Garamond" w:cs="Calibri"/>
          <w:szCs w:val="28"/>
          <w:bdr w:val="none" w:sz="0" w:space="0" w:color="auto" w:frame="1"/>
          <w:lang w:val="en-US"/>
        </w:rPr>
        <w:t xml:space="preserve"> </w:t>
      </w:r>
      <w:r w:rsidRPr="00305E02">
        <w:rPr>
          <w:rFonts w:ascii="Garamond" w:hAnsi="Garamond" w:cs="Calibri"/>
          <w:i/>
          <w:szCs w:val="28"/>
          <w:bdr w:val="none" w:sz="0" w:space="0" w:color="auto" w:frame="1"/>
          <w:lang w:val="en-US"/>
        </w:rPr>
        <w:t>Journal of Financial Economics</w:t>
      </w:r>
      <w:r w:rsidRPr="00305E02">
        <w:rPr>
          <w:rFonts w:ascii="Garamond" w:hAnsi="Garamond" w:cs="Calibri"/>
          <w:szCs w:val="28"/>
          <w:bdr w:val="none" w:sz="0" w:space="0" w:color="auto" w:frame="1"/>
          <w:lang w:val="en-US"/>
        </w:rPr>
        <w:t xml:space="preserve">, 109(3), </w:t>
      </w:r>
      <w:r w:rsidR="00305E02">
        <w:rPr>
          <w:rFonts w:ascii="Garamond" w:hAnsi="Garamond" w:cs="Calibri"/>
          <w:szCs w:val="28"/>
          <w:bdr w:val="none" w:sz="0" w:space="0" w:color="auto" w:frame="1"/>
          <w:lang w:val="en-US"/>
        </w:rPr>
        <w:t xml:space="preserve">pp. </w:t>
      </w:r>
      <w:r w:rsidRPr="00305E02">
        <w:rPr>
          <w:rFonts w:ascii="Garamond" w:hAnsi="Garamond" w:cs="Calibri"/>
          <w:szCs w:val="28"/>
          <w:bdr w:val="none" w:sz="0" w:space="0" w:color="auto" w:frame="1"/>
          <w:lang w:val="en-US"/>
        </w:rPr>
        <w:t>583</w:t>
      </w:r>
      <w:r w:rsidR="00305E02" w:rsidRPr="00305E02">
        <w:rPr>
          <w:rFonts w:cs="Garamond"/>
          <w:color w:val="auto"/>
          <w:lang w:val="en-US" w:eastAsia="ru-RU" w:bidi="ru-RU"/>
        </w:rPr>
        <w:t>–</w:t>
      </w:r>
      <w:r w:rsidRPr="00305E02">
        <w:rPr>
          <w:rFonts w:ascii="Garamond" w:hAnsi="Garamond" w:cs="Calibri"/>
          <w:szCs w:val="28"/>
          <w:bdr w:val="none" w:sz="0" w:space="0" w:color="auto" w:frame="1"/>
          <w:lang w:val="en-US"/>
        </w:rPr>
        <w:t>603.</w:t>
      </w:r>
    </w:p>
    <w:p w14:paraId="7ECBA692" w14:textId="77777777" w:rsidR="0072591B" w:rsidRPr="00305E02" w:rsidRDefault="0072591B"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sidRPr="00305E02">
        <w:rPr>
          <w:rFonts w:ascii="Garamond" w:hAnsi="Garamond" w:cs="Calibri"/>
          <w:szCs w:val="28"/>
          <w:bdr w:val="none" w:sz="0" w:space="0" w:color="auto" w:frame="1"/>
          <w:lang w:val="en-US"/>
        </w:rPr>
        <w:t xml:space="preserve">Bekaert, G., Harvey, C. R., Lundblad, C. T., </w:t>
      </w:r>
      <w:r w:rsidR="00305E02">
        <w:rPr>
          <w:rFonts w:ascii="Garamond" w:hAnsi="Garamond" w:cs="Calibri"/>
          <w:szCs w:val="28"/>
          <w:bdr w:val="none" w:sz="0" w:space="0" w:color="auto" w:frame="1"/>
          <w:lang w:val="en-US"/>
        </w:rPr>
        <w:t>and Siegel, S., 2011,</w:t>
      </w:r>
      <w:r w:rsidRPr="00305E02">
        <w:rPr>
          <w:rFonts w:ascii="Garamond" w:hAnsi="Garamond" w:cs="Calibri"/>
          <w:szCs w:val="28"/>
          <w:bdr w:val="none" w:sz="0" w:space="0" w:color="auto" w:frame="1"/>
          <w:lang w:val="en-US"/>
        </w:rPr>
        <w:t xml:space="preserve"> What segments equity markets?, </w:t>
      </w:r>
      <w:r w:rsidRPr="00305E02">
        <w:rPr>
          <w:rFonts w:ascii="Garamond" w:hAnsi="Garamond" w:cs="Calibri"/>
          <w:i/>
          <w:szCs w:val="28"/>
          <w:bdr w:val="none" w:sz="0" w:space="0" w:color="auto" w:frame="1"/>
          <w:lang w:val="en-US"/>
        </w:rPr>
        <w:t>Review of Financial Studies</w:t>
      </w:r>
      <w:r w:rsidRPr="00305E02">
        <w:rPr>
          <w:rFonts w:ascii="Garamond" w:hAnsi="Garamond" w:cs="Calibri"/>
          <w:szCs w:val="28"/>
          <w:bdr w:val="none" w:sz="0" w:space="0" w:color="auto" w:frame="1"/>
          <w:lang w:val="en-US"/>
        </w:rPr>
        <w:t xml:space="preserve">, 24(12), </w:t>
      </w:r>
      <w:r w:rsidR="00305E02">
        <w:rPr>
          <w:rFonts w:ascii="Garamond" w:hAnsi="Garamond" w:cs="Calibri"/>
          <w:szCs w:val="28"/>
          <w:bdr w:val="none" w:sz="0" w:space="0" w:color="auto" w:frame="1"/>
          <w:lang w:val="en-US"/>
        </w:rPr>
        <w:t xml:space="preserve">pp. </w:t>
      </w:r>
      <w:r w:rsidRPr="00305E02">
        <w:rPr>
          <w:rFonts w:ascii="Garamond" w:hAnsi="Garamond" w:cs="Calibri"/>
          <w:szCs w:val="28"/>
          <w:bdr w:val="none" w:sz="0" w:space="0" w:color="auto" w:frame="1"/>
          <w:lang w:val="en-US"/>
        </w:rPr>
        <w:t>3841</w:t>
      </w:r>
      <w:r w:rsidR="00305E02" w:rsidRPr="00305E02">
        <w:rPr>
          <w:rFonts w:cs="Garamond"/>
          <w:color w:val="auto"/>
          <w:lang w:val="en-US" w:eastAsia="ru-RU" w:bidi="ru-RU"/>
        </w:rPr>
        <w:t>–</w:t>
      </w:r>
      <w:r w:rsidRPr="00305E02">
        <w:rPr>
          <w:rFonts w:ascii="Garamond" w:hAnsi="Garamond" w:cs="Calibri"/>
          <w:szCs w:val="28"/>
          <w:bdr w:val="none" w:sz="0" w:space="0" w:color="auto" w:frame="1"/>
          <w:lang w:val="en-US"/>
        </w:rPr>
        <w:t>3890.</w:t>
      </w:r>
    </w:p>
    <w:p w14:paraId="65C218E9" w14:textId="77777777" w:rsidR="0072591B" w:rsidRPr="00305E02" w:rsidRDefault="0072591B"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sidRPr="00305E02">
        <w:rPr>
          <w:rFonts w:ascii="Garamond" w:hAnsi="Garamond" w:cs="Calibri"/>
          <w:szCs w:val="28"/>
          <w:bdr w:val="none" w:sz="0" w:space="0" w:color="auto" w:frame="1"/>
          <w:lang w:val="en-US"/>
        </w:rPr>
        <w:t xml:space="preserve">Duenwald, C. K., Gueorguiev N., </w:t>
      </w:r>
      <w:r w:rsidR="00305E02">
        <w:rPr>
          <w:rFonts w:ascii="Garamond" w:hAnsi="Garamond" w:cs="Calibri"/>
          <w:szCs w:val="28"/>
          <w:bdr w:val="none" w:sz="0" w:space="0" w:color="auto" w:frame="1"/>
          <w:lang w:val="en-US"/>
        </w:rPr>
        <w:t>and Schaechter, A., 2005,</w:t>
      </w:r>
      <w:r w:rsidRPr="00305E02">
        <w:rPr>
          <w:rFonts w:ascii="Garamond" w:hAnsi="Garamond" w:cs="Calibri"/>
          <w:szCs w:val="28"/>
          <w:bdr w:val="none" w:sz="0" w:space="0" w:color="auto" w:frame="1"/>
          <w:lang w:val="en-US"/>
        </w:rPr>
        <w:t xml:space="preserve"> Too much of a good thing? Credit booms in transition economies: The cases of Bulgaria, Romania, and Ukraine</w:t>
      </w:r>
      <w:r w:rsidR="00305E02">
        <w:rPr>
          <w:rFonts w:ascii="Garamond" w:hAnsi="Garamond" w:cs="Calibri"/>
          <w:szCs w:val="28"/>
          <w:bdr w:val="none" w:sz="0" w:space="0" w:color="auto" w:frame="1"/>
          <w:lang w:val="en-US"/>
        </w:rPr>
        <w:t>, pp. 1-33</w:t>
      </w:r>
      <w:r w:rsidRPr="00305E02">
        <w:rPr>
          <w:rFonts w:ascii="Garamond" w:hAnsi="Garamond" w:cs="Calibri"/>
          <w:szCs w:val="28"/>
          <w:bdr w:val="none" w:sz="0" w:space="0" w:color="auto" w:frame="1"/>
          <w:lang w:val="en-US"/>
        </w:rPr>
        <w:t>.</w:t>
      </w:r>
    </w:p>
    <w:p w14:paraId="624295CF" w14:textId="77777777" w:rsidR="0072591B" w:rsidRPr="00305E02" w:rsidRDefault="00305E02"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Pr>
          <w:rFonts w:ascii="Garamond" w:hAnsi="Garamond" w:cs="Calibri"/>
          <w:szCs w:val="28"/>
          <w:bdr w:val="none" w:sz="0" w:space="0" w:color="auto" w:frame="1"/>
          <w:lang w:val="en-US"/>
        </w:rPr>
        <w:t>Farmer, R. E., 2012,</w:t>
      </w:r>
      <w:r w:rsidR="0072591B" w:rsidRPr="00305E02">
        <w:rPr>
          <w:rFonts w:ascii="Garamond" w:hAnsi="Garamond" w:cs="Calibri"/>
          <w:szCs w:val="28"/>
          <w:bdr w:val="none" w:sz="0" w:space="0" w:color="auto" w:frame="1"/>
          <w:lang w:val="en-US"/>
        </w:rPr>
        <w:t xml:space="preserve"> The stock market crash of 2008 caused the Great Recession:</w:t>
      </w:r>
      <w:r>
        <w:rPr>
          <w:rFonts w:ascii="Garamond" w:hAnsi="Garamond" w:cs="Calibri"/>
          <w:szCs w:val="28"/>
          <w:bdr w:val="none" w:sz="0" w:space="0" w:color="auto" w:frame="1"/>
          <w:lang w:val="en-US"/>
        </w:rPr>
        <w:t xml:space="preserve"> Theory and evidence,</w:t>
      </w:r>
      <w:r w:rsidR="0072591B" w:rsidRPr="00305E02">
        <w:rPr>
          <w:rFonts w:ascii="Garamond" w:hAnsi="Garamond" w:cs="Calibri"/>
          <w:szCs w:val="28"/>
          <w:bdr w:val="none" w:sz="0" w:space="0" w:color="auto" w:frame="1"/>
          <w:lang w:val="en-US"/>
        </w:rPr>
        <w:t xml:space="preserve"> </w:t>
      </w:r>
      <w:r w:rsidR="0072591B" w:rsidRPr="00305E02">
        <w:rPr>
          <w:rFonts w:ascii="Garamond" w:hAnsi="Garamond" w:cs="Calibri"/>
          <w:i/>
          <w:szCs w:val="28"/>
          <w:bdr w:val="none" w:sz="0" w:space="0" w:color="auto" w:frame="1"/>
          <w:lang w:val="en-US"/>
        </w:rPr>
        <w:t>Journal of Economic Dynamics and Control</w:t>
      </w:r>
      <w:r w:rsidR="0072591B" w:rsidRPr="00305E02">
        <w:rPr>
          <w:rFonts w:ascii="Garamond" w:hAnsi="Garamond" w:cs="Calibri"/>
          <w:szCs w:val="28"/>
          <w:bdr w:val="none" w:sz="0" w:space="0" w:color="auto" w:frame="1"/>
          <w:lang w:val="en-US"/>
        </w:rPr>
        <w:t xml:space="preserve">, 36(5), </w:t>
      </w:r>
      <w:r>
        <w:rPr>
          <w:rFonts w:ascii="Garamond" w:hAnsi="Garamond" w:cs="Calibri"/>
          <w:szCs w:val="28"/>
          <w:bdr w:val="none" w:sz="0" w:space="0" w:color="auto" w:frame="1"/>
          <w:lang w:val="en-US"/>
        </w:rPr>
        <w:t xml:space="preserve">pp. </w:t>
      </w:r>
      <w:r w:rsidR="0072591B" w:rsidRPr="00305E02">
        <w:rPr>
          <w:rFonts w:ascii="Garamond" w:hAnsi="Garamond" w:cs="Calibri"/>
          <w:szCs w:val="28"/>
          <w:bdr w:val="none" w:sz="0" w:space="0" w:color="auto" w:frame="1"/>
          <w:lang w:val="en-US"/>
        </w:rPr>
        <w:t>693</w:t>
      </w:r>
      <w:r w:rsidRPr="00305E02">
        <w:rPr>
          <w:rFonts w:cs="Garamond"/>
          <w:color w:val="auto"/>
          <w:lang w:val="en-US" w:eastAsia="ru-RU" w:bidi="ru-RU"/>
        </w:rPr>
        <w:t>–</w:t>
      </w:r>
      <w:r w:rsidR="0072591B" w:rsidRPr="00305E02">
        <w:rPr>
          <w:rFonts w:ascii="Garamond" w:hAnsi="Garamond" w:cs="Calibri"/>
          <w:szCs w:val="28"/>
          <w:bdr w:val="none" w:sz="0" w:space="0" w:color="auto" w:frame="1"/>
          <w:lang w:val="en-US"/>
        </w:rPr>
        <w:t>707.</w:t>
      </w:r>
    </w:p>
    <w:p w14:paraId="2F7A0702" w14:textId="77777777" w:rsidR="0072591B" w:rsidRPr="00305E02" w:rsidRDefault="0072591B"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sidRPr="00305E02">
        <w:rPr>
          <w:rFonts w:ascii="Garamond" w:hAnsi="Garamond" w:cs="Calibri"/>
          <w:szCs w:val="28"/>
          <w:bdr w:val="none" w:sz="0" w:space="0" w:color="auto" w:frame="1"/>
          <w:lang w:val="en-US"/>
        </w:rPr>
        <w:t xml:space="preserve">Graham, M., Kiviaho, J., </w:t>
      </w:r>
      <w:r w:rsidR="00305E02">
        <w:rPr>
          <w:rFonts w:ascii="Garamond" w:hAnsi="Garamond" w:cs="Calibri"/>
          <w:szCs w:val="28"/>
          <w:bdr w:val="none" w:sz="0" w:space="0" w:color="auto" w:frame="1"/>
          <w:lang w:val="en-US"/>
        </w:rPr>
        <w:t xml:space="preserve">and </w:t>
      </w:r>
      <w:r w:rsidR="005F27C2">
        <w:rPr>
          <w:rFonts w:ascii="Garamond" w:hAnsi="Garamond" w:cs="Calibri"/>
          <w:szCs w:val="28"/>
          <w:bdr w:val="none" w:sz="0" w:space="0" w:color="auto" w:frame="1"/>
          <w:lang w:val="en-US"/>
        </w:rPr>
        <w:t>Nikkinen, J., 2012,</w:t>
      </w:r>
      <w:r w:rsidRPr="00305E02">
        <w:rPr>
          <w:rFonts w:ascii="Garamond" w:hAnsi="Garamond" w:cs="Calibri"/>
          <w:szCs w:val="28"/>
          <w:bdr w:val="none" w:sz="0" w:space="0" w:color="auto" w:frame="1"/>
          <w:lang w:val="en-US"/>
        </w:rPr>
        <w:t xml:space="preserve"> Integration of 22 emerging stock market</w:t>
      </w:r>
      <w:r w:rsidR="005F27C2">
        <w:rPr>
          <w:rFonts w:ascii="Garamond" w:hAnsi="Garamond" w:cs="Calibri"/>
          <w:szCs w:val="28"/>
          <w:bdr w:val="none" w:sz="0" w:space="0" w:color="auto" w:frame="1"/>
          <w:lang w:val="en-US"/>
        </w:rPr>
        <w:t>s: A three-dimensional analysis,</w:t>
      </w:r>
      <w:r w:rsidRPr="00305E02">
        <w:rPr>
          <w:rFonts w:ascii="Garamond" w:hAnsi="Garamond" w:cs="Calibri"/>
          <w:szCs w:val="28"/>
          <w:bdr w:val="none" w:sz="0" w:space="0" w:color="auto" w:frame="1"/>
          <w:lang w:val="en-US"/>
        </w:rPr>
        <w:t xml:space="preserve"> </w:t>
      </w:r>
      <w:r w:rsidRPr="005F27C2">
        <w:rPr>
          <w:rFonts w:ascii="Garamond" w:hAnsi="Garamond" w:cs="Calibri"/>
          <w:i/>
          <w:szCs w:val="28"/>
          <w:bdr w:val="none" w:sz="0" w:space="0" w:color="auto" w:frame="1"/>
          <w:lang w:val="en-US"/>
        </w:rPr>
        <w:t>Global Finance Journal</w:t>
      </w:r>
      <w:r w:rsidRPr="00305E02">
        <w:rPr>
          <w:rFonts w:ascii="Garamond" w:hAnsi="Garamond" w:cs="Calibri"/>
          <w:szCs w:val="28"/>
          <w:bdr w:val="none" w:sz="0" w:space="0" w:color="auto" w:frame="1"/>
          <w:lang w:val="en-US"/>
        </w:rPr>
        <w:t>, 23(1),</w:t>
      </w:r>
      <w:r w:rsidR="005F27C2">
        <w:rPr>
          <w:rFonts w:ascii="Garamond" w:hAnsi="Garamond" w:cs="Calibri"/>
          <w:szCs w:val="28"/>
          <w:bdr w:val="none" w:sz="0" w:space="0" w:color="auto" w:frame="1"/>
          <w:lang w:val="en-US"/>
        </w:rPr>
        <w:t xml:space="preserve"> pp.</w:t>
      </w:r>
      <w:r w:rsidRPr="00305E02">
        <w:rPr>
          <w:rFonts w:ascii="Garamond" w:hAnsi="Garamond" w:cs="Calibri"/>
          <w:szCs w:val="28"/>
          <w:bdr w:val="none" w:sz="0" w:space="0" w:color="auto" w:frame="1"/>
          <w:lang w:val="en-US"/>
        </w:rPr>
        <w:t xml:space="preserve"> 34</w:t>
      </w:r>
      <w:r w:rsidR="005F27C2" w:rsidRPr="00305E02">
        <w:rPr>
          <w:rFonts w:cs="Garamond"/>
          <w:color w:val="auto"/>
          <w:lang w:val="en-US" w:eastAsia="ru-RU" w:bidi="ru-RU"/>
        </w:rPr>
        <w:t>–</w:t>
      </w:r>
      <w:r w:rsidRPr="00305E02">
        <w:rPr>
          <w:rFonts w:ascii="Garamond" w:hAnsi="Garamond" w:cs="Calibri"/>
          <w:szCs w:val="28"/>
          <w:bdr w:val="none" w:sz="0" w:space="0" w:color="auto" w:frame="1"/>
          <w:lang w:val="en-US"/>
        </w:rPr>
        <w:t>47.</w:t>
      </w:r>
    </w:p>
    <w:p w14:paraId="776BA546" w14:textId="77777777" w:rsidR="0072591B" w:rsidRPr="00305E02" w:rsidRDefault="005F27C2"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Pr>
          <w:rFonts w:ascii="Garamond" w:hAnsi="Garamond" w:cs="Calibri"/>
          <w:szCs w:val="28"/>
          <w:bdr w:val="none" w:sz="0" w:space="0" w:color="auto" w:frame="1"/>
          <w:lang w:val="en-US"/>
        </w:rPr>
        <w:t>Madura, J., 2014,</w:t>
      </w:r>
      <w:r w:rsidR="0072591B" w:rsidRPr="00305E02">
        <w:rPr>
          <w:rFonts w:ascii="Garamond" w:hAnsi="Garamond" w:cs="Calibri"/>
          <w:szCs w:val="28"/>
          <w:bdr w:val="none" w:sz="0" w:space="0" w:color="auto" w:frame="1"/>
          <w:lang w:val="en-US"/>
        </w:rPr>
        <w:t xml:space="preserve"> </w:t>
      </w:r>
      <w:r w:rsidR="0072591B" w:rsidRPr="005F27C2">
        <w:rPr>
          <w:rFonts w:ascii="Garamond" w:hAnsi="Garamond" w:cs="Calibri"/>
          <w:i/>
          <w:szCs w:val="28"/>
          <w:bdr w:val="none" w:sz="0" w:space="0" w:color="auto" w:frame="1"/>
          <w:lang w:val="en-US"/>
        </w:rPr>
        <w:t>Fin</w:t>
      </w:r>
      <w:r w:rsidRPr="005F27C2">
        <w:rPr>
          <w:rFonts w:ascii="Garamond" w:hAnsi="Garamond" w:cs="Calibri"/>
          <w:i/>
          <w:szCs w:val="28"/>
          <w:bdr w:val="none" w:sz="0" w:space="0" w:color="auto" w:frame="1"/>
          <w:lang w:val="en-US"/>
        </w:rPr>
        <w:t>ancial markets and institutions</w:t>
      </w:r>
      <w:r>
        <w:rPr>
          <w:rFonts w:ascii="Garamond" w:hAnsi="Garamond" w:cs="Calibri"/>
          <w:szCs w:val="28"/>
          <w:bdr w:val="none" w:sz="0" w:space="0" w:color="auto" w:frame="1"/>
          <w:lang w:val="en-US"/>
        </w:rPr>
        <w:t>,</w:t>
      </w:r>
      <w:r w:rsidR="0072591B" w:rsidRPr="00305E02">
        <w:rPr>
          <w:rFonts w:ascii="Garamond" w:hAnsi="Garamond" w:cs="Calibri"/>
          <w:szCs w:val="28"/>
          <w:bdr w:val="none" w:sz="0" w:space="0" w:color="auto" w:frame="1"/>
          <w:lang w:val="en-US"/>
        </w:rPr>
        <w:t xml:space="preserve"> Cengage learning.</w:t>
      </w:r>
    </w:p>
    <w:p w14:paraId="77B06E8E" w14:textId="77777777" w:rsidR="0072591B" w:rsidRPr="00305E02" w:rsidRDefault="0072591B"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sidRPr="00305E02">
        <w:rPr>
          <w:rFonts w:ascii="Garamond" w:hAnsi="Garamond" w:cs="Calibri"/>
          <w:szCs w:val="28"/>
          <w:bdr w:val="none" w:sz="0" w:space="0" w:color="auto" w:frame="1"/>
          <w:lang w:val="en-US"/>
        </w:rPr>
        <w:t xml:space="preserve">Ong, M. L., </w:t>
      </w:r>
      <w:r w:rsidR="005F27C2">
        <w:rPr>
          <w:rFonts w:ascii="Garamond" w:hAnsi="Garamond" w:cs="Calibri"/>
          <w:szCs w:val="28"/>
          <w:bdr w:val="none" w:sz="0" w:space="0" w:color="auto" w:frame="1"/>
          <w:lang w:val="en-US"/>
        </w:rPr>
        <w:t>and Iorgova, S., 2008,</w:t>
      </w:r>
      <w:r w:rsidRPr="00305E02">
        <w:rPr>
          <w:rFonts w:ascii="Garamond" w:hAnsi="Garamond" w:cs="Calibri"/>
          <w:szCs w:val="28"/>
          <w:bdr w:val="none" w:sz="0" w:space="0" w:color="auto" w:frame="1"/>
          <w:lang w:val="en-US"/>
        </w:rPr>
        <w:t xml:space="preserve"> The Capital Markets of Emerging Europe: Institut</w:t>
      </w:r>
      <w:r w:rsidR="005F27C2">
        <w:rPr>
          <w:rFonts w:ascii="Garamond" w:hAnsi="Garamond" w:cs="Calibri"/>
          <w:szCs w:val="28"/>
          <w:bdr w:val="none" w:sz="0" w:space="0" w:color="auto" w:frame="1"/>
          <w:lang w:val="en-US"/>
        </w:rPr>
        <w:t>ions, Instruments and Investors,</w:t>
      </w:r>
      <w:r w:rsidRPr="00305E02">
        <w:rPr>
          <w:rFonts w:ascii="Garamond" w:hAnsi="Garamond" w:cs="Calibri"/>
          <w:szCs w:val="28"/>
          <w:bdr w:val="none" w:sz="0" w:space="0" w:color="auto" w:frame="1"/>
          <w:lang w:val="en-US"/>
        </w:rPr>
        <w:t xml:space="preserve"> </w:t>
      </w:r>
      <w:r w:rsidRPr="005F27C2">
        <w:rPr>
          <w:rFonts w:ascii="Garamond" w:hAnsi="Garamond" w:cs="Calibri"/>
          <w:i/>
          <w:szCs w:val="28"/>
          <w:bdr w:val="none" w:sz="0" w:space="0" w:color="auto" w:frame="1"/>
          <w:lang w:val="en-US"/>
        </w:rPr>
        <w:t>International Monetary Fund</w:t>
      </w:r>
      <w:r w:rsidRPr="00305E02">
        <w:rPr>
          <w:rFonts w:ascii="Garamond" w:hAnsi="Garamond" w:cs="Calibri"/>
          <w:szCs w:val="28"/>
          <w:bdr w:val="none" w:sz="0" w:space="0" w:color="auto" w:frame="1"/>
          <w:lang w:val="en-US"/>
        </w:rPr>
        <w:t xml:space="preserve">, </w:t>
      </w:r>
      <w:r w:rsidR="00A67A26">
        <w:rPr>
          <w:rFonts w:ascii="Garamond" w:hAnsi="Garamond" w:cs="Calibri"/>
          <w:szCs w:val="28"/>
          <w:bdr w:val="none" w:sz="0" w:space="0" w:color="auto" w:frame="1"/>
          <w:lang w:val="en-US"/>
        </w:rPr>
        <w:t>pp.</w:t>
      </w:r>
      <w:r w:rsidRPr="00305E02">
        <w:rPr>
          <w:rFonts w:ascii="Garamond" w:hAnsi="Garamond" w:cs="Calibri"/>
          <w:szCs w:val="28"/>
          <w:bdr w:val="none" w:sz="0" w:space="0" w:color="auto" w:frame="1"/>
          <w:lang w:val="en-US"/>
        </w:rPr>
        <w:t xml:space="preserve"> 8</w:t>
      </w:r>
      <w:r w:rsidR="00A67A26" w:rsidRPr="00305E02">
        <w:rPr>
          <w:rFonts w:cs="Garamond"/>
          <w:color w:val="auto"/>
          <w:lang w:val="en-US" w:eastAsia="ru-RU" w:bidi="ru-RU"/>
        </w:rPr>
        <w:t>–</w:t>
      </w:r>
      <w:r w:rsidRPr="00305E02">
        <w:rPr>
          <w:rFonts w:ascii="Garamond" w:hAnsi="Garamond" w:cs="Calibri"/>
          <w:szCs w:val="28"/>
          <w:bdr w:val="none" w:sz="0" w:space="0" w:color="auto" w:frame="1"/>
          <w:lang w:val="en-US"/>
        </w:rPr>
        <w:t>103.</w:t>
      </w:r>
    </w:p>
    <w:p w14:paraId="468E2EA7" w14:textId="77777777" w:rsidR="0072591B" w:rsidRPr="00305E02" w:rsidRDefault="0072591B"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sidRPr="00305E02">
        <w:rPr>
          <w:rFonts w:ascii="Garamond" w:hAnsi="Garamond" w:cs="Calibri"/>
          <w:szCs w:val="28"/>
          <w:bdr w:val="none" w:sz="0" w:space="0" w:color="auto" w:frame="1"/>
          <w:lang w:val="en-US"/>
        </w:rPr>
        <w:t xml:space="preserve">Van Rooij, M., Lusardi, A., </w:t>
      </w:r>
      <w:r w:rsidR="00A67A26">
        <w:rPr>
          <w:rFonts w:ascii="Garamond" w:hAnsi="Garamond" w:cs="Calibri"/>
          <w:szCs w:val="28"/>
          <w:bdr w:val="none" w:sz="0" w:space="0" w:color="auto" w:frame="1"/>
          <w:lang w:val="en-US"/>
        </w:rPr>
        <w:t>and Alessie, R., 2011,</w:t>
      </w:r>
      <w:r w:rsidRPr="00305E02">
        <w:rPr>
          <w:rFonts w:ascii="Garamond" w:hAnsi="Garamond" w:cs="Calibri"/>
          <w:szCs w:val="28"/>
          <w:bdr w:val="none" w:sz="0" w:space="0" w:color="auto" w:frame="1"/>
          <w:lang w:val="en-US"/>
        </w:rPr>
        <w:t xml:space="preserve"> Financial literacy</w:t>
      </w:r>
      <w:r w:rsidR="00A67A26">
        <w:rPr>
          <w:rFonts w:ascii="Garamond" w:hAnsi="Garamond" w:cs="Calibri"/>
          <w:szCs w:val="28"/>
          <w:bdr w:val="none" w:sz="0" w:space="0" w:color="auto" w:frame="1"/>
          <w:lang w:val="en-US"/>
        </w:rPr>
        <w:t xml:space="preserve"> and stock market participation,</w:t>
      </w:r>
      <w:r w:rsidRPr="00305E02">
        <w:rPr>
          <w:rFonts w:ascii="Garamond" w:hAnsi="Garamond" w:cs="Calibri"/>
          <w:szCs w:val="28"/>
          <w:bdr w:val="none" w:sz="0" w:space="0" w:color="auto" w:frame="1"/>
          <w:lang w:val="en-US"/>
        </w:rPr>
        <w:t xml:space="preserve"> </w:t>
      </w:r>
      <w:r w:rsidRPr="00A67A26">
        <w:rPr>
          <w:rFonts w:ascii="Garamond" w:hAnsi="Garamond" w:cs="Calibri"/>
          <w:i/>
          <w:szCs w:val="28"/>
          <w:bdr w:val="none" w:sz="0" w:space="0" w:color="auto" w:frame="1"/>
          <w:lang w:val="en-US"/>
        </w:rPr>
        <w:t>Journal of Financial Economics</w:t>
      </w:r>
      <w:r w:rsidRPr="00305E02">
        <w:rPr>
          <w:rFonts w:ascii="Garamond" w:hAnsi="Garamond" w:cs="Calibri"/>
          <w:szCs w:val="28"/>
          <w:bdr w:val="none" w:sz="0" w:space="0" w:color="auto" w:frame="1"/>
          <w:lang w:val="en-US"/>
        </w:rPr>
        <w:t xml:space="preserve">, 101(2), </w:t>
      </w:r>
      <w:r w:rsidR="00A67A26">
        <w:rPr>
          <w:rFonts w:ascii="Garamond" w:hAnsi="Garamond" w:cs="Calibri"/>
          <w:szCs w:val="28"/>
          <w:bdr w:val="none" w:sz="0" w:space="0" w:color="auto" w:frame="1"/>
          <w:lang w:val="en-US"/>
        </w:rPr>
        <w:t xml:space="preserve">pp. </w:t>
      </w:r>
      <w:r w:rsidRPr="00305E02">
        <w:rPr>
          <w:rFonts w:ascii="Garamond" w:hAnsi="Garamond" w:cs="Calibri"/>
          <w:szCs w:val="28"/>
          <w:bdr w:val="none" w:sz="0" w:space="0" w:color="auto" w:frame="1"/>
          <w:lang w:val="en-US"/>
        </w:rPr>
        <w:t>449</w:t>
      </w:r>
      <w:r w:rsidR="00A67A26" w:rsidRPr="00305E02">
        <w:rPr>
          <w:rFonts w:cs="Garamond"/>
          <w:color w:val="auto"/>
          <w:lang w:val="en-US" w:eastAsia="ru-RU" w:bidi="ru-RU"/>
        </w:rPr>
        <w:t>–</w:t>
      </w:r>
      <w:r w:rsidRPr="00305E02">
        <w:rPr>
          <w:rFonts w:ascii="Garamond" w:hAnsi="Garamond" w:cs="Calibri"/>
          <w:szCs w:val="28"/>
          <w:bdr w:val="none" w:sz="0" w:space="0" w:color="auto" w:frame="1"/>
          <w:lang w:val="en-US"/>
        </w:rPr>
        <w:t>472.</w:t>
      </w:r>
    </w:p>
    <w:p w14:paraId="57A09A41" w14:textId="77777777" w:rsidR="0072591B" w:rsidRPr="00305E02" w:rsidRDefault="00A67A26" w:rsidP="00305E02">
      <w:pPr>
        <w:pStyle w:val="ListParagraph"/>
        <w:numPr>
          <w:ilvl w:val="6"/>
          <w:numId w:val="272"/>
        </w:numPr>
        <w:tabs>
          <w:tab w:val="clear" w:pos="5749"/>
        </w:tabs>
        <w:spacing w:line="240" w:lineRule="atLeast"/>
        <w:ind w:left="426"/>
        <w:jc w:val="both"/>
        <w:rPr>
          <w:rFonts w:ascii="Garamond" w:hAnsi="Garamond" w:cs="Calibri"/>
          <w:szCs w:val="28"/>
          <w:bdr w:val="none" w:sz="0" w:space="0" w:color="auto" w:frame="1"/>
          <w:lang w:val="en-US"/>
        </w:rPr>
      </w:pPr>
      <w:r>
        <w:rPr>
          <w:rFonts w:ascii="Garamond" w:hAnsi="Garamond" w:cs="Calibri"/>
          <w:szCs w:val="28"/>
          <w:bdr w:val="none" w:sz="0" w:space="0" w:color="auto" w:frame="1"/>
          <w:lang w:val="en-US"/>
        </w:rPr>
        <w:t>Wurgler, J., 2000,</w:t>
      </w:r>
      <w:r w:rsidR="0072591B" w:rsidRPr="00305E02">
        <w:rPr>
          <w:rFonts w:ascii="Garamond" w:hAnsi="Garamond" w:cs="Calibri"/>
          <w:szCs w:val="28"/>
          <w:bdr w:val="none" w:sz="0" w:space="0" w:color="auto" w:frame="1"/>
          <w:lang w:val="en-US"/>
        </w:rPr>
        <w:t xml:space="preserve"> Financial markets and the allocation of capital, </w:t>
      </w:r>
      <w:r w:rsidR="0072591B" w:rsidRPr="00A67A26">
        <w:rPr>
          <w:rFonts w:ascii="Garamond" w:hAnsi="Garamond" w:cs="Calibri"/>
          <w:i/>
          <w:szCs w:val="28"/>
          <w:bdr w:val="none" w:sz="0" w:space="0" w:color="auto" w:frame="1"/>
          <w:lang w:val="en-US"/>
        </w:rPr>
        <w:t>Journal of financial economics</w:t>
      </w:r>
      <w:r w:rsidR="0072591B" w:rsidRPr="00305E02">
        <w:rPr>
          <w:rFonts w:ascii="Garamond" w:hAnsi="Garamond" w:cs="Calibri"/>
          <w:szCs w:val="28"/>
          <w:bdr w:val="none" w:sz="0" w:space="0" w:color="auto" w:frame="1"/>
          <w:lang w:val="en-US"/>
        </w:rPr>
        <w:t xml:space="preserve">, 58(1), </w:t>
      </w:r>
      <w:r>
        <w:rPr>
          <w:rFonts w:ascii="Garamond" w:hAnsi="Garamond" w:cs="Calibri"/>
          <w:szCs w:val="28"/>
          <w:bdr w:val="none" w:sz="0" w:space="0" w:color="auto" w:frame="1"/>
          <w:lang w:val="en-US"/>
        </w:rPr>
        <w:t xml:space="preserve">pp. </w:t>
      </w:r>
      <w:r w:rsidR="0072591B" w:rsidRPr="00305E02">
        <w:rPr>
          <w:rFonts w:ascii="Garamond" w:hAnsi="Garamond" w:cs="Calibri"/>
          <w:szCs w:val="28"/>
          <w:bdr w:val="none" w:sz="0" w:space="0" w:color="auto" w:frame="1"/>
          <w:lang w:val="en-US"/>
        </w:rPr>
        <w:t>187</w:t>
      </w:r>
      <w:r w:rsidRPr="00305E02">
        <w:rPr>
          <w:rFonts w:cs="Garamond"/>
          <w:color w:val="auto"/>
          <w:lang w:val="en-US" w:eastAsia="ru-RU" w:bidi="ru-RU"/>
        </w:rPr>
        <w:t>–</w:t>
      </w:r>
      <w:r w:rsidR="0072591B" w:rsidRPr="00305E02">
        <w:rPr>
          <w:rFonts w:ascii="Garamond" w:hAnsi="Garamond" w:cs="Calibri"/>
          <w:szCs w:val="28"/>
          <w:bdr w:val="none" w:sz="0" w:space="0" w:color="auto" w:frame="1"/>
          <w:lang w:val="en-US"/>
        </w:rPr>
        <w:t>214.</w:t>
      </w:r>
    </w:p>
    <w:p w14:paraId="474A846F" w14:textId="77777777" w:rsidR="003C51B1" w:rsidRPr="007767A0" w:rsidRDefault="003C51B1" w:rsidP="00DC7FC5">
      <w:pPr>
        <w:pStyle w:val="end2"/>
        <w:rPr>
          <w:rFonts w:eastAsia="Garamond"/>
          <w:u w:color="000000"/>
          <w:bdr w:val="nil"/>
        </w:rPr>
      </w:pPr>
      <w:r w:rsidRPr="007767A0">
        <w:rPr>
          <w:rFonts w:eastAsia="Calibri"/>
          <w:u w:color="000000"/>
          <w:bdr w:val="nil"/>
        </w:rPr>
        <w:t>Key terms</w:t>
      </w:r>
    </w:p>
    <w:tbl>
      <w:tblPr>
        <w:tblW w:w="9615"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093"/>
        <w:gridCol w:w="7522"/>
      </w:tblGrid>
      <w:tr w:rsidR="003C51B1" w:rsidRPr="003C51B1" w14:paraId="53A78D48"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10C7617B"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treasury bills </w:t>
            </w:r>
          </w:p>
        </w:tc>
        <w:tc>
          <w:tcPr>
            <w:tcW w:w="7522" w:type="dxa"/>
            <w:tcBorders>
              <w:top w:val="nil"/>
              <w:left w:val="nil"/>
              <w:bottom w:val="nil"/>
              <w:right w:val="nil"/>
            </w:tcBorders>
            <w:shd w:val="clear" w:color="auto" w:fill="auto"/>
            <w:tcMar>
              <w:top w:w="80" w:type="dxa"/>
              <w:left w:w="80" w:type="dxa"/>
              <w:bottom w:w="80" w:type="dxa"/>
              <w:right w:w="80" w:type="dxa"/>
            </w:tcMar>
          </w:tcPr>
          <w:p w14:paraId="4BF36647"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u w:color="000000"/>
                <w:bdr w:val="nil"/>
                <w:lang w:val="en-US"/>
              </w:rPr>
              <w:t>are government securities with a maturity of three to twelve months and thus are seen as approximately risk-free securities.</w:t>
            </w:r>
          </w:p>
        </w:tc>
      </w:tr>
      <w:tr w:rsidR="003C51B1" w:rsidRPr="003C51B1" w14:paraId="549E6A39"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5DE3D4AD"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bond </w:t>
            </w:r>
          </w:p>
        </w:tc>
        <w:tc>
          <w:tcPr>
            <w:tcW w:w="7522" w:type="dxa"/>
            <w:tcBorders>
              <w:top w:val="nil"/>
              <w:left w:val="nil"/>
              <w:bottom w:val="nil"/>
              <w:right w:val="nil"/>
            </w:tcBorders>
            <w:shd w:val="clear" w:color="auto" w:fill="auto"/>
            <w:tcMar>
              <w:top w:w="80" w:type="dxa"/>
              <w:left w:w="80" w:type="dxa"/>
              <w:bottom w:w="80" w:type="dxa"/>
              <w:right w:w="80" w:type="dxa"/>
            </w:tcMar>
          </w:tcPr>
          <w:p w14:paraId="0862E2AB" w14:textId="77777777" w:rsidR="003C51B1" w:rsidRPr="003C51B1" w:rsidRDefault="003C51B1" w:rsidP="003B7BEB">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u w:color="000000"/>
                <w:bdr w:val="nil"/>
                <w:lang w:val="en-US"/>
              </w:rPr>
              <w:t>is a promissory note that promises to repay</w:t>
            </w:r>
            <w:r w:rsidR="003B7BEB">
              <w:rPr>
                <w:rFonts w:eastAsia="Calibri" w:hAnsi="Calibri" w:cs="Calibri"/>
                <w:u w:color="000000"/>
                <w:bdr w:val="nil"/>
                <w:lang w:val="en-US"/>
              </w:rPr>
              <w:t xml:space="preserve"> the investor the principal and </w:t>
            </w:r>
            <w:r w:rsidRPr="003C51B1">
              <w:rPr>
                <w:rFonts w:eastAsia="Calibri" w:hAnsi="Calibri" w:cs="Calibri"/>
                <w:u w:color="000000"/>
                <w:bdr w:val="nil"/>
                <w:lang w:val="en-US"/>
              </w:rPr>
              <w:t>agreed rate or amount of interest.</w:t>
            </w:r>
            <w:r w:rsidR="003B7BEB">
              <w:rPr>
                <w:rFonts w:eastAsia="Calibri" w:hAnsi="Calibri" w:cs="Calibri"/>
                <w:u w:color="000000"/>
                <w:bdr w:val="nil"/>
                <w:lang w:val="en-US"/>
              </w:rPr>
              <w:t xml:space="preserve"> </w:t>
            </w:r>
          </w:p>
        </w:tc>
      </w:tr>
      <w:tr w:rsidR="003C51B1" w:rsidRPr="003C51B1" w14:paraId="2F95CE77" w14:textId="77777777" w:rsidTr="003C51B1">
        <w:trPr>
          <w:trHeight w:val="96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5C5DFE12"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retail investor </w:t>
            </w:r>
          </w:p>
        </w:tc>
        <w:tc>
          <w:tcPr>
            <w:tcW w:w="7522" w:type="dxa"/>
            <w:tcBorders>
              <w:top w:val="nil"/>
              <w:left w:val="nil"/>
              <w:bottom w:val="nil"/>
              <w:right w:val="nil"/>
            </w:tcBorders>
            <w:shd w:val="clear" w:color="auto" w:fill="auto"/>
            <w:tcMar>
              <w:top w:w="80" w:type="dxa"/>
              <w:left w:w="80" w:type="dxa"/>
              <w:bottom w:w="80" w:type="dxa"/>
              <w:right w:w="80" w:type="dxa"/>
            </w:tcMar>
          </w:tcPr>
          <w:p w14:paraId="1CE8F1ED" w14:textId="77777777" w:rsidR="003C51B1" w:rsidRPr="003C51B1" w:rsidRDefault="003C51B1" w:rsidP="003C51B1">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is an individual who purchases a few securities for his or her own personal account rather than for an organization or a company. Retail investors typically trade in much smaller amounts than institutional investors such as mutual funds, pensions, or university endowments.</w:t>
            </w:r>
          </w:p>
        </w:tc>
      </w:tr>
      <w:tr w:rsidR="003C51B1" w:rsidRPr="003C51B1" w14:paraId="622F453C" w14:textId="77777777" w:rsidTr="003C51B1">
        <w:trPr>
          <w:trHeight w:val="144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211E7C01"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institutional investor </w:t>
            </w:r>
          </w:p>
        </w:tc>
        <w:tc>
          <w:tcPr>
            <w:tcW w:w="7522" w:type="dxa"/>
            <w:tcBorders>
              <w:top w:val="nil"/>
              <w:left w:val="nil"/>
              <w:bottom w:val="nil"/>
              <w:right w:val="nil"/>
            </w:tcBorders>
            <w:shd w:val="clear" w:color="auto" w:fill="auto"/>
            <w:tcMar>
              <w:top w:w="80" w:type="dxa"/>
              <w:left w:w="80" w:type="dxa"/>
              <w:bottom w:w="80" w:type="dxa"/>
              <w:right w:w="80" w:type="dxa"/>
            </w:tcMar>
          </w:tcPr>
          <w:p w14:paraId="298804DC" w14:textId="77777777" w:rsidR="003C51B1" w:rsidRPr="003C51B1" w:rsidRDefault="003C51B1" w:rsidP="00525312">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is a term for large organizations (such as banks, finance companies, insurance companies,</w:t>
            </w:r>
            <w:r w:rsidR="00525312">
              <w:rPr>
                <w:rFonts w:eastAsia="Calibri" w:hAnsi="Calibri" w:cs="Calibri"/>
                <w:u w:color="000000"/>
                <w:bdr w:val="nil"/>
                <w:lang w:val="en-US"/>
              </w:rPr>
              <w:t xml:space="preserve"> labor union funds,</w:t>
            </w:r>
            <w:r w:rsidRPr="003C51B1">
              <w:rPr>
                <w:rFonts w:eastAsia="Calibri" w:hAnsi="Calibri" w:cs="Calibri"/>
                <w:u w:color="000000"/>
                <w:bdr w:val="nil"/>
                <w:lang w:val="en-US"/>
              </w:rPr>
              <w:t xml:space="preserve"> pension funds) which pool money to purchase securities, real property and other investment assets or originate loans (have considerable cash reserves that need to be invested). Institutional investors are by far the biggest participants in securities trading and their share of stock market volumes have consistently grown over the years. </w:t>
            </w:r>
          </w:p>
        </w:tc>
      </w:tr>
      <w:tr w:rsidR="003C51B1" w:rsidRPr="003C51B1" w14:paraId="3C3CBEFD" w14:textId="77777777" w:rsidTr="003C51B1">
        <w:trPr>
          <w:trHeight w:val="144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4A7FFC6B"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lastRenderedPageBreak/>
              <w:t xml:space="preserve">financial intermediary </w:t>
            </w:r>
          </w:p>
        </w:tc>
        <w:tc>
          <w:tcPr>
            <w:tcW w:w="7522" w:type="dxa"/>
            <w:tcBorders>
              <w:top w:val="nil"/>
              <w:left w:val="nil"/>
              <w:bottom w:val="nil"/>
              <w:right w:val="nil"/>
            </w:tcBorders>
            <w:shd w:val="clear" w:color="auto" w:fill="auto"/>
            <w:tcMar>
              <w:top w:w="80" w:type="dxa"/>
              <w:left w:w="80" w:type="dxa"/>
              <w:bottom w:w="80" w:type="dxa"/>
              <w:right w:w="80" w:type="dxa"/>
            </w:tcMar>
          </w:tcPr>
          <w:p w14:paraId="2B0364BF" w14:textId="77777777" w:rsidR="003C51B1" w:rsidRPr="003C51B1" w:rsidRDefault="003C51B1" w:rsidP="003C51B1">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is a financial institution that facilitates the channeling of funds between lenders and borrowers (acts as the middleman between two parties (surplus and deficit agents) in a financial transaction). While a commercial bank is a typical financial intermediary, this category also includes other financial institutions such as investment banks, insurance companies, broker-dealers, mutual funds and pension funds.</w:t>
            </w:r>
          </w:p>
        </w:tc>
      </w:tr>
      <w:tr w:rsidR="003C51B1" w:rsidRPr="003C51B1" w14:paraId="6FDD0735" w14:textId="77777777" w:rsidTr="003C51B1">
        <w:trPr>
          <w:trHeight w:val="72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0177D451"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financial instrument </w:t>
            </w:r>
          </w:p>
        </w:tc>
        <w:tc>
          <w:tcPr>
            <w:tcW w:w="7522" w:type="dxa"/>
            <w:tcBorders>
              <w:top w:val="nil"/>
              <w:left w:val="nil"/>
              <w:bottom w:val="nil"/>
              <w:right w:val="nil"/>
            </w:tcBorders>
            <w:shd w:val="clear" w:color="auto" w:fill="auto"/>
            <w:tcMar>
              <w:top w:w="80" w:type="dxa"/>
              <w:left w:w="80" w:type="dxa"/>
              <w:bottom w:w="80" w:type="dxa"/>
              <w:right w:w="80" w:type="dxa"/>
            </w:tcMar>
          </w:tcPr>
          <w:p w14:paraId="6D18EA2F" w14:textId="77777777" w:rsidR="003C51B1" w:rsidRPr="003C51B1" w:rsidRDefault="003B7BEB" w:rsidP="003C51B1">
            <w:pPr>
              <w:pBdr>
                <w:top w:val="nil"/>
                <w:left w:val="nil"/>
                <w:bottom w:val="nil"/>
                <w:right w:val="nil"/>
                <w:between w:val="nil"/>
                <w:bar w:val="nil"/>
              </w:pBdr>
              <w:spacing w:after="120" w:line="240" w:lineRule="atLeast"/>
              <w:ind w:firstLine="33"/>
              <w:jc w:val="both"/>
              <w:rPr>
                <w:rFonts w:ascii="Calibri" w:eastAsia="Calibri" w:hAnsi="Calibri" w:cs="Calibri"/>
                <w:u w:color="000000"/>
                <w:bdr w:val="nil"/>
                <w:lang w:val="en-US"/>
              </w:rPr>
            </w:pPr>
            <w:r>
              <w:rPr>
                <w:rFonts w:eastAsia="Calibri" w:hAnsi="Calibri" w:cs="Calibri"/>
                <w:u w:color="000000"/>
                <w:bdr w:val="nil"/>
                <w:lang w:val="en-US"/>
              </w:rPr>
              <w:t xml:space="preserve">is </w:t>
            </w:r>
            <w:r w:rsidR="003C51B1" w:rsidRPr="003C51B1">
              <w:rPr>
                <w:rFonts w:eastAsia="Calibri" w:hAnsi="Calibri" w:cs="Calibri"/>
                <w:u w:color="000000"/>
                <w:bdr w:val="nil"/>
                <w:lang w:val="en-US"/>
              </w:rPr>
              <w:t xml:space="preserve">a document (such as a check, draft, bond, share, bill of exchange, futures or options contract) that has a monetary value or </w:t>
            </w:r>
            <w:r>
              <w:rPr>
                <w:rFonts w:eastAsia="Calibri" w:hAnsi="Calibri" w:cs="Calibri"/>
                <w:u w:color="000000"/>
                <w:bdr w:val="nil"/>
                <w:lang w:val="en-US"/>
              </w:rPr>
              <w:t xml:space="preserve">that </w:t>
            </w:r>
            <w:r w:rsidR="003C51B1" w:rsidRPr="003C51B1">
              <w:rPr>
                <w:rFonts w:eastAsia="Calibri" w:hAnsi="Calibri" w:cs="Calibri"/>
                <w:u w:color="000000"/>
                <w:bdr w:val="nil"/>
                <w:lang w:val="en-US"/>
              </w:rPr>
              <w:t>represents a legally enforceable (binding) agreement between two or more parties regarding a right to payment of money.</w:t>
            </w:r>
          </w:p>
        </w:tc>
      </w:tr>
      <w:tr w:rsidR="003C51B1" w:rsidRPr="003C51B1" w14:paraId="489C2898" w14:textId="77777777" w:rsidTr="003C51B1">
        <w:trPr>
          <w:trHeight w:val="72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0D6A647C"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debt instrument </w:t>
            </w:r>
          </w:p>
        </w:tc>
        <w:tc>
          <w:tcPr>
            <w:tcW w:w="7522" w:type="dxa"/>
            <w:tcBorders>
              <w:top w:val="nil"/>
              <w:left w:val="nil"/>
              <w:bottom w:val="nil"/>
              <w:right w:val="nil"/>
            </w:tcBorders>
            <w:shd w:val="clear" w:color="auto" w:fill="auto"/>
            <w:tcMar>
              <w:top w:w="80" w:type="dxa"/>
              <w:left w:w="80" w:type="dxa"/>
              <w:bottom w:w="80" w:type="dxa"/>
              <w:right w:w="80" w:type="dxa"/>
            </w:tcMar>
          </w:tcPr>
          <w:p w14:paraId="459D8FA3" w14:textId="77777777" w:rsidR="003C51B1" w:rsidRPr="003C51B1" w:rsidRDefault="003B7BEB" w:rsidP="003B7BEB">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Pr>
                <w:rFonts w:eastAsia="Calibri" w:hAnsi="Calibri" w:cs="Calibri"/>
                <w:u w:color="000000"/>
                <w:bdr w:val="nil"/>
                <w:lang w:val="en-US"/>
              </w:rPr>
              <w:t xml:space="preserve">is </w:t>
            </w:r>
            <w:r w:rsidR="003C51B1" w:rsidRPr="003C51B1">
              <w:rPr>
                <w:rFonts w:eastAsia="Calibri" w:hAnsi="Calibri" w:cs="Calibri"/>
                <w:u w:color="000000"/>
                <w:bdr w:val="nil"/>
                <w:lang w:val="en-US"/>
              </w:rPr>
              <w:t>a document that serves as a legally enforceable evidence of a debt and the promise of its timely repayment. Banker's acceptance, bills of exchange, bonds, certificates of deposit, debentures, and promissory notes, all are debt instruments.</w:t>
            </w:r>
          </w:p>
        </w:tc>
      </w:tr>
      <w:tr w:rsidR="003C51B1" w:rsidRPr="003C51B1" w14:paraId="4FAA4EA1"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29CE3AE4" w14:textId="77777777" w:rsidR="003C51B1" w:rsidRPr="003C51B1" w:rsidRDefault="00DC7FC5" w:rsidP="003C51B1">
            <w:pPr>
              <w:pBdr>
                <w:top w:val="nil"/>
                <w:left w:val="nil"/>
                <w:bottom w:val="nil"/>
                <w:right w:val="nil"/>
                <w:between w:val="nil"/>
                <w:bar w:val="nil"/>
              </w:pBdr>
              <w:rPr>
                <w:rFonts w:ascii="Calibri" w:eastAsia="Calibri" w:hAnsi="Calibri" w:cs="Calibri"/>
                <w:u w:color="000000"/>
                <w:bdr w:val="nil"/>
                <w:lang w:val="en-US"/>
              </w:rPr>
            </w:pPr>
            <w:r>
              <w:rPr>
                <w:rFonts w:eastAsia="Calibri" w:hAnsi="Calibri" w:cs="Calibri"/>
                <w:b/>
                <w:bCs/>
                <w:u w:color="000000"/>
                <w:bdr w:val="nil"/>
                <w:lang w:val="en-US"/>
              </w:rPr>
              <w:t>equity instrument</w:t>
            </w:r>
            <w:r>
              <w:rPr>
                <w:rFonts w:eastAsia="Calibri" w:hAnsi="Calibri" w:cs="Calibri"/>
                <w:b/>
                <w:bCs/>
                <w:u w:color="000000"/>
                <w:bdr w:val="nil"/>
                <w:lang w:val="en-US"/>
              </w:rPr>
              <w:t> </w:t>
            </w:r>
          </w:p>
        </w:tc>
        <w:tc>
          <w:tcPr>
            <w:tcW w:w="7522" w:type="dxa"/>
            <w:tcBorders>
              <w:top w:val="nil"/>
              <w:left w:val="nil"/>
              <w:bottom w:val="nil"/>
              <w:right w:val="nil"/>
            </w:tcBorders>
            <w:shd w:val="clear" w:color="auto" w:fill="auto"/>
            <w:tcMar>
              <w:top w:w="80" w:type="dxa"/>
              <w:left w:w="80" w:type="dxa"/>
              <w:bottom w:w="80" w:type="dxa"/>
              <w:right w:w="80" w:type="dxa"/>
            </w:tcMar>
          </w:tcPr>
          <w:p w14:paraId="67B61757" w14:textId="77777777" w:rsidR="003C51B1" w:rsidRPr="003C51B1" w:rsidRDefault="003B7BEB" w:rsidP="003C51B1">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Pr>
                <w:rFonts w:eastAsia="Calibri" w:hAnsi="Calibri" w:cs="Calibri"/>
                <w:u w:color="000000"/>
                <w:bdr w:val="nil"/>
                <w:lang w:val="en-US"/>
              </w:rPr>
              <w:t xml:space="preserve">is </w:t>
            </w:r>
            <w:r w:rsidR="003C51B1" w:rsidRPr="003C51B1">
              <w:rPr>
                <w:rFonts w:eastAsia="Calibri" w:hAnsi="Calibri" w:cs="Calibri"/>
                <w:u w:color="000000"/>
                <w:bdr w:val="nil"/>
                <w:lang w:val="en-US"/>
              </w:rPr>
              <w:t>a document that serves as a legally enforceable evidence of the right of ownership in a firm, such as a share certificate (stock certificate).</w:t>
            </w:r>
          </w:p>
        </w:tc>
      </w:tr>
      <w:tr w:rsidR="003C51B1" w:rsidRPr="003C51B1" w14:paraId="7DA32F9F" w14:textId="77777777" w:rsidTr="003C51B1">
        <w:trPr>
          <w:trHeight w:val="120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53975127"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securities </w:t>
            </w:r>
          </w:p>
        </w:tc>
        <w:tc>
          <w:tcPr>
            <w:tcW w:w="7522" w:type="dxa"/>
            <w:tcBorders>
              <w:top w:val="nil"/>
              <w:left w:val="nil"/>
              <w:bottom w:val="nil"/>
              <w:right w:val="nil"/>
            </w:tcBorders>
            <w:shd w:val="clear" w:color="auto" w:fill="auto"/>
            <w:tcMar>
              <w:top w:w="80" w:type="dxa"/>
              <w:left w:w="80" w:type="dxa"/>
              <w:bottom w:w="80" w:type="dxa"/>
              <w:right w:w="80" w:type="dxa"/>
            </w:tcMar>
          </w:tcPr>
          <w:p w14:paraId="6F1116C3" w14:textId="77777777" w:rsidR="003C51B1" w:rsidRPr="003C51B1" w:rsidRDefault="003B7BEB" w:rsidP="003B7BEB">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Pr>
                <w:rFonts w:eastAsia="Calibri" w:hAnsi="Calibri" w:cs="Calibri"/>
                <w:u w:color="000000"/>
                <w:bdr w:val="nil"/>
                <w:lang w:val="en-US"/>
              </w:rPr>
              <w:t xml:space="preserve">is </w:t>
            </w:r>
            <w:r w:rsidR="003C51B1" w:rsidRPr="003C51B1">
              <w:rPr>
                <w:rFonts w:eastAsia="Calibri" w:hAnsi="Calibri" w:cs="Calibri"/>
                <w:u w:color="000000"/>
                <w:bdr w:val="nil"/>
                <w:lang w:val="en-US"/>
              </w:rPr>
              <w:t>a financing or investment instrument issued by a company or government agency that denotes an ownership interest and provides evidence of a debt, a right to share in the earnings of the issuer, or in the distribution of a property. Securities include bonds, debentures, notes, options, shares, and warrants but not insurance policies, and may be traded in financial markets such as stock exchanges.</w:t>
            </w:r>
          </w:p>
        </w:tc>
      </w:tr>
      <w:tr w:rsidR="003C51B1" w:rsidRPr="003C51B1" w14:paraId="68EEC2AF" w14:textId="77777777" w:rsidTr="003C51B1">
        <w:trPr>
          <w:trHeight w:val="72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7866DF78"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share </w:t>
            </w:r>
          </w:p>
        </w:tc>
        <w:tc>
          <w:tcPr>
            <w:tcW w:w="7522" w:type="dxa"/>
            <w:tcBorders>
              <w:top w:val="nil"/>
              <w:left w:val="nil"/>
              <w:bottom w:val="nil"/>
              <w:right w:val="nil"/>
            </w:tcBorders>
            <w:shd w:val="clear" w:color="auto" w:fill="auto"/>
            <w:tcMar>
              <w:top w:w="80" w:type="dxa"/>
              <w:left w:w="80" w:type="dxa"/>
              <w:bottom w:w="80" w:type="dxa"/>
              <w:right w:w="80" w:type="dxa"/>
            </w:tcMar>
          </w:tcPr>
          <w:p w14:paraId="1D97F06A" w14:textId="77777777" w:rsidR="003C51B1" w:rsidRPr="003C51B1" w:rsidRDefault="003B7BEB" w:rsidP="003C51B1">
            <w:pPr>
              <w:pBdr>
                <w:top w:val="nil"/>
                <w:left w:val="nil"/>
                <w:bottom w:val="nil"/>
                <w:right w:val="nil"/>
                <w:between w:val="nil"/>
                <w:bar w:val="nil"/>
              </w:pBdr>
              <w:spacing w:after="120"/>
              <w:jc w:val="both"/>
              <w:rPr>
                <w:rFonts w:ascii="Calibri" w:eastAsia="Calibri" w:hAnsi="Calibri" w:cs="Calibri"/>
                <w:u w:color="000000"/>
                <w:bdr w:val="nil"/>
                <w:lang w:val="en-US"/>
              </w:rPr>
            </w:pPr>
            <w:r>
              <w:rPr>
                <w:rFonts w:eastAsia="Calibri" w:hAnsi="Calibri" w:cs="Calibri"/>
                <w:u w:color="000000"/>
                <w:bdr w:val="nil"/>
                <w:lang w:val="en-US"/>
              </w:rPr>
              <w:t xml:space="preserve">is </w:t>
            </w:r>
            <w:r w:rsidR="003C51B1" w:rsidRPr="003C51B1">
              <w:rPr>
                <w:rFonts w:eastAsia="Calibri" w:hAnsi="Calibri" w:cs="Calibri"/>
                <w:u w:color="000000"/>
                <w:bdr w:val="nil"/>
                <w:lang w:val="en-US"/>
              </w:rPr>
              <w:t>a unit of ownership that represents an equal proportion of a company's capital, that entitles its holder (the shareholder) to an equal claim on the company's profits and an equal obligation for the company's debts and losses.</w:t>
            </w:r>
          </w:p>
        </w:tc>
      </w:tr>
      <w:tr w:rsidR="003C51B1" w:rsidRPr="003C51B1" w14:paraId="5B1A3099" w14:textId="77777777" w:rsidTr="003C51B1">
        <w:trPr>
          <w:trHeight w:val="72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2AAFABE9"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ordinary shares (common stock) </w:t>
            </w:r>
          </w:p>
        </w:tc>
        <w:tc>
          <w:tcPr>
            <w:tcW w:w="7522" w:type="dxa"/>
            <w:tcBorders>
              <w:top w:val="nil"/>
              <w:left w:val="nil"/>
              <w:bottom w:val="nil"/>
              <w:right w:val="nil"/>
            </w:tcBorders>
            <w:shd w:val="clear" w:color="auto" w:fill="auto"/>
            <w:tcMar>
              <w:top w:w="80" w:type="dxa"/>
              <w:left w:w="80" w:type="dxa"/>
              <w:bottom w:w="80" w:type="dxa"/>
              <w:right w:w="80" w:type="dxa"/>
            </w:tcMar>
          </w:tcPr>
          <w:p w14:paraId="3062D88C" w14:textId="77777777" w:rsidR="003C51B1" w:rsidRPr="003C51B1" w:rsidRDefault="003C51B1" w:rsidP="003B7BEB">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entitle the shareholder to share in the earnings of the company as they occur, and to vote at the company's annual general meetings and other official meetings.</w:t>
            </w:r>
          </w:p>
        </w:tc>
      </w:tr>
      <w:tr w:rsidR="003C51B1" w:rsidRPr="003C51B1" w14:paraId="705C170E"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16C75133"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preference shares (preferred stock) </w:t>
            </w:r>
          </w:p>
        </w:tc>
        <w:tc>
          <w:tcPr>
            <w:tcW w:w="7522" w:type="dxa"/>
            <w:tcBorders>
              <w:top w:val="nil"/>
              <w:left w:val="nil"/>
              <w:bottom w:val="nil"/>
              <w:right w:val="nil"/>
            </w:tcBorders>
            <w:shd w:val="clear" w:color="auto" w:fill="auto"/>
            <w:tcMar>
              <w:top w:w="80" w:type="dxa"/>
              <w:left w:w="80" w:type="dxa"/>
              <w:bottom w:w="80" w:type="dxa"/>
              <w:right w:w="80" w:type="dxa"/>
            </w:tcMar>
          </w:tcPr>
          <w:p w14:paraId="7782CF6A" w14:textId="77777777" w:rsidR="003C51B1" w:rsidRPr="003C51B1" w:rsidRDefault="003C51B1" w:rsidP="003B7BEB">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entitle the shareholder to a fixed periodic income</w:t>
            </w:r>
            <w:r w:rsidR="003B7BEB">
              <w:rPr>
                <w:rFonts w:eastAsia="Calibri" w:hAnsi="Calibri" w:cs="Calibri"/>
                <w:u w:color="000000"/>
                <w:bdr w:val="nil"/>
                <w:lang w:val="en-US"/>
              </w:rPr>
              <w:t xml:space="preserve"> </w:t>
            </w:r>
            <w:r w:rsidRPr="003C51B1">
              <w:rPr>
                <w:rFonts w:eastAsia="Calibri" w:hAnsi="Calibri" w:cs="Calibri"/>
                <w:u w:color="000000"/>
                <w:bdr w:val="nil"/>
                <w:lang w:val="en-US"/>
              </w:rPr>
              <w:t>(interest) but generally do not give him voting rights.</w:t>
            </w:r>
          </w:p>
        </w:tc>
      </w:tr>
      <w:tr w:rsidR="003C51B1" w:rsidRPr="003C51B1" w14:paraId="0F98C592"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17ED768A"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interbank market </w:t>
            </w:r>
          </w:p>
        </w:tc>
        <w:tc>
          <w:tcPr>
            <w:tcW w:w="7522" w:type="dxa"/>
            <w:tcBorders>
              <w:top w:val="nil"/>
              <w:left w:val="nil"/>
              <w:bottom w:val="nil"/>
              <w:right w:val="nil"/>
            </w:tcBorders>
            <w:shd w:val="clear" w:color="auto" w:fill="auto"/>
            <w:tcMar>
              <w:top w:w="80" w:type="dxa"/>
              <w:left w:w="80" w:type="dxa"/>
              <w:bottom w:w="80" w:type="dxa"/>
              <w:right w:w="80" w:type="dxa"/>
            </w:tcMar>
          </w:tcPr>
          <w:p w14:paraId="0BE948C1" w14:textId="77777777" w:rsidR="003C51B1" w:rsidRPr="003C51B1" w:rsidRDefault="003C51B1" w:rsidP="003C51B1">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is a market which involves bank borrowing and lending of any funds in reserve accounts at the central bank.</w:t>
            </w:r>
          </w:p>
        </w:tc>
      </w:tr>
      <w:tr w:rsidR="003C51B1" w:rsidRPr="003C51B1" w14:paraId="3C7FA413"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72E02104"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dealer </w:t>
            </w:r>
          </w:p>
        </w:tc>
        <w:tc>
          <w:tcPr>
            <w:tcW w:w="7522" w:type="dxa"/>
            <w:tcBorders>
              <w:top w:val="nil"/>
              <w:left w:val="nil"/>
              <w:bottom w:val="nil"/>
              <w:right w:val="nil"/>
            </w:tcBorders>
            <w:shd w:val="clear" w:color="auto" w:fill="auto"/>
            <w:tcMar>
              <w:top w:w="80" w:type="dxa"/>
              <w:left w:w="80" w:type="dxa"/>
              <w:bottom w:w="80" w:type="dxa"/>
              <w:right w:w="80" w:type="dxa"/>
            </w:tcMar>
          </w:tcPr>
          <w:p w14:paraId="1B5F9263" w14:textId="77777777" w:rsidR="003C51B1" w:rsidRPr="003C51B1" w:rsidRDefault="003B7BEB" w:rsidP="003C51B1">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Pr>
                <w:rFonts w:eastAsia="Calibri" w:hAnsi="Calibri" w:cs="Calibri"/>
                <w:u w:color="000000"/>
                <w:bdr w:val="nil"/>
                <w:lang w:val="en-US"/>
              </w:rPr>
              <w:t xml:space="preserve">is </w:t>
            </w:r>
            <w:r w:rsidR="003C51B1" w:rsidRPr="003C51B1">
              <w:rPr>
                <w:rFonts w:eastAsia="Calibri" w:hAnsi="Calibri" w:cs="Calibri"/>
                <w:u w:color="000000"/>
                <w:bdr w:val="nil"/>
                <w:lang w:val="en-US"/>
              </w:rPr>
              <w:t>an agent who buys and sells securities as a principal on its own account, rather than as a broker for his clients. The dealer may function as a broker, or as the market maker.</w:t>
            </w:r>
          </w:p>
        </w:tc>
      </w:tr>
      <w:tr w:rsidR="003C51B1" w:rsidRPr="003C51B1" w14:paraId="5E2BF1D2"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07C64B04"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broker </w:t>
            </w:r>
          </w:p>
        </w:tc>
        <w:tc>
          <w:tcPr>
            <w:tcW w:w="7522" w:type="dxa"/>
            <w:tcBorders>
              <w:top w:val="nil"/>
              <w:left w:val="nil"/>
              <w:bottom w:val="nil"/>
              <w:right w:val="nil"/>
            </w:tcBorders>
            <w:shd w:val="clear" w:color="auto" w:fill="auto"/>
            <w:tcMar>
              <w:top w:w="80" w:type="dxa"/>
              <w:left w:w="80" w:type="dxa"/>
              <w:bottom w:w="80" w:type="dxa"/>
              <w:right w:w="80" w:type="dxa"/>
            </w:tcMar>
          </w:tcPr>
          <w:p w14:paraId="5D389152" w14:textId="77777777" w:rsidR="003C51B1" w:rsidRPr="003C51B1" w:rsidRDefault="003B7BEB" w:rsidP="003C51B1">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Pr>
                <w:rFonts w:eastAsia="Calibri" w:hAnsi="Calibri" w:cs="Calibri"/>
                <w:u w:color="000000"/>
                <w:bdr w:val="nil"/>
                <w:lang w:val="en-US"/>
              </w:rPr>
              <w:t xml:space="preserve">is </w:t>
            </w:r>
            <w:r w:rsidR="003C51B1" w:rsidRPr="003C51B1">
              <w:rPr>
                <w:rFonts w:eastAsia="Calibri" w:hAnsi="Calibri" w:cs="Calibri"/>
                <w:u w:color="000000"/>
                <w:bdr w:val="nil"/>
                <w:lang w:val="en-US"/>
              </w:rPr>
              <w:t>an agent who executes orders to buy and sell securities on behalf of his clients in exchange for a commission fee.</w:t>
            </w:r>
          </w:p>
        </w:tc>
      </w:tr>
      <w:tr w:rsidR="003C51B1" w:rsidRPr="003C51B1" w14:paraId="1DC7E093" w14:textId="77777777" w:rsidTr="003C51B1">
        <w:trPr>
          <w:trHeight w:val="144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56E8E8DE"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lastRenderedPageBreak/>
              <w:t>nominal value</w:t>
            </w:r>
            <w:r w:rsidR="003B7BEB">
              <w:rPr>
                <w:rFonts w:eastAsia="Calibri" w:hAnsi="Calibri" w:cs="Calibri"/>
                <w:b/>
                <w:bCs/>
                <w:u w:color="000000"/>
                <w:bdr w:val="nil"/>
                <w:lang w:val="en-US"/>
              </w:rPr>
              <w:t xml:space="preserve"> </w:t>
            </w:r>
            <w:r w:rsidRPr="003C51B1">
              <w:rPr>
                <w:rFonts w:eastAsia="Calibri" w:hAnsi="Calibri" w:cs="Calibri"/>
                <w:b/>
                <w:bCs/>
                <w:u w:color="000000"/>
                <w:bdr w:val="nil"/>
                <w:lang w:val="en-US"/>
              </w:rPr>
              <w:t xml:space="preserve">(book value or par value or face value) </w:t>
            </w:r>
          </w:p>
        </w:tc>
        <w:tc>
          <w:tcPr>
            <w:tcW w:w="7522" w:type="dxa"/>
            <w:tcBorders>
              <w:top w:val="nil"/>
              <w:left w:val="nil"/>
              <w:bottom w:val="nil"/>
              <w:right w:val="nil"/>
            </w:tcBorders>
            <w:shd w:val="clear" w:color="auto" w:fill="auto"/>
            <w:tcMar>
              <w:top w:w="80" w:type="dxa"/>
              <w:left w:w="80" w:type="dxa"/>
              <w:bottom w:w="80" w:type="dxa"/>
              <w:right w:w="80" w:type="dxa"/>
            </w:tcMar>
          </w:tcPr>
          <w:p w14:paraId="403A75D9" w14:textId="77777777" w:rsidR="003C51B1" w:rsidRPr="003C51B1" w:rsidRDefault="003C51B1" w:rsidP="003B7BEB">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is the price of</w:t>
            </w:r>
            <w:r w:rsidR="003B7BEB">
              <w:rPr>
                <w:rFonts w:eastAsia="Calibri" w:hAnsi="Calibri" w:cs="Calibri"/>
                <w:u w:color="000000"/>
                <w:bdr w:val="nil"/>
                <w:lang w:val="en-US"/>
              </w:rPr>
              <w:t xml:space="preserve"> </w:t>
            </w:r>
            <w:r w:rsidRPr="003C51B1">
              <w:rPr>
                <w:rFonts w:eastAsia="Calibri" w:hAnsi="Calibri" w:cs="Calibri"/>
                <w:u w:color="000000"/>
                <w:bdr w:val="nil"/>
                <w:lang w:val="en-US"/>
              </w:rPr>
              <w:t>security at the time of its issue, that doesn</w:t>
            </w:r>
            <w:r w:rsidRPr="003C51B1">
              <w:rPr>
                <w:rFonts w:ascii="Calibri" w:eastAsia="Calibri" w:cs="Calibri"/>
                <w:u w:color="000000"/>
                <w:bdr w:val="nil"/>
                <w:lang w:val="en-US"/>
              </w:rPr>
              <w:t>’</w:t>
            </w:r>
            <w:r w:rsidRPr="003C51B1">
              <w:rPr>
                <w:rFonts w:eastAsia="Calibri" w:hAnsi="Calibri" w:cs="Calibri"/>
                <w:u w:color="000000"/>
                <w:bdr w:val="nil"/>
                <w:lang w:val="en-US"/>
              </w:rPr>
              <w:t>t change over the time. It may be issued arbitrarily to common stock and recorded on a company balance sheet. These funds are invested directly in the company that issued the stock as a means of infusing cash into the business. The stock represents ownership of a piece of the company. Also referred to as face value or par value, the nominal value is the value shown on the face of a security certificate or instrument, including currency.</w:t>
            </w:r>
          </w:p>
        </w:tc>
      </w:tr>
      <w:tr w:rsidR="003C51B1" w:rsidRPr="003C51B1" w14:paraId="242ABC65" w14:textId="77777777" w:rsidTr="003C51B1">
        <w:trPr>
          <w:trHeight w:val="4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17FF199B"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market value </w:t>
            </w:r>
          </w:p>
        </w:tc>
        <w:tc>
          <w:tcPr>
            <w:tcW w:w="7522" w:type="dxa"/>
            <w:tcBorders>
              <w:top w:val="nil"/>
              <w:left w:val="nil"/>
              <w:bottom w:val="nil"/>
              <w:right w:val="nil"/>
            </w:tcBorders>
            <w:shd w:val="clear" w:color="auto" w:fill="auto"/>
            <w:tcMar>
              <w:top w:w="80" w:type="dxa"/>
              <w:left w:w="80" w:type="dxa"/>
              <w:bottom w:w="80" w:type="dxa"/>
              <w:right w:w="80" w:type="dxa"/>
            </w:tcMar>
          </w:tcPr>
          <w:p w14:paraId="30861D9C" w14:textId="77777777" w:rsidR="003C51B1" w:rsidRPr="003C51B1" w:rsidRDefault="003C51B1" w:rsidP="003B7BEB">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is the price listed in the exchange or the price at which it is traded in the market. Market value reflects what market is willing to pay for it.</w:t>
            </w:r>
          </w:p>
        </w:tc>
      </w:tr>
      <w:tr w:rsidR="003C51B1" w:rsidRPr="003C51B1" w14:paraId="0368A1E6" w14:textId="77777777" w:rsidTr="003C51B1">
        <w:trPr>
          <w:trHeight w:val="16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168A368D"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dividend </w:t>
            </w:r>
          </w:p>
        </w:tc>
        <w:tc>
          <w:tcPr>
            <w:tcW w:w="7522" w:type="dxa"/>
            <w:tcBorders>
              <w:top w:val="nil"/>
              <w:left w:val="nil"/>
              <w:bottom w:val="nil"/>
              <w:right w:val="nil"/>
            </w:tcBorders>
            <w:shd w:val="clear" w:color="auto" w:fill="auto"/>
            <w:tcMar>
              <w:top w:w="80" w:type="dxa"/>
              <w:left w:w="80" w:type="dxa"/>
              <w:bottom w:w="80" w:type="dxa"/>
              <w:right w:w="80" w:type="dxa"/>
            </w:tcMar>
          </w:tcPr>
          <w:p w14:paraId="4F5B7A1E" w14:textId="77777777" w:rsidR="003C51B1" w:rsidRPr="003C51B1" w:rsidRDefault="003C51B1" w:rsidP="003B7BEB">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 xml:space="preserve">is a distribution of a portion of company's earnings (the after-tax profit of a company), decided by the board of directors, to a class of its shareholders. Dividends can be issued as cash payments, as shares of stock, or other property. The amount and timing of the dividend are decided by the board of directors, who also determine whether it is paid out of current earnings or the past earnings </w:t>
            </w:r>
            <w:r w:rsidR="003B7BEB">
              <w:rPr>
                <w:rFonts w:eastAsia="Calibri" w:hAnsi="Calibri" w:cs="Calibri"/>
                <w:u w:color="000000"/>
                <w:bdr w:val="nil"/>
                <w:lang w:val="en-US"/>
              </w:rPr>
              <w:t xml:space="preserve">shall be </w:t>
            </w:r>
            <w:r w:rsidRPr="003C51B1">
              <w:rPr>
                <w:rFonts w:eastAsia="Calibri" w:hAnsi="Calibri" w:cs="Calibri"/>
                <w:u w:color="000000"/>
                <w:bdr w:val="nil"/>
                <w:lang w:val="en-US"/>
              </w:rPr>
              <w:t>kept as reserve. Holders of preferred stock receive a dividend at a fixed rate and are paid first.</w:t>
            </w:r>
          </w:p>
        </w:tc>
      </w:tr>
      <w:tr w:rsidR="003C51B1" w:rsidRPr="003C51B1" w14:paraId="3D36415E" w14:textId="77777777" w:rsidTr="003C51B1">
        <w:trPr>
          <w:trHeight w:val="72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6017B597"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coupon (coupon rate) </w:t>
            </w:r>
          </w:p>
        </w:tc>
        <w:tc>
          <w:tcPr>
            <w:tcW w:w="7522" w:type="dxa"/>
            <w:tcBorders>
              <w:top w:val="nil"/>
              <w:left w:val="nil"/>
              <w:bottom w:val="nil"/>
              <w:right w:val="nil"/>
            </w:tcBorders>
            <w:shd w:val="clear" w:color="auto" w:fill="auto"/>
            <w:tcMar>
              <w:top w:w="80" w:type="dxa"/>
              <w:left w:w="80" w:type="dxa"/>
              <w:bottom w:w="80" w:type="dxa"/>
              <w:right w:w="80" w:type="dxa"/>
            </w:tcMar>
          </w:tcPr>
          <w:p w14:paraId="089E552C" w14:textId="77777777" w:rsidR="003C51B1" w:rsidRPr="003C51B1" w:rsidRDefault="003C51B1" w:rsidP="003C51B1">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is the annual registered interest rate paid on a bond, expressed as a percentage of the face value, that the bond issuer promises to pay until the bond matures. For example, a '10 percent coupon' means a 10 percent annual interest rate.</w:t>
            </w:r>
          </w:p>
        </w:tc>
      </w:tr>
      <w:tr w:rsidR="003C51B1" w:rsidRPr="003C51B1" w14:paraId="2065B27B" w14:textId="77777777" w:rsidTr="003C51B1">
        <w:trPr>
          <w:trHeight w:val="1680"/>
          <w:jc w:val="center"/>
        </w:trPr>
        <w:tc>
          <w:tcPr>
            <w:tcW w:w="2093" w:type="dxa"/>
            <w:tcBorders>
              <w:top w:val="nil"/>
              <w:left w:val="nil"/>
              <w:bottom w:val="nil"/>
              <w:right w:val="nil"/>
            </w:tcBorders>
            <w:shd w:val="clear" w:color="auto" w:fill="auto"/>
            <w:tcMar>
              <w:top w:w="80" w:type="dxa"/>
              <w:left w:w="80" w:type="dxa"/>
              <w:bottom w:w="80" w:type="dxa"/>
              <w:right w:w="80" w:type="dxa"/>
            </w:tcMar>
          </w:tcPr>
          <w:p w14:paraId="65767875" w14:textId="77777777" w:rsidR="003C51B1" w:rsidRPr="003C51B1" w:rsidRDefault="003C51B1" w:rsidP="003C51B1">
            <w:pPr>
              <w:pBdr>
                <w:top w:val="nil"/>
                <w:left w:val="nil"/>
                <w:bottom w:val="nil"/>
                <w:right w:val="nil"/>
                <w:between w:val="nil"/>
                <w:bar w:val="nil"/>
              </w:pBdr>
              <w:rPr>
                <w:rFonts w:ascii="Calibri" w:eastAsia="Calibri" w:hAnsi="Calibri" w:cs="Calibri"/>
                <w:u w:color="000000"/>
                <w:bdr w:val="nil"/>
                <w:lang w:val="en-US"/>
              </w:rPr>
            </w:pPr>
            <w:r w:rsidRPr="003C51B1">
              <w:rPr>
                <w:rFonts w:eastAsia="Calibri" w:hAnsi="Calibri" w:cs="Calibri"/>
                <w:b/>
                <w:bCs/>
                <w:u w:color="000000"/>
                <w:bdr w:val="nil"/>
                <w:lang w:val="en-US"/>
              </w:rPr>
              <w:t xml:space="preserve">derivative </w:t>
            </w:r>
          </w:p>
        </w:tc>
        <w:tc>
          <w:tcPr>
            <w:tcW w:w="7522" w:type="dxa"/>
            <w:tcBorders>
              <w:top w:val="nil"/>
              <w:left w:val="nil"/>
              <w:bottom w:val="nil"/>
              <w:right w:val="nil"/>
            </w:tcBorders>
            <w:shd w:val="clear" w:color="auto" w:fill="auto"/>
            <w:tcMar>
              <w:top w:w="80" w:type="dxa"/>
              <w:left w:w="80" w:type="dxa"/>
              <w:bottom w:w="80" w:type="dxa"/>
              <w:right w:w="80" w:type="dxa"/>
            </w:tcMar>
          </w:tcPr>
          <w:p w14:paraId="0CF7FB05" w14:textId="77777777" w:rsidR="003C51B1" w:rsidRPr="003C51B1" w:rsidRDefault="003C51B1" w:rsidP="00303D5B">
            <w:pPr>
              <w:pBdr>
                <w:top w:val="nil"/>
                <w:left w:val="nil"/>
                <w:bottom w:val="nil"/>
                <w:right w:val="nil"/>
                <w:between w:val="nil"/>
                <w:bar w:val="nil"/>
              </w:pBdr>
              <w:spacing w:after="120" w:line="240" w:lineRule="atLeast"/>
              <w:jc w:val="both"/>
              <w:rPr>
                <w:rFonts w:ascii="Calibri" w:eastAsia="Calibri" w:hAnsi="Calibri" w:cs="Calibri"/>
                <w:u w:color="000000"/>
                <w:bdr w:val="nil"/>
                <w:lang w:val="en-US"/>
              </w:rPr>
            </w:pPr>
            <w:r w:rsidRPr="003C51B1">
              <w:rPr>
                <w:rFonts w:eastAsia="Calibri" w:hAnsi="Calibri" w:cs="Calibri"/>
                <w:u w:color="000000"/>
                <w:bdr w:val="nil"/>
                <w:lang w:val="en-US"/>
              </w:rPr>
              <w:t>is a financial instrument (contract) that derives its value from the performance of underlying assets such as stocks, bonds, currency exchange rates, real estate. Derivatives can be used for a number of purposes, including insuring against price movements (hedging), increasing exposure to price movements for speculation or getting access to otherwise hard-to-trade assets or markets. Some of more common derivatives include forwards, futures, options, swaps, and variations</w:t>
            </w:r>
            <w:r w:rsidR="003B7BEB">
              <w:rPr>
                <w:rFonts w:eastAsia="Calibri" w:hAnsi="Calibri" w:cs="Calibri"/>
                <w:u w:color="000000"/>
                <w:bdr w:val="nil"/>
                <w:lang w:val="en-US"/>
              </w:rPr>
              <w:t xml:space="preserve">, </w:t>
            </w:r>
            <w:r w:rsidRPr="003C51B1">
              <w:rPr>
                <w:rFonts w:eastAsia="Calibri" w:hAnsi="Calibri" w:cs="Calibri"/>
                <w:u w:color="000000"/>
                <w:bdr w:val="nil"/>
                <w:lang w:val="en-US"/>
              </w:rPr>
              <w:t>such as synthetic collateralized debt obligations and credit default swaps.</w:t>
            </w:r>
          </w:p>
        </w:tc>
      </w:tr>
    </w:tbl>
    <w:p w14:paraId="787CCCFB" w14:textId="77777777" w:rsidR="003C51B1" w:rsidRPr="00DC7FC5" w:rsidRDefault="003C51B1" w:rsidP="00DC7FC5">
      <w:pPr>
        <w:keepNext/>
        <w:keepLines/>
        <w:pBdr>
          <w:top w:val="single" w:sz="6" w:space="6" w:color="808080"/>
          <w:bottom w:val="single" w:sz="6" w:space="6" w:color="808080"/>
        </w:pBdr>
        <w:spacing w:before="240" w:after="240"/>
        <w:jc w:val="center"/>
        <w:outlineLvl w:val="0"/>
        <w:rPr>
          <w:b/>
          <w:caps/>
          <w:spacing w:val="20"/>
          <w:kern w:val="16"/>
          <w:sz w:val="28"/>
          <w:szCs w:val="18"/>
          <w:lang w:val="en-US"/>
        </w:rPr>
      </w:pPr>
      <w:r w:rsidRPr="00DC7FC5">
        <w:rPr>
          <w:b/>
          <w:caps/>
          <w:spacing w:val="20"/>
          <w:kern w:val="16"/>
          <w:sz w:val="28"/>
          <w:szCs w:val="18"/>
          <w:lang w:val="en-US"/>
        </w:rPr>
        <w:t>Review questions</w:t>
      </w:r>
    </w:p>
    <w:p w14:paraId="66D0B124"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What is a financial market? State its role.</w:t>
      </w:r>
    </w:p>
    <w:p w14:paraId="6F28AAEF"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What are the functions of a financial market?</w:t>
      </w:r>
    </w:p>
    <w:p w14:paraId="06329282"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How does macroeconomic policy affect financial markets and financial institutions?</w:t>
      </w:r>
    </w:p>
    <w:p w14:paraId="5D2B261E"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Who are the main participants in money markets?</w:t>
      </w:r>
    </w:p>
    <w:p w14:paraId="5B624322"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Explain how different kinds of markets may be distinguished.</w:t>
      </w:r>
    </w:p>
    <w:p w14:paraId="63B66151"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What is the difference between a primary market and a secondary market? Which market is bigger for equity securities?</w:t>
      </w:r>
    </w:p>
    <w:p w14:paraId="66C044D4"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What is the capital market? What are its features?</w:t>
      </w:r>
    </w:p>
    <w:p w14:paraId="791D6223"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What is money market? What are its constituents?  </w:t>
      </w:r>
    </w:p>
    <w:p w14:paraId="774AD2D8"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lastRenderedPageBreak/>
        <w:t>How does money market differ from capital market?</w:t>
      </w:r>
    </w:p>
    <w:p w14:paraId="0C87AB86"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Describe distinction between equity and debt markets.</w:t>
      </w:r>
    </w:p>
    <w:p w14:paraId="4BCBDB51"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 xml:space="preserve">What's the difference between </w:t>
      </w:r>
      <w:r w:rsidR="003B7BEB">
        <w:rPr>
          <w:sz w:val="28"/>
          <w:szCs w:val="28"/>
          <w:lang w:val="en-US" w:bidi="ru-RU"/>
        </w:rPr>
        <w:t>the</w:t>
      </w:r>
      <w:r w:rsidRPr="00DC7FC5">
        <w:rPr>
          <w:sz w:val="28"/>
          <w:szCs w:val="28"/>
          <w:lang w:val="en-US" w:bidi="ru-RU"/>
        </w:rPr>
        <w:t xml:space="preserve"> capital and stock market</w:t>
      </w:r>
      <w:r w:rsidR="003B7BEB">
        <w:rPr>
          <w:sz w:val="28"/>
          <w:szCs w:val="28"/>
          <w:lang w:val="en-US" w:bidi="ru-RU"/>
        </w:rPr>
        <w:t>s</w:t>
      </w:r>
      <w:r w:rsidRPr="00DC7FC5">
        <w:rPr>
          <w:sz w:val="28"/>
          <w:szCs w:val="28"/>
          <w:lang w:val="en-US" w:bidi="ru-RU"/>
        </w:rPr>
        <w:t>?</w:t>
      </w:r>
    </w:p>
    <w:p w14:paraId="66A98FA2"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What are financial instruments? How are they classified?</w:t>
      </w:r>
    </w:p>
    <w:p w14:paraId="11F8388F"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Draw the line between debt and equity financial instruments using the following characteristics: type of relations, time limits, advantages for the firm and for the investor, disadvantages for the firm and for the investor.</w:t>
      </w:r>
    </w:p>
    <w:p w14:paraId="7A9E7F57"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 xml:space="preserve">What main roles </w:t>
      </w:r>
      <w:r w:rsidR="003B7BEB">
        <w:rPr>
          <w:sz w:val="28"/>
          <w:szCs w:val="28"/>
          <w:lang w:val="en-US" w:bidi="ru-RU"/>
        </w:rPr>
        <w:t>do the</w:t>
      </w:r>
      <w:r w:rsidRPr="00DC7FC5">
        <w:rPr>
          <w:sz w:val="28"/>
          <w:szCs w:val="28"/>
          <w:lang w:val="en-US" w:bidi="ru-RU"/>
        </w:rPr>
        <w:t xml:space="preserve"> borrowers, lenders, financial intermediaries, infrastructure providers, and regulators play in the financial markets?</w:t>
      </w:r>
    </w:p>
    <w:p w14:paraId="2D88320E" w14:textId="77777777" w:rsidR="003C51B1" w:rsidRPr="00DC7FC5" w:rsidRDefault="003C51B1" w:rsidP="006F749C">
      <w:pPr>
        <w:numPr>
          <w:ilvl w:val="0"/>
          <w:numId w:val="195"/>
        </w:numPr>
        <w:tabs>
          <w:tab w:val="num" w:pos="720"/>
        </w:tabs>
        <w:spacing w:after="240" w:line="312" w:lineRule="auto"/>
        <w:ind w:left="426" w:hanging="360"/>
        <w:contextualSpacing/>
        <w:jc w:val="both"/>
        <w:rPr>
          <w:sz w:val="28"/>
          <w:szCs w:val="28"/>
          <w:lang w:val="en-US" w:bidi="ru-RU"/>
        </w:rPr>
      </w:pPr>
      <w:r w:rsidRPr="00DC7FC5">
        <w:rPr>
          <w:sz w:val="28"/>
          <w:szCs w:val="28"/>
          <w:lang w:val="en-US" w:bidi="ru-RU"/>
        </w:rPr>
        <w:t>Discuss the distinction between different types of financial intermediaries.</w:t>
      </w:r>
    </w:p>
    <w:p w14:paraId="5CF509E4" w14:textId="77777777" w:rsidR="003C51B1" w:rsidRPr="003C51B1" w:rsidRDefault="00A67A26" w:rsidP="00DC7FC5">
      <w:pPr>
        <w:pStyle w:val="end2"/>
        <w:rPr>
          <w:rFonts w:eastAsia="Garamond"/>
          <w:u w:color="000000"/>
          <w:bdr w:val="nil"/>
          <w:lang w:eastAsia="en-US"/>
        </w:rPr>
      </w:pPr>
      <w:r>
        <w:rPr>
          <w:rFonts w:eastAsia="Calibri"/>
          <w:u w:color="000000"/>
          <w:bdr w:val="nil"/>
          <w:lang w:eastAsia="en-US"/>
        </w:rPr>
        <w:t xml:space="preserve">Multiple </w:t>
      </w:r>
      <w:r w:rsidR="003C51B1" w:rsidRPr="003C51B1">
        <w:rPr>
          <w:rFonts w:eastAsia="Calibri"/>
          <w:u w:color="000000"/>
          <w:bdr w:val="nil"/>
          <w:lang w:eastAsia="en-US"/>
        </w:rPr>
        <w:t xml:space="preserve">choice questions </w:t>
      </w:r>
    </w:p>
    <w:p w14:paraId="3F89629E" w14:textId="77777777" w:rsidR="003C51B1" w:rsidRPr="003C51B1" w:rsidRDefault="003C51B1" w:rsidP="00DC7FC5">
      <w:pPr>
        <w:spacing w:line="240" w:lineRule="atLeast"/>
        <w:ind w:firstLine="357"/>
        <w:jc w:val="both"/>
        <w:rPr>
          <w:rFonts w:eastAsia="Garamond"/>
          <w:u w:color="000000"/>
          <w:bdr w:val="nil"/>
          <w:lang w:val="en-US" w:eastAsia="en-US"/>
        </w:rPr>
      </w:pPr>
      <w:r w:rsidRPr="00DC7FC5">
        <w:rPr>
          <w:sz w:val="28"/>
          <w:szCs w:val="28"/>
          <w:lang w:val="en-US"/>
        </w:rPr>
        <w:t>Choose the one alternative that best completes the statement or answers the question.</w:t>
      </w:r>
    </w:p>
    <w:tbl>
      <w:tblPr>
        <w:tblW w:w="942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428"/>
      </w:tblGrid>
      <w:tr w:rsidR="003C51B1" w:rsidRPr="00ED59F7" w14:paraId="0FEB1D75" w14:textId="77777777" w:rsidTr="00DC7FC5">
        <w:trPr>
          <w:trHeight w:val="1300"/>
        </w:trPr>
        <w:tc>
          <w:tcPr>
            <w:tcW w:w="9428" w:type="dxa"/>
            <w:tcBorders>
              <w:top w:val="nil"/>
              <w:left w:val="nil"/>
              <w:bottom w:val="nil"/>
              <w:right w:val="nil"/>
            </w:tcBorders>
            <w:shd w:val="clear" w:color="auto" w:fill="auto"/>
            <w:tcMar>
              <w:top w:w="80" w:type="dxa"/>
              <w:left w:w="80" w:type="dxa"/>
              <w:bottom w:w="80" w:type="dxa"/>
              <w:right w:w="80" w:type="dxa"/>
            </w:tcMar>
          </w:tcPr>
          <w:p w14:paraId="14992BBB" w14:textId="77777777" w:rsidR="003C51B1" w:rsidRPr="00ED59F7" w:rsidRDefault="003C51B1" w:rsidP="006F749C">
            <w:pPr>
              <w:numPr>
                <w:ilvl w:val="0"/>
                <w:numId w:val="196"/>
              </w:numPr>
              <w:pBdr>
                <w:top w:val="nil"/>
                <w:left w:val="nil"/>
                <w:bottom w:val="nil"/>
                <w:right w:val="nil"/>
                <w:between w:val="nil"/>
                <w:bar w:val="nil"/>
              </w:pBdr>
              <w:spacing w:line="240" w:lineRule="atLeast"/>
              <w:contextualSpacing/>
              <w:rPr>
                <w:sz w:val="28"/>
                <w:szCs w:val="28"/>
                <w:lang w:val="en-US" w:bidi="ru-RU"/>
              </w:rPr>
            </w:pPr>
            <w:r w:rsidRPr="00ED59F7">
              <w:rPr>
                <w:sz w:val="28"/>
                <w:szCs w:val="28"/>
                <w:lang w:val="en-US" w:bidi="ru-RU"/>
              </w:rPr>
              <w:t>Which of the following is not a characteristic of a preference share?</w:t>
            </w:r>
          </w:p>
          <w:p w14:paraId="532F60BA" w14:textId="77777777" w:rsidR="003C51B1" w:rsidRPr="00047AFE" w:rsidRDefault="003C51B1" w:rsidP="006F749C">
            <w:pPr>
              <w:numPr>
                <w:ilvl w:val="0"/>
                <w:numId w:val="197"/>
              </w:numPr>
              <w:pBdr>
                <w:top w:val="nil"/>
                <w:left w:val="nil"/>
                <w:bottom w:val="nil"/>
                <w:right w:val="nil"/>
                <w:between w:val="nil"/>
                <w:bar w:val="nil"/>
              </w:pBdr>
              <w:tabs>
                <w:tab w:val="clear" w:pos="788"/>
              </w:tabs>
              <w:spacing w:line="240" w:lineRule="atLeast"/>
              <w:ind w:left="720"/>
              <w:rPr>
                <w:sz w:val="28"/>
                <w:szCs w:val="28"/>
                <w:lang w:val="en-US"/>
              </w:rPr>
            </w:pPr>
            <w:r w:rsidRPr="00047AFE">
              <w:rPr>
                <w:sz w:val="28"/>
                <w:szCs w:val="28"/>
                <w:lang w:val="en-US"/>
              </w:rPr>
              <w:t>ranks last for payment in the event of company liquidation;</w:t>
            </w:r>
          </w:p>
          <w:p w14:paraId="5B9E9776" w14:textId="77777777" w:rsidR="003C51B1" w:rsidRPr="00047AFE" w:rsidRDefault="003C51B1" w:rsidP="006F749C">
            <w:pPr>
              <w:numPr>
                <w:ilvl w:val="0"/>
                <w:numId w:val="197"/>
              </w:numPr>
              <w:pBdr>
                <w:top w:val="nil"/>
                <w:left w:val="nil"/>
                <w:bottom w:val="nil"/>
                <w:right w:val="nil"/>
                <w:between w:val="nil"/>
                <w:bar w:val="nil"/>
              </w:pBdr>
              <w:tabs>
                <w:tab w:val="clear" w:pos="788"/>
              </w:tabs>
              <w:spacing w:line="240" w:lineRule="atLeast"/>
              <w:ind w:left="720"/>
              <w:rPr>
                <w:sz w:val="28"/>
                <w:szCs w:val="28"/>
                <w:lang w:val="en-US"/>
              </w:rPr>
            </w:pPr>
            <w:r w:rsidRPr="00047AFE">
              <w:rPr>
                <w:sz w:val="28"/>
                <w:szCs w:val="28"/>
                <w:lang w:val="en-US"/>
              </w:rPr>
              <w:t>unpaid dividend</w:t>
            </w:r>
            <w:r w:rsidR="003B7BEB">
              <w:rPr>
                <w:sz w:val="28"/>
                <w:szCs w:val="28"/>
                <w:lang w:val="en-US"/>
              </w:rPr>
              <w:t xml:space="preserve"> is</w:t>
            </w:r>
            <w:r w:rsidRPr="00047AFE">
              <w:rPr>
                <w:sz w:val="28"/>
                <w:szCs w:val="28"/>
                <w:lang w:val="en-US"/>
              </w:rPr>
              <w:t xml:space="preserve"> accrue</w:t>
            </w:r>
            <w:r w:rsidR="003B7BEB">
              <w:rPr>
                <w:sz w:val="28"/>
                <w:szCs w:val="28"/>
                <w:lang w:val="en-US"/>
              </w:rPr>
              <w:t>d</w:t>
            </w:r>
            <w:r w:rsidRPr="00047AFE">
              <w:rPr>
                <w:sz w:val="28"/>
                <w:szCs w:val="28"/>
                <w:lang w:val="en-US"/>
              </w:rPr>
              <w:t xml:space="preserve"> until it can be paid;</w:t>
            </w:r>
          </w:p>
          <w:p w14:paraId="6E25662D" w14:textId="77777777" w:rsidR="003C51B1" w:rsidRPr="00047AFE" w:rsidRDefault="003C51B1" w:rsidP="006F749C">
            <w:pPr>
              <w:numPr>
                <w:ilvl w:val="0"/>
                <w:numId w:val="197"/>
              </w:numPr>
              <w:pBdr>
                <w:top w:val="nil"/>
                <w:left w:val="nil"/>
                <w:bottom w:val="nil"/>
                <w:right w:val="nil"/>
                <w:between w:val="nil"/>
                <w:bar w:val="nil"/>
              </w:pBdr>
              <w:tabs>
                <w:tab w:val="clear" w:pos="788"/>
              </w:tabs>
              <w:spacing w:line="240" w:lineRule="atLeast"/>
              <w:ind w:left="720"/>
              <w:rPr>
                <w:sz w:val="28"/>
                <w:szCs w:val="28"/>
                <w:lang w:val="en-US"/>
              </w:rPr>
            </w:pPr>
            <w:r w:rsidRPr="00047AFE">
              <w:rPr>
                <w:sz w:val="28"/>
                <w:szCs w:val="28"/>
                <w:lang w:val="en-US"/>
              </w:rPr>
              <w:t>do</w:t>
            </w:r>
            <w:r w:rsidR="00A67A26">
              <w:rPr>
                <w:sz w:val="28"/>
                <w:szCs w:val="28"/>
                <w:lang w:val="en-US"/>
              </w:rPr>
              <w:t>es</w:t>
            </w:r>
            <w:r w:rsidRPr="00047AFE">
              <w:rPr>
                <w:sz w:val="28"/>
                <w:szCs w:val="28"/>
                <w:lang w:val="en-US"/>
              </w:rPr>
              <w:t xml:space="preserve"> not usually have voting rights unless dividends fall into arrears;</w:t>
            </w:r>
          </w:p>
          <w:p w14:paraId="2BCDC429" w14:textId="77777777" w:rsidR="003C51B1" w:rsidRPr="00ED59F7" w:rsidRDefault="003C51B1" w:rsidP="006F749C">
            <w:pPr>
              <w:numPr>
                <w:ilvl w:val="0"/>
                <w:numId w:val="197"/>
              </w:numPr>
              <w:pBdr>
                <w:top w:val="nil"/>
                <w:left w:val="nil"/>
                <w:bottom w:val="nil"/>
                <w:right w:val="nil"/>
                <w:between w:val="nil"/>
                <w:bar w:val="nil"/>
              </w:pBdr>
              <w:tabs>
                <w:tab w:val="clear" w:pos="788"/>
              </w:tabs>
              <w:spacing w:after="120" w:line="240" w:lineRule="atLeast"/>
              <w:ind w:left="714" w:hanging="357"/>
              <w:rPr>
                <w:rFonts w:eastAsia="Garamond"/>
                <w:sz w:val="28"/>
                <w:szCs w:val="28"/>
                <w:u w:color="000000"/>
                <w:bdr w:val="nil"/>
                <w:lang w:val="en-US" w:eastAsia="en-US"/>
              </w:rPr>
            </w:pPr>
            <w:r w:rsidRPr="00047AFE">
              <w:rPr>
                <w:sz w:val="28"/>
                <w:szCs w:val="28"/>
                <w:lang w:val="en-US"/>
              </w:rPr>
              <w:t>it is more like debt than a share in its characteristics.</w:t>
            </w:r>
          </w:p>
        </w:tc>
      </w:tr>
      <w:tr w:rsidR="003C51B1" w:rsidRPr="00ED59F7" w14:paraId="73AA90BC" w14:textId="77777777" w:rsidTr="00DC7FC5">
        <w:trPr>
          <w:trHeight w:val="1300"/>
        </w:trPr>
        <w:tc>
          <w:tcPr>
            <w:tcW w:w="9428" w:type="dxa"/>
            <w:tcBorders>
              <w:top w:val="nil"/>
              <w:left w:val="nil"/>
              <w:bottom w:val="nil"/>
              <w:right w:val="nil"/>
            </w:tcBorders>
            <w:shd w:val="clear" w:color="auto" w:fill="auto"/>
            <w:tcMar>
              <w:top w:w="80" w:type="dxa"/>
              <w:left w:w="80" w:type="dxa"/>
              <w:bottom w:w="80" w:type="dxa"/>
              <w:right w:w="80" w:type="dxa"/>
            </w:tcMar>
          </w:tcPr>
          <w:p w14:paraId="49D5CCB2" w14:textId="77777777" w:rsidR="003C51B1" w:rsidRPr="007F249B" w:rsidRDefault="009F199C" w:rsidP="006F749C">
            <w:pPr>
              <w:numPr>
                <w:ilvl w:val="0"/>
                <w:numId w:val="196"/>
              </w:numPr>
              <w:pBdr>
                <w:top w:val="nil"/>
                <w:left w:val="nil"/>
                <w:bottom w:val="nil"/>
                <w:right w:val="nil"/>
                <w:between w:val="nil"/>
                <w:bar w:val="nil"/>
              </w:pBdr>
              <w:spacing w:line="240" w:lineRule="atLeast"/>
              <w:contextualSpacing/>
              <w:rPr>
                <w:sz w:val="28"/>
                <w:szCs w:val="28"/>
                <w:lang w:val="en-US" w:bidi="ru-RU"/>
              </w:rPr>
            </w:pPr>
            <w:r>
              <w:rPr>
                <w:sz w:val="28"/>
                <w:szCs w:val="28"/>
                <w:lang w:val="en-US" w:bidi="ru-RU"/>
              </w:rPr>
              <w:t>Which of the following are</w:t>
            </w:r>
            <w:r w:rsidR="003C51B1" w:rsidRPr="007F249B">
              <w:rPr>
                <w:sz w:val="28"/>
                <w:szCs w:val="28"/>
                <w:lang w:val="en-US" w:bidi="ru-RU"/>
              </w:rPr>
              <w:t xml:space="preserve"> not a money market instrument</w:t>
            </w:r>
            <w:r>
              <w:rPr>
                <w:sz w:val="28"/>
                <w:szCs w:val="28"/>
                <w:lang w:val="en-US" w:bidi="ru-RU"/>
              </w:rPr>
              <w:t>s</w:t>
            </w:r>
            <w:r w:rsidR="003C51B1" w:rsidRPr="007F249B">
              <w:rPr>
                <w:sz w:val="28"/>
                <w:szCs w:val="28"/>
                <w:lang w:val="en-US" w:bidi="ru-RU"/>
              </w:rPr>
              <w:t>?</w:t>
            </w:r>
          </w:p>
          <w:p w14:paraId="2A1AB589" w14:textId="77777777" w:rsidR="003C51B1" w:rsidRPr="007F249B" w:rsidRDefault="003C51B1" w:rsidP="006F749C">
            <w:pPr>
              <w:numPr>
                <w:ilvl w:val="0"/>
                <w:numId w:val="198"/>
              </w:numPr>
              <w:pBdr>
                <w:top w:val="nil"/>
                <w:left w:val="nil"/>
                <w:bottom w:val="nil"/>
                <w:right w:val="nil"/>
                <w:between w:val="nil"/>
                <w:bar w:val="nil"/>
              </w:pBdr>
              <w:tabs>
                <w:tab w:val="clear" w:pos="788"/>
              </w:tabs>
              <w:spacing w:line="240" w:lineRule="atLeast"/>
              <w:ind w:left="720"/>
              <w:rPr>
                <w:sz w:val="28"/>
                <w:szCs w:val="28"/>
                <w:lang w:val="en-US"/>
              </w:rPr>
            </w:pPr>
            <w:r w:rsidRPr="007F249B">
              <w:rPr>
                <w:sz w:val="28"/>
                <w:szCs w:val="28"/>
                <w:lang w:val="en-US"/>
              </w:rPr>
              <w:t>bonds;</w:t>
            </w:r>
          </w:p>
          <w:p w14:paraId="5DB31FAF" w14:textId="77777777" w:rsidR="003C51B1" w:rsidRPr="007F249B" w:rsidRDefault="003C51B1" w:rsidP="006F749C">
            <w:pPr>
              <w:numPr>
                <w:ilvl w:val="0"/>
                <w:numId w:val="198"/>
              </w:numPr>
              <w:pBdr>
                <w:top w:val="nil"/>
                <w:left w:val="nil"/>
                <w:bottom w:val="nil"/>
                <w:right w:val="nil"/>
                <w:between w:val="nil"/>
                <w:bar w:val="nil"/>
              </w:pBdr>
              <w:tabs>
                <w:tab w:val="clear" w:pos="788"/>
              </w:tabs>
              <w:spacing w:line="240" w:lineRule="atLeast"/>
              <w:ind w:left="720"/>
              <w:rPr>
                <w:sz w:val="28"/>
                <w:szCs w:val="28"/>
                <w:lang w:val="en-US"/>
              </w:rPr>
            </w:pPr>
            <w:r w:rsidRPr="007F249B">
              <w:rPr>
                <w:sz w:val="28"/>
                <w:szCs w:val="28"/>
                <w:lang w:val="en-US"/>
              </w:rPr>
              <w:t>treasury bills;</w:t>
            </w:r>
          </w:p>
          <w:p w14:paraId="3BD37163" w14:textId="77777777" w:rsidR="003C51B1" w:rsidRPr="007F249B" w:rsidRDefault="003C51B1" w:rsidP="006F749C">
            <w:pPr>
              <w:numPr>
                <w:ilvl w:val="0"/>
                <w:numId w:val="198"/>
              </w:numPr>
              <w:pBdr>
                <w:top w:val="nil"/>
                <w:left w:val="nil"/>
                <w:bottom w:val="nil"/>
                <w:right w:val="nil"/>
                <w:between w:val="nil"/>
                <w:bar w:val="nil"/>
              </w:pBdr>
              <w:tabs>
                <w:tab w:val="clear" w:pos="788"/>
              </w:tabs>
              <w:spacing w:line="240" w:lineRule="atLeast"/>
              <w:ind w:left="720"/>
              <w:rPr>
                <w:sz w:val="28"/>
                <w:szCs w:val="28"/>
                <w:lang w:val="en-US"/>
              </w:rPr>
            </w:pPr>
            <w:r w:rsidRPr="007F249B">
              <w:rPr>
                <w:sz w:val="28"/>
                <w:szCs w:val="28"/>
                <w:lang w:val="en-US"/>
              </w:rPr>
              <w:t>certificates of deposit (CDs);</w:t>
            </w:r>
          </w:p>
          <w:p w14:paraId="39B1C3A0" w14:textId="77777777" w:rsidR="003C51B1" w:rsidRPr="007F249B" w:rsidRDefault="003C51B1" w:rsidP="006F749C">
            <w:pPr>
              <w:numPr>
                <w:ilvl w:val="0"/>
                <w:numId w:val="198"/>
              </w:numPr>
              <w:pBdr>
                <w:top w:val="nil"/>
                <w:left w:val="nil"/>
                <w:bottom w:val="nil"/>
                <w:right w:val="nil"/>
                <w:between w:val="nil"/>
                <w:bar w:val="nil"/>
              </w:pBdr>
              <w:tabs>
                <w:tab w:val="clear" w:pos="788"/>
              </w:tabs>
              <w:spacing w:after="120" w:line="240" w:lineRule="atLeast"/>
              <w:ind w:left="714" w:hanging="357"/>
              <w:rPr>
                <w:rFonts w:eastAsia="Garamond"/>
                <w:sz w:val="28"/>
                <w:szCs w:val="28"/>
                <w:u w:color="000000"/>
                <w:bdr w:val="nil"/>
                <w:lang w:val="en-US" w:eastAsia="en-US"/>
              </w:rPr>
            </w:pPr>
            <w:r w:rsidRPr="007F249B">
              <w:rPr>
                <w:sz w:val="28"/>
                <w:szCs w:val="28"/>
                <w:lang w:val="en-US"/>
              </w:rPr>
              <w:t>commercial paper (CP).</w:t>
            </w:r>
          </w:p>
        </w:tc>
      </w:tr>
      <w:tr w:rsidR="003C51B1" w:rsidRPr="00ED59F7" w14:paraId="05A70483" w14:textId="77777777" w:rsidTr="00DC7FC5">
        <w:trPr>
          <w:trHeight w:val="1300"/>
        </w:trPr>
        <w:tc>
          <w:tcPr>
            <w:tcW w:w="9428" w:type="dxa"/>
            <w:tcBorders>
              <w:top w:val="nil"/>
              <w:left w:val="nil"/>
              <w:bottom w:val="nil"/>
              <w:right w:val="nil"/>
            </w:tcBorders>
            <w:shd w:val="clear" w:color="auto" w:fill="auto"/>
            <w:tcMar>
              <w:top w:w="80" w:type="dxa"/>
              <w:left w:w="80" w:type="dxa"/>
              <w:bottom w:w="80" w:type="dxa"/>
              <w:right w:w="80" w:type="dxa"/>
            </w:tcMar>
          </w:tcPr>
          <w:p w14:paraId="717F84AA" w14:textId="77777777" w:rsidR="003C51B1" w:rsidRPr="007F249B" w:rsidRDefault="003C51B1" w:rsidP="006F749C">
            <w:pPr>
              <w:numPr>
                <w:ilvl w:val="0"/>
                <w:numId w:val="196"/>
              </w:numPr>
              <w:pBdr>
                <w:top w:val="nil"/>
                <w:left w:val="nil"/>
                <w:bottom w:val="nil"/>
                <w:right w:val="nil"/>
                <w:between w:val="nil"/>
                <w:bar w:val="nil"/>
              </w:pBdr>
              <w:spacing w:line="240" w:lineRule="atLeast"/>
              <w:contextualSpacing/>
              <w:rPr>
                <w:sz w:val="28"/>
                <w:szCs w:val="28"/>
                <w:lang w:val="en-US" w:bidi="ru-RU"/>
              </w:rPr>
            </w:pPr>
            <w:r w:rsidRPr="007F249B">
              <w:rPr>
                <w:sz w:val="28"/>
                <w:szCs w:val="28"/>
                <w:lang w:val="en-US" w:bidi="ru-RU"/>
              </w:rPr>
              <w:t>Which of the following is not a defining quality of a bond?</w:t>
            </w:r>
          </w:p>
          <w:p w14:paraId="44115E13" w14:textId="77777777" w:rsidR="003C51B1" w:rsidRPr="007F249B" w:rsidRDefault="003C51B1" w:rsidP="006F749C">
            <w:pPr>
              <w:numPr>
                <w:ilvl w:val="0"/>
                <w:numId w:val="199"/>
              </w:numPr>
              <w:pBdr>
                <w:top w:val="nil"/>
                <w:left w:val="nil"/>
                <w:bottom w:val="nil"/>
                <w:right w:val="nil"/>
                <w:between w:val="nil"/>
                <w:bar w:val="nil"/>
              </w:pBdr>
              <w:tabs>
                <w:tab w:val="clear" w:pos="788"/>
              </w:tabs>
              <w:spacing w:line="240" w:lineRule="atLeast"/>
              <w:ind w:left="720"/>
              <w:rPr>
                <w:sz w:val="28"/>
                <w:szCs w:val="28"/>
                <w:lang w:val="en-US"/>
              </w:rPr>
            </w:pPr>
            <w:r w:rsidRPr="007F249B">
              <w:rPr>
                <w:sz w:val="28"/>
                <w:szCs w:val="28"/>
                <w:lang w:val="en-US"/>
              </w:rPr>
              <w:t>dividend yield;</w:t>
            </w:r>
          </w:p>
          <w:p w14:paraId="6952E387" w14:textId="77777777" w:rsidR="003C51B1" w:rsidRPr="007F249B" w:rsidRDefault="003C51B1" w:rsidP="006F749C">
            <w:pPr>
              <w:numPr>
                <w:ilvl w:val="0"/>
                <w:numId w:val="199"/>
              </w:numPr>
              <w:pBdr>
                <w:top w:val="nil"/>
                <w:left w:val="nil"/>
                <w:bottom w:val="nil"/>
                <w:right w:val="nil"/>
                <w:between w:val="nil"/>
                <w:bar w:val="nil"/>
              </w:pBdr>
              <w:tabs>
                <w:tab w:val="clear" w:pos="788"/>
              </w:tabs>
              <w:spacing w:line="240" w:lineRule="atLeast"/>
              <w:ind w:left="720"/>
              <w:rPr>
                <w:sz w:val="28"/>
                <w:szCs w:val="28"/>
                <w:lang w:val="en-US"/>
              </w:rPr>
            </w:pPr>
            <w:r w:rsidRPr="007F249B">
              <w:rPr>
                <w:sz w:val="28"/>
                <w:szCs w:val="28"/>
                <w:lang w:val="en-US"/>
              </w:rPr>
              <w:t>maturity;</w:t>
            </w:r>
          </w:p>
          <w:p w14:paraId="2BEFB013" w14:textId="77777777" w:rsidR="003C51B1" w:rsidRPr="007F249B" w:rsidRDefault="003C51B1" w:rsidP="006F749C">
            <w:pPr>
              <w:numPr>
                <w:ilvl w:val="0"/>
                <w:numId w:val="199"/>
              </w:numPr>
              <w:pBdr>
                <w:top w:val="nil"/>
                <w:left w:val="nil"/>
                <w:bottom w:val="nil"/>
                <w:right w:val="nil"/>
                <w:between w:val="nil"/>
                <w:bar w:val="nil"/>
              </w:pBdr>
              <w:tabs>
                <w:tab w:val="clear" w:pos="788"/>
              </w:tabs>
              <w:spacing w:line="240" w:lineRule="atLeast"/>
              <w:ind w:left="720"/>
              <w:rPr>
                <w:sz w:val="28"/>
                <w:szCs w:val="28"/>
                <w:lang w:val="en-US"/>
              </w:rPr>
            </w:pPr>
            <w:r w:rsidRPr="007F249B">
              <w:rPr>
                <w:sz w:val="28"/>
                <w:szCs w:val="28"/>
                <w:lang w:val="en-US"/>
              </w:rPr>
              <w:t>face value;</w:t>
            </w:r>
          </w:p>
          <w:p w14:paraId="25429050" w14:textId="77777777" w:rsidR="003C51B1" w:rsidRPr="007F249B" w:rsidRDefault="003C51B1" w:rsidP="006F749C">
            <w:pPr>
              <w:numPr>
                <w:ilvl w:val="0"/>
                <w:numId w:val="199"/>
              </w:numPr>
              <w:pBdr>
                <w:top w:val="nil"/>
                <w:left w:val="nil"/>
                <w:bottom w:val="nil"/>
                <w:right w:val="nil"/>
                <w:between w:val="nil"/>
                <w:bar w:val="nil"/>
              </w:pBdr>
              <w:tabs>
                <w:tab w:val="clear" w:pos="788"/>
              </w:tabs>
              <w:spacing w:after="120" w:line="240" w:lineRule="atLeast"/>
              <w:ind w:left="714" w:hanging="357"/>
              <w:rPr>
                <w:sz w:val="28"/>
                <w:szCs w:val="28"/>
                <w:u w:color="000000"/>
                <w:bdr w:val="nil"/>
                <w:lang w:val="en-US" w:eastAsia="en-US"/>
              </w:rPr>
            </w:pPr>
            <w:r w:rsidRPr="007F249B">
              <w:rPr>
                <w:sz w:val="28"/>
                <w:szCs w:val="28"/>
                <w:lang w:val="en-US"/>
              </w:rPr>
              <w:t>coupon payment frequency.</w:t>
            </w:r>
          </w:p>
        </w:tc>
      </w:tr>
      <w:tr w:rsidR="003C51B1" w:rsidRPr="00ED59F7" w14:paraId="4658EBDA" w14:textId="77777777" w:rsidTr="00DC7FC5">
        <w:trPr>
          <w:trHeight w:val="1560"/>
        </w:trPr>
        <w:tc>
          <w:tcPr>
            <w:tcW w:w="9428" w:type="dxa"/>
            <w:tcBorders>
              <w:top w:val="nil"/>
              <w:left w:val="nil"/>
              <w:bottom w:val="nil"/>
              <w:right w:val="nil"/>
            </w:tcBorders>
            <w:shd w:val="clear" w:color="auto" w:fill="auto"/>
            <w:tcMar>
              <w:top w:w="80" w:type="dxa"/>
              <w:left w:w="80" w:type="dxa"/>
              <w:bottom w:w="80" w:type="dxa"/>
              <w:right w:w="80" w:type="dxa"/>
            </w:tcMar>
          </w:tcPr>
          <w:p w14:paraId="7364D8F3" w14:textId="77777777" w:rsidR="003C51B1" w:rsidRPr="00ED59F7" w:rsidRDefault="003C51B1" w:rsidP="006F749C">
            <w:pPr>
              <w:numPr>
                <w:ilvl w:val="0"/>
                <w:numId w:val="196"/>
              </w:numPr>
              <w:pBdr>
                <w:top w:val="nil"/>
                <w:left w:val="nil"/>
                <w:bottom w:val="nil"/>
                <w:right w:val="nil"/>
                <w:between w:val="nil"/>
                <w:bar w:val="nil"/>
              </w:pBdr>
              <w:spacing w:line="240" w:lineRule="atLeast"/>
              <w:contextualSpacing/>
              <w:rPr>
                <w:sz w:val="28"/>
                <w:szCs w:val="28"/>
                <w:lang w:val="en-US" w:bidi="ru-RU"/>
              </w:rPr>
            </w:pPr>
            <w:r w:rsidRPr="00ED59F7">
              <w:rPr>
                <w:sz w:val="28"/>
                <w:szCs w:val="28"/>
                <w:lang w:val="en-US" w:bidi="ru-RU"/>
              </w:rPr>
              <w:t>Financ</w:t>
            </w:r>
            <w:r w:rsidR="009F199C">
              <w:rPr>
                <w:sz w:val="28"/>
                <w:szCs w:val="28"/>
                <w:lang w:val="en-US" w:bidi="ru-RU"/>
              </w:rPr>
              <w:t>ial markets and institutions</w:t>
            </w:r>
            <w:r w:rsidRPr="00ED59F7">
              <w:rPr>
                <w:sz w:val="28"/>
                <w:szCs w:val="28"/>
                <w:lang w:val="en-US" w:bidi="ru-RU"/>
              </w:rPr>
              <w:t>:</w:t>
            </w:r>
          </w:p>
          <w:p w14:paraId="7EE3C76D" w14:textId="77777777" w:rsidR="003C51B1" w:rsidRPr="00ED59F7" w:rsidRDefault="003C51B1" w:rsidP="006F749C">
            <w:pPr>
              <w:numPr>
                <w:ilvl w:val="0"/>
                <w:numId w:val="69"/>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involve the movement of huge flows of money;</w:t>
            </w:r>
          </w:p>
          <w:p w14:paraId="0366A90C" w14:textId="77777777" w:rsidR="003C51B1" w:rsidRPr="00ED59F7" w:rsidRDefault="003C51B1" w:rsidP="006F749C">
            <w:pPr>
              <w:numPr>
                <w:ilvl w:val="0"/>
                <w:numId w:val="69"/>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affect the profits of businesses;</w:t>
            </w:r>
          </w:p>
          <w:p w14:paraId="146FDBFF" w14:textId="77777777" w:rsidR="003C51B1" w:rsidRPr="00ED59F7" w:rsidRDefault="003C51B1" w:rsidP="006F749C">
            <w:pPr>
              <w:numPr>
                <w:ilvl w:val="0"/>
                <w:numId w:val="69"/>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affect the types of goods and services produced in economy;</w:t>
            </w:r>
          </w:p>
          <w:p w14:paraId="225786AD" w14:textId="77777777" w:rsidR="003C51B1" w:rsidRPr="00ED59F7" w:rsidRDefault="009F199C" w:rsidP="006F749C">
            <w:pPr>
              <w:numPr>
                <w:ilvl w:val="0"/>
                <w:numId w:val="69"/>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Pr>
                <w:rFonts w:eastAsia="Calibri" w:cs="Calibri"/>
                <w:sz w:val="28"/>
                <w:szCs w:val="28"/>
                <w:u w:color="000000"/>
                <w:bdr w:val="nil"/>
                <w:lang w:val="en-US" w:eastAsia="en-US"/>
              </w:rPr>
              <w:t>all</w:t>
            </w:r>
            <w:r w:rsidR="003C51B1" w:rsidRPr="00ED59F7">
              <w:rPr>
                <w:rFonts w:eastAsia="Calibri" w:cs="Calibri"/>
                <w:sz w:val="28"/>
                <w:szCs w:val="28"/>
                <w:u w:color="000000"/>
                <w:bdr w:val="nil"/>
                <w:lang w:val="en-US" w:eastAsia="en-US"/>
              </w:rPr>
              <w:t xml:space="preserve"> above</w:t>
            </w:r>
            <w:r>
              <w:rPr>
                <w:rFonts w:eastAsia="Calibri" w:cs="Calibri"/>
                <w:sz w:val="28"/>
                <w:szCs w:val="28"/>
                <w:u w:color="000000"/>
                <w:bdr w:val="nil"/>
                <w:lang w:val="en-US" w:eastAsia="en-US"/>
              </w:rPr>
              <w:t>-mentioned</w:t>
            </w:r>
            <w:r w:rsidR="003C51B1" w:rsidRPr="00ED59F7">
              <w:rPr>
                <w:rFonts w:eastAsia="Calibri" w:cs="Calibri"/>
                <w:sz w:val="28"/>
                <w:szCs w:val="28"/>
                <w:u w:color="000000"/>
                <w:bdr w:val="nil"/>
                <w:lang w:val="en-US" w:eastAsia="en-US"/>
              </w:rPr>
              <w:t>;</w:t>
            </w:r>
          </w:p>
          <w:p w14:paraId="12D667CD" w14:textId="77777777" w:rsidR="003C51B1" w:rsidRPr="00ED59F7" w:rsidRDefault="003C51B1" w:rsidP="006F749C">
            <w:pPr>
              <w:numPr>
                <w:ilvl w:val="0"/>
                <w:numId w:val="69"/>
              </w:numPr>
              <w:pBdr>
                <w:top w:val="nil"/>
                <w:left w:val="nil"/>
                <w:bottom w:val="nil"/>
                <w:right w:val="nil"/>
                <w:between w:val="nil"/>
                <w:bar w:val="nil"/>
              </w:pBdr>
              <w:shd w:val="clear" w:color="auto" w:fill="FFFFFF"/>
              <w:tabs>
                <w:tab w:val="num" w:pos="758"/>
              </w:tabs>
              <w:spacing w:after="120" w:line="240" w:lineRule="atLeast"/>
              <w:ind w:left="754" w:hanging="329"/>
              <w:rPr>
                <w:sz w:val="28"/>
                <w:szCs w:val="28"/>
                <w:u w:color="000000"/>
                <w:bdr w:val="nil"/>
                <w:lang w:val="en-US" w:eastAsia="en-US"/>
              </w:rPr>
            </w:pPr>
            <w:r w:rsidRPr="00ED59F7">
              <w:rPr>
                <w:rFonts w:eastAsia="Calibri" w:cs="Calibri"/>
                <w:sz w:val="28"/>
                <w:szCs w:val="28"/>
                <w:u w:color="000000"/>
                <w:bdr w:val="nil"/>
                <w:lang w:val="en-US" w:eastAsia="en-US"/>
              </w:rPr>
              <w:t>none of the above.</w:t>
            </w:r>
          </w:p>
        </w:tc>
      </w:tr>
      <w:tr w:rsidR="003C51B1" w:rsidRPr="00ED59F7" w14:paraId="3F70922A" w14:textId="77777777" w:rsidTr="00DC7FC5">
        <w:trPr>
          <w:trHeight w:val="1820"/>
        </w:trPr>
        <w:tc>
          <w:tcPr>
            <w:tcW w:w="9428" w:type="dxa"/>
            <w:tcBorders>
              <w:top w:val="nil"/>
              <w:left w:val="nil"/>
              <w:bottom w:val="nil"/>
              <w:right w:val="nil"/>
            </w:tcBorders>
            <w:shd w:val="clear" w:color="auto" w:fill="auto"/>
            <w:tcMar>
              <w:top w:w="80" w:type="dxa"/>
              <w:left w:w="80" w:type="dxa"/>
              <w:bottom w:w="80" w:type="dxa"/>
              <w:right w:w="80" w:type="dxa"/>
            </w:tcMar>
          </w:tcPr>
          <w:p w14:paraId="5C5CF5DE" w14:textId="77777777" w:rsidR="003C51B1" w:rsidRPr="00ED59F7" w:rsidRDefault="003C51B1" w:rsidP="006F749C">
            <w:pPr>
              <w:numPr>
                <w:ilvl w:val="0"/>
                <w:numId w:val="196"/>
              </w:numPr>
              <w:pBdr>
                <w:top w:val="nil"/>
                <w:left w:val="nil"/>
                <w:bottom w:val="nil"/>
                <w:right w:val="nil"/>
                <w:between w:val="nil"/>
                <w:bar w:val="nil"/>
              </w:pBdr>
              <w:spacing w:line="240" w:lineRule="atLeast"/>
              <w:contextualSpacing/>
              <w:rPr>
                <w:sz w:val="28"/>
                <w:szCs w:val="28"/>
                <w:lang w:val="en-US" w:bidi="ru-RU"/>
              </w:rPr>
            </w:pPr>
            <w:r w:rsidRPr="00ED59F7">
              <w:rPr>
                <w:sz w:val="28"/>
                <w:szCs w:val="28"/>
                <w:lang w:val="en-US" w:bidi="ru-RU"/>
              </w:rPr>
              <w:lastRenderedPageBreak/>
              <w:t xml:space="preserve">If you want to invest funds for a period </w:t>
            </w:r>
            <w:r w:rsidR="009F199C">
              <w:rPr>
                <w:sz w:val="28"/>
                <w:szCs w:val="28"/>
                <w:lang w:val="en-US" w:bidi="ru-RU"/>
              </w:rPr>
              <w:t>longer</w:t>
            </w:r>
            <w:r w:rsidRPr="00ED59F7">
              <w:rPr>
                <w:sz w:val="28"/>
                <w:szCs w:val="28"/>
                <w:lang w:val="en-US" w:bidi="ru-RU"/>
              </w:rPr>
              <w:t xml:space="preserve"> than one year, </w:t>
            </w:r>
            <w:r w:rsidR="009F199C" w:rsidRPr="00ED59F7">
              <w:rPr>
                <w:sz w:val="28"/>
                <w:szCs w:val="28"/>
                <w:lang w:val="en-US" w:bidi="ru-RU"/>
              </w:rPr>
              <w:t xml:space="preserve">in which market </w:t>
            </w:r>
            <w:r w:rsidR="00303D5B">
              <w:rPr>
                <w:sz w:val="28"/>
                <w:szCs w:val="28"/>
                <w:lang w:val="en-US" w:bidi="ru-RU"/>
              </w:rPr>
              <w:t xml:space="preserve">would </w:t>
            </w:r>
            <w:r w:rsidRPr="00ED59F7">
              <w:rPr>
                <w:sz w:val="28"/>
                <w:szCs w:val="28"/>
                <w:lang w:val="en-US" w:bidi="ru-RU"/>
              </w:rPr>
              <w:t>you most likely invest?</w:t>
            </w:r>
          </w:p>
          <w:p w14:paraId="75512029" w14:textId="77777777" w:rsidR="003C51B1" w:rsidRPr="00ED59F7" w:rsidRDefault="003C51B1" w:rsidP="006F749C">
            <w:pPr>
              <w:numPr>
                <w:ilvl w:val="0"/>
                <w:numId w:val="70"/>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primary market;</w:t>
            </w:r>
          </w:p>
          <w:p w14:paraId="444BAEEB" w14:textId="77777777" w:rsidR="003C51B1" w:rsidRPr="00ED59F7" w:rsidRDefault="003C51B1" w:rsidP="006F749C">
            <w:pPr>
              <w:numPr>
                <w:ilvl w:val="0"/>
                <w:numId w:val="70"/>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capital market;</w:t>
            </w:r>
          </w:p>
          <w:p w14:paraId="2682481C" w14:textId="77777777" w:rsidR="003C51B1" w:rsidRPr="00ED59F7" w:rsidRDefault="003C51B1" w:rsidP="006F749C">
            <w:pPr>
              <w:numPr>
                <w:ilvl w:val="0"/>
                <w:numId w:val="70"/>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money market;</w:t>
            </w:r>
          </w:p>
          <w:p w14:paraId="6F1532BC" w14:textId="77777777" w:rsidR="003C51B1" w:rsidRPr="00ED59F7" w:rsidRDefault="003C51B1" w:rsidP="006F749C">
            <w:pPr>
              <w:numPr>
                <w:ilvl w:val="0"/>
                <w:numId w:val="70"/>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an over-the-counter market;</w:t>
            </w:r>
          </w:p>
          <w:p w14:paraId="1B484AF6" w14:textId="77777777" w:rsidR="003C51B1" w:rsidRPr="00ED59F7" w:rsidRDefault="003C51B1" w:rsidP="006F749C">
            <w:pPr>
              <w:numPr>
                <w:ilvl w:val="0"/>
                <w:numId w:val="70"/>
              </w:numPr>
              <w:pBdr>
                <w:top w:val="nil"/>
                <w:left w:val="nil"/>
                <w:bottom w:val="nil"/>
                <w:right w:val="nil"/>
                <w:between w:val="nil"/>
                <w:bar w:val="nil"/>
              </w:pBdr>
              <w:shd w:val="clear" w:color="auto" w:fill="FFFFFF"/>
              <w:tabs>
                <w:tab w:val="num" w:pos="758"/>
              </w:tabs>
              <w:spacing w:after="120" w:line="240" w:lineRule="atLeast"/>
              <w:ind w:left="754" w:hanging="329"/>
              <w:rPr>
                <w:rFonts w:eastAsia="Garamond"/>
                <w:sz w:val="28"/>
                <w:szCs w:val="28"/>
                <w:u w:color="000000"/>
                <w:bdr w:val="nil"/>
                <w:lang w:val="en-US" w:eastAsia="en-US"/>
              </w:rPr>
            </w:pPr>
            <w:r w:rsidRPr="00ED59F7">
              <w:rPr>
                <w:rFonts w:eastAsia="Calibri" w:cs="Calibri"/>
                <w:sz w:val="28"/>
                <w:szCs w:val="28"/>
                <w:u w:color="000000"/>
                <w:bdr w:val="nil"/>
                <w:lang w:val="en-US" w:eastAsia="en-US"/>
              </w:rPr>
              <w:t>none of the above.</w:t>
            </w:r>
          </w:p>
        </w:tc>
      </w:tr>
      <w:tr w:rsidR="003C51B1" w:rsidRPr="00ED59F7" w14:paraId="5532B1FC" w14:textId="77777777" w:rsidTr="00DC7FC5">
        <w:trPr>
          <w:trHeight w:val="1601"/>
        </w:trPr>
        <w:tc>
          <w:tcPr>
            <w:tcW w:w="9428" w:type="dxa"/>
            <w:tcBorders>
              <w:top w:val="nil"/>
              <w:left w:val="nil"/>
              <w:bottom w:val="nil"/>
              <w:right w:val="nil"/>
            </w:tcBorders>
            <w:shd w:val="clear" w:color="auto" w:fill="auto"/>
            <w:tcMar>
              <w:top w:w="80" w:type="dxa"/>
              <w:left w:w="80" w:type="dxa"/>
              <w:bottom w:w="80" w:type="dxa"/>
              <w:right w:w="80" w:type="dxa"/>
            </w:tcMar>
          </w:tcPr>
          <w:p w14:paraId="5CA42415" w14:textId="77777777" w:rsidR="003C51B1" w:rsidRPr="00ED59F7" w:rsidRDefault="003C51B1" w:rsidP="006F749C">
            <w:pPr>
              <w:numPr>
                <w:ilvl w:val="0"/>
                <w:numId w:val="196"/>
              </w:numPr>
              <w:pBdr>
                <w:top w:val="nil"/>
                <w:left w:val="nil"/>
                <w:bottom w:val="nil"/>
                <w:right w:val="nil"/>
                <w:between w:val="nil"/>
                <w:bar w:val="nil"/>
              </w:pBdr>
              <w:spacing w:line="240" w:lineRule="atLeast"/>
              <w:contextualSpacing/>
              <w:rPr>
                <w:rFonts w:eastAsia="Garamond"/>
                <w:sz w:val="28"/>
                <w:szCs w:val="28"/>
                <w:u w:color="000000"/>
                <w:bdr w:val="nil"/>
                <w:lang w:val="en-US" w:eastAsia="en-US"/>
              </w:rPr>
            </w:pPr>
            <w:r w:rsidRPr="00ED59F7">
              <w:rPr>
                <w:sz w:val="28"/>
                <w:szCs w:val="28"/>
                <w:lang w:val="en-US" w:bidi="ru-RU"/>
              </w:rPr>
              <w:t>Well-functioning financial markets promote economic efficiency by</w:t>
            </w:r>
          </w:p>
          <w:p w14:paraId="200916C4" w14:textId="77777777" w:rsidR="003C51B1" w:rsidRPr="00ED59F7" w:rsidRDefault="003C51B1" w:rsidP="006F749C">
            <w:pPr>
              <w:numPr>
                <w:ilvl w:val="0"/>
                <w:numId w:val="200"/>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channeling funds from investors to savers;</w:t>
            </w:r>
          </w:p>
          <w:p w14:paraId="17BB2E94" w14:textId="77777777" w:rsidR="003C51B1" w:rsidRPr="00ED59F7" w:rsidRDefault="003C51B1" w:rsidP="006F749C">
            <w:pPr>
              <w:numPr>
                <w:ilvl w:val="0"/>
                <w:numId w:val="200"/>
              </w:numPr>
              <w:pBdr>
                <w:top w:val="nil"/>
                <w:left w:val="nil"/>
                <w:bottom w:val="nil"/>
                <w:right w:val="nil"/>
                <w:between w:val="nil"/>
                <w:bar w:val="nil"/>
              </w:pBdr>
              <w:shd w:val="clear" w:color="auto" w:fill="FFFFFF"/>
              <w:tabs>
                <w:tab w:val="num" w:pos="758"/>
              </w:tabs>
              <w:spacing w:line="240" w:lineRule="atLeast"/>
              <w:ind w:left="758" w:hanging="330"/>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creating inflation;</w:t>
            </w:r>
          </w:p>
          <w:p w14:paraId="02F6A149" w14:textId="77777777" w:rsidR="003C51B1" w:rsidRPr="00ED59F7" w:rsidRDefault="003C51B1" w:rsidP="006F749C">
            <w:pPr>
              <w:numPr>
                <w:ilvl w:val="0"/>
                <w:numId w:val="200"/>
              </w:numPr>
              <w:pBdr>
                <w:top w:val="nil"/>
                <w:left w:val="nil"/>
                <w:bottom w:val="nil"/>
                <w:right w:val="nil"/>
                <w:between w:val="nil"/>
                <w:bar w:val="nil"/>
              </w:pBdr>
              <w:shd w:val="clear" w:color="auto" w:fill="FFFFFF"/>
              <w:tabs>
                <w:tab w:val="num" w:pos="758"/>
              </w:tabs>
              <w:spacing w:line="240" w:lineRule="atLeast"/>
              <w:ind w:left="758" w:hanging="330"/>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channeling funds from savers to investors;</w:t>
            </w:r>
          </w:p>
          <w:p w14:paraId="4A9625DE" w14:textId="77777777" w:rsidR="003C51B1" w:rsidRPr="00ED59F7" w:rsidRDefault="003C51B1" w:rsidP="006F749C">
            <w:pPr>
              <w:numPr>
                <w:ilvl w:val="0"/>
                <w:numId w:val="200"/>
              </w:numPr>
              <w:pBdr>
                <w:top w:val="nil"/>
                <w:left w:val="nil"/>
                <w:bottom w:val="nil"/>
                <w:right w:val="nil"/>
                <w:between w:val="nil"/>
                <w:bar w:val="nil"/>
              </w:pBdr>
              <w:shd w:val="clear" w:color="auto" w:fill="FFFFFF"/>
              <w:tabs>
                <w:tab w:val="num" w:pos="758"/>
              </w:tabs>
              <w:spacing w:line="240" w:lineRule="atLeast"/>
              <w:ind w:left="758" w:hanging="330"/>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reducing investment;</w:t>
            </w:r>
          </w:p>
          <w:p w14:paraId="7D377FE7" w14:textId="77777777" w:rsidR="003C51B1" w:rsidRPr="00ED59F7" w:rsidRDefault="003C51B1" w:rsidP="006F749C">
            <w:pPr>
              <w:numPr>
                <w:ilvl w:val="0"/>
                <w:numId w:val="200"/>
              </w:numPr>
              <w:pBdr>
                <w:top w:val="nil"/>
                <w:left w:val="nil"/>
                <w:bottom w:val="nil"/>
                <w:right w:val="nil"/>
                <w:between w:val="nil"/>
                <w:bar w:val="nil"/>
              </w:pBdr>
              <w:shd w:val="clear" w:color="auto" w:fill="FFFFFF"/>
              <w:tabs>
                <w:tab w:val="num" w:pos="758"/>
              </w:tabs>
              <w:spacing w:after="120" w:line="240" w:lineRule="atLeast"/>
              <w:ind w:left="754" w:hanging="329"/>
              <w:rPr>
                <w:sz w:val="28"/>
                <w:szCs w:val="28"/>
                <w:u w:color="000000"/>
                <w:bdr w:val="nil"/>
                <w:lang w:val="en-US" w:eastAsia="en-US"/>
              </w:rPr>
            </w:pPr>
            <w:r w:rsidRPr="00ED59F7">
              <w:rPr>
                <w:rFonts w:eastAsia="Calibri" w:cs="Calibri"/>
                <w:sz w:val="28"/>
                <w:szCs w:val="28"/>
                <w:u w:color="000000"/>
                <w:bdr w:val="nil"/>
                <w:lang w:val="en-US" w:eastAsia="en-US"/>
              </w:rPr>
              <w:t>none of the above.</w:t>
            </w:r>
            <w:r w:rsidRPr="00ED59F7">
              <w:rPr>
                <w:rFonts w:eastAsia="Calibri" w:cs="Calibri"/>
                <w:color w:val="222222"/>
                <w:sz w:val="28"/>
                <w:szCs w:val="28"/>
                <w:u w:color="222222"/>
                <w:bdr w:val="nil"/>
                <w:shd w:val="clear" w:color="auto" w:fill="FFFFFF"/>
                <w:lang w:val="en-US" w:eastAsia="en-US"/>
              </w:rPr>
              <w:t xml:space="preserve">  </w:t>
            </w:r>
          </w:p>
        </w:tc>
      </w:tr>
      <w:tr w:rsidR="003C51B1" w:rsidRPr="00ED59F7" w14:paraId="47EBC382" w14:textId="77777777" w:rsidTr="0072591B">
        <w:trPr>
          <w:trHeight w:val="1942"/>
        </w:trPr>
        <w:tc>
          <w:tcPr>
            <w:tcW w:w="9428" w:type="dxa"/>
            <w:tcBorders>
              <w:top w:val="nil"/>
              <w:left w:val="nil"/>
              <w:bottom w:val="nil"/>
              <w:right w:val="nil"/>
            </w:tcBorders>
            <w:shd w:val="clear" w:color="auto" w:fill="auto"/>
            <w:tcMar>
              <w:top w:w="80" w:type="dxa"/>
              <w:left w:w="80" w:type="dxa"/>
              <w:bottom w:w="80" w:type="dxa"/>
              <w:right w:w="80" w:type="dxa"/>
            </w:tcMar>
          </w:tcPr>
          <w:p w14:paraId="14E2EE23" w14:textId="77777777" w:rsidR="003C51B1" w:rsidRPr="00ED59F7" w:rsidRDefault="003C51B1" w:rsidP="006F749C">
            <w:pPr>
              <w:numPr>
                <w:ilvl w:val="0"/>
                <w:numId w:val="196"/>
              </w:numPr>
              <w:pBdr>
                <w:top w:val="nil"/>
                <w:left w:val="nil"/>
                <w:bottom w:val="nil"/>
                <w:right w:val="nil"/>
                <w:between w:val="nil"/>
                <w:bar w:val="nil"/>
              </w:pBdr>
              <w:spacing w:line="240" w:lineRule="atLeast"/>
              <w:contextualSpacing/>
              <w:rPr>
                <w:rFonts w:eastAsia="Garamond"/>
                <w:sz w:val="28"/>
                <w:szCs w:val="28"/>
                <w:u w:color="000000"/>
                <w:bdr w:val="nil"/>
                <w:lang w:val="en-US" w:eastAsia="en-US"/>
              </w:rPr>
            </w:pPr>
            <w:r w:rsidRPr="00ED59F7">
              <w:rPr>
                <w:sz w:val="28"/>
                <w:szCs w:val="28"/>
                <w:lang w:val="en-US" w:bidi="ru-RU"/>
              </w:rPr>
              <w:t>The higher a security’s price in the secondary market</w:t>
            </w:r>
          </w:p>
          <w:p w14:paraId="60D6632B" w14:textId="77777777" w:rsidR="003C51B1" w:rsidRPr="00ED59F7" w:rsidRDefault="003C51B1" w:rsidP="006F749C">
            <w:pPr>
              <w:numPr>
                <w:ilvl w:val="0"/>
                <w:numId w:val="201"/>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the more funds a firm can raise by selling securities in the primary market;</w:t>
            </w:r>
          </w:p>
          <w:p w14:paraId="1BA75A24" w14:textId="77777777" w:rsidR="003C51B1" w:rsidRPr="00ED59F7" w:rsidRDefault="003C51B1" w:rsidP="006F749C">
            <w:pPr>
              <w:numPr>
                <w:ilvl w:val="0"/>
                <w:numId w:val="201"/>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the more funds a firm can raise by selling securities in the secondary market;</w:t>
            </w:r>
          </w:p>
          <w:p w14:paraId="7E39D1AB" w14:textId="77777777" w:rsidR="003C51B1" w:rsidRPr="00ED59F7" w:rsidRDefault="003C51B1" w:rsidP="006F749C">
            <w:pPr>
              <w:numPr>
                <w:ilvl w:val="0"/>
                <w:numId w:val="201"/>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the less funds a firm can raise by selling securities in the primary market;</w:t>
            </w:r>
          </w:p>
          <w:p w14:paraId="0B2D8EFA" w14:textId="77777777" w:rsidR="003C51B1" w:rsidRPr="00ED59F7" w:rsidRDefault="003C51B1" w:rsidP="006F749C">
            <w:pPr>
              <w:numPr>
                <w:ilvl w:val="0"/>
                <w:numId w:val="201"/>
              </w:numPr>
              <w:pBdr>
                <w:top w:val="nil"/>
                <w:left w:val="nil"/>
                <w:bottom w:val="nil"/>
                <w:right w:val="nil"/>
                <w:between w:val="nil"/>
                <w:bar w:val="nil"/>
              </w:pBdr>
              <w:shd w:val="clear" w:color="auto" w:fill="FFFFFF"/>
              <w:spacing w:line="240" w:lineRule="atLeast"/>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the less funds a firm can raise by selling securities in the secondary market;</w:t>
            </w:r>
          </w:p>
          <w:p w14:paraId="6DD2B80D" w14:textId="77777777" w:rsidR="003C51B1" w:rsidRPr="00ED59F7" w:rsidRDefault="003C51B1" w:rsidP="006F749C">
            <w:pPr>
              <w:numPr>
                <w:ilvl w:val="0"/>
                <w:numId w:val="201"/>
              </w:numPr>
              <w:pBdr>
                <w:top w:val="nil"/>
                <w:left w:val="nil"/>
                <w:bottom w:val="nil"/>
                <w:right w:val="nil"/>
                <w:between w:val="nil"/>
                <w:bar w:val="nil"/>
              </w:pBdr>
              <w:shd w:val="clear" w:color="auto" w:fill="FFFFFF"/>
              <w:spacing w:after="120" w:line="240" w:lineRule="atLeast"/>
              <w:ind w:left="782" w:hanging="357"/>
              <w:rPr>
                <w:sz w:val="28"/>
                <w:szCs w:val="28"/>
                <w:u w:color="000000"/>
                <w:bdr w:val="nil"/>
                <w:lang w:val="en-US" w:eastAsia="en-US"/>
              </w:rPr>
            </w:pPr>
            <w:r w:rsidRPr="00ED59F7">
              <w:rPr>
                <w:rFonts w:eastAsia="Calibri" w:cs="Calibri"/>
                <w:sz w:val="28"/>
                <w:szCs w:val="28"/>
                <w:u w:color="000000"/>
                <w:bdr w:val="nil"/>
                <w:lang w:val="en-US" w:eastAsia="en-US"/>
              </w:rPr>
              <w:t>secondary market prices have no effect on the funds a firm can raise.</w:t>
            </w:r>
          </w:p>
        </w:tc>
      </w:tr>
      <w:tr w:rsidR="003C51B1" w:rsidRPr="00ED59F7" w14:paraId="68571675" w14:textId="77777777" w:rsidTr="00DC7FC5">
        <w:trPr>
          <w:trHeight w:val="1601"/>
        </w:trPr>
        <w:tc>
          <w:tcPr>
            <w:tcW w:w="9428" w:type="dxa"/>
            <w:tcBorders>
              <w:top w:val="nil"/>
              <w:left w:val="nil"/>
              <w:bottom w:val="nil"/>
              <w:right w:val="nil"/>
            </w:tcBorders>
            <w:shd w:val="clear" w:color="auto" w:fill="auto"/>
            <w:tcMar>
              <w:top w:w="80" w:type="dxa"/>
              <w:left w:w="80" w:type="dxa"/>
              <w:bottom w:w="80" w:type="dxa"/>
              <w:right w:w="80" w:type="dxa"/>
            </w:tcMar>
          </w:tcPr>
          <w:p w14:paraId="3AB82493" w14:textId="77777777" w:rsidR="003C51B1" w:rsidRPr="00ED59F7" w:rsidRDefault="003C51B1" w:rsidP="006F749C">
            <w:pPr>
              <w:numPr>
                <w:ilvl w:val="0"/>
                <w:numId w:val="196"/>
              </w:numPr>
              <w:pBdr>
                <w:top w:val="nil"/>
                <w:left w:val="nil"/>
                <w:bottom w:val="nil"/>
                <w:right w:val="nil"/>
                <w:between w:val="nil"/>
                <w:bar w:val="nil"/>
              </w:pBdr>
              <w:spacing w:line="240" w:lineRule="atLeast"/>
              <w:contextualSpacing/>
              <w:rPr>
                <w:sz w:val="28"/>
                <w:szCs w:val="28"/>
                <w:lang w:val="en-US" w:bidi="ru-RU"/>
              </w:rPr>
            </w:pPr>
            <w:r w:rsidRPr="00ED59F7">
              <w:rPr>
                <w:sz w:val="28"/>
                <w:szCs w:val="28"/>
                <w:lang w:val="en-US" w:bidi="ru-RU"/>
              </w:rPr>
              <w:t>Ukra</w:t>
            </w:r>
            <w:r w:rsidR="009F199C">
              <w:rPr>
                <w:sz w:val="28"/>
                <w:szCs w:val="28"/>
                <w:lang w:val="en-US" w:bidi="ru-RU"/>
              </w:rPr>
              <w:t>inian government treasury bills</w:t>
            </w:r>
          </w:p>
          <w:p w14:paraId="455FE6C8" w14:textId="77777777" w:rsidR="003C51B1" w:rsidRPr="00ED59F7" w:rsidRDefault="003C51B1" w:rsidP="006F749C">
            <w:pPr>
              <w:numPr>
                <w:ilvl w:val="0"/>
                <w:numId w:val="71"/>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are the safest of all money market instruments;</w:t>
            </w:r>
          </w:p>
          <w:p w14:paraId="0B255629" w14:textId="77777777" w:rsidR="003C51B1" w:rsidRPr="00ED59F7" w:rsidRDefault="009F199C" w:rsidP="006F749C">
            <w:pPr>
              <w:numPr>
                <w:ilvl w:val="0"/>
                <w:numId w:val="71"/>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Pr>
                <w:rFonts w:eastAsia="Calibri" w:cs="Calibri"/>
                <w:sz w:val="28"/>
                <w:szCs w:val="28"/>
                <w:u w:color="000000"/>
                <w:bdr w:val="nil"/>
                <w:lang w:val="en-US" w:eastAsia="en-US"/>
              </w:rPr>
              <w:t>are sold</w:t>
            </w:r>
            <w:r w:rsidR="003C51B1" w:rsidRPr="00ED59F7">
              <w:rPr>
                <w:rFonts w:eastAsia="Calibri" w:cs="Calibri"/>
                <w:sz w:val="28"/>
                <w:szCs w:val="28"/>
                <w:u w:color="000000"/>
                <w:bdr w:val="nil"/>
                <w:lang w:val="en-US" w:eastAsia="en-US"/>
              </w:rPr>
              <w:t xml:space="preserve"> at a discount because the</w:t>
            </w:r>
            <w:r>
              <w:rPr>
                <w:rFonts w:eastAsia="Calibri" w:cs="Calibri"/>
                <w:sz w:val="28"/>
                <w:szCs w:val="28"/>
                <w:u w:color="000000"/>
                <w:bdr w:val="nil"/>
                <w:lang w:val="en-US" w:eastAsia="en-US"/>
              </w:rPr>
              <w:t>re</w:t>
            </w:r>
            <w:r w:rsidR="003C51B1" w:rsidRPr="00ED59F7">
              <w:rPr>
                <w:rFonts w:eastAsia="Calibri" w:cs="Calibri"/>
                <w:sz w:val="28"/>
                <w:szCs w:val="28"/>
                <w:u w:color="000000"/>
                <w:bdr w:val="nil"/>
                <w:lang w:val="en-US" w:eastAsia="en-US"/>
              </w:rPr>
              <w:t xml:space="preserve"> are no interest payments;</w:t>
            </w:r>
          </w:p>
          <w:p w14:paraId="32670BA8" w14:textId="77777777" w:rsidR="003C51B1" w:rsidRPr="00ED59F7" w:rsidRDefault="003C51B1" w:rsidP="006F749C">
            <w:pPr>
              <w:numPr>
                <w:ilvl w:val="0"/>
                <w:numId w:val="71"/>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are the most liquid of the money market securities;</w:t>
            </w:r>
          </w:p>
          <w:p w14:paraId="3636FEAE" w14:textId="77777777" w:rsidR="003C51B1" w:rsidRPr="00ED59F7" w:rsidRDefault="003C51B1" w:rsidP="006F749C">
            <w:pPr>
              <w:numPr>
                <w:ilvl w:val="0"/>
                <w:numId w:val="71"/>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only (a) and (c) of the above;</w:t>
            </w:r>
          </w:p>
          <w:p w14:paraId="76D51A19" w14:textId="77777777" w:rsidR="003C51B1" w:rsidRPr="00ED59F7" w:rsidRDefault="003C51B1" w:rsidP="006F749C">
            <w:pPr>
              <w:numPr>
                <w:ilvl w:val="0"/>
                <w:numId w:val="71"/>
              </w:numPr>
              <w:pBdr>
                <w:top w:val="nil"/>
                <w:left w:val="nil"/>
                <w:bottom w:val="nil"/>
                <w:right w:val="nil"/>
                <w:between w:val="nil"/>
                <w:bar w:val="nil"/>
              </w:pBdr>
              <w:shd w:val="clear" w:color="auto" w:fill="FFFFFF"/>
              <w:tabs>
                <w:tab w:val="num" w:pos="758"/>
              </w:tabs>
              <w:spacing w:after="120" w:line="240" w:lineRule="atLeast"/>
              <w:ind w:left="754" w:hanging="329"/>
              <w:rPr>
                <w:sz w:val="28"/>
                <w:szCs w:val="28"/>
                <w:u w:color="000000"/>
                <w:bdr w:val="nil"/>
                <w:lang w:val="en-US" w:eastAsia="en-US"/>
              </w:rPr>
            </w:pPr>
            <w:r w:rsidRPr="00ED59F7">
              <w:rPr>
                <w:rFonts w:eastAsia="Calibri" w:cs="Calibri"/>
                <w:sz w:val="28"/>
                <w:szCs w:val="28"/>
                <w:u w:color="000000"/>
                <w:bdr w:val="nil"/>
                <w:lang w:val="en-US" w:eastAsia="en-US"/>
              </w:rPr>
              <w:t>all of the above.</w:t>
            </w:r>
            <w:r w:rsidRPr="00ED59F7">
              <w:rPr>
                <w:rFonts w:eastAsia="Calibri" w:cs="Calibri"/>
                <w:color w:val="222222"/>
                <w:sz w:val="28"/>
                <w:szCs w:val="28"/>
                <w:u w:color="222222"/>
                <w:bdr w:val="nil"/>
                <w:shd w:val="clear" w:color="auto" w:fill="FFFFFF"/>
                <w:lang w:val="en-US" w:eastAsia="en-US"/>
              </w:rPr>
              <w:t xml:space="preserve">  </w:t>
            </w:r>
          </w:p>
        </w:tc>
      </w:tr>
      <w:tr w:rsidR="003C51B1" w:rsidRPr="00ED59F7" w14:paraId="50FDACA2" w14:textId="77777777" w:rsidTr="00DC7FC5">
        <w:trPr>
          <w:trHeight w:val="2080"/>
        </w:trPr>
        <w:tc>
          <w:tcPr>
            <w:tcW w:w="9428" w:type="dxa"/>
            <w:tcBorders>
              <w:top w:val="nil"/>
              <w:left w:val="nil"/>
              <w:bottom w:val="nil"/>
              <w:right w:val="nil"/>
            </w:tcBorders>
            <w:shd w:val="clear" w:color="auto" w:fill="auto"/>
            <w:tcMar>
              <w:top w:w="80" w:type="dxa"/>
              <w:left w:w="80" w:type="dxa"/>
              <w:bottom w:w="80" w:type="dxa"/>
              <w:right w:w="80" w:type="dxa"/>
            </w:tcMar>
          </w:tcPr>
          <w:p w14:paraId="70057D90" w14:textId="77777777" w:rsidR="003C51B1" w:rsidRPr="00ED59F7" w:rsidRDefault="003C51B1" w:rsidP="006F749C">
            <w:pPr>
              <w:numPr>
                <w:ilvl w:val="0"/>
                <w:numId w:val="196"/>
              </w:numPr>
              <w:pBdr>
                <w:top w:val="nil"/>
                <w:left w:val="nil"/>
                <w:bottom w:val="nil"/>
                <w:right w:val="nil"/>
                <w:between w:val="nil"/>
                <w:bar w:val="nil"/>
              </w:pBdr>
              <w:spacing w:line="240" w:lineRule="atLeast"/>
              <w:contextualSpacing/>
              <w:rPr>
                <w:sz w:val="28"/>
                <w:szCs w:val="28"/>
                <w:lang w:val="en-US" w:bidi="ru-RU"/>
              </w:rPr>
            </w:pPr>
            <w:r w:rsidRPr="00ED59F7">
              <w:rPr>
                <w:sz w:val="28"/>
                <w:szCs w:val="28"/>
                <w:lang w:val="en-US" w:bidi="ru-RU"/>
              </w:rPr>
              <w:t xml:space="preserve">Which of the following instruments are </w:t>
            </w:r>
            <w:r w:rsidR="009F199C">
              <w:rPr>
                <w:sz w:val="28"/>
                <w:szCs w:val="28"/>
                <w:lang w:val="en-US" w:bidi="ru-RU"/>
              </w:rPr>
              <w:t>long-term financial instruments?</w:t>
            </w:r>
          </w:p>
          <w:p w14:paraId="1DAEEF35" w14:textId="77777777" w:rsidR="003C51B1" w:rsidRPr="00ED59F7" w:rsidRDefault="003C51B1" w:rsidP="006F749C">
            <w:pPr>
              <w:numPr>
                <w:ilvl w:val="0"/>
                <w:numId w:val="72"/>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a negotiable certificate of deposit;</w:t>
            </w:r>
          </w:p>
          <w:p w14:paraId="5B1B7B53" w14:textId="77777777" w:rsidR="003C51B1" w:rsidRPr="00ED59F7" w:rsidRDefault="003C51B1" w:rsidP="006F749C">
            <w:pPr>
              <w:numPr>
                <w:ilvl w:val="0"/>
                <w:numId w:val="72"/>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SMARTTELL</w:t>
            </w:r>
            <w:r w:rsidR="00DC7FC5" w:rsidRPr="00ED59F7">
              <w:rPr>
                <w:rFonts w:eastAsia="Calibri" w:cs="Calibri"/>
                <w:sz w:val="28"/>
                <w:szCs w:val="28"/>
                <w:u w:color="000000"/>
                <w:bdr w:val="nil"/>
                <w:lang w:val="en-US" w:eastAsia="en-US"/>
              </w:rPr>
              <w:t xml:space="preserve"> </w:t>
            </w:r>
            <w:r w:rsidRPr="00ED59F7">
              <w:rPr>
                <w:rFonts w:eastAsia="Calibri" w:cs="Calibri"/>
                <w:sz w:val="28"/>
                <w:szCs w:val="28"/>
                <w:u w:color="000000"/>
                <w:bdr w:val="nil"/>
                <w:lang w:val="en-US" w:eastAsia="en-US"/>
              </w:rPr>
              <w:t>stock;</w:t>
            </w:r>
          </w:p>
          <w:p w14:paraId="48570C66" w14:textId="77777777" w:rsidR="003C51B1" w:rsidRPr="00ED59F7" w:rsidRDefault="003C51B1" w:rsidP="006F749C">
            <w:pPr>
              <w:numPr>
                <w:ilvl w:val="0"/>
                <w:numId w:val="72"/>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six-month loan;</w:t>
            </w:r>
          </w:p>
          <w:p w14:paraId="4E837873" w14:textId="77777777" w:rsidR="003C51B1" w:rsidRPr="00ED59F7" w:rsidRDefault="003C51B1" w:rsidP="006F749C">
            <w:pPr>
              <w:numPr>
                <w:ilvl w:val="0"/>
                <w:numId w:val="72"/>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Ukrainian government treasury bill;</w:t>
            </w:r>
          </w:p>
          <w:p w14:paraId="24B0B3FD" w14:textId="77777777" w:rsidR="003C51B1" w:rsidRPr="00ED59F7" w:rsidRDefault="003C51B1" w:rsidP="006F749C">
            <w:pPr>
              <w:numPr>
                <w:ilvl w:val="0"/>
                <w:numId w:val="72"/>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only (a) and (c) of the above;</w:t>
            </w:r>
          </w:p>
          <w:p w14:paraId="29F5AD14" w14:textId="77777777" w:rsidR="003C51B1" w:rsidRPr="00ED59F7" w:rsidRDefault="00525312" w:rsidP="00525312">
            <w:pPr>
              <w:numPr>
                <w:ilvl w:val="0"/>
                <w:numId w:val="72"/>
              </w:numPr>
              <w:pBdr>
                <w:top w:val="nil"/>
                <w:left w:val="nil"/>
                <w:bottom w:val="nil"/>
                <w:right w:val="nil"/>
                <w:between w:val="nil"/>
                <w:bar w:val="nil"/>
              </w:pBdr>
              <w:shd w:val="clear" w:color="auto" w:fill="FFFFFF"/>
              <w:tabs>
                <w:tab w:val="num" w:pos="758"/>
              </w:tabs>
              <w:spacing w:line="240" w:lineRule="atLeast"/>
              <w:ind w:left="758" w:hanging="330"/>
              <w:rPr>
                <w:sz w:val="28"/>
                <w:szCs w:val="28"/>
                <w:u w:color="000000"/>
                <w:bdr w:val="nil"/>
                <w:lang w:val="en-US" w:eastAsia="en-US"/>
              </w:rPr>
            </w:pPr>
            <w:r>
              <w:rPr>
                <w:rFonts w:eastAsia="Calibri" w:cs="Calibri"/>
                <w:sz w:val="28"/>
                <w:szCs w:val="28"/>
                <w:u w:color="000000"/>
                <w:bdr w:val="nil"/>
                <w:lang w:val="en-US" w:eastAsia="en-US"/>
              </w:rPr>
              <w:t>all of the above</w:t>
            </w:r>
            <w:r w:rsidR="003C51B1" w:rsidRPr="00ED59F7">
              <w:rPr>
                <w:rFonts w:eastAsia="Calibri" w:cs="Calibri"/>
                <w:sz w:val="28"/>
                <w:szCs w:val="28"/>
                <w:u w:color="000000"/>
                <w:bdr w:val="nil"/>
                <w:lang w:val="en-US" w:eastAsia="en-US"/>
              </w:rPr>
              <w:t>.</w:t>
            </w:r>
          </w:p>
        </w:tc>
      </w:tr>
      <w:tr w:rsidR="003C51B1" w:rsidRPr="00ED59F7" w14:paraId="41BDCF3C" w14:textId="77777777" w:rsidTr="00ED59F7">
        <w:trPr>
          <w:trHeight w:val="204"/>
        </w:trPr>
        <w:tc>
          <w:tcPr>
            <w:tcW w:w="9428" w:type="dxa"/>
            <w:tcBorders>
              <w:top w:val="nil"/>
              <w:left w:val="nil"/>
              <w:bottom w:val="nil"/>
              <w:right w:val="nil"/>
            </w:tcBorders>
            <w:shd w:val="clear" w:color="auto" w:fill="auto"/>
            <w:tcMar>
              <w:top w:w="80" w:type="dxa"/>
              <w:left w:w="80" w:type="dxa"/>
              <w:bottom w:w="80" w:type="dxa"/>
              <w:right w:w="80" w:type="dxa"/>
            </w:tcMar>
          </w:tcPr>
          <w:p w14:paraId="2ED4B0EC" w14:textId="77777777" w:rsidR="003C51B1" w:rsidRPr="00ED59F7" w:rsidRDefault="003C51B1" w:rsidP="006F749C">
            <w:pPr>
              <w:numPr>
                <w:ilvl w:val="0"/>
                <w:numId w:val="196"/>
              </w:numPr>
              <w:pBdr>
                <w:top w:val="nil"/>
                <w:left w:val="nil"/>
                <w:bottom w:val="nil"/>
                <w:right w:val="nil"/>
                <w:between w:val="nil"/>
                <w:bar w:val="nil"/>
              </w:pBdr>
              <w:spacing w:line="240" w:lineRule="atLeast"/>
              <w:contextualSpacing/>
              <w:rPr>
                <w:sz w:val="28"/>
                <w:szCs w:val="28"/>
                <w:lang w:val="en-US" w:bidi="ru-RU"/>
              </w:rPr>
            </w:pPr>
            <w:r w:rsidRPr="00ED59F7">
              <w:rPr>
                <w:sz w:val="28"/>
                <w:szCs w:val="28"/>
                <w:lang w:val="en-US" w:bidi="ru-RU"/>
              </w:rPr>
              <w:t>Which of the following is not typically considered a function of financial intermediaries?</w:t>
            </w:r>
          </w:p>
          <w:p w14:paraId="3094210E" w14:textId="77777777" w:rsidR="003C51B1" w:rsidRPr="00ED59F7" w:rsidRDefault="003C51B1" w:rsidP="006F749C">
            <w:pPr>
              <w:numPr>
                <w:ilvl w:val="0"/>
                <w:numId w:val="73"/>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providing a payment mechanism;</w:t>
            </w:r>
          </w:p>
          <w:p w14:paraId="3DC4EF53" w14:textId="77777777" w:rsidR="003C51B1" w:rsidRPr="00ED59F7" w:rsidRDefault="003C51B1" w:rsidP="006F749C">
            <w:pPr>
              <w:numPr>
                <w:ilvl w:val="0"/>
                <w:numId w:val="73"/>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investing in real assets;</w:t>
            </w:r>
          </w:p>
          <w:p w14:paraId="471E29CE" w14:textId="77777777" w:rsidR="003C51B1" w:rsidRPr="00ED59F7" w:rsidRDefault="003C51B1" w:rsidP="006F749C">
            <w:pPr>
              <w:numPr>
                <w:ilvl w:val="0"/>
                <w:numId w:val="73"/>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accumulating funds from smaller investors;</w:t>
            </w:r>
          </w:p>
          <w:p w14:paraId="6B3697D4" w14:textId="77777777" w:rsidR="003C51B1" w:rsidRPr="00ED59F7" w:rsidRDefault="003C51B1" w:rsidP="006F749C">
            <w:pPr>
              <w:numPr>
                <w:ilvl w:val="0"/>
                <w:numId w:val="73"/>
              </w:numPr>
              <w:pBdr>
                <w:top w:val="nil"/>
                <w:left w:val="nil"/>
                <w:bottom w:val="nil"/>
                <w:right w:val="nil"/>
                <w:between w:val="nil"/>
                <w:bar w:val="nil"/>
              </w:pBdr>
              <w:shd w:val="clear" w:color="auto" w:fill="FFFFFF"/>
              <w:tabs>
                <w:tab w:val="num" w:pos="758"/>
              </w:tabs>
              <w:spacing w:line="240" w:lineRule="atLeast"/>
              <w:ind w:left="758" w:hanging="330"/>
              <w:rPr>
                <w:rFonts w:eastAsia="Garamond"/>
                <w:sz w:val="28"/>
                <w:szCs w:val="28"/>
                <w:u w:color="000000"/>
                <w:bdr w:val="nil"/>
                <w:lang w:val="en-US" w:eastAsia="en-US"/>
              </w:rPr>
            </w:pPr>
            <w:r w:rsidRPr="00ED59F7">
              <w:rPr>
                <w:rFonts w:eastAsia="Calibri" w:cs="Calibri"/>
                <w:sz w:val="28"/>
                <w:szCs w:val="28"/>
                <w:u w:color="000000"/>
                <w:bdr w:val="nil"/>
                <w:lang w:val="en-US" w:eastAsia="en-US"/>
              </w:rPr>
              <w:t>spreading or pooling risk among individuals;</w:t>
            </w:r>
          </w:p>
          <w:p w14:paraId="286B919C" w14:textId="77777777" w:rsidR="003C51B1" w:rsidRPr="00ED59F7" w:rsidRDefault="003C51B1" w:rsidP="006F749C">
            <w:pPr>
              <w:numPr>
                <w:ilvl w:val="0"/>
                <w:numId w:val="73"/>
              </w:numPr>
              <w:pBdr>
                <w:top w:val="nil"/>
                <w:left w:val="nil"/>
                <w:bottom w:val="nil"/>
                <w:right w:val="nil"/>
                <w:between w:val="nil"/>
                <w:bar w:val="nil"/>
              </w:pBdr>
              <w:shd w:val="clear" w:color="auto" w:fill="FFFFFF"/>
              <w:tabs>
                <w:tab w:val="num" w:pos="758"/>
              </w:tabs>
              <w:spacing w:after="120" w:line="240" w:lineRule="atLeast"/>
              <w:ind w:left="754" w:hanging="329"/>
              <w:rPr>
                <w:rFonts w:eastAsia="Garamond"/>
                <w:sz w:val="28"/>
                <w:szCs w:val="28"/>
                <w:u w:color="000000"/>
                <w:bdr w:val="nil"/>
                <w:lang w:val="en-US" w:eastAsia="en-US"/>
              </w:rPr>
            </w:pPr>
            <w:r w:rsidRPr="00ED59F7">
              <w:rPr>
                <w:rFonts w:eastAsia="Calibri" w:cs="Calibri"/>
                <w:sz w:val="28"/>
                <w:szCs w:val="28"/>
                <w:u w:color="000000"/>
                <w:bdr w:val="nil"/>
                <w:lang w:val="en-US" w:eastAsia="en-US"/>
              </w:rPr>
              <w:t>all of the above.</w:t>
            </w:r>
          </w:p>
        </w:tc>
      </w:tr>
    </w:tbl>
    <w:p w14:paraId="29C4082A" w14:textId="77777777" w:rsidR="003C51B1" w:rsidRPr="003C51B1" w:rsidRDefault="003C51B1" w:rsidP="00ED59F7">
      <w:pPr>
        <w:pStyle w:val="end2"/>
        <w:rPr>
          <w:rFonts w:eastAsia="Garamond"/>
          <w:u w:color="000000"/>
          <w:bdr w:val="nil"/>
          <w:lang w:eastAsia="en-US"/>
        </w:rPr>
      </w:pPr>
      <w:r w:rsidRPr="003C51B1">
        <w:rPr>
          <w:rFonts w:eastAsia="Calibri"/>
          <w:u w:color="000000"/>
          <w:bdr w:val="nil"/>
          <w:lang w:eastAsia="en-US"/>
        </w:rPr>
        <w:lastRenderedPageBreak/>
        <w:t>Short answer questions</w:t>
      </w:r>
    </w:p>
    <w:p w14:paraId="607A0527" w14:textId="77777777" w:rsidR="003C51B1" w:rsidRPr="003C51B1" w:rsidRDefault="003C51B1" w:rsidP="00ED59F7">
      <w:pPr>
        <w:pStyle w:val="eng3"/>
        <w:rPr>
          <w:rFonts w:eastAsia="Garamond"/>
          <w:u w:color="000000"/>
          <w:bdr w:val="nil"/>
          <w:lang w:eastAsia="en-US"/>
        </w:rPr>
      </w:pPr>
      <w:r w:rsidRPr="003C51B1">
        <w:rPr>
          <w:rFonts w:eastAsia="Calibri"/>
          <w:u w:color="000000"/>
          <w:bdr w:val="nil"/>
          <w:lang w:eastAsia="en-US"/>
        </w:rPr>
        <w:t>Missin</w:t>
      </w:r>
      <w:r w:rsidR="00A67A26">
        <w:rPr>
          <w:rFonts w:eastAsia="Calibri"/>
          <w:u w:color="000000"/>
          <w:bdr w:val="nil"/>
          <w:lang w:eastAsia="en-US"/>
        </w:rPr>
        <w:t xml:space="preserve">g </w:t>
      </w:r>
      <w:r w:rsidRPr="003C51B1">
        <w:rPr>
          <w:rFonts w:eastAsia="Calibri"/>
          <w:u w:color="000000"/>
          <w:bdr w:val="nil"/>
          <w:lang w:eastAsia="en-US"/>
        </w:rPr>
        <w:t>word questions</w:t>
      </w:r>
    </w:p>
    <w:p w14:paraId="44249776"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60"/>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Choose the correct word to complete each sentence.</w:t>
      </w:r>
    </w:p>
    <w:p w14:paraId="4AD37218"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60"/>
        <w:jc w:val="both"/>
        <w:rPr>
          <w:rFonts w:eastAsia="Garamond"/>
          <w:sz w:val="28"/>
          <w:szCs w:val="28"/>
          <w:u w:color="000000"/>
          <w:bdr w:val="nil"/>
          <w:lang w:val="en-US" w:eastAsia="en-US"/>
        </w:rPr>
      </w:pPr>
    </w:p>
    <w:p w14:paraId="2CCCCF99" w14:textId="77777777" w:rsidR="003C51B1" w:rsidRPr="00ED59F7" w:rsidRDefault="003C51B1" w:rsidP="006F749C">
      <w:pPr>
        <w:pStyle w:val="ListParagraph"/>
        <w:numPr>
          <w:ilvl w:val="0"/>
          <w:numId w:val="202"/>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5"/>
        <w:jc w:val="both"/>
        <w:rPr>
          <w:rFonts w:ascii="Garamond" w:eastAsia="Garamond" w:hAnsi="Garamond"/>
          <w:szCs w:val="28"/>
          <w:u w:color="000000"/>
          <w:bdr w:val="nil"/>
          <w:lang w:val="en-US"/>
        </w:rPr>
      </w:pPr>
      <w:r w:rsidRPr="00ED59F7">
        <w:rPr>
          <w:rFonts w:ascii="Garamond" w:hAnsi="Garamond" w:cs="Calibri"/>
          <w:szCs w:val="28"/>
          <w:u w:color="000000"/>
          <w:bdr w:val="nil"/>
          <w:lang w:val="en-US"/>
        </w:rPr>
        <w:t>Typically, _______________ securities (with a maturity of __________ one year) are traded in the money markets.</w:t>
      </w:r>
    </w:p>
    <w:p w14:paraId="4844E1FF" w14:textId="77777777" w:rsidR="003C51B1" w:rsidRPr="00ED59F7" w:rsidRDefault="003C51B1" w:rsidP="00ED59F7">
      <w:p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left="425"/>
        <w:jc w:val="both"/>
        <w:rPr>
          <w:rFonts w:eastAsia="Garamond"/>
          <w:sz w:val="28"/>
          <w:szCs w:val="28"/>
          <w:u w:color="000000"/>
          <w:bdr w:val="nil"/>
          <w:lang w:val="en-US" w:eastAsia="en-US"/>
        </w:rPr>
      </w:pPr>
    </w:p>
    <w:p w14:paraId="159EBD12" w14:textId="77777777" w:rsidR="003C51B1" w:rsidRPr="00ED59F7" w:rsidRDefault="003C51B1" w:rsidP="006F749C">
      <w:pPr>
        <w:pStyle w:val="ListParagraph"/>
        <w:numPr>
          <w:ilvl w:val="0"/>
          <w:numId w:val="202"/>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5"/>
        <w:jc w:val="both"/>
        <w:rPr>
          <w:rFonts w:ascii="Garamond" w:eastAsia="Garamond" w:hAnsi="Garamond"/>
          <w:szCs w:val="28"/>
          <w:u w:color="000000"/>
          <w:bdr w:val="nil"/>
          <w:lang w:val="en-US"/>
        </w:rPr>
      </w:pPr>
      <w:r w:rsidRPr="00ED59F7">
        <w:rPr>
          <w:rFonts w:ascii="Garamond" w:hAnsi="Garamond" w:cs="Calibri"/>
          <w:szCs w:val="28"/>
          <w:u w:color="000000"/>
          <w:bdr w:val="nil"/>
          <w:lang w:val="en-US"/>
        </w:rPr>
        <w:t>Institutional investors (insurance companies and pension funds) and specialist agents such as investment banks (see below), brokers and dealers are the major players in the _____________ market.</w:t>
      </w:r>
    </w:p>
    <w:p w14:paraId="05C80F52" w14:textId="77777777" w:rsidR="00ED59F7" w:rsidRPr="00ED59F7" w:rsidRDefault="00ED59F7" w:rsidP="00ED59F7">
      <w:p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left="425"/>
        <w:jc w:val="both"/>
        <w:rPr>
          <w:rFonts w:eastAsia="Calibri" w:cs="Calibri"/>
          <w:sz w:val="28"/>
          <w:szCs w:val="28"/>
          <w:u w:color="000000"/>
          <w:bdr w:val="nil"/>
          <w:lang w:val="en-US" w:eastAsia="en-US"/>
        </w:rPr>
      </w:pPr>
    </w:p>
    <w:p w14:paraId="67005D9B" w14:textId="77777777" w:rsidR="003C51B1" w:rsidRPr="00ED59F7" w:rsidRDefault="003C51B1" w:rsidP="006F749C">
      <w:pPr>
        <w:pStyle w:val="ListParagraph"/>
        <w:numPr>
          <w:ilvl w:val="0"/>
          <w:numId w:val="202"/>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5"/>
        <w:jc w:val="both"/>
        <w:rPr>
          <w:rFonts w:ascii="Garamond" w:eastAsia="Garamond" w:hAnsi="Garamond"/>
          <w:szCs w:val="28"/>
          <w:u w:color="000000"/>
          <w:bdr w:val="nil"/>
          <w:lang w:val="en-US"/>
        </w:rPr>
      </w:pPr>
      <w:r w:rsidRPr="00ED59F7">
        <w:rPr>
          <w:rFonts w:ascii="Garamond" w:hAnsi="Garamond" w:cs="Calibri"/>
          <w:szCs w:val="28"/>
          <w:u w:color="000000"/>
          <w:bdr w:val="nil"/>
          <w:lang w:val="en-US"/>
        </w:rPr>
        <w:t>The main way in which an enterprise can raise finance is through the issue of equities such as _________________________.</w:t>
      </w:r>
    </w:p>
    <w:p w14:paraId="1413F295" w14:textId="77777777" w:rsidR="003C51B1" w:rsidRPr="00ED59F7" w:rsidRDefault="003C51B1" w:rsidP="00ED59F7">
      <w:p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left="425"/>
        <w:jc w:val="both"/>
        <w:rPr>
          <w:rFonts w:eastAsia="Garamond"/>
          <w:sz w:val="28"/>
          <w:szCs w:val="28"/>
          <w:u w:color="000000"/>
          <w:bdr w:val="nil"/>
          <w:lang w:val="en-US" w:eastAsia="en-US"/>
        </w:rPr>
      </w:pPr>
    </w:p>
    <w:p w14:paraId="5C4DE77D" w14:textId="77777777" w:rsidR="003C51B1" w:rsidRPr="00ED59F7" w:rsidRDefault="003C51B1" w:rsidP="006F749C">
      <w:pPr>
        <w:pStyle w:val="ListParagraph"/>
        <w:numPr>
          <w:ilvl w:val="0"/>
          <w:numId w:val="202"/>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5"/>
        <w:jc w:val="both"/>
        <w:rPr>
          <w:rFonts w:ascii="Garamond" w:eastAsia="Garamond" w:hAnsi="Garamond"/>
          <w:szCs w:val="28"/>
          <w:u w:color="000000"/>
          <w:bdr w:val="nil"/>
          <w:lang w:val="en-US"/>
        </w:rPr>
      </w:pPr>
      <w:r w:rsidRPr="00ED59F7">
        <w:rPr>
          <w:rFonts w:ascii="Garamond" w:hAnsi="Garamond" w:cs="Calibri"/>
          <w:szCs w:val="28"/>
          <w:u w:color="000000"/>
          <w:bdr w:val="nil"/>
          <w:lang w:val="en-US"/>
        </w:rPr>
        <w:t>Once securities have been issued, they are subsequently traded as claims to ownership on _____________ market. The best-known examples of ___________ markets are ____________________, where large already existing stocks of equities are traded.</w:t>
      </w:r>
    </w:p>
    <w:p w14:paraId="33B68A71" w14:textId="77777777" w:rsidR="003C51B1" w:rsidRPr="00ED59F7" w:rsidRDefault="003C51B1" w:rsidP="00ED59F7">
      <w:p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left="425"/>
        <w:jc w:val="both"/>
        <w:rPr>
          <w:rFonts w:eastAsia="Garamond"/>
          <w:sz w:val="28"/>
          <w:szCs w:val="28"/>
          <w:u w:color="000000"/>
          <w:bdr w:val="nil"/>
          <w:lang w:val="en-US" w:eastAsia="en-US"/>
        </w:rPr>
      </w:pPr>
    </w:p>
    <w:p w14:paraId="7CE9D755" w14:textId="77777777" w:rsidR="003C51B1" w:rsidRPr="00ED59F7" w:rsidRDefault="003C51B1" w:rsidP="006F749C">
      <w:pPr>
        <w:pStyle w:val="ListParagraph"/>
        <w:numPr>
          <w:ilvl w:val="0"/>
          <w:numId w:val="202"/>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5"/>
        <w:jc w:val="both"/>
        <w:rPr>
          <w:rFonts w:ascii="Garamond" w:eastAsia="Garamond" w:hAnsi="Garamond"/>
          <w:szCs w:val="28"/>
          <w:u w:color="000000"/>
          <w:bdr w:val="nil"/>
          <w:lang w:val="en-US"/>
        </w:rPr>
      </w:pPr>
      <w:r w:rsidRPr="00ED59F7">
        <w:rPr>
          <w:rFonts w:ascii="Garamond" w:hAnsi="Garamond" w:cs="Calibri"/>
          <w:szCs w:val="28"/>
          <w:u w:color="000000"/>
          <w:bdr w:val="nil"/>
          <w:lang w:val="en-US"/>
        </w:rPr>
        <w:t>____________________ a contractual agreement by the issuer of the instrument (the borrower) to pay the holder of the instrument (the lender) fixed dollar amounts (interest and principal payments) at regular intervals until a specified date (maturity date) when a final payment is made.</w:t>
      </w:r>
    </w:p>
    <w:p w14:paraId="31F6C041" w14:textId="77777777" w:rsidR="00ED59F7" w:rsidRPr="00ED59F7" w:rsidRDefault="00ED59F7" w:rsidP="00ED59F7">
      <w:pPr>
        <w:pStyle w:val="ListParagraph"/>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5"/>
        <w:jc w:val="both"/>
        <w:rPr>
          <w:rFonts w:ascii="Garamond" w:eastAsia="Garamond" w:hAnsi="Garamond"/>
          <w:szCs w:val="28"/>
          <w:u w:color="000000"/>
          <w:bdr w:val="nil"/>
          <w:lang w:val="en-US"/>
        </w:rPr>
      </w:pPr>
    </w:p>
    <w:p w14:paraId="623A5880" w14:textId="77777777" w:rsidR="003C51B1" w:rsidRDefault="003C51B1" w:rsidP="00ED59F7">
      <w:pPr>
        <w:pStyle w:val="eng3"/>
        <w:rPr>
          <w:rFonts w:eastAsia="Calibri"/>
          <w:u w:color="000000"/>
          <w:bdr w:val="nil"/>
          <w:lang w:eastAsia="en-US"/>
        </w:rPr>
      </w:pPr>
      <w:r w:rsidRPr="00ED59F7">
        <w:rPr>
          <w:rFonts w:eastAsia="Calibri"/>
          <w:u w:color="000000"/>
          <w:bdr w:val="nil"/>
          <w:lang w:eastAsia="en-US"/>
        </w:rPr>
        <w:t>True/False/Uncertain questions</w:t>
      </w:r>
    </w:p>
    <w:p w14:paraId="73620D00"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60"/>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 xml:space="preserve">Decide whether the following statements are True, False, or Uncertain. Explain your reasoning. Your score will be based not just on whether you get the True, False, </w:t>
      </w:r>
      <w:r w:rsidR="009F199C">
        <w:rPr>
          <w:rFonts w:eastAsia="Calibri" w:cs="Calibri"/>
          <w:sz w:val="28"/>
          <w:szCs w:val="28"/>
          <w:u w:color="000000"/>
          <w:bdr w:val="nil"/>
          <w:lang w:val="en-US" w:eastAsia="en-US"/>
        </w:rPr>
        <w:t xml:space="preserve">or </w:t>
      </w:r>
      <w:r w:rsidRPr="00ED59F7">
        <w:rPr>
          <w:rFonts w:eastAsia="Calibri" w:cs="Calibri"/>
          <w:sz w:val="28"/>
          <w:szCs w:val="28"/>
          <w:u w:color="000000"/>
          <w:bdr w:val="nil"/>
          <w:lang w:val="en-US" w:eastAsia="en-US"/>
        </w:rPr>
        <w:t>Uncertain part right but also</w:t>
      </w:r>
      <w:r w:rsidR="009F199C">
        <w:rPr>
          <w:rFonts w:eastAsia="Calibri" w:cs="Calibri"/>
          <w:sz w:val="28"/>
          <w:szCs w:val="28"/>
          <w:u w:color="000000"/>
          <w:bdr w:val="nil"/>
          <w:lang w:val="en-US" w:eastAsia="en-US"/>
        </w:rPr>
        <w:t>, to a larger extent,</w:t>
      </w:r>
      <w:r w:rsidRPr="00ED59F7">
        <w:rPr>
          <w:rFonts w:eastAsia="Calibri" w:cs="Calibri"/>
          <w:sz w:val="28"/>
          <w:szCs w:val="28"/>
          <w:u w:color="000000"/>
          <w:bdr w:val="nil"/>
          <w:lang w:val="en-US" w:eastAsia="en-US"/>
        </w:rPr>
        <w:t xml:space="preserve"> on the quality of your explanation.</w:t>
      </w:r>
    </w:p>
    <w:p w14:paraId="1399A56D" w14:textId="77777777" w:rsidR="003C51B1" w:rsidRPr="00ED59F7" w:rsidRDefault="003C51B1" w:rsidP="00ED59F7">
      <w:p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left="425"/>
        <w:jc w:val="both"/>
        <w:rPr>
          <w:rFonts w:eastAsia="Calibri" w:cs="Calibri"/>
          <w:sz w:val="28"/>
          <w:szCs w:val="28"/>
          <w:u w:color="000000"/>
          <w:bdr w:val="nil"/>
          <w:lang w:val="en-US" w:eastAsia="en-US"/>
        </w:rPr>
      </w:pPr>
    </w:p>
    <w:p w14:paraId="086BF3C8" w14:textId="77777777" w:rsidR="003C51B1" w:rsidRDefault="003C51B1" w:rsidP="006F749C">
      <w:pPr>
        <w:pStyle w:val="ListParagraph"/>
        <w:numPr>
          <w:ilvl w:val="3"/>
          <w:numId w:val="203"/>
        </w:numPr>
        <w:pBdr>
          <w:top w:val="nil"/>
          <w:left w:val="nil"/>
          <w:bottom w:val="nil"/>
          <w:right w:val="nil"/>
          <w:between w:val="nil"/>
          <w:bar w:val="nil"/>
        </w:pBdr>
        <w:tabs>
          <w:tab w:val="left" w:pos="426"/>
          <w:tab w:val="left" w:pos="1416"/>
          <w:tab w:val="left" w:pos="2124"/>
          <w:tab w:val="left" w:pos="2832"/>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 xml:space="preserve">The main disadvantage </w:t>
      </w:r>
      <w:r w:rsidR="009F199C">
        <w:rPr>
          <w:rFonts w:ascii="Garamond" w:hAnsi="Garamond" w:cs="Calibri"/>
          <w:szCs w:val="28"/>
          <w:u w:color="000000"/>
          <w:bdr w:val="nil"/>
          <w:lang w:val="en-US"/>
        </w:rPr>
        <w:t>of</w:t>
      </w:r>
      <w:r w:rsidRPr="00ED59F7">
        <w:rPr>
          <w:rFonts w:ascii="Garamond" w:hAnsi="Garamond" w:cs="Calibri"/>
          <w:szCs w:val="28"/>
          <w:u w:color="000000"/>
          <w:bdr w:val="nil"/>
          <w:lang w:val="en-US"/>
        </w:rPr>
        <w:t xml:space="preserve"> holders of debt instruments is that they do not benefit from an increase in the value of the borrower’s income or assets.</w:t>
      </w:r>
    </w:p>
    <w:p w14:paraId="30740770" w14:textId="77777777" w:rsidR="00ED59F7" w:rsidRPr="00ED59F7" w:rsidRDefault="00ED59F7" w:rsidP="00ED59F7">
      <w:pPr>
        <w:pStyle w:val="ListParagraph"/>
        <w:pBdr>
          <w:top w:val="nil"/>
          <w:left w:val="nil"/>
          <w:bottom w:val="nil"/>
          <w:right w:val="nil"/>
          <w:between w:val="nil"/>
          <w:bar w:val="nil"/>
        </w:pBdr>
        <w:tabs>
          <w:tab w:val="left" w:pos="426"/>
          <w:tab w:val="left" w:pos="1416"/>
          <w:tab w:val="left" w:pos="2124"/>
          <w:tab w:val="left" w:pos="2832"/>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p>
    <w:p w14:paraId="6E4E2DF9" w14:textId="77777777" w:rsidR="00ED59F7" w:rsidRDefault="003C51B1" w:rsidP="006F749C">
      <w:pPr>
        <w:pStyle w:val="ListParagraph"/>
        <w:numPr>
          <w:ilvl w:val="3"/>
          <w:numId w:val="203"/>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 xml:space="preserve">The main function of a primary market is that it allows the original buyers of securities to sell them before the maturity date, if necessary. That is, they make the securities more liquid. </w:t>
      </w:r>
    </w:p>
    <w:p w14:paraId="4846A4F0" w14:textId="77777777" w:rsidR="003C51B1" w:rsidRPr="00ED59F7" w:rsidRDefault="003C51B1" w:rsidP="00ED59F7">
      <w:pPr>
        <w:pStyle w:val="ListParagraph"/>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p>
    <w:p w14:paraId="59327236" w14:textId="77777777" w:rsidR="003C51B1" w:rsidRDefault="003C51B1" w:rsidP="006F749C">
      <w:pPr>
        <w:pStyle w:val="ListParagraph"/>
        <w:numPr>
          <w:ilvl w:val="3"/>
          <w:numId w:val="203"/>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 xml:space="preserve">The principal capital market instruments are: corporate stocks, corporate bonds, government securities, state and local government (municipal) bonds, bank commercial and consumer loans, </w:t>
      </w:r>
      <w:r w:rsidR="009F199C">
        <w:rPr>
          <w:rFonts w:ascii="Garamond" w:hAnsi="Garamond" w:cs="Calibri"/>
          <w:szCs w:val="28"/>
          <w:u w:color="000000"/>
          <w:bdr w:val="nil"/>
          <w:lang w:val="en-US"/>
        </w:rPr>
        <w:t>which</w:t>
      </w:r>
      <w:r w:rsidRPr="00ED59F7">
        <w:rPr>
          <w:rFonts w:ascii="Garamond" w:hAnsi="Garamond" w:cs="Calibri"/>
          <w:szCs w:val="28"/>
          <w:u w:color="000000"/>
          <w:bdr w:val="nil"/>
          <w:lang w:val="en-US"/>
        </w:rPr>
        <w:t xml:space="preserve"> are, by definition, intermediate-term debt instruments, long-term debt instruments, or e</w:t>
      </w:r>
      <w:r w:rsidR="00ED59F7">
        <w:rPr>
          <w:rFonts w:ascii="Garamond" w:hAnsi="Garamond" w:cs="Calibri"/>
          <w:szCs w:val="28"/>
          <w:u w:color="000000"/>
          <w:bdr w:val="nil"/>
          <w:lang w:val="en-US"/>
        </w:rPr>
        <w:t>quities.</w:t>
      </w:r>
    </w:p>
    <w:p w14:paraId="7F547873" w14:textId="77777777" w:rsidR="00ED59F7" w:rsidRPr="00ED59F7" w:rsidRDefault="00ED59F7" w:rsidP="00ED59F7">
      <w:pPr>
        <w:pStyle w:val="ListParagraph"/>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p>
    <w:p w14:paraId="669DD720" w14:textId="77777777" w:rsidR="003C51B1" w:rsidRDefault="003C51B1" w:rsidP="006F749C">
      <w:pPr>
        <w:pStyle w:val="ListParagraph"/>
        <w:numPr>
          <w:ilvl w:val="3"/>
          <w:numId w:val="203"/>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lastRenderedPageBreak/>
        <w:t>Equity instruments holders always have a voting right.</w:t>
      </w:r>
    </w:p>
    <w:p w14:paraId="5052D07F" w14:textId="77777777" w:rsidR="00ED59F7" w:rsidRPr="00ED59F7" w:rsidRDefault="00ED59F7" w:rsidP="00ED59F7">
      <w:pPr>
        <w:pStyle w:val="ListParagraph"/>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p>
    <w:p w14:paraId="14158B3B" w14:textId="77777777" w:rsidR="003C51B1" w:rsidRPr="00ED59F7" w:rsidRDefault="003C51B1" w:rsidP="006F749C">
      <w:pPr>
        <w:pStyle w:val="ListParagraph"/>
        <w:numPr>
          <w:ilvl w:val="3"/>
          <w:numId w:val="203"/>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In most countries credit unions are the dominant providers of external finance for firms and governments and, in addition to operating payments system, they still consist of receiving non-marketable deposits and making non-marketable loans.</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xml:space="preserve">A value added tax resembles a national sales tax. </w:t>
      </w:r>
    </w:p>
    <w:p w14:paraId="198B09E9" w14:textId="77777777" w:rsidR="003C51B1" w:rsidRPr="00ED59F7" w:rsidRDefault="003C51B1" w:rsidP="00ED59F7">
      <w:pPr>
        <w:pStyle w:val="end2"/>
        <w:rPr>
          <w:rFonts w:eastAsia="Garamond"/>
          <w:u w:color="000000"/>
          <w:bdr w:val="nil"/>
          <w:lang w:eastAsia="en-US"/>
        </w:rPr>
      </w:pPr>
      <w:r w:rsidRPr="00ED59F7">
        <w:rPr>
          <w:rFonts w:eastAsia="Calibri"/>
          <w:u w:color="000000"/>
          <w:bdr w:val="nil"/>
          <w:lang w:eastAsia="en-US"/>
        </w:rPr>
        <w:t>Computation problems</w:t>
      </w:r>
    </w:p>
    <w:p w14:paraId="06080152"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ABC International has UAH 15,000,000 of stockholders' equity, UAH 3,000,000 of preferred stock, and an average of 2,000,000 shares outstanding during the measurement period. Calculate book value per share.</w:t>
      </w:r>
    </w:p>
    <w:p w14:paraId="7C2759D0"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0CAD7528"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Calculate book value per share from the following stockholders’ equity section of a company:</w:t>
      </w:r>
    </w:p>
    <w:p w14:paraId="757424EB"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b/>
          <w:sz w:val="28"/>
          <w:szCs w:val="28"/>
          <w:u w:color="000000"/>
          <w:bdr w:val="nil"/>
          <w:lang w:val="en-US" w:eastAsia="en-US"/>
        </w:rPr>
      </w:pPr>
      <w:r w:rsidRPr="00ED59F7">
        <w:rPr>
          <w:rFonts w:eastAsia="Calibri" w:cs="Calibri"/>
          <w:b/>
          <w:sz w:val="28"/>
          <w:szCs w:val="28"/>
          <w:u w:color="000000"/>
          <w:bdr w:val="nil"/>
          <w:lang w:val="en-US" w:eastAsia="en-US"/>
        </w:rPr>
        <w:t>Stockholders’ equity:</w:t>
      </w:r>
      <w:r w:rsidRPr="00ED59F7">
        <w:rPr>
          <w:rFonts w:eastAsia="Calibri" w:cs="Calibri"/>
          <w:b/>
          <w:sz w:val="28"/>
          <w:szCs w:val="28"/>
          <w:u w:color="000000"/>
          <w:bdr w:val="nil"/>
          <w:lang w:val="en-US" w:eastAsia="en-US"/>
        </w:rPr>
        <w:tab/>
      </w:r>
    </w:p>
    <w:tbl>
      <w:tblPr>
        <w:tblStyle w:val="TableGrid"/>
        <w:tblW w:w="4943" w:type="pct"/>
        <w:tblInd w:w="108" w:type="dxa"/>
        <w:tblLook w:val="04A0" w:firstRow="1" w:lastRow="0" w:firstColumn="1" w:lastColumn="0" w:noHBand="0" w:noVBand="1"/>
      </w:tblPr>
      <w:tblGrid>
        <w:gridCol w:w="7796"/>
        <w:gridCol w:w="1711"/>
      </w:tblGrid>
      <w:tr w:rsidR="00ED59F7" w:rsidRPr="00ED59F7" w14:paraId="1FE6E485" w14:textId="77777777" w:rsidTr="00ED59F7">
        <w:tc>
          <w:tcPr>
            <w:tcW w:w="4100" w:type="pct"/>
            <w:shd w:val="clear" w:color="auto" w:fill="D9D9D9" w:themeFill="background1" w:themeFillShade="D9"/>
          </w:tcPr>
          <w:p w14:paraId="03B93DB7"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p>
        </w:tc>
        <w:tc>
          <w:tcPr>
            <w:tcW w:w="900" w:type="pct"/>
            <w:shd w:val="clear" w:color="auto" w:fill="D9D9D9" w:themeFill="background1" w:themeFillShade="D9"/>
          </w:tcPr>
          <w:p w14:paraId="74814FFF" w14:textId="77777777" w:rsidR="00ED59F7" w:rsidRPr="00ED59F7" w:rsidRDefault="00ED59F7"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Calibri" w:cs="Calibri"/>
                <w:sz w:val="28"/>
                <w:szCs w:val="28"/>
                <w:u w:color="000000"/>
                <w:bdr w:val="nil"/>
                <w:lang w:val="en-US" w:eastAsia="en-US"/>
              </w:rPr>
            </w:pPr>
            <w:r>
              <w:rPr>
                <w:rFonts w:eastAsia="Calibri" w:cs="Calibri"/>
                <w:sz w:val="28"/>
                <w:szCs w:val="28"/>
                <w:u w:color="000000"/>
                <w:bdr w:val="nil"/>
                <w:lang w:val="en-US" w:eastAsia="en-US"/>
              </w:rPr>
              <w:t>USD</w:t>
            </w:r>
          </w:p>
        </w:tc>
      </w:tr>
      <w:tr w:rsidR="00ED59F7" w:rsidRPr="00ED59F7" w14:paraId="426A8667" w14:textId="77777777" w:rsidTr="00ED59F7">
        <w:tc>
          <w:tcPr>
            <w:tcW w:w="4100" w:type="pct"/>
          </w:tcPr>
          <w:p w14:paraId="77D997F5"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Common stock, $5 par value, 100,000 shares issued and outstanding</w:t>
            </w:r>
          </w:p>
        </w:tc>
        <w:tc>
          <w:tcPr>
            <w:tcW w:w="900" w:type="pct"/>
          </w:tcPr>
          <w:p w14:paraId="71A78371" w14:textId="77777777" w:rsidR="00ED59F7" w:rsidRPr="00ED59F7" w:rsidRDefault="00ED59F7"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sz w:val="28"/>
                <w:szCs w:val="28"/>
                <w:u w:color="000000"/>
                <w:bdr w:val="nil"/>
                <w:lang w:val="en-US" w:eastAsia="en-US"/>
              </w:rPr>
            </w:pPr>
            <w:r w:rsidRPr="00ED59F7">
              <w:rPr>
                <w:rFonts w:eastAsia="Calibri" w:cs="Calibri"/>
                <w:sz w:val="28"/>
                <w:szCs w:val="28"/>
                <w:u w:color="000000"/>
                <w:bdr w:val="nil"/>
                <w:lang w:val="en-US" w:eastAsia="en-US"/>
              </w:rPr>
              <w:t>500,000</w:t>
            </w:r>
          </w:p>
        </w:tc>
      </w:tr>
      <w:tr w:rsidR="00ED59F7" w:rsidRPr="00ED59F7" w14:paraId="0396AD2B" w14:textId="77777777" w:rsidTr="00ED59F7">
        <w:tc>
          <w:tcPr>
            <w:tcW w:w="4100" w:type="pct"/>
          </w:tcPr>
          <w:p w14:paraId="0BB2FD1B"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Additional paid-in capital</w:t>
            </w:r>
          </w:p>
        </w:tc>
        <w:tc>
          <w:tcPr>
            <w:tcW w:w="900" w:type="pct"/>
          </w:tcPr>
          <w:p w14:paraId="6CA4A68F" w14:textId="77777777" w:rsidR="00ED59F7" w:rsidRPr="00ED59F7" w:rsidRDefault="00ED59F7"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sz w:val="28"/>
                <w:szCs w:val="28"/>
                <w:u w:color="000000"/>
                <w:bdr w:val="nil"/>
                <w:lang w:val="en-US" w:eastAsia="en-US"/>
              </w:rPr>
            </w:pPr>
            <w:r w:rsidRPr="00ED59F7">
              <w:rPr>
                <w:rFonts w:eastAsia="Calibri" w:cs="Calibri"/>
                <w:sz w:val="28"/>
                <w:szCs w:val="28"/>
                <w:u w:color="000000"/>
                <w:bdr w:val="nil"/>
                <w:lang w:val="en-US" w:eastAsia="en-US"/>
              </w:rPr>
              <w:t>1,200,000</w:t>
            </w:r>
          </w:p>
        </w:tc>
      </w:tr>
      <w:tr w:rsidR="00ED59F7" w:rsidRPr="00ED59F7" w14:paraId="6DEA21B2" w14:textId="77777777" w:rsidTr="00ED59F7">
        <w:tc>
          <w:tcPr>
            <w:tcW w:w="4100" w:type="pct"/>
          </w:tcPr>
          <w:p w14:paraId="467E0FC8"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Retained earnings</w:t>
            </w:r>
          </w:p>
        </w:tc>
        <w:tc>
          <w:tcPr>
            <w:tcW w:w="900" w:type="pct"/>
          </w:tcPr>
          <w:p w14:paraId="6D30383B" w14:textId="77777777" w:rsidR="00ED59F7" w:rsidRPr="00ED59F7" w:rsidRDefault="00ED59F7"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sz w:val="28"/>
                <w:szCs w:val="28"/>
                <w:u w:color="000000"/>
                <w:bdr w:val="nil"/>
                <w:lang w:val="en-US" w:eastAsia="en-US"/>
              </w:rPr>
            </w:pPr>
            <w:r w:rsidRPr="00ED59F7">
              <w:rPr>
                <w:rFonts w:eastAsia="Calibri" w:cs="Calibri"/>
                <w:sz w:val="28"/>
                <w:szCs w:val="28"/>
                <w:u w:color="000000"/>
                <w:bdr w:val="nil"/>
                <w:lang w:val="en-US" w:eastAsia="en-US"/>
              </w:rPr>
              <w:t>76,000</w:t>
            </w:r>
          </w:p>
        </w:tc>
      </w:tr>
      <w:tr w:rsidR="00ED59F7" w:rsidRPr="00ED59F7" w14:paraId="612785D4" w14:textId="77777777" w:rsidTr="00ED59F7">
        <w:tc>
          <w:tcPr>
            <w:tcW w:w="4100" w:type="pct"/>
          </w:tcPr>
          <w:p w14:paraId="4A1BAA04"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b/>
                <w:sz w:val="28"/>
                <w:szCs w:val="28"/>
                <w:u w:color="000000"/>
                <w:bdr w:val="nil"/>
                <w:lang w:val="en-US" w:eastAsia="en-US"/>
              </w:rPr>
            </w:pPr>
            <w:r w:rsidRPr="00ED59F7">
              <w:rPr>
                <w:rFonts w:eastAsia="Calibri" w:cs="Calibri"/>
                <w:b/>
                <w:sz w:val="28"/>
                <w:szCs w:val="28"/>
                <w:u w:color="000000"/>
                <w:bdr w:val="nil"/>
                <w:lang w:val="en-US" w:eastAsia="en-US"/>
              </w:rPr>
              <w:t xml:space="preserve">Total </w:t>
            </w:r>
          </w:p>
        </w:tc>
        <w:tc>
          <w:tcPr>
            <w:tcW w:w="900" w:type="pct"/>
          </w:tcPr>
          <w:p w14:paraId="22563B24" w14:textId="77777777" w:rsidR="00ED59F7" w:rsidRPr="00ED59F7" w:rsidRDefault="00ED59F7"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center"/>
              <w:rPr>
                <w:rFonts w:eastAsia="Garamond"/>
                <w:b/>
                <w:sz w:val="28"/>
                <w:szCs w:val="28"/>
                <w:u w:color="000000"/>
                <w:bdr w:val="nil"/>
                <w:lang w:val="en-US" w:eastAsia="en-US"/>
              </w:rPr>
            </w:pPr>
            <w:r w:rsidRPr="00ED59F7">
              <w:rPr>
                <w:rFonts w:eastAsia="Calibri" w:cs="Calibri"/>
                <w:b/>
                <w:sz w:val="28"/>
                <w:szCs w:val="28"/>
                <w:u w:color="000000"/>
                <w:bdr w:val="nil"/>
                <w:lang w:val="en-US" w:eastAsia="en-US"/>
              </w:rPr>
              <w:t>1,776,000</w:t>
            </w:r>
          </w:p>
        </w:tc>
      </w:tr>
    </w:tbl>
    <w:p w14:paraId="4446073B"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4D904DE1"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The stock of Black Ocean Co. is trading at UAH 6,00 per share and there are 100 shares outstanding.</w:t>
      </w:r>
    </w:p>
    <w:p w14:paraId="34089CB6"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Garamond"/>
          <w:b/>
          <w:bCs/>
          <w:sz w:val="28"/>
          <w:szCs w:val="28"/>
          <w:u w:color="000000"/>
          <w:bdr w:val="nil"/>
          <w:lang w:val="en-US" w:eastAsia="en-US"/>
        </w:rPr>
      </w:pPr>
      <w:r w:rsidRPr="00ED59F7">
        <w:rPr>
          <w:rFonts w:eastAsia="Calibri" w:cs="Calibri"/>
          <w:b/>
          <w:bCs/>
          <w:sz w:val="28"/>
          <w:szCs w:val="28"/>
          <w:u w:color="000000"/>
          <w:bdr w:val="nil"/>
          <w:lang w:val="en-US" w:eastAsia="en-US"/>
        </w:rPr>
        <w:t>Balance Sheet for Black Ocean Co.</w:t>
      </w:r>
    </w:p>
    <w:p w14:paraId="4970C224"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Garamond"/>
          <w:sz w:val="28"/>
          <w:szCs w:val="28"/>
          <w:u w:color="000000"/>
          <w:bdr w:val="nil"/>
          <w:lang w:val="en-US" w:eastAsia="en-US"/>
        </w:rPr>
      </w:pPr>
      <w:r w:rsidRPr="00ED59F7">
        <w:rPr>
          <w:rFonts w:eastAsia="Calibri" w:cs="Calibri"/>
          <w:sz w:val="28"/>
          <w:szCs w:val="28"/>
          <w:u w:color="000000"/>
          <w:bdr w:val="nil"/>
          <w:lang w:val="en-US" w:eastAsia="en-US"/>
        </w:rPr>
        <w:t>Year ending December 31, 2014</w:t>
      </w:r>
    </w:p>
    <w:tbl>
      <w:tblPr>
        <w:tblStyle w:val="TableGrid"/>
        <w:tblW w:w="0" w:type="auto"/>
        <w:tblLook w:val="04A0" w:firstRow="1" w:lastRow="0" w:firstColumn="1" w:lastColumn="0" w:noHBand="0" w:noVBand="1"/>
      </w:tblPr>
      <w:tblGrid>
        <w:gridCol w:w="4807"/>
        <w:gridCol w:w="4808"/>
      </w:tblGrid>
      <w:tr w:rsidR="00ED59F7" w:rsidRPr="00ED59F7" w14:paraId="4CBB618F" w14:textId="77777777" w:rsidTr="00ED59F7">
        <w:tc>
          <w:tcPr>
            <w:tcW w:w="9615" w:type="dxa"/>
            <w:gridSpan w:val="2"/>
            <w:shd w:val="clear" w:color="auto" w:fill="D9D9D9" w:themeFill="background1" w:themeFillShade="D9"/>
          </w:tcPr>
          <w:p w14:paraId="05D4B89F"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b/>
                <w:bCs/>
                <w:sz w:val="28"/>
                <w:szCs w:val="28"/>
                <w:u w:color="000000"/>
                <w:bdr w:val="nil"/>
                <w:lang w:val="en-US" w:eastAsia="en-US"/>
              </w:rPr>
            </w:pPr>
            <w:r w:rsidRPr="00ED59F7">
              <w:rPr>
                <w:rFonts w:eastAsia="Calibri" w:cs="Calibri"/>
                <w:b/>
                <w:bCs/>
                <w:sz w:val="28"/>
                <w:szCs w:val="28"/>
                <w:u w:color="000000"/>
                <w:bdr w:val="nil"/>
                <w:lang w:val="en-US" w:eastAsia="en-US"/>
              </w:rPr>
              <w:t>Assets</w:t>
            </w:r>
          </w:p>
        </w:tc>
      </w:tr>
      <w:tr w:rsidR="00ED59F7" w:rsidRPr="00ED59F7" w14:paraId="79C27613" w14:textId="77777777" w:rsidTr="00ED59F7">
        <w:tc>
          <w:tcPr>
            <w:tcW w:w="4807" w:type="dxa"/>
          </w:tcPr>
          <w:p w14:paraId="4B9A94D3"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 xml:space="preserve">Cash </w:t>
            </w:r>
          </w:p>
        </w:tc>
        <w:tc>
          <w:tcPr>
            <w:tcW w:w="4808" w:type="dxa"/>
          </w:tcPr>
          <w:p w14:paraId="044C2F62"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1,000</w:t>
            </w:r>
          </w:p>
        </w:tc>
      </w:tr>
      <w:tr w:rsidR="00ED59F7" w:rsidRPr="00ED59F7" w14:paraId="65B529FD" w14:textId="77777777" w:rsidTr="00ED59F7">
        <w:tc>
          <w:tcPr>
            <w:tcW w:w="4807" w:type="dxa"/>
          </w:tcPr>
          <w:p w14:paraId="3438AEF0"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 xml:space="preserve">Accounts Receivable </w:t>
            </w:r>
          </w:p>
        </w:tc>
        <w:tc>
          <w:tcPr>
            <w:tcW w:w="4808" w:type="dxa"/>
          </w:tcPr>
          <w:p w14:paraId="7D9C0693"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500</w:t>
            </w:r>
          </w:p>
        </w:tc>
      </w:tr>
      <w:tr w:rsidR="00ED59F7" w:rsidRPr="00ED59F7" w14:paraId="5824D033" w14:textId="77777777" w:rsidTr="00ED59F7">
        <w:tc>
          <w:tcPr>
            <w:tcW w:w="4807" w:type="dxa"/>
          </w:tcPr>
          <w:p w14:paraId="7218C106"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 xml:space="preserve">Inventory </w:t>
            </w:r>
          </w:p>
        </w:tc>
        <w:tc>
          <w:tcPr>
            <w:tcW w:w="4808" w:type="dxa"/>
          </w:tcPr>
          <w:p w14:paraId="3AB1F585"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500</w:t>
            </w:r>
          </w:p>
        </w:tc>
      </w:tr>
      <w:tr w:rsidR="00ED59F7" w:rsidRPr="00ED59F7" w14:paraId="2E09DC71" w14:textId="77777777" w:rsidTr="00ED59F7">
        <w:tc>
          <w:tcPr>
            <w:tcW w:w="4807" w:type="dxa"/>
          </w:tcPr>
          <w:p w14:paraId="1754090D"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b/>
                <w:bCs/>
                <w:sz w:val="28"/>
                <w:szCs w:val="28"/>
                <w:u w:color="000000"/>
                <w:bdr w:val="nil"/>
                <w:lang w:val="en-US" w:eastAsia="en-US"/>
              </w:rPr>
            </w:pPr>
            <w:r w:rsidRPr="00ED59F7">
              <w:rPr>
                <w:rFonts w:eastAsia="Calibri" w:cs="Calibri"/>
                <w:b/>
                <w:bCs/>
                <w:sz w:val="28"/>
                <w:szCs w:val="28"/>
                <w:u w:color="000000"/>
                <w:bdr w:val="nil"/>
                <w:lang w:val="en-US" w:eastAsia="en-US"/>
              </w:rPr>
              <w:t xml:space="preserve">Total Current Assets </w:t>
            </w:r>
          </w:p>
        </w:tc>
        <w:tc>
          <w:tcPr>
            <w:tcW w:w="4808" w:type="dxa"/>
          </w:tcPr>
          <w:p w14:paraId="0DEBE701"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b/>
                <w:bCs/>
                <w:sz w:val="28"/>
                <w:szCs w:val="28"/>
                <w:u w:color="000000"/>
                <w:bdr w:val="nil"/>
                <w:lang w:val="en-US" w:eastAsia="en-US"/>
              </w:rPr>
            </w:pPr>
            <w:r w:rsidRPr="00ED59F7">
              <w:rPr>
                <w:rFonts w:eastAsia="Calibri" w:cs="Calibri"/>
                <w:b/>
                <w:bCs/>
                <w:sz w:val="28"/>
                <w:szCs w:val="28"/>
                <w:u w:color="000000"/>
                <w:bdr w:val="nil"/>
                <w:lang w:val="en-US" w:eastAsia="en-US"/>
              </w:rPr>
              <w:t>2,000</w:t>
            </w:r>
          </w:p>
        </w:tc>
      </w:tr>
      <w:tr w:rsidR="00ED59F7" w:rsidRPr="00ED59F7" w14:paraId="71E0203D" w14:textId="77777777" w:rsidTr="00292820">
        <w:tc>
          <w:tcPr>
            <w:tcW w:w="9615" w:type="dxa"/>
            <w:gridSpan w:val="2"/>
            <w:shd w:val="clear" w:color="auto" w:fill="D9D9D9" w:themeFill="background1" w:themeFillShade="D9"/>
          </w:tcPr>
          <w:p w14:paraId="4B5AB50A"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b/>
                <w:bCs/>
                <w:sz w:val="28"/>
                <w:szCs w:val="28"/>
                <w:u w:color="000000"/>
                <w:bdr w:val="nil"/>
                <w:lang w:val="en-US" w:eastAsia="en-US"/>
              </w:rPr>
            </w:pPr>
            <w:r w:rsidRPr="00ED59F7">
              <w:rPr>
                <w:rFonts w:eastAsia="Calibri" w:cs="Calibri"/>
                <w:b/>
                <w:bCs/>
                <w:sz w:val="28"/>
                <w:szCs w:val="28"/>
                <w:u w:color="000000"/>
                <w:bdr w:val="nil"/>
                <w:lang w:val="en-US" w:eastAsia="en-US"/>
              </w:rPr>
              <w:t>Liabilities</w:t>
            </w:r>
          </w:p>
        </w:tc>
      </w:tr>
      <w:tr w:rsidR="00ED59F7" w:rsidRPr="00ED59F7" w14:paraId="1FEE4773" w14:textId="77777777" w:rsidTr="00ED59F7">
        <w:tc>
          <w:tcPr>
            <w:tcW w:w="4807" w:type="dxa"/>
          </w:tcPr>
          <w:p w14:paraId="3E41BBAC"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 xml:space="preserve">Accounts Payable </w:t>
            </w:r>
          </w:p>
        </w:tc>
        <w:tc>
          <w:tcPr>
            <w:tcW w:w="4808" w:type="dxa"/>
          </w:tcPr>
          <w:p w14:paraId="7AC98488"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500</w:t>
            </w:r>
          </w:p>
        </w:tc>
      </w:tr>
      <w:tr w:rsidR="00ED59F7" w:rsidRPr="00ED59F7" w14:paraId="18F39154" w14:textId="77777777" w:rsidTr="00ED59F7">
        <w:tc>
          <w:tcPr>
            <w:tcW w:w="4807" w:type="dxa"/>
          </w:tcPr>
          <w:p w14:paraId="1337CBCA"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 xml:space="preserve">Current Long-Term Debt </w:t>
            </w:r>
          </w:p>
        </w:tc>
        <w:tc>
          <w:tcPr>
            <w:tcW w:w="4808" w:type="dxa"/>
          </w:tcPr>
          <w:p w14:paraId="5E91C305"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500</w:t>
            </w:r>
          </w:p>
        </w:tc>
      </w:tr>
      <w:tr w:rsidR="00ED59F7" w:rsidRPr="00ED59F7" w14:paraId="5B624749" w14:textId="77777777" w:rsidTr="00ED59F7">
        <w:tc>
          <w:tcPr>
            <w:tcW w:w="4807" w:type="dxa"/>
          </w:tcPr>
          <w:p w14:paraId="531AF651"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b/>
                <w:bCs/>
                <w:sz w:val="28"/>
                <w:szCs w:val="28"/>
                <w:u w:color="000000"/>
                <w:bdr w:val="nil"/>
                <w:lang w:val="en-US" w:eastAsia="en-US"/>
              </w:rPr>
            </w:pPr>
            <w:r w:rsidRPr="00ED59F7">
              <w:rPr>
                <w:rFonts w:eastAsia="Calibri" w:cs="Calibri"/>
                <w:b/>
                <w:bCs/>
                <w:sz w:val="28"/>
                <w:szCs w:val="28"/>
                <w:u w:color="000000"/>
                <w:bdr w:val="nil"/>
                <w:lang w:val="en-US" w:eastAsia="en-US"/>
              </w:rPr>
              <w:t>Total Current Liabilities</w:t>
            </w:r>
          </w:p>
        </w:tc>
        <w:tc>
          <w:tcPr>
            <w:tcW w:w="4808" w:type="dxa"/>
          </w:tcPr>
          <w:p w14:paraId="4C68611C"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b/>
                <w:bCs/>
                <w:sz w:val="28"/>
                <w:szCs w:val="28"/>
                <w:u w:color="000000"/>
                <w:bdr w:val="nil"/>
                <w:lang w:val="en-US" w:eastAsia="en-US"/>
              </w:rPr>
            </w:pPr>
            <w:r w:rsidRPr="00ED59F7">
              <w:rPr>
                <w:rFonts w:eastAsia="Calibri" w:cs="Calibri"/>
                <w:b/>
                <w:bCs/>
                <w:sz w:val="28"/>
                <w:szCs w:val="28"/>
                <w:u w:color="000000"/>
                <w:bdr w:val="nil"/>
                <w:lang w:val="en-US" w:eastAsia="en-US"/>
              </w:rPr>
              <w:t>1,000</w:t>
            </w:r>
          </w:p>
        </w:tc>
      </w:tr>
      <w:tr w:rsidR="00ED59F7" w:rsidRPr="00ED59F7" w14:paraId="6DC0CBFE" w14:textId="77777777" w:rsidTr="00ED59F7">
        <w:tc>
          <w:tcPr>
            <w:tcW w:w="4807" w:type="dxa"/>
          </w:tcPr>
          <w:p w14:paraId="6455ACBC"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 xml:space="preserve">Long Term Debt </w:t>
            </w:r>
          </w:p>
        </w:tc>
        <w:tc>
          <w:tcPr>
            <w:tcW w:w="4808" w:type="dxa"/>
          </w:tcPr>
          <w:p w14:paraId="45D093BE"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500</w:t>
            </w:r>
          </w:p>
        </w:tc>
      </w:tr>
      <w:tr w:rsidR="00ED59F7" w:rsidRPr="00ED59F7" w14:paraId="377055FD" w14:textId="77777777" w:rsidTr="00ED59F7">
        <w:tc>
          <w:tcPr>
            <w:tcW w:w="4807" w:type="dxa"/>
          </w:tcPr>
          <w:p w14:paraId="185EC5AA"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b/>
                <w:bCs/>
                <w:sz w:val="28"/>
                <w:szCs w:val="28"/>
                <w:u w:color="000000"/>
                <w:bdr w:val="nil"/>
                <w:lang w:val="en-US" w:eastAsia="en-US"/>
              </w:rPr>
            </w:pPr>
            <w:r w:rsidRPr="00ED59F7">
              <w:rPr>
                <w:rFonts w:eastAsia="Calibri" w:cs="Calibri"/>
                <w:b/>
                <w:bCs/>
                <w:sz w:val="28"/>
                <w:szCs w:val="28"/>
                <w:u w:color="000000"/>
                <w:bdr w:val="nil"/>
                <w:lang w:val="en-US" w:eastAsia="en-US"/>
              </w:rPr>
              <w:t xml:space="preserve">Total Liabilities </w:t>
            </w:r>
          </w:p>
        </w:tc>
        <w:tc>
          <w:tcPr>
            <w:tcW w:w="4808" w:type="dxa"/>
          </w:tcPr>
          <w:p w14:paraId="06D1BDF0"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b/>
                <w:bCs/>
                <w:sz w:val="28"/>
                <w:szCs w:val="28"/>
                <w:u w:color="000000"/>
                <w:bdr w:val="nil"/>
                <w:lang w:val="en-US" w:eastAsia="en-US"/>
              </w:rPr>
            </w:pPr>
            <w:r w:rsidRPr="00ED59F7">
              <w:rPr>
                <w:rFonts w:eastAsia="Calibri" w:cs="Calibri"/>
                <w:b/>
                <w:bCs/>
                <w:sz w:val="28"/>
                <w:szCs w:val="28"/>
                <w:u w:color="000000"/>
                <w:bdr w:val="nil"/>
                <w:lang w:val="en-US" w:eastAsia="en-US"/>
              </w:rPr>
              <w:t>1,500</w:t>
            </w:r>
          </w:p>
        </w:tc>
      </w:tr>
      <w:tr w:rsidR="00ED59F7" w:rsidRPr="00ED59F7" w14:paraId="00176436" w14:textId="77777777" w:rsidTr="00ED59F7">
        <w:tc>
          <w:tcPr>
            <w:tcW w:w="4807" w:type="dxa"/>
            <w:shd w:val="clear" w:color="auto" w:fill="D9D9D9" w:themeFill="background1" w:themeFillShade="D9"/>
          </w:tcPr>
          <w:p w14:paraId="6B9F8E6B"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Calibri" w:cs="Calibri"/>
                <w:b/>
                <w:bCs/>
                <w:sz w:val="28"/>
                <w:szCs w:val="28"/>
                <w:u w:color="000000"/>
                <w:bdr w:val="nil"/>
                <w:lang w:val="en-US" w:eastAsia="en-US"/>
              </w:rPr>
            </w:pPr>
            <w:r w:rsidRPr="00ED59F7">
              <w:rPr>
                <w:rFonts w:eastAsia="Calibri" w:cs="Calibri"/>
                <w:b/>
                <w:bCs/>
                <w:sz w:val="28"/>
                <w:szCs w:val="28"/>
                <w:u w:color="000000"/>
                <w:bdr w:val="nil"/>
                <w:lang w:val="en-US" w:eastAsia="en-US"/>
              </w:rPr>
              <w:t xml:space="preserve">Owners' Equity </w:t>
            </w:r>
          </w:p>
        </w:tc>
        <w:tc>
          <w:tcPr>
            <w:tcW w:w="4808" w:type="dxa"/>
            <w:shd w:val="clear" w:color="auto" w:fill="D9D9D9" w:themeFill="background1" w:themeFillShade="D9"/>
          </w:tcPr>
          <w:p w14:paraId="632791F6" w14:textId="77777777" w:rsidR="00ED59F7" w:rsidRPr="00ED59F7" w:rsidRDefault="00ED59F7" w:rsidP="00292820">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jc w:val="both"/>
              <w:rPr>
                <w:rFonts w:eastAsia="Garamond"/>
                <w:b/>
                <w:bCs/>
                <w:sz w:val="28"/>
                <w:szCs w:val="28"/>
                <w:u w:color="000000"/>
                <w:bdr w:val="nil"/>
                <w:lang w:val="en-US" w:eastAsia="en-US"/>
              </w:rPr>
            </w:pPr>
            <w:r w:rsidRPr="00ED59F7">
              <w:rPr>
                <w:rFonts w:eastAsia="Calibri" w:cs="Calibri"/>
                <w:b/>
                <w:bCs/>
                <w:sz w:val="28"/>
                <w:szCs w:val="28"/>
                <w:u w:color="000000"/>
                <w:bdr w:val="nil"/>
                <w:lang w:val="en-US" w:eastAsia="en-US"/>
              </w:rPr>
              <w:t xml:space="preserve">500 </w:t>
            </w:r>
          </w:p>
        </w:tc>
      </w:tr>
    </w:tbl>
    <w:p w14:paraId="1C6C16EE" w14:textId="77777777" w:rsidR="00525312" w:rsidRDefault="00525312"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Calibri" w:cs="Calibri"/>
          <w:sz w:val="28"/>
          <w:szCs w:val="28"/>
          <w:u w:color="000000"/>
          <w:bdr w:val="nil"/>
          <w:lang w:val="en-US" w:eastAsia="en-US"/>
        </w:rPr>
      </w:pPr>
    </w:p>
    <w:p w14:paraId="79B85B7C" w14:textId="77777777" w:rsidR="003C51B1"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Calibri" w:cs="Calibri"/>
          <w:sz w:val="28"/>
          <w:szCs w:val="28"/>
          <w:u w:color="000000"/>
          <w:bdr w:val="nil"/>
          <w:lang w:val="en-US" w:eastAsia="en-US"/>
        </w:rPr>
      </w:pPr>
      <w:r w:rsidRPr="00ED59F7">
        <w:rPr>
          <w:rFonts w:eastAsia="Calibri" w:cs="Calibri"/>
          <w:sz w:val="28"/>
          <w:szCs w:val="28"/>
          <w:u w:color="000000"/>
          <w:bdr w:val="nil"/>
          <w:lang w:val="en-US" w:eastAsia="en-US"/>
        </w:rPr>
        <w:t xml:space="preserve">Calculate P/B ratio. Please not, that there are a couple ways to calculate book value, depending on the company. For purposes of this example, the best measure of book value is Total Assets </w:t>
      </w:r>
      <w:r w:rsidR="009F199C">
        <w:rPr>
          <w:rFonts w:eastAsia="Calibri" w:hAnsi="Calibri" w:cs="Calibri"/>
          <w:u w:color="000000"/>
          <w:bdr w:val="nil"/>
          <w:lang w:val="en-US"/>
        </w:rPr>
        <w:t>–</w:t>
      </w:r>
      <w:r w:rsidRPr="00ED59F7">
        <w:rPr>
          <w:rFonts w:eastAsia="Calibri" w:cs="Calibri"/>
          <w:sz w:val="28"/>
          <w:szCs w:val="28"/>
          <w:u w:color="000000"/>
          <w:bdr w:val="nil"/>
          <w:lang w:val="en-US" w:eastAsia="en-US"/>
        </w:rPr>
        <w:t xml:space="preserve"> Total Liabilities.</w:t>
      </w:r>
    </w:p>
    <w:p w14:paraId="309AA646" w14:textId="77777777" w:rsidR="00ED59F7" w:rsidRPr="00ED59F7" w:rsidRDefault="00ED59F7"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37E9996E"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lastRenderedPageBreak/>
        <w:t xml:space="preserve">The lime company has a total of UAH 400,000 dividends paid last year. This amount does not include the one-time payments. The total number of common stock shares outstanding is UAH 1 million. What is the DPS for </w:t>
      </w:r>
      <w:r w:rsidR="009F199C">
        <w:rPr>
          <w:rFonts w:ascii="Garamond" w:hAnsi="Garamond" w:cs="Calibri"/>
          <w:szCs w:val="28"/>
          <w:u w:color="000000"/>
          <w:bdr w:val="nil"/>
          <w:lang w:val="en-US"/>
        </w:rPr>
        <w:t>l</w:t>
      </w:r>
      <w:r w:rsidRPr="00ED59F7">
        <w:rPr>
          <w:rFonts w:ascii="Garamond" w:hAnsi="Garamond" w:cs="Calibri"/>
          <w:szCs w:val="28"/>
          <w:u w:color="000000"/>
          <w:bdr w:val="nil"/>
          <w:lang w:val="en-US"/>
        </w:rPr>
        <w:t>ime company?</w:t>
      </w:r>
    </w:p>
    <w:p w14:paraId="17AFEE2D" w14:textId="77777777" w:rsidR="003C51B1" w:rsidRPr="00ED59F7" w:rsidRDefault="003C51B1" w:rsidP="00ED59F7">
      <w:pPr>
        <w:pStyle w:val="ListParagraph"/>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p>
    <w:p w14:paraId="5350E653"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Kate bought one share with the book value UAH 1500,00 of Wood Co. which pays 30</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xml:space="preserve">% </w:t>
      </w:r>
      <w:r w:rsidR="009F199C">
        <w:rPr>
          <w:rFonts w:ascii="Garamond" w:hAnsi="Garamond" w:cs="Calibri"/>
          <w:szCs w:val="28"/>
          <w:u w:color="000000"/>
          <w:bdr w:val="nil"/>
          <w:lang w:val="en-US"/>
        </w:rPr>
        <w:t>of</w:t>
      </w:r>
      <w:r w:rsidRPr="00ED59F7">
        <w:rPr>
          <w:rFonts w:ascii="Garamond" w:hAnsi="Garamond" w:cs="Calibri"/>
          <w:szCs w:val="28"/>
          <w:u w:color="000000"/>
          <w:bdr w:val="nil"/>
          <w:lang w:val="en-US"/>
        </w:rPr>
        <w:t xml:space="preserve"> annual dividends. Calculate that the dividend yield on Wood Co. stock, if the current stock price is UAH 1700,00.</w:t>
      </w:r>
    </w:p>
    <w:p w14:paraId="61A0DDE9" w14:textId="77777777" w:rsidR="003C51B1" w:rsidRPr="00ED59F7" w:rsidRDefault="003C51B1" w:rsidP="00ED59F7">
      <w:pPr>
        <w:pStyle w:val="ListParagraph"/>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p>
    <w:p w14:paraId="736E12BA"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 xml:space="preserve">A bond pays a coupon of 4 </w:t>
      </w:r>
      <w:r w:rsidR="009F199C">
        <w:rPr>
          <w:rFonts w:ascii="Garamond" w:hAnsi="Garamond" w:cs="Calibri"/>
          <w:szCs w:val="28"/>
          <w:u w:color="000000"/>
          <w:bdr w:val="nil"/>
          <w:lang w:val="en-US"/>
        </w:rPr>
        <w:t>e</w:t>
      </w:r>
      <w:r w:rsidRPr="00ED59F7">
        <w:rPr>
          <w:rFonts w:ascii="Garamond" w:hAnsi="Garamond" w:cs="Calibri"/>
          <w:szCs w:val="28"/>
          <w:u w:color="000000"/>
          <w:bdr w:val="nil"/>
          <w:lang w:val="en-US"/>
        </w:rPr>
        <w:t xml:space="preserve">uro every six months, and 100 </w:t>
      </w:r>
      <w:r w:rsidR="009F199C">
        <w:rPr>
          <w:rFonts w:ascii="Garamond" w:hAnsi="Garamond" w:cs="Calibri"/>
          <w:szCs w:val="28"/>
          <w:u w:color="000000"/>
          <w:bdr w:val="nil"/>
          <w:lang w:val="en-US"/>
        </w:rPr>
        <w:t>e</w:t>
      </w:r>
      <w:r w:rsidRPr="00ED59F7">
        <w:rPr>
          <w:rFonts w:ascii="Garamond" w:hAnsi="Garamond" w:cs="Calibri"/>
          <w:szCs w:val="28"/>
          <w:u w:color="000000"/>
          <w:bdr w:val="nil"/>
          <w:lang w:val="en-US"/>
        </w:rPr>
        <w:t xml:space="preserve">uro will be repaid at maturity. There are two years to maturity and the next coupon is </w:t>
      </w:r>
      <w:r w:rsidR="009F199C">
        <w:rPr>
          <w:rFonts w:ascii="Garamond" w:hAnsi="Garamond" w:cs="Calibri"/>
          <w:szCs w:val="28"/>
          <w:u w:color="000000"/>
          <w:bdr w:val="nil"/>
          <w:lang w:val="en-US"/>
        </w:rPr>
        <w:t>paid</w:t>
      </w:r>
      <w:r w:rsidRPr="00ED59F7">
        <w:rPr>
          <w:rFonts w:ascii="Garamond" w:hAnsi="Garamond" w:cs="Calibri"/>
          <w:szCs w:val="28"/>
          <w:u w:color="000000"/>
          <w:bdr w:val="nil"/>
          <w:lang w:val="en-US"/>
        </w:rPr>
        <w:t xml:space="preserve"> in six months. The redemption yield on similar bonds is 6</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p.</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a. Estimate the fair price of the bond. An interest rate of 6</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p.</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a. indicates a rate of 3</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per six month period.</w:t>
      </w:r>
    </w:p>
    <w:p w14:paraId="60D156AA" w14:textId="77777777" w:rsidR="003C51B1" w:rsidRPr="00ED59F7" w:rsidRDefault="003C51B1" w:rsidP="00ED59F7">
      <w:pPr>
        <w:pStyle w:val="ListParagraph"/>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p>
    <w:p w14:paraId="59F6A394"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 xml:space="preserve">Consider the case of a 5 </w:t>
      </w:r>
      <w:r w:rsidR="009F199C">
        <w:rPr>
          <w:rFonts w:ascii="Garamond" w:hAnsi="Garamond" w:cs="Calibri"/>
          <w:szCs w:val="28"/>
          <w:u w:color="000000"/>
          <w:bdr w:val="nil"/>
          <w:lang w:val="en-US"/>
        </w:rPr>
        <w:t>e</w:t>
      </w:r>
      <w:r w:rsidRPr="00ED59F7">
        <w:rPr>
          <w:rFonts w:ascii="Garamond" w:hAnsi="Garamond" w:cs="Calibri"/>
          <w:szCs w:val="28"/>
          <w:u w:color="000000"/>
          <w:bdr w:val="nil"/>
          <w:lang w:val="en-US"/>
        </w:rPr>
        <w:t>uro annual coupon and an initial interest rate of 10</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p.</w:t>
      </w:r>
      <w:r w:rsidR="009F199C">
        <w:rPr>
          <w:rFonts w:ascii="Garamond" w:hAnsi="Garamond" w:cs="Calibri"/>
          <w:szCs w:val="28"/>
          <w:u w:color="000000"/>
          <w:bdr w:val="nil"/>
          <w:lang w:val="en-US"/>
        </w:rPr>
        <w:t> </w:t>
      </w:r>
      <w:r w:rsidRPr="00ED59F7">
        <w:rPr>
          <w:rFonts w:ascii="Garamond" w:hAnsi="Garamond" w:cs="Calibri"/>
          <w:szCs w:val="28"/>
          <w:u w:color="000000"/>
          <w:bdr w:val="nil"/>
          <w:lang w:val="en-US"/>
        </w:rPr>
        <w:t>a. Calculate the fair price of the bond. W</w:t>
      </w:r>
      <w:r w:rsidR="009F199C">
        <w:rPr>
          <w:rFonts w:ascii="Garamond" w:hAnsi="Garamond" w:cs="Calibri"/>
          <w:szCs w:val="28"/>
          <w:u w:color="000000"/>
          <w:bdr w:val="nil"/>
          <w:lang w:val="en-US"/>
        </w:rPr>
        <w:t>hat w</w:t>
      </w:r>
      <w:r w:rsidRPr="00ED59F7">
        <w:rPr>
          <w:rFonts w:ascii="Garamond" w:hAnsi="Garamond" w:cs="Calibri"/>
          <w:szCs w:val="28"/>
          <w:u w:color="000000"/>
          <w:bdr w:val="nil"/>
          <w:lang w:val="en-US"/>
        </w:rPr>
        <w:t>ould be with the price of the bond if (i) the interest rate falls by 2 percentage points to 8</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p.</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a.;  (ii) interest rate rises by 2 percentage points to 12</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p.</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a.?</w:t>
      </w:r>
    </w:p>
    <w:p w14:paraId="65EE4D37" w14:textId="77777777" w:rsidR="003C51B1" w:rsidRPr="00ED59F7" w:rsidRDefault="003C51B1" w:rsidP="00ED59F7">
      <w:pPr>
        <w:pStyle w:val="ListParagraph"/>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p>
    <w:p w14:paraId="021518C4"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 xml:space="preserve">An investor has two bonds. Bond A pays a 5 </w:t>
      </w:r>
      <w:r w:rsidR="009F199C">
        <w:rPr>
          <w:rFonts w:ascii="Garamond" w:hAnsi="Garamond" w:cs="Calibri"/>
          <w:szCs w:val="28"/>
          <w:u w:color="000000"/>
          <w:bdr w:val="nil"/>
          <w:lang w:val="en-US"/>
        </w:rPr>
        <w:t>e</w:t>
      </w:r>
      <w:r w:rsidRPr="00ED59F7">
        <w:rPr>
          <w:rFonts w:ascii="Garamond" w:hAnsi="Garamond" w:cs="Calibri"/>
          <w:szCs w:val="28"/>
          <w:u w:color="000000"/>
          <w:bdr w:val="nil"/>
          <w:lang w:val="en-US"/>
        </w:rPr>
        <w:t xml:space="preserve">uro annual coupon and matures in five years. Bond B pays a 4 </w:t>
      </w:r>
      <w:r w:rsidR="009F199C">
        <w:rPr>
          <w:rFonts w:ascii="Garamond" w:hAnsi="Garamond" w:cs="Calibri"/>
          <w:szCs w:val="28"/>
          <w:u w:color="000000"/>
          <w:bdr w:val="nil"/>
          <w:lang w:val="en-US"/>
        </w:rPr>
        <w:t>e</w:t>
      </w:r>
      <w:r w:rsidRPr="00ED59F7">
        <w:rPr>
          <w:rFonts w:ascii="Garamond" w:hAnsi="Garamond" w:cs="Calibri"/>
          <w:szCs w:val="28"/>
          <w:u w:color="000000"/>
          <w:bdr w:val="nil"/>
          <w:lang w:val="en-US"/>
        </w:rPr>
        <w:t>uro coupon semi-annually and matures in three years. The investor needs to sell one bond immediately and hold the other for two years. The current rate of interest, for all maturities up to five years, is 6</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p.</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a. Which bond would the investor sell if that investor expected interest rates to: (a) increase, (b) decrease?</w:t>
      </w:r>
    </w:p>
    <w:p w14:paraId="7E63CC40" w14:textId="77777777" w:rsidR="003C51B1" w:rsidRPr="00ED59F7" w:rsidRDefault="003C51B1" w:rsidP="00ED59F7">
      <w:pPr>
        <w:pStyle w:val="ListParagraph"/>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p>
    <w:p w14:paraId="559FA42B"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Assume a redemption yield of 8</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xml:space="preserve">%. Compute the duration for the following bonds each 100 </w:t>
      </w:r>
      <w:r w:rsidR="009F199C">
        <w:rPr>
          <w:rFonts w:ascii="Garamond" w:hAnsi="Garamond" w:cs="Calibri"/>
          <w:szCs w:val="28"/>
          <w:u w:color="000000"/>
          <w:bdr w:val="nil"/>
          <w:lang w:val="en-US"/>
        </w:rPr>
        <w:t>e</w:t>
      </w:r>
      <w:r w:rsidRPr="00ED59F7">
        <w:rPr>
          <w:rFonts w:ascii="Garamond" w:hAnsi="Garamond" w:cs="Calibri"/>
          <w:szCs w:val="28"/>
          <w:u w:color="000000"/>
          <w:bdr w:val="nil"/>
          <w:lang w:val="en-US"/>
        </w:rPr>
        <w:t>uro par value. For the 12</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coupon bond compute duration.</w:t>
      </w:r>
    </w:p>
    <w:p w14:paraId="6869EC32"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a) 10 years, zero coupons;</w:t>
      </w:r>
    </w:p>
    <w:p w14:paraId="42972D8E"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b) 10 years, 8 percent;</w:t>
      </w:r>
    </w:p>
    <w:p w14:paraId="3CBB6FEF"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sidRPr="00ED59F7">
        <w:rPr>
          <w:rFonts w:eastAsia="Calibri" w:cs="Calibri"/>
          <w:sz w:val="28"/>
          <w:szCs w:val="28"/>
          <w:u w:color="000000"/>
          <w:bdr w:val="nil"/>
          <w:lang w:val="en-US" w:eastAsia="en-US"/>
        </w:rPr>
        <w:t>c) 10 years, 12 percent coupon.</w:t>
      </w:r>
    </w:p>
    <w:p w14:paraId="7DC20B5F"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r w:rsidRPr="00ED59F7">
        <w:rPr>
          <w:rFonts w:eastAsia="Garamond"/>
          <w:sz w:val="28"/>
          <w:szCs w:val="28"/>
          <w:u w:color="000000"/>
          <w:bdr w:val="nil"/>
          <w:lang w:val="en-US" w:eastAsia="en-US"/>
        </w:rPr>
        <w:tab/>
      </w:r>
      <w:r w:rsidRPr="00ED59F7">
        <w:rPr>
          <w:rFonts w:eastAsia="Garamond"/>
          <w:sz w:val="28"/>
          <w:szCs w:val="28"/>
          <w:u w:color="000000"/>
          <w:bdr w:val="nil"/>
          <w:lang w:val="en-US" w:eastAsia="en-US"/>
        </w:rPr>
        <w:tab/>
      </w:r>
      <w:r w:rsidRPr="00ED59F7">
        <w:rPr>
          <w:rFonts w:eastAsia="Garamond"/>
          <w:sz w:val="28"/>
          <w:szCs w:val="28"/>
          <w:u w:color="000000"/>
          <w:bdr w:val="nil"/>
          <w:lang w:val="en-US" w:eastAsia="en-US"/>
        </w:rPr>
        <w:tab/>
      </w:r>
      <w:r w:rsidRPr="00ED59F7">
        <w:rPr>
          <w:rFonts w:eastAsia="Garamond"/>
          <w:sz w:val="28"/>
          <w:szCs w:val="28"/>
          <w:u w:color="000000"/>
          <w:bdr w:val="nil"/>
          <w:lang w:val="en-US" w:eastAsia="en-US"/>
        </w:rPr>
        <w:tab/>
      </w:r>
      <w:r w:rsidRPr="00ED59F7">
        <w:rPr>
          <w:rFonts w:eastAsia="Garamond"/>
          <w:sz w:val="28"/>
          <w:szCs w:val="28"/>
          <w:u w:color="000000"/>
          <w:bdr w:val="nil"/>
          <w:lang w:val="en-US" w:eastAsia="en-US"/>
        </w:rPr>
        <w:tab/>
      </w:r>
    </w:p>
    <w:p w14:paraId="183B3CC4" w14:textId="77777777" w:rsidR="003C51B1" w:rsidRPr="00ED59F7" w:rsidRDefault="003C51B1" w:rsidP="006F749C">
      <w:pPr>
        <w:pStyle w:val="ListParagraph"/>
        <w:numPr>
          <w:ilvl w:val="0"/>
          <w:numId w:val="204"/>
        </w:numPr>
        <w:pBdr>
          <w:top w:val="nil"/>
          <w:left w:val="nil"/>
          <w:bottom w:val="nil"/>
          <w:right w:val="nil"/>
          <w:between w:val="nil"/>
          <w:bar w:val="nil"/>
        </w:pBd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tLeast"/>
        <w:ind w:left="426"/>
        <w:jc w:val="both"/>
        <w:rPr>
          <w:rFonts w:ascii="Garamond" w:hAnsi="Garamond" w:cs="Calibri"/>
          <w:szCs w:val="28"/>
          <w:u w:color="000000"/>
          <w:bdr w:val="nil"/>
          <w:lang w:val="en-US"/>
        </w:rPr>
      </w:pPr>
      <w:r w:rsidRPr="00ED59F7">
        <w:rPr>
          <w:rFonts w:ascii="Garamond" w:hAnsi="Garamond" w:cs="Calibri"/>
          <w:szCs w:val="28"/>
          <w:u w:color="000000"/>
          <w:bdr w:val="nil"/>
          <w:lang w:val="en-US"/>
        </w:rPr>
        <w:t>Determine the interest rate sensitivity of two bonds. Bond 1 is a 12</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coupon bond with a 7-year maturity and a $1000 principal. Bond 2 is a ‘zero-coupon’ bond that pays $1120 after 7 years. The current interest rate is 12</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Determine the duration of each bond. If the interest rate increases 100 basis points (100 basis points = 1</w:t>
      </w:r>
      <w:r w:rsidR="009F199C">
        <w:rPr>
          <w:rFonts w:ascii="Garamond" w:hAnsi="Garamond" w:cs="Calibri"/>
          <w:szCs w:val="28"/>
          <w:u w:color="000000"/>
          <w:bdr w:val="nil"/>
          <w:lang w:val="en-US"/>
        </w:rPr>
        <w:t xml:space="preserve"> </w:t>
      </w:r>
      <w:r w:rsidRPr="00ED59F7">
        <w:rPr>
          <w:rFonts w:ascii="Garamond" w:hAnsi="Garamond" w:cs="Calibri"/>
          <w:szCs w:val="28"/>
          <w:u w:color="000000"/>
          <w:bdr w:val="nil"/>
          <w:lang w:val="en-US"/>
        </w:rPr>
        <w:t>%), what will be the capital loss on each bond?</w:t>
      </w:r>
    </w:p>
    <w:p w14:paraId="3396EB6B"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3FD234E6"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7E442AE6" w14:textId="77777777" w:rsidR="003C51B1" w:rsidRPr="00ED59F7" w:rsidRDefault="003C51B1"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both"/>
        <w:rPr>
          <w:rFonts w:eastAsia="Garamond"/>
          <w:sz w:val="28"/>
          <w:szCs w:val="28"/>
          <w:u w:color="000000"/>
          <w:bdr w:val="nil"/>
          <w:lang w:val="en-US" w:eastAsia="en-US"/>
        </w:rPr>
      </w:pPr>
    </w:p>
    <w:p w14:paraId="182EC779" w14:textId="77777777" w:rsidR="003C51B1" w:rsidRPr="00ED59F7" w:rsidRDefault="003C51B1" w:rsidP="00BC2E5D">
      <w:pPr>
        <w:pStyle w:val="end2"/>
        <w:rPr>
          <w:rFonts w:eastAsia="Garamond"/>
          <w:u w:color="000000"/>
          <w:bdr w:val="nil"/>
          <w:lang w:eastAsia="en-US"/>
        </w:rPr>
      </w:pPr>
      <w:r w:rsidRPr="00ED59F7">
        <w:rPr>
          <w:rFonts w:eastAsia="Calibri"/>
          <w:u w:color="000000"/>
          <w:bdr w:val="nil"/>
          <w:lang w:eastAsia="en-US"/>
        </w:rPr>
        <w:lastRenderedPageBreak/>
        <w:t xml:space="preserve">Appendix </w:t>
      </w:r>
      <w:r w:rsidR="00ED59F7">
        <w:rPr>
          <w:rFonts w:eastAsia="Calibri"/>
          <w:u w:color="000000"/>
          <w:bdr w:val="nil"/>
          <w:lang w:eastAsia="en-US"/>
        </w:rPr>
        <w:t>C</w:t>
      </w:r>
    </w:p>
    <w:p w14:paraId="55A7217B" w14:textId="77777777" w:rsidR="003C51B1" w:rsidRPr="00A67A26" w:rsidRDefault="003C51B1" w:rsidP="00D1006D">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rPr>
          <w:rFonts w:eastAsia="Garamond"/>
          <w:b/>
          <w:bCs/>
          <w:sz w:val="28"/>
          <w:szCs w:val="28"/>
          <w:u w:color="000000"/>
          <w:bdr w:val="nil"/>
          <w:lang w:val="en-US" w:eastAsia="en-US"/>
        </w:rPr>
      </w:pPr>
      <w:r w:rsidRPr="00ED59F7">
        <w:rPr>
          <w:rFonts w:eastAsia="Calibri" w:cs="Calibri"/>
          <w:b/>
          <w:bCs/>
          <w:sz w:val="28"/>
          <w:szCs w:val="28"/>
          <w:u w:color="000000"/>
          <w:bdr w:val="nil"/>
          <w:lang w:val="en-US" w:eastAsia="en-US"/>
        </w:rPr>
        <w:t xml:space="preserve">Table </w:t>
      </w:r>
      <w:r w:rsidR="00ED59F7">
        <w:rPr>
          <w:rFonts w:eastAsia="Calibri" w:cs="Calibri"/>
          <w:b/>
          <w:bCs/>
          <w:sz w:val="28"/>
          <w:szCs w:val="28"/>
          <w:u w:color="000000"/>
          <w:bdr w:val="nil"/>
          <w:lang w:val="en-US" w:eastAsia="en-US"/>
        </w:rPr>
        <w:t>C</w:t>
      </w:r>
      <w:r w:rsidRPr="00ED59F7">
        <w:rPr>
          <w:rFonts w:eastAsia="Calibri" w:cs="Calibri"/>
          <w:b/>
          <w:bCs/>
          <w:sz w:val="28"/>
          <w:szCs w:val="28"/>
          <w:u w:color="000000"/>
          <w:bdr w:val="nil"/>
          <w:lang w:val="en-US" w:eastAsia="en-US"/>
        </w:rPr>
        <w:t>.1</w:t>
      </w:r>
      <w:r w:rsidR="00A67A26" w:rsidRPr="00A67A26">
        <w:rPr>
          <w:rFonts w:eastAsia="Garamond"/>
          <w:b/>
          <w:bCs/>
          <w:sz w:val="28"/>
          <w:szCs w:val="28"/>
          <w:u w:color="000000"/>
          <w:bdr w:val="nil"/>
          <w:lang w:val="en-US" w:eastAsia="en-US"/>
        </w:rPr>
        <w:t xml:space="preserve"> </w:t>
      </w:r>
      <w:r w:rsidR="00A67A26" w:rsidRPr="00A67A26">
        <w:rPr>
          <w:rFonts w:cs="Garamond"/>
          <w:b/>
          <w:color w:val="auto"/>
          <w:sz w:val="28"/>
          <w:lang w:val="en-US" w:eastAsia="ru-RU" w:bidi="ru-RU"/>
        </w:rPr>
        <w:t xml:space="preserve">– </w:t>
      </w:r>
      <w:r w:rsidRPr="00ED59F7">
        <w:rPr>
          <w:rFonts w:eastAsia="Calibri" w:cs="Calibri"/>
          <w:b/>
          <w:bCs/>
          <w:sz w:val="28"/>
          <w:szCs w:val="28"/>
          <w:u w:color="000000"/>
          <w:bdr w:val="nil"/>
          <w:lang w:val="en-US" w:eastAsia="en-US"/>
        </w:rPr>
        <w:t>List of important financial ratios for financial market analysis</w:t>
      </w:r>
    </w:p>
    <w:tbl>
      <w:tblPr>
        <w:tblStyle w:val="60"/>
        <w:tblW w:w="5000" w:type="pct"/>
        <w:jc w:val="center"/>
        <w:tblLook w:val="04A0" w:firstRow="1" w:lastRow="0" w:firstColumn="1" w:lastColumn="0" w:noHBand="0" w:noVBand="1"/>
      </w:tblPr>
      <w:tblGrid>
        <w:gridCol w:w="4897"/>
        <w:gridCol w:w="4720"/>
      </w:tblGrid>
      <w:tr w:rsidR="00ED59F7" w:rsidRPr="00ED59F7" w14:paraId="5EA9C17E" w14:textId="77777777" w:rsidTr="00AD70E8">
        <w:trPr>
          <w:trHeight w:val="803"/>
          <w:jc w:val="center"/>
        </w:trPr>
        <w:tc>
          <w:tcPr>
            <w:tcW w:w="5000" w:type="pct"/>
            <w:gridSpan w:val="2"/>
            <w:tcBorders>
              <w:top w:val="single" w:sz="4" w:space="0" w:color="auto"/>
              <w:left w:val="single" w:sz="4" w:space="0" w:color="auto"/>
              <w:bottom w:val="single" w:sz="4" w:space="0" w:color="auto"/>
              <w:right w:val="single" w:sz="4" w:space="0" w:color="auto"/>
            </w:tcBorders>
            <w:hideMark/>
          </w:tcPr>
          <w:p w14:paraId="07BC5230"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sz w:val="28"/>
                <w:szCs w:val="28"/>
                <w:lang w:val="en-US"/>
              </w:rPr>
              <w:t xml:space="preserve">1. </w:t>
            </w:r>
            <w:r w:rsidRPr="00ED59F7">
              <w:rPr>
                <w:rFonts w:ascii="Garamond" w:hAnsi="Garamond"/>
                <w:b/>
                <w:i/>
                <w:sz w:val="28"/>
                <w:szCs w:val="28"/>
                <w:lang w:val="en-US"/>
              </w:rPr>
              <w:t>Book value per common share (BVPS)</w:t>
            </w:r>
            <w:r w:rsidRPr="00ED59F7">
              <w:rPr>
                <w:rFonts w:ascii="Garamond" w:hAnsi="Garamond"/>
                <w:sz w:val="28"/>
                <w:szCs w:val="28"/>
                <w:lang w:val="en-US"/>
              </w:rPr>
              <w:t>; measure used by owners of common shares in a firm to determine the level of safety associated with each individual share after all debts are paid accordingly</w:t>
            </w:r>
          </w:p>
        </w:tc>
      </w:tr>
      <w:tr w:rsidR="00ED59F7" w:rsidRPr="00ED59F7" w14:paraId="61AFD373" w14:textId="77777777" w:rsidTr="00AD70E8">
        <w:trPr>
          <w:trHeight w:val="1140"/>
          <w:jc w:val="center"/>
        </w:trPr>
        <w:tc>
          <w:tcPr>
            <w:tcW w:w="2546" w:type="pct"/>
            <w:tcBorders>
              <w:top w:val="single" w:sz="4" w:space="0" w:color="auto"/>
              <w:left w:val="single" w:sz="4" w:space="0" w:color="auto"/>
              <w:bottom w:val="single" w:sz="4" w:space="0" w:color="auto"/>
              <w:right w:val="single" w:sz="4" w:space="0" w:color="auto"/>
            </w:tcBorders>
            <w:vAlign w:val="center"/>
            <w:hideMark/>
          </w:tcPr>
          <w:p w14:paraId="3170F89C" w14:textId="77777777" w:rsidR="00ED59F7" w:rsidRPr="00ED59F7" w:rsidRDefault="00ED59F7" w:rsidP="00AD70E8">
            <w:pPr>
              <w:spacing w:line="240" w:lineRule="atLeast"/>
              <w:jc w:val="center"/>
              <w:rPr>
                <w:rFonts w:ascii="Garamond" w:hAnsi="Garamond"/>
                <w:sz w:val="28"/>
                <w:szCs w:val="28"/>
                <w:lang w:val="en-US"/>
              </w:rPr>
            </w:pPr>
            <w:r w:rsidRPr="00ED59F7">
              <w:rPr>
                <w:rFonts w:ascii="Garamond" w:hAnsi="Garamond"/>
                <w:sz w:val="28"/>
                <w:szCs w:val="28"/>
                <w:lang w:val="en-US"/>
              </w:rPr>
              <w:t>Book value per common share (BVPS) =</w:t>
            </w:r>
          </w:p>
          <w:p w14:paraId="55FE397C" w14:textId="77777777" w:rsidR="00ED59F7" w:rsidRPr="00ED59F7" w:rsidRDefault="00AF5B66" w:rsidP="00AD70E8">
            <w:pPr>
              <w:spacing w:line="240" w:lineRule="atLeast"/>
              <w:jc w:val="center"/>
              <w:rPr>
                <w:rFonts w:ascii="Garamond" w:hAnsi="Garamond"/>
                <w:sz w:val="28"/>
                <w:szCs w:val="28"/>
                <w:lang w:val="en-US"/>
              </w:rPr>
            </w:pPr>
            <w:r>
              <w:rPr>
                <w:rFonts w:ascii="Garamond" w:hAnsi="Garamond"/>
                <w:sz w:val="28"/>
                <w:szCs w:val="28"/>
                <w:lang w:val="en-US"/>
              </w:rPr>
              <w:t xml:space="preserve">= </w:t>
            </w:r>
            <m:oMath>
              <m:f>
                <m:fPr>
                  <m:ctrlPr>
                    <w:rPr>
                      <w:rFonts w:ascii="Cambria Math" w:hAnsi="Cambria Math"/>
                      <w:i/>
                      <w:sz w:val="28"/>
                      <w:szCs w:val="28"/>
                      <w:lang w:val="en-US"/>
                    </w:rPr>
                  </m:ctrlPr>
                </m:fPr>
                <m:num>
                  <m:r>
                    <w:rPr>
                      <w:rFonts w:ascii="Cambria Math" w:hAnsi="Cambria Math"/>
                      <w:sz w:val="28"/>
                      <w:szCs w:val="28"/>
                      <w:lang w:val="en-US"/>
                    </w:rPr>
                    <m:t>(Es - Sp)</m:t>
                  </m:r>
                </m:num>
                <m:den>
                  <m:r>
                    <w:rPr>
                      <w:rFonts w:ascii="Cambria Math" w:hAnsi="Cambria Math"/>
                      <w:sz w:val="28"/>
                      <w:szCs w:val="28"/>
                      <w:lang w:val="en-US"/>
                    </w:rPr>
                    <m:t>Ns</m:t>
                  </m:r>
                </m:den>
              </m:f>
            </m:oMath>
            <w:r w:rsidR="00ED59F7" w:rsidRPr="00ED59F7">
              <w:rPr>
                <w:rFonts w:ascii="Garamond" w:hAnsi="Garamond"/>
                <w:sz w:val="28"/>
                <w:szCs w:val="28"/>
                <w:lang w:val="en-US"/>
              </w:rPr>
              <w:t xml:space="preserve"> or  </w:t>
            </w:r>
            <m:oMath>
              <m:f>
                <m:fPr>
                  <m:ctrlPr>
                    <w:rPr>
                      <w:rFonts w:ascii="Cambria Math" w:hAnsi="Cambria Math"/>
                      <w:i/>
                      <w:sz w:val="28"/>
                      <w:szCs w:val="28"/>
                      <w:lang w:val="en-US"/>
                    </w:rPr>
                  </m:ctrlPr>
                </m:fPr>
                <m:num>
                  <m:r>
                    <w:rPr>
                      <w:rFonts w:ascii="Cambria Math" w:hAnsi="Cambria Math"/>
                      <w:sz w:val="28"/>
                      <w:szCs w:val="28"/>
                      <w:lang w:val="en-US"/>
                    </w:rPr>
                    <m:t>Ecs</m:t>
                  </m:r>
                </m:num>
                <m:den>
                  <m:r>
                    <w:rPr>
                      <w:rFonts w:ascii="Cambria Math" w:hAnsi="Cambria Math"/>
                      <w:sz w:val="28"/>
                      <w:szCs w:val="28"/>
                      <w:lang w:val="en-US"/>
                    </w:rPr>
                    <m:t>Ncs</m:t>
                  </m:r>
                </m:den>
              </m:f>
            </m:oMath>
          </w:p>
        </w:tc>
        <w:tc>
          <w:tcPr>
            <w:tcW w:w="2454" w:type="pct"/>
            <w:tcBorders>
              <w:top w:val="single" w:sz="4" w:space="0" w:color="auto"/>
              <w:left w:val="single" w:sz="4" w:space="0" w:color="auto"/>
              <w:bottom w:val="single" w:sz="4" w:space="0" w:color="auto"/>
              <w:right w:val="single" w:sz="4" w:space="0" w:color="auto"/>
            </w:tcBorders>
            <w:hideMark/>
          </w:tcPr>
          <w:p w14:paraId="14F02876"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Es</w:t>
            </w:r>
            <w:r w:rsidRPr="00ED59F7">
              <w:rPr>
                <w:rFonts w:ascii="Garamond" w:hAnsi="Garamond"/>
                <w:sz w:val="28"/>
                <w:szCs w:val="28"/>
                <w:lang w:val="en-US"/>
              </w:rPr>
              <w:t xml:space="preserve"> </w:t>
            </w:r>
            <w:r w:rsidR="009F199C">
              <w:rPr>
                <w:rFonts w:ascii="Garamond" w:hAnsi="Garamond"/>
                <w:sz w:val="28"/>
                <w:szCs w:val="28"/>
                <w:lang w:val="en-US"/>
              </w:rPr>
              <w:t>–</w:t>
            </w:r>
            <w:r w:rsidRPr="00ED59F7">
              <w:rPr>
                <w:rFonts w:ascii="Garamond" w:hAnsi="Garamond"/>
                <w:sz w:val="28"/>
                <w:szCs w:val="28"/>
                <w:lang w:val="en-US"/>
              </w:rPr>
              <w:t xml:space="preserve"> total stockholders' equity;</w:t>
            </w:r>
          </w:p>
          <w:p w14:paraId="5C4CE53F"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Sp</w:t>
            </w:r>
            <w:r w:rsidRPr="00ED59F7">
              <w:rPr>
                <w:rFonts w:ascii="Garamond" w:hAnsi="Garamond"/>
                <w:sz w:val="28"/>
                <w:szCs w:val="28"/>
                <w:lang w:val="en-US"/>
              </w:rPr>
              <w:t xml:space="preserve"> </w:t>
            </w:r>
            <w:r w:rsidR="009F199C">
              <w:rPr>
                <w:rFonts w:ascii="Garamond" w:hAnsi="Garamond"/>
                <w:sz w:val="28"/>
                <w:szCs w:val="28"/>
                <w:lang w:val="en-US"/>
              </w:rPr>
              <w:t>–</w:t>
            </w:r>
            <w:r w:rsidRPr="00ED59F7">
              <w:rPr>
                <w:rFonts w:ascii="Garamond" w:hAnsi="Garamond"/>
                <w:sz w:val="28"/>
                <w:szCs w:val="28"/>
                <w:lang w:val="en-US"/>
              </w:rPr>
              <w:t xml:space="preserve"> preference shares;</w:t>
            </w:r>
          </w:p>
          <w:p w14:paraId="0D038C70"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Ns</w:t>
            </w:r>
            <w:r w:rsidRPr="00ED59F7">
              <w:rPr>
                <w:rFonts w:ascii="Garamond" w:hAnsi="Garamond"/>
                <w:sz w:val="28"/>
                <w:szCs w:val="28"/>
                <w:lang w:val="en-US"/>
              </w:rPr>
              <w:t xml:space="preserve"> </w:t>
            </w:r>
            <w:r w:rsidR="009F199C">
              <w:rPr>
                <w:rFonts w:ascii="Garamond" w:hAnsi="Garamond"/>
                <w:sz w:val="28"/>
                <w:szCs w:val="28"/>
                <w:lang w:val="en-US"/>
              </w:rPr>
              <w:t>–</w:t>
            </w:r>
            <w:r w:rsidRPr="00ED59F7">
              <w:rPr>
                <w:rFonts w:ascii="Garamond" w:hAnsi="Garamond"/>
                <w:sz w:val="28"/>
                <w:szCs w:val="28"/>
                <w:lang w:val="en-US"/>
              </w:rPr>
              <w:t xml:space="preserve"> number of outstanding shares;</w:t>
            </w:r>
          </w:p>
          <w:p w14:paraId="5C2F6367"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Ecs</w:t>
            </w:r>
            <w:r w:rsidRPr="00ED59F7">
              <w:rPr>
                <w:rFonts w:ascii="Garamond" w:hAnsi="Garamond"/>
                <w:sz w:val="28"/>
                <w:szCs w:val="28"/>
                <w:lang w:val="en-US"/>
              </w:rPr>
              <w:t xml:space="preserve"> </w:t>
            </w:r>
            <w:r w:rsidR="009F199C">
              <w:rPr>
                <w:rFonts w:ascii="Garamond" w:hAnsi="Garamond"/>
                <w:sz w:val="28"/>
                <w:szCs w:val="28"/>
                <w:lang w:val="en-US"/>
              </w:rPr>
              <w:t>–</w:t>
            </w:r>
            <w:r w:rsidRPr="00ED59F7">
              <w:rPr>
                <w:rFonts w:ascii="Garamond" w:hAnsi="Garamond"/>
                <w:sz w:val="28"/>
                <w:szCs w:val="28"/>
                <w:lang w:val="en-US"/>
              </w:rPr>
              <w:t xml:space="preserve"> total common stockholders' equity;</w:t>
            </w:r>
          </w:p>
          <w:p w14:paraId="21054188" w14:textId="77777777" w:rsidR="00ED59F7" w:rsidRPr="00ED59F7" w:rsidRDefault="00ED59F7" w:rsidP="00AD70E8">
            <w:pPr>
              <w:spacing w:after="120" w:line="240" w:lineRule="atLeast"/>
              <w:rPr>
                <w:rFonts w:ascii="Garamond" w:hAnsi="Garamond"/>
                <w:sz w:val="28"/>
                <w:szCs w:val="28"/>
                <w:lang w:val="en-US"/>
              </w:rPr>
            </w:pPr>
            <w:r w:rsidRPr="00ED59F7">
              <w:rPr>
                <w:rFonts w:ascii="Garamond" w:hAnsi="Garamond"/>
                <w:b/>
                <w:i/>
                <w:sz w:val="28"/>
                <w:szCs w:val="28"/>
                <w:lang w:val="en-US"/>
              </w:rPr>
              <w:t>Ncs</w:t>
            </w:r>
            <w:r w:rsidRPr="00ED59F7">
              <w:rPr>
                <w:rFonts w:ascii="Garamond" w:hAnsi="Garamond"/>
                <w:sz w:val="28"/>
                <w:szCs w:val="28"/>
                <w:lang w:val="en-US"/>
              </w:rPr>
              <w:t xml:space="preserve"> </w:t>
            </w:r>
            <w:r w:rsidR="009F199C">
              <w:rPr>
                <w:rFonts w:ascii="Garamond" w:hAnsi="Garamond"/>
                <w:sz w:val="28"/>
                <w:szCs w:val="28"/>
                <w:lang w:val="en-US"/>
              </w:rPr>
              <w:t>– number of common shares</w:t>
            </w:r>
          </w:p>
        </w:tc>
      </w:tr>
      <w:tr w:rsidR="00ED59F7" w:rsidRPr="00ED59F7" w14:paraId="5BF26056" w14:textId="77777777" w:rsidTr="00AD70E8">
        <w:trPr>
          <w:trHeight w:val="803"/>
          <w:jc w:val="center"/>
        </w:trPr>
        <w:tc>
          <w:tcPr>
            <w:tcW w:w="5000" w:type="pct"/>
            <w:gridSpan w:val="2"/>
            <w:tcBorders>
              <w:top w:val="single" w:sz="4" w:space="0" w:color="auto"/>
              <w:left w:val="single" w:sz="4" w:space="0" w:color="auto"/>
              <w:bottom w:val="single" w:sz="4" w:space="0" w:color="auto"/>
              <w:right w:val="single" w:sz="4" w:space="0" w:color="auto"/>
            </w:tcBorders>
            <w:hideMark/>
          </w:tcPr>
          <w:p w14:paraId="314FC2D6"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sz w:val="28"/>
                <w:szCs w:val="28"/>
                <w:lang w:val="en-US"/>
              </w:rPr>
              <w:t xml:space="preserve">2. </w:t>
            </w:r>
            <w:r w:rsidRPr="00ED59F7">
              <w:rPr>
                <w:rFonts w:ascii="Garamond" w:hAnsi="Garamond"/>
                <w:b/>
                <w:i/>
                <w:sz w:val="28"/>
                <w:szCs w:val="28"/>
                <w:lang w:val="en-US"/>
              </w:rPr>
              <w:t>Price to book ratio (P/B ratio)</w:t>
            </w:r>
            <w:r w:rsidRPr="00ED59F7">
              <w:rPr>
                <w:rFonts w:ascii="Garamond" w:hAnsi="Garamond"/>
                <w:sz w:val="28"/>
                <w:szCs w:val="28"/>
                <w:lang w:val="en-US"/>
              </w:rPr>
              <w:t xml:space="preserve"> is a financial ratio used to compare a company's book value to its current market price. It is calculated by dividing the current closing price of the stock by the latest</w:t>
            </w:r>
            <w:r w:rsidR="009F199C">
              <w:rPr>
                <w:rFonts w:ascii="Garamond" w:hAnsi="Garamond"/>
                <w:sz w:val="28"/>
                <w:szCs w:val="28"/>
                <w:lang w:val="en-US"/>
              </w:rPr>
              <w:t xml:space="preserve"> quarter's book value per share</w:t>
            </w:r>
          </w:p>
        </w:tc>
      </w:tr>
      <w:tr w:rsidR="00ED59F7" w:rsidRPr="00ED59F7" w14:paraId="01F38A64" w14:textId="77777777" w:rsidTr="00AD70E8">
        <w:trPr>
          <w:trHeight w:val="546"/>
          <w:jc w:val="center"/>
        </w:trPr>
        <w:tc>
          <w:tcPr>
            <w:tcW w:w="2546" w:type="pct"/>
            <w:tcBorders>
              <w:top w:val="single" w:sz="4" w:space="0" w:color="auto"/>
              <w:left w:val="single" w:sz="4" w:space="0" w:color="auto"/>
              <w:bottom w:val="single" w:sz="4" w:space="0" w:color="auto"/>
              <w:right w:val="single" w:sz="4" w:space="0" w:color="auto"/>
            </w:tcBorders>
            <w:vAlign w:val="center"/>
            <w:hideMark/>
          </w:tcPr>
          <w:p w14:paraId="7C669FDA" w14:textId="77777777" w:rsidR="00ED59F7" w:rsidRPr="00ED59F7" w:rsidRDefault="00ED59F7" w:rsidP="00AD70E8">
            <w:pPr>
              <w:spacing w:line="240" w:lineRule="atLeast"/>
              <w:jc w:val="center"/>
              <w:rPr>
                <w:rFonts w:ascii="Garamond" w:hAnsi="Garamond"/>
                <w:sz w:val="28"/>
                <w:szCs w:val="28"/>
                <w:lang w:val="en-US"/>
              </w:rPr>
            </w:pPr>
            <w:r w:rsidRPr="00ED59F7">
              <w:rPr>
                <w:rFonts w:ascii="Garamond" w:hAnsi="Garamond"/>
                <w:sz w:val="28"/>
                <w:szCs w:val="28"/>
                <w:lang w:val="en-US"/>
              </w:rPr>
              <w:t>Price to book ratio (P/B ratio) =</w:t>
            </w:r>
          </w:p>
          <w:p w14:paraId="080F5B85" w14:textId="77777777" w:rsidR="00ED59F7" w:rsidRPr="00ED59F7" w:rsidRDefault="00AF5B66" w:rsidP="009F199C">
            <w:pPr>
              <w:spacing w:line="240" w:lineRule="atLeast"/>
              <w:jc w:val="center"/>
              <w:rPr>
                <w:rFonts w:ascii="Garamond" w:hAnsi="Garamond"/>
                <w:sz w:val="28"/>
                <w:szCs w:val="28"/>
                <w:lang w:val="en-US"/>
              </w:rPr>
            </w:pPr>
            <w:r>
              <w:rPr>
                <w:rFonts w:ascii="Garamond" w:hAnsi="Garamond"/>
                <w:sz w:val="28"/>
                <w:szCs w:val="28"/>
                <w:lang w:val="en-US"/>
              </w:rPr>
              <w:t xml:space="preserve">= </w:t>
            </w:r>
            <w:r w:rsidR="009F199C">
              <w:rPr>
                <w:rFonts w:ascii="Garamond" w:hAnsi="Garamond"/>
                <w:sz w:val="28"/>
                <w:szCs w:val="28"/>
                <w:lang w:val="en-US"/>
              </w:rPr>
              <w:t>MPPS</w:t>
            </w:r>
            <w:r w:rsidR="00ED59F7" w:rsidRPr="00ED59F7">
              <w:rPr>
                <w:rFonts w:ascii="Garamond" w:hAnsi="Garamond"/>
                <w:sz w:val="28"/>
                <w:szCs w:val="28"/>
                <w:lang w:val="en-US"/>
              </w:rPr>
              <w:t>/BVPS</w:t>
            </w:r>
          </w:p>
        </w:tc>
        <w:tc>
          <w:tcPr>
            <w:tcW w:w="2454" w:type="pct"/>
            <w:tcBorders>
              <w:top w:val="single" w:sz="4" w:space="0" w:color="auto"/>
              <w:left w:val="single" w:sz="4" w:space="0" w:color="auto"/>
              <w:bottom w:val="single" w:sz="4" w:space="0" w:color="auto"/>
              <w:right w:val="single" w:sz="4" w:space="0" w:color="auto"/>
            </w:tcBorders>
            <w:hideMark/>
          </w:tcPr>
          <w:p w14:paraId="5036B164"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MPPS</w:t>
            </w:r>
            <w:r w:rsidRPr="00ED59F7">
              <w:rPr>
                <w:rFonts w:ascii="Garamond" w:hAnsi="Garamond"/>
                <w:sz w:val="28"/>
                <w:szCs w:val="28"/>
                <w:lang w:val="en-US"/>
              </w:rPr>
              <w:t xml:space="preserve"> </w:t>
            </w:r>
            <w:r w:rsidR="009F199C">
              <w:rPr>
                <w:rFonts w:ascii="Garamond" w:hAnsi="Garamond"/>
                <w:sz w:val="28"/>
                <w:szCs w:val="28"/>
                <w:lang w:val="en-US"/>
              </w:rPr>
              <w:t>–</w:t>
            </w:r>
            <w:r w:rsidRPr="00ED59F7">
              <w:rPr>
                <w:rFonts w:ascii="Garamond" w:hAnsi="Garamond"/>
                <w:sz w:val="28"/>
                <w:szCs w:val="28"/>
                <w:lang w:val="en-US"/>
              </w:rPr>
              <w:t xml:space="preserve"> market price per share;</w:t>
            </w:r>
          </w:p>
          <w:p w14:paraId="5D402C62" w14:textId="77777777" w:rsidR="00ED59F7" w:rsidRPr="00ED59F7" w:rsidRDefault="00ED59F7" w:rsidP="00AD70E8">
            <w:pPr>
              <w:spacing w:after="120" w:line="240" w:lineRule="atLeast"/>
              <w:rPr>
                <w:rFonts w:ascii="Garamond" w:hAnsi="Garamond"/>
                <w:sz w:val="28"/>
                <w:szCs w:val="28"/>
                <w:lang w:val="en-US"/>
              </w:rPr>
            </w:pPr>
            <w:r w:rsidRPr="00ED59F7">
              <w:rPr>
                <w:rFonts w:ascii="Garamond" w:hAnsi="Garamond"/>
                <w:b/>
                <w:i/>
                <w:sz w:val="28"/>
                <w:szCs w:val="28"/>
                <w:lang w:val="en-US"/>
              </w:rPr>
              <w:t>BVPS</w:t>
            </w:r>
            <w:r w:rsidRPr="00ED59F7">
              <w:rPr>
                <w:rFonts w:ascii="Garamond" w:hAnsi="Garamond"/>
                <w:sz w:val="28"/>
                <w:szCs w:val="28"/>
                <w:lang w:val="en-US"/>
              </w:rPr>
              <w:t xml:space="preserve"> </w:t>
            </w:r>
            <w:r w:rsidR="009F199C">
              <w:rPr>
                <w:rFonts w:ascii="Garamond" w:hAnsi="Garamond"/>
                <w:sz w:val="28"/>
                <w:szCs w:val="28"/>
                <w:lang w:val="en-US"/>
              </w:rPr>
              <w:t>– book value per share</w:t>
            </w:r>
          </w:p>
        </w:tc>
      </w:tr>
      <w:tr w:rsidR="00ED59F7" w:rsidRPr="00ED59F7" w14:paraId="5A030C62" w14:textId="77777777" w:rsidTr="00AD70E8">
        <w:trPr>
          <w:trHeight w:val="1091"/>
          <w:jc w:val="center"/>
        </w:trPr>
        <w:tc>
          <w:tcPr>
            <w:tcW w:w="5000" w:type="pct"/>
            <w:gridSpan w:val="2"/>
            <w:tcBorders>
              <w:top w:val="single" w:sz="4" w:space="0" w:color="auto"/>
              <w:left w:val="single" w:sz="4" w:space="0" w:color="auto"/>
              <w:bottom w:val="single" w:sz="4" w:space="0" w:color="auto"/>
              <w:right w:val="single" w:sz="4" w:space="0" w:color="auto"/>
            </w:tcBorders>
            <w:hideMark/>
          </w:tcPr>
          <w:p w14:paraId="7710C92F"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sz w:val="28"/>
                <w:szCs w:val="28"/>
                <w:lang w:val="en-US"/>
              </w:rPr>
              <w:t xml:space="preserve">3. </w:t>
            </w:r>
            <w:r w:rsidRPr="00ED59F7">
              <w:rPr>
                <w:rFonts w:ascii="Garamond" w:hAnsi="Garamond"/>
                <w:b/>
                <w:i/>
                <w:sz w:val="28"/>
                <w:szCs w:val="28"/>
                <w:lang w:val="en-US"/>
              </w:rPr>
              <w:t>Dividend per share (DPS)</w:t>
            </w:r>
            <w:r w:rsidRPr="00ED59F7">
              <w:rPr>
                <w:rFonts w:ascii="Garamond" w:hAnsi="Garamond"/>
                <w:sz w:val="28"/>
                <w:szCs w:val="28"/>
                <w:lang w:val="en-US"/>
              </w:rPr>
              <w:t xml:space="preserve"> is the sum of declared dividends for every ordinary share issued. Dividend per share (DPS) is the total dividends paid out over an entire year (including interim dividends but not including special dividends) divided by the number of outs</w:t>
            </w:r>
            <w:r w:rsidR="009F199C">
              <w:rPr>
                <w:rFonts w:ascii="Garamond" w:hAnsi="Garamond"/>
                <w:sz w:val="28"/>
                <w:szCs w:val="28"/>
                <w:lang w:val="en-US"/>
              </w:rPr>
              <w:t>tanding ordinary shares issued</w:t>
            </w:r>
          </w:p>
        </w:tc>
      </w:tr>
      <w:tr w:rsidR="00ED59F7" w:rsidRPr="00ED59F7" w14:paraId="4784D9E2" w14:textId="77777777" w:rsidTr="00AD70E8">
        <w:trPr>
          <w:trHeight w:val="1124"/>
          <w:jc w:val="center"/>
        </w:trPr>
        <w:tc>
          <w:tcPr>
            <w:tcW w:w="2546" w:type="pct"/>
            <w:tcBorders>
              <w:top w:val="single" w:sz="4" w:space="0" w:color="auto"/>
              <w:left w:val="single" w:sz="4" w:space="0" w:color="auto"/>
              <w:bottom w:val="single" w:sz="4" w:space="0" w:color="auto"/>
              <w:right w:val="single" w:sz="4" w:space="0" w:color="auto"/>
            </w:tcBorders>
            <w:vAlign w:val="center"/>
            <w:hideMark/>
          </w:tcPr>
          <w:p w14:paraId="41FEE331" w14:textId="77777777" w:rsidR="00ED59F7" w:rsidRPr="00ED59F7" w:rsidRDefault="00ED59F7" w:rsidP="00AD70E8">
            <w:pPr>
              <w:spacing w:line="240" w:lineRule="atLeast"/>
              <w:jc w:val="center"/>
              <w:rPr>
                <w:rFonts w:ascii="Garamond" w:hAnsi="Garamond"/>
                <w:sz w:val="28"/>
                <w:szCs w:val="28"/>
                <w:lang w:val="en-US"/>
              </w:rPr>
            </w:pPr>
            <w:r w:rsidRPr="00ED59F7">
              <w:rPr>
                <w:rFonts w:ascii="Garamond" w:hAnsi="Garamond"/>
                <w:sz w:val="28"/>
                <w:szCs w:val="28"/>
                <w:lang w:val="en-US"/>
              </w:rPr>
              <w:t xml:space="preserve">Dividend per share (DPS) = </w:t>
            </w:r>
            <m:oMath>
              <m:f>
                <m:fPr>
                  <m:ctrlPr>
                    <w:rPr>
                      <w:rFonts w:ascii="Cambria Math" w:hAnsi="Cambria Math"/>
                      <w:i/>
                      <w:sz w:val="28"/>
                      <w:szCs w:val="28"/>
                      <w:lang w:val="en-US"/>
                    </w:rPr>
                  </m:ctrlPr>
                </m:fPr>
                <m:num>
                  <m:r>
                    <w:rPr>
                      <w:rFonts w:ascii="Cambria Math" w:hAnsi="Cambria Math"/>
                      <w:sz w:val="28"/>
                      <w:szCs w:val="28"/>
                      <w:lang w:val="en-US"/>
                    </w:rPr>
                    <m:t>D - Ds</m:t>
                  </m:r>
                </m:num>
                <m:den>
                  <m:r>
                    <w:rPr>
                      <w:rFonts w:ascii="Cambria Math" w:hAnsi="Cambria Math"/>
                      <w:sz w:val="28"/>
                      <w:szCs w:val="28"/>
                      <w:lang w:val="en-US"/>
                    </w:rPr>
                    <m:t>Ns</m:t>
                  </m:r>
                </m:den>
              </m:f>
            </m:oMath>
          </w:p>
        </w:tc>
        <w:tc>
          <w:tcPr>
            <w:tcW w:w="2454" w:type="pct"/>
            <w:tcBorders>
              <w:top w:val="single" w:sz="4" w:space="0" w:color="auto"/>
              <w:left w:val="single" w:sz="4" w:space="0" w:color="auto"/>
              <w:bottom w:val="single" w:sz="4" w:space="0" w:color="auto"/>
              <w:right w:val="single" w:sz="4" w:space="0" w:color="auto"/>
            </w:tcBorders>
            <w:hideMark/>
          </w:tcPr>
          <w:p w14:paraId="6A5EB59A"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D</w:t>
            </w:r>
            <w:r w:rsidRPr="00ED59F7">
              <w:rPr>
                <w:rFonts w:ascii="Garamond" w:hAnsi="Garamond"/>
                <w:sz w:val="28"/>
                <w:szCs w:val="28"/>
                <w:lang w:val="en-US"/>
              </w:rPr>
              <w:t xml:space="preserve"> </w:t>
            </w:r>
            <w:r w:rsidR="009F199C">
              <w:rPr>
                <w:rFonts w:ascii="Garamond" w:hAnsi="Garamond"/>
                <w:sz w:val="28"/>
                <w:szCs w:val="28"/>
                <w:lang w:val="en-US"/>
              </w:rPr>
              <w:t>–</w:t>
            </w:r>
            <w:r w:rsidRPr="00ED59F7">
              <w:rPr>
                <w:rFonts w:ascii="Garamond" w:hAnsi="Garamond"/>
                <w:sz w:val="28"/>
                <w:szCs w:val="28"/>
                <w:lang w:val="en-US"/>
              </w:rPr>
              <w:t xml:space="preserve"> sum of dividends over a period (usually 1 year);</w:t>
            </w:r>
          </w:p>
          <w:p w14:paraId="4E69B6E0"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 xml:space="preserve">Ds </w:t>
            </w:r>
            <w:r w:rsidR="009F199C">
              <w:rPr>
                <w:rFonts w:ascii="Garamond" w:hAnsi="Garamond"/>
                <w:sz w:val="28"/>
                <w:szCs w:val="28"/>
                <w:lang w:val="en-US"/>
              </w:rPr>
              <w:t>–</w:t>
            </w:r>
            <w:r w:rsidRPr="00ED59F7">
              <w:rPr>
                <w:rFonts w:ascii="Garamond" w:hAnsi="Garamond"/>
                <w:sz w:val="28"/>
                <w:szCs w:val="28"/>
                <w:lang w:val="en-US"/>
              </w:rPr>
              <w:t xml:space="preserve"> special, one time dividends;</w:t>
            </w:r>
          </w:p>
          <w:p w14:paraId="489998B9" w14:textId="77777777" w:rsidR="00ED59F7" w:rsidRPr="00ED59F7" w:rsidRDefault="00ED59F7" w:rsidP="00AD70E8">
            <w:pPr>
              <w:spacing w:after="120" w:line="240" w:lineRule="atLeast"/>
              <w:rPr>
                <w:rFonts w:ascii="Garamond" w:hAnsi="Garamond"/>
                <w:sz w:val="28"/>
                <w:szCs w:val="28"/>
                <w:lang w:val="en-US"/>
              </w:rPr>
            </w:pPr>
            <w:r w:rsidRPr="00ED59F7">
              <w:rPr>
                <w:rFonts w:ascii="Garamond" w:hAnsi="Garamond"/>
                <w:b/>
                <w:i/>
                <w:sz w:val="28"/>
                <w:szCs w:val="28"/>
                <w:lang w:val="en-US"/>
              </w:rPr>
              <w:t xml:space="preserve">Ns </w:t>
            </w:r>
            <w:r w:rsidR="009F199C">
              <w:rPr>
                <w:rFonts w:ascii="Garamond" w:hAnsi="Garamond"/>
                <w:sz w:val="28"/>
                <w:szCs w:val="28"/>
                <w:lang w:val="en-US"/>
              </w:rPr>
              <w:t>–</w:t>
            </w:r>
            <w:r w:rsidRPr="00ED59F7">
              <w:rPr>
                <w:rFonts w:ascii="Garamond" w:hAnsi="Garamond"/>
                <w:sz w:val="28"/>
                <w:szCs w:val="28"/>
                <w:lang w:val="en-US"/>
              </w:rPr>
              <w:t xml:space="preserve"> number of outstanding shares for the pe</w:t>
            </w:r>
            <w:r w:rsidR="009F199C">
              <w:rPr>
                <w:rFonts w:ascii="Garamond" w:hAnsi="Garamond"/>
                <w:sz w:val="28"/>
                <w:szCs w:val="28"/>
                <w:lang w:val="en-US"/>
              </w:rPr>
              <w:t>riod</w:t>
            </w:r>
          </w:p>
        </w:tc>
      </w:tr>
      <w:tr w:rsidR="00ED59F7" w:rsidRPr="00ED59F7" w14:paraId="0B69BBA7" w14:textId="77777777" w:rsidTr="00AD70E8">
        <w:trPr>
          <w:trHeight w:val="273"/>
          <w:jc w:val="center"/>
        </w:trPr>
        <w:tc>
          <w:tcPr>
            <w:tcW w:w="5000" w:type="pct"/>
            <w:gridSpan w:val="2"/>
            <w:tcBorders>
              <w:top w:val="single" w:sz="4" w:space="0" w:color="auto"/>
              <w:left w:val="single" w:sz="4" w:space="0" w:color="auto"/>
              <w:bottom w:val="single" w:sz="4" w:space="0" w:color="auto"/>
              <w:right w:val="single" w:sz="4" w:space="0" w:color="auto"/>
            </w:tcBorders>
            <w:hideMark/>
          </w:tcPr>
          <w:p w14:paraId="4EA7836D"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sz w:val="28"/>
                <w:szCs w:val="28"/>
                <w:lang w:val="en-US"/>
              </w:rPr>
              <w:t xml:space="preserve">4. </w:t>
            </w:r>
            <w:r w:rsidRPr="00ED59F7">
              <w:rPr>
                <w:rFonts w:ascii="Garamond" w:hAnsi="Garamond"/>
                <w:b/>
                <w:i/>
                <w:sz w:val="28"/>
                <w:szCs w:val="28"/>
                <w:lang w:val="en-US"/>
              </w:rPr>
              <w:t>Dividend per share for preferred stock (DPSPS)</w:t>
            </w:r>
          </w:p>
        </w:tc>
      </w:tr>
      <w:tr w:rsidR="00ED59F7" w:rsidRPr="00ED59F7" w14:paraId="20E3B20F" w14:textId="77777777" w:rsidTr="00AD70E8">
        <w:trPr>
          <w:trHeight w:val="1188"/>
          <w:jc w:val="center"/>
        </w:trPr>
        <w:tc>
          <w:tcPr>
            <w:tcW w:w="2546" w:type="pct"/>
            <w:tcBorders>
              <w:top w:val="single" w:sz="4" w:space="0" w:color="auto"/>
              <w:left w:val="single" w:sz="4" w:space="0" w:color="auto"/>
              <w:bottom w:val="single" w:sz="4" w:space="0" w:color="auto"/>
              <w:right w:val="single" w:sz="4" w:space="0" w:color="auto"/>
            </w:tcBorders>
            <w:vAlign w:val="center"/>
            <w:hideMark/>
          </w:tcPr>
          <w:p w14:paraId="72509AFB" w14:textId="77777777" w:rsidR="00ED59F7" w:rsidRPr="00ED59F7" w:rsidRDefault="00ED59F7" w:rsidP="00AF5B66">
            <w:pPr>
              <w:spacing w:line="240" w:lineRule="atLeast"/>
              <w:jc w:val="center"/>
              <w:rPr>
                <w:rFonts w:ascii="Garamond" w:hAnsi="Garamond"/>
                <w:sz w:val="28"/>
                <w:szCs w:val="28"/>
                <w:lang w:val="en-US"/>
              </w:rPr>
            </w:pPr>
            <w:r w:rsidRPr="00ED59F7">
              <w:rPr>
                <w:rFonts w:ascii="Garamond" w:hAnsi="Garamond"/>
                <w:sz w:val="28"/>
                <w:szCs w:val="28"/>
                <w:lang w:val="en-US"/>
              </w:rPr>
              <w:t xml:space="preserve">Dividend per share for preferred stock = </w:t>
            </w:r>
            <w:r w:rsidR="00AF5B66">
              <w:rPr>
                <w:rFonts w:ascii="Garamond" w:hAnsi="Garamond"/>
                <w:sz w:val="28"/>
                <w:szCs w:val="28"/>
                <w:lang w:val="en-US"/>
              </w:rPr>
              <w:t xml:space="preserve">= </w:t>
            </w:r>
            <m:oMath>
              <m:f>
                <m:fPr>
                  <m:ctrlPr>
                    <w:rPr>
                      <w:rFonts w:ascii="Cambria Math" w:hAnsi="Cambria Math"/>
                      <w:i/>
                      <w:sz w:val="28"/>
                      <w:szCs w:val="28"/>
                      <w:lang w:val="en-US"/>
                    </w:rPr>
                  </m:ctrlPr>
                </m:fPr>
                <m:num>
                  <m:r>
                    <w:rPr>
                      <w:rFonts w:ascii="Cambria Math" w:hAnsi="Cambria Math"/>
                      <w:sz w:val="28"/>
                      <w:szCs w:val="28"/>
                      <w:lang w:val="en-US"/>
                    </w:rPr>
                    <m:t xml:space="preserve">DRps ∙ PVPS </m:t>
                  </m:r>
                </m:num>
                <m:den>
                  <m:r>
                    <w:rPr>
                      <w:rFonts w:ascii="Cambria Math" w:hAnsi="Cambria Math"/>
                      <w:sz w:val="28"/>
                      <w:szCs w:val="28"/>
                      <w:lang w:val="en-US"/>
                    </w:rPr>
                    <m:t>Nps</m:t>
                  </m:r>
                </m:den>
              </m:f>
            </m:oMath>
          </w:p>
        </w:tc>
        <w:tc>
          <w:tcPr>
            <w:tcW w:w="2454" w:type="pct"/>
            <w:tcBorders>
              <w:top w:val="single" w:sz="4" w:space="0" w:color="auto"/>
              <w:left w:val="single" w:sz="4" w:space="0" w:color="auto"/>
              <w:bottom w:val="single" w:sz="4" w:space="0" w:color="auto"/>
              <w:right w:val="single" w:sz="4" w:space="0" w:color="auto"/>
            </w:tcBorders>
            <w:hideMark/>
          </w:tcPr>
          <w:p w14:paraId="19567A8F"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 xml:space="preserve">DRps </w:t>
            </w:r>
            <w:r w:rsidR="009F199C">
              <w:rPr>
                <w:rFonts w:ascii="Garamond" w:hAnsi="Garamond"/>
                <w:sz w:val="28"/>
                <w:szCs w:val="28"/>
                <w:lang w:val="en-US"/>
              </w:rPr>
              <w:t>–</w:t>
            </w:r>
            <w:r w:rsidRPr="00ED59F7">
              <w:rPr>
                <w:rFonts w:ascii="Garamond" w:hAnsi="Garamond"/>
                <w:sz w:val="28"/>
                <w:szCs w:val="28"/>
                <w:lang w:val="en-US"/>
              </w:rPr>
              <w:t xml:space="preserve"> dividend rate for a specific company's preferred stock;</w:t>
            </w:r>
          </w:p>
          <w:p w14:paraId="25A87EAB"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PVPS</w:t>
            </w:r>
            <w:r w:rsidRPr="00ED59F7">
              <w:rPr>
                <w:rFonts w:ascii="Garamond" w:hAnsi="Garamond"/>
                <w:sz w:val="28"/>
                <w:szCs w:val="28"/>
                <w:lang w:val="en-US"/>
              </w:rPr>
              <w:t xml:space="preserve"> </w:t>
            </w:r>
            <w:r w:rsidR="009F199C">
              <w:rPr>
                <w:rFonts w:ascii="Garamond" w:hAnsi="Garamond"/>
                <w:sz w:val="28"/>
                <w:szCs w:val="28"/>
                <w:lang w:val="en-US"/>
              </w:rPr>
              <w:t>–</w:t>
            </w:r>
            <w:r w:rsidRPr="00ED59F7">
              <w:rPr>
                <w:rFonts w:ascii="Garamond" w:hAnsi="Garamond"/>
                <w:sz w:val="28"/>
                <w:szCs w:val="28"/>
                <w:lang w:val="en-US"/>
              </w:rPr>
              <w:t xml:space="preserve"> par value of the company's preferred stock;</w:t>
            </w:r>
          </w:p>
          <w:p w14:paraId="4C101ADF" w14:textId="77777777" w:rsidR="00ED59F7" w:rsidRPr="00ED59F7" w:rsidRDefault="00ED59F7" w:rsidP="00AD70E8">
            <w:pPr>
              <w:spacing w:after="120" w:line="240" w:lineRule="atLeast"/>
              <w:rPr>
                <w:rFonts w:ascii="Garamond" w:hAnsi="Garamond"/>
                <w:sz w:val="28"/>
                <w:szCs w:val="28"/>
                <w:lang w:val="en-US"/>
              </w:rPr>
            </w:pPr>
            <w:r w:rsidRPr="00ED59F7">
              <w:rPr>
                <w:rFonts w:ascii="Garamond" w:hAnsi="Garamond"/>
                <w:b/>
                <w:i/>
                <w:sz w:val="28"/>
                <w:szCs w:val="28"/>
                <w:lang w:val="en-US"/>
              </w:rPr>
              <w:t>Nps</w:t>
            </w:r>
            <w:r w:rsidRPr="00ED59F7">
              <w:rPr>
                <w:rFonts w:ascii="Garamond" w:hAnsi="Garamond"/>
                <w:sz w:val="28"/>
                <w:szCs w:val="28"/>
                <w:lang w:val="en-US"/>
              </w:rPr>
              <w:t xml:space="preserve"> </w:t>
            </w:r>
            <w:r w:rsidR="009F199C">
              <w:rPr>
                <w:rFonts w:ascii="Garamond" w:hAnsi="Garamond"/>
                <w:sz w:val="28"/>
                <w:szCs w:val="28"/>
                <w:lang w:val="en-US"/>
              </w:rPr>
              <w:t>–</w:t>
            </w:r>
            <w:r w:rsidRPr="00ED59F7">
              <w:rPr>
                <w:rFonts w:ascii="Garamond" w:hAnsi="Garamond"/>
                <w:sz w:val="28"/>
                <w:szCs w:val="28"/>
                <w:lang w:val="en-US"/>
              </w:rPr>
              <w:t xml:space="preserve"> number o</w:t>
            </w:r>
            <w:r w:rsidR="000000BB">
              <w:rPr>
                <w:rFonts w:ascii="Garamond" w:hAnsi="Garamond"/>
                <w:sz w:val="28"/>
                <w:szCs w:val="28"/>
                <w:lang w:val="en-US"/>
              </w:rPr>
              <w:t>f preferred stock</w:t>
            </w:r>
          </w:p>
        </w:tc>
      </w:tr>
      <w:tr w:rsidR="00ED59F7" w:rsidRPr="00ED59F7" w14:paraId="63A99709" w14:textId="77777777" w:rsidTr="00AD70E8">
        <w:trPr>
          <w:trHeight w:val="256"/>
          <w:jc w:val="center"/>
        </w:trPr>
        <w:tc>
          <w:tcPr>
            <w:tcW w:w="5000" w:type="pct"/>
            <w:gridSpan w:val="2"/>
            <w:tcBorders>
              <w:top w:val="single" w:sz="4" w:space="0" w:color="auto"/>
              <w:left w:val="single" w:sz="4" w:space="0" w:color="auto"/>
              <w:bottom w:val="single" w:sz="4" w:space="0" w:color="auto"/>
              <w:right w:val="single" w:sz="4" w:space="0" w:color="auto"/>
            </w:tcBorders>
            <w:hideMark/>
          </w:tcPr>
          <w:p w14:paraId="5A32A325"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sz w:val="28"/>
                <w:szCs w:val="28"/>
                <w:lang w:val="en-US"/>
              </w:rPr>
              <w:t xml:space="preserve">5. </w:t>
            </w:r>
            <w:r w:rsidRPr="00ED59F7">
              <w:rPr>
                <w:rFonts w:ascii="Garamond" w:hAnsi="Garamond"/>
                <w:b/>
                <w:i/>
                <w:sz w:val="28"/>
                <w:szCs w:val="28"/>
                <w:lang w:val="en-US"/>
              </w:rPr>
              <w:t>Dividend yield</w:t>
            </w:r>
            <w:r w:rsidRPr="00ED59F7">
              <w:rPr>
                <w:rFonts w:ascii="Garamond" w:hAnsi="Garamond"/>
                <w:sz w:val="28"/>
                <w:szCs w:val="28"/>
                <w:lang w:val="en-US"/>
              </w:rPr>
              <w:t xml:space="preserve"> is a stock's dividend as </w:t>
            </w:r>
            <w:r w:rsidR="000000BB">
              <w:rPr>
                <w:rFonts w:ascii="Garamond" w:hAnsi="Garamond"/>
                <w:sz w:val="28"/>
                <w:szCs w:val="28"/>
                <w:lang w:val="en-US"/>
              </w:rPr>
              <w:t>a percentage of the stock price</w:t>
            </w:r>
          </w:p>
        </w:tc>
      </w:tr>
      <w:tr w:rsidR="00ED59F7" w:rsidRPr="00ED59F7" w14:paraId="58B5D985" w14:textId="77777777" w:rsidTr="00AD70E8">
        <w:trPr>
          <w:trHeight w:val="449"/>
          <w:jc w:val="center"/>
        </w:trPr>
        <w:tc>
          <w:tcPr>
            <w:tcW w:w="2546" w:type="pct"/>
            <w:tcBorders>
              <w:top w:val="single" w:sz="4" w:space="0" w:color="auto"/>
              <w:left w:val="single" w:sz="4" w:space="0" w:color="auto"/>
              <w:bottom w:val="single" w:sz="4" w:space="0" w:color="auto"/>
              <w:right w:val="single" w:sz="4" w:space="0" w:color="auto"/>
            </w:tcBorders>
            <w:vAlign w:val="center"/>
            <w:hideMark/>
          </w:tcPr>
          <w:p w14:paraId="7C1410E1" w14:textId="77777777" w:rsidR="00ED59F7" w:rsidRPr="00ED59F7" w:rsidRDefault="00ED59F7" w:rsidP="000000BB">
            <w:pPr>
              <w:spacing w:line="240" w:lineRule="atLeast"/>
              <w:jc w:val="center"/>
              <w:rPr>
                <w:rFonts w:ascii="Garamond" w:hAnsi="Garamond"/>
                <w:sz w:val="28"/>
                <w:szCs w:val="28"/>
                <w:lang w:val="en-US"/>
              </w:rPr>
            </w:pPr>
            <w:r w:rsidRPr="00ED59F7">
              <w:rPr>
                <w:rFonts w:ascii="Garamond" w:hAnsi="Garamond"/>
                <w:sz w:val="28"/>
                <w:szCs w:val="28"/>
                <w:lang w:val="en-US"/>
              </w:rPr>
              <w:t>Dividend yield = DPS/Ps</w:t>
            </w:r>
          </w:p>
        </w:tc>
        <w:tc>
          <w:tcPr>
            <w:tcW w:w="2454" w:type="pct"/>
            <w:tcBorders>
              <w:top w:val="single" w:sz="4" w:space="0" w:color="auto"/>
              <w:left w:val="single" w:sz="4" w:space="0" w:color="auto"/>
              <w:bottom w:val="single" w:sz="4" w:space="0" w:color="auto"/>
              <w:right w:val="single" w:sz="4" w:space="0" w:color="auto"/>
            </w:tcBorders>
            <w:hideMark/>
          </w:tcPr>
          <w:p w14:paraId="28D8750F"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DPS</w:t>
            </w:r>
            <w:r w:rsidRPr="00ED59F7">
              <w:rPr>
                <w:rFonts w:ascii="Garamond" w:hAnsi="Garamond"/>
                <w:sz w:val="28"/>
                <w:szCs w:val="28"/>
                <w:lang w:val="en-US"/>
              </w:rPr>
              <w:t xml:space="preserve"> </w:t>
            </w:r>
            <w:r w:rsidR="009F199C">
              <w:rPr>
                <w:rFonts w:ascii="Garamond" w:hAnsi="Garamond"/>
                <w:sz w:val="28"/>
                <w:szCs w:val="28"/>
                <w:lang w:val="en-US"/>
              </w:rPr>
              <w:t>–</w:t>
            </w:r>
            <w:r w:rsidRPr="00ED59F7">
              <w:rPr>
                <w:rFonts w:ascii="Garamond" w:hAnsi="Garamond"/>
                <w:sz w:val="28"/>
                <w:szCs w:val="28"/>
                <w:lang w:val="en-US"/>
              </w:rPr>
              <w:t xml:space="preserve"> dividend per share;</w:t>
            </w:r>
          </w:p>
          <w:p w14:paraId="130F9AE4" w14:textId="77777777" w:rsidR="00ED59F7" w:rsidRPr="00ED59F7" w:rsidRDefault="00ED59F7" w:rsidP="00AD70E8">
            <w:pPr>
              <w:spacing w:after="120" w:line="240" w:lineRule="atLeast"/>
              <w:rPr>
                <w:rFonts w:ascii="Garamond" w:hAnsi="Garamond"/>
                <w:sz w:val="28"/>
                <w:szCs w:val="28"/>
                <w:lang w:val="en-US"/>
              </w:rPr>
            </w:pPr>
            <w:r w:rsidRPr="00ED59F7">
              <w:rPr>
                <w:rFonts w:ascii="Garamond" w:hAnsi="Garamond"/>
                <w:b/>
                <w:i/>
                <w:sz w:val="28"/>
                <w:szCs w:val="28"/>
                <w:lang w:val="en-US"/>
              </w:rPr>
              <w:t>Ps</w:t>
            </w:r>
            <w:r w:rsidRPr="00ED59F7">
              <w:rPr>
                <w:rFonts w:ascii="Garamond" w:hAnsi="Garamond"/>
                <w:sz w:val="28"/>
                <w:szCs w:val="28"/>
                <w:lang w:val="en-US"/>
              </w:rPr>
              <w:t xml:space="preserve"> </w:t>
            </w:r>
            <w:r w:rsidR="009F199C">
              <w:rPr>
                <w:rFonts w:ascii="Garamond" w:hAnsi="Garamond"/>
                <w:sz w:val="28"/>
                <w:szCs w:val="28"/>
                <w:lang w:val="en-US"/>
              </w:rPr>
              <w:t>–</w:t>
            </w:r>
            <w:r w:rsidR="000000BB">
              <w:rPr>
                <w:rFonts w:ascii="Garamond" w:hAnsi="Garamond"/>
                <w:sz w:val="28"/>
                <w:szCs w:val="28"/>
                <w:lang w:val="en-US"/>
              </w:rPr>
              <w:t xml:space="preserve"> price per share</w:t>
            </w:r>
          </w:p>
        </w:tc>
      </w:tr>
      <w:tr w:rsidR="00ED59F7" w:rsidRPr="00ED59F7" w14:paraId="236590AB" w14:textId="77777777" w:rsidTr="00AD70E8">
        <w:trPr>
          <w:trHeight w:val="273"/>
          <w:jc w:val="center"/>
        </w:trPr>
        <w:tc>
          <w:tcPr>
            <w:tcW w:w="5000" w:type="pct"/>
            <w:gridSpan w:val="2"/>
            <w:tcBorders>
              <w:top w:val="single" w:sz="4" w:space="0" w:color="auto"/>
              <w:left w:val="single" w:sz="4" w:space="0" w:color="auto"/>
              <w:bottom w:val="single" w:sz="4" w:space="0" w:color="auto"/>
              <w:right w:val="single" w:sz="4" w:space="0" w:color="auto"/>
            </w:tcBorders>
            <w:hideMark/>
          </w:tcPr>
          <w:p w14:paraId="5366A21A"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sz w:val="28"/>
                <w:szCs w:val="28"/>
                <w:lang w:val="en-US"/>
              </w:rPr>
              <w:t xml:space="preserve">6. </w:t>
            </w:r>
            <w:r w:rsidRPr="00ED59F7">
              <w:rPr>
                <w:rFonts w:ascii="Garamond" w:hAnsi="Garamond"/>
                <w:b/>
                <w:i/>
                <w:sz w:val="28"/>
                <w:szCs w:val="28"/>
                <w:lang w:val="en-US"/>
              </w:rPr>
              <w:t xml:space="preserve">Coupon rate </w:t>
            </w:r>
            <w:r w:rsidRPr="00ED59F7">
              <w:rPr>
                <w:rFonts w:ascii="Garamond" w:hAnsi="Garamond"/>
                <w:sz w:val="28"/>
                <w:szCs w:val="28"/>
                <w:lang w:val="en-US"/>
              </w:rPr>
              <w:t>is simply the coupon payment as</w:t>
            </w:r>
            <w:r w:rsidR="000000BB">
              <w:rPr>
                <w:rFonts w:ascii="Garamond" w:hAnsi="Garamond"/>
                <w:sz w:val="28"/>
                <w:szCs w:val="28"/>
                <w:lang w:val="en-US"/>
              </w:rPr>
              <w:t xml:space="preserve"> a percentage of the face value</w:t>
            </w:r>
          </w:p>
        </w:tc>
      </w:tr>
      <w:tr w:rsidR="00ED59F7" w:rsidRPr="00ED59F7" w14:paraId="125212DD" w14:textId="77777777" w:rsidTr="00AD70E8">
        <w:trPr>
          <w:trHeight w:val="273"/>
          <w:jc w:val="center"/>
        </w:trPr>
        <w:tc>
          <w:tcPr>
            <w:tcW w:w="2546" w:type="pct"/>
            <w:tcBorders>
              <w:top w:val="single" w:sz="4" w:space="0" w:color="auto"/>
              <w:left w:val="single" w:sz="4" w:space="0" w:color="auto"/>
              <w:bottom w:val="single" w:sz="4" w:space="0" w:color="auto"/>
              <w:right w:val="single" w:sz="4" w:space="0" w:color="auto"/>
            </w:tcBorders>
            <w:vAlign w:val="center"/>
          </w:tcPr>
          <w:p w14:paraId="0A6BC611" w14:textId="77777777" w:rsidR="00ED59F7" w:rsidRPr="00ED59F7" w:rsidRDefault="00ED59F7" w:rsidP="00AD70E8">
            <w:pPr>
              <w:spacing w:line="240" w:lineRule="atLeast"/>
              <w:jc w:val="center"/>
              <w:rPr>
                <w:rFonts w:ascii="Garamond" w:hAnsi="Garamond"/>
                <w:sz w:val="28"/>
                <w:szCs w:val="28"/>
                <w:lang w:val="en-US"/>
              </w:rPr>
            </w:pPr>
            <w:r w:rsidRPr="00ED59F7">
              <w:rPr>
                <w:rFonts w:ascii="Garamond" w:hAnsi="Garamond"/>
                <w:sz w:val="28"/>
                <w:szCs w:val="28"/>
                <w:lang w:val="en-US"/>
              </w:rPr>
              <w:t>Coup</w:t>
            </w:r>
            <w:r w:rsidR="000000BB">
              <w:rPr>
                <w:rFonts w:ascii="Garamond" w:hAnsi="Garamond"/>
                <w:sz w:val="28"/>
                <w:szCs w:val="28"/>
                <w:lang w:val="en-US"/>
              </w:rPr>
              <w:t>on rate = C/</w:t>
            </w:r>
            <w:r w:rsidRPr="00ED59F7">
              <w:rPr>
                <w:rFonts w:ascii="Garamond" w:hAnsi="Garamond"/>
                <w:sz w:val="28"/>
                <w:szCs w:val="28"/>
                <w:lang w:val="en-US"/>
              </w:rPr>
              <w:t>FV</w:t>
            </w:r>
          </w:p>
        </w:tc>
        <w:tc>
          <w:tcPr>
            <w:tcW w:w="2454" w:type="pct"/>
            <w:tcBorders>
              <w:top w:val="single" w:sz="4" w:space="0" w:color="auto"/>
              <w:left w:val="single" w:sz="4" w:space="0" w:color="auto"/>
              <w:bottom w:val="single" w:sz="4" w:space="0" w:color="auto"/>
              <w:right w:val="single" w:sz="4" w:space="0" w:color="auto"/>
            </w:tcBorders>
          </w:tcPr>
          <w:p w14:paraId="639A3AC3"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C</w:t>
            </w:r>
            <w:r w:rsidRPr="00ED59F7">
              <w:rPr>
                <w:rFonts w:ascii="Garamond" w:hAnsi="Garamond"/>
                <w:sz w:val="28"/>
                <w:szCs w:val="28"/>
                <w:lang w:val="en-US"/>
              </w:rPr>
              <w:t xml:space="preserve"> – coupon payment;</w:t>
            </w:r>
          </w:p>
          <w:p w14:paraId="2ECD3AB6" w14:textId="77777777" w:rsidR="00ED59F7" w:rsidRPr="00ED59F7" w:rsidRDefault="00ED59F7" w:rsidP="00AD70E8">
            <w:pPr>
              <w:spacing w:after="120" w:line="240" w:lineRule="atLeast"/>
              <w:rPr>
                <w:rFonts w:ascii="Garamond" w:hAnsi="Garamond"/>
                <w:sz w:val="28"/>
                <w:szCs w:val="28"/>
                <w:lang w:val="en-US"/>
              </w:rPr>
            </w:pPr>
            <w:r w:rsidRPr="00ED59F7">
              <w:rPr>
                <w:rFonts w:ascii="Garamond" w:hAnsi="Garamond"/>
                <w:b/>
                <w:i/>
                <w:sz w:val="28"/>
                <w:szCs w:val="28"/>
                <w:lang w:val="en-US"/>
              </w:rPr>
              <w:t xml:space="preserve">FV </w:t>
            </w:r>
            <w:r w:rsidRPr="00ED59F7">
              <w:rPr>
                <w:rFonts w:ascii="Garamond" w:hAnsi="Garamond"/>
                <w:sz w:val="28"/>
                <w:szCs w:val="28"/>
                <w:lang w:val="en-US"/>
              </w:rPr>
              <w:t>– face (book) value per bond</w:t>
            </w:r>
          </w:p>
        </w:tc>
      </w:tr>
    </w:tbl>
    <w:p w14:paraId="71AA6B58" w14:textId="77777777" w:rsidR="000000BB" w:rsidRDefault="000000BB">
      <w:pPr>
        <w:rPr>
          <w:lang w:val="en-US"/>
        </w:rPr>
      </w:pPr>
    </w:p>
    <w:p w14:paraId="31E4FE9D" w14:textId="77777777" w:rsidR="00A67A26" w:rsidRDefault="00A67A26">
      <w:pPr>
        <w:rPr>
          <w:lang w:val="en-US"/>
        </w:rPr>
      </w:pPr>
    </w:p>
    <w:p w14:paraId="3908993D" w14:textId="77777777" w:rsidR="000000BB" w:rsidRPr="000000BB" w:rsidRDefault="000000BB">
      <w:pPr>
        <w:rPr>
          <w:lang w:val="en-US"/>
        </w:rPr>
      </w:pPr>
    </w:p>
    <w:tbl>
      <w:tblPr>
        <w:tblStyle w:val="60"/>
        <w:tblW w:w="5000" w:type="pct"/>
        <w:jc w:val="center"/>
        <w:tblLook w:val="04A0" w:firstRow="1" w:lastRow="0" w:firstColumn="1" w:lastColumn="0" w:noHBand="0" w:noVBand="1"/>
      </w:tblPr>
      <w:tblGrid>
        <w:gridCol w:w="4897"/>
        <w:gridCol w:w="4720"/>
      </w:tblGrid>
      <w:tr w:rsidR="000000BB" w:rsidRPr="00ED59F7" w14:paraId="7BE3AAA5" w14:textId="77777777" w:rsidTr="000000BB">
        <w:trPr>
          <w:trHeight w:val="273"/>
          <w:jc w:val="center"/>
        </w:trPr>
        <w:tc>
          <w:tcPr>
            <w:tcW w:w="5000" w:type="pct"/>
            <w:gridSpan w:val="2"/>
            <w:tcBorders>
              <w:top w:val="nil"/>
              <w:left w:val="nil"/>
              <w:bottom w:val="single" w:sz="4" w:space="0" w:color="auto"/>
              <w:right w:val="nil"/>
            </w:tcBorders>
          </w:tcPr>
          <w:p w14:paraId="19EB8896" w14:textId="77777777" w:rsidR="000000BB" w:rsidRPr="00ED59F7" w:rsidRDefault="000000BB" w:rsidP="00AD70E8">
            <w:pPr>
              <w:spacing w:line="240" w:lineRule="atLeast"/>
              <w:rPr>
                <w:sz w:val="28"/>
                <w:szCs w:val="28"/>
                <w:lang w:val="en-US"/>
              </w:rPr>
            </w:pPr>
            <w:r w:rsidRPr="000000BB">
              <w:rPr>
                <w:rFonts w:ascii="Garamond" w:hAnsi="Garamond"/>
                <w:sz w:val="28"/>
                <w:szCs w:val="28"/>
                <w:lang w:val="en-US"/>
              </w:rPr>
              <w:t>Continuation of the Table C.1</w:t>
            </w:r>
          </w:p>
        </w:tc>
      </w:tr>
      <w:tr w:rsidR="00ED59F7" w:rsidRPr="00ED59F7" w14:paraId="412F8E6A" w14:textId="77777777" w:rsidTr="00AD70E8">
        <w:trPr>
          <w:trHeight w:val="273"/>
          <w:jc w:val="center"/>
        </w:trPr>
        <w:tc>
          <w:tcPr>
            <w:tcW w:w="5000" w:type="pct"/>
            <w:gridSpan w:val="2"/>
            <w:tcBorders>
              <w:top w:val="single" w:sz="4" w:space="0" w:color="auto"/>
              <w:left w:val="single" w:sz="4" w:space="0" w:color="auto"/>
              <w:bottom w:val="single" w:sz="4" w:space="0" w:color="auto"/>
              <w:right w:val="single" w:sz="4" w:space="0" w:color="auto"/>
            </w:tcBorders>
          </w:tcPr>
          <w:p w14:paraId="68167912"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sz w:val="28"/>
                <w:szCs w:val="28"/>
                <w:lang w:val="en-US"/>
              </w:rPr>
              <w:lastRenderedPageBreak/>
              <w:t xml:space="preserve">7. </w:t>
            </w:r>
            <w:r w:rsidRPr="00ED59F7">
              <w:rPr>
                <w:rFonts w:ascii="Garamond" w:hAnsi="Garamond"/>
                <w:b/>
                <w:i/>
                <w:sz w:val="28"/>
                <w:szCs w:val="28"/>
                <w:lang w:val="en-US"/>
              </w:rPr>
              <w:t>Current yield</w:t>
            </w:r>
            <w:r w:rsidRPr="00ED59F7">
              <w:rPr>
                <w:rFonts w:ascii="Garamond" w:hAnsi="Garamond"/>
                <w:sz w:val="28"/>
                <w:szCs w:val="28"/>
                <w:lang w:val="en-US"/>
              </w:rPr>
              <w:t xml:space="preserve"> is simply the coupon payment as a percentage of the (current) bond price</w:t>
            </w:r>
          </w:p>
        </w:tc>
      </w:tr>
      <w:tr w:rsidR="00ED59F7" w:rsidRPr="00ED59F7" w14:paraId="6B1D5818" w14:textId="77777777" w:rsidTr="00AD70E8">
        <w:trPr>
          <w:trHeight w:val="256"/>
          <w:jc w:val="center"/>
        </w:trPr>
        <w:tc>
          <w:tcPr>
            <w:tcW w:w="2546" w:type="pct"/>
            <w:tcBorders>
              <w:top w:val="single" w:sz="4" w:space="0" w:color="auto"/>
              <w:left w:val="single" w:sz="4" w:space="0" w:color="auto"/>
              <w:bottom w:val="single" w:sz="4" w:space="0" w:color="auto"/>
              <w:right w:val="single" w:sz="4" w:space="0" w:color="auto"/>
            </w:tcBorders>
            <w:vAlign w:val="center"/>
          </w:tcPr>
          <w:p w14:paraId="58776168" w14:textId="77777777" w:rsidR="00ED59F7" w:rsidRPr="00ED59F7" w:rsidRDefault="00ED59F7" w:rsidP="000000BB">
            <w:pPr>
              <w:spacing w:line="240" w:lineRule="atLeast"/>
              <w:jc w:val="center"/>
              <w:rPr>
                <w:rFonts w:ascii="Garamond" w:hAnsi="Garamond"/>
                <w:sz w:val="28"/>
                <w:szCs w:val="28"/>
                <w:lang w:val="en-US"/>
              </w:rPr>
            </w:pPr>
            <w:r w:rsidRPr="00ED59F7">
              <w:rPr>
                <w:rFonts w:ascii="Garamond" w:hAnsi="Garamond"/>
                <w:sz w:val="28"/>
                <w:szCs w:val="28"/>
                <w:lang w:val="en-US"/>
              </w:rPr>
              <w:t>Current yield = C/BP</w:t>
            </w:r>
          </w:p>
        </w:tc>
        <w:tc>
          <w:tcPr>
            <w:tcW w:w="2454" w:type="pct"/>
            <w:tcBorders>
              <w:top w:val="single" w:sz="4" w:space="0" w:color="auto"/>
              <w:left w:val="single" w:sz="4" w:space="0" w:color="auto"/>
              <w:bottom w:val="single" w:sz="4" w:space="0" w:color="auto"/>
              <w:right w:val="single" w:sz="4" w:space="0" w:color="auto"/>
            </w:tcBorders>
          </w:tcPr>
          <w:p w14:paraId="76E0B802"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C</w:t>
            </w:r>
            <w:r w:rsidRPr="00ED59F7">
              <w:rPr>
                <w:rFonts w:ascii="Garamond" w:hAnsi="Garamond"/>
                <w:sz w:val="28"/>
                <w:szCs w:val="28"/>
                <w:lang w:val="en-US"/>
              </w:rPr>
              <w:t xml:space="preserve"> – coupon payment;</w:t>
            </w:r>
          </w:p>
          <w:p w14:paraId="26000DC7" w14:textId="77777777" w:rsidR="00ED59F7" w:rsidRPr="00ED59F7" w:rsidRDefault="00ED59F7" w:rsidP="00AD70E8">
            <w:pPr>
              <w:spacing w:after="120" w:line="240" w:lineRule="atLeast"/>
              <w:rPr>
                <w:rFonts w:ascii="Garamond" w:hAnsi="Garamond"/>
                <w:sz w:val="28"/>
                <w:szCs w:val="28"/>
                <w:lang w:val="en-US"/>
              </w:rPr>
            </w:pPr>
            <w:r w:rsidRPr="00ED59F7">
              <w:rPr>
                <w:rFonts w:ascii="Garamond" w:hAnsi="Garamond"/>
                <w:b/>
                <w:i/>
                <w:sz w:val="28"/>
                <w:szCs w:val="28"/>
                <w:lang w:val="en-US"/>
              </w:rPr>
              <w:t>BP</w:t>
            </w:r>
            <w:r w:rsidR="000000BB">
              <w:rPr>
                <w:rFonts w:ascii="Garamond" w:hAnsi="Garamond"/>
                <w:sz w:val="28"/>
                <w:szCs w:val="28"/>
                <w:lang w:val="en-US"/>
              </w:rPr>
              <w:t xml:space="preserve"> – current bond price</w:t>
            </w:r>
          </w:p>
        </w:tc>
      </w:tr>
      <w:tr w:rsidR="00ED59F7" w:rsidRPr="00ED59F7" w14:paraId="4E151598" w14:textId="77777777" w:rsidTr="00AD70E8">
        <w:trPr>
          <w:trHeight w:val="289"/>
          <w:jc w:val="center"/>
        </w:trPr>
        <w:tc>
          <w:tcPr>
            <w:tcW w:w="5000" w:type="pct"/>
            <w:gridSpan w:val="2"/>
            <w:tcBorders>
              <w:top w:val="single" w:sz="4" w:space="0" w:color="auto"/>
              <w:left w:val="single" w:sz="4" w:space="0" w:color="auto"/>
              <w:bottom w:val="single" w:sz="4" w:space="0" w:color="auto"/>
              <w:right w:val="single" w:sz="4" w:space="0" w:color="auto"/>
            </w:tcBorders>
          </w:tcPr>
          <w:p w14:paraId="5FC97186"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sz w:val="28"/>
                <w:szCs w:val="28"/>
                <w:lang w:val="en-US"/>
              </w:rPr>
              <w:t xml:space="preserve">8. </w:t>
            </w:r>
            <w:r w:rsidRPr="00ED59F7">
              <w:rPr>
                <w:rFonts w:ascii="Garamond" w:hAnsi="Garamond"/>
                <w:b/>
                <w:i/>
                <w:sz w:val="28"/>
                <w:szCs w:val="28"/>
                <w:lang w:val="en-US"/>
              </w:rPr>
              <w:t xml:space="preserve">Bond price (BP) </w:t>
            </w:r>
          </w:p>
        </w:tc>
      </w:tr>
      <w:tr w:rsidR="00ED59F7" w:rsidRPr="00ED59F7" w14:paraId="5089DDFC" w14:textId="77777777" w:rsidTr="00AD70E8">
        <w:trPr>
          <w:trHeight w:val="289"/>
          <w:jc w:val="center"/>
        </w:trPr>
        <w:tc>
          <w:tcPr>
            <w:tcW w:w="2546" w:type="pct"/>
            <w:tcBorders>
              <w:top w:val="single" w:sz="4" w:space="0" w:color="auto"/>
              <w:left w:val="single" w:sz="4" w:space="0" w:color="auto"/>
              <w:bottom w:val="single" w:sz="4" w:space="0" w:color="auto"/>
              <w:right w:val="single" w:sz="4" w:space="0" w:color="auto"/>
            </w:tcBorders>
            <w:vAlign w:val="center"/>
          </w:tcPr>
          <w:p w14:paraId="19EA41FC" w14:textId="77777777" w:rsidR="00ED59F7" w:rsidRPr="00ED59F7" w:rsidRDefault="00ED59F7" w:rsidP="00AD70E8">
            <w:pPr>
              <w:spacing w:line="240" w:lineRule="atLeast"/>
              <w:jc w:val="center"/>
              <w:rPr>
                <w:rFonts w:ascii="Garamond" w:hAnsi="Garamond"/>
                <w:sz w:val="28"/>
                <w:szCs w:val="28"/>
                <w:lang w:val="en-US"/>
              </w:rPr>
            </w:pPr>
            <m:oMath>
              <m:r>
                <m:rPr>
                  <m:sty m:val="p"/>
                </m:rPr>
                <w:rPr>
                  <w:rFonts w:ascii="Cambria Math" w:hAnsi="Cambria Math"/>
                  <w:sz w:val="28"/>
                  <w:szCs w:val="28"/>
                  <w:lang w:val="en-US"/>
                </w:rPr>
                <m:t>Bond</m:t>
              </m:r>
              <m:r>
                <m:rPr>
                  <m:sty m:val="p"/>
                </m:rPr>
                <w:rPr>
                  <w:rFonts w:ascii="Cambria Math" w:hAnsi="Cambria Math"/>
                  <w:sz w:val="28"/>
                  <w:szCs w:val="28"/>
                  <w:lang w:val="uk-UA"/>
                </w:rPr>
                <m:t xml:space="preserve"> </m:t>
              </m:r>
              <m:r>
                <m:rPr>
                  <m:sty m:val="p"/>
                </m:rPr>
                <w:rPr>
                  <w:rFonts w:ascii="Cambria Math" w:hAnsi="Cambria Math"/>
                  <w:sz w:val="28"/>
                  <w:szCs w:val="28"/>
                  <w:lang w:val="en-US"/>
                </w:rPr>
                <m:t>price</m:t>
              </m:r>
              <m:r>
                <w:rPr>
                  <w:rFonts w:ascii="Cambria Math" w:hAnsi="Cambria Math"/>
                  <w:sz w:val="28"/>
                  <w:szCs w:val="28"/>
                  <w:lang w:val="uk-UA"/>
                </w:rPr>
                <m:t xml:space="preserve"> </m:t>
              </m:r>
              <m:d>
                <m:dPr>
                  <m:ctrlPr>
                    <w:rPr>
                      <w:rFonts w:ascii="Cambria Math" w:hAnsi="Cambria Math"/>
                      <w:i/>
                      <w:sz w:val="28"/>
                      <w:szCs w:val="28"/>
                      <w:lang w:val="en-US"/>
                    </w:rPr>
                  </m:ctrlPr>
                </m:dPr>
                <m:e>
                  <m:r>
                    <w:rPr>
                      <w:rFonts w:ascii="Cambria Math" w:hAnsi="Cambria Math"/>
                      <w:sz w:val="28"/>
                      <w:szCs w:val="28"/>
                      <w:lang w:val="en-US"/>
                    </w:rPr>
                    <m:t>BP</m:t>
                  </m:r>
                </m:e>
              </m:d>
              <m:r>
                <w:rPr>
                  <w:rFonts w:ascii="Cambria Math" w:hAnsi="Cambria Math"/>
                  <w:sz w:val="28"/>
                  <w:szCs w:val="28"/>
                  <w:lang w:val="uk-UA"/>
                </w:rPr>
                <m:t xml:space="preserve">= </m:t>
              </m:r>
              <m:f>
                <m:fPr>
                  <m:ctrlPr>
                    <w:rPr>
                      <w:rFonts w:ascii="Cambria Math" w:hAnsi="Cambria Math"/>
                      <w:i/>
                      <w:sz w:val="28"/>
                      <w:szCs w:val="28"/>
                      <w:lang w:val="en-US"/>
                    </w:rPr>
                  </m:ctrlPr>
                </m:fPr>
                <m:num>
                  <m:r>
                    <w:rPr>
                      <w:rFonts w:ascii="Cambria Math" w:hAnsi="Cambria Math"/>
                      <w:sz w:val="28"/>
                      <w:szCs w:val="28"/>
                      <w:lang w:val="en-US"/>
                    </w:rPr>
                    <m:t>C</m:t>
                  </m:r>
                </m:num>
                <m:den>
                  <m:sSup>
                    <m:sSupPr>
                      <m:ctrlPr>
                        <w:rPr>
                          <w:rFonts w:ascii="Cambria Math" w:hAnsi="Cambria Math"/>
                          <w:i/>
                          <w:sz w:val="28"/>
                          <w:szCs w:val="28"/>
                          <w:lang w:val="en-US"/>
                        </w:rPr>
                      </m:ctrlPr>
                    </m:sSupPr>
                    <m:e>
                      <m:r>
                        <w:rPr>
                          <w:rFonts w:ascii="Cambria Math" w:hAnsi="Cambria Math"/>
                          <w:sz w:val="28"/>
                          <w:szCs w:val="28"/>
                          <w:lang w:val="uk-UA"/>
                        </w:rPr>
                        <m:t>(1+</m:t>
                      </m:r>
                      <m:r>
                        <w:rPr>
                          <w:rFonts w:ascii="Cambria Math" w:hAnsi="Cambria Math"/>
                          <w:sz w:val="28"/>
                          <w:szCs w:val="28"/>
                          <w:lang w:val="en-US"/>
                        </w:rPr>
                        <m:t>i</m:t>
                      </m:r>
                      <m:r>
                        <w:rPr>
                          <w:rFonts w:ascii="Cambria Math" w:hAnsi="Cambria Math"/>
                          <w:sz w:val="28"/>
                          <w:szCs w:val="28"/>
                          <w:lang w:val="uk-UA"/>
                        </w:rPr>
                        <m:t>)</m:t>
                      </m:r>
                    </m:e>
                    <m:sup>
                      <m:r>
                        <w:rPr>
                          <w:rFonts w:ascii="Cambria Math" w:hAnsi="Cambria Math"/>
                          <w:sz w:val="28"/>
                          <w:szCs w:val="28"/>
                          <w:lang w:val="uk-UA"/>
                        </w:rPr>
                        <m:t>1</m:t>
                      </m:r>
                    </m:sup>
                  </m:sSup>
                </m:den>
              </m:f>
            </m:oMath>
            <w:r w:rsidRPr="00ED59F7">
              <w:rPr>
                <w:rFonts w:ascii="Garamond" w:hAnsi="Garamond"/>
                <w:sz w:val="28"/>
                <w:szCs w:val="28"/>
                <w:lang w:val="uk-UA"/>
              </w:rPr>
              <w:t xml:space="preserve"> + </w:t>
            </w:r>
            <m:oMath>
              <m:f>
                <m:fPr>
                  <m:ctrlPr>
                    <w:rPr>
                      <w:rFonts w:ascii="Cambria Math" w:hAnsi="Cambria Math"/>
                      <w:i/>
                      <w:sz w:val="28"/>
                      <w:szCs w:val="28"/>
                    </w:rPr>
                  </m:ctrlPr>
                </m:fPr>
                <m:num>
                  <m:r>
                    <w:rPr>
                      <w:rFonts w:ascii="Cambria Math" w:hAnsi="Cambria Math"/>
                      <w:sz w:val="28"/>
                      <w:szCs w:val="28"/>
                    </w:rPr>
                    <m:t>C</m:t>
                  </m:r>
                </m:num>
                <m:den>
                  <m:sSup>
                    <m:sSupPr>
                      <m:ctrlPr>
                        <w:rPr>
                          <w:rFonts w:ascii="Cambria Math" w:hAnsi="Cambria Math"/>
                          <w:i/>
                          <w:sz w:val="28"/>
                          <w:szCs w:val="28"/>
                        </w:rPr>
                      </m:ctrlPr>
                    </m:sSupPr>
                    <m:e>
                      <m:r>
                        <w:rPr>
                          <w:rFonts w:ascii="Cambria Math" w:hAnsi="Cambria Math"/>
                          <w:sz w:val="28"/>
                          <w:szCs w:val="28"/>
                          <w:lang w:val="uk-UA"/>
                        </w:rPr>
                        <m:t>(1+</m:t>
                      </m:r>
                      <m:r>
                        <w:rPr>
                          <w:rFonts w:ascii="Cambria Math" w:hAnsi="Cambria Math"/>
                          <w:sz w:val="28"/>
                          <w:szCs w:val="28"/>
                        </w:rPr>
                        <m:t>i</m:t>
                      </m:r>
                      <m:r>
                        <w:rPr>
                          <w:rFonts w:ascii="Cambria Math" w:hAnsi="Cambria Math"/>
                          <w:sz w:val="28"/>
                          <w:szCs w:val="28"/>
                          <w:lang w:val="uk-UA"/>
                        </w:rPr>
                        <m:t>)</m:t>
                      </m:r>
                    </m:e>
                    <m:sup>
                      <m:r>
                        <w:rPr>
                          <w:rFonts w:ascii="Cambria Math" w:hAnsi="Cambria Math"/>
                          <w:sz w:val="28"/>
                          <w:szCs w:val="28"/>
                          <w:lang w:val="uk-UA"/>
                        </w:rPr>
                        <m:t>2</m:t>
                      </m:r>
                    </m:sup>
                  </m:sSup>
                </m:den>
              </m:f>
            </m:oMath>
            <w:r w:rsidRPr="00ED59F7">
              <w:rPr>
                <w:rFonts w:ascii="Garamond" w:hAnsi="Garamond"/>
                <w:sz w:val="28"/>
                <w:szCs w:val="28"/>
                <w:lang w:val="uk-UA"/>
              </w:rPr>
              <w:t xml:space="preserve"> + … </w:t>
            </w:r>
            <w:r w:rsidRPr="00ED59F7">
              <w:rPr>
                <w:rFonts w:ascii="Garamond" w:hAnsi="Garamond"/>
                <w:sz w:val="28"/>
                <w:szCs w:val="28"/>
                <w:lang w:val="en-US"/>
              </w:rPr>
              <w:t xml:space="preserve">+ </w:t>
            </w:r>
            <m:oMath>
              <m:f>
                <m:fPr>
                  <m:ctrlPr>
                    <w:rPr>
                      <w:rFonts w:ascii="Cambria Math" w:hAnsi="Cambria Math"/>
                      <w:i/>
                      <w:sz w:val="28"/>
                      <w:szCs w:val="28"/>
                      <w:lang w:val="en-US"/>
                    </w:rPr>
                  </m:ctrlPr>
                </m:fPr>
                <m:num>
                  <m:r>
                    <w:rPr>
                      <w:rFonts w:ascii="Cambria Math" w:hAnsi="Cambria Math"/>
                      <w:sz w:val="28"/>
                      <w:szCs w:val="28"/>
                      <w:lang w:val="en-US"/>
                    </w:rPr>
                    <m:t>C</m:t>
                  </m:r>
                </m:num>
                <m:den>
                  <m:sSup>
                    <m:sSupPr>
                      <m:ctrlPr>
                        <w:rPr>
                          <w:rFonts w:ascii="Cambria Math" w:hAnsi="Cambria Math"/>
                          <w:i/>
                          <w:sz w:val="28"/>
                          <w:szCs w:val="28"/>
                          <w:lang w:val="en-US"/>
                        </w:rPr>
                      </m:ctrlPr>
                    </m:sSupPr>
                    <m:e>
                      <m:r>
                        <w:rPr>
                          <w:rFonts w:ascii="Cambria Math" w:hAnsi="Cambria Math"/>
                          <w:sz w:val="28"/>
                          <w:szCs w:val="28"/>
                          <w:lang w:val="en-US"/>
                        </w:rPr>
                        <m:t>(1+i)</m:t>
                      </m:r>
                    </m:e>
                    <m:sup>
                      <m:r>
                        <w:rPr>
                          <w:rFonts w:ascii="Cambria Math" w:hAnsi="Cambria Math"/>
                          <w:sz w:val="28"/>
                          <w:szCs w:val="28"/>
                          <w:lang w:val="en-US"/>
                        </w:rPr>
                        <m:t>n</m:t>
                      </m:r>
                    </m:sup>
                  </m:sSup>
                </m:den>
              </m:f>
              <m:r>
                <m:rPr>
                  <m:sty m:val="p"/>
                </m:rPr>
                <w:rPr>
                  <w:rFonts w:ascii="Cambria Math" w:hAnsi="Cambria Math"/>
                  <w:sz w:val="28"/>
                  <w:szCs w:val="28"/>
                  <w:lang w:val="en-US"/>
                </w:rPr>
                <m:t>+</m:t>
              </m:r>
              <m:r>
                <w:rPr>
                  <w:rFonts w:ascii="Cambria Math" w:hAnsi="Cambria Math"/>
                  <w:sz w:val="28"/>
                  <w:szCs w:val="28"/>
                  <w:lang w:val="en-US"/>
                </w:rPr>
                <m:t xml:space="preserve"> </m:t>
              </m:r>
              <m:f>
                <m:fPr>
                  <m:ctrlPr>
                    <w:rPr>
                      <w:rFonts w:ascii="Cambria Math" w:hAnsi="Cambria Math"/>
                      <w:i/>
                      <w:sz w:val="28"/>
                      <w:szCs w:val="28"/>
                      <w:lang w:val="en-US"/>
                    </w:rPr>
                  </m:ctrlPr>
                </m:fPr>
                <m:num>
                  <m:r>
                    <w:rPr>
                      <w:rFonts w:ascii="Cambria Math" w:hAnsi="Cambria Math"/>
                      <w:sz w:val="28"/>
                      <w:szCs w:val="28"/>
                      <w:lang w:val="en-US"/>
                    </w:rPr>
                    <m:t>M</m:t>
                  </m:r>
                </m:num>
                <m:den>
                  <m:sSup>
                    <m:sSupPr>
                      <m:ctrlPr>
                        <w:rPr>
                          <w:rFonts w:ascii="Cambria Math" w:hAnsi="Cambria Math"/>
                          <w:i/>
                          <w:sz w:val="28"/>
                          <w:szCs w:val="28"/>
                          <w:lang w:val="en-US"/>
                        </w:rPr>
                      </m:ctrlPr>
                    </m:sSupPr>
                    <m:e>
                      <m:r>
                        <w:rPr>
                          <w:rFonts w:ascii="Cambria Math" w:hAnsi="Cambria Math"/>
                          <w:sz w:val="28"/>
                          <w:szCs w:val="28"/>
                          <w:lang w:val="en-US"/>
                        </w:rPr>
                        <m:t>(1+i)</m:t>
                      </m:r>
                    </m:e>
                    <m:sup>
                      <m:r>
                        <w:rPr>
                          <w:rFonts w:ascii="Cambria Math" w:hAnsi="Cambria Math"/>
                          <w:sz w:val="28"/>
                          <w:szCs w:val="28"/>
                          <w:lang w:val="en-US"/>
                        </w:rPr>
                        <m:t>n</m:t>
                      </m:r>
                    </m:sup>
                  </m:sSup>
                </m:den>
              </m:f>
            </m:oMath>
          </w:p>
        </w:tc>
        <w:tc>
          <w:tcPr>
            <w:tcW w:w="2454" w:type="pct"/>
            <w:tcBorders>
              <w:top w:val="single" w:sz="4" w:space="0" w:color="auto"/>
              <w:left w:val="single" w:sz="4" w:space="0" w:color="auto"/>
              <w:bottom w:val="single" w:sz="4" w:space="0" w:color="auto"/>
              <w:right w:val="single" w:sz="4" w:space="0" w:color="auto"/>
            </w:tcBorders>
          </w:tcPr>
          <w:p w14:paraId="4AF22B40"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 xml:space="preserve">C </w:t>
            </w:r>
            <w:r w:rsidR="000000BB">
              <w:rPr>
                <w:rFonts w:ascii="Garamond" w:hAnsi="Garamond"/>
                <w:sz w:val="28"/>
                <w:szCs w:val="28"/>
                <w:lang w:val="en-US"/>
              </w:rPr>
              <w:t>–</w:t>
            </w:r>
            <w:r w:rsidR="000000BB">
              <w:rPr>
                <w:rFonts w:eastAsia="Calibri" w:hAnsi="Calibri" w:cs="Calibri"/>
                <w:u w:color="000000"/>
                <w:bdr w:val="nil"/>
                <w:lang w:val="en-US"/>
              </w:rPr>
              <w:t xml:space="preserve"> </w:t>
            </w:r>
            <w:r w:rsidRPr="00ED59F7">
              <w:rPr>
                <w:rFonts w:ascii="Garamond" w:hAnsi="Garamond"/>
                <w:sz w:val="28"/>
                <w:szCs w:val="28"/>
                <w:lang w:val="en-US"/>
              </w:rPr>
              <w:t>coupon payment;</w:t>
            </w:r>
          </w:p>
          <w:p w14:paraId="477213C3" w14:textId="77777777" w:rsidR="00ED59F7" w:rsidRPr="00ED59F7" w:rsidRDefault="00ED59F7" w:rsidP="00AD70E8">
            <w:pPr>
              <w:spacing w:line="240" w:lineRule="atLeast"/>
              <w:rPr>
                <w:rFonts w:ascii="Garamond" w:hAnsi="Garamond"/>
                <w:b/>
                <w:i/>
                <w:sz w:val="28"/>
                <w:szCs w:val="28"/>
                <w:lang w:val="en-US"/>
              </w:rPr>
            </w:pPr>
            <w:r w:rsidRPr="00ED59F7">
              <w:rPr>
                <w:rFonts w:ascii="Garamond" w:hAnsi="Garamond"/>
                <w:b/>
                <w:i/>
                <w:sz w:val="28"/>
                <w:szCs w:val="28"/>
                <w:lang w:val="en-US"/>
              </w:rPr>
              <w:t xml:space="preserve">M </w:t>
            </w:r>
            <w:r w:rsidR="000000BB">
              <w:rPr>
                <w:rFonts w:ascii="Garamond" w:hAnsi="Garamond"/>
                <w:sz w:val="28"/>
                <w:szCs w:val="28"/>
                <w:lang w:val="en-US"/>
              </w:rPr>
              <w:t>–</w:t>
            </w:r>
            <w:r w:rsidRPr="00ED59F7">
              <w:rPr>
                <w:rFonts w:ascii="Garamond" w:hAnsi="Garamond"/>
                <w:b/>
                <w:i/>
                <w:sz w:val="28"/>
                <w:szCs w:val="28"/>
                <w:lang w:val="en-US"/>
              </w:rPr>
              <w:t xml:space="preserve">  </w:t>
            </w:r>
            <w:r w:rsidRPr="00ED59F7">
              <w:rPr>
                <w:rFonts w:ascii="Garamond" w:hAnsi="Garamond"/>
                <w:sz w:val="28"/>
                <w:szCs w:val="28"/>
                <w:lang w:val="en-US"/>
              </w:rPr>
              <w:t>value at maturity, or par value;</w:t>
            </w:r>
          </w:p>
          <w:p w14:paraId="7E6CEDB0"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 xml:space="preserve">n </w:t>
            </w:r>
            <w:r w:rsidR="000000BB">
              <w:rPr>
                <w:rFonts w:ascii="Garamond" w:hAnsi="Garamond"/>
                <w:sz w:val="28"/>
                <w:szCs w:val="28"/>
                <w:lang w:val="en-US"/>
              </w:rPr>
              <w:t>–</w:t>
            </w:r>
            <w:r w:rsidRPr="00ED59F7">
              <w:rPr>
                <w:rFonts w:ascii="Garamond" w:hAnsi="Garamond"/>
                <w:sz w:val="28"/>
                <w:szCs w:val="28"/>
                <w:lang w:val="en-US"/>
              </w:rPr>
              <w:t xml:space="preserve"> number of payments; </w:t>
            </w:r>
          </w:p>
          <w:p w14:paraId="33E76E93" w14:textId="77777777" w:rsidR="00ED59F7" w:rsidRPr="00ED59F7" w:rsidRDefault="00ED59F7" w:rsidP="00AD70E8">
            <w:pPr>
              <w:spacing w:after="120" w:line="240" w:lineRule="atLeast"/>
              <w:rPr>
                <w:rFonts w:ascii="Garamond" w:hAnsi="Garamond"/>
                <w:sz w:val="28"/>
                <w:szCs w:val="28"/>
                <w:lang w:val="en-US"/>
              </w:rPr>
            </w:pPr>
            <w:r w:rsidRPr="00ED59F7">
              <w:rPr>
                <w:rFonts w:ascii="Garamond" w:hAnsi="Garamond"/>
                <w:b/>
                <w:i/>
                <w:sz w:val="28"/>
                <w:szCs w:val="28"/>
                <w:lang w:val="en-US"/>
              </w:rPr>
              <w:t xml:space="preserve">i </w:t>
            </w:r>
            <w:r w:rsidR="000000BB">
              <w:rPr>
                <w:rFonts w:ascii="Garamond" w:hAnsi="Garamond"/>
                <w:sz w:val="28"/>
                <w:szCs w:val="28"/>
                <w:lang w:val="en-US"/>
              </w:rPr>
              <w:t>–</w:t>
            </w:r>
            <w:r w:rsidRPr="00ED59F7">
              <w:rPr>
                <w:rFonts w:ascii="Garamond" w:hAnsi="Garamond"/>
                <w:sz w:val="28"/>
                <w:szCs w:val="28"/>
                <w:lang w:val="en-US"/>
              </w:rPr>
              <w:t xml:space="preserve"> i</w:t>
            </w:r>
            <w:r w:rsidR="000000BB">
              <w:rPr>
                <w:rFonts w:ascii="Garamond" w:hAnsi="Garamond"/>
                <w:sz w:val="28"/>
                <w:szCs w:val="28"/>
                <w:lang w:val="en-US"/>
              </w:rPr>
              <w:t>nterest rate, or required yield</w:t>
            </w:r>
          </w:p>
        </w:tc>
      </w:tr>
      <w:tr w:rsidR="00ED59F7" w:rsidRPr="00ED59F7" w14:paraId="67FA8CB6" w14:textId="77777777" w:rsidTr="00AD70E8">
        <w:trPr>
          <w:trHeight w:val="289"/>
          <w:jc w:val="center"/>
        </w:trPr>
        <w:tc>
          <w:tcPr>
            <w:tcW w:w="5000" w:type="pct"/>
            <w:gridSpan w:val="2"/>
            <w:tcBorders>
              <w:top w:val="single" w:sz="4" w:space="0" w:color="auto"/>
              <w:left w:val="single" w:sz="4" w:space="0" w:color="auto"/>
              <w:bottom w:val="single" w:sz="4" w:space="0" w:color="auto"/>
              <w:right w:val="single" w:sz="4" w:space="0" w:color="auto"/>
            </w:tcBorders>
            <w:vAlign w:val="center"/>
          </w:tcPr>
          <w:p w14:paraId="5415EB8E" w14:textId="77777777" w:rsidR="00ED59F7" w:rsidRPr="00ED59F7" w:rsidRDefault="00ED59F7" w:rsidP="00AD70E8">
            <w:pPr>
              <w:spacing w:line="240" w:lineRule="atLeast"/>
              <w:rPr>
                <w:rFonts w:ascii="Garamond" w:hAnsi="Garamond"/>
                <w:b/>
                <w:i/>
                <w:sz w:val="28"/>
                <w:szCs w:val="28"/>
                <w:lang w:val="en-US"/>
              </w:rPr>
            </w:pPr>
            <w:r w:rsidRPr="00ED59F7">
              <w:rPr>
                <w:rFonts w:ascii="Garamond" w:hAnsi="Garamond"/>
                <w:sz w:val="28"/>
                <w:szCs w:val="28"/>
                <w:lang w:val="en-US"/>
              </w:rPr>
              <w:t>9.</w:t>
            </w:r>
            <w:r w:rsidRPr="00ED59F7">
              <w:rPr>
                <w:rFonts w:ascii="Garamond" w:hAnsi="Garamond"/>
                <w:b/>
                <w:i/>
                <w:sz w:val="28"/>
                <w:szCs w:val="28"/>
                <w:lang w:val="en-US"/>
              </w:rPr>
              <w:t xml:space="preserve"> Zero coupon bond price (ZCBP)</w:t>
            </w:r>
          </w:p>
        </w:tc>
      </w:tr>
      <w:tr w:rsidR="00ED59F7" w:rsidRPr="00ED59F7" w14:paraId="6F2DD992" w14:textId="77777777" w:rsidTr="00AD70E8">
        <w:trPr>
          <w:trHeight w:val="289"/>
          <w:jc w:val="center"/>
        </w:trPr>
        <w:tc>
          <w:tcPr>
            <w:tcW w:w="2546" w:type="pct"/>
            <w:tcBorders>
              <w:top w:val="single" w:sz="4" w:space="0" w:color="auto"/>
              <w:left w:val="single" w:sz="4" w:space="0" w:color="auto"/>
              <w:bottom w:val="single" w:sz="4" w:space="0" w:color="auto"/>
              <w:right w:val="single" w:sz="4" w:space="0" w:color="auto"/>
            </w:tcBorders>
            <w:vAlign w:val="center"/>
          </w:tcPr>
          <w:p w14:paraId="11F51210" w14:textId="77777777" w:rsidR="00ED59F7" w:rsidRPr="00ED59F7" w:rsidRDefault="00ED59F7" w:rsidP="00AD70E8">
            <w:pPr>
              <w:spacing w:line="240" w:lineRule="atLeast"/>
              <w:jc w:val="center"/>
              <w:rPr>
                <w:rFonts w:ascii="Garamond" w:eastAsia="Calibri" w:hAnsi="Garamond"/>
                <w:sz w:val="28"/>
                <w:szCs w:val="28"/>
                <w:lang w:val="en-US"/>
              </w:rPr>
            </w:pPr>
            <w:r w:rsidRPr="00ED59F7">
              <w:rPr>
                <w:rFonts w:ascii="Garamond" w:eastAsia="Calibri" w:hAnsi="Garamond"/>
                <w:sz w:val="28"/>
                <w:szCs w:val="28"/>
                <w:lang w:val="en-US"/>
              </w:rPr>
              <w:t xml:space="preserve">Zero coupon bond price (ZCBP) = </w:t>
            </w:r>
            <m:oMath>
              <m:f>
                <m:fPr>
                  <m:ctrlPr>
                    <w:rPr>
                      <w:rFonts w:ascii="Cambria Math" w:eastAsia="Calibri" w:hAnsi="Cambria Math"/>
                      <w:i/>
                      <w:sz w:val="28"/>
                      <w:szCs w:val="28"/>
                      <w:lang w:val="en-US"/>
                    </w:rPr>
                  </m:ctrlPr>
                </m:fPr>
                <m:num>
                  <m:r>
                    <w:rPr>
                      <w:rFonts w:ascii="Cambria Math" w:eastAsia="Calibri" w:hAnsi="Cambria Math"/>
                      <w:sz w:val="28"/>
                      <w:szCs w:val="28"/>
                      <w:lang w:val="en-US"/>
                    </w:rPr>
                    <m:t>M</m:t>
                  </m:r>
                </m:num>
                <m:den>
                  <m:sSup>
                    <m:sSupPr>
                      <m:ctrlPr>
                        <w:rPr>
                          <w:rFonts w:ascii="Cambria Math" w:eastAsia="Calibri" w:hAnsi="Cambria Math"/>
                          <w:i/>
                          <w:sz w:val="28"/>
                          <w:szCs w:val="28"/>
                          <w:lang w:val="en-US"/>
                        </w:rPr>
                      </m:ctrlPr>
                    </m:sSupPr>
                    <m:e>
                      <m:r>
                        <w:rPr>
                          <w:rFonts w:ascii="Cambria Math" w:eastAsia="Calibri" w:hAnsi="Cambria Math"/>
                          <w:sz w:val="28"/>
                          <w:szCs w:val="28"/>
                          <w:lang w:val="en-US"/>
                        </w:rPr>
                        <m:t>(1+i)</m:t>
                      </m:r>
                    </m:e>
                    <m:sup>
                      <m:r>
                        <w:rPr>
                          <w:rFonts w:ascii="Cambria Math" w:eastAsia="Calibri" w:hAnsi="Cambria Math"/>
                          <w:sz w:val="28"/>
                          <w:szCs w:val="28"/>
                          <w:lang w:val="en-US"/>
                        </w:rPr>
                        <m:t>n</m:t>
                      </m:r>
                    </m:sup>
                  </m:sSup>
                </m:den>
              </m:f>
            </m:oMath>
          </w:p>
        </w:tc>
        <w:tc>
          <w:tcPr>
            <w:tcW w:w="2454" w:type="pct"/>
            <w:tcBorders>
              <w:top w:val="single" w:sz="4" w:space="0" w:color="auto"/>
              <w:left w:val="single" w:sz="4" w:space="0" w:color="auto"/>
              <w:bottom w:val="single" w:sz="4" w:space="0" w:color="auto"/>
              <w:right w:val="single" w:sz="4" w:space="0" w:color="auto"/>
            </w:tcBorders>
          </w:tcPr>
          <w:p w14:paraId="01C2B187" w14:textId="77777777" w:rsidR="00ED59F7" w:rsidRPr="00ED59F7" w:rsidRDefault="00ED59F7" w:rsidP="00AD70E8">
            <w:pPr>
              <w:spacing w:line="240" w:lineRule="atLeast"/>
              <w:rPr>
                <w:rFonts w:ascii="Garamond" w:hAnsi="Garamond"/>
                <w:b/>
                <w:i/>
                <w:sz w:val="28"/>
                <w:szCs w:val="28"/>
                <w:lang w:val="en-US"/>
              </w:rPr>
            </w:pPr>
            <w:r w:rsidRPr="00ED59F7">
              <w:rPr>
                <w:rFonts w:ascii="Garamond" w:hAnsi="Garamond"/>
                <w:b/>
                <w:i/>
                <w:sz w:val="28"/>
                <w:szCs w:val="28"/>
                <w:lang w:val="en-US"/>
              </w:rPr>
              <w:t xml:space="preserve">M </w:t>
            </w:r>
            <w:r w:rsidR="000000BB">
              <w:rPr>
                <w:rFonts w:ascii="Garamond" w:hAnsi="Garamond"/>
                <w:sz w:val="28"/>
                <w:szCs w:val="28"/>
                <w:lang w:val="en-US"/>
              </w:rPr>
              <w:t>–</w:t>
            </w:r>
            <w:r w:rsidRPr="00ED59F7">
              <w:rPr>
                <w:rFonts w:ascii="Garamond" w:hAnsi="Garamond"/>
                <w:b/>
                <w:i/>
                <w:sz w:val="28"/>
                <w:szCs w:val="28"/>
                <w:lang w:val="en-US"/>
              </w:rPr>
              <w:t xml:space="preserve">  </w:t>
            </w:r>
            <w:r w:rsidRPr="00ED59F7">
              <w:rPr>
                <w:rFonts w:ascii="Garamond" w:hAnsi="Garamond"/>
                <w:sz w:val="28"/>
                <w:szCs w:val="28"/>
                <w:lang w:val="en-US"/>
              </w:rPr>
              <w:t>value at maturity, or par value;</w:t>
            </w:r>
          </w:p>
          <w:p w14:paraId="252146FC" w14:textId="77777777" w:rsidR="00ED59F7" w:rsidRPr="00ED59F7" w:rsidRDefault="00ED59F7" w:rsidP="00AD70E8">
            <w:pPr>
              <w:spacing w:line="240" w:lineRule="atLeast"/>
              <w:rPr>
                <w:rFonts w:ascii="Garamond" w:hAnsi="Garamond"/>
                <w:sz w:val="28"/>
                <w:szCs w:val="28"/>
                <w:lang w:val="en-US"/>
              </w:rPr>
            </w:pPr>
            <w:r w:rsidRPr="00ED59F7">
              <w:rPr>
                <w:rFonts w:ascii="Garamond" w:hAnsi="Garamond"/>
                <w:b/>
                <w:i/>
                <w:sz w:val="28"/>
                <w:szCs w:val="28"/>
                <w:lang w:val="en-US"/>
              </w:rPr>
              <w:t xml:space="preserve">n </w:t>
            </w:r>
            <w:r w:rsidR="000000BB">
              <w:rPr>
                <w:rFonts w:ascii="Garamond" w:hAnsi="Garamond"/>
                <w:sz w:val="28"/>
                <w:szCs w:val="28"/>
                <w:lang w:val="en-US"/>
              </w:rPr>
              <w:t>–</w:t>
            </w:r>
            <w:r w:rsidRPr="00ED59F7">
              <w:rPr>
                <w:rFonts w:ascii="Garamond" w:hAnsi="Garamond"/>
                <w:sz w:val="28"/>
                <w:szCs w:val="28"/>
                <w:lang w:val="en-US"/>
              </w:rPr>
              <w:t xml:space="preserve"> number of payments; </w:t>
            </w:r>
          </w:p>
          <w:p w14:paraId="08ACFB35" w14:textId="77777777" w:rsidR="00ED59F7" w:rsidRPr="00ED59F7" w:rsidRDefault="00ED59F7" w:rsidP="00AD70E8">
            <w:pPr>
              <w:spacing w:after="120" w:line="240" w:lineRule="atLeast"/>
              <w:rPr>
                <w:rFonts w:ascii="Garamond" w:hAnsi="Garamond"/>
                <w:b/>
                <w:i/>
                <w:sz w:val="28"/>
                <w:szCs w:val="28"/>
                <w:lang w:val="en-US"/>
              </w:rPr>
            </w:pPr>
            <w:r w:rsidRPr="00ED59F7">
              <w:rPr>
                <w:rFonts w:ascii="Garamond" w:hAnsi="Garamond"/>
                <w:b/>
                <w:i/>
                <w:sz w:val="28"/>
                <w:szCs w:val="28"/>
                <w:lang w:val="en-US"/>
              </w:rPr>
              <w:t xml:space="preserve">i </w:t>
            </w:r>
            <w:r w:rsidR="000000BB">
              <w:rPr>
                <w:rFonts w:ascii="Garamond" w:hAnsi="Garamond"/>
                <w:sz w:val="28"/>
                <w:szCs w:val="28"/>
                <w:lang w:val="en-US"/>
              </w:rPr>
              <w:t>–</w:t>
            </w:r>
            <w:r w:rsidRPr="00ED59F7">
              <w:rPr>
                <w:rFonts w:ascii="Garamond" w:hAnsi="Garamond"/>
                <w:sz w:val="28"/>
                <w:szCs w:val="28"/>
                <w:lang w:val="en-US"/>
              </w:rPr>
              <w:t xml:space="preserve"> interest rate, or required yield</w:t>
            </w:r>
          </w:p>
        </w:tc>
      </w:tr>
    </w:tbl>
    <w:p w14:paraId="4D00B484" w14:textId="77777777" w:rsidR="00ED59F7" w:rsidRPr="00ED59F7" w:rsidRDefault="00ED59F7"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Calibri" w:cs="Calibri"/>
          <w:b/>
          <w:bCs/>
          <w:sz w:val="28"/>
          <w:szCs w:val="28"/>
          <w:u w:color="000000"/>
          <w:bdr w:val="nil"/>
          <w:lang w:eastAsia="en-US"/>
        </w:rPr>
      </w:pPr>
    </w:p>
    <w:p w14:paraId="2F1A1D2C" w14:textId="77777777" w:rsidR="00ED59F7" w:rsidRDefault="00ED59F7"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Calibri" w:cs="Calibri"/>
          <w:b/>
          <w:bCs/>
          <w:sz w:val="28"/>
          <w:szCs w:val="28"/>
          <w:u w:color="000000"/>
          <w:bdr w:val="nil"/>
          <w:lang w:val="en-US" w:eastAsia="en-US"/>
        </w:rPr>
      </w:pPr>
    </w:p>
    <w:p w14:paraId="17DDE612" w14:textId="77777777" w:rsidR="00ED59F7" w:rsidRPr="00ED59F7" w:rsidRDefault="00ED59F7" w:rsidP="00ED59F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firstLine="357"/>
        <w:jc w:val="center"/>
        <w:rPr>
          <w:rFonts w:eastAsia="Calibri" w:cs="Calibri"/>
          <w:sz w:val="28"/>
          <w:szCs w:val="28"/>
          <w:u w:color="000000"/>
          <w:bdr w:val="nil"/>
          <w:lang w:val="en-US" w:eastAsia="en-US"/>
        </w:rPr>
      </w:pPr>
    </w:p>
    <w:p w14:paraId="36D00626" w14:textId="77777777" w:rsidR="003C51B1" w:rsidRPr="00ED59F7" w:rsidRDefault="003C51B1" w:rsidP="00ED59F7">
      <w:pPr>
        <w:keepNext/>
        <w:keepLines/>
        <w:pBdr>
          <w:top w:val="nil"/>
          <w:left w:val="nil"/>
          <w:bottom w:val="nil"/>
          <w:right w:val="nil"/>
          <w:between w:val="nil"/>
          <w:bar w:val="nil"/>
        </w:pBdr>
        <w:spacing w:after="240" w:line="240" w:lineRule="atLeast"/>
        <w:jc w:val="center"/>
        <w:outlineLvl w:val="0"/>
        <w:rPr>
          <w:rFonts w:eastAsia="Garamond"/>
          <w:b/>
          <w:bCs/>
          <w:caps/>
          <w:spacing w:val="20"/>
          <w:kern w:val="16"/>
          <w:sz w:val="28"/>
          <w:szCs w:val="28"/>
          <w:u w:color="000000"/>
          <w:bdr w:val="nil"/>
          <w:lang w:val="en-US"/>
        </w:rPr>
      </w:pPr>
    </w:p>
    <w:p w14:paraId="6588AFD3" w14:textId="77777777" w:rsidR="00FB375D" w:rsidRDefault="003C51B1" w:rsidP="003C51B1">
      <w:pPr>
        <w:pBdr>
          <w:top w:val="nil"/>
          <w:left w:val="nil"/>
          <w:bottom w:val="nil"/>
          <w:right w:val="nil"/>
          <w:between w:val="nil"/>
          <w:bar w:val="nil"/>
        </w:pBdr>
        <w:ind w:firstLine="357"/>
        <w:jc w:val="center"/>
        <w:rPr>
          <w:rFonts w:eastAsia="Garamond"/>
          <w:b/>
          <w:bCs/>
          <w:caps/>
          <w:spacing w:val="20"/>
          <w:kern w:val="16"/>
          <w:u w:color="000000"/>
          <w:bdr w:val="nil"/>
          <w:lang w:val="en-US"/>
        </w:rPr>
      </w:pPr>
      <w:r w:rsidRPr="003C51B1">
        <w:rPr>
          <w:rFonts w:eastAsia="Garamond"/>
          <w:b/>
          <w:bCs/>
          <w:u w:color="000000"/>
          <w:bdr w:val="nil"/>
          <w:lang w:val="en-US"/>
        </w:rPr>
        <w:br/>
      </w:r>
    </w:p>
    <w:p w14:paraId="47CE318E" w14:textId="77777777" w:rsidR="00FB375D" w:rsidRDefault="00FB375D">
      <w:pPr>
        <w:rPr>
          <w:rFonts w:eastAsia="Garamond"/>
          <w:b/>
          <w:bCs/>
          <w:caps/>
          <w:spacing w:val="20"/>
          <w:kern w:val="16"/>
          <w:u w:color="000000"/>
          <w:bdr w:val="nil"/>
          <w:lang w:val="en-US"/>
        </w:rPr>
      </w:pPr>
      <w:r>
        <w:rPr>
          <w:rFonts w:eastAsia="Garamond"/>
          <w:b/>
          <w:bCs/>
          <w:caps/>
          <w:spacing w:val="20"/>
          <w:kern w:val="16"/>
          <w:u w:color="000000"/>
          <w:bdr w:val="nil"/>
          <w:lang w:val="en-US"/>
        </w:rPr>
        <w:br w:type="page"/>
      </w:r>
    </w:p>
    <w:p w14:paraId="4C4FF0BF" w14:textId="77777777" w:rsidR="00FB375D" w:rsidRPr="00FB375D" w:rsidRDefault="00FB375D" w:rsidP="00AD70E8">
      <w:pPr>
        <w:pStyle w:val="eng"/>
        <w:rPr>
          <w:lang w:val="en-US" w:eastAsia="ru-RU"/>
        </w:rPr>
      </w:pPr>
      <w:r w:rsidRPr="00FB375D">
        <w:rPr>
          <w:lang w:val="en-US" w:eastAsia="ru-RU"/>
        </w:rPr>
        <w:lastRenderedPageBreak/>
        <w:t>Chapter 10</w:t>
      </w:r>
      <w:r w:rsidR="00AF2E0D">
        <w:rPr>
          <w:lang w:val="en-US" w:eastAsia="ru-RU"/>
        </w:rPr>
        <w:t>:</w:t>
      </w:r>
      <w:r w:rsidRPr="00FB375D">
        <w:rPr>
          <w:lang w:val="en-US" w:eastAsia="ru-RU"/>
        </w:rPr>
        <w:t xml:space="preserve"> </w:t>
      </w:r>
    </w:p>
    <w:p w14:paraId="31D3B943" w14:textId="77777777" w:rsidR="00FB375D" w:rsidRPr="00FB375D" w:rsidRDefault="00525312" w:rsidP="00AD70E8">
      <w:pPr>
        <w:pStyle w:val="eng"/>
        <w:rPr>
          <w:lang w:val="en-US" w:eastAsia="ru-RU"/>
        </w:rPr>
      </w:pPr>
      <w:r>
        <w:rPr>
          <w:lang w:val="en-US" w:eastAsia="ru-RU"/>
        </w:rPr>
        <w:t>insurance and</w:t>
      </w:r>
      <w:r w:rsidR="00FB375D" w:rsidRPr="00FB375D">
        <w:rPr>
          <w:lang w:val="en-US" w:eastAsia="ru-RU"/>
        </w:rPr>
        <w:t xml:space="preserve"> Insurance market</w:t>
      </w:r>
    </w:p>
    <w:p w14:paraId="22770C12" w14:textId="77777777" w:rsidR="00FB375D" w:rsidRPr="00FB375D" w:rsidRDefault="00FB375D" w:rsidP="00AD70E8">
      <w:pPr>
        <w:pStyle w:val="end2"/>
        <w:rPr>
          <w:lang w:eastAsia="ru-RU"/>
        </w:rPr>
      </w:pPr>
      <w:r w:rsidRPr="00FB375D">
        <w:rPr>
          <w:lang w:eastAsia="ru-RU"/>
        </w:rPr>
        <w:t>summary</w:t>
      </w:r>
    </w:p>
    <w:p w14:paraId="4C16C204"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In everyday life, people are exposed to a vast number of risks that may affect their person or their property. In the broadest sense risk contains a suggestion of loss or danger; it is a situation of uncertainty when we are not sure whether there will be a loss of a certain kind, or how much will be lost. Some events, such as death, a car accident or extreme weather, people usually cannot prevent. At the same time, there are methods of managing risks and mitigation of their consequences. They are the following:</w:t>
      </w:r>
    </w:p>
    <w:p w14:paraId="201DE521" w14:textId="77777777" w:rsidR="00FB375D" w:rsidRPr="00AD70E8" w:rsidRDefault="00FB375D" w:rsidP="0086285C">
      <w:pPr>
        <w:numPr>
          <w:ilvl w:val="0"/>
          <w:numId w:val="94"/>
        </w:numPr>
        <w:spacing w:line="312" w:lineRule="auto"/>
        <w:ind w:left="1134" w:hanging="425"/>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t>risk avoidance:</w:t>
      </w:r>
      <w:r w:rsidRPr="00AD70E8">
        <w:rPr>
          <w:rFonts w:cs="Garamond"/>
          <w:color w:val="auto"/>
          <w:sz w:val="28"/>
          <w:szCs w:val="28"/>
          <w:lang w:val="en-US" w:eastAsia="ru-RU" w:bidi="ru-RU"/>
        </w:rPr>
        <w:t xml:space="preserve"> doing away with the very activity that is risk prone; </w:t>
      </w:r>
    </w:p>
    <w:p w14:paraId="35EBD604" w14:textId="77777777" w:rsidR="00FB375D" w:rsidRPr="00AD70E8" w:rsidRDefault="00FB375D" w:rsidP="0086285C">
      <w:pPr>
        <w:numPr>
          <w:ilvl w:val="0"/>
          <w:numId w:val="94"/>
        </w:numPr>
        <w:spacing w:line="312" w:lineRule="auto"/>
        <w:ind w:left="1134" w:hanging="425"/>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t>retention of risk:</w:t>
      </w:r>
      <w:r w:rsidRPr="00AD70E8">
        <w:rPr>
          <w:rFonts w:cs="Garamond"/>
          <w:color w:val="auto"/>
          <w:sz w:val="28"/>
          <w:szCs w:val="28"/>
          <w:lang w:val="en-US" w:eastAsia="ru-RU" w:bidi="ru-RU"/>
        </w:rPr>
        <w:t xml:space="preserve"> keeping the risk, often making financial provision by setting up a reserve;</w:t>
      </w:r>
    </w:p>
    <w:p w14:paraId="337E25AE" w14:textId="77777777" w:rsidR="00FB375D" w:rsidRPr="00AD70E8" w:rsidRDefault="00FB375D" w:rsidP="0086285C">
      <w:pPr>
        <w:numPr>
          <w:ilvl w:val="0"/>
          <w:numId w:val="94"/>
        </w:numPr>
        <w:spacing w:line="312" w:lineRule="auto"/>
        <w:ind w:left="1134" w:hanging="425"/>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t>reduction and control of risk:</w:t>
      </w:r>
      <w:r w:rsidRPr="00AD70E8">
        <w:rPr>
          <w:rFonts w:cs="Garamond"/>
          <w:color w:val="auto"/>
          <w:sz w:val="28"/>
          <w:szCs w:val="28"/>
          <w:lang w:val="en-US" w:eastAsia="ru-RU" w:bidi="ru-RU"/>
        </w:rPr>
        <w:t xml:space="preserve"> implementing safety measures and precautions to avoid some dangers or to reduce the loss;</w:t>
      </w:r>
    </w:p>
    <w:p w14:paraId="09784FF8" w14:textId="77777777" w:rsidR="00FB375D" w:rsidRPr="00AD70E8" w:rsidRDefault="00FB375D" w:rsidP="0086285C">
      <w:pPr>
        <w:numPr>
          <w:ilvl w:val="0"/>
          <w:numId w:val="94"/>
        </w:numPr>
        <w:spacing w:line="312" w:lineRule="auto"/>
        <w:ind w:left="1134" w:hanging="425"/>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t>risk transfer:</w:t>
      </w:r>
      <w:r w:rsidRPr="00AD70E8">
        <w:rPr>
          <w:rFonts w:cs="Garamond"/>
          <w:color w:val="auto"/>
          <w:sz w:val="28"/>
          <w:szCs w:val="28"/>
          <w:lang w:val="en-US" w:eastAsia="ru-RU" w:bidi="ru-RU"/>
        </w:rPr>
        <w:t xml:space="preserve"> risk is transferred to another entity.</w:t>
      </w:r>
    </w:p>
    <w:p w14:paraId="67A082B5"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Insurance is the best risk transfer methodology. It transfers the risk of financial losses as a result of specified but unpredictable events from an individual or entity to an insurer in return for a fee or premium. If a specified event occurs, the individual or entity can claim compensation or a service from the insurer.</w:t>
      </w:r>
    </w:p>
    <w:p w14:paraId="13C33AA4" w14:textId="77777777" w:rsidR="00FB375D" w:rsidRPr="00AD70E8" w:rsidRDefault="00FB375D" w:rsidP="0086285C">
      <w:pPr>
        <w:spacing w:line="312" w:lineRule="auto"/>
        <w:ind w:firstLine="709"/>
        <w:jc w:val="both"/>
        <w:rPr>
          <w:rFonts w:cs="Garamond"/>
          <w:b/>
          <w:color w:val="auto"/>
          <w:sz w:val="28"/>
          <w:szCs w:val="28"/>
          <w:lang w:val="en-US" w:eastAsia="ru-RU" w:bidi="ru-RU"/>
        </w:rPr>
      </w:pPr>
      <w:r w:rsidRPr="00AD70E8">
        <w:rPr>
          <w:rFonts w:cs="Garamond"/>
          <w:color w:val="auto"/>
          <w:sz w:val="28"/>
          <w:szCs w:val="28"/>
          <w:lang w:val="en-US" w:eastAsia="ru-RU" w:bidi="ru-RU"/>
        </w:rPr>
        <w:t xml:space="preserve">However, not all risks are insurable. First of all, commercial insurers accept only </w:t>
      </w:r>
      <w:r w:rsidRPr="00AD70E8">
        <w:rPr>
          <w:rFonts w:cs="Garamond"/>
          <w:b/>
          <w:color w:val="auto"/>
          <w:sz w:val="28"/>
          <w:szCs w:val="28"/>
          <w:lang w:val="en-US" w:eastAsia="ru-RU" w:bidi="ru-RU"/>
        </w:rPr>
        <w:t>pure risks</w:t>
      </w:r>
      <w:r w:rsidRPr="00AD70E8">
        <w:rPr>
          <w:rFonts w:cs="Garamond"/>
          <w:color w:val="auto"/>
          <w:sz w:val="28"/>
          <w:szCs w:val="28"/>
          <w:lang w:val="en-US" w:eastAsia="ru-RU" w:bidi="ru-RU"/>
        </w:rPr>
        <w:t>, i.</w:t>
      </w:r>
      <w:r w:rsidR="00AD2427">
        <w:rPr>
          <w:rFonts w:cs="Garamond"/>
          <w:color w:val="auto"/>
          <w:sz w:val="28"/>
          <w:szCs w:val="28"/>
          <w:lang w:val="en-US" w:eastAsia="ru-RU" w:bidi="ru-RU"/>
        </w:rPr>
        <w:t xml:space="preserve"> </w:t>
      </w:r>
      <w:r w:rsidRPr="00AD70E8">
        <w:rPr>
          <w:rFonts w:cs="Garamond"/>
          <w:color w:val="auto"/>
          <w:sz w:val="28"/>
          <w:szCs w:val="28"/>
          <w:lang w:val="en-US" w:eastAsia="ru-RU" w:bidi="ru-RU"/>
        </w:rPr>
        <w:t>e. risks which involve only the possibility of loss and no gain. Speculat</w:t>
      </w:r>
      <w:r w:rsidR="00AD2427">
        <w:rPr>
          <w:rFonts w:cs="Garamond"/>
          <w:color w:val="auto"/>
          <w:sz w:val="28"/>
          <w:szCs w:val="28"/>
          <w:lang w:val="en-US" w:eastAsia="ru-RU" w:bidi="ru-RU"/>
        </w:rPr>
        <w:t>ive risks, in which there exist</w:t>
      </w:r>
      <w:r w:rsidRPr="00AD70E8">
        <w:rPr>
          <w:rFonts w:cs="Garamond"/>
          <w:color w:val="auto"/>
          <w:sz w:val="28"/>
          <w:szCs w:val="28"/>
          <w:lang w:val="en-US" w:eastAsia="ru-RU" w:bidi="ru-RU"/>
        </w:rPr>
        <w:t xml:space="preserve"> both the possibility of loss and the possibility of gain, are not normally insurable. In order for a risk to be insurable, a number of principles need to be observed:</w:t>
      </w:r>
      <w:r w:rsidRPr="00AD70E8">
        <w:rPr>
          <w:rFonts w:cs="Garamond"/>
          <w:b/>
          <w:color w:val="auto"/>
          <w:sz w:val="28"/>
          <w:szCs w:val="28"/>
          <w:lang w:val="en-US" w:eastAsia="ru-RU" w:bidi="ru-RU"/>
        </w:rPr>
        <w:t xml:space="preserve"> </w:t>
      </w:r>
    </w:p>
    <w:p w14:paraId="43AD53BC" w14:textId="77777777" w:rsidR="00FB375D" w:rsidRPr="00AD70E8" w:rsidRDefault="00FB375D" w:rsidP="0086285C">
      <w:pPr>
        <w:numPr>
          <w:ilvl w:val="0"/>
          <w:numId w:val="95"/>
        </w:numPr>
        <w:tabs>
          <w:tab w:val="left" w:pos="709"/>
        </w:tabs>
        <w:spacing w:line="312" w:lineRule="auto"/>
        <w:ind w:left="1276" w:hanging="567"/>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t xml:space="preserve">The insured must have an insurable interest. </w:t>
      </w:r>
      <w:r w:rsidRPr="00AD70E8">
        <w:rPr>
          <w:rFonts w:cs="Garamond"/>
          <w:color w:val="auto"/>
          <w:sz w:val="28"/>
          <w:szCs w:val="28"/>
          <w:lang w:val="en-US" w:eastAsia="ru-RU" w:bidi="ru-RU"/>
        </w:rPr>
        <w:t xml:space="preserve">There must be a chance of financial loss or financial interest, and a recognizable relationship between the risk and the insured. </w:t>
      </w:r>
    </w:p>
    <w:p w14:paraId="6B7228F0" w14:textId="77777777" w:rsidR="00FB375D" w:rsidRPr="00AD70E8" w:rsidRDefault="00FB375D" w:rsidP="0086285C">
      <w:pPr>
        <w:numPr>
          <w:ilvl w:val="0"/>
          <w:numId w:val="95"/>
        </w:numPr>
        <w:tabs>
          <w:tab w:val="left" w:pos="709"/>
        </w:tabs>
        <w:spacing w:line="312" w:lineRule="auto"/>
        <w:ind w:left="1276" w:hanging="567"/>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t xml:space="preserve">The risk should be random and independent. </w:t>
      </w:r>
      <w:r w:rsidRPr="00AD70E8">
        <w:rPr>
          <w:rFonts w:cs="Garamond"/>
          <w:color w:val="auto"/>
          <w:sz w:val="28"/>
          <w:szCs w:val="28"/>
          <w:lang w:val="en-US" w:eastAsia="ru-RU" w:bidi="ru-RU"/>
        </w:rPr>
        <w:t>The occurrence of the insured event should be unpredictable and happen purely by chance. If the results are expected, it is not actually a risk.</w:t>
      </w:r>
    </w:p>
    <w:p w14:paraId="159970A2" w14:textId="77777777" w:rsidR="00FB375D" w:rsidRPr="00AD70E8" w:rsidRDefault="00FB375D" w:rsidP="0086285C">
      <w:pPr>
        <w:numPr>
          <w:ilvl w:val="0"/>
          <w:numId w:val="95"/>
        </w:numPr>
        <w:tabs>
          <w:tab w:val="left" w:pos="709"/>
        </w:tabs>
        <w:spacing w:line="312" w:lineRule="auto"/>
        <w:ind w:left="1276" w:hanging="567"/>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lastRenderedPageBreak/>
        <w:t xml:space="preserve">The risk of loss must be definite as to time and place and difficult to counterfeit or falsify. </w:t>
      </w:r>
      <w:r w:rsidRPr="00AD70E8">
        <w:rPr>
          <w:rFonts w:cs="Garamond"/>
          <w:color w:val="auto"/>
          <w:sz w:val="28"/>
          <w:szCs w:val="28"/>
          <w:lang w:val="en-US" w:eastAsia="ru-RU" w:bidi="ru-RU"/>
        </w:rPr>
        <w:t>Otherwise, there is a high moral hazard: the insured can influence the risk and facilitate the occurrence of insurance event.</w:t>
      </w:r>
    </w:p>
    <w:p w14:paraId="3A82AA7A" w14:textId="77777777" w:rsidR="00FB375D" w:rsidRPr="00AD70E8" w:rsidRDefault="00FB375D" w:rsidP="0086285C">
      <w:pPr>
        <w:numPr>
          <w:ilvl w:val="0"/>
          <w:numId w:val="95"/>
        </w:numPr>
        <w:tabs>
          <w:tab w:val="left" w:pos="709"/>
        </w:tabs>
        <w:spacing w:line="312" w:lineRule="auto"/>
        <w:ind w:left="1276" w:hanging="567"/>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t xml:space="preserve">The risk must be definable and financially measurable. </w:t>
      </w:r>
      <w:r w:rsidRPr="00AD70E8">
        <w:rPr>
          <w:rFonts w:cs="Garamond"/>
          <w:color w:val="auto"/>
          <w:sz w:val="28"/>
          <w:szCs w:val="28"/>
          <w:lang w:val="en-US" w:eastAsia="ru-RU" w:bidi="ru-RU"/>
        </w:rPr>
        <w:t>The risk must be fully definable, in order to put a price on the cost of the loss, to remove any dispute over whether the loss has occurred, and to determine the level of compensation required.</w:t>
      </w:r>
    </w:p>
    <w:p w14:paraId="41D2E9EE" w14:textId="77777777" w:rsidR="00FB375D" w:rsidRPr="00AD70E8" w:rsidRDefault="00FB375D" w:rsidP="0086285C">
      <w:pPr>
        <w:numPr>
          <w:ilvl w:val="0"/>
          <w:numId w:val="95"/>
        </w:numPr>
        <w:tabs>
          <w:tab w:val="left" w:pos="709"/>
        </w:tabs>
        <w:spacing w:line="312" w:lineRule="auto"/>
        <w:ind w:left="1276" w:hanging="567"/>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t>The cost of the insurance must be affordable to the insured.</w:t>
      </w:r>
      <w:r w:rsidRPr="00AD70E8">
        <w:rPr>
          <w:rFonts w:cs="Garamond"/>
          <w:color w:val="auto"/>
          <w:sz w:val="28"/>
          <w:szCs w:val="28"/>
          <w:lang w:val="en-US" w:eastAsia="ru-RU" w:bidi="ru-RU"/>
        </w:rPr>
        <w:t xml:space="preserve"> The amount charged to insure an individual or entity must be a sum that the insured is willing to pay and</w:t>
      </w:r>
      <w:r w:rsidRPr="00AD70E8">
        <w:rPr>
          <w:rFonts w:eastAsia="Calibri"/>
          <w:color w:val="auto"/>
          <w:sz w:val="28"/>
          <w:szCs w:val="28"/>
          <w:lang w:eastAsia="en-US"/>
        </w:rPr>
        <w:t xml:space="preserve"> </w:t>
      </w:r>
      <w:r w:rsidRPr="00AD70E8">
        <w:rPr>
          <w:rFonts w:cs="Garamond"/>
          <w:color w:val="auto"/>
          <w:sz w:val="28"/>
          <w:szCs w:val="28"/>
          <w:lang w:val="en-US" w:eastAsia="ru-RU" w:bidi="ru-RU"/>
        </w:rPr>
        <w:t>should be only a fraction of the value of the item itself. At the same time, the premium needs to be high enough to cover future claims on the insurer's pool of risks and its expenses while still making a profit.</w:t>
      </w:r>
    </w:p>
    <w:p w14:paraId="5365209B" w14:textId="77777777" w:rsidR="00FB375D" w:rsidRPr="00AD70E8" w:rsidRDefault="00FB375D" w:rsidP="0086285C">
      <w:pPr>
        <w:numPr>
          <w:ilvl w:val="0"/>
          <w:numId w:val="95"/>
        </w:numPr>
        <w:tabs>
          <w:tab w:val="left" w:pos="709"/>
        </w:tabs>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 xml:space="preserve">There must be a large number of persons with a similar potential loss available for the insurance. </w:t>
      </w:r>
      <w:r w:rsidRPr="00AD70E8">
        <w:rPr>
          <w:rFonts w:cs="Garamond"/>
          <w:color w:val="auto"/>
          <w:sz w:val="28"/>
          <w:szCs w:val="28"/>
          <w:lang w:val="en-US" w:eastAsia="ru-RU" w:bidi="ru-RU"/>
        </w:rPr>
        <w:t xml:space="preserve">The law of large numbers </w:t>
      </w:r>
      <w:r w:rsidR="00AD2427">
        <w:rPr>
          <w:rFonts w:cs="Garamond"/>
          <w:color w:val="auto"/>
          <w:sz w:val="28"/>
          <w:szCs w:val="28"/>
          <w:lang w:val="en-US" w:eastAsia="ru-RU" w:bidi="ru-RU"/>
        </w:rPr>
        <w:t xml:space="preserve">is </w:t>
      </w:r>
      <w:r w:rsidRPr="00AD70E8">
        <w:rPr>
          <w:rFonts w:cs="Garamond"/>
          <w:color w:val="auto"/>
          <w:sz w:val="28"/>
          <w:szCs w:val="28"/>
          <w:lang w:val="en-US" w:eastAsia="ru-RU" w:bidi="ru-RU"/>
        </w:rPr>
        <w:t>applie</w:t>
      </w:r>
      <w:r w:rsidR="00AD2427">
        <w:rPr>
          <w:rFonts w:cs="Garamond"/>
          <w:color w:val="auto"/>
          <w:sz w:val="28"/>
          <w:szCs w:val="28"/>
          <w:lang w:val="en-US" w:eastAsia="ru-RU" w:bidi="ru-RU"/>
        </w:rPr>
        <w:t>d</w:t>
      </w:r>
      <w:r w:rsidRPr="00AD70E8">
        <w:rPr>
          <w:rFonts w:cs="Garamond"/>
          <w:color w:val="auto"/>
          <w:sz w:val="28"/>
          <w:szCs w:val="28"/>
          <w:lang w:val="en-US" w:eastAsia="ru-RU" w:bidi="ru-RU"/>
        </w:rPr>
        <w:t xml:space="preserve"> here. When there are sufficient numbers of potential insured with a similar chance of loss, the insurance company is able to calculate the likelihood of the risk, predict losses and accumulate adequate insurance funds. </w:t>
      </w:r>
    </w:p>
    <w:p w14:paraId="69A0CFA5" w14:textId="77777777" w:rsidR="00FB375D" w:rsidRPr="00AD70E8" w:rsidRDefault="00FB375D" w:rsidP="0086285C">
      <w:pPr>
        <w:numPr>
          <w:ilvl w:val="0"/>
          <w:numId w:val="95"/>
        </w:numPr>
        <w:tabs>
          <w:tab w:val="left" w:pos="709"/>
        </w:tabs>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 xml:space="preserve">The risk of catastrophically large losses should be limited. </w:t>
      </w:r>
      <w:r w:rsidRPr="00AD70E8">
        <w:rPr>
          <w:rFonts w:cs="Garamond"/>
          <w:color w:val="auto"/>
          <w:sz w:val="28"/>
          <w:szCs w:val="28"/>
          <w:lang w:val="en-US" w:eastAsia="ru-RU" w:bidi="ru-RU"/>
        </w:rPr>
        <w:t>If a catastrophic event occurred or a great number of insured suffered a loss at the same time, the insurance company wouldn’t be able to pay the loss and could go bankrupt.</w:t>
      </w:r>
    </w:p>
    <w:p w14:paraId="594AD803"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As an economic category, insurance has its functions and principles. The main functions (or benefits) of insurance are:</w:t>
      </w:r>
    </w:p>
    <w:p w14:paraId="274DDA96" w14:textId="77777777" w:rsidR="00FB375D" w:rsidRPr="00AD70E8" w:rsidRDefault="00FB375D" w:rsidP="0086285C">
      <w:pPr>
        <w:numPr>
          <w:ilvl w:val="0"/>
          <w:numId w:val="205"/>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 xml:space="preserve">risk transfer: </w:t>
      </w:r>
      <w:r w:rsidRPr="00AD70E8">
        <w:rPr>
          <w:rFonts w:cs="Garamond"/>
          <w:color w:val="auto"/>
          <w:sz w:val="28"/>
          <w:szCs w:val="28"/>
          <w:lang w:val="en-US" w:eastAsia="ru-RU" w:bidi="ru-RU"/>
        </w:rPr>
        <w:t xml:space="preserve">insurance is </w:t>
      </w:r>
      <w:r w:rsidR="00AD70E8">
        <w:rPr>
          <w:rFonts w:cs="Garamond"/>
          <w:color w:val="auto"/>
          <w:sz w:val="28"/>
          <w:szCs w:val="28"/>
          <w:lang w:val="en-US" w:eastAsia="ru-RU" w:bidi="ru-RU"/>
        </w:rPr>
        <w:t>essential</w:t>
      </w:r>
      <w:r w:rsidRPr="00AD70E8">
        <w:rPr>
          <w:rFonts w:cs="Garamond"/>
          <w:color w:val="auto"/>
          <w:sz w:val="28"/>
          <w:szCs w:val="28"/>
          <w:lang w:val="en-US" w:eastAsia="ru-RU" w:bidi="ru-RU"/>
        </w:rPr>
        <w:t>ly a risk transfer mechanism, removing, for a premium, the potential financial loss from the individual or entity and placing it upon the insurer;</w:t>
      </w:r>
    </w:p>
    <w:p w14:paraId="70C76AC1" w14:textId="77777777" w:rsidR="00FB375D" w:rsidRPr="00AD70E8" w:rsidRDefault="00FB375D" w:rsidP="0086285C">
      <w:pPr>
        <w:numPr>
          <w:ilvl w:val="0"/>
          <w:numId w:val="205"/>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 xml:space="preserve">savings: </w:t>
      </w:r>
      <w:r w:rsidRPr="00AD70E8">
        <w:rPr>
          <w:rFonts w:cs="Garamond"/>
          <w:color w:val="auto"/>
          <w:sz w:val="28"/>
          <w:szCs w:val="28"/>
          <w:lang w:val="en-US" w:eastAsia="ru-RU" w:bidi="ru-RU"/>
        </w:rPr>
        <w:t>this is particularly the function of life insurance, which offers a convenient and effective way of making savings and provides the welfare of people in old age or family tragedy;</w:t>
      </w:r>
    </w:p>
    <w:p w14:paraId="2D576C25" w14:textId="77777777" w:rsidR="00FB375D" w:rsidRPr="00AD70E8" w:rsidRDefault="00FB375D" w:rsidP="0086285C">
      <w:pPr>
        <w:numPr>
          <w:ilvl w:val="0"/>
          <w:numId w:val="205"/>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financial compensation:</w:t>
      </w:r>
      <w:r w:rsidRPr="00AD70E8">
        <w:rPr>
          <w:rFonts w:cs="Garamond"/>
          <w:color w:val="auto"/>
          <w:sz w:val="28"/>
          <w:szCs w:val="28"/>
          <w:lang w:val="en-US" w:eastAsia="ru-RU" w:bidi="ru-RU"/>
        </w:rPr>
        <w:t xml:space="preserve"> insurance enables businesses to survive major losses (e.</w:t>
      </w:r>
      <w:r w:rsidR="00AD2427">
        <w:rPr>
          <w:rFonts w:cs="Garamond"/>
          <w:color w:val="auto"/>
          <w:sz w:val="28"/>
          <w:szCs w:val="28"/>
          <w:lang w:val="en-US" w:eastAsia="ru-RU" w:bidi="ru-RU"/>
        </w:rPr>
        <w:t xml:space="preserve"> </w:t>
      </w:r>
      <w:r w:rsidRPr="00AD70E8">
        <w:rPr>
          <w:rFonts w:cs="Garamond"/>
          <w:color w:val="auto"/>
          <w:sz w:val="28"/>
          <w:szCs w:val="28"/>
          <w:lang w:val="en-US" w:eastAsia="ru-RU" w:bidi="ru-RU"/>
        </w:rPr>
        <w:t>g. accidents, fires) and provides the money to persons in times of tragedy or other times of need.</w:t>
      </w:r>
    </w:p>
    <w:p w14:paraId="0DDC8EDA" w14:textId="77777777" w:rsidR="00FB375D" w:rsidRPr="00AD70E8" w:rsidRDefault="00FB375D" w:rsidP="0086285C">
      <w:pPr>
        <w:numPr>
          <w:ilvl w:val="0"/>
          <w:numId w:val="205"/>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lastRenderedPageBreak/>
        <w:t xml:space="preserve">loss prevention and loss reduction: </w:t>
      </w:r>
      <w:r w:rsidRPr="00AD70E8">
        <w:rPr>
          <w:rFonts w:cs="Garamond"/>
          <w:color w:val="auto"/>
          <w:sz w:val="28"/>
          <w:szCs w:val="28"/>
          <w:lang w:val="en-US" w:eastAsia="ru-RU" w:bidi="ru-RU"/>
        </w:rPr>
        <w:t>the practice of insurance includes various surveys and inspections related to risk management, which is usually followed by requirements or recommendations to decrease the exposure to the risk;</w:t>
      </w:r>
    </w:p>
    <w:p w14:paraId="6160F8A4" w14:textId="77777777" w:rsidR="00FB375D" w:rsidRPr="00AD70E8" w:rsidRDefault="00FB375D" w:rsidP="0086285C">
      <w:pPr>
        <w:numPr>
          <w:ilvl w:val="0"/>
          <w:numId w:val="205"/>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investments (economic development):</w:t>
      </w:r>
      <w:r w:rsidRPr="00AD70E8">
        <w:rPr>
          <w:rFonts w:cs="Garamond"/>
          <w:color w:val="auto"/>
          <w:sz w:val="28"/>
          <w:szCs w:val="28"/>
          <w:lang w:val="en-US" w:eastAsia="ru-RU" w:bidi="ru-RU"/>
        </w:rPr>
        <w:t xml:space="preserve"> insurance companies are able to accumulate large amounts of financial resources in their funds and, therefore, they are important investors in the financial market.</w:t>
      </w:r>
    </w:p>
    <w:p w14:paraId="602F954D"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Principles of insurance are the following:</w:t>
      </w:r>
    </w:p>
    <w:p w14:paraId="1C7F9021" w14:textId="77777777" w:rsidR="00FB375D" w:rsidRPr="00AD70E8" w:rsidRDefault="00FB375D" w:rsidP="0086285C">
      <w:pPr>
        <w:numPr>
          <w:ilvl w:val="0"/>
          <w:numId w:val="96"/>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Insurance companies have the freedom to choose the line of insurance business, and policyholders are free to choose the insurer.</w:t>
      </w:r>
      <w:r w:rsidRPr="00AD70E8">
        <w:rPr>
          <w:rFonts w:cs="Garamond"/>
          <w:color w:val="auto"/>
          <w:sz w:val="28"/>
          <w:szCs w:val="28"/>
          <w:lang w:val="en-US" w:eastAsia="ru-RU" w:bidi="ru-RU"/>
        </w:rPr>
        <w:t xml:space="preserve"> This principle is limited in compulsory insurance.</w:t>
      </w:r>
    </w:p>
    <w:p w14:paraId="64C8FDB4" w14:textId="77777777" w:rsidR="00FB375D" w:rsidRPr="00AD70E8" w:rsidRDefault="00FB375D" w:rsidP="0086285C">
      <w:pPr>
        <w:numPr>
          <w:ilvl w:val="0"/>
          <w:numId w:val="96"/>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 xml:space="preserve">Proximate cause. </w:t>
      </w:r>
      <w:r w:rsidRPr="00AD70E8">
        <w:rPr>
          <w:rFonts w:cs="Garamond"/>
          <w:color w:val="auto"/>
          <w:sz w:val="28"/>
          <w:szCs w:val="28"/>
          <w:lang w:val="en-US" w:eastAsia="ru-RU" w:bidi="ru-RU"/>
        </w:rPr>
        <w:t xml:space="preserve">Not every cause of loss is covered under the insurance contract. By this criterion, all perils are classified into insured, excepted (excluded) and uninsured.  For the purposes of an insurance claim, only one dominant cause must be singled out in each case. </w:t>
      </w:r>
    </w:p>
    <w:p w14:paraId="0DB9D9AE" w14:textId="77777777" w:rsidR="00FB375D" w:rsidRPr="00AD70E8" w:rsidRDefault="00FB375D" w:rsidP="0086285C">
      <w:pPr>
        <w:numPr>
          <w:ilvl w:val="0"/>
          <w:numId w:val="96"/>
        </w:numPr>
        <w:spacing w:line="312" w:lineRule="auto"/>
        <w:ind w:left="1276" w:hanging="567"/>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t xml:space="preserve">Insurable interest. </w:t>
      </w:r>
      <w:r w:rsidRPr="00AD70E8">
        <w:rPr>
          <w:rFonts w:cs="Garamond"/>
          <w:color w:val="auto"/>
          <w:sz w:val="28"/>
          <w:szCs w:val="28"/>
          <w:lang w:val="en-US" w:eastAsia="ru-RU" w:bidi="ru-RU"/>
        </w:rPr>
        <w:t>The principle means a person’s legally recognized relationship to the subject matter of insurance that gives them the right to effect insurance on it.</w:t>
      </w:r>
    </w:p>
    <w:p w14:paraId="2DE0A248" w14:textId="77777777" w:rsidR="00FB375D" w:rsidRPr="00AD70E8" w:rsidRDefault="00FB375D" w:rsidP="0086285C">
      <w:pPr>
        <w:numPr>
          <w:ilvl w:val="0"/>
          <w:numId w:val="96"/>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Utmost good faith.</w:t>
      </w:r>
      <w:r w:rsidRPr="00AD70E8">
        <w:rPr>
          <w:rFonts w:eastAsia="Calibri"/>
          <w:color w:val="auto"/>
          <w:sz w:val="28"/>
          <w:szCs w:val="28"/>
          <w:lang w:eastAsia="en-US"/>
        </w:rPr>
        <w:t xml:space="preserve"> </w:t>
      </w:r>
      <w:r w:rsidRPr="00AD70E8">
        <w:rPr>
          <w:rFonts w:cs="Garamond"/>
          <w:color w:val="auto"/>
          <w:sz w:val="28"/>
          <w:szCs w:val="28"/>
          <w:lang w:val="en-US" w:eastAsia="ru-RU" w:bidi="ru-RU"/>
        </w:rPr>
        <w:t xml:space="preserve">Each party in insurance contract (policyholder, insurer) is under a duty to reveal all vital information to the other party, whether </w:t>
      </w:r>
      <w:r w:rsidR="00AD2427">
        <w:rPr>
          <w:rFonts w:cs="Garamond"/>
          <w:color w:val="auto"/>
          <w:sz w:val="28"/>
          <w:szCs w:val="28"/>
          <w:lang w:val="en-US" w:eastAsia="ru-RU" w:bidi="ru-RU"/>
        </w:rPr>
        <w:t>the</w:t>
      </w:r>
      <w:r w:rsidRPr="00AD70E8">
        <w:rPr>
          <w:rFonts w:cs="Garamond"/>
          <w:color w:val="auto"/>
          <w:sz w:val="28"/>
          <w:szCs w:val="28"/>
          <w:lang w:val="en-US" w:eastAsia="ru-RU" w:bidi="ru-RU"/>
        </w:rPr>
        <w:t xml:space="preserve"> other party asks for it</w:t>
      </w:r>
      <w:r w:rsidR="00AD2427" w:rsidRPr="00AD2427">
        <w:rPr>
          <w:rFonts w:cs="Garamond"/>
          <w:color w:val="auto"/>
          <w:sz w:val="28"/>
          <w:szCs w:val="28"/>
          <w:lang w:val="en-US" w:eastAsia="ru-RU" w:bidi="ru-RU"/>
        </w:rPr>
        <w:t xml:space="preserve"> </w:t>
      </w:r>
      <w:r w:rsidR="00AD2427" w:rsidRPr="00AD70E8">
        <w:rPr>
          <w:rFonts w:cs="Garamond"/>
          <w:color w:val="auto"/>
          <w:sz w:val="28"/>
          <w:szCs w:val="28"/>
          <w:lang w:val="en-US" w:eastAsia="ru-RU" w:bidi="ru-RU"/>
        </w:rPr>
        <w:t>or not</w:t>
      </w:r>
      <w:r w:rsidRPr="00AD70E8">
        <w:rPr>
          <w:rFonts w:cs="Garamond"/>
          <w:color w:val="auto"/>
          <w:sz w:val="28"/>
          <w:szCs w:val="28"/>
          <w:lang w:val="en-US" w:eastAsia="ru-RU" w:bidi="ru-RU"/>
        </w:rPr>
        <w:t>.</w:t>
      </w:r>
    </w:p>
    <w:p w14:paraId="1DBE753B" w14:textId="77777777" w:rsidR="00FB375D" w:rsidRPr="00AD70E8" w:rsidRDefault="00FB375D" w:rsidP="0086285C">
      <w:pPr>
        <w:numPr>
          <w:ilvl w:val="0"/>
          <w:numId w:val="96"/>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The principle of indemnity.</w:t>
      </w:r>
      <w:r w:rsidRPr="00AD70E8">
        <w:rPr>
          <w:rFonts w:eastAsia="Calibri"/>
          <w:color w:val="auto"/>
          <w:sz w:val="28"/>
          <w:szCs w:val="28"/>
          <w:lang w:eastAsia="en-US"/>
        </w:rPr>
        <w:t xml:space="preserve"> </w:t>
      </w:r>
      <w:r w:rsidRPr="00AD70E8">
        <w:rPr>
          <w:rFonts w:cs="Garamond"/>
          <w:color w:val="auto"/>
          <w:sz w:val="28"/>
          <w:szCs w:val="28"/>
          <w:lang w:val="en-US" w:eastAsia="ru-RU" w:bidi="ru-RU"/>
        </w:rPr>
        <w:t xml:space="preserve">The principle means providing an exact financial compensation for an insured loss, and no gain. It cannot </w:t>
      </w:r>
      <w:r w:rsidR="00AD2427">
        <w:rPr>
          <w:rFonts w:cs="Garamond"/>
          <w:color w:val="auto"/>
          <w:sz w:val="28"/>
          <w:szCs w:val="28"/>
          <w:lang w:val="en-US" w:eastAsia="ru-RU" w:bidi="ru-RU"/>
        </w:rPr>
        <w:t xml:space="preserve">be </w:t>
      </w:r>
      <w:r w:rsidRPr="00AD70E8">
        <w:rPr>
          <w:rFonts w:cs="Garamond"/>
          <w:color w:val="auto"/>
          <w:sz w:val="28"/>
          <w:szCs w:val="28"/>
          <w:lang w:val="en-US" w:eastAsia="ru-RU" w:bidi="ru-RU"/>
        </w:rPr>
        <w:t>appl</w:t>
      </w:r>
      <w:r w:rsidR="00AD2427">
        <w:rPr>
          <w:rFonts w:cs="Garamond"/>
          <w:color w:val="auto"/>
          <w:sz w:val="28"/>
          <w:szCs w:val="28"/>
          <w:lang w:val="en-US" w:eastAsia="ru-RU" w:bidi="ru-RU"/>
        </w:rPr>
        <w:t>ied</w:t>
      </w:r>
      <w:r w:rsidRPr="00AD70E8">
        <w:rPr>
          <w:rFonts w:cs="Garamond"/>
          <w:color w:val="auto"/>
          <w:sz w:val="28"/>
          <w:szCs w:val="28"/>
          <w:lang w:val="en-US" w:eastAsia="ru-RU" w:bidi="ru-RU"/>
        </w:rPr>
        <w:t xml:space="preserve"> to life insurance.</w:t>
      </w:r>
    </w:p>
    <w:p w14:paraId="2EA42071" w14:textId="77777777" w:rsidR="00FB375D" w:rsidRPr="00AD70E8" w:rsidRDefault="00FB375D" w:rsidP="0086285C">
      <w:pPr>
        <w:numPr>
          <w:ilvl w:val="0"/>
          <w:numId w:val="96"/>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Deductible.</w:t>
      </w:r>
      <w:r w:rsidRPr="00AD70E8">
        <w:rPr>
          <w:rFonts w:cs="Garamond"/>
          <w:color w:val="auto"/>
          <w:sz w:val="28"/>
          <w:szCs w:val="28"/>
          <w:lang w:val="en-US" w:eastAsia="ru-RU" w:bidi="ru-RU"/>
        </w:rPr>
        <w:t xml:space="preserve"> Deductibles are normally provided as </w:t>
      </w:r>
      <w:r w:rsidR="00AD2427">
        <w:rPr>
          <w:rFonts w:cs="Garamond"/>
          <w:color w:val="auto"/>
          <w:sz w:val="28"/>
          <w:szCs w:val="28"/>
          <w:lang w:val="en-US" w:eastAsia="ru-RU" w:bidi="ru-RU"/>
        </w:rPr>
        <w:t>cautions</w:t>
      </w:r>
      <w:r w:rsidRPr="00AD70E8">
        <w:rPr>
          <w:rFonts w:cs="Garamond"/>
          <w:color w:val="auto"/>
          <w:sz w:val="28"/>
          <w:szCs w:val="28"/>
          <w:lang w:val="en-US" w:eastAsia="ru-RU" w:bidi="ru-RU"/>
        </w:rPr>
        <w:t xml:space="preserve"> in an insurance policy that determine an amount the insurer will deduct from the loss before paying up to its policy limits. Depending on the policy, the deductible may</w:t>
      </w:r>
      <w:r w:rsidR="00AD2427">
        <w:rPr>
          <w:rFonts w:cs="Garamond"/>
          <w:color w:val="auto"/>
          <w:sz w:val="28"/>
          <w:szCs w:val="28"/>
          <w:lang w:val="en-US" w:eastAsia="ru-RU" w:bidi="ru-RU"/>
        </w:rPr>
        <w:t xml:space="preserve"> be applied</w:t>
      </w:r>
      <w:r w:rsidRPr="00AD70E8">
        <w:rPr>
          <w:rFonts w:cs="Garamond"/>
          <w:color w:val="auto"/>
          <w:sz w:val="28"/>
          <w:szCs w:val="28"/>
          <w:lang w:val="en-US" w:eastAsia="ru-RU" w:bidi="ru-RU"/>
        </w:rPr>
        <w:t xml:space="preserve"> per covered event, or per year. There are two types of deductibles – ordinary and franchise, the</w:t>
      </w:r>
      <w:r w:rsidR="00AD2427">
        <w:rPr>
          <w:rFonts w:cs="Garamond"/>
          <w:color w:val="auto"/>
          <w:sz w:val="28"/>
          <w:szCs w:val="28"/>
          <w:lang w:val="en-US" w:eastAsia="ru-RU" w:bidi="ru-RU"/>
        </w:rPr>
        <w:t>ir description is presented in T</w:t>
      </w:r>
      <w:r w:rsidRPr="00AD70E8">
        <w:rPr>
          <w:rFonts w:cs="Garamond"/>
          <w:color w:val="auto"/>
          <w:sz w:val="28"/>
          <w:szCs w:val="28"/>
          <w:lang w:val="en-US" w:eastAsia="ru-RU" w:bidi="ru-RU"/>
        </w:rPr>
        <w:t>able 10.1.</w:t>
      </w:r>
    </w:p>
    <w:p w14:paraId="697D57E1" w14:textId="77777777" w:rsidR="00AD70E8" w:rsidRPr="00AD70E8" w:rsidRDefault="00AD70E8" w:rsidP="0086285C">
      <w:pPr>
        <w:numPr>
          <w:ilvl w:val="0"/>
          <w:numId w:val="96"/>
        </w:numPr>
        <w:spacing w:line="312" w:lineRule="auto"/>
        <w:ind w:left="1276" w:hanging="567"/>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 xml:space="preserve">Subrogation. </w:t>
      </w:r>
      <w:r w:rsidRPr="00AD70E8">
        <w:rPr>
          <w:rFonts w:cs="Garamond"/>
          <w:color w:val="auto"/>
          <w:sz w:val="28"/>
          <w:szCs w:val="28"/>
          <w:lang w:val="en-US" w:eastAsia="ru-RU" w:bidi="ru-RU"/>
        </w:rPr>
        <w:t>The principle allows proceeds of claim against the third party be passed to insurers, to the extent of their insurance payments.</w:t>
      </w:r>
    </w:p>
    <w:p w14:paraId="08A141DC" w14:textId="77777777" w:rsidR="00AD70E8" w:rsidRPr="00AD70E8" w:rsidRDefault="00AD70E8" w:rsidP="0086285C">
      <w:pPr>
        <w:numPr>
          <w:ilvl w:val="0"/>
          <w:numId w:val="96"/>
        </w:numPr>
        <w:spacing w:line="312" w:lineRule="auto"/>
        <w:ind w:left="1276" w:hanging="567"/>
        <w:contextualSpacing/>
        <w:jc w:val="both"/>
        <w:rPr>
          <w:rFonts w:cs="Garamond"/>
          <w:color w:val="auto"/>
          <w:sz w:val="28"/>
          <w:szCs w:val="28"/>
          <w:lang w:val="en-US" w:eastAsia="ru-RU" w:bidi="ru-RU"/>
        </w:rPr>
      </w:pPr>
      <w:r w:rsidRPr="00AD70E8">
        <w:rPr>
          <w:rFonts w:cs="Garamond"/>
          <w:b/>
          <w:color w:val="auto"/>
          <w:sz w:val="28"/>
          <w:szCs w:val="28"/>
          <w:lang w:val="en-US" w:eastAsia="ru-RU" w:bidi="ru-RU"/>
        </w:rPr>
        <w:lastRenderedPageBreak/>
        <w:t xml:space="preserve">Diversification. </w:t>
      </w:r>
      <w:r w:rsidRPr="00AD70E8">
        <w:rPr>
          <w:rFonts w:cs="Garamond"/>
          <w:color w:val="auto"/>
          <w:sz w:val="28"/>
          <w:szCs w:val="28"/>
          <w:lang w:val="en-US" w:eastAsia="ru-RU" w:bidi="ru-RU"/>
        </w:rPr>
        <w:t>The principle means the need to expand activities beyond the insurer's core business to ensure profitability. However, types of insurer’s activity can be limited by law.</w:t>
      </w:r>
    </w:p>
    <w:p w14:paraId="2D6856B6" w14:textId="77777777" w:rsidR="00AD70E8" w:rsidRDefault="00AD70E8"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The contracts taken out between insurance companies and their customers are called insurance contracts or insurance policies.</w:t>
      </w:r>
    </w:p>
    <w:p w14:paraId="16D34A07" w14:textId="77777777" w:rsidR="0086285C" w:rsidRPr="00AD70E8" w:rsidRDefault="0086285C" w:rsidP="0086285C">
      <w:pPr>
        <w:spacing w:line="312" w:lineRule="auto"/>
        <w:ind w:firstLine="709"/>
        <w:jc w:val="both"/>
        <w:rPr>
          <w:rFonts w:cs="Garamond"/>
          <w:color w:val="auto"/>
          <w:sz w:val="28"/>
          <w:szCs w:val="28"/>
          <w:lang w:val="en-US" w:eastAsia="ru-RU" w:bidi="ru-RU"/>
        </w:rPr>
      </w:pPr>
    </w:p>
    <w:p w14:paraId="42CBB414" w14:textId="77777777" w:rsidR="00FB375D" w:rsidRPr="00AD70E8" w:rsidRDefault="00FB375D" w:rsidP="00D1006D">
      <w:pPr>
        <w:spacing w:line="312" w:lineRule="auto"/>
        <w:contextualSpacing/>
        <w:jc w:val="both"/>
        <w:rPr>
          <w:rFonts w:cs="Garamond"/>
          <w:b/>
          <w:color w:val="auto"/>
          <w:sz w:val="28"/>
          <w:szCs w:val="28"/>
          <w:lang w:val="en-US" w:eastAsia="ru-RU" w:bidi="ru-RU"/>
        </w:rPr>
      </w:pPr>
      <w:r w:rsidRPr="00AD70E8">
        <w:rPr>
          <w:rFonts w:cs="Garamond"/>
          <w:b/>
          <w:color w:val="auto"/>
          <w:sz w:val="28"/>
          <w:szCs w:val="28"/>
          <w:lang w:val="en-US" w:eastAsia="ru-RU" w:bidi="ru-RU"/>
        </w:rPr>
        <w:t>Table 10.1</w:t>
      </w:r>
      <w:r w:rsidR="0086285C">
        <w:rPr>
          <w:rFonts w:cs="Garamond"/>
          <w:b/>
          <w:color w:val="auto"/>
          <w:sz w:val="28"/>
          <w:szCs w:val="28"/>
          <w:lang w:val="en-US" w:eastAsia="ru-RU" w:bidi="ru-RU"/>
        </w:rPr>
        <w:t xml:space="preserve"> </w:t>
      </w:r>
      <w:r w:rsidR="0086285C" w:rsidRPr="00305E02">
        <w:rPr>
          <w:rFonts w:cs="Garamond"/>
          <w:color w:val="auto"/>
          <w:sz w:val="28"/>
          <w:lang w:val="en-US" w:eastAsia="ru-RU" w:bidi="ru-RU"/>
        </w:rPr>
        <w:t>–</w:t>
      </w:r>
      <w:r w:rsidR="0086285C">
        <w:rPr>
          <w:rFonts w:cs="Garamond"/>
          <w:color w:val="auto"/>
          <w:sz w:val="28"/>
          <w:lang w:val="en-US" w:eastAsia="ru-RU" w:bidi="ru-RU"/>
        </w:rPr>
        <w:t xml:space="preserve"> </w:t>
      </w:r>
      <w:r w:rsidRPr="00AD70E8">
        <w:rPr>
          <w:rFonts w:cs="Garamond"/>
          <w:b/>
          <w:color w:val="auto"/>
          <w:sz w:val="28"/>
          <w:szCs w:val="28"/>
          <w:lang w:val="en-US" w:eastAsia="ru-RU" w:bidi="ru-RU"/>
        </w:rPr>
        <w:t>Comparative analysis of deductibles in insurance</w:t>
      </w:r>
    </w:p>
    <w:tbl>
      <w:tblPr>
        <w:tblStyle w:val="50"/>
        <w:tblW w:w="4926" w:type="pct"/>
        <w:jc w:val="center"/>
        <w:tblCellMar>
          <w:top w:w="28" w:type="dxa"/>
          <w:bottom w:w="28" w:type="dxa"/>
        </w:tblCellMar>
        <w:tblLook w:val="04A0" w:firstRow="1" w:lastRow="0" w:firstColumn="1" w:lastColumn="0" w:noHBand="0" w:noVBand="1"/>
      </w:tblPr>
      <w:tblGrid>
        <w:gridCol w:w="1500"/>
        <w:gridCol w:w="3624"/>
        <w:gridCol w:w="4193"/>
      </w:tblGrid>
      <w:tr w:rsidR="00FB375D" w:rsidRPr="00AD70E8" w14:paraId="0F4E57B6" w14:textId="77777777" w:rsidTr="00AD70E8">
        <w:trPr>
          <w:jc w:val="center"/>
        </w:trPr>
        <w:tc>
          <w:tcPr>
            <w:tcW w:w="805" w:type="pct"/>
            <w:shd w:val="clear" w:color="auto" w:fill="D9D9D9" w:themeFill="background1" w:themeFillShade="D9"/>
            <w:tcMar>
              <w:top w:w="0" w:type="dxa"/>
              <w:left w:w="28" w:type="dxa"/>
              <w:bottom w:w="0" w:type="dxa"/>
              <w:right w:w="28" w:type="dxa"/>
            </w:tcMar>
            <w:vAlign w:val="center"/>
          </w:tcPr>
          <w:p w14:paraId="1BC82C53" w14:textId="77777777" w:rsidR="00FB375D" w:rsidRPr="00AD70E8" w:rsidRDefault="00FB375D" w:rsidP="00AD70E8">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Criteria</w:t>
            </w:r>
          </w:p>
        </w:tc>
        <w:tc>
          <w:tcPr>
            <w:tcW w:w="1945" w:type="pct"/>
            <w:shd w:val="clear" w:color="auto" w:fill="D9D9D9" w:themeFill="background1" w:themeFillShade="D9"/>
            <w:tcMar>
              <w:top w:w="0" w:type="dxa"/>
              <w:left w:w="28" w:type="dxa"/>
              <w:bottom w:w="0" w:type="dxa"/>
              <w:right w:w="28" w:type="dxa"/>
            </w:tcMar>
            <w:vAlign w:val="center"/>
          </w:tcPr>
          <w:p w14:paraId="69592372" w14:textId="77777777" w:rsidR="00FB375D" w:rsidRPr="00AD70E8" w:rsidRDefault="00FB375D" w:rsidP="00AD70E8">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Ordinary deductible</w:t>
            </w:r>
          </w:p>
        </w:tc>
        <w:tc>
          <w:tcPr>
            <w:tcW w:w="2250" w:type="pct"/>
            <w:shd w:val="clear" w:color="auto" w:fill="D9D9D9" w:themeFill="background1" w:themeFillShade="D9"/>
            <w:tcMar>
              <w:top w:w="0" w:type="dxa"/>
              <w:left w:w="28" w:type="dxa"/>
              <w:bottom w:w="0" w:type="dxa"/>
              <w:right w:w="28" w:type="dxa"/>
            </w:tcMar>
            <w:vAlign w:val="center"/>
          </w:tcPr>
          <w:p w14:paraId="1BB1CE91" w14:textId="77777777" w:rsidR="00FB375D" w:rsidRPr="00AD70E8" w:rsidRDefault="00FB375D" w:rsidP="00AD70E8">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Franchise deductible</w:t>
            </w:r>
          </w:p>
        </w:tc>
      </w:tr>
      <w:tr w:rsidR="00FB375D" w:rsidRPr="00AD70E8" w14:paraId="1F0136D9" w14:textId="77777777" w:rsidTr="00AD70E8">
        <w:trPr>
          <w:jc w:val="center"/>
        </w:trPr>
        <w:tc>
          <w:tcPr>
            <w:tcW w:w="805" w:type="pct"/>
            <w:tcMar>
              <w:top w:w="0" w:type="dxa"/>
              <w:left w:w="28" w:type="dxa"/>
              <w:bottom w:w="0" w:type="dxa"/>
              <w:right w:w="28" w:type="dxa"/>
            </w:tcMar>
            <w:vAlign w:val="center"/>
          </w:tcPr>
          <w:p w14:paraId="4B879C16" w14:textId="77777777" w:rsidR="00FB375D" w:rsidRPr="00AD70E8" w:rsidRDefault="00FB375D" w:rsidP="00AD70E8">
            <w:pPr>
              <w:spacing w:line="240" w:lineRule="atLeast"/>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Essence</w:t>
            </w:r>
          </w:p>
        </w:tc>
        <w:tc>
          <w:tcPr>
            <w:tcW w:w="1945" w:type="pct"/>
            <w:tcMar>
              <w:top w:w="0" w:type="dxa"/>
              <w:left w:w="28" w:type="dxa"/>
              <w:bottom w:w="0" w:type="dxa"/>
              <w:right w:w="28" w:type="dxa"/>
            </w:tcMar>
            <w:vAlign w:val="center"/>
          </w:tcPr>
          <w:p w14:paraId="2C7BCFF6" w14:textId="77777777" w:rsidR="00FB375D" w:rsidRPr="00AD70E8" w:rsidRDefault="00FB375D" w:rsidP="00AD70E8">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part of the insurance loss for which the insurer is not liable</w:t>
            </w:r>
          </w:p>
        </w:tc>
        <w:tc>
          <w:tcPr>
            <w:tcW w:w="2250" w:type="pct"/>
            <w:tcMar>
              <w:top w:w="0" w:type="dxa"/>
              <w:left w:w="28" w:type="dxa"/>
              <w:bottom w:w="0" w:type="dxa"/>
              <w:right w:w="28" w:type="dxa"/>
            </w:tcMar>
            <w:vAlign w:val="center"/>
          </w:tcPr>
          <w:p w14:paraId="24E5CD49" w14:textId="77777777" w:rsidR="00FB375D" w:rsidRPr="00AD70E8" w:rsidRDefault="00FB375D" w:rsidP="00AD70E8">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the pure threshold that, when exceeded, transfers liability for the entire expense to the insurer</w:t>
            </w:r>
          </w:p>
        </w:tc>
      </w:tr>
      <w:tr w:rsidR="00FB375D" w:rsidRPr="00AD70E8" w14:paraId="1BDF1A8A" w14:textId="77777777" w:rsidTr="00AD70E8">
        <w:trPr>
          <w:jc w:val="center"/>
        </w:trPr>
        <w:tc>
          <w:tcPr>
            <w:tcW w:w="805" w:type="pct"/>
            <w:tcMar>
              <w:top w:w="0" w:type="dxa"/>
              <w:left w:w="28" w:type="dxa"/>
              <w:bottom w:w="0" w:type="dxa"/>
              <w:right w:w="28" w:type="dxa"/>
            </w:tcMar>
            <w:vAlign w:val="center"/>
          </w:tcPr>
          <w:p w14:paraId="0CA1E7B2" w14:textId="77777777" w:rsidR="00FB375D" w:rsidRPr="00AD70E8" w:rsidRDefault="00FB375D" w:rsidP="00AD70E8">
            <w:pPr>
              <w:spacing w:line="240" w:lineRule="atLeast"/>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Deductible amount</w:t>
            </w:r>
          </w:p>
        </w:tc>
        <w:tc>
          <w:tcPr>
            <w:tcW w:w="4195" w:type="pct"/>
            <w:gridSpan w:val="2"/>
            <w:tcMar>
              <w:top w:w="0" w:type="dxa"/>
              <w:left w:w="28" w:type="dxa"/>
              <w:bottom w:w="0" w:type="dxa"/>
              <w:right w:w="28" w:type="dxa"/>
            </w:tcMar>
            <w:vAlign w:val="center"/>
          </w:tcPr>
          <w:p w14:paraId="3A42485E" w14:textId="77777777" w:rsidR="00FB375D" w:rsidRPr="00AD70E8" w:rsidRDefault="00FB375D" w:rsidP="00AF5B66">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 xml:space="preserve">Sum insured </w:t>
            </w:r>
            <w:r w:rsidR="00AF5B66">
              <w:rPr>
                <w:rFonts w:ascii="Garamond" w:eastAsia="Calibri" w:hAnsi="Garamond" w:cs="Garamond"/>
                <w:sz w:val="28"/>
                <w:szCs w:val="28"/>
                <w:lang w:val="en-US" w:eastAsia="en-US" w:bidi="ru-RU"/>
              </w:rPr>
              <w:t>∙</w:t>
            </w:r>
            <w:r w:rsidRPr="00AD70E8">
              <w:rPr>
                <w:rFonts w:ascii="Garamond" w:eastAsia="Calibri" w:hAnsi="Garamond" w:cs="Garamond"/>
                <w:sz w:val="28"/>
                <w:szCs w:val="28"/>
                <w:lang w:val="en-US" w:eastAsia="en-US" w:bidi="ru-RU"/>
              </w:rPr>
              <w:t xml:space="preserve"> Deductible rate (%)</w:t>
            </w:r>
          </w:p>
        </w:tc>
      </w:tr>
      <w:tr w:rsidR="00FB375D" w:rsidRPr="00AD70E8" w14:paraId="134C7535" w14:textId="77777777" w:rsidTr="00AD70E8">
        <w:trPr>
          <w:jc w:val="center"/>
        </w:trPr>
        <w:tc>
          <w:tcPr>
            <w:tcW w:w="805" w:type="pct"/>
            <w:tcMar>
              <w:top w:w="0" w:type="dxa"/>
              <w:left w:w="28" w:type="dxa"/>
              <w:bottom w:w="0" w:type="dxa"/>
              <w:right w:w="28" w:type="dxa"/>
            </w:tcMar>
            <w:vAlign w:val="center"/>
          </w:tcPr>
          <w:p w14:paraId="5909D22F" w14:textId="77777777" w:rsidR="00FB375D" w:rsidRPr="00AD70E8" w:rsidRDefault="00FB375D" w:rsidP="00AD70E8">
            <w:pPr>
              <w:spacing w:line="240" w:lineRule="atLeast"/>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Amount of insurance payment</w:t>
            </w:r>
          </w:p>
        </w:tc>
        <w:tc>
          <w:tcPr>
            <w:tcW w:w="1945" w:type="pct"/>
            <w:tcMar>
              <w:top w:w="0" w:type="dxa"/>
              <w:left w:w="28" w:type="dxa"/>
              <w:bottom w:w="0" w:type="dxa"/>
              <w:right w:w="28" w:type="dxa"/>
            </w:tcMar>
            <w:vAlign w:val="center"/>
          </w:tcPr>
          <w:p w14:paraId="68D13BCC" w14:textId="77777777" w:rsidR="00FB375D" w:rsidRPr="00AD70E8" w:rsidRDefault="00FB375D" w:rsidP="00AD70E8">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Payment = Claim – Deductible</w:t>
            </w:r>
          </w:p>
          <w:p w14:paraId="3DF00270" w14:textId="77777777" w:rsidR="00FB375D" w:rsidRPr="00AD70E8" w:rsidRDefault="00FB375D" w:rsidP="00AD2427">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(if Claim &lt; Deductible, Payment</w:t>
            </w:r>
            <w:r w:rsidR="00AD2427">
              <w:rPr>
                <w:rFonts w:ascii="Garamond" w:eastAsia="Calibri" w:hAnsi="Garamond" w:cs="Garamond"/>
                <w:sz w:val="28"/>
                <w:szCs w:val="28"/>
                <w:lang w:val="en-US" w:eastAsia="en-US" w:bidi="ru-RU"/>
              </w:rPr>
              <w:t> </w:t>
            </w:r>
            <w:r w:rsidRPr="00AD70E8">
              <w:rPr>
                <w:rFonts w:ascii="Garamond" w:eastAsia="Calibri" w:hAnsi="Garamond" w:cs="Garamond"/>
                <w:sz w:val="28"/>
                <w:szCs w:val="28"/>
                <w:lang w:val="en-US" w:eastAsia="en-US" w:bidi="ru-RU"/>
              </w:rPr>
              <w:t>= 0)</w:t>
            </w:r>
          </w:p>
        </w:tc>
        <w:tc>
          <w:tcPr>
            <w:tcW w:w="2250" w:type="pct"/>
            <w:tcMar>
              <w:top w:w="0" w:type="dxa"/>
              <w:left w:w="28" w:type="dxa"/>
              <w:bottom w:w="0" w:type="dxa"/>
              <w:right w:w="28" w:type="dxa"/>
            </w:tcMar>
            <w:vAlign w:val="center"/>
          </w:tcPr>
          <w:p w14:paraId="3B9A49CC" w14:textId="77777777" w:rsidR="00FB375D" w:rsidRPr="00AD70E8" w:rsidRDefault="00FB375D" w:rsidP="00AD70E8">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if Claim &gt; Deductible, Payment</w:t>
            </w:r>
            <w:r w:rsidR="00AD2427">
              <w:rPr>
                <w:rFonts w:ascii="Garamond" w:eastAsia="Calibri" w:hAnsi="Garamond" w:cs="Garamond"/>
                <w:sz w:val="28"/>
                <w:szCs w:val="28"/>
                <w:lang w:val="en-US" w:eastAsia="en-US" w:bidi="ru-RU"/>
              </w:rPr>
              <w:t xml:space="preserve"> = </w:t>
            </w:r>
            <w:r w:rsidRPr="00AD70E8">
              <w:rPr>
                <w:rFonts w:ascii="Garamond" w:eastAsia="Calibri" w:hAnsi="Garamond" w:cs="Garamond"/>
                <w:sz w:val="28"/>
                <w:szCs w:val="28"/>
                <w:lang w:val="en-US" w:eastAsia="en-US" w:bidi="ru-RU"/>
              </w:rPr>
              <w:t xml:space="preserve"> = </w:t>
            </w:r>
            <w:r w:rsidR="00AD2427">
              <w:rPr>
                <w:rFonts w:ascii="Garamond" w:eastAsia="Calibri" w:hAnsi="Garamond" w:cs="Garamond"/>
                <w:sz w:val="28"/>
                <w:szCs w:val="28"/>
                <w:lang w:val="en-US" w:eastAsia="en-US" w:bidi="ru-RU"/>
              </w:rPr>
              <w:t> </w:t>
            </w:r>
            <w:r w:rsidRPr="00AD70E8">
              <w:rPr>
                <w:rFonts w:ascii="Garamond" w:eastAsia="Calibri" w:hAnsi="Garamond" w:cs="Garamond"/>
                <w:sz w:val="28"/>
                <w:szCs w:val="28"/>
                <w:lang w:val="en-US" w:eastAsia="en-US" w:bidi="ru-RU"/>
              </w:rPr>
              <w:t>Claim</w:t>
            </w:r>
          </w:p>
          <w:p w14:paraId="290DD90C" w14:textId="77777777" w:rsidR="00FB375D" w:rsidRPr="00AD70E8" w:rsidRDefault="00FB375D" w:rsidP="00AD2427">
            <w:pPr>
              <w:spacing w:line="240" w:lineRule="atLeast"/>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 xml:space="preserve"> if Claim &lt; or = Deductible, Payment</w:t>
            </w:r>
            <w:r w:rsidR="00AD2427">
              <w:rPr>
                <w:rFonts w:ascii="Garamond" w:eastAsia="Calibri" w:hAnsi="Garamond" w:cs="Garamond"/>
                <w:sz w:val="28"/>
                <w:szCs w:val="28"/>
                <w:lang w:val="en-US" w:eastAsia="en-US" w:bidi="ru-RU"/>
              </w:rPr>
              <w:t> </w:t>
            </w:r>
            <w:r w:rsidRPr="00AD70E8">
              <w:rPr>
                <w:rFonts w:ascii="Garamond" w:eastAsia="Calibri" w:hAnsi="Garamond" w:cs="Garamond"/>
                <w:sz w:val="28"/>
                <w:szCs w:val="28"/>
                <w:lang w:val="en-US" w:eastAsia="en-US" w:bidi="ru-RU"/>
              </w:rPr>
              <w:t>= 0</w:t>
            </w:r>
          </w:p>
        </w:tc>
      </w:tr>
    </w:tbl>
    <w:p w14:paraId="77392F8B" w14:textId="77777777" w:rsidR="00FB375D" w:rsidRPr="00AD70E8" w:rsidRDefault="00FB375D" w:rsidP="00FB375D">
      <w:pPr>
        <w:spacing w:line="312" w:lineRule="auto"/>
        <w:ind w:left="717"/>
        <w:contextualSpacing/>
        <w:jc w:val="both"/>
        <w:rPr>
          <w:rFonts w:cs="Garamond"/>
          <w:b/>
          <w:color w:val="auto"/>
          <w:sz w:val="28"/>
          <w:szCs w:val="28"/>
          <w:lang w:val="en-US" w:eastAsia="ru-RU" w:bidi="ru-RU"/>
        </w:rPr>
      </w:pPr>
    </w:p>
    <w:p w14:paraId="67E1D7A9"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Insurance contract generally includes the coverage term, the insurance policy limits, the grant of coverage, exclusions and other limitations of coverage. An important feature of an insurance contract is that the insurer takes over the risk that a peril might occur in return for a fee, the premium. Insurance premium is calculated as a multiplication of insurance sum, i.</w:t>
      </w:r>
      <w:r w:rsidR="00AD2427">
        <w:rPr>
          <w:rFonts w:cs="Garamond"/>
          <w:color w:val="auto"/>
          <w:sz w:val="28"/>
          <w:szCs w:val="28"/>
          <w:lang w:val="en-US" w:eastAsia="ru-RU" w:bidi="ru-RU"/>
        </w:rPr>
        <w:t xml:space="preserve"> </w:t>
      </w:r>
      <w:r w:rsidRPr="00AD70E8">
        <w:rPr>
          <w:rFonts w:cs="Garamond"/>
          <w:color w:val="auto"/>
          <w:sz w:val="28"/>
          <w:szCs w:val="28"/>
          <w:lang w:val="en-US" w:eastAsia="ru-RU" w:bidi="ru-RU"/>
        </w:rPr>
        <w:t>e. the maximum amount of money that an insurer will have to pay, and the tariff:</w:t>
      </w:r>
    </w:p>
    <w:p w14:paraId="5E1B6B73" w14:textId="77777777" w:rsidR="00FB375D" w:rsidRPr="00AD70E8" w:rsidRDefault="00FB375D" w:rsidP="00FB375D">
      <w:pPr>
        <w:spacing w:line="312" w:lineRule="auto"/>
        <w:ind w:firstLine="357"/>
        <w:jc w:val="center"/>
        <w:rPr>
          <w:rFonts w:cs="Garamond"/>
          <w:color w:val="auto"/>
          <w:sz w:val="28"/>
          <w:szCs w:val="28"/>
          <w:highlight w:val="yellow"/>
          <w:lang w:val="en-US" w:eastAsia="ru-RU" w:bidi="ru-RU"/>
        </w:rPr>
      </w:pPr>
    </w:p>
    <w:p w14:paraId="5CF5FAAF" w14:textId="77777777" w:rsidR="00FB375D" w:rsidRPr="00AD70E8" w:rsidRDefault="00FB375D" w:rsidP="00FB375D">
      <w:pPr>
        <w:spacing w:line="312" w:lineRule="auto"/>
        <w:ind w:firstLine="357"/>
        <w:jc w:val="right"/>
        <w:rPr>
          <w:rFonts w:cs="Garamond"/>
          <w:color w:val="auto"/>
          <w:sz w:val="28"/>
          <w:szCs w:val="28"/>
          <w:lang w:val="en-US" w:eastAsia="ru-RU" w:bidi="ru-RU"/>
        </w:rPr>
      </w:pPr>
      <m:oMath>
        <m:r>
          <w:rPr>
            <w:rFonts w:ascii="Cambria Math" w:hAnsi="Cambria Math" w:cs="Garamond"/>
            <w:color w:val="auto"/>
            <w:sz w:val="28"/>
            <w:szCs w:val="28"/>
            <w:lang w:val="en-US" w:eastAsia="ru-RU" w:bidi="ru-RU"/>
          </w:rPr>
          <m:t>Premium=Sum insured  ∙ Insurance tariff</m:t>
        </m:r>
      </m:oMath>
      <w:r w:rsidRPr="00AD70E8">
        <w:rPr>
          <w:rFonts w:cs="Garamond"/>
          <w:color w:val="auto"/>
          <w:sz w:val="28"/>
          <w:szCs w:val="28"/>
          <w:lang w:val="en-US" w:eastAsia="ru-RU" w:bidi="ru-RU"/>
        </w:rPr>
        <w:tab/>
      </w:r>
      <w:r w:rsidRPr="00AD70E8">
        <w:rPr>
          <w:rFonts w:cs="Garamond"/>
          <w:color w:val="auto"/>
          <w:sz w:val="28"/>
          <w:szCs w:val="28"/>
          <w:lang w:val="en-US" w:eastAsia="ru-RU" w:bidi="ru-RU"/>
        </w:rPr>
        <w:tab/>
      </w:r>
      <w:r w:rsidRPr="00AD70E8">
        <w:rPr>
          <w:rFonts w:cs="Garamond"/>
          <w:color w:val="auto"/>
          <w:sz w:val="28"/>
          <w:szCs w:val="28"/>
          <w:lang w:val="en-US" w:eastAsia="ru-RU" w:bidi="ru-RU"/>
        </w:rPr>
        <w:tab/>
      </w:r>
      <w:r w:rsidRPr="00AD70E8">
        <w:rPr>
          <w:rFonts w:cs="Garamond"/>
          <w:color w:val="auto"/>
          <w:sz w:val="28"/>
          <w:szCs w:val="28"/>
          <w:lang w:val="en-US" w:eastAsia="ru-RU" w:bidi="ru-RU"/>
        </w:rPr>
        <w:tab/>
        <w:t xml:space="preserve"> (10.1)</w:t>
      </w:r>
    </w:p>
    <w:p w14:paraId="639EF898" w14:textId="77777777" w:rsidR="00FB375D" w:rsidRPr="00AD70E8" w:rsidRDefault="00FB375D" w:rsidP="00FB375D">
      <w:pPr>
        <w:spacing w:line="312" w:lineRule="auto"/>
        <w:ind w:firstLine="357"/>
        <w:jc w:val="both"/>
        <w:rPr>
          <w:rFonts w:cs="Garamond"/>
          <w:color w:val="auto"/>
          <w:sz w:val="28"/>
          <w:szCs w:val="28"/>
          <w:lang w:val="en-US" w:eastAsia="ru-RU" w:bidi="ru-RU"/>
        </w:rPr>
      </w:pPr>
    </w:p>
    <w:p w14:paraId="64B3C412"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The contractual partners in insurance are called insurers and policyholders.</w:t>
      </w:r>
      <w:r w:rsidRPr="00AD70E8">
        <w:rPr>
          <w:rFonts w:eastAsia="Calibri"/>
          <w:color w:val="auto"/>
          <w:sz w:val="28"/>
          <w:szCs w:val="28"/>
          <w:lang w:eastAsia="en-US"/>
        </w:rPr>
        <w:t xml:space="preserve"> </w:t>
      </w:r>
      <w:r w:rsidRPr="00AD70E8">
        <w:rPr>
          <w:rFonts w:cs="Garamond"/>
          <w:b/>
          <w:color w:val="auto"/>
          <w:sz w:val="28"/>
          <w:szCs w:val="28"/>
          <w:lang w:val="en-US" w:eastAsia="ru-RU" w:bidi="ru-RU"/>
        </w:rPr>
        <w:t>The insurer</w:t>
      </w:r>
      <w:r w:rsidRPr="00AD70E8">
        <w:rPr>
          <w:rFonts w:cs="Garamond"/>
          <w:color w:val="auto"/>
          <w:sz w:val="28"/>
          <w:szCs w:val="28"/>
          <w:lang w:val="en-US" w:eastAsia="ru-RU" w:bidi="ru-RU"/>
        </w:rPr>
        <w:t xml:space="preserve"> undertakes to indemnify for losses suffered as a result of a specified risk while </w:t>
      </w:r>
      <w:r w:rsidRPr="00AD70E8">
        <w:rPr>
          <w:rFonts w:cs="Garamond"/>
          <w:b/>
          <w:color w:val="auto"/>
          <w:sz w:val="28"/>
          <w:szCs w:val="28"/>
          <w:lang w:val="en-US" w:eastAsia="ru-RU" w:bidi="ru-RU"/>
        </w:rPr>
        <w:t>the policyholder</w:t>
      </w:r>
      <w:r w:rsidRPr="00AD70E8">
        <w:rPr>
          <w:rFonts w:cs="Garamond"/>
          <w:color w:val="auto"/>
          <w:sz w:val="28"/>
          <w:szCs w:val="28"/>
          <w:lang w:val="en-US" w:eastAsia="ru-RU" w:bidi="ru-RU"/>
        </w:rPr>
        <w:t xml:space="preserve"> undertakes to pay a premium in return to the insurer for the indemnification. </w:t>
      </w:r>
      <w:r w:rsidR="00AD2427">
        <w:rPr>
          <w:rFonts w:cs="Garamond"/>
          <w:color w:val="auto"/>
          <w:sz w:val="28"/>
          <w:szCs w:val="28"/>
          <w:lang w:val="en-US" w:eastAsia="ru-RU" w:bidi="ru-RU"/>
        </w:rPr>
        <w:t>Besides</w:t>
      </w:r>
      <w:r w:rsidRPr="00AD70E8">
        <w:rPr>
          <w:rFonts w:cs="Garamond"/>
          <w:color w:val="auto"/>
          <w:sz w:val="28"/>
          <w:szCs w:val="28"/>
          <w:lang w:val="en-US" w:eastAsia="ru-RU" w:bidi="ru-RU"/>
        </w:rPr>
        <w:t xml:space="preserve"> the contractual partners, other persons can also participate in the insurance contract: the insured person, the beneficiary, intermediaries. That will not make them contractual partners, however.</w:t>
      </w:r>
    </w:p>
    <w:p w14:paraId="5F75D31C"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b/>
          <w:color w:val="auto"/>
          <w:sz w:val="28"/>
          <w:szCs w:val="28"/>
          <w:lang w:val="en-US" w:eastAsia="ru-RU" w:bidi="ru-RU"/>
        </w:rPr>
        <w:t>The insured person</w:t>
      </w:r>
      <w:r w:rsidRPr="00AD70E8">
        <w:rPr>
          <w:rFonts w:cs="Garamond"/>
          <w:color w:val="auto"/>
          <w:sz w:val="28"/>
          <w:szCs w:val="28"/>
          <w:lang w:val="en-US" w:eastAsia="ru-RU" w:bidi="ru-RU"/>
        </w:rPr>
        <w:t xml:space="preserve"> is the one for whose benefit the insurance contract has been taken out. Sometimes the policyholder and the insured are the same person. In non-life insurance, the insured person is the one whose risk is covered by the </w:t>
      </w:r>
      <w:r w:rsidRPr="00AD70E8">
        <w:rPr>
          <w:rFonts w:cs="Garamond"/>
          <w:color w:val="auto"/>
          <w:sz w:val="28"/>
          <w:szCs w:val="28"/>
          <w:lang w:val="en-US" w:eastAsia="ru-RU" w:bidi="ru-RU"/>
        </w:rPr>
        <w:lastRenderedPageBreak/>
        <w:t xml:space="preserve">insurance policy. In life insurance, if the policyholder takes out a policy on the life of another, the latter is called the insured person. The insured person is not liable for the payment of the premium if he is not identical with the policyholder, but he acquires the rights under the insurance contract. </w:t>
      </w:r>
      <w:r w:rsidRPr="00AD70E8">
        <w:rPr>
          <w:rFonts w:cs="Garamond"/>
          <w:b/>
          <w:color w:val="auto"/>
          <w:sz w:val="28"/>
          <w:szCs w:val="28"/>
          <w:lang w:val="en-US" w:eastAsia="ru-RU" w:bidi="ru-RU"/>
        </w:rPr>
        <w:t xml:space="preserve">The beneficiary </w:t>
      </w:r>
      <w:r w:rsidRPr="00AD70E8">
        <w:rPr>
          <w:rFonts w:cs="Garamond"/>
          <w:color w:val="auto"/>
          <w:sz w:val="28"/>
          <w:szCs w:val="28"/>
          <w:lang w:val="en-US" w:eastAsia="ru-RU" w:bidi="ru-RU"/>
        </w:rPr>
        <w:t xml:space="preserve">is the person to whom the policyholder has given the right to request the payment of the sum insured when there is a claim. </w:t>
      </w:r>
    </w:p>
    <w:p w14:paraId="4630BA94"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Contractual partners in insurance can be represented by the intermediaries. Th</w:t>
      </w:r>
      <w:r w:rsidR="00C55BCC">
        <w:rPr>
          <w:rFonts w:cs="Garamond"/>
          <w:color w:val="auto"/>
          <w:sz w:val="28"/>
          <w:szCs w:val="28"/>
          <w:lang w:val="en-US" w:eastAsia="ru-RU" w:bidi="ru-RU"/>
        </w:rPr>
        <w:t xml:space="preserve">ere are </w:t>
      </w:r>
      <w:r w:rsidRPr="00AD70E8">
        <w:rPr>
          <w:rFonts w:cs="Garamond"/>
          <w:color w:val="auto"/>
          <w:sz w:val="28"/>
          <w:szCs w:val="28"/>
          <w:lang w:val="en-US" w:eastAsia="ru-RU" w:bidi="ru-RU"/>
        </w:rPr>
        <w:t xml:space="preserve">the insurance broker for the policyholder and the insurance agent for the insurance company. </w:t>
      </w:r>
      <w:r w:rsidRPr="00AD70E8">
        <w:rPr>
          <w:rFonts w:cs="Garamond"/>
          <w:b/>
          <w:color w:val="auto"/>
          <w:sz w:val="28"/>
          <w:szCs w:val="28"/>
          <w:lang w:val="en-US" w:eastAsia="ru-RU" w:bidi="ru-RU"/>
        </w:rPr>
        <w:t>The insurance agent</w:t>
      </w:r>
      <w:r w:rsidRPr="00AD70E8">
        <w:rPr>
          <w:rFonts w:cs="Garamond"/>
          <w:color w:val="auto"/>
          <w:sz w:val="28"/>
          <w:szCs w:val="28"/>
          <w:lang w:val="en-US" w:eastAsia="ru-RU" w:bidi="ru-RU"/>
        </w:rPr>
        <w:t xml:space="preserve"> is appointed commercially by one (tied agent) or more (multiple agents) insurance companies to arrange insurance contracts. The responsibilities of the insurance agent include: selling insurance, issuing and countersigning policies, collecting premiums, and generally providing a link between the insured and the insurance company. </w:t>
      </w:r>
      <w:r w:rsidRPr="00AD70E8">
        <w:rPr>
          <w:rFonts w:cs="Garamond"/>
          <w:b/>
          <w:color w:val="auto"/>
          <w:sz w:val="28"/>
          <w:szCs w:val="28"/>
          <w:lang w:val="en-US" w:eastAsia="ru-RU" w:bidi="ru-RU"/>
        </w:rPr>
        <w:t>The insurance broker</w:t>
      </w:r>
      <w:r w:rsidRPr="00AD70E8">
        <w:rPr>
          <w:rFonts w:cs="Garamond"/>
          <w:color w:val="auto"/>
          <w:sz w:val="28"/>
          <w:szCs w:val="28"/>
          <w:lang w:val="en-US" w:eastAsia="ru-RU" w:bidi="ru-RU"/>
        </w:rPr>
        <w:t xml:space="preserve">, on the other hand, is an intermediary, who represents the insured. The broker can advise the policyholder about the best insurance product on the basis of comprehensive market overview. He can also be authorized to conclude a contract. In this case, the broker is authorized to effect the optimal insurance cover for the policyholder. </w:t>
      </w:r>
    </w:p>
    <w:p w14:paraId="56729EB3" w14:textId="77777777" w:rsidR="0086285C"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 xml:space="preserve">Besides, there are a lot of other professionals involved in insurance: </w:t>
      </w:r>
      <w:r w:rsidRPr="00AD70E8">
        <w:rPr>
          <w:rFonts w:cs="Garamond"/>
          <w:b/>
          <w:color w:val="auto"/>
          <w:sz w:val="28"/>
          <w:szCs w:val="28"/>
          <w:lang w:val="en-US" w:eastAsia="ru-RU" w:bidi="ru-RU"/>
        </w:rPr>
        <w:t>actuary</w:t>
      </w:r>
      <w:r w:rsidRPr="00AD70E8">
        <w:rPr>
          <w:rFonts w:cs="Garamond"/>
          <w:color w:val="auto"/>
          <w:sz w:val="28"/>
          <w:szCs w:val="28"/>
          <w:lang w:val="en-US" w:eastAsia="ru-RU" w:bidi="ru-RU"/>
        </w:rPr>
        <w:t xml:space="preserve"> (a specialist in the mathematics of insurance who calculates rates, reserves, dividends and other statistics); </w:t>
      </w:r>
      <w:r w:rsidRPr="00AD70E8">
        <w:rPr>
          <w:rFonts w:cs="Garamond"/>
          <w:b/>
          <w:color w:val="auto"/>
          <w:sz w:val="28"/>
          <w:szCs w:val="28"/>
          <w:lang w:val="en-US" w:eastAsia="ru-RU" w:bidi="ru-RU"/>
        </w:rPr>
        <w:t xml:space="preserve">underwriter </w:t>
      </w:r>
      <w:r w:rsidRPr="00AD70E8">
        <w:rPr>
          <w:rFonts w:cs="Garamond"/>
          <w:color w:val="auto"/>
          <w:sz w:val="28"/>
          <w:szCs w:val="28"/>
          <w:lang w:val="en-US" w:eastAsia="ru-RU" w:bidi="ru-RU"/>
        </w:rPr>
        <w:t xml:space="preserve">(a financial professional who evaluates the risks of insuring a particular person or asset and uses that information to set premium pricing for insurance policies); </w:t>
      </w:r>
      <w:r w:rsidRPr="00AD70E8">
        <w:rPr>
          <w:rFonts w:cs="Garamond"/>
          <w:b/>
          <w:color w:val="auto"/>
          <w:sz w:val="28"/>
          <w:szCs w:val="28"/>
          <w:lang w:val="en-US" w:eastAsia="ru-RU" w:bidi="ru-RU"/>
        </w:rPr>
        <w:t>adjuster</w:t>
      </w:r>
      <w:r w:rsidRPr="00AD70E8">
        <w:rPr>
          <w:rFonts w:cs="Garamond"/>
          <w:color w:val="auto"/>
          <w:sz w:val="28"/>
          <w:szCs w:val="28"/>
          <w:lang w:val="en-US" w:eastAsia="ru-RU" w:bidi="ru-RU"/>
        </w:rPr>
        <w:t xml:space="preserve"> (a person who investigates claims and recommends settlement options based on estimates of damage and insurance policies held) and others.</w:t>
      </w:r>
      <w:r w:rsidR="00AD70E8">
        <w:rPr>
          <w:rFonts w:cs="Garamond"/>
          <w:color w:val="auto"/>
          <w:sz w:val="28"/>
          <w:szCs w:val="28"/>
          <w:lang w:val="en-US" w:eastAsia="ru-RU" w:bidi="ru-RU"/>
        </w:rPr>
        <w:t xml:space="preserve"> </w:t>
      </w:r>
      <w:r w:rsidRPr="00AD70E8">
        <w:rPr>
          <w:rFonts w:cs="Garamond"/>
          <w:color w:val="auto"/>
          <w:sz w:val="28"/>
          <w:szCs w:val="28"/>
          <w:lang w:val="en-US" w:eastAsia="ru-RU" w:bidi="ru-RU"/>
        </w:rPr>
        <w:t xml:space="preserve">Insurance is classified in different cross-cutting ways. Classification of insurance according to the lines of insurance and classes of the insurance business is presented in </w:t>
      </w:r>
      <w:r w:rsidR="00613E76">
        <w:rPr>
          <w:rFonts w:cs="Garamond"/>
          <w:color w:val="auto"/>
          <w:sz w:val="28"/>
          <w:szCs w:val="28"/>
          <w:lang w:val="en-US" w:eastAsia="ru-RU" w:bidi="ru-RU"/>
        </w:rPr>
        <w:t>Figure</w:t>
      </w:r>
      <w:r w:rsidRPr="00AD70E8">
        <w:rPr>
          <w:rFonts w:cs="Garamond"/>
          <w:color w:val="auto"/>
          <w:sz w:val="28"/>
          <w:szCs w:val="28"/>
          <w:lang w:val="en-US" w:eastAsia="ru-RU" w:bidi="ru-RU"/>
        </w:rPr>
        <w:t xml:space="preserve"> 10.1.</w:t>
      </w:r>
      <w:r w:rsidR="0086285C" w:rsidRPr="0086285C">
        <w:rPr>
          <w:rFonts w:cs="Garamond"/>
          <w:color w:val="auto"/>
          <w:sz w:val="28"/>
          <w:szCs w:val="28"/>
          <w:lang w:val="en-US" w:eastAsia="ru-RU" w:bidi="ru-RU"/>
        </w:rPr>
        <w:t xml:space="preserve"> </w:t>
      </w:r>
    </w:p>
    <w:p w14:paraId="063F1831" w14:textId="77777777" w:rsidR="0086285C" w:rsidRPr="00AD70E8" w:rsidRDefault="0086285C"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 xml:space="preserve">Insurance includes two classes of business – long term business (life insurance) and general business (non-life insurance). </w:t>
      </w:r>
      <w:r w:rsidRPr="00AD70E8">
        <w:rPr>
          <w:rFonts w:cs="Garamond"/>
          <w:b/>
          <w:color w:val="auto"/>
          <w:sz w:val="28"/>
          <w:szCs w:val="28"/>
          <w:lang w:val="en-US" w:eastAsia="ru-RU" w:bidi="ru-RU"/>
        </w:rPr>
        <w:t>Non-life insurance</w:t>
      </w:r>
      <w:r w:rsidRPr="00AD70E8">
        <w:rPr>
          <w:rFonts w:cs="Garamond"/>
          <w:color w:val="auto"/>
          <w:sz w:val="28"/>
          <w:szCs w:val="28"/>
          <w:lang w:val="en-US" w:eastAsia="ru-RU" w:bidi="ru-RU"/>
        </w:rPr>
        <w:t xml:space="preserve"> provides protection against the risk of adverse events with a negative financial consequence. The policyholder pays a premium in exchange for a promise to be indemnified later for the financial consequences of a covered event, subject to the conditions stipulated in the contract. Profitability and solvency of the insurer in non-life insurance primarily depend on underwriting policy, risk pooling, diversification, and insurance portfolio policy.</w:t>
      </w:r>
    </w:p>
    <w:p w14:paraId="3D8FB723" w14:textId="77777777" w:rsidR="00FB375D" w:rsidRPr="00AD70E8" w:rsidRDefault="00FB375D" w:rsidP="00FB375D">
      <w:pPr>
        <w:spacing w:line="312" w:lineRule="auto"/>
        <w:jc w:val="center"/>
        <w:rPr>
          <w:rFonts w:cs="Garamond"/>
          <w:color w:val="auto"/>
          <w:sz w:val="28"/>
          <w:szCs w:val="28"/>
          <w:highlight w:val="yellow"/>
          <w:lang w:val="en-US" w:eastAsia="ru-RU" w:bidi="ru-RU"/>
        </w:rPr>
      </w:pPr>
      <w:r w:rsidRPr="00AD70E8">
        <w:rPr>
          <w:rFonts w:cs="Garamond"/>
          <w:noProof/>
          <w:color w:val="auto"/>
          <w:sz w:val="28"/>
          <w:szCs w:val="28"/>
          <w:lang w:val="ru-RU" w:eastAsia="ru-RU"/>
        </w:rPr>
        <w:lastRenderedPageBreak/>
        <mc:AlternateContent>
          <mc:Choice Requires="wpc">
            <w:drawing>
              <wp:inline distT="0" distB="0" distL="0" distR="0" wp14:anchorId="2197C003" wp14:editId="55AE0164">
                <wp:extent cx="5902036" cy="2680855"/>
                <wp:effectExtent l="0" t="0" r="0" b="5715"/>
                <wp:docPr id="1073741839" name="Полотно 107374183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1073742026" name="Группа 1073742026"/>
                        <wpg:cNvGrpSpPr/>
                        <wpg:grpSpPr>
                          <a:xfrm>
                            <a:off x="184928" y="0"/>
                            <a:ext cx="5553075" cy="2640933"/>
                            <a:chOff x="209550" y="66700"/>
                            <a:chExt cx="5553075" cy="2469330"/>
                          </a:xfrm>
                        </wpg:grpSpPr>
                        <wps:wsp>
                          <wps:cNvPr id="1073742027" name="Соединительная линия уступом 1073742027"/>
                          <wps:cNvCnPr/>
                          <wps:spPr>
                            <a:xfrm rot="10800000" flipH="1" flipV="1">
                              <a:off x="447181" y="695438"/>
                              <a:ext cx="130506" cy="451186"/>
                            </a:xfrm>
                            <a:prstGeom prst="bentConnector3">
                              <a:avLst>
                                <a:gd name="adj1" fmla="val -175164"/>
                              </a:avLst>
                            </a:prstGeom>
                            <a:noFill/>
                            <a:ln w="9525" cap="flat" cmpd="sng" algn="ctr">
                              <a:solidFill>
                                <a:sysClr val="windowText" lastClr="000000"/>
                              </a:solidFill>
                              <a:prstDash val="solid"/>
                              <a:tailEnd type="triangle"/>
                            </a:ln>
                            <a:effectLst/>
                          </wps:spPr>
                          <wps:bodyPr/>
                        </wps:wsp>
                        <wps:wsp>
                          <wps:cNvPr id="1073742028" name="Скругленный прямоугольник 1073742028"/>
                          <wps:cNvSpPr/>
                          <wps:spPr>
                            <a:xfrm>
                              <a:off x="209550" y="66700"/>
                              <a:ext cx="5553075" cy="305979"/>
                            </a:xfrm>
                            <a:prstGeom prst="roundRect">
                              <a:avLst/>
                            </a:prstGeom>
                            <a:noFill/>
                            <a:ln w="9525" cap="flat" cmpd="sng" algn="ctr">
                              <a:solidFill>
                                <a:sysClr val="windowText" lastClr="000000"/>
                              </a:solidFill>
                              <a:prstDash val="solid"/>
                            </a:ln>
                            <a:effectLst/>
                          </wps:spPr>
                          <wps:txbx>
                            <w:txbxContent>
                              <w:p w14:paraId="3A12BB4C" w14:textId="77777777" w:rsidR="00B56753" w:rsidRPr="00AD70E8" w:rsidRDefault="00B56753" w:rsidP="00FB375D">
                                <w:pPr>
                                  <w:jc w:val="center"/>
                                  <w:rPr>
                                    <w:b/>
                                    <w:color w:val="000000" w:themeColor="text1"/>
                                    <w:lang w:val="en-US"/>
                                  </w:rPr>
                                </w:pPr>
                                <w:r w:rsidRPr="00AD70E8">
                                  <w:rPr>
                                    <w:b/>
                                    <w:color w:val="000000" w:themeColor="text1"/>
                                    <w:lang w:val="en-US"/>
                                  </w:rPr>
                                  <w:t>Types (lines) of insurance</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1073742029" name="Скругленный прямоугольник 1073742029"/>
                          <wps:cNvSpPr/>
                          <wps:spPr>
                            <a:xfrm>
                              <a:off x="447172" y="543064"/>
                              <a:ext cx="1529320" cy="401668"/>
                            </a:xfrm>
                            <a:prstGeom prst="roundRect">
                              <a:avLst/>
                            </a:prstGeom>
                            <a:solidFill>
                              <a:sysClr val="window" lastClr="FFFFFF">
                                <a:lumMod val="95000"/>
                              </a:sysClr>
                            </a:solidFill>
                            <a:ln w="9525" cap="flat" cmpd="sng" algn="ctr">
                              <a:solidFill>
                                <a:sysClr val="windowText" lastClr="000000"/>
                              </a:solidFill>
                              <a:prstDash val="solid"/>
                            </a:ln>
                            <a:effectLst/>
                          </wps:spPr>
                          <wps:txbx>
                            <w:txbxContent>
                              <w:p w14:paraId="7F33B8A2" w14:textId="77777777" w:rsidR="00B56753" w:rsidRPr="00AD70E8" w:rsidRDefault="00B56753" w:rsidP="00AD70E8">
                                <w:pPr>
                                  <w:pStyle w:val="NormalWeb"/>
                                  <w:spacing w:before="0" w:beforeAutospacing="0" w:after="0" w:afterAutospacing="0" w:line="240" w:lineRule="atLeast"/>
                                  <w:jc w:val="center"/>
                                  <w:rPr>
                                    <w:b/>
                                  </w:rPr>
                                </w:pPr>
                                <w:r w:rsidRPr="00AD70E8">
                                  <w:rPr>
                                    <w:rFonts w:ascii="Garamond" w:eastAsia="Calibri" w:hAnsi="Garamond"/>
                                    <w:b/>
                                    <w:lang w:val="en-US"/>
                                  </w:rPr>
                                  <w:t>Insurance of the person</w:t>
                                </w:r>
                              </w:p>
                            </w:txbxContent>
                          </wps:txbx>
                          <wps:bodyPr rot="0" spcFirstLastPara="0" vert="horz" wrap="square" lIns="0" tIns="0" rIns="0" bIns="0" numCol="1" spcCol="0" rtlCol="0" fromWordArt="0" anchor="ctr" anchorCtr="0" forceAA="0" compatLnSpc="1">
                            <a:prstTxWarp prst="textNoShape">
                              <a:avLst/>
                            </a:prstTxWarp>
                          </wps:bodyPr>
                        </wps:wsp>
                        <wps:wsp>
                          <wps:cNvPr id="1073742030" name="Скругленный прямоугольник 1073742030"/>
                          <wps:cNvSpPr/>
                          <wps:spPr>
                            <a:xfrm>
                              <a:off x="2375148" y="543325"/>
                              <a:ext cx="1491951" cy="401407"/>
                            </a:xfrm>
                            <a:prstGeom prst="roundRect">
                              <a:avLst/>
                            </a:prstGeom>
                            <a:solidFill>
                              <a:sysClr val="window" lastClr="FFFFFF">
                                <a:lumMod val="95000"/>
                              </a:sysClr>
                            </a:solidFill>
                            <a:ln w="9525" cap="flat" cmpd="sng" algn="ctr">
                              <a:solidFill>
                                <a:sysClr val="windowText" lastClr="000000"/>
                              </a:solidFill>
                              <a:prstDash val="solid"/>
                            </a:ln>
                            <a:effectLst/>
                          </wps:spPr>
                          <wps:txbx>
                            <w:txbxContent>
                              <w:p w14:paraId="56B9AC48" w14:textId="77777777" w:rsidR="00B56753" w:rsidRPr="00AD70E8" w:rsidRDefault="00B56753" w:rsidP="00FB375D">
                                <w:pPr>
                                  <w:pStyle w:val="NormalWeb"/>
                                  <w:spacing w:before="0" w:beforeAutospacing="0" w:after="0" w:afterAutospacing="0"/>
                                  <w:jc w:val="center"/>
                                  <w:rPr>
                                    <w:b/>
                                  </w:rPr>
                                </w:pPr>
                                <w:r w:rsidRPr="00AD70E8">
                                  <w:rPr>
                                    <w:rFonts w:ascii="Garamond" w:eastAsia="Calibri" w:hAnsi="Garamond"/>
                                    <w:b/>
                                    <w:lang w:val="en-US"/>
                                  </w:rPr>
                                  <w:t>Insurance of property</w:t>
                                </w:r>
                              </w:p>
                            </w:txbxContent>
                          </wps:txbx>
                          <wps:bodyPr rot="0" spcFirstLastPara="0" vert="horz" wrap="square" lIns="36000" tIns="0" rIns="36000" bIns="0" numCol="1" spcCol="0" rtlCol="0" fromWordArt="0" anchor="ctr" anchorCtr="0" forceAA="0" compatLnSpc="1">
                            <a:prstTxWarp prst="textNoShape">
                              <a:avLst/>
                            </a:prstTxWarp>
                          </wps:bodyPr>
                        </wps:wsp>
                        <wps:wsp>
                          <wps:cNvPr id="1073742031" name="Скругленный прямоугольник 1073742031"/>
                          <wps:cNvSpPr/>
                          <wps:spPr>
                            <a:xfrm>
                              <a:off x="4170755" y="543325"/>
                              <a:ext cx="1477479" cy="401407"/>
                            </a:xfrm>
                            <a:prstGeom prst="roundRect">
                              <a:avLst/>
                            </a:prstGeom>
                            <a:solidFill>
                              <a:sysClr val="window" lastClr="FFFFFF">
                                <a:lumMod val="95000"/>
                              </a:sysClr>
                            </a:solidFill>
                            <a:ln w="9525" cap="flat" cmpd="sng" algn="ctr">
                              <a:solidFill>
                                <a:sysClr val="windowText" lastClr="000000"/>
                              </a:solidFill>
                              <a:prstDash val="solid"/>
                            </a:ln>
                            <a:effectLst/>
                          </wps:spPr>
                          <wps:txbx>
                            <w:txbxContent>
                              <w:p w14:paraId="7412D311" w14:textId="77777777" w:rsidR="00B56753" w:rsidRPr="00AD70E8" w:rsidRDefault="00B56753" w:rsidP="00FB375D">
                                <w:pPr>
                                  <w:pStyle w:val="NormalWeb"/>
                                  <w:spacing w:before="0" w:beforeAutospacing="0" w:after="0" w:afterAutospacing="0"/>
                                  <w:jc w:val="center"/>
                                  <w:rPr>
                                    <w:b/>
                                  </w:rPr>
                                </w:pPr>
                                <w:r w:rsidRPr="00AD70E8">
                                  <w:rPr>
                                    <w:rFonts w:ascii="Garamond" w:eastAsia="Calibri" w:hAnsi="Garamond"/>
                                    <w:b/>
                                    <w:lang w:val="en-US"/>
                                  </w:rPr>
                                  <w:t>Insurance of liability</w:t>
                                </w:r>
                              </w:p>
                            </w:txbxContent>
                          </wps:txbx>
                          <wps:bodyPr rot="0" spcFirstLastPara="0" vert="horz" wrap="square" lIns="36000" tIns="0" rIns="36000" bIns="0" numCol="1" spcCol="0" rtlCol="0" fromWordArt="0" anchor="ctr" anchorCtr="0" forceAA="0" compatLnSpc="1">
                            <a:prstTxWarp prst="textNoShape">
                              <a:avLst/>
                            </a:prstTxWarp>
                          </wps:bodyPr>
                        </wps:wsp>
                        <wps:wsp>
                          <wps:cNvPr id="1073742032" name="Прямоугольник 1073742032"/>
                          <wps:cNvSpPr/>
                          <wps:spPr>
                            <a:xfrm>
                              <a:off x="577687" y="980377"/>
                              <a:ext cx="1354159" cy="332493"/>
                            </a:xfrm>
                            <a:prstGeom prst="rect">
                              <a:avLst/>
                            </a:prstGeom>
                            <a:solidFill>
                              <a:sysClr val="window" lastClr="FFFFFF">
                                <a:lumMod val="85000"/>
                              </a:sysClr>
                            </a:solidFill>
                            <a:ln w="9525" cap="flat" cmpd="sng" algn="ctr">
                              <a:solidFill>
                                <a:sysClr val="windowText" lastClr="000000"/>
                              </a:solidFill>
                              <a:prstDash val="solid"/>
                            </a:ln>
                            <a:effectLst/>
                          </wps:spPr>
                          <wps:txbx>
                            <w:txbxContent>
                              <w:p w14:paraId="30D6477E" w14:textId="77777777" w:rsidR="00B56753" w:rsidRPr="00AD70E8" w:rsidRDefault="00B56753" w:rsidP="00FB375D">
                                <w:pPr>
                                  <w:jc w:val="center"/>
                                  <w:rPr>
                                    <w:b/>
                                    <w:color w:val="000000" w:themeColor="text1"/>
                                    <w:lang w:val="en-US"/>
                                  </w:rPr>
                                </w:pPr>
                                <w:r w:rsidRPr="00AD70E8">
                                  <w:rPr>
                                    <w:b/>
                                    <w:color w:val="000000" w:themeColor="text1"/>
                                    <w:lang w:val="en-US"/>
                                  </w:rPr>
                                  <w:t>Life insurance</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1073742033" name="Стрелка вниз 1073742033"/>
                          <wps:cNvSpPr/>
                          <wps:spPr>
                            <a:xfrm>
                              <a:off x="722665" y="372738"/>
                              <a:ext cx="1021278" cy="166254"/>
                            </a:xfrm>
                            <a:prstGeom prst="downArrow">
                              <a:avLst/>
                            </a:prstGeom>
                            <a:noFill/>
                            <a:ln w="9525" cap="flat" cmpd="sng" algn="ctr">
                              <a:solidFill>
                                <a:sysClr val="windowText" lastClr="000000"/>
                              </a:solidFill>
                              <a:prstDash val="solid"/>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073742034" name="Стрелка вниз 1073742034"/>
                          <wps:cNvSpPr/>
                          <wps:spPr>
                            <a:xfrm>
                              <a:off x="2588953" y="374608"/>
                              <a:ext cx="1021080" cy="165735"/>
                            </a:xfrm>
                            <a:prstGeom prst="downArrow">
                              <a:avLst/>
                            </a:prstGeom>
                            <a:noFill/>
                            <a:ln w="9525" cap="flat" cmpd="sng" algn="ctr">
                              <a:solidFill>
                                <a:sysClr val="windowText" lastClr="000000"/>
                              </a:solidFill>
                              <a:prstDash val="solid"/>
                            </a:ln>
                            <a:effectLst/>
                          </wps:spPr>
                          <wps:txbx>
                            <w:txbxContent>
                              <w:p w14:paraId="2B309396" w14:textId="77777777" w:rsidR="00B56753" w:rsidRPr="00AD70E8" w:rsidRDefault="00B56753" w:rsidP="00FB375D"/>
                            </w:txbxContent>
                          </wps:txbx>
                          <wps:bodyPr rot="0" spcFirstLastPara="0" vert="horz" wrap="square" numCol="1" spcCol="0" rtlCol="0" fromWordArt="0" anchor="ctr" anchorCtr="0" forceAA="0" compatLnSpc="1">
                            <a:prstTxWarp prst="textNoShape">
                              <a:avLst/>
                            </a:prstTxWarp>
                          </wps:bodyPr>
                        </wps:wsp>
                        <wps:wsp>
                          <wps:cNvPr id="1073742035" name="Стрелка вниз 1073742035"/>
                          <wps:cNvSpPr/>
                          <wps:spPr>
                            <a:xfrm>
                              <a:off x="4413179" y="374608"/>
                              <a:ext cx="1021080" cy="165735"/>
                            </a:xfrm>
                            <a:prstGeom prst="downArrow">
                              <a:avLst/>
                            </a:prstGeom>
                            <a:noFill/>
                            <a:ln w="9525" cap="flat" cmpd="sng" algn="ctr">
                              <a:solidFill>
                                <a:sysClr val="windowText" lastClr="000000"/>
                              </a:solidFill>
                              <a:prstDash val="solid"/>
                            </a:ln>
                            <a:effectLst/>
                          </wps:spPr>
                          <wps:txbx>
                            <w:txbxContent>
                              <w:p w14:paraId="23D5CE4F" w14:textId="77777777" w:rsidR="00B56753" w:rsidRPr="00AD70E8" w:rsidRDefault="00B56753" w:rsidP="00FB375D"/>
                            </w:txbxContent>
                          </wps:txbx>
                          <wps:bodyPr rot="0" spcFirstLastPara="0" vert="horz" wrap="square" numCol="1" spcCol="0" rtlCol="0" fromWordArt="0" anchor="ctr" anchorCtr="0" forceAA="0" compatLnSpc="1">
                            <a:prstTxWarp prst="textNoShape">
                              <a:avLst/>
                            </a:prstTxWarp>
                          </wps:bodyPr>
                        </wps:wsp>
                        <wps:wsp>
                          <wps:cNvPr id="1073742036" name="Прямоугольник 1073742036"/>
                          <wps:cNvSpPr/>
                          <wps:spPr>
                            <a:xfrm>
                              <a:off x="577691" y="1540367"/>
                              <a:ext cx="1353820" cy="332105"/>
                            </a:xfrm>
                            <a:prstGeom prst="rect">
                              <a:avLst/>
                            </a:prstGeom>
                            <a:noFill/>
                            <a:ln w="9525" cap="flat" cmpd="sng" algn="ctr">
                              <a:solidFill>
                                <a:sysClr val="windowText" lastClr="000000"/>
                              </a:solidFill>
                              <a:prstDash val="solid"/>
                            </a:ln>
                            <a:effectLst/>
                          </wps:spPr>
                          <wps:txbx>
                            <w:txbxContent>
                              <w:p w14:paraId="483A3B52" w14:textId="77777777" w:rsidR="00B56753" w:rsidRPr="00AD70E8" w:rsidRDefault="00B56753" w:rsidP="00FB375D">
                                <w:pPr>
                                  <w:pStyle w:val="NormalWeb"/>
                                  <w:spacing w:before="0" w:beforeAutospacing="0" w:after="0" w:afterAutospacing="0"/>
                                  <w:jc w:val="center"/>
                                </w:pPr>
                                <w:r w:rsidRPr="00AD70E8">
                                  <w:rPr>
                                    <w:rFonts w:ascii="Garamond" w:eastAsia="Calibri" w:hAnsi="Garamond"/>
                                    <w:bCs/>
                                    <w:lang w:val="en-US"/>
                                  </w:rPr>
                                  <w:t>Health insurance</w:t>
                                </w:r>
                              </w:p>
                            </w:txbxContent>
                          </wps:txbx>
                          <wps:bodyPr rot="0" spcFirstLastPara="0" vert="horz" wrap="square" numCol="1" spcCol="0" rtlCol="0" fromWordArt="0" anchor="ctr" anchorCtr="0" forceAA="0" compatLnSpc="1">
                            <a:prstTxWarp prst="textNoShape">
                              <a:avLst/>
                            </a:prstTxWarp>
                          </wps:bodyPr>
                        </wps:wsp>
                        <wps:wsp>
                          <wps:cNvPr id="1073742037" name="Прямоугольник 1073742037"/>
                          <wps:cNvSpPr/>
                          <wps:spPr>
                            <a:xfrm>
                              <a:off x="578026" y="1979755"/>
                              <a:ext cx="1353820" cy="332105"/>
                            </a:xfrm>
                            <a:prstGeom prst="rect">
                              <a:avLst/>
                            </a:prstGeom>
                            <a:noFill/>
                            <a:ln w="9525" cap="flat" cmpd="sng" algn="ctr">
                              <a:solidFill>
                                <a:sysClr val="windowText" lastClr="000000"/>
                              </a:solidFill>
                              <a:prstDash val="solid"/>
                            </a:ln>
                            <a:effectLst/>
                          </wps:spPr>
                          <wps:txbx>
                            <w:txbxContent>
                              <w:p w14:paraId="6495351E" w14:textId="77777777" w:rsidR="00B56753" w:rsidRPr="00AD70E8" w:rsidRDefault="00B56753" w:rsidP="00FB375D">
                                <w:pPr>
                                  <w:pStyle w:val="NormalWeb"/>
                                  <w:spacing w:before="0" w:beforeAutospacing="0" w:after="0" w:afterAutospacing="0"/>
                                  <w:jc w:val="center"/>
                                </w:pPr>
                                <w:r w:rsidRPr="00AD70E8">
                                  <w:rPr>
                                    <w:rFonts w:ascii="Garamond" w:eastAsia="Calibri" w:hAnsi="Garamond"/>
                                    <w:lang w:val="en-US"/>
                                  </w:rPr>
                                  <w:t>Casualty insurance</w:t>
                                </w:r>
                              </w:p>
                            </w:txbxContent>
                          </wps:txbx>
                          <wps:bodyPr rot="0" spcFirstLastPara="0" vert="horz" wrap="square" numCol="1" spcCol="0" rtlCol="0" fromWordArt="0" anchor="ctr" anchorCtr="0" forceAA="0" compatLnSpc="1">
                            <a:prstTxWarp prst="textNoShape">
                              <a:avLst/>
                            </a:prstTxWarp>
                          </wps:bodyPr>
                        </wps:wsp>
                        <wps:wsp>
                          <wps:cNvPr id="1073742038" name="Соединительная линия уступом 1073742038"/>
                          <wps:cNvCnPr/>
                          <wps:spPr>
                            <a:xfrm rot="10800000" flipH="1" flipV="1">
                              <a:off x="447181" y="695438"/>
                              <a:ext cx="130510" cy="1010982"/>
                            </a:xfrm>
                            <a:prstGeom prst="bentConnector3">
                              <a:avLst>
                                <a:gd name="adj1" fmla="val -175159"/>
                              </a:avLst>
                            </a:prstGeom>
                            <a:noFill/>
                            <a:ln w="9525" cap="flat" cmpd="sng" algn="ctr">
                              <a:solidFill>
                                <a:sysClr val="windowText" lastClr="000000"/>
                              </a:solidFill>
                              <a:prstDash val="solid"/>
                              <a:tailEnd type="triangle"/>
                            </a:ln>
                            <a:effectLst/>
                          </wps:spPr>
                          <wps:bodyPr/>
                        </wps:wsp>
                        <wps:wsp>
                          <wps:cNvPr id="1073742039" name="Соединительная линия уступом 1073742039"/>
                          <wps:cNvCnPr/>
                          <wps:spPr>
                            <a:xfrm rot="10800000" flipH="1" flipV="1">
                              <a:off x="447180" y="695438"/>
                              <a:ext cx="130845" cy="1450370"/>
                            </a:xfrm>
                            <a:prstGeom prst="bentConnector3">
                              <a:avLst>
                                <a:gd name="adj1" fmla="val -174711"/>
                              </a:avLst>
                            </a:prstGeom>
                            <a:noFill/>
                            <a:ln w="9525" cap="flat" cmpd="sng" algn="ctr">
                              <a:solidFill>
                                <a:sysClr val="windowText" lastClr="000000"/>
                              </a:solidFill>
                              <a:prstDash val="solid"/>
                              <a:tailEnd type="triangle"/>
                            </a:ln>
                            <a:effectLst/>
                          </wps:spPr>
                          <wps:bodyPr/>
                        </wps:wsp>
                        <wps:wsp>
                          <wps:cNvPr id="1073742040" name="Прямоугольник 1073742040"/>
                          <wps:cNvSpPr/>
                          <wps:spPr>
                            <a:xfrm>
                              <a:off x="2432673" y="1052937"/>
                              <a:ext cx="1353820" cy="332105"/>
                            </a:xfrm>
                            <a:prstGeom prst="rect">
                              <a:avLst/>
                            </a:prstGeom>
                            <a:noFill/>
                            <a:ln w="9525" cap="flat" cmpd="sng" algn="ctr">
                              <a:solidFill>
                                <a:sysClr val="windowText" lastClr="000000"/>
                              </a:solidFill>
                              <a:prstDash val="solid"/>
                            </a:ln>
                            <a:effectLst/>
                          </wps:spPr>
                          <wps:txbx>
                            <w:txbxContent>
                              <w:p w14:paraId="33F5497C" w14:textId="77777777" w:rsidR="00B56753" w:rsidRPr="00AD70E8" w:rsidRDefault="00B56753" w:rsidP="00FB375D">
                                <w:pPr>
                                  <w:pStyle w:val="NormalWeb"/>
                                  <w:spacing w:before="0" w:beforeAutospacing="0" w:after="0" w:afterAutospacing="0"/>
                                  <w:jc w:val="center"/>
                                </w:pPr>
                                <w:r w:rsidRPr="00AD70E8">
                                  <w:rPr>
                                    <w:rFonts w:ascii="Garamond" w:eastAsia="Calibri" w:hAnsi="Garamond"/>
                                    <w:lang w:val="en-US"/>
                                  </w:rPr>
                                  <w:t>Dwelling insurance</w:t>
                                </w:r>
                              </w:p>
                            </w:txbxContent>
                          </wps:txbx>
                          <wps:bodyPr rot="0" spcFirstLastPara="0" vert="horz" wrap="square" numCol="1" spcCol="0" rtlCol="0" fromWordArt="0" anchor="ctr" anchorCtr="0" forceAA="0" compatLnSpc="1">
                            <a:prstTxWarp prst="textNoShape">
                              <a:avLst/>
                            </a:prstTxWarp>
                          </wps:bodyPr>
                        </wps:wsp>
                        <wps:wsp>
                          <wps:cNvPr id="1073742041" name="Прямоугольник 1073742041"/>
                          <wps:cNvSpPr/>
                          <wps:spPr>
                            <a:xfrm>
                              <a:off x="2432673" y="1480292"/>
                              <a:ext cx="1353820" cy="417647"/>
                            </a:xfrm>
                            <a:prstGeom prst="rect">
                              <a:avLst/>
                            </a:prstGeom>
                            <a:noFill/>
                            <a:ln w="9525" cap="flat" cmpd="sng" algn="ctr">
                              <a:solidFill>
                                <a:sysClr val="windowText" lastClr="000000"/>
                              </a:solidFill>
                              <a:prstDash val="solid"/>
                            </a:ln>
                            <a:effectLst/>
                          </wps:spPr>
                          <wps:txbx>
                            <w:txbxContent>
                              <w:p w14:paraId="750DCF50" w14:textId="77777777" w:rsidR="00B56753" w:rsidRPr="00AD70E8" w:rsidRDefault="00B56753" w:rsidP="00FB375D">
                                <w:pPr>
                                  <w:pStyle w:val="NormalWeb"/>
                                  <w:spacing w:before="0" w:beforeAutospacing="0" w:after="0" w:afterAutospacing="0"/>
                                  <w:jc w:val="center"/>
                                </w:pPr>
                                <w:r w:rsidRPr="00AD70E8">
                                  <w:rPr>
                                    <w:rFonts w:ascii="Garamond" w:eastAsia="Calibri" w:hAnsi="Garamond"/>
                                    <w:lang w:val="en-US"/>
                                  </w:rPr>
                                  <w:t>Commercial property insurance</w:t>
                                </w:r>
                              </w:p>
                            </w:txbxContent>
                          </wps:txbx>
                          <wps:bodyPr rot="0" spcFirstLastPara="0" vert="horz" wrap="square" numCol="1" spcCol="0" rtlCol="0" fromWordArt="0" anchor="ctr" anchorCtr="0" forceAA="0" compatLnSpc="1">
                            <a:prstTxWarp prst="textNoShape">
                              <a:avLst/>
                            </a:prstTxWarp>
                          </wps:bodyPr>
                        </wps:wsp>
                        <wps:wsp>
                          <wps:cNvPr id="1073742042" name="Прямоугольник 1073742042"/>
                          <wps:cNvSpPr/>
                          <wps:spPr>
                            <a:xfrm>
                              <a:off x="4240195" y="1065587"/>
                              <a:ext cx="1353820" cy="426885"/>
                            </a:xfrm>
                            <a:prstGeom prst="rect">
                              <a:avLst/>
                            </a:prstGeom>
                            <a:noFill/>
                            <a:ln w="9525" cap="flat" cmpd="sng" algn="ctr">
                              <a:solidFill>
                                <a:sysClr val="windowText" lastClr="000000"/>
                              </a:solidFill>
                              <a:prstDash val="solid"/>
                            </a:ln>
                            <a:effectLst/>
                          </wps:spPr>
                          <wps:txbx>
                            <w:txbxContent>
                              <w:p w14:paraId="317AC870" w14:textId="77777777" w:rsidR="00B56753" w:rsidRPr="00AD70E8" w:rsidRDefault="00B56753" w:rsidP="00FB375D">
                                <w:pPr>
                                  <w:pStyle w:val="NormalWeb"/>
                                  <w:spacing w:before="0" w:beforeAutospacing="0" w:after="0" w:afterAutospacing="0"/>
                                  <w:jc w:val="center"/>
                                </w:pPr>
                                <w:r w:rsidRPr="00AD70E8">
                                  <w:rPr>
                                    <w:rFonts w:ascii="Garamond" w:eastAsia="Calibri" w:hAnsi="Garamond"/>
                                    <w:lang w:val="en-US"/>
                                  </w:rPr>
                                  <w:t>Civil liability insurance</w:t>
                                </w:r>
                              </w:p>
                            </w:txbxContent>
                          </wps:txbx>
                          <wps:bodyPr rot="0" spcFirstLastPara="0" vert="horz" wrap="square" numCol="1" spcCol="0" rtlCol="0" fromWordArt="0" anchor="ctr" anchorCtr="0" forceAA="0" compatLnSpc="1">
                            <a:prstTxWarp prst="textNoShape">
                              <a:avLst/>
                            </a:prstTxWarp>
                          </wps:bodyPr>
                        </wps:wsp>
                        <wps:wsp>
                          <wps:cNvPr id="1073742043" name="Прямоугольник 1073742043"/>
                          <wps:cNvSpPr/>
                          <wps:spPr>
                            <a:xfrm>
                              <a:off x="2432673" y="1981064"/>
                              <a:ext cx="1353820" cy="436209"/>
                            </a:xfrm>
                            <a:prstGeom prst="rect">
                              <a:avLst/>
                            </a:prstGeom>
                            <a:noFill/>
                            <a:ln w="9525" cap="flat" cmpd="sng" algn="ctr">
                              <a:solidFill>
                                <a:sysClr val="windowText" lastClr="000000"/>
                              </a:solidFill>
                              <a:prstDash val="solid"/>
                            </a:ln>
                            <a:effectLst/>
                          </wps:spPr>
                          <wps:txbx>
                            <w:txbxContent>
                              <w:p w14:paraId="0EBB745A" w14:textId="77777777" w:rsidR="00B56753" w:rsidRPr="00AD70E8" w:rsidRDefault="00B56753" w:rsidP="00FB375D">
                                <w:pPr>
                                  <w:pStyle w:val="NormalWeb"/>
                                  <w:spacing w:before="0" w:beforeAutospacing="0" w:after="0" w:afterAutospacing="0"/>
                                  <w:jc w:val="center"/>
                                </w:pPr>
                                <w:r w:rsidRPr="00AD70E8">
                                  <w:rPr>
                                    <w:rFonts w:ascii="Garamond" w:eastAsia="Calibri" w:hAnsi="Garamond"/>
                                    <w:lang w:val="en-US"/>
                                  </w:rPr>
                                  <w:t>Vehicle insurance (CASCO)</w:t>
                                </w:r>
                              </w:p>
                            </w:txbxContent>
                          </wps:txbx>
                          <wps:bodyPr rot="0" spcFirstLastPara="0" vert="horz" wrap="square" numCol="1" spcCol="0" rtlCol="0" fromWordArt="0" anchor="ctr" anchorCtr="0" forceAA="0" compatLnSpc="1">
                            <a:prstTxWarp prst="textNoShape">
                              <a:avLst/>
                            </a:prstTxWarp>
                          </wps:bodyPr>
                        </wps:wsp>
                        <wps:wsp>
                          <wps:cNvPr id="1073741824" name="Прямоугольник 1073741824"/>
                          <wps:cNvSpPr/>
                          <wps:spPr>
                            <a:xfrm>
                              <a:off x="4240195" y="1599348"/>
                              <a:ext cx="1353820" cy="405072"/>
                            </a:xfrm>
                            <a:prstGeom prst="rect">
                              <a:avLst/>
                            </a:prstGeom>
                            <a:noFill/>
                            <a:ln w="9525" cap="flat" cmpd="sng" algn="ctr">
                              <a:solidFill>
                                <a:sysClr val="windowText" lastClr="000000"/>
                              </a:solidFill>
                              <a:prstDash val="solid"/>
                            </a:ln>
                            <a:effectLst/>
                          </wps:spPr>
                          <wps:txbx>
                            <w:txbxContent>
                              <w:p w14:paraId="59F5FD3B" w14:textId="77777777" w:rsidR="00B56753" w:rsidRPr="00AD70E8" w:rsidRDefault="00B56753" w:rsidP="00FB375D">
                                <w:pPr>
                                  <w:pStyle w:val="NormalWeb"/>
                                  <w:spacing w:before="0" w:beforeAutospacing="0" w:after="0" w:afterAutospacing="0"/>
                                  <w:jc w:val="center"/>
                                </w:pPr>
                                <w:r w:rsidRPr="00AD70E8">
                                  <w:rPr>
                                    <w:rFonts w:ascii="Garamond" w:eastAsia="Calibri" w:hAnsi="Garamond"/>
                                    <w:lang w:val="en-US"/>
                                  </w:rPr>
                                  <w:t>Professional liability insurance</w:t>
                                </w:r>
                              </w:p>
                            </w:txbxContent>
                          </wps:txbx>
                          <wps:bodyPr rot="0" spcFirstLastPara="0" vert="horz" wrap="square" numCol="1" spcCol="0" rtlCol="0" fromWordArt="0" anchor="ctr" anchorCtr="0" forceAA="0" compatLnSpc="1">
                            <a:prstTxWarp prst="textNoShape">
                              <a:avLst/>
                            </a:prstTxWarp>
                          </wps:bodyPr>
                        </wps:wsp>
                        <wps:wsp>
                          <wps:cNvPr id="1073741826" name="Соединительная линия уступом 1073741826"/>
                          <wps:cNvCnPr/>
                          <wps:spPr>
                            <a:xfrm rot="10800000" flipH="1" flipV="1">
                              <a:off x="2375199" y="696230"/>
                              <a:ext cx="57474" cy="522760"/>
                            </a:xfrm>
                            <a:prstGeom prst="bentConnector3">
                              <a:avLst>
                                <a:gd name="adj1" fmla="val -397745"/>
                              </a:avLst>
                            </a:prstGeom>
                            <a:noFill/>
                            <a:ln w="9525" cap="flat" cmpd="sng" algn="ctr">
                              <a:solidFill>
                                <a:sysClr val="windowText" lastClr="000000"/>
                              </a:solidFill>
                              <a:prstDash val="solid"/>
                              <a:tailEnd type="triangle"/>
                            </a:ln>
                            <a:effectLst/>
                          </wps:spPr>
                          <wps:bodyPr/>
                        </wps:wsp>
                        <wps:wsp>
                          <wps:cNvPr id="1073741827" name="Соединительная линия уступом 1073741827"/>
                          <wps:cNvCnPr/>
                          <wps:spPr>
                            <a:xfrm rot="10800000" flipH="1" flipV="1">
                              <a:off x="2375199" y="696230"/>
                              <a:ext cx="57474" cy="992886"/>
                            </a:xfrm>
                            <a:prstGeom prst="bentConnector3">
                              <a:avLst>
                                <a:gd name="adj1" fmla="val -397745"/>
                              </a:avLst>
                            </a:prstGeom>
                            <a:noFill/>
                            <a:ln w="9525" cap="flat" cmpd="sng" algn="ctr">
                              <a:solidFill>
                                <a:sysClr val="windowText" lastClr="000000"/>
                              </a:solidFill>
                              <a:prstDash val="solid"/>
                              <a:tailEnd type="triangle"/>
                            </a:ln>
                            <a:effectLst/>
                          </wps:spPr>
                          <wps:bodyPr/>
                        </wps:wsp>
                        <wps:wsp>
                          <wps:cNvPr id="1073741828" name="Соединительная линия уступом 1073741828"/>
                          <wps:cNvCnPr/>
                          <wps:spPr>
                            <a:xfrm rot="10800000" flipH="1" flipV="1">
                              <a:off x="2375199" y="696229"/>
                              <a:ext cx="57474" cy="1502939"/>
                            </a:xfrm>
                            <a:prstGeom prst="bentConnector3">
                              <a:avLst>
                                <a:gd name="adj1" fmla="val -397745"/>
                              </a:avLst>
                            </a:prstGeom>
                            <a:noFill/>
                            <a:ln w="9525" cap="flat" cmpd="sng" algn="ctr">
                              <a:solidFill>
                                <a:sysClr val="windowText" lastClr="000000"/>
                              </a:solidFill>
                              <a:prstDash val="solid"/>
                              <a:tailEnd type="triangle"/>
                            </a:ln>
                            <a:effectLst/>
                          </wps:spPr>
                          <wps:bodyPr/>
                        </wps:wsp>
                        <wps:wsp>
                          <wps:cNvPr id="1073741829" name="Соединительная линия уступом 1073741829"/>
                          <wps:cNvCnPr/>
                          <wps:spPr>
                            <a:xfrm rot="10800000" flipH="1" flipV="1">
                              <a:off x="4170845" y="696230"/>
                              <a:ext cx="69349" cy="582800"/>
                            </a:xfrm>
                            <a:prstGeom prst="bentConnector3">
                              <a:avLst>
                                <a:gd name="adj1" fmla="val -329637"/>
                              </a:avLst>
                            </a:prstGeom>
                            <a:noFill/>
                            <a:ln w="9525" cap="flat" cmpd="sng" algn="ctr">
                              <a:solidFill>
                                <a:sysClr val="windowText" lastClr="000000"/>
                              </a:solidFill>
                              <a:prstDash val="solid"/>
                              <a:tailEnd type="triangle"/>
                            </a:ln>
                            <a:effectLst/>
                          </wps:spPr>
                          <wps:bodyPr/>
                        </wps:wsp>
                        <wps:wsp>
                          <wps:cNvPr id="1073741830" name="Соединительная линия уступом 1073741830"/>
                          <wps:cNvCnPr/>
                          <wps:spPr>
                            <a:xfrm rot="10800000" flipH="1" flipV="1">
                              <a:off x="4170845" y="696230"/>
                              <a:ext cx="69349" cy="1105654"/>
                            </a:xfrm>
                            <a:prstGeom prst="bentConnector3">
                              <a:avLst>
                                <a:gd name="adj1" fmla="val -329637"/>
                              </a:avLst>
                            </a:prstGeom>
                            <a:noFill/>
                            <a:ln w="9525" cap="flat" cmpd="sng" algn="ctr">
                              <a:solidFill>
                                <a:sysClr val="windowText" lastClr="000000"/>
                              </a:solidFill>
                              <a:prstDash val="solid"/>
                              <a:tailEnd type="triangle"/>
                            </a:ln>
                            <a:effectLst/>
                          </wps:spPr>
                          <wps:bodyPr/>
                        </wps:wsp>
                        <wpg:grpSp>
                          <wpg:cNvPr id="1073741831" name="Группа 1073741831"/>
                          <wpg:cNvGrpSpPr/>
                          <wpg:grpSpPr>
                            <a:xfrm>
                              <a:off x="437655" y="944733"/>
                              <a:ext cx="5237019" cy="1591297"/>
                              <a:chOff x="437655" y="944733"/>
                              <a:chExt cx="5237019" cy="1591297"/>
                            </a:xfrm>
                          </wpg:grpSpPr>
                          <wps:wsp>
                            <wps:cNvPr id="1073741832" name="Прямая соединительная линия 1073741832"/>
                            <wps:cNvCnPr/>
                            <wps:spPr>
                              <a:xfrm>
                                <a:off x="437655" y="2536030"/>
                                <a:ext cx="5237018" cy="0"/>
                              </a:xfrm>
                              <a:prstGeom prst="line">
                                <a:avLst/>
                              </a:prstGeom>
                              <a:noFill/>
                              <a:ln w="15875" cap="flat" cmpd="sng" algn="ctr">
                                <a:solidFill>
                                  <a:sysClr val="windowText" lastClr="000000"/>
                                </a:solidFill>
                                <a:prstDash val="dash"/>
                                <a:tailEnd/>
                              </a:ln>
                              <a:effectLst/>
                            </wps:spPr>
                            <wps:bodyPr/>
                          </wps:wsp>
                          <wps:wsp>
                            <wps:cNvPr id="1073741833" name="Прямая соединительная линия 1073741833"/>
                            <wps:cNvCnPr/>
                            <wps:spPr>
                              <a:xfrm flipV="1">
                                <a:off x="437655" y="1408793"/>
                                <a:ext cx="0" cy="1127237"/>
                              </a:xfrm>
                              <a:prstGeom prst="line">
                                <a:avLst/>
                              </a:prstGeom>
                              <a:noFill/>
                              <a:ln w="15875" cap="flat" cmpd="sng" algn="ctr">
                                <a:solidFill>
                                  <a:sysClr val="windowText" lastClr="000000"/>
                                </a:solidFill>
                                <a:prstDash val="dash"/>
                                <a:tailEnd/>
                              </a:ln>
                              <a:effectLst/>
                            </wps:spPr>
                            <wps:bodyPr/>
                          </wps:wsp>
                          <wps:wsp>
                            <wps:cNvPr id="1073741834" name="Прямая соединительная линия 1073741834"/>
                            <wps:cNvCnPr/>
                            <wps:spPr>
                              <a:xfrm flipV="1">
                                <a:off x="5674673" y="944733"/>
                                <a:ext cx="0" cy="1591297"/>
                              </a:xfrm>
                              <a:prstGeom prst="line">
                                <a:avLst/>
                              </a:prstGeom>
                              <a:noFill/>
                              <a:ln w="15875" cap="flat" cmpd="sng" algn="ctr">
                                <a:solidFill>
                                  <a:sysClr val="windowText" lastClr="000000"/>
                                </a:solidFill>
                                <a:prstDash val="dash"/>
                                <a:tailEnd/>
                              </a:ln>
                              <a:effectLst/>
                            </wps:spPr>
                            <wps:bodyPr/>
                          </wps:wsp>
                          <wps:wsp>
                            <wps:cNvPr id="1073741835" name="Прямая соединительная линия 1073741835"/>
                            <wps:cNvCnPr/>
                            <wps:spPr>
                              <a:xfrm flipH="1">
                                <a:off x="2052700" y="981780"/>
                                <a:ext cx="3621974" cy="0"/>
                              </a:xfrm>
                              <a:prstGeom prst="line">
                                <a:avLst/>
                              </a:prstGeom>
                              <a:noFill/>
                              <a:ln w="15875" cap="flat" cmpd="sng" algn="ctr">
                                <a:solidFill>
                                  <a:sysClr val="windowText" lastClr="000000"/>
                                </a:solidFill>
                                <a:prstDash val="dash"/>
                                <a:tailEnd/>
                              </a:ln>
                              <a:effectLst/>
                            </wps:spPr>
                            <wps:bodyPr/>
                          </wps:wsp>
                          <wps:wsp>
                            <wps:cNvPr id="1073741836" name="Прямая соединительная линия 1073741836"/>
                            <wps:cNvCnPr/>
                            <wps:spPr>
                              <a:xfrm>
                                <a:off x="437655" y="1408792"/>
                                <a:ext cx="1615045" cy="0"/>
                              </a:xfrm>
                              <a:prstGeom prst="line">
                                <a:avLst/>
                              </a:prstGeom>
                              <a:noFill/>
                              <a:ln w="15875" cap="flat" cmpd="sng" algn="ctr">
                                <a:solidFill>
                                  <a:sysClr val="windowText" lastClr="000000"/>
                                </a:solidFill>
                                <a:prstDash val="dash"/>
                                <a:tailEnd/>
                              </a:ln>
                              <a:effectLst/>
                            </wps:spPr>
                            <wps:bodyPr/>
                          </wps:wsp>
                          <wps:wsp>
                            <wps:cNvPr id="1073741837" name="Прямая соединительная линия 1073741837"/>
                            <wps:cNvCnPr/>
                            <wps:spPr>
                              <a:xfrm flipH="1">
                                <a:off x="2043131" y="981780"/>
                                <a:ext cx="9525" cy="427011"/>
                              </a:xfrm>
                              <a:prstGeom prst="line">
                                <a:avLst/>
                              </a:prstGeom>
                              <a:noFill/>
                              <a:ln w="15875" cap="flat" cmpd="sng" algn="ctr">
                                <a:solidFill>
                                  <a:sysClr val="windowText" lastClr="000000"/>
                                </a:solidFill>
                                <a:prstDash val="dash"/>
                                <a:tailEnd/>
                              </a:ln>
                              <a:effectLst/>
                            </wps:spPr>
                            <wps:bodyPr/>
                          </wps:wsp>
                        </wpg:grpSp>
                        <wps:wsp>
                          <wps:cNvPr id="1073741838" name="Прямоугольник 1073741838"/>
                          <wps:cNvSpPr/>
                          <wps:spPr>
                            <a:xfrm>
                              <a:off x="4066073" y="2163736"/>
                              <a:ext cx="1353820" cy="281668"/>
                            </a:xfrm>
                            <a:prstGeom prst="rect">
                              <a:avLst/>
                            </a:prstGeom>
                            <a:solidFill>
                              <a:sysClr val="window" lastClr="FFFFFF">
                                <a:lumMod val="75000"/>
                              </a:sysClr>
                            </a:solidFill>
                            <a:ln w="9525" cap="flat" cmpd="sng" algn="ctr">
                              <a:noFill/>
                              <a:prstDash val="solid"/>
                            </a:ln>
                            <a:effectLst/>
                          </wps:spPr>
                          <wps:txbx>
                            <w:txbxContent>
                              <w:p w14:paraId="2D280A36" w14:textId="77777777" w:rsidR="00B56753" w:rsidRPr="00AD70E8" w:rsidRDefault="00B56753" w:rsidP="00FB375D">
                                <w:pPr>
                                  <w:pStyle w:val="NormalWeb"/>
                                  <w:spacing w:before="0" w:beforeAutospacing="0" w:after="0" w:afterAutospacing="0"/>
                                  <w:jc w:val="center"/>
                                  <w:rPr>
                                    <w:b/>
                                  </w:rPr>
                                </w:pPr>
                                <w:r w:rsidRPr="00AD70E8">
                                  <w:rPr>
                                    <w:rFonts w:ascii="Garamond" w:eastAsia="Calibri" w:hAnsi="Garamond"/>
                                    <w:b/>
                                    <w:lang w:val="en-US"/>
                                  </w:rPr>
                                  <w:t>Non-life insurance</w:t>
                                </w:r>
                              </w:p>
                            </w:txbxContent>
                          </wps:txbx>
                          <wps:bodyPr rot="0" spcFirstLastPara="0" vert="horz" wrap="square" numCol="1" spcCol="0" rtlCol="0" fromWordArt="0" anchor="ctr" anchorCtr="0" forceAA="0" compatLnSpc="1">
                            <a:prstTxWarp prst="textNoShape">
                              <a:avLst/>
                            </a:prstTxWarp>
                          </wps:bodyPr>
                        </wps:wsp>
                      </wpg:wgp>
                    </wpc:wpc>
                  </a:graphicData>
                </a:graphic>
              </wp:inline>
            </w:drawing>
          </mc:Choice>
          <mc:Fallback>
            <w:pict>
              <v:group id="Полотно 1073741839" o:spid="_x0000_s1360" editas="canvas" style="width:464.75pt;height:211.1pt;mso-position-horizontal-relative:char;mso-position-vertical-relative:line" coordsize="59016,26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">
                <v:shape id="_x0000_s1361" type="#_x0000_t75" style="position:absolute;width:59016;height:26803;visibility:visible;mso-wrap-style:square">
                  <v:fill o:detectmouseclick="t"/>
                  <v:path o:connecttype="none"/>
                </v:shape>
                <v:group id="Группа 1073742026" o:spid="_x0000_s1362" style="position:absolute;left:1849;width:55531;height:26409" coordorigin="2095,667" coordsize="55530,246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D4Sur+yQAA&#10;AOMAAAAPAAAAAAAAAAAAAAAAAKoCAABkcnMvZG93bnJldi54bWxQSwUGAAAAAAQABAD6AAAAoAMA&#10;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073742027" o:spid="_x0000_s1363" type="#_x0000_t34" style="position:absolute;left:4471;top:6954;width:1305;height:4512;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JfC53MAAAA4wAAAA8A&#10;AAAAAAAAAAAAAAAAoQIAAGRycy9kb3ducmV2LnhtbFBLBQYAAAAABAAEAPkAAACaAwAAAAA=&#10;" adj="-37835" strokecolor="windowText">
                    <v:stroke endarrow="block"/>
                  </v:shape>
                  <v:roundrect id="Скругленный прямоугольник 1073742028" o:spid="_x0000_s1364" style="position:absolute;left:2095;top:667;width:55531;height:305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DFcoA&#10;AADjAAAADwAAAGRycy9kb3ducmV2LnhtbESPQU/DMAyF70j8h8hI3FiydmKoLJsQEtJOm9i47GY1&#10;Jq3WOKUJW8uvxwckjvZ7fu/zajOGTl1oSG1kC/OZAUVcR9eyt/BxfHt4ApUyssMuMlmYKMFmfXuz&#10;wsrFK7/T5ZC9khBOFVpocu4rrVPdUMA0iz2xaJ9xCJhlHLx2A14lPHS6MOZRB2xZGhrs6bWh+nz4&#10;DhZ2x9PXFvdjufgpadpPxp9w5629vxtfnkFlGvO/+e966wTfLMvlojCFQMtPsgC9/gU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LvwxXKAAAA4wAAAA8AAAAAAAAAAAAAAAAAmAIA&#10;AGRycy9kb3ducmV2LnhtbFBLBQYAAAAABAAEAPUAAACPAwAAAAA=&#10;" filled="f" strokecolor="windowText">
                    <v:textbox>
                      <w:txbxContent>
                        <w:p w:rsidR="00B56753" w:rsidRPr="00AD70E8" w:rsidRDefault="00B56753" w:rsidP="00FB375D">
                          <w:pPr>
                            <w:jc w:val="center"/>
                            <w:rPr>
                              <w:b/>
                              <w:color w:val="000000" w:themeColor="text1"/>
                              <w:lang w:val="en-US"/>
                            </w:rPr>
                          </w:pPr>
                          <w:r w:rsidRPr="00AD70E8">
                            <w:rPr>
                              <w:b/>
                              <w:color w:val="000000" w:themeColor="text1"/>
                              <w:lang w:val="en-US"/>
                            </w:rPr>
                            <w:t>Types (lines) of insurance</w:t>
                          </w:r>
                        </w:p>
                      </w:txbxContent>
                    </v:textbox>
                  </v:roundrect>
                  <v:roundrect id="Скругленный прямоугольник 1073742029" o:spid="_x0000_s1365" style="position:absolute;left:4471;top:5430;width:15293;height:401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pfcMwA&#10;AADjAAAADwAAAGRycy9kb3ducmV2LnhtbESPQW/CMAyF70j7D5En7TYSOhilENAEYtplk1Y4cLQa&#10;05Y1TtUEKP9+mTSJo/2e3/e8WPW2ERfqfO1Yw2ioQBAXztRcatjvts8pCB+QDTaOScONPKyWD4MF&#10;ZsZd+ZsueShFDGGfoYYqhDaT0hcVWfRD1xJH7eg6iyGOXSlNh9cYbhuZKPUqLdYcCRW2tK6o+MnP&#10;NkLyyXrzvt9+HUZpI0/J+XNyS43WT4/92xxEoD7czf/XHybWV9OX6ThRyQz+fooLkMtf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94pfcMwAAADjAAAADwAAAAAAAAAAAAAAAACY&#10;AgAAZHJzL2Rvd25yZXYueG1sUEsFBgAAAAAEAAQA9QAAAJEDAAAAAA==&#10;" fillcolor="#f2f2f2" strokecolor="windowText">
                    <v:textbox inset="0,0,0,0">
                      <w:txbxContent>
                        <w:p w:rsidR="00B56753" w:rsidRPr="00AD70E8" w:rsidRDefault="00B56753" w:rsidP="00AD70E8">
                          <w:pPr>
                            <w:pStyle w:val="afc"/>
                            <w:spacing w:before="0" w:beforeAutospacing="0" w:after="0" w:afterAutospacing="0" w:line="240" w:lineRule="atLeast"/>
                            <w:jc w:val="center"/>
                            <w:rPr>
                              <w:b/>
                            </w:rPr>
                          </w:pPr>
                          <w:r w:rsidRPr="00AD70E8">
                            <w:rPr>
                              <w:rFonts w:ascii="Garamond" w:eastAsia="Calibri" w:hAnsi="Garamond"/>
                              <w:b/>
                              <w:lang w:val="en-US"/>
                            </w:rPr>
                            <w:t>Insurance of the person</w:t>
                          </w:r>
                        </w:p>
                      </w:txbxContent>
                    </v:textbox>
                  </v:roundrect>
                  <v:roundrect id="Скругленный прямоугольник 1073742030" o:spid="_x0000_s1366" style="position:absolute;left:23751;top:5433;width:14919;height:401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qb68sA&#10;AADjAAAADwAAAGRycy9kb3ducmV2LnhtbESPQUvDQBCF7wX/wzKCt3bXVJsSuy0qCELRYvTibchO&#10;k9DsbMiubfrvnUOhx5l5733zVpvRd+pIQ2wDW7ifGVDEVXAt1xZ+vt+mS1AxITvsApOFM0XYrG8m&#10;KyxcOPEXHctUKwnhWKCFJqW+0DpWDXmMs9ATy20fBo9JxqHWbsCThPtOZ8YstMeWhdBgT68NVYfy&#10;zwtk/3h2tPzV28PLB+aLbFeOnztr727H5ydQicZ0FV/c707eN/k8f8jMXFpIJ1mAXv8D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PCpvrywAAAOMAAAAPAAAAAAAAAAAAAAAAAJgC&#10;AABkcnMvZG93bnJldi54bWxQSwUGAAAAAAQABAD1AAAAkAMAAAAA&#10;" fillcolor="#f2f2f2" strokecolor="windowText">
                    <v:textbox inset="1mm,0,1mm,0">
                      <w:txbxContent>
                        <w:p w:rsidR="00B56753" w:rsidRPr="00AD70E8" w:rsidRDefault="00B56753" w:rsidP="00FB375D">
                          <w:pPr>
                            <w:pStyle w:val="afc"/>
                            <w:spacing w:before="0" w:beforeAutospacing="0" w:after="0" w:afterAutospacing="0"/>
                            <w:jc w:val="center"/>
                            <w:rPr>
                              <w:b/>
                            </w:rPr>
                          </w:pPr>
                          <w:r w:rsidRPr="00AD70E8">
                            <w:rPr>
                              <w:rFonts w:ascii="Garamond" w:eastAsia="Calibri" w:hAnsi="Garamond"/>
                              <w:b/>
                              <w:lang w:val="en-US"/>
                            </w:rPr>
                            <w:t>Insurance of property</w:t>
                          </w:r>
                        </w:p>
                      </w:txbxContent>
                    </v:textbox>
                  </v:roundrect>
                  <v:roundrect id="Скругленный прямоугольник 1073742031" o:spid="_x0000_s1367" style="position:absolute;left:41707;top:5433;width:14775;height:401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Y+cMsA&#10;AADjAAAADwAAAGRycy9kb3ducmV2LnhtbESPQWvCQBCF74L/YRmhN901WiPRVdpCQSitNHrxNmTH&#10;JJidDdmtxn/fLRQ8zrw373uz3va2EVfqfO1Yw3SiQBAXztRcajge3sdLED4gG2wck4Y7edhuhoM1&#10;Zsbd+JuueShFDGGfoYYqhDaT0hcVWfQT1xJH7ew6iyGOXSlNh7cYbhuZKLWQFmuOhApbequouOQ/&#10;NkLOz3dDy5P8uLx+YrpI9nn/tdf6adS/rEAE6sPD/H+9M7G+SmfpPFGzKfz9FBcgN7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gRj5wywAAAOMAAAAPAAAAAAAAAAAAAAAAAJgC&#10;AABkcnMvZG93bnJldi54bWxQSwUGAAAAAAQABAD1AAAAkAMAAAAA&#10;" fillcolor="#f2f2f2" strokecolor="windowText">
                    <v:textbox inset="1mm,0,1mm,0">
                      <w:txbxContent>
                        <w:p w:rsidR="00B56753" w:rsidRPr="00AD70E8" w:rsidRDefault="00B56753" w:rsidP="00FB375D">
                          <w:pPr>
                            <w:pStyle w:val="afc"/>
                            <w:spacing w:before="0" w:beforeAutospacing="0" w:after="0" w:afterAutospacing="0"/>
                            <w:jc w:val="center"/>
                            <w:rPr>
                              <w:b/>
                            </w:rPr>
                          </w:pPr>
                          <w:r w:rsidRPr="00AD70E8">
                            <w:rPr>
                              <w:rFonts w:ascii="Garamond" w:eastAsia="Calibri" w:hAnsi="Garamond"/>
                              <w:b/>
                              <w:lang w:val="en-US"/>
                            </w:rPr>
                            <w:t>Insurance of liability</w:t>
                          </w:r>
                        </w:p>
                      </w:txbxContent>
                    </v:textbox>
                  </v:roundrect>
                  <v:rect id="Прямоугольник 1073742032" o:spid="_x0000_s1368" style="position:absolute;left:5776;top:9803;width:13542;height:33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lK1ccA&#10;AADjAAAADwAAAGRycy9kb3ducmV2LnhtbERPX2vCMBB/F/wO4QRfZCZWp9IZRQRB2ZPd2F5vza0t&#10;ay6liVq/vRkIPt7v/602na3FhVpfOdYwGSsQxLkzFRcaPj/2L0sQPiAbrB2Thht52Kz7vRWmxl35&#10;RJcsFCKGsE9RQxlCk0rp85Is+rFriCP361qLIZ5tIU2L1xhua5koNZcWK44NJTa0Kyn/y85Ww+zr&#10;WB2XxRl/5rdXP3rPuNsm31oPB932DUSgLjzFD/fBxPlqMV3MEjVN4P+nCI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5StXHAAAA4wAAAA8AAAAAAAAAAAAAAAAAmAIAAGRy&#10;cy9kb3ducmV2LnhtbFBLBQYAAAAABAAEAPUAAACMAwAAAAA=&#10;" fillcolor="#d9d9d9" strokecolor="windowText">
                    <v:textbox>
                      <w:txbxContent>
                        <w:p w:rsidR="00B56753" w:rsidRPr="00AD70E8" w:rsidRDefault="00B56753" w:rsidP="00FB375D">
                          <w:pPr>
                            <w:jc w:val="center"/>
                            <w:rPr>
                              <w:b/>
                              <w:color w:val="000000" w:themeColor="text1"/>
                              <w:lang w:val="en-US"/>
                            </w:rPr>
                          </w:pPr>
                          <w:r w:rsidRPr="00AD70E8">
                            <w:rPr>
                              <w:b/>
                              <w:color w:val="000000" w:themeColor="text1"/>
                              <w:lang w:val="en-US"/>
                            </w:rPr>
                            <w:t>Life insurance</w:t>
                          </w:r>
                        </w:p>
                      </w:txbxContent>
                    </v:textbox>
                  </v:rect>
                  <v:shape id="Стрелка вниз 1073742033" o:spid="_x0000_s1369" type="#_x0000_t67" style="position:absolute;left:7226;top:3727;width:10213;height:16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qkSMcA&#10;AADjAAAADwAAAGRycy9kb3ducmV2LnhtbERPT2vCMBS/D/wO4QneZjK7LVqNUizCDrvoBtvx0Tzb&#10;sualNFG7b78MBju+3/+32Y2uE1caQuvZwMNcgSCuvG25NvD+drhfgggR2WLnmQx8U4DddnK3wdz6&#10;Gx/peoq1SCEccjTQxNjnUoaqIYdh7nvixJ394DCmc6ilHfCWwl0nF0o9S4ctp4YGe9o3VH2dLs7A&#10;iB969XQgXaqifP0sj3wpdGbMbDoWaxCRxvgv/nO/2DRf6Uw/LlSWwe9PCQC5/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qpEjHAAAA4wAAAA8AAAAAAAAAAAAAAAAAmAIAAGRy&#10;cy9kb3ducmV2LnhtbFBLBQYAAAAABAAEAPUAAACMAwAAAAA=&#10;" adj="10800" filled="f" strokecolor="windowText"/>
                  <v:shape id="Стрелка вниз 1073742034" o:spid="_x0000_s1370" type="#_x0000_t67" style="position:absolute;left:25889;top:3746;width:10211;height:16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M8PMcA&#10;AADjAAAADwAAAGRycy9kb3ducmV2LnhtbERPT2vCMBS/D/YdwhN2m4nWLdoZpawIO+yiG8zjo3m2&#10;Zc1LaaJ2334ZDDy+3/+33o6uExcaQuvZwGyqQBBX3rZcG/j82D0uQYSIbLHzTAZ+KMB2c3+3xtz6&#10;K+/pcoi1SCEccjTQxNjnUoaqIYdh6nvixJ384DCmc6ilHfCawl0n50o9S4ctp4YGe3ptqPo+nJ2B&#10;Eb/06mlHulRF+X4s93wudGbMw2QsXkBEGuNN/O9+s2m+0plezFW2gL+fEgBy8w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VDPDzHAAAA4wAAAA8AAAAAAAAAAAAAAAAAmAIAAGRy&#10;cy9kb3ducmV2LnhtbFBLBQYAAAAABAAEAPUAAACMAwAAAAA=&#10;" adj="10800" filled="f" strokecolor="windowText">
                    <v:textbox>
                      <w:txbxContent>
                        <w:p w:rsidR="00B56753" w:rsidRPr="00AD70E8" w:rsidRDefault="00B56753" w:rsidP="00FB375D"/>
                      </w:txbxContent>
                    </v:textbox>
                  </v:shape>
                  <v:shape id="Стрелка вниз 1073742035" o:spid="_x0000_s1371" type="#_x0000_t67" style="position:absolute;left:44131;top:3746;width:10211;height:16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Zp8cA&#10;AADjAAAADwAAAGRycy9kb3ducmV2LnhtbERPT2vCMBS/D/YdwhN2m4l2LtoZpawIO+yiG8zjo3m2&#10;Zc1LaaJ2334ZDDy+3/+33o6uExcaQuvZwGyqQBBX3rZcG/j82D0uQYSIbLHzTAZ+KMB2c3+3xtz6&#10;K+/pcoi1SCEccjTQxNjnUoaqIYdh6nvixJ384DCmc6ilHfCawl0n50o9S4ctp4YGe3ptqPo+nJ2B&#10;Eb/0arEjXaqifD+Wez4XOjPmYTIWLyAijfEm/ne/2TRf6Uw/zVW2gL+fEgBy8w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oPmafHAAAA4wAAAA8AAAAAAAAAAAAAAAAAmAIAAGRy&#10;cy9kb3ducmV2LnhtbFBLBQYAAAAABAAEAPUAAACMAwAAAAA=&#10;" adj="10800" filled="f" strokecolor="windowText">
                    <v:textbox>
                      <w:txbxContent>
                        <w:p w:rsidR="00B56753" w:rsidRPr="00AD70E8" w:rsidRDefault="00B56753" w:rsidP="00FB375D"/>
                      </w:txbxContent>
                    </v:textbox>
                  </v:shape>
                  <v:rect id="Прямоугольник 1073742036" o:spid="_x0000_s1372" style="position:absolute;left:5776;top:15403;width:13539;height:3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tsYA&#10;AADjAAAADwAAAGRycy9kb3ducmV2LnhtbERPX2vCMBB/H/gdwgl7m0lV2tkZZRMGsrc59340Z5vZ&#10;XGoTtX57Mxjs8X7/b7keXCsu1AfrWUM2USCIK28s1xr2X+9PzyBCRDbYeiYNNwqwXo0ellgaf+VP&#10;uuxiLVIIhxI1NDF2pZShashhmPiOOHEH3zuM6exraXq8pnDXyqlSuXRoOTU02NGmoeq4OzsN3Txb&#10;fPy87ZWtbHELGX7n8dRq/TgeXl9ARBriv/jPvTVpvipmxXyqZjn8/pQA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PetsYAAADjAAAADwAAAAAAAAAAAAAAAACYAgAAZHJz&#10;L2Rvd25yZXYueG1sUEsFBgAAAAAEAAQA9QAAAIsDAAAAAA==&#10;" filled="f" strokecolor="windowText">
                    <v:textbox>
                      <w:txbxContent>
                        <w:p w:rsidR="00B56753" w:rsidRPr="00AD70E8" w:rsidRDefault="00B56753" w:rsidP="00FB375D">
                          <w:pPr>
                            <w:pStyle w:val="afc"/>
                            <w:spacing w:before="0" w:beforeAutospacing="0" w:after="0" w:afterAutospacing="0"/>
                            <w:jc w:val="center"/>
                          </w:pPr>
                          <w:r w:rsidRPr="00AD70E8">
                            <w:rPr>
                              <w:rFonts w:ascii="Garamond" w:eastAsia="Calibri" w:hAnsi="Garamond"/>
                              <w:bCs/>
                              <w:lang w:val="en-US"/>
                            </w:rPr>
                            <w:t>Health insurance</w:t>
                          </w:r>
                        </w:p>
                      </w:txbxContent>
                    </v:textbox>
                  </v:rect>
                  <v:rect id="Прямоугольник 1073742037" o:spid="_x0000_s1373" style="position:absolute;left:5780;top:19797;width:13538;height:3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97LcYA&#10;AADjAAAADwAAAGRycy9kb3ducmV2LnhtbERPX2vCMBB/H/gdwg32NpOq2K0zigqD4du0ez+aW5ut&#10;udQmav32izDw8X7/b7EaXCvO1AfrWUM2ViCIK28s1xrKw/vzC4gQkQ22nknDlQKslqOHBRbGX/iT&#10;zvtYixTCoUANTYxdIWWoGnIYxr4jTty37x3GdPa1ND1eUrhr5USpuXRoOTU02NG2oep3f3Iauln2&#10;uvvZlMpWNr+GDL/m8dhq/fQ4rN9ARBriXfzv/jBpvsqn+WyipjncfkoA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L97LcYAAADjAAAADwAAAAAAAAAAAAAAAACYAgAAZHJz&#10;L2Rvd25yZXYueG1sUEsFBgAAAAAEAAQA9QAAAIsDAAAAAA==&#10;" filled="f" strokecolor="windowText">
                    <v:textbox>
                      <w:txbxContent>
                        <w:p w:rsidR="00B56753" w:rsidRPr="00AD70E8" w:rsidRDefault="00B56753" w:rsidP="00FB375D">
                          <w:pPr>
                            <w:pStyle w:val="afc"/>
                            <w:spacing w:before="0" w:beforeAutospacing="0" w:after="0" w:afterAutospacing="0"/>
                            <w:jc w:val="center"/>
                          </w:pPr>
                          <w:r w:rsidRPr="00AD70E8">
                            <w:rPr>
                              <w:rFonts w:ascii="Garamond" w:eastAsia="Calibri" w:hAnsi="Garamond"/>
                              <w:lang w:val="en-US"/>
                            </w:rPr>
                            <w:t>Casualty insurance</w:t>
                          </w:r>
                        </w:p>
                      </w:txbxContent>
                    </v:textbox>
                  </v:rect>
                  <v:shape id="Соединительная линия уступом 1073742038" o:spid="_x0000_s1374" type="#_x0000_t34" style="position:absolute;left:4471;top:6954;width:1305;height:10110;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hhbT58sAAADjAAAADwAA&#10;AAAAAAAAAAAAAAChAgAAZHJzL2Rvd25yZXYueG1sUEsFBgAAAAAEAAQA+QAAAJkDAAAAAA==&#10;" adj="-37834" strokecolor="windowText">
                    <v:stroke endarrow="block"/>
                  </v:shape>
                  <v:shape id="Соединительная линия уступом 1073742039" o:spid="_x0000_s1375" type="#_x0000_t34" style="position:absolute;left:4471;top:6954;width:1309;height:14504;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usX8gAAADjAAAADwAAAGRycy9kb3ducmV2LnhtbERPS0sDMRC+C/6HMIIXsYm70sfatBTB&#10;2oMXW6HX6Wa6Wd1M1iS26783guBxvvfMl4PrxIlCbD1ruBspEMS1Ny03Gt52T7dTEDEhG+w8k4Zv&#10;irBcXF7MsTL+zK902qZG5BCOFWqwKfWVlLG25DCOfE+cuaMPDlM+QyNNwHMOd50slBpLhy3nBos9&#10;PVqqP7ZfTsOzDTGaAm/2h8/1i9qs9+9yVWp9fTWsHkAkGtK/+M+9MXm+mpST+0KVM/j9KQMgF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6AusX8gAAADjAAAADwAAAAAA&#10;AAAAAAAAAAChAgAAZHJzL2Rvd25yZXYueG1sUEsFBgAAAAAEAAQA+QAAAJYDAAAAAA==&#10;" adj="-37738" strokecolor="windowText">
                    <v:stroke endarrow="block"/>
                  </v:shape>
                  <v:rect id="Прямоугольник 1073742040" o:spid="_x0000_s1376" style="position:absolute;left:24326;top:10529;width:13538;height:3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CQJMkA&#10;AADjAAAADwAAAGRycy9kb3ducmV2LnhtbESPQU/DMAyF70j7D5EncWNJR7VCWTYNJCTEjTHuVmPa&#10;QON0Tdi6f48PSBxtP7/3vvV2Cr060Zh8ZAvFwoAibqLz3Fo4vD/f3IFKGdlhH5ksXCjBdjO7WmPt&#10;4pnf6LTPrRITTjVa6HIeaq1T01HAtIgDsdw+4xgwyzi22o14FvPQ66UxKx3QsyR0ONBTR833/idY&#10;GMri/vXr8WB846tLKvBjlY+9tdfzafcAKtOU/8V/3y9O6pvqtiqXphQKYZIF6M0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1CQJMkAAADjAAAADwAAAAAAAAAAAAAAAACYAgAA&#10;ZHJzL2Rvd25yZXYueG1sUEsFBgAAAAAEAAQA9QAAAI4DAAAAAA==&#10;" filled="f" strokecolor="windowText">
                    <v:textbox>
                      <w:txbxContent>
                        <w:p w:rsidR="00B56753" w:rsidRPr="00AD70E8" w:rsidRDefault="00B56753" w:rsidP="00FB375D">
                          <w:pPr>
                            <w:pStyle w:val="afc"/>
                            <w:spacing w:before="0" w:beforeAutospacing="0" w:after="0" w:afterAutospacing="0"/>
                            <w:jc w:val="center"/>
                          </w:pPr>
                          <w:r w:rsidRPr="00AD70E8">
                            <w:rPr>
                              <w:rFonts w:ascii="Garamond" w:eastAsia="Calibri" w:hAnsi="Garamond"/>
                              <w:lang w:val="en-US"/>
                            </w:rPr>
                            <w:t>Dwelling insurance</w:t>
                          </w:r>
                        </w:p>
                      </w:txbxContent>
                    </v:textbox>
                  </v:rect>
                  <v:rect id="Прямоугольник 1073742041" o:spid="_x0000_s1377" style="position:absolute;left:24326;top:14802;width:13538;height:41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w1v8UA&#10;AADjAAAADwAAAGRycy9kb3ducmV2LnhtbERPX2vCMBB/H/gdwgl7m0ldsVqNsg0G4tucez+as83W&#10;XLom0/rtjTDw8X7/b7UZXCtO1AfrWUM2USCIK28s1xoOn+9PcxAhIhtsPZOGCwXYrEcPKyyNP/MH&#10;nfaxFimEQ4kamhi7UspQNeQwTHxHnLij7x3GdPa1ND2eU7hr5VSpmXRoOTU02NFbQ9XP/s9p6PJs&#10;sft+PShb2eISMvyaxd9W68fx8LIEEWmId/G/e2vSfFU8F/lU5RncfkoA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HDW/xQAAAOMAAAAPAAAAAAAAAAAAAAAAAJgCAABkcnMv&#10;ZG93bnJldi54bWxQSwUGAAAAAAQABAD1AAAAigMAAAAA&#10;" filled="f" strokecolor="windowText">
                    <v:textbox>
                      <w:txbxContent>
                        <w:p w:rsidR="00B56753" w:rsidRPr="00AD70E8" w:rsidRDefault="00B56753" w:rsidP="00FB375D">
                          <w:pPr>
                            <w:pStyle w:val="afc"/>
                            <w:spacing w:before="0" w:beforeAutospacing="0" w:after="0" w:afterAutospacing="0"/>
                            <w:jc w:val="center"/>
                          </w:pPr>
                          <w:r w:rsidRPr="00AD70E8">
                            <w:rPr>
                              <w:rFonts w:ascii="Garamond" w:eastAsia="Calibri" w:hAnsi="Garamond"/>
                              <w:lang w:val="en-US"/>
                            </w:rPr>
                            <w:t>Commercial property insurance</w:t>
                          </w:r>
                        </w:p>
                      </w:txbxContent>
                    </v:textbox>
                  </v:rect>
                  <v:rect id="Прямоугольник 1073742042" o:spid="_x0000_s1378" style="position:absolute;left:42401;top:10655;width:13539;height:42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6ryMYA&#10;AADjAAAADwAAAGRycy9kb3ducmV2LnhtbERP3UvDMBB/F/wfwgm+uaS1rFu3bKggiG/u4/1obm22&#10;5lKbuHX/vRGEPd7v+5br0XXiTEOwnjVkEwWCuPbGcqNht31/moEIEdlg55k0XCnAenV/t8TK+At/&#10;0XkTG5FCOFSooY2xr6QMdUsOw8T3xIk7+MFhTOfQSDPgJYW7TuZKTaVDy6mhxZ7eWqpPmx+noS+y&#10;+efxdadsbctryHA/jd+d1o8P48sCRKQx3sT/7g+T5qvyuSxyVeTw91MC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M6ryMYAAADjAAAADwAAAAAAAAAAAAAAAACYAgAAZHJz&#10;L2Rvd25yZXYueG1sUEsFBgAAAAAEAAQA9QAAAIsDAAAAAA==&#10;" filled="f" strokecolor="windowText">
                    <v:textbox>
                      <w:txbxContent>
                        <w:p w:rsidR="00B56753" w:rsidRPr="00AD70E8" w:rsidRDefault="00B56753" w:rsidP="00FB375D">
                          <w:pPr>
                            <w:pStyle w:val="afc"/>
                            <w:spacing w:before="0" w:beforeAutospacing="0" w:after="0" w:afterAutospacing="0"/>
                            <w:jc w:val="center"/>
                          </w:pPr>
                          <w:r w:rsidRPr="00AD70E8">
                            <w:rPr>
                              <w:rFonts w:ascii="Garamond" w:eastAsia="Calibri" w:hAnsi="Garamond"/>
                              <w:lang w:val="en-US"/>
                            </w:rPr>
                            <w:t>Civil liability insurance</w:t>
                          </w:r>
                        </w:p>
                      </w:txbxContent>
                    </v:textbox>
                  </v:rect>
                  <v:rect id="Прямоугольник 1073742043" o:spid="_x0000_s1379" style="position:absolute;left:24326;top:19810;width:13538;height:43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IOU8YA&#10;AADjAAAADwAAAGRycy9kb3ducmV2LnhtbERP3WvCMBB/H+x/CDfwbSbVYmdnFB0IY29+7P1ozjZb&#10;c+maTOt/vwwEH+/3fYvV4Fpxpj5YzxqysQJBXHljudZwPGyfX0CEiGyw9UwarhRgtXx8WGBp/IV3&#10;dN7HWqQQDiVqaGLsSilD1ZDDMPYdceJOvncY09nX0vR4SeGulROlZtKh5dTQYEdvDVXf+1+nocuz&#10;+cfX5qhsZYtryPBzFn9arUdPw/oVRKQh3sU397tJ81UxLfKJyqfw/1MC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4IOU8YAAADjAAAADwAAAAAAAAAAAAAAAACYAgAAZHJz&#10;L2Rvd25yZXYueG1sUEsFBgAAAAAEAAQA9QAAAIsDAAAAAA==&#10;" filled="f" strokecolor="windowText">
                    <v:textbox>
                      <w:txbxContent>
                        <w:p w:rsidR="00B56753" w:rsidRPr="00AD70E8" w:rsidRDefault="00B56753" w:rsidP="00FB375D">
                          <w:pPr>
                            <w:pStyle w:val="afc"/>
                            <w:spacing w:before="0" w:beforeAutospacing="0" w:after="0" w:afterAutospacing="0"/>
                            <w:jc w:val="center"/>
                          </w:pPr>
                          <w:r w:rsidRPr="00AD70E8">
                            <w:rPr>
                              <w:rFonts w:ascii="Garamond" w:eastAsia="Calibri" w:hAnsi="Garamond"/>
                              <w:lang w:val="en-US"/>
                            </w:rPr>
                            <w:t>Vehicle insurance (CASCO)</w:t>
                          </w:r>
                        </w:p>
                      </w:txbxContent>
                    </v:textbox>
                  </v:rect>
                  <v:rect id="Прямоугольник 1073741824" o:spid="_x0000_s1380" style="position:absolute;left:42401;top:15993;width:13539;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BXpcYA&#10;AADjAAAADwAAAGRycy9kb3ducmV2LnhtbERP3WvCMBB/H/g/hBP2NpO6YrUaZRsMhm/z4/1ozjZb&#10;c+maTOt/vwgDH+/3favN4Fpxpj5YzxqyiQJBXHljudZw2L8/zUGEiGyw9UwarhRgsx49rLA0/sKf&#10;dN7FWqQQDiVqaGLsSilD1ZDDMPEdceJOvncY09nX0vR4SeGulVOlZtKh5dTQYEdvDVXfu1+nocuz&#10;xfbr9aBsZYtryPA4iz+t1o/j4WUJItIQ7+J/94dJ81XxXOTZfJrD7acE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sBXpcYAAADjAAAADwAAAAAAAAAAAAAAAACYAgAAZHJz&#10;L2Rvd25yZXYueG1sUEsFBgAAAAAEAAQA9QAAAIsDAAAAAA==&#10;" filled="f" strokecolor="windowText">
                    <v:textbox>
                      <w:txbxContent>
                        <w:p w:rsidR="00B56753" w:rsidRPr="00AD70E8" w:rsidRDefault="00B56753" w:rsidP="00FB375D">
                          <w:pPr>
                            <w:pStyle w:val="afc"/>
                            <w:spacing w:before="0" w:beforeAutospacing="0" w:after="0" w:afterAutospacing="0"/>
                            <w:jc w:val="center"/>
                          </w:pPr>
                          <w:r w:rsidRPr="00AD70E8">
                            <w:rPr>
                              <w:rFonts w:ascii="Garamond" w:eastAsia="Calibri" w:hAnsi="Garamond"/>
                              <w:lang w:val="en-US"/>
                            </w:rPr>
                            <w:t>Professional liability insurance</w:t>
                          </w:r>
                        </w:p>
                      </w:txbxContent>
                    </v:textbox>
                  </v:rect>
                  <v:shape id="Соединительная линия уступом 1073741826" o:spid="_x0000_s1381" type="#_x0000_t34" style="position:absolute;left:23751;top:6962;width:575;height:5227;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3wAMkAAADjAAAADwAAAGRycy9kb3ducmV2LnhtbERPzUoDMRC+C32HMII3m+2q3bI2LSII&#10;6slWkR7HzTS7djMJSdquffpGEDzO9z/z5WB7caAQO8cKJuMCBHHjdMdGwcf70/UMREzIGnvHpOCH&#10;IiwXo4s51todeUWHdTIih3CsUUGbkq+ljE1LFuPYeeLMbV2wmPIZjNQBjznc9rIsiqm02HFuaNHT&#10;Y0vNbr23CvzW35nP/elrtXlpyu+0qd5eTVDq6nJ4uAeRaEj/4j/3s87zi+qmup3Myin8/pQBkIsz&#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g98ADJAAAA4wAAAA8AAAAA&#10;AAAAAAAAAAAAoQIAAGRycy9kb3ducmV2LnhtbFBLBQYAAAAABAAEAPkAAACXAwAAAAA=&#10;" adj="-85913" strokecolor="windowText">
                    <v:stroke endarrow="block"/>
                  </v:shape>
                  <v:shape id="Соединительная линия уступом 1073741827" o:spid="_x0000_s1382" type="#_x0000_t34" style="position:absolute;left:23751;top:6962;width:575;height:9929;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FVm8kAAADjAAAADwAAAGRycy9kb3ducmV2LnhtbERPS0sDMRC+C/0PYQrebLbrY8vatBRB&#10;UE+2ivQ4bqbZtZtJSNJ29debguBxvvfMl4PtxZFC7BwrmE4KEMSN0x0bBe9vj1czEDEha+wdk4Jv&#10;irBcjC7mWGt34jUdN8mIHMKxRgVtSr6WMjYtWYwT54kzt3PBYspnMFIHPOVw28uyKO6kxY5zQ4ue&#10;Hlpq9puDVeB3/tZ8HH4+19vnpvxK2+r1xQSlLsfD6h5EoiH9i//cTzrPL6rr6mY6Kys4/5QBkIt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dxVZvJAAAA4wAAAA8AAAAA&#10;AAAAAAAAAAAAoQIAAGRycy9kb3ducmV2LnhtbFBLBQYAAAAABAAEAPkAAACXAwAAAAA=&#10;" adj="-85913" strokecolor="windowText">
                    <v:stroke endarrow="block"/>
                  </v:shape>
                  <v:shape id="Соединительная линия уступом 1073741828" o:spid="_x0000_s1383" type="#_x0000_t34" style="position:absolute;left:23751;top:6962;width:575;height:15029;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PbuwenMAAAA4wAAAA8A&#10;AAAAAAAAAAAAAAAAoQIAAGRycy9kb3ducmV2LnhtbFBLBQYAAAAABAAEAPkAAACaAwAAAAA=&#10;" adj="-85913" strokecolor="windowText">
                    <v:stroke endarrow="block"/>
                  </v:shape>
                  <v:shape id="Соединительная линия уступом 1073741829" o:spid="_x0000_s1384" type="#_x0000_t34" style="position:absolute;left:41708;top:6962;width:693;height:5828;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KkMUAAADjAAAADwAAAGRycy9kb3ducmV2LnhtbERPX0vDMBB/F/wO4QTfXLIqbqvLhiiK&#10;r9aCr2dza0ubS0zSrfv2RhB8vN//2+5nO4ojhdg71rBcKBDEjTM9txrqj5ebNYiYkA2OjknDmSLs&#10;d5cXWyyNO/E7HavUihzCsUQNXUq+lDI2HVmMC+eJM3dwwWLKZ2ilCXjK4XaUhVL30mLPuaFDT08d&#10;NUM1WQ3Pn374/qrcqw91nKpiUjyca62vr+bHBxCJ5vQv/nO/mTxfrW5Xd8t1sYHfnzIAcvc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0/KkMUAAADjAAAADwAAAAAAAAAA&#10;AAAAAAChAgAAZHJzL2Rvd25yZXYueG1sUEsFBgAAAAAEAAQA+QAAAJMDAAAAAA==&#10;" adj="-71202" strokecolor="windowText">
                    <v:stroke endarrow="block"/>
                  </v:shape>
                  <v:shape id="Соединительная линия уступом 1073741830" o:spid="_x0000_s1385" type="#_x0000_t34" style="position:absolute;left:41708;top:6962;width:693;height:11056;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Bes9dDJAAAA4wAAAA8AAAAA&#10;AAAAAAAAAAAAoQIAAGRycy9kb3ducmV2LnhtbFBLBQYAAAAABAAEAPkAAACXAwAAAAA=&#10;" adj="-71202" strokecolor="windowText">
                    <v:stroke endarrow="block"/>
                  </v:shape>
                  <v:group id="Группа 1073741831" o:spid="_x0000_s1386" style="position:absolute;left:4376;top:9447;width:52370;height:15913" coordorigin="4376,9447" coordsize="52370,159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L0OwHXIAAAA&#10;4wAAAA8AAAAAAAAAAAAAAAAAqgIAAGRycy9kb3ducmV2LnhtbFBLBQYAAAAABAAEAPoAAACfAwAA&#10;AAA=&#10;">
                    <v:line id="Прямая соединительная линия 1073741832" o:spid="_x0000_s1387" style="position:absolute;visibility:visible;mso-wrap-style:square" from="4376,25360" to="56746,25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8E6ZJygAAAOMAAAAPAAAA&#10;AAAAAAAAAAAAAKECAABkcnMvZG93bnJldi54bWxQSwUGAAAAAAQABAD5AAAAmAMAAAAA&#10;" strokecolor="windowText" strokeweight="1.25pt">
                      <v:stroke dashstyle="dash"/>
                    </v:line>
                    <v:line id="Прямая соединительная линия 1073741833" o:spid="_x0000_s1388" style="position:absolute;flip:y;visibility:visible;mso-wrap-style:square" from="4376,14087" to="4376,25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NbddXHJAAAA4wAAAA8AAAAA&#10;AAAAAAAAAAAAoQIAAGRycy9kb3ducmV2LnhtbFBLBQYAAAAABAAEAPkAAACXAwAAAAA=&#10;" strokecolor="windowText" strokeweight="1.25pt">
                      <v:stroke dashstyle="dash"/>
                    </v:line>
                    <v:line id="Прямая соединительная линия 1073741834" o:spid="_x0000_s1389" style="position:absolute;flip:y;visibility:visible;mso-wrap-style:square" from="56746,9447" to="56746,25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Fk07QXJAAAA4wAAAA8AAAAA&#10;AAAAAAAAAAAAoQIAAGRycy9kb3ducmV2LnhtbFBLBQYAAAAABAAEAPkAAACXAwAAAAA=&#10;" strokecolor="windowText" strokeweight="1.25pt">
                      <v:stroke dashstyle="dash"/>
                    </v:line>
                    <v:line id="Прямая соединительная линия 1073741835" o:spid="_x0000_s1390" style="position:absolute;flip:x;visibility:visible;mso-wrap-style:square" from="20527,9817" to="56746,98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DZ4SJ7JAAAA4wAAAA8AAAAA&#10;AAAAAAAAAAAAoQIAAGRycy9kb3ducmV2LnhtbFBLBQYAAAAABAAEAPkAAACXAwAAAAA=&#10;" strokecolor="windowText" strokeweight="1.25pt">
                      <v:stroke dashstyle="dash"/>
                    </v:line>
                    <v:line id="Прямая соединительная линия 1073741836" o:spid="_x0000_s1391" style="position:absolute;visibility:visible;mso-wrap-style:square" from="4376,14087" to="20527,14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DKKBKygAAAOMAAAAPAAAA&#10;AAAAAAAAAAAAAKECAABkcnMvZG93bnJldi54bWxQSwUGAAAAAAQABAD5AAAAmAMAAAAA&#10;" strokecolor="windowText" strokeweight="1.25pt">
                      <v:stroke dashstyle="dash"/>
                    </v:line>
                    <v:line id="Прямая соединительная линия 1073741837" o:spid="_x0000_s1392" style="position:absolute;flip:x;visibility:visible;mso-wrap-style:square" from="20431,9817" to="20526,14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ZzcskAAADjAAAADwAAAGRycy9kb3ducmV2LnhtbERPX0vDMBB/F/Ydwg18c2mt2FGXjTkU&#10;CvrgNsE9Hs3ZdmsuXRK7+u2NIPh4v/+3WI2mEwM531pWkM4SEMSV1S3XCt73zzdzED4ga+wsk4Jv&#10;8rBaTq4WWGh74S0Nu1CLGMK+QAVNCH0hpa8aMuhntieO3Kd1BkM8XS21w0sMN528TZJ7abDl2NBg&#10;T5uGqtPuyygou+Hl/JGGx+PrqXTpkzsc3jKr1PV0XD+ACDSGf/Gfu9RxfpJn+V06z3L4/SkCIJc/&#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Knmc3LJAAAA4wAAAA8AAAAA&#10;AAAAAAAAAAAAoQIAAGRycy9kb3ducmV2LnhtbFBLBQYAAAAABAAEAPkAAACXAwAAAAA=&#10;" strokecolor="windowText" strokeweight="1.25pt">
                      <v:stroke dashstyle="dash"/>
                    </v:line>
                  </v:group>
                  <v:rect id="Прямоугольник 1073741838" o:spid="_x0000_s1393" style="position:absolute;left:40660;top:21637;width:13538;height:28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z5LcwA&#10;AADjAAAADwAAAGRycy9kb3ducmV2LnhtbESPQU/DMAyF70j8h8hIXCaajk1s6ppNCKgEu61sO1uN&#10;11Y0TmnCVvj1+IDE0X7P733ON6Pr1JmG0Ho2ME1SUMSVty3XBvbvxd0SVIjIFjvPZOCbAmzW11c5&#10;ZtZfeEfnMtZKQjhkaKCJsc+0DlVDDkPie2LRTn5wGGUcam0HvEi46/R9mj5ohy1LQ4M9PTVUfZRf&#10;zsAR3z5fdrbfzw8Fls9bPynqn4kxtzfj4wpUpDH+m/+uX63gp4vZYj5dzgRafpIF6PUv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GHz5LcwAAADjAAAADwAAAAAAAAAAAAAAAACY&#10;AgAAZHJzL2Rvd25yZXYueG1sUEsFBgAAAAAEAAQA9QAAAJEDAAAAAA==&#10;" fillcolor="#bfbfbf" stroked="f">
                    <v:textbox>
                      <w:txbxContent>
                        <w:p w:rsidR="00B56753" w:rsidRPr="00AD70E8" w:rsidRDefault="00B56753" w:rsidP="00FB375D">
                          <w:pPr>
                            <w:pStyle w:val="afc"/>
                            <w:spacing w:before="0" w:beforeAutospacing="0" w:after="0" w:afterAutospacing="0"/>
                            <w:jc w:val="center"/>
                            <w:rPr>
                              <w:b/>
                            </w:rPr>
                          </w:pPr>
                          <w:r w:rsidRPr="00AD70E8">
                            <w:rPr>
                              <w:rFonts w:ascii="Garamond" w:eastAsia="Calibri" w:hAnsi="Garamond"/>
                              <w:b/>
                              <w:lang w:val="en-US"/>
                            </w:rPr>
                            <w:t>Non-life insurance</w:t>
                          </w:r>
                        </w:p>
                      </w:txbxContent>
                    </v:textbox>
                  </v:rect>
                </v:group>
                <w10:anchorlock/>
              </v:group>
            </w:pict>
          </mc:Fallback>
        </mc:AlternateContent>
      </w:r>
    </w:p>
    <w:p w14:paraId="4D71A16A" w14:textId="77777777" w:rsidR="00FB375D" w:rsidRDefault="00FB375D" w:rsidP="00FB375D">
      <w:pPr>
        <w:spacing w:line="312" w:lineRule="auto"/>
        <w:ind w:firstLine="357"/>
        <w:jc w:val="center"/>
        <w:rPr>
          <w:rFonts w:cs="Garamond"/>
          <w:b/>
          <w:color w:val="auto"/>
          <w:sz w:val="28"/>
          <w:szCs w:val="28"/>
          <w:lang w:val="en-US" w:eastAsia="ru-RU" w:bidi="ru-RU"/>
        </w:rPr>
      </w:pPr>
      <w:r w:rsidRPr="00AD70E8">
        <w:rPr>
          <w:rFonts w:cs="Garamond"/>
          <w:b/>
          <w:color w:val="auto"/>
          <w:sz w:val="28"/>
          <w:szCs w:val="28"/>
          <w:lang w:val="en-US" w:eastAsia="ru-RU" w:bidi="ru-RU"/>
        </w:rPr>
        <w:t>Figure 10.1</w:t>
      </w:r>
      <w:r w:rsidR="0086285C">
        <w:rPr>
          <w:rFonts w:cs="Garamond"/>
          <w:b/>
          <w:color w:val="auto"/>
          <w:sz w:val="28"/>
          <w:szCs w:val="28"/>
          <w:lang w:val="en-US" w:eastAsia="ru-RU" w:bidi="ru-RU"/>
        </w:rPr>
        <w:t xml:space="preserve"> </w:t>
      </w:r>
      <w:r w:rsidR="0086285C" w:rsidRPr="0086285C">
        <w:rPr>
          <w:rFonts w:cs="Garamond"/>
          <w:b/>
          <w:color w:val="auto"/>
          <w:sz w:val="28"/>
          <w:lang w:val="en-US" w:eastAsia="ru-RU" w:bidi="ru-RU"/>
        </w:rPr>
        <w:t>–</w:t>
      </w:r>
      <w:r w:rsidRPr="00AD70E8">
        <w:rPr>
          <w:rFonts w:cs="Garamond"/>
          <w:b/>
          <w:color w:val="auto"/>
          <w:sz w:val="28"/>
          <w:szCs w:val="28"/>
          <w:lang w:val="en-US" w:eastAsia="ru-RU" w:bidi="ru-RU"/>
        </w:rPr>
        <w:t xml:space="preserve"> Classification of insurance</w:t>
      </w:r>
    </w:p>
    <w:p w14:paraId="1B4A4856" w14:textId="77777777" w:rsidR="0086285C" w:rsidRPr="00AD70E8" w:rsidRDefault="0086285C" w:rsidP="00FB375D">
      <w:pPr>
        <w:spacing w:line="312" w:lineRule="auto"/>
        <w:ind w:firstLine="357"/>
        <w:jc w:val="center"/>
        <w:rPr>
          <w:rFonts w:cs="Garamond"/>
          <w:b/>
          <w:color w:val="auto"/>
          <w:sz w:val="28"/>
          <w:szCs w:val="28"/>
          <w:lang w:val="en-US" w:eastAsia="ru-RU" w:bidi="ru-RU"/>
        </w:rPr>
      </w:pPr>
    </w:p>
    <w:p w14:paraId="0BC5C324"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b/>
          <w:color w:val="auto"/>
          <w:sz w:val="28"/>
          <w:szCs w:val="28"/>
          <w:lang w:val="en-US" w:eastAsia="ru-RU" w:bidi="ru-RU"/>
        </w:rPr>
        <w:t>Life insurance</w:t>
      </w:r>
      <w:r w:rsidRPr="00AD70E8">
        <w:rPr>
          <w:rFonts w:cs="Garamond"/>
          <w:color w:val="auto"/>
          <w:sz w:val="28"/>
          <w:szCs w:val="28"/>
          <w:lang w:val="en-US" w:eastAsia="ru-RU" w:bidi="ru-RU"/>
        </w:rPr>
        <w:t xml:space="preserve"> provides protection for policyholders against the financial consequences of death and morbidity, as well as long-term savings and pension solutions. Life insurance can either be purchased for an unlimited duration (whole-life insurance) or for a pre-defined period of time (term-life insurance). Life insurance can take over longevity risk and so help policyholders mitigate the risk of outliving their financial assets. It can also serve as support for long-term private wealth building since life insurers offer a range of investment options.</w:t>
      </w:r>
    </w:p>
    <w:p w14:paraId="3CDC02E3"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 xml:space="preserve">There are two forms of insurance depending on the legislative requirements: compulsory insurance and non-compulsory insurance. </w:t>
      </w:r>
      <w:r w:rsidRPr="00AD70E8">
        <w:rPr>
          <w:rFonts w:cs="Garamond"/>
          <w:b/>
          <w:color w:val="auto"/>
          <w:sz w:val="28"/>
          <w:szCs w:val="28"/>
          <w:lang w:val="en-US" w:eastAsia="ru-RU" w:bidi="ru-RU"/>
        </w:rPr>
        <w:t>Non-compulsory insurance</w:t>
      </w:r>
      <w:r w:rsidRPr="00AD70E8">
        <w:rPr>
          <w:rFonts w:cs="Garamond"/>
          <w:color w:val="auto"/>
          <w:sz w:val="28"/>
          <w:szCs w:val="28"/>
          <w:lang w:val="en-US" w:eastAsia="ru-RU" w:bidi="ru-RU"/>
        </w:rPr>
        <w:t xml:space="preserve"> is based on the contract between the insurer and policyholder. Both of them are free to decide whether and with whom they want to take out an insurance policy, and to determine the key terms of the contract. </w:t>
      </w:r>
      <w:r w:rsidRPr="00AD70E8">
        <w:rPr>
          <w:rFonts w:cs="Garamond"/>
          <w:b/>
          <w:color w:val="auto"/>
          <w:sz w:val="28"/>
          <w:szCs w:val="28"/>
          <w:lang w:val="en-US" w:eastAsia="ru-RU" w:bidi="ru-RU"/>
        </w:rPr>
        <w:t>Compulsory insurance</w:t>
      </w:r>
      <w:r w:rsidRPr="00AD70E8">
        <w:rPr>
          <w:rFonts w:cs="Garamond"/>
          <w:color w:val="auto"/>
          <w:sz w:val="28"/>
          <w:szCs w:val="28"/>
          <w:lang w:val="en-US" w:eastAsia="ru-RU" w:bidi="ru-RU"/>
        </w:rPr>
        <w:t xml:space="preserve"> is set by the state to protect the interests of policyholders and society in whole (e.</w:t>
      </w:r>
      <w:r w:rsidR="00C55BCC">
        <w:rPr>
          <w:rFonts w:cs="Garamond"/>
          <w:color w:val="auto"/>
          <w:sz w:val="28"/>
          <w:szCs w:val="28"/>
          <w:lang w:val="en-US" w:eastAsia="ru-RU" w:bidi="ru-RU"/>
        </w:rPr>
        <w:t xml:space="preserve"> </w:t>
      </w:r>
      <w:r w:rsidRPr="00AD70E8">
        <w:rPr>
          <w:rFonts w:cs="Garamond"/>
          <w:color w:val="auto"/>
          <w:sz w:val="28"/>
          <w:szCs w:val="28"/>
          <w:lang w:val="en-US" w:eastAsia="ru-RU" w:bidi="ru-RU"/>
        </w:rPr>
        <w:t>g. if the activity is considered a potential source of danger). Main conditions of compulsory insurance contracts, such as perils, premiums, coverage limits and others, are determined by the legislation.</w:t>
      </w:r>
    </w:p>
    <w:p w14:paraId="5F678AE4"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On the fun</w:t>
      </w:r>
      <w:r w:rsidR="00AF2E0D">
        <w:rPr>
          <w:rFonts w:cs="Garamond"/>
          <w:color w:val="auto"/>
          <w:sz w:val="28"/>
          <w:szCs w:val="28"/>
          <w:lang w:val="en-US" w:eastAsia="ru-RU" w:bidi="ru-RU"/>
        </w:rPr>
        <w:t>ctional basis, insurance is sub</w:t>
      </w:r>
      <w:r w:rsidRPr="00AD70E8">
        <w:rPr>
          <w:rFonts w:cs="Garamond"/>
          <w:color w:val="auto"/>
          <w:sz w:val="28"/>
          <w:szCs w:val="28"/>
          <w:lang w:val="en-US" w:eastAsia="ru-RU" w:bidi="ru-RU"/>
        </w:rPr>
        <w:t xml:space="preserve">divided on insurance of the person, insurance of property and insurance of liability. </w:t>
      </w:r>
      <w:r w:rsidRPr="00AD70E8">
        <w:rPr>
          <w:rFonts w:cs="Garamond"/>
          <w:b/>
          <w:color w:val="auto"/>
          <w:sz w:val="28"/>
          <w:szCs w:val="28"/>
          <w:lang w:val="en-US" w:eastAsia="ru-RU" w:bidi="ru-RU"/>
        </w:rPr>
        <w:t>Insurance of the person</w:t>
      </w:r>
      <w:r w:rsidRPr="00AD70E8">
        <w:rPr>
          <w:rFonts w:cs="Garamond"/>
          <w:color w:val="auto"/>
          <w:sz w:val="28"/>
          <w:szCs w:val="28"/>
          <w:lang w:val="en-US" w:eastAsia="ru-RU" w:bidi="ru-RU"/>
        </w:rPr>
        <w:t xml:space="preserve"> includes life, health, personal accident insurances etc., the subject matter of this insurance </w:t>
      </w:r>
      <w:r w:rsidR="00C55BCC">
        <w:rPr>
          <w:rFonts w:cs="Garamond"/>
          <w:color w:val="auto"/>
          <w:sz w:val="28"/>
          <w:szCs w:val="28"/>
          <w:lang w:val="en-US" w:eastAsia="ru-RU" w:bidi="ru-RU"/>
        </w:rPr>
        <w:t>is</w:t>
      </w:r>
      <w:r w:rsidRPr="00AD70E8">
        <w:rPr>
          <w:rFonts w:cs="Garamond"/>
          <w:color w:val="auto"/>
          <w:sz w:val="28"/>
          <w:szCs w:val="28"/>
          <w:lang w:val="en-US" w:eastAsia="ru-RU" w:bidi="ru-RU"/>
        </w:rPr>
        <w:t xml:space="preserve"> human beings. Specific features of the personal insurance are the following: the policyholder or the insured must be a specific person; value of the insured item (a person, his/her </w:t>
      </w:r>
      <w:r w:rsidRPr="00AD70E8">
        <w:rPr>
          <w:rFonts w:cs="Garamond"/>
          <w:color w:val="auto"/>
          <w:sz w:val="28"/>
          <w:szCs w:val="28"/>
          <w:lang w:val="en-US" w:eastAsia="ru-RU" w:bidi="ru-RU"/>
        </w:rPr>
        <w:lastRenderedPageBreak/>
        <w:t>life, health) cannot be estimated; the sum insured depends on the financial state of the policyholder; there may be more than two participants of insurance (the insurer, the policyholder, the insured and the beneficiary).</w:t>
      </w:r>
    </w:p>
    <w:p w14:paraId="22483129"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b/>
          <w:color w:val="auto"/>
          <w:sz w:val="28"/>
          <w:szCs w:val="28"/>
          <w:lang w:val="en-US" w:eastAsia="ru-RU" w:bidi="ru-RU"/>
        </w:rPr>
        <w:t>Insurance of property</w:t>
      </w:r>
      <w:r w:rsidRPr="00AD70E8">
        <w:rPr>
          <w:rFonts w:cs="Garamond"/>
          <w:color w:val="auto"/>
          <w:sz w:val="28"/>
          <w:szCs w:val="28"/>
          <w:lang w:val="en-US" w:eastAsia="ru-RU" w:bidi="ru-RU"/>
        </w:rPr>
        <w:t xml:space="preserve"> covers tangible objects against loss or damage and includes fire (insurance of buildings and their contents), crime, cargo, casco insurances, and other types of personal and commercial property insurance. Specific features of the property insurance are: the object of the insurance contract is specific property; value of the insured item can be estimated; the sum insured cannot exceed the actual (residual) value of the property; the fact of damage, theft, destruction is not a sufficient condition for the insurance payment, the necessary condition is the existence of loss; indemnity cannot be a source of undue enrichment of the policyholder; property insurance contracts belong to short-term (usually 1 year) insurance; there may be three participants of insurance: the insurer, the policyholder, and the beneficiary. </w:t>
      </w:r>
    </w:p>
    <w:p w14:paraId="4692ADB0"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b/>
          <w:color w:val="auto"/>
          <w:sz w:val="28"/>
          <w:szCs w:val="28"/>
          <w:lang w:val="en-US" w:eastAsia="ru-RU" w:bidi="ru-RU"/>
        </w:rPr>
        <w:t>Insurance of liability</w:t>
      </w:r>
      <w:r w:rsidRPr="00AD70E8">
        <w:rPr>
          <w:rFonts w:cs="Garamond"/>
          <w:color w:val="auto"/>
          <w:sz w:val="28"/>
          <w:szCs w:val="28"/>
          <w:lang w:val="en-US" w:eastAsia="ru-RU" w:bidi="ru-RU"/>
        </w:rPr>
        <w:t xml:space="preserve"> covers legal liability for death, injury or property damage to others. Specific features of the property insurance are: there are always three parties in liability insurance: the insurer, the insured, the third party – the beneficiary, who will get the insurance compensation; the beneficiary is not defined in advance; the value of the insured item is not determined in advance either; liability insurance provides compensation to a third party and simultaneously protects economic interests of the policyholder; the sum insured</w:t>
      </w:r>
      <w:r w:rsidR="00C55BCC">
        <w:rPr>
          <w:rFonts w:cs="Garamond"/>
          <w:color w:val="auto"/>
          <w:sz w:val="28"/>
          <w:szCs w:val="28"/>
          <w:lang w:val="en-US" w:eastAsia="ru-RU" w:bidi="ru-RU"/>
        </w:rPr>
        <w:t xml:space="preserve"> is</w:t>
      </w:r>
      <w:r w:rsidRPr="00AD70E8">
        <w:rPr>
          <w:rFonts w:cs="Garamond"/>
          <w:color w:val="auto"/>
          <w:sz w:val="28"/>
          <w:szCs w:val="28"/>
          <w:lang w:val="en-US" w:eastAsia="ru-RU" w:bidi="ru-RU"/>
        </w:rPr>
        <w:t xml:space="preserve"> set in the insurance policy as a limit of the insurer's liability for every insured event or for a period of time. </w:t>
      </w:r>
    </w:p>
    <w:p w14:paraId="041E10D5"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 xml:space="preserve">It is common </w:t>
      </w:r>
      <w:r w:rsidRPr="00AD70E8">
        <w:rPr>
          <w:rFonts w:cs="Garamond"/>
          <w:b/>
          <w:color w:val="auto"/>
          <w:sz w:val="28"/>
          <w:szCs w:val="28"/>
          <w:lang w:val="en-US" w:eastAsia="ru-RU" w:bidi="ru-RU"/>
        </w:rPr>
        <w:t>for property insurance policies</w:t>
      </w:r>
      <w:r w:rsidRPr="00AD70E8">
        <w:rPr>
          <w:rFonts w:cs="Garamond"/>
          <w:color w:val="auto"/>
          <w:sz w:val="28"/>
          <w:szCs w:val="28"/>
          <w:lang w:val="en-US" w:eastAsia="ru-RU" w:bidi="ru-RU"/>
        </w:rPr>
        <w:t xml:space="preserve"> to specify that the insurer may settle a loss by different methods (cash payment, repair, replacement, reinstatement). The claim settlement also depends on the sum insured, i.</w:t>
      </w:r>
      <w:r w:rsidR="00C55BCC">
        <w:rPr>
          <w:rFonts w:cs="Garamond"/>
          <w:color w:val="auto"/>
          <w:sz w:val="28"/>
          <w:szCs w:val="28"/>
          <w:lang w:val="en-US" w:eastAsia="ru-RU" w:bidi="ru-RU"/>
        </w:rPr>
        <w:t xml:space="preserve"> </w:t>
      </w:r>
      <w:r w:rsidRPr="00AD70E8">
        <w:rPr>
          <w:rFonts w:cs="Garamond"/>
          <w:color w:val="auto"/>
          <w:sz w:val="28"/>
          <w:szCs w:val="28"/>
          <w:lang w:val="en-US" w:eastAsia="ru-RU" w:bidi="ru-RU"/>
        </w:rPr>
        <w:t>e. whether the property is insured at full value or underinsured. If the agreed sum insured is the same as the insurance value (e.</w:t>
      </w:r>
      <w:r w:rsidR="00C55BCC">
        <w:rPr>
          <w:rFonts w:cs="Garamond"/>
          <w:color w:val="auto"/>
          <w:sz w:val="28"/>
          <w:szCs w:val="28"/>
          <w:lang w:val="en-US" w:eastAsia="ru-RU" w:bidi="ru-RU"/>
        </w:rPr>
        <w:t xml:space="preserve"> </w:t>
      </w:r>
      <w:r w:rsidRPr="00AD70E8">
        <w:rPr>
          <w:rFonts w:cs="Garamond"/>
          <w:color w:val="auto"/>
          <w:sz w:val="28"/>
          <w:szCs w:val="28"/>
          <w:lang w:val="en-US" w:eastAsia="ru-RU" w:bidi="ru-RU"/>
        </w:rPr>
        <w:t>g. the reinstatement value of an object), the insurer has to provide full insurance cover and compensate the amount of the actual loss. Otherwise, if the property is not insured for the full value, the full amount of the loss will not be paid out. The “</w:t>
      </w:r>
      <w:r w:rsidRPr="00AD70E8">
        <w:rPr>
          <w:rFonts w:cs="Garamond"/>
          <w:b/>
          <w:color w:val="auto"/>
          <w:sz w:val="28"/>
          <w:szCs w:val="28"/>
          <w:lang w:val="en-US" w:eastAsia="ru-RU" w:bidi="ru-RU"/>
        </w:rPr>
        <w:t>pro rata condition of average</w:t>
      </w:r>
      <w:r w:rsidR="00C55BCC">
        <w:rPr>
          <w:rFonts w:cs="Garamond"/>
          <w:color w:val="auto"/>
          <w:sz w:val="28"/>
          <w:szCs w:val="28"/>
          <w:lang w:val="en-US" w:eastAsia="ru-RU" w:bidi="ru-RU"/>
        </w:rPr>
        <w:t>”</w:t>
      </w:r>
      <w:r w:rsidRPr="00AD70E8">
        <w:rPr>
          <w:rFonts w:cs="Garamond"/>
          <w:color w:val="auto"/>
          <w:sz w:val="28"/>
          <w:szCs w:val="28"/>
          <w:lang w:val="en-US" w:eastAsia="ru-RU" w:bidi="ru-RU"/>
        </w:rPr>
        <w:t xml:space="preserve"> (this is also known as the average clause, condition of average, principal of average or subject to average) is usually applied in such case. It means that the amount paid against a claim will be in the same proportion as the value of the underinsurance. The following formula will be used:</w:t>
      </w:r>
    </w:p>
    <w:p w14:paraId="10787155" w14:textId="77777777" w:rsidR="00FB375D" w:rsidRPr="00AD70E8" w:rsidRDefault="00FB375D" w:rsidP="00FB375D">
      <w:pPr>
        <w:spacing w:line="312" w:lineRule="auto"/>
        <w:ind w:firstLine="357"/>
        <w:jc w:val="center"/>
        <w:rPr>
          <w:rFonts w:cs="Garamond"/>
          <w:color w:val="auto"/>
          <w:sz w:val="28"/>
          <w:szCs w:val="28"/>
          <w:lang w:val="en-US" w:eastAsia="ru-RU" w:bidi="ru-RU"/>
        </w:rPr>
      </w:pPr>
    </w:p>
    <w:p w14:paraId="77A074F6" w14:textId="77777777" w:rsidR="00FB375D" w:rsidRPr="00AD70E8" w:rsidRDefault="00FB375D" w:rsidP="00FB375D">
      <w:pPr>
        <w:spacing w:line="312" w:lineRule="auto"/>
        <w:ind w:firstLine="357"/>
        <w:jc w:val="right"/>
        <w:rPr>
          <w:rFonts w:cs="Garamond"/>
          <w:color w:val="auto"/>
          <w:sz w:val="28"/>
          <w:szCs w:val="28"/>
          <w:lang w:val="en-US" w:eastAsia="ru-RU" w:bidi="ru-RU"/>
        </w:rPr>
      </w:pPr>
      <m:oMath>
        <m:r>
          <w:rPr>
            <w:rFonts w:ascii="Cambria Math" w:hAnsi="Cambria Math" w:cs="Garamond"/>
            <w:color w:val="auto"/>
            <w:sz w:val="28"/>
            <w:szCs w:val="28"/>
            <w:lang w:val="en-US" w:eastAsia="ru-RU" w:bidi="ru-RU"/>
          </w:rPr>
          <w:lastRenderedPageBreak/>
          <m:t xml:space="preserve">Payout=Claim ∙ </m:t>
        </m:r>
        <m:f>
          <m:fPr>
            <m:type m:val="lin"/>
            <m:ctrlPr>
              <w:rPr>
                <w:rFonts w:ascii="Cambria Math" w:hAnsi="Cambria Math" w:cs="Garamond"/>
                <w:i/>
                <w:color w:val="auto"/>
                <w:sz w:val="28"/>
                <w:szCs w:val="28"/>
                <w:lang w:val="en-US" w:eastAsia="ru-RU" w:bidi="ru-RU"/>
              </w:rPr>
            </m:ctrlPr>
          </m:fPr>
          <m:num>
            <m:r>
              <w:rPr>
                <w:rFonts w:ascii="Cambria Math" w:hAnsi="Cambria Math" w:cs="Garamond"/>
                <w:color w:val="auto"/>
                <w:sz w:val="28"/>
                <w:szCs w:val="28"/>
                <w:lang w:val="en-US" w:eastAsia="ru-RU" w:bidi="ru-RU"/>
              </w:rPr>
              <m:t>Sum insured</m:t>
            </m:r>
          </m:num>
          <m:den>
            <m:r>
              <w:rPr>
                <w:rFonts w:ascii="Cambria Math" w:hAnsi="Cambria Math" w:cs="Garamond"/>
                <w:color w:val="auto"/>
                <w:sz w:val="28"/>
                <w:szCs w:val="28"/>
                <w:lang w:val="en-US" w:eastAsia="ru-RU" w:bidi="ru-RU"/>
              </w:rPr>
              <m:t xml:space="preserve">Current </m:t>
            </m:r>
            <m:d>
              <m:dPr>
                <m:ctrlPr>
                  <w:rPr>
                    <w:rFonts w:ascii="Cambria Math" w:hAnsi="Cambria Math" w:cs="Garamond"/>
                    <w:i/>
                    <w:color w:val="auto"/>
                    <w:sz w:val="28"/>
                    <w:szCs w:val="28"/>
                    <w:lang w:val="en-US" w:eastAsia="ru-RU" w:bidi="ru-RU"/>
                  </w:rPr>
                </m:ctrlPr>
              </m:dPr>
              <m:e>
                <m:r>
                  <w:rPr>
                    <w:rFonts w:ascii="Cambria Math" w:hAnsi="Cambria Math" w:cs="Garamond"/>
                    <w:color w:val="auto"/>
                    <w:sz w:val="28"/>
                    <w:szCs w:val="28"/>
                    <w:lang w:val="en-US" w:eastAsia="ru-RU" w:bidi="ru-RU"/>
                  </w:rPr>
                  <m:t>replacement</m:t>
                </m:r>
              </m:e>
            </m:d>
            <m:r>
              <w:rPr>
                <w:rFonts w:ascii="Cambria Math" w:hAnsi="Cambria Math" w:cs="Garamond"/>
                <w:color w:val="auto"/>
                <w:sz w:val="28"/>
                <w:szCs w:val="28"/>
                <w:lang w:val="en-US" w:eastAsia="ru-RU" w:bidi="ru-RU"/>
              </w:rPr>
              <m:t xml:space="preserve"> value</m:t>
            </m:r>
          </m:den>
        </m:f>
      </m:oMath>
      <w:r w:rsidRPr="00AD70E8">
        <w:rPr>
          <w:rFonts w:cs="Garamond"/>
          <w:color w:val="auto"/>
          <w:sz w:val="28"/>
          <w:szCs w:val="28"/>
          <w:lang w:val="en-US" w:eastAsia="ru-RU" w:bidi="ru-RU"/>
        </w:rPr>
        <w:tab/>
      </w:r>
      <w:r w:rsidRPr="00AD70E8">
        <w:rPr>
          <w:rFonts w:cs="Garamond"/>
          <w:color w:val="auto"/>
          <w:sz w:val="28"/>
          <w:szCs w:val="28"/>
          <w:lang w:val="en-US" w:eastAsia="ru-RU" w:bidi="ru-RU"/>
        </w:rPr>
        <w:tab/>
        <w:t xml:space="preserve"> (10.2)</w:t>
      </w:r>
    </w:p>
    <w:p w14:paraId="61B3EC37" w14:textId="77777777" w:rsidR="00FB375D" w:rsidRPr="00AD70E8" w:rsidRDefault="00FB375D" w:rsidP="00FB375D">
      <w:pPr>
        <w:spacing w:line="312" w:lineRule="auto"/>
        <w:ind w:firstLine="357"/>
        <w:jc w:val="both"/>
        <w:rPr>
          <w:rFonts w:cs="Garamond"/>
          <w:color w:val="auto"/>
          <w:sz w:val="28"/>
          <w:szCs w:val="28"/>
          <w:lang w:val="en-US" w:eastAsia="ru-RU" w:bidi="ru-RU"/>
        </w:rPr>
      </w:pPr>
    </w:p>
    <w:p w14:paraId="4E79D491"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If there is a deductible clause in the insurance policy, this will be subtracted from the final payment of any claim after the operation of the pro rata condition of average.</w:t>
      </w:r>
    </w:p>
    <w:p w14:paraId="32DCAFAB"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 xml:space="preserve">Another approach in partial insurance is to apply </w:t>
      </w:r>
      <w:r w:rsidRPr="00AD70E8">
        <w:rPr>
          <w:rFonts w:cs="Garamond"/>
          <w:b/>
          <w:color w:val="auto"/>
          <w:sz w:val="28"/>
          <w:szCs w:val="28"/>
          <w:lang w:val="en-US" w:eastAsia="ru-RU" w:bidi="ru-RU"/>
        </w:rPr>
        <w:t>first loss policies</w:t>
      </w:r>
      <w:r w:rsidRPr="00AD70E8">
        <w:rPr>
          <w:rFonts w:cs="Garamond"/>
          <w:color w:val="auto"/>
          <w:sz w:val="28"/>
          <w:szCs w:val="28"/>
          <w:lang w:val="en-US" w:eastAsia="ru-RU" w:bidi="ru-RU"/>
        </w:rPr>
        <w:t>. Such insurance policies are most commonly used in the case of theft or burglary insurance to insure against events where a total loss is extremely rare. First loss insurance provides payments against insurance claims up to the level of the sum insured and ignores underinsurance. However, the policyholder does not seek compensation for losses below the first-loss level.</w:t>
      </w:r>
    </w:p>
    <w:p w14:paraId="574C09AA" w14:textId="77777777" w:rsidR="00FB375D" w:rsidRPr="00AD70E8"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 xml:space="preserve">To avoid or minimize catastrophic risks and accumulation of similar risks insurance companies use different risk transfer mechanisms. The most common are coinsurance and reinsurance. </w:t>
      </w:r>
      <w:r w:rsidRPr="00AD70E8">
        <w:rPr>
          <w:rFonts w:cs="Garamond"/>
          <w:b/>
          <w:color w:val="auto"/>
          <w:sz w:val="28"/>
          <w:szCs w:val="28"/>
          <w:lang w:val="en-US" w:eastAsia="ru-RU" w:bidi="ru-RU"/>
        </w:rPr>
        <w:t>Coinsurance</w:t>
      </w:r>
      <w:r w:rsidRPr="00AD70E8">
        <w:rPr>
          <w:rFonts w:cs="Garamond"/>
          <w:color w:val="auto"/>
          <w:sz w:val="28"/>
          <w:szCs w:val="28"/>
          <w:lang w:val="en-US" w:eastAsia="ru-RU" w:bidi="ru-RU"/>
        </w:rPr>
        <w:t xml:space="preserve"> is the agreed participation of several insurers on a large risk in such a way that each takes over a pro rata share of the sum insured or a certain amount. One insurance policy is concluded between the policyholder and each coinsurer for the respective share that is covered. In accordance with the insurance contract, the leading insurance company (usually the insurer with the largest share) can conduct the negotiations,</w:t>
      </w:r>
      <w:r w:rsidRPr="00AD70E8">
        <w:rPr>
          <w:rFonts w:eastAsia="Calibri"/>
          <w:color w:val="auto"/>
          <w:sz w:val="28"/>
          <w:szCs w:val="28"/>
          <w:lang w:eastAsia="en-US"/>
        </w:rPr>
        <w:t xml:space="preserve"> </w:t>
      </w:r>
      <w:r w:rsidRPr="00AD70E8">
        <w:rPr>
          <w:rFonts w:cs="Garamond"/>
          <w:color w:val="auto"/>
          <w:sz w:val="28"/>
          <w:szCs w:val="28"/>
          <w:lang w:val="en-US" w:eastAsia="ru-RU" w:bidi="ru-RU"/>
        </w:rPr>
        <w:t>regulate contractual matters, receive premiums, and settle claims on behalf of the other participating direct insurers. Leading insurance company receives a lead office commission for its efforts.</w:t>
      </w:r>
    </w:p>
    <w:p w14:paraId="1B1B90BB" w14:textId="77777777" w:rsidR="00FB375D" w:rsidRDefault="00FB375D" w:rsidP="0086285C">
      <w:pPr>
        <w:spacing w:line="312" w:lineRule="auto"/>
        <w:ind w:firstLine="709"/>
        <w:jc w:val="both"/>
        <w:rPr>
          <w:rFonts w:cs="Garamond"/>
          <w:color w:val="auto"/>
          <w:sz w:val="28"/>
          <w:szCs w:val="28"/>
          <w:lang w:val="en-US" w:eastAsia="ru-RU" w:bidi="ru-RU"/>
        </w:rPr>
      </w:pPr>
      <w:r w:rsidRPr="00AD70E8">
        <w:rPr>
          <w:rFonts w:cs="Garamond"/>
          <w:color w:val="auto"/>
          <w:sz w:val="28"/>
          <w:szCs w:val="28"/>
          <w:lang w:val="en-US" w:eastAsia="ru-RU" w:bidi="ru-RU"/>
        </w:rPr>
        <w:t xml:space="preserve">In the simplest meaning, </w:t>
      </w:r>
      <w:r w:rsidRPr="00AD70E8">
        <w:rPr>
          <w:rFonts w:cs="Garamond"/>
          <w:b/>
          <w:color w:val="auto"/>
          <w:sz w:val="28"/>
          <w:szCs w:val="28"/>
          <w:lang w:val="en-US" w:eastAsia="ru-RU" w:bidi="ru-RU"/>
        </w:rPr>
        <w:t>reinsurance</w:t>
      </w:r>
      <w:r w:rsidRPr="00AD70E8">
        <w:rPr>
          <w:rFonts w:cs="Garamond"/>
          <w:color w:val="auto"/>
          <w:sz w:val="28"/>
          <w:szCs w:val="28"/>
          <w:lang w:val="en-US" w:eastAsia="ru-RU" w:bidi="ru-RU"/>
        </w:rPr>
        <w:t xml:space="preserve"> is an insurance product for insurance companies. The direct insurer keeps so much of the insured risk for </w:t>
      </w:r>
      <w:r w:rsidR="00C55BCC">
        <w:rPr>
          <w:rFonts w:cs="Garamond"/>
          <w:color w:val="auto"/>
          <w:sz w:val="28"/>
          <w:szCs w:val="28"/>
          <w:lang w:val="en-US" w:eastAsia="ru-RU" w:bidi="ru-RU"/>
        </w:rPr>
        <w:t>his</w:t>
      </w:r>
      <w:r w:rsidRPr="00AD70E8">
        <w:rPr>
          <w:rFonts w:cs="Garamond"/>
          <w:color w:val="auto"/>
          <w:sz w:val="28"/>
          <w:szCs w:val="28"/>
          <w:lang w:val="en-US" w:eastAsia="ru-RU" w:bidi="ru-RU"/>
        </w:rPr>
        <w:t xml:space="preserve"> own retention as </w:t>
      </w:r>
      <w:r w:rsidR="00C55BCC">
        <w:rPr>
          <w:rFonts w:cs="Garamond"/>
          <w:color w:val="auto"/>
          <w:sz w:val="28"/>
          <w:szCs w:val="28"/>
          <w:lang w:val="en-US" w:eastAsia="ru-RU" w:bidi="ru-RU"/>
        </w:rPr>
        <w:t>he</w:t>
      </w:r>
      <w:r w:rsidRPr="00AD70E8">
        <w:rPr>
          <w:rFonts w:cs="Garamond"/>
          <w:color w:val="auto"/>
          <w:sz w:val="28"/>
          <w:szCs w:val="28"/>
          <w:lang w:val="en-US" w:eastAsia="ru-RU" w:bidi="ru-RU"/>
        </w:rPr>
        <w:t xml:space="preserve"> can without putting </w:t>
      </w:r>
      <w:r w:rsidR="00C55BCC">
        <w:rPr>
          <w:rFonts w:cs="Garamond"/>
          <w:color w:val="auto"/>
          <w:sz w:val="28"/>
          <w:szCs w:val="28"/>
          <w:lang w:val="en-US" w:eastAsia="ru-RU" w:bidi="ru-RU"/>
        </w:rPr>
        <w:t>his</w:t>
      </w:r>
      <w:r w:rsidRPr="00AD70E8">
        <w:rPr>
          <w:rFonts w:cs="Garamond"/>
          <w:color w:val="auto"/>
          <w:sz w:val="28"/>
          <w:szCs w:val="28"/>
          <w:lang w:val="en-US" w:eastAsia="ru-RU" w:bidi="ru-RU"/>
        </w:rPr>
        <w:t xml:space="preserve"> own portfolio at risk and transfers the rest portion of risk portfolios to other parties by some form of agreement (reinsurance contract). The various reinsurance forms are distinguished by the type of contract (</w:t>
      </w:r>
      <w:r w:rsidR="00AD70E8">
        <w:rPr>
          <w:rFonts w:cs="Garamond"/>
          <w:color w:val="auto"/>
          <w:sz w:val="28"/>
          <w:szCs w:val="28"/>
          <w:lang w:val="en-US" w:eastAsia="ru-RU" w:bidi="ru-RU"/>
        </w:rPr>
        <w:t xml:space="preserve">see </w:t>
      </w:r>
      <w:r w:rsidR="00C55BCC">
        <w:rPr>
          <w:rFonts w:cs="Garamond"/>
          <w:color w:val="auto"/>
          <w:sz w:val="28"/>
          <w:szCs w:val="28"/>
          <w:lang w:val="en-US" w:eastAsia="ru-RU" w:bidi="ru-RU"/>
        </w:rPr>
        <w:t>T</w:t>
      </w:r>
      <w:r w:rsidRPr="00AD70E8">
        <w:rPr>
          <w:rFonts w:cs="Garamond"/>
          <w:color w:val="auto"/>
          <w:sz w:val="28"/>
          <w:szCs w:val="28"/>
          <w:lang w:val="en-US" w:eastAsia="ru-RU" w:bidi="ru-RU"/>
        </w:rPr>
        <w:t>able 10.2) and by direct insurer’s purpose.</w:t>
      </w:r>
    </w:p>
    <w:p w14:paraId="0B8C24D6" w14:textId="77777777" w:rsidR="0086285C" w:rsidRPr="00AD70E8" w:rsidRDefault="0086285C" w:rsidP="0086285C">
      <w:pPr>
        <w:spacing w:line="312" w:lineRule="auto"/>
        <w:ind w:firstLine="357"/>
        <w:jc w:val="both"/>
        <w:rPr>
          <w:rFonts w:cs="Garamond"/>
          <w:sz w:val="28"/>
          <w:szCs w:val="28"/>
          <w:lang w:val="en-US" w:eastAsia="ru-RU"/>
        </w:rPr>
      </w:pPr>
      <w:r w:rsidRPr="00AD70E8">
        <w:rPr>
          <w:rFonts w:cs="Garamond"/>
          <w:color w:val="auto"/>
          <w:sz w:val="28"/>
          <w:szCs w:val="28"/>
          <w:lang w:val="en-US" w:eastAsia="ru-RU" w:bidi="ru-RU"/>
        </w:rPr>
        <w:t xml:space="preserve">Depending on the purpose of a direct insurer, there are two types of reinsurance – proportional and non-proportional. </w:t>
      </w:r>
      <w:r w:rsidRPr="00AD70E8">
        <w:rPr>
          <w:rFonts w:cs="Garamond"/>
          <w:sz w:val="28"/>
          <w:szCs w:val="28"/>
          <w:lang w:val="en-US" w:eastAsia="ru-RU"/>
        </w:rPr>
        <w:t>With proportional (based on the sum insured) reinsurance, the direct insu</w:t>
      </w:r>
      <w:r>
        <w:rPr>
          <w:rFonts w:cs="Garamond"/>
          <w:sz w:val="28"/>
          <w:szCs w:val="28"/>
          <w:lang w:val="en-US" w:eastAsia="ru-RU"/>
        </w:rPr>
        <w:t>rer transfers a quota share and/</w:t>
      </w:r>
      <w:r w:rsidRPr="00AD70E8">
        <w:rPr>
          <w:rFonts w:cs="Garamond"/>
          <w:sz w:val="28"/>
          <w:szCs w:val="28"/>
          <w:lang w:val="en-US" w:eastAsia="ru-RU"/>
        </w:rPr>
        <w:t>or the peaks of certain risks. The sum insured, premiums and claims are shared pro rata by the direct insurer and reinsurer. In non-proportional (claims based) reinsurance the reinsurer’s liability is determined exclusively by the amount of the claim. The reinsurer’s liability begins when the direct insurer’s deductible is exceeded.</w:t>
      </w:r>
    </w:p>
    <w:p w14:paraId="1A6DE37C" w14:textId="77777777" w:rsidR="00FB375D" w:rsidRPr="00AD70E8" w:rsidRDefault="00FB375D" w:rsidP="00AF2E0D">
      <w:pPr>
        <w:spacing w:line="312" w:lineRule="auto"/>
        <w:jc w:val="both"/>
        <w:rPr>
          <w:rFonts w:cs="Garamond"/>
          <w:color w:val="auto"/>
          <w:sz w:val="28"/>
          <w:szCs w:val="28"/>
          <w:lang w:val="en-US" w:eastAsia="ru-RU" w:bidi="ru-RU"/>
        </w:rPr>
      </w:pPr>
      <w:r w:rsidRPr="00AD70E8">
        <w:rPr>
          <w:rFonts w:cs="Garamond"/>
          <w:b/>
          <w:color w:val="auto"/>
          <w:sz w:val="28"/>
          <w:szCs w:val="28"/>
          <w:lang w:val="en-US" w:eastAsia="ru-RU" w:bidi="ru-RU"/>
        </w:rPr>
        <w:lastRenderedPageBreak/>
        <w:t>Table 10.2</w:t>
      </w:r>
      <w:r w:rsidR="0086285C">
        <w:rPr>
          <w:rFonts w:cs="Garamond"/>
          <w:b/>
          <w:color w:val="auto"/>
          <w:sz w:val="28"/>
          <w:szCs w:val="28"/>
          <w:lang w:val="en-US" w:eastAsia="ru-RU" w:bidi="ru-RU"/>
        </w:rPr>
        <w:t xml:space="preserve"> </w:t>
      </w:r>
      <w:r w:rsidR="0086285C" w:rsidRPr="00305E02">
        <w:rPr>
          <w:rFonts w:cs="Garamond"/>
          <w:color w:val="auto"/>
          <w:sz w:val="28"/>
          <w:lang w:val="en-US" w:eastAsia="ru-RU" w:bidi="ru-RU"/>
        </w:rPr>
        <w:t>–</w:t>
      </w:r>
      <w:r w:rsidR="0086285C">
        <w:rPr>
          <w:rFonts w:cs="Garamond"/>
          <w:color w:val="auto"/>
          <w:sz w:val="28"/>
          <w:lang w:val="en-US" w:eastAsia="ru-RU" w:bidi="ru-RU"/>
        </w:rPr>
        <w:t xml:space="preserve"> </w:t>
      </w:r>
      <w:r w:rsidRPr="00AD70E8">
        <w:rPr>
          <w:rFonts w:cs="Garamond"/>
          <w:b/>
          <w:color w:val="auto"/>
          <w:sz w:val="28"/>
          <w:szCs w:val="28"/>
          <w:lang w:val="en-US" w:eastAsia="ru-RU" w:bidi="ru-RU"/>
        </w:rPr>
        <w:t>Forms of reinsurance according to the types of reinsurance contracts</w:t>
      </w:r>
    </w:p>
    <w:tbl>
      <w:tblPr>
        <w:tblStyle w:val="50"/>
        <w:tblW w:w="4903" w:type="pct"/>
        <w:jc w:val="center"/>
        <w:tblLook w:val="04A0" w:firstRow="1" w:lastRow="0" w:firstColumn="1" w:lastColumn="0" w:noHBand="0" w:noVBand="1"/>
      </w:tblPr>
      <w:tblGrid>
        <w:gridCol w:w="1695"/>
        <w:gridCol w:w="2304"/>
        <w:gridCol w:w="2735"/>
        <w:gridCol w:w="2696"/>
      </w:tblGrid>
      <w:tr w:rsidR="00FB375D" w:rsidRPr="00AD70E8" w14:paraId="1905257A" w14:textId="77777777" w:rsidTr="00FB375D">
        <w:trPr>
          <w:jc w:val="center"/>
        </w:trPr>
        <w:tc>
          <w:tcPr>
            <w:tcW w:w="2011" w:type="pct"/>
            <w:gridSpan w:val="2"/>
            <w:vMerge w:val="restart"/>
            <w:shd w:val="clear" w:color="auto" w:fill="D9D9D9" w:themeFill="background1" w:themeFillShade="D9"/>
            <w:vAlign w:val="center"/>
          </w:tcPr>
          <w:p w14:paraId="04BCD94D" w14:textId="77777777" w:rsidR="00FB375D" w:rsidRPr="00AD70E8" w:rsidRDefault="00FB375D" w:rsidP="00C55BCC">
            <w:pPr>
              <w:jc w:val="center"/>
              <w:rPr>
                <w:rFonts w:ascii="Garamond" w:eastAsia="Calibri" w:hAnsi="Garamond" w:cs="Garamond"/>
                <w:sz w:val="28"/>
                <w:szCs w:val="28"/>
                <w:lang w:val="en-US" w:eastAsia="en-US" w:bidi="ru-RU"/>
              </w:rPr>
            </w:pPr>
            <w:r w:rsidRPr="00AD70E8">
              <w:rPr>
                <w:rFonts w:ascii="Garamond" w:eastAsia="Calibri" w:hAnsi="Garamond" w:cs="Garamond"/>
                <w:sz w:val="28"/>
                <w:szCs w:val="28"/>
                <w:shd w:val="clear" w:color="auto" w:fill="D9D9D9"/>
                <w:lang w:val="en-US" w:eastAsia="en-US" w:bidi="ru-RU"/>
              </w:rPr>
              <w:t>Insurer’s and reinsurer’s</w:t>
            </w:r>
            <w:r w:rsidRPr="00AD70E8">
              <w:rPr>
                <w:rFonts w:ascii="Garamond" w:eastAsia="Calibri" w:hAnsi="Garamond" w:cs="Garamond"/>
                <w:sz w:val="28"/>
                <w:szCs w:val="28"/>
                <w:lang w:val="en-US" w:eastAsia="en-US" w:bidi="ru-RU"/>
              </w:rPr>
              <w:t xml:space="preserve"> positions</w:t>
            </w:r>
          </w:p>
        </w:tc>
        <w:tc>
          <w:tcPr>
            <w:tcW w:w="2989" w:type="pct"/>
            <w:gridSpan w:val="2"/>
            <w:shd w:val="clear" w:color="auto" w:fill="D9D9D9" w:themeFill="background1" w:themeFillShade="D9"/>
            <w:vAlign w:val="center"/>
          </w:tcPr>
          <w:p w14:paraId="5BE91CDD" w14:textId="77777777" w:rsidR="00FB375D" w:rsidRPr="00AD70E8" w:rsidRDefault="00FB375D" w:rsidP="00C55BCC">
            <w:pPr>
              <w:jc w:val="center"/>
              <w:rPr>
                <w:rFonts w:ascii="Garamond" w:eastAsia="Calibri" w:hAnsi="Garamond" w:cs="Garamond"/>
                <w:b/>
                <w:sz w:val="28"/>
                <w:szCs w:val="28"/>
                <w:lang w:val="en-US" w:eastAsia="en-US" w:bidi="ru-RU"/>
              </w:rPr>
            </w:pPr>
            <w:r w:rsidRPr="00AD70E8">
              <w:rPr>
                <w:rFonts w:ascii="Garamond" w:eastAsia="Calibri" w:hAnsi="Garamond" w:cs="Garamond"/>
                <w:b/>
                <w:sz w:val="28"/>
                <w:szCs w:val="28"/>
                <w:lang w:val="en-US" w:eastAsia="en-US" w:bidi="ru-RU"/>
              </w:rPr>
              <w:t>Insurance company</w:t>
            </w:r>
          </w:p>
        </w:tc>
      </w:tr>
      <w:tr w:rsidR="00FB375D" w:rsidRPr="00AD70E8" w14:paraId="2A61B156" w14:textId="77777777" w:rsidTr="00FB375D">
        <w:trPr>
          <w:jc w:val="center"/>
        </w:trPr>
        <w:tc>
          <w:tcPr>
            <w:tcW w:w="2011" w:type="pct"/>
            <w:gridSpan w:val="2"/>
            <w:vMerge/>
            <w:shd w:val="clear" w:color="auto" w:fill="D9D9D9" w:themeFill="background1" w:themeFillShade="D9"/>
            <w:vAlign w:val="center"/>
          </w:tcPr>
          <w:p w14:paraId="757B6EF7" w14:textId="77777777" w:rsidR="00FB375D" w:rsidRPr="00AD70E8" w:rsidRDefault="00FB375D" w:rsidP="00C55BCC">
            <w:pPr>
              <w:jc w:val="center"/>
              <w:rPr>
                <w:rFonts w:ascii="Garamond" w:eastAsia="Calibri" w:hAnsi="Garamond" w:cs="Garamond"/>
                <w:sz w:val="28"/>
                <w:szCs w:val="28"/>
                <w:lang w:val="en-US" w:eastAsia="en-US" w:bidi="ru-RU"/>
              </w:rPr>
            </w:pPr>
          </w:p>
        </w:tc>
        <w:tc>
          <w:tcPr>
            <w:tcW w:w="1505" w:type="pct"/>
            <w:shd w:val="clear" w:color="auto" w:fill="F2F2F2" w:themeFill="background1" w:themeFillShade="F2"/>
            <w:vAlign w:val="center"/>
          </w:tcPr>
          <w:p w14:paraId="1B5CFC09" w14:textId="77777777" w:rsidR="00FB375D" w:rsidRPr="00AD70E8" w:rsidRDefault="00FB375D" w:rsidP="00C55BCC">
            <w:pPr>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Obligation to cede the risk</w:t>
            </w:r>
          </w:p>
        </w:tc>
        <w:tc>
          <w:tcPr>
            <w:tcW w:w="1483" w:type="pct"/>
            <w:shd w:val="clear" w:color="auto" w:fill="F2F2F2" w:themeFill="background1" w:themeFillShade="F2"/>
            <w:vAlign w:val="center"/>
          </w:tcPr>
          <w:p w14:paraId="593D93F3" w14:textId="77777777" w:rsidR="00FB375D" w:rsidRPr="00AD70E8" w:rsidRDefault="00FB375D" w:rsidP="00C55BCC">
            <w:pPr>
              <w:jc w:val="cente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Free to cede the risk</w:t>
            </w:r>
          </w:p>
        </w:tc>
      </w:tr>
      <w:tr w:rsidR="00FB375D" w:rsidRPr="00AD70E8" w14:paraId="3AB4E54D" w14:textId="77777777" w:rsidTr="00FB375D">
        <w:trPr>
          <w:jc w:val="center"/>
        </w:trPr>
        <w:tc>
          <w:tcPr>
            <w:tcW w:w="734" w:type="pct"/>
            <w:vMerge w:val="restart"/>
            <w:shd w:val="clear" w:color="auto" w:fill="D9D9D9" w:themeFill="background1" w:themeFillShade="D9"/>
            <w:vAlign w:val="center"/>
          </w:tcPr>
          <w:p w14:paraId="00DD04D7" w14:textId="77777777" w:rsidR="00FB375D" w:rsidRPr="00AD70E8" w:rsidRDefault="00FB375D" w:rsidP="00C55BCC">
            <w:pPr>
              <w:rPr>
                <w:rFonts w:ascii="Garamond" w:eastAsia="Calibri" w:hAnsi="Garamond" w:cs="Garamond"/>
                <w:b/>
                <w:sz w:val="28"/>
                <w:szCs w:val="28"/>
                <w:lang w:val="en-US" w:eastAsia="en-US" w:bidi="ru-RU"/>
              </w:rPr>
            </w:pPr>
            <w:r w:rsidRPr="00AD70E8">
              <w:rPr>
                <w:rFonts w:ascii="Garamond" w:eastAsia="Calibri" w:hAnsi="Garamond" w:cs="Garamond"/>
                <w:b/>
                <w:sz w:val="28"/>
                <w:szCs w:val="28"/>
                <w:lang w:val="en-US" w:eastAsia="en-US" w:bidi="ru-RU"/>
              </w:rPr>
              <w:t>Reinsurance company</w:t>
            </w:r>
          </w:p>
        </w:tc>
        <w:tc>
          <w:tcPr>
            <w:tcW w:w="1277" w:type="pct"/>
            <w:shd w:val="clear" w:color="auto" w:fill="F2F2F2" w:themeFill="background1" w:themeFillShade="F2"/>
            <w:vAlign w:val="center"/>
          </w:tcPr>
          <w:p w14:paraId="3A0F625B" w14:textId="77777777" w:rsidR="00FB375D" w:rsidRPr="00AD70E8" w:rsidRDefault="00FB375D" w:rsidP="00C55BCC">
            <w:pP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Obligation to accept the risk</w:t>
            </w:r>
          </w:p>
        </w:tc>
        <w:tc>
          <w:tcPr>
            <w:tcW w:w="1505" w:type="pct"/>
            <w:vAlign w:val="center"/>
          </w:tcPr>
          <w:p w14:paraId="7B3D0403" w14:textId="77777777" w:rsidR="00FB375D" w:rsidRPr="00AD70E8" w:rsidRDefault="00FB375D" w:rsidP="00C55BCC">
            <w:pP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Obligatory (automatic) reinsurance</w:t>
            </w:r>
          </w:p>
        </w:tc>
        <w:tc>
          <w:tcPr>
            <w:tcW w:w="1483" w:type="pct"/>
            <w:vAlign w:val="center"/>
          </w:tcPr>
          <w:p w14:paraId="6ECFF347" w14:textId="77777777" w:rsidR="00FB375D" w:rsidRPr="00AD70E8" w:rsidRDefault="00FB375D" w:rsidP="00C55BCC">
            <w:pP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Facultative-obligatory reinsurance</w:t>
            </w:r>
          </w:p>
        </w:tc>
      </w:tr>
      <w:tr w:rsidR="00FB375D" w:rsidRPr="00AD70E8" w14:paraId="1403C190" w14:textId="77777777" w:rsidTr="00FB375D">
        <w:trPr>
          <w:jc w:val="center"/>
        </w:trPr>
        <w:tc>
          <w:tcPr>
            <w:tcW w:w="734" w:type="pct"/>
            <w:vMerge/>
            <w:shd w:val="clear" w:color="auto" w:fill="D9D9D9" w:themeFill="background1" w:themeFillShade="D9"/>
            <w:vAlign w:val="center"/>
          </w:tcPr>
          <w:p w14:paraId="48CD9436" w14:textId="77777777" w:rsidR="00FB375D" w:rsidRPr="00AD70E8" w:rsidRDefault="00FB375D" w:rsidP="00C55BCC">
            <w:pPr>
              <w:rPr>
                <w:rFonts w:ascii="Garamond" w:eastAsia="Calibri" w:hAnsi="Garamond" w:cs="Garamond"/>
                <w:sz w:val="28"/>
                <w:szCs w:val="28"/>
                <w:lang w:val="en-US" w:eastAsia="en-US" w:bidi="ru-RU"/>
              </w:rPr>
            </w:pPr>
          </w:p>
        </w:tc>
        <w:tc>
          <w:tcPr>
            <w:tcW w:w="1277" w:type="pct"/>
            <w:shd w:val="clear" w:color="auto" w:fill="F2F2F2" w:themeFill="background1" w:themeFillShade="F2"/>
            <w:vAlign w:val="center"/>
          </w:tcPr>
          <w:p w14:paraId="11BBC246" w14:textId="77777777" w:rsidR="00FB375D" w:rsidRPr="00AD70E8" w:rsidRDefault="00FB375D" w:rsidP="00C55BCC">
            <w:pP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Free to accept the risk</w:t>
            </w:r>
          </w:p>
        </w:tc>
        <w:tc>
          <w:tcPr>
            <w:tcW w:w="1505" w:type="pct"/>
            <w:vAlign w:val="center"/>
          </w:tcPr>
          <w:p w14:paraId="6B18A50F" w14:textId="77777777" w:rsidR="00FB375D" w:rsidRPr="00AD70E8" w:rsidRDefault="00FB375D" w:rsidP="00C55BCC">
            <w:pP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Obligatory-facultative reinsurance</w:t>
            </w:r>
          </w:p>
        </w:tc>
        <w:tc>
          <w:tcPr>
            <w:tcW w:w="1483" w:type="pct"/>
            <w:vAlign w:val="center"/>
          </w:tcPr>
          <w:p w14:paraId="2B81220B" w14:textId="77777777" w:rsidR="00FB375D" w:rsidRPr="00AD70E8" w:rsidRDefault="00FB375D" w:rsidP="00C55BCC">
            <w:pPr>
              <w:rPr>
                <w:rFonts w:ascii="Garamond" w:eastAsia="Calibri" w:hAnsi="Garamond" w:cs="Garamond"/>
                <w:sz w:val="28"/>
                <w:szCs w:val="28"/>
                <w:lang w:val="en-US" w:eastAsia="en-US" w:bidi="ru-RU"/>
              </w:rPr>
            </w:pPr>
            <w:r w:rsidRPr="00AD70E8">
              <w:rPr>
                <w:rFonts w:ascii="Garamond" w:eastAsia="Calibri" w:hAnsi="Garamond" w:cs="Garamond"/>
                <w:sz w:val="28"/>
                <w:szCs w:val="28"/>
                <w:lang w:val="en-US" w:eastAsia="en-US" w:bidi="ru-RU"/>
              </w:rPr>
              <w:t>Facultative reinsurance</w:t>
            </w:r>
          </w:p>
        </w:tc>
      </w:tr>
    </w:tbl>
    <w:p w14:paraId="6F256250" w14:textId="77777777" w:rsidR="00FB375D" w:rsidRPr="00AD70E8" w:rsidRDefault="00FB375D" w:rsidP="00FB375D">
      <w:pPr>
        <w:spacing w:line="312" w:lineRule="auto"/>
        <w:ind w:firstLine="357"/>
        <w:jc w:val="both"/>
        <w:rPr>
          <w:rFonts w:cs="Garamond"/>
          <w:color w:val="auto"/>
          <w:sz w:val="28"/>
          <w:szCs w:val="28"/>
          <w:lang w:val="en-US" w:eastAsia="ru-RU" w:bidi="ru-RU"/>
        </w:rPr>
      </w:pPr>
    </w:p>
    <w:p w14:paraId="08398F53" w14:textId="77777777" w:rsidR="00FB375D" w:rsidRPr="00AD70E8" w:rsidRDefault="00FB375D" w:rsidP="00FB375D">
      <w:pPr>
        <w:spacing w:line="312" w:lineRule="auto"/>
        <w:ind w:firstLine="357"/>
        <w:jc w:val="both"/>
        <w:rPr>
          <w:rFonts w:cs="Garamond"/>
          <w:color w:val="auto"/>
          <w:sz w:val="28"/>
          <w:szCs w:val="28"/>
          <w:lang w:val="en-US" w:eastAsia="ru-RU" w:bidi="ru-RU"/>
        </w:rPr>
      </w:pPr>
      <w:r w:rsidRPr="00AD70E8">
        <w:rPr>
          <w:rFonts w:cs="Garamond"/>
          <w:color w:val="auto"/>
          <w:sz w:val="28"/>
          <w:szCs w:val="28"/>
          <w:lang w:val="en-US" w:eastAsia="ru-RU" w:bidi="ru-RU"/>
        </w:rPr>
        <w:t>To sum up, the economic and social value of insurance is significant in modern society. Insurance facilitates economic activity by protecting individuals, industry, commerce, community and nation from the economic impact of losses, and promotes economic growth and investments by removing the anxiety of losses and investing the premium funds.</w:t>
      </w:r>
    </w:p>
    <w:p w14:paraId="233C2B29" w14:textId="77777777" w:rsidR="00FB375D" w:rsidRPr="00AD70E8" w:rsidRDefault="00FB375D" w:rsidP="00FB375D">
      <w:pPr>
        <w:spacing w:line="312" w:lineRule="auto"/>
        <w:ind w:firstLine="357"/>
        <w:contextualSpacing/>
        <w:jc w:val="both"/>
        <w:rPr>
          <w:rFonts w:cs="Garamond"/>
          <w:sz w:val="28"/>
          <w:szCs w:val="28"/>
          <w:lang w:val="en-US" w:eastAsia="ru-RU" w:bidi="ru-RU"/>
        </w:rPr>
      </w:pPr>
    </w:p>
    <w:p w14:paraId="56508CB9" w14:textId="77777777" w:rsidR="00FB375D" w:rsidRPr="00AD70E8" w:rsidRDefault="007557BC" w:rsidP="00FB375D">
      <w:pPr>
        <w:keepNext/>
        <w:keepLines/>
        <w:pBdr>
          <w:top w:val="single" w:sz="6" w:space="6" w:color="808080"/>
          <w:bottom w:val="single" w:sz="6" w:space="6" w:color="808080"/>
        </w:pBdr>
        <w:spacing w:after="240" w:line="240" w:lineRule="atLeast"/>
        <w:jc w:val="center"/>
        <w:outlineLvl w:val="0"/>
        <w:rPr>
          <w:b/>
          <w:caps/>
          <w:spacing w:val="20"/>
          <w:kern w:val="16"/>
          <w:sz w:val="28"/>
          <w:szCs w:val="28"/>
          <w:lang w:val="en-US" w:eastAsia="ru-RU"/>
        </w:rPr>
      </w:pPr>
      <w:r w:rsidRPr="00AD70E8">
        <w:rPr>
          <w:b/>
          <w:caps/>
          <w:spacing w:val="20"/>
          <w:kern w:val="16"/>
          <w:sz w:val="28"/>
          <w:szCs w:val="28"/>
          <w:lang w:val="en-US" w:eastAsia="ru-RU"/>
        </w:rPr>
        <w:t>RECOMMENDED</w:t>
      </w:r>
      <w:r w:rsidR="00FB375D" w:rsidRPr="00AD70E8">
        <w:rPr>
          <w:b/>
          <w:caps/>
          <w:spacing w:val="20"/>
          <w:kern w:val="16"/>
          <w:sz w:val="28"/>
          <w:szCs w:val="28"/>
          <w:lang w:val="en-US" w:eastAsia="ru-RU"/>
        </w:rPr>
        <w:t xml:space="preserve"> reading </w:t>
      </w:r>
    </w:p>
    <w:p w14:paraId="6B338453" w14:textId="77777777" w:rsidR="0072591B" w:rsidRPr="0086285C" w:rsidRDefault="00AF2E0D" w:rsidP="0086285C">
      <w:pPr>
        <w:pStyle w:val="ListParagraph"/>
        <w:numPr>
          <w:ilvl w:val="3"/>
          <w:numId w:val="73"/>
        </w:numPr>
        <w:tabs>
          <w:tab w:val="clear" w:pos="3589"/>
          <w:tab w:val="num" w:pos="3402"/>
        </w:tabs>
        <w:spacing w:line="240" w:lineRule="atLeast"/>
        <w:ind w:left="426"/>
        <w:jc w:val="both"/>
        <w:rPr>
          <w:rFonts w:ascii="Garamond" w:hAnsi="Garamond" w:cs="Garamond"/>
          <w:szCs w:val="28"/>
          <w:lang w:val="en-US" w:eastAsia="ru-RU"/>
        </w:rPr>
      </w:pPr>
      <w:r w:rsidRPr="0086285C">
        <w:rPr>
          <w:rFonts w:ascii="Garamond" w:hAnsi="Garamond" w:cs="Garamond"/>
          <w:szCs w:val="28"/>
          <w:lang w:val="en-US" w:eastAsia="ru-RU"/>
        </w:rPr>
        <w:t>Institute of Insurance Sciences; Fundación MAPFRE</w:t>
      </w:r>
      <w:r>
        <w:rPr>
          <w:rFonts w:ascii="Garamond" w:hAnsi="Garamond" w:cs="Garamond"/>
          <w:szCs w:val="28"/>
          <w:lang w:val="en-US" w:eastAsia="ru-RU"/>
        </w:rPr>
        <w:t>,</w:t>
      </w:r>
      <w:r w:rsidRPr="0086285C">
        <w:rPr>
          <w:rFonts w:ascii="Garamond" w:hAnsi="Garamond" w:cs="Garamond"/>
          <w:i/>
          <w:szCs w:val="28"/>
          <w:lang w:val="en-US" w:eastAsia="ru-RU"/>
        </w:rPr>
        <w:t xml:space="preserve"> </w:t>
      </w:r>
      <w:r>
        <w:rPr>
          <w:rFonts w:ascii="Garamond" w:hAnsi="Garamond" w:cs="Garamond"/>
          <w:szCs w:val="28"/>
          <w:lang w:val="en-US" w:eastAsia="ru-RU"/>
        </w:rPr>
        <w:t>2013,</w:t>
      </w:r>
      <w:r w:rsidRPr="0086285C">
        <w:rPr>
          <w:rFonts w:ascii="Garamond" w:hAnsi="Garamond" w:cs="Garamond"/>
          <w:szCs w:val="28"/>
          <w:lang w:val="en-US" w:eastAsia="ru-RU"/>
        </w:rPr>
        <w:t xml:space="preserve"> </w:t>
      </w:r>
      <w:r>
        <w:rPr>
          <w:rFonts w:ascii="Garamond" w:hAnsi="Garamond" w:cs="Garamond"/>
          <w:i/>
          <w:szCs w:val="28"/>
          <w:lang w:val="en-US" w:eastAsia="ru-RU"/>
        </w:rPr>
        <w:t>An I</w:t>
      </w:r>
      <w:r w:rsidR="0072591B" w:rsidRPr="0086285C">
        <w:rPr>
          <w:rFonts w:ascii="Garamond" w:hAnsi="Garamond" w:cs="Garamond"/>
          <w:i/>
          <w:szCs w:val="28"/>
          <w:lang w:val="en-US" w:eastAsia="ru-RU"/>
        </w:rPr>
        <w:t xml:space="preserve">ntroduction to </w:t>
      </w:r>
      <w:r>
        <w:rPr>
          <w:rFonts w:ascii="Garamond" w:hAnsi="Garamond" w:cs="Garamond"/>
          <w:i/>
          <w:szCs w:val="28"/>
          <w:lang w:val="en-US" w:eastAsia="ru-RU"/>
        </w:rPr>
        <w:t>R</w:t>
      </w:r>
      <w:r w:rsidR="0072591B" w:rsidRPr="0086285C">
        <w:rPr>
          <w:rFonts w:ascii="Garamond" w:hAnsi="Garamond" w:cs="Garamond"/>
          <w:i/>
          <w:szCs w:val="28"/>
          <w:lang w:val="en-US" w:eastAsia="ru-RU"/>
        </w:rPr>
        <w:t>einsurance</w:t>
      </w:r>
      <w:r w:rsidR="00E425AB">
        <w:rPr>
          <w:rFonts w:ascii="Garamond" w:hAnsi="Garamond" w:cs="Garamond"/>
          <w:szCs w:val="28"/>
          <w:lang w:val="en-US" w:eastAsia="ru-RU"/>
        </w:rPr>
        <w:t xml:space="preserve">, </w:t>
      </w:r>
      <w:r w:rsidR="0072591B" w:rsidRPr="0086285C">
        <w:rPr>
          <w:rFonts w:ascii="Garamond" w:hAnsi="Garamond" w:cs="Garamond"/>
          <w:szCs w:val="28"/>
          <w:lang w:val="en-US" w:eastAsia="ru-RU"/>
        </w:rPr>
        <w:t>Madrid.</w:t>
      </w:r>
    </w:p>
    <w:p w14:paraId="32684C4E" w14:textId="77777777" w:rsidR="0072591B" w:rsidRPr="0086285C" w:rsidRDefault="00AF2E0D" w:rsidP="0086285C">
      <w:pPr>
        <w:pStyle w:val="ListParagraph"/>
        <w:numPr>
          <w:ilvl w:val="3"/>
          <w:numId w:val="73"/>
        </w:numPr>
        <w:tabs>
          <w:tab w:val="clear" w:pos="3589"/>
          <w:tab w:val="num" w:pos="3402"/>
        </w:tabs>
        <w:spacing w:line="240" w:lineRule="atLeast"/>
        <w:ind w:left="426"/>
        <w:jc w:val="both"/>
        <w:rPr>
          <w:rFonts w:ascii="Garamond" w:hAnsi="Garamond" w:cs="Garamond"/>
          <w:szCs w:val="28"/>
          <w:lang w:val="en-US" w:eastAsia="ru-RU"/>
        </w:rPr>
      </w:pPr>
      <w:r w:rsidRPr="0086285C">
        <w:rPr>
          <w:rFonts w:ascii="Garamond" w:hAnsi="Garamond" w:cs="Garamond"/>
          <w:szCs w:val="28"/>
          <w:lang w:val="en-US" w:eastAsia="ru-RU"/>
        </w:rPr>
        <w:t xml:space="preserve">Insurance Europe aisbl, </w:t>
      </w:r>
      <w:r>
        <w:rPr>
          <w:rFonts w:ascii="Garamond" w:hAnsi="Garamond" w:cs="Garamond"/>
          <w:szCs w:val="28"/>
          <w:lang w:val="en-US" w:eastAsia="ru-RU"/>
        </w:rPr>
        <w:t>2012,</w:t>
      </w:r>
      <w:r w:rsidRPr="0086285C">
        <w:rPr>
          <w:rFonts w:ascii="Garamond" w:hAnsi="Garamond" w:cs="Garamond"/>
          <w:szCs w:val="28"/>
          <w:lang w:val="en-US" w:eastAsia="ru-RU"/>
        </w:rPr>
        <w:t xml:space="preserve"> </w:t>
      </w:r>
      <w:r w:rsidR="0072591B" w:rsidRPr="00E425AB">
        <w:rPr>
          <w:rFonts w:ascii="Garamond" w:hAnsi="Garamond" w:cs="Garamond"/>
          <w:i/>
          <w:szCs w:val="28"/>
          <w:lang w:val="en-US" w:eastAsia="ru-RU"/>
        </w:rPr>
        <w:t xml:space="preserve">How </w:t>
      </w:r>
      <w:r w:rsidRPr="00E425AB">
        <w:rPr>
          <w:rFonts w:ascii="Garamond" w:hAnsi="Garamond" w:cs="Garamond"/>
          <w:i/>
          <w:szCs w:val="28"/>
          <w:lang w:val="en-US" w:eastAsia="ru-RU"/>
        </w:rPr>
        <w:t>Insurance Works</w:t>
      </w:r>
      <w:r w:rsidR="00E425AB">
        <w:rPr>
          <w:rFonts w:ascii="Garamond" w:hAnsi="Garamond" w:cs="Garamond"/>
          <w:i/>
          <w:szCs w:val="28"/>
          <w:lang w:val="en-US" w:eastAsia="ru-RU"/>
        </w:rPr>
        <w:t xml:space="preserve">, </w:t>
      </w:r>
      <w:r w:rsidR="0072591B" w:rsidRPr="0086285C">
        <w:rPr>
          <w:rFonts w:ascii="Garamond" w:hAnsi="Garamond" w:cs="Garamond"/>
          <w:szCs w:val="28"/>
          <w:lang w:val="en-US" w:eastAsia="ru-RU"/>
        </w:rPr>
        <w:t>Brussels.</w:t>
      </w:r>
    </w:p>
    <w:p w14:paraId="6644123E" w14:textId="77777777" w:rsidR="0072591B" w:rsidRPr="0086285C" w:rsidRDefault="00AF2E0D" w:rsidP="0086285C">
      <w:pPr>
        <w:pStyle w:val="ListParagraph"/>
        <w:numPr>
          <w:ilvl w:val="3"/>
          <w:numId w:val="73"/>
        </w:numPr>
        <w:tabs>
          <w:tab w:val="clear" w:pos="3589"/>
          <w:tab w:val="num" w:pos="3402"/>
        </w:tabs>
        <w:spacing w:line="240" w:lineRule="atLeast"/>
        <w:ind w:left="426"/>
        <w:jc w:val="both"/>
        <w:rPr>
          <w:rFonts w:ascii="Garamond" w:hAnsi="Garamond" w:cs="Garamond"/>
          <w:szCs w:val="28"/>
          <w:lang w:val="en-US" w:eastAsia="ru-RU"/>
        </w:rPr>
      </w:pPr>
      <w:r>
        <w:rPr>
          <w:rFonts w:ascii="Garamond" w:hAnsi="Garamond" w:cs="Garamond"/>
          <w:szCs w:val="28"/>
          <w:lang w:val="en-US" w:eastAsia="ru-RU"/>
        </w:rPr>
        <w:t xml:space="preserve">, </w:t>
      </w:r>
      <w:r w:rsidRPr="0086285C">
        <w:rPr>
          <w:rFonts w:ascii="Garamond" w:hAnsi="Garamond" w:cs="Garamond"/>
          <w:szCs w:val="28"/>
          <w:lang w:val="en-US" w:eastAsia="ru-RU"/>
        </w:rPr>
        <w:t>Insurance Information Institute,</w:t>
      </w:r>
      <w:r w:rsidRPr="00AF2E0D">
        <w:rPr>
          <w:rFonts w:ascii="Garamond" w:hAnsi="Garamond" w:cs="Garamond"/>
          <w:szCs w:val="28"/>
          <w:lang w:val="en-US" w:eastAsia="ru-RU"/>
        </w:rPr>
        <w:t xml:space="preserve"> </w:t>
      </w:r>
      <w:r>
        <w:rPr>
          <w:rFonts w:ascii="Garamond" w:hAnsi="Garamond" w:cs="Garamond"/>
          <w:szCs w:val="28"/>
          <w:lang w:val="en-US" w:eastAsia="ru-RU"/>
        </w:rPr>
        <w:t xml:space="preserve">2010, </w:t>
      </w:r>
      <w:r w:rsidR="0072591B" w:rsidRPr="00E425AB">
        <w:rPr>
          <w:rFonts w:ascii="Garamond" w:hAnsi="Garamond" w:cs="Garamond"/>
          <w:i/>
          <w:szCs w:val="28"/>
          <w:lang w:val="en-US" w:eastAsia="ru-RU"/>
        </w:rPr>
        <w:t xml:space="preserve">Insurance </w:t>
      </w:r>
      <w:r w:rsidRPr="00E425AB">
        <w:rPr>
          <w:rFonts w:ascii="Garamond" w:hAnsi="Garamond" w:cs="Garamond"/>
          <w:i/>
          <w:szCs w:val="28"/>
          <w:lang w:val="en-US" w:eastAsia="ru-RU"/>
        </w:rPr>
        <w:t>Handbo</w:t>
      </w:r>
      <w:r w:rsidR="0072591B" w:rsidRPr="00E425AB">
        <w:rPr>
          <w:rFonts w:ascii="Garamond" w:hAnsi="Garamond" w:cs="Garamond"/>
          <w:i/>
          <w:szCs w:val="28"/>
          <w:lang w:val="en-US" w:eastAsia="ru-RU"/>
        </w:rPr>
        <w:t xml:space="preserve">ok. A </w:t>
      </w:r>
      <w:r>
        <w:rPr>
          <w:rFonts w:ascii="Garamond" w:hAnsi="Garamond" w:cs="Garamond"/>
          <w:i/>
          <w:szCs w:val="28"/>
          <w:lang w:val="en-US" w:eastAsia="ru-RU"/>
        </w:rPr>
        <w:t>Guide to I</w:t>
      </w:r>
      <w:r w:rsidR="0072591B" w:rsidRPr="00E425AB">
        <w:rPr>
          <w:rFonts w:ascii="Garamond" w:hAnsi="Garamond" w:cs="Garamond"/>
          <w:i/>
          <w:szCs w:val="28"/>
          <w:lang w:val="en-US" w:eastAsia="ru-RU"/>
        </w:rPr>
        <w:t xml:space="preserve">nsurance: </w:t>
      </w:r>
      <w:r>
        <w:rPr>
          <w:rFonts w:ascii="Garamond" w:hAnsi="Garamond" w:cs="Garamond"/>
          <w:i/>
          <w:szCs w:val="28"/>
          <w:lang w:val="en-US" w:eastAsia="ru-RU"/>
        </w:rPr>
        <w:t>W</w:t>
      </w:r>
      <w:r w:rsidR="00E425AB" w:rsidRPr="00E425AB">
        <w:rPr>
          <w:rFonts w:ascii="Garamond" w:hAnsi="Garamond" w:cs="Garamond"/>
          <w:i/>
          <w:szCs w:val="28"/>
          <w:lang w:val="en-US" w:eastAsia="ru-RU"/>
        </w:rPr>
        <w:t xml:space="preserve">hat it </w:t>
      </w:r>
      <w:r>
        <w:rPr>
          <w:rFonts w:ascii="Garamond" w:hAnsi="Garamond" w:cs="Garamond"/>
          <w:i/>
          <w:szCs w:val="28"/>
          <w:lang w:val="en-US" w:eastAsia="ru-RU"/>
        </w:rPr>
        <w:t>D</w:t>
      </w:r>
      <w:r w:rsidR="00E425AB" w:rsidRPr="00E425AB">
        <w:rPr>
          <w:rFonts w:ascii="Garamond" w:hAnsi="Garamond" w:cs="Garamond"/>
          <w:i/>
          <w:szCs w:val="28"/>
          <w:lang w:val="en-US" w:eastAsia="ru-RU"/>
        </w:rPr>
        <w:t xml:space="preserve">oes and how it </w:t>
      </w:r>
      <w:r>
        <w:rPr>
          <w:rFonts w:ascii="Garamond" w:hAnsi="Garamond" w:cs="Garamond"/>
          <w:i/>
          <w:szCs w:val="28"/>
          <w:lang w:val="en-US" w:eastAsia="ru-RU"/>
        </w:rPr>
        <w:t>W</w:t>
      </w:r>
      <w:r w:rsidR="00E425AB" w:rsidRPr="00E425AB">
        <w:rPr>
          <w:rFonts w:ascii="Garamond" w:hAnsi="Garamond" w:cs="Garamond"/>
          <w:i/>
          <w:szCs w:val="28"/>
          <w:lang w:val="en-US" w:eastAsia="ru-RU"/>
        </w:rPr>
        <w:t>orks</w:t>
      </w:r>
      <w:r w:rsidR="00E425AB">
        <w:rPr>
          <w:rFonts w:ascii="Garamond" w:hAnsi="Garamond" w:cs="Garamond"/>
          <w:szCs w:val="28"/>
          <w:lang w:val="en-US" w:eastAsia="ru-RU"/>
        </w:rPr>
        <w:t xml:space="preserve">, </w:t>
      </w:r>
      <w:r w:rsidR="0072591B" w:rsidRPr="0086285C">
        <w:rPr>
          <w:rFonts w:ascii="Garamond" w:hAnsi="Garamond" w:cs="Garamond"/>
          <w:szCs w:val="28"/>
          <w:lang w:val="en-US" w:eastAsia="ru-RU"/>
        </w:rPr>
        <w:t>New York, NY.</w:t>
      </w:r>
    </w:p>
    <w:p w14:paraId="5C7CC06B" w14:textId="77777777" w:rsidR="0072591B" w:rsidRPr="0086285C" w:rsidRDefault="0072591B" w:rsidP="0086285C">
      <w:pPr>
        <w:pStyle w:val="ListParagraph"/>
        <w:numPr>
          <w:ilvl w:val="3"/>
          <w:numId w:val="73"/>
        </w:numPr>
        <w:tabs>
          <w:tab w:val="clear" w:pos="3589"/>
          <w:tab w:val="num" w:pos="3402"/>
        </w:tabs>
        <w:spacing w:line="240" w:lineRule="atLeast"/>
        <w:ind w:left="426"/>
        <w:jc w:val="both"/>
        <w:rPr>
          <w:rFonts w:ascii="Garamond" w:hAnsi="Garamond" w:cs="Garamond"/>
          <w:szCs w:val="28"/>
          <w:lang w:val="en-US" w:eastAsia="ru-RU"/>
        </w:rPr>
      </w:pPr>
      <w:r w:rsidRPr="0086285C">
        <w:rPr>
          <w:rFonts w:ascii="Garamond" w:hAnsi="Garamond" w:cs="Garamond"/>
          <w:szCs w:val="28"/>
          <w:lang w:val="en-US" w:eastAsia="ru-RU"/>
        </w:rPr>
        <w:t>Sankar, S., Sharma, M.,</w:t>
      </w:r>
      <w:r w:rsidR="00E425AB">
        <w:rPr>
          <w:rFonts w:ascii="Garamond" w:hAnsi="Garamond" w:cs="Garamond"/>
          <w:szCs w:val="28"/>
          <w:lang w:val="en-US" w:eastAsia="ru-RU"/>
        </w:rPr>
        <w:t xml:space="preserve"> and Kaikini, A.</w:t>
      </w:r>
      <w:r w:rsidR="00AF2E0D">
        <w:rPr>
          <w:rFonts w:ascii="Garamond" w:hAnsi="Garamond" w:cs="Garamond"/>
          <w:szCs w:val="28"/>
          <w:lang w:val="en-US" w:eastAsia="ru-RU"/>
        </w:rPr>
        <w:t xml:space="preserve"> </w:t>
      </w:r>
      <w:r w:rsidR="00E425AB">
        <w:rPr>
          <w:rFonts w:ascii="Garamond" w:hAnsi="Garamond" w:cs="Garamond"/>
          <w:szCs w:val="28"/>
          <w:lang w:val="en-US" w:eastAsia="ru-RU"/>
        </w:rPr>
        <w:t>N., 2014,</w:t>
      </w:r>
      <w:r w:rsidRPr="0086285C">
        <w:rPr>
          <w:rFonts w:ascii="Garamond" w:hAnsi="Garamond" w:cs="Garamond"/>
          <w:szCs w:val="28"/>
          <w:lang w:val="en-US" w:eastAsia="ru-RU"/>
        </w:rPr>
        <w:t xml:space="preserve"> </w:t>
      </w:r>
      <w:r w:rsidRPr="00E425AB">
        <w:rPr>
          <w:rFonts w:ascii="Garamond" w:hAnsi="Garamond" w:cs="Garamond"/>
          <w:i/>
          <w:szCs w:val="28"/>
          <w:lang w:val="en-US" w:eastAsia="ru-RU"/>
        </w:rPr>
        <w:t xml:space="preserve">General </w:t>
      </w:r>
      <w:r w:rsidR="00AF2E0D" w:rsidRPr="00E425AB">
        <w:rPr>
          <w:rFonts w:ascii="Garamond" w:hAnsi="Garamond" w:cs="Garamond"/>
          <w:i/>
          <w:szCs w:val="28"/>
          <w:lang w:val="en-US" w:eastAsia="ru-RU"/>
        </w:rPr>
        <w:t>Insurance Work Book</w:t>
      </w:r>
      <w:r w:rsidR="00E425AB">
        <w:rPr>
          <w:rFonts w:ascii="Garamond" w:hAnsi="Garamond" w:cs="Garamond"/>
          <w:i/>
          <w:szCs w:val="28"/>
          <w:lang w:val="en-US" w:eastAsia="ru-RU"/>
        </w:rPr>
        <w:t>,</w:t>
      </w:r>
      <w:r w:rsidRPr="0086285C">
        <w:rPr>
          <w:rFonts w:ascii="Garamond" w:hAnsi="Garamond" w:cs="Garamond"/>
          <w:szCs w:val="28"/>
          <w:lang w:val="en-US" w:eastAsia="ru-RU"/>
        </w:rPr>
        <w:t xml:space="preserve"> Insurance Institute of India, Mumbai.</w:t>
      </w:r>
    </w:p>
    <w:p w14:paraId="38EEB84A" w14:textId="77777777" w:rsidR="0072591B" w:rsidRPr="0086285C" w:rsidRDefault="00AF2E0D" w:rsidP="0086285C">
      <w:pPr>
        <w:pStyle w:val="ListParagraph"/>
        <w:numPr>
          <w:ilvl w:val="3"/>
          <w:numId w:val="73"/>
        </w:numPr>
        <w:tabs>
          <w:tab w:val="clear" w:pos="3589"/>
          <w:tab w:val="num" w:pos="3402"/>
        </w:tabs>
        <w:spacing w:line="240" w:lineRule="atLeast"/>
        <w:ind w:left="426"/>
        <w:jc w:val="both"/>
        <w:rPr>
          <w:rFonts w:ascii="Garamond" w:hAnsi="Garamond" w:cs="Garamond"/>
          <w:szCs w:val="28"/>
          <w:lang w:val="en-US" w:eastAsia="ru-RU"/>
        </w:rPr>
      </w:pPr>
      <w:r w:rsidRPr="0086285C">
        <w:rPr>
          <w:rFonts w:ascii="Garamond" w:hAnsi="Garamond" w:cs="Garamond"/>
          <w:szCs w:val="28"/>
          <w:lang w:val="en-US" w:eastAsia="ru-RU"/>
        </w:rPr>
        <w:t>A Project of the East European Committee of the GDV, Berufsbildungswerk der Deutschen Ve</w:t>
      </w:r>
      <w:r>
        <w:rPr>
          <w:rFonts w:ascii="Garamond" w:hAnsi="Garamond" w:cs="Garamond"/>
          <w:szCs w:val="28"/>
          <w:lang w:val="en-US" w:eastAsia="ru-RU"/>
        </w:rPr>
        <w:t>rsicherungswirtschaft (BWV),</w:t>
      </w:r>
      <w:r w:rsidRPr="00AF2E0D">
        <w:rPr>
          <w:rFonts w:ascii="Garamond" w:hAnsi="Garamond" w:cs="Garamond"/>
          <w:szCs w:val="28"/>
          <w:lang w:val="en-US" w:eastAsia="ru-RU"/>
        </w:rPr>
        <w:t xml:space="preserve"> </w:t>
      </w:r>
      <w:r>
        <w:rPr>
          <w:rFonts w:ascii="Garamond" w:hAnsi="Garamond" w:cs="Garamond"/>
          <w:szCs w:val="28"/>
          <w:lang w:val="en-US" w:eastAsia="ru-RU"/>
        </w:rPr>
        <w:t>2010,.</w:t>
      </w:r>
      <w:r w:rsidR="0072591B" w:rsidRPr="00E425AB">
        <w:rPr>
          <w:rFonts w:ascii="Garamond" w:hAnsi="Garamond" w:cs="Garamond"/>
          <w:i/>
          <w:szCs w:val="28"/>
          <w:lang w:val="en-US" w:eastAsia="ru-RU"/>
        </w:rPr>
        <w:t>Study Book for the Insurance Industry. Volume 1 – Basic principles</w:t>
      </w:r>
      <w:r>
        <w:rPr>
          <w:rFonts w:ascii="Garamond" w:hAnsi="Garamond" w:cs="Garamond"/>
          <w:i/>
          <w:szCs w:val="28"/>
          <w:lang w:val="en-US" w:eastAsia="ru-RU"/>
        </w:rPr>
        <w:t>.</w:t>
      </w:r>
    </w:p>
    <w:p w14:paraId="3920CC8B" w14:textId="77777777" w:rsidR="0072591B" w:rsidRPr="0086285C" w:rsidRDefault="00AF2E0D" w:rsidP="0086285C">
      <w:pPr>
        <w:pStyle w:val="ListParagraph"/>
        <w:numPr>
          <w:ilvl w:val="3"/>
          <w:numId w:val="73"/>
        </w:numPr>
        <w:tabs>
          <w:tab w:val="clear" w:pos="3589"/>
          <w:tab w:val="num" w:pos="3402"/>
        </w:tabs>
        <w:spacing w:line="240" w:lineRule="atLeast"/>
        <w:ind w:left="426"/>
        <w:jc w:val="both"/>
        <w:rPr>
          <w:rFonts w:ascii="Garamond" w:hAnsi="Garamond" w:cs="Garamond"/>
          <w:szCs w:val="28"/>
          <w:lang w:val="en-US" w:eastAsia="ru-RU"/>
        </w:rPr>
      </w:pPr>
      <w:r w:rsidRPr="0086285C">
        <w:rPr>
          <w:rFonts w:ascii="Garamond" w:hAnsi="Garamond" w:cs="Garamond"/>
          <w:szCs w:val="28"/>
          <w:lang w:val="en-US" w:eastAsia="ru-RU"/>
        </w:rPr>
        <w:t>A Project of the East European Committee of the GDV, Berufsbildungswerk der Deutschen Versiche</w:t>
      </w:r>
      <w:r>
        <w:rPr>
          <w:rFonts w:ascii="Garamond" w:hAnsi="Garamond" w:cs="Garamond"/>
          <w:szCs w:val="28"/>
          <w:lang w:val="en-US" w:eastAsia="ru-RU"/>
        </w:rPr>
        <w:t xml:space="preserve">rungswirtschaft (BWV), 2012, </w:t>
      </w:r>
      <w:r w:rsidR="0072591B" w:rsidRPr="00E425AB">
        <w:rPr>
          <w:rFonts w:ascii="Garamond" w:hAnsi="Garamond" w:cs="Garamond"/>
          <w:i/>
          <w:szCs w:val="28"/>
          <w:lang w:val="en-US" w:eastAsia="ru-RU"/>
        </w:rPr>
        <w:t>Study Book for the Insurance Industry. Volume 2 – Classes of Insurance</w:t>
      </w:r>
      <w:r>
        <w:rPr>
          <w:rFonts w:ascii="Garamond" w:hAnsi="Garamond" w:cs="Garamond"/>
          <w:szCs w:val="28"/>
          <w:lang w:val="en-US" w:eastAsia="ru-RU"/>
        </w:rPr>
        <w:t>.</w:t>
      </w:r>
    </w:p>
    <w:p w14:paraId="3A53CC49" w14:textId="77777777" w:rsidR="0072591B" w:rsidRPr="0086285C" w:rsidRDefault="00AF2E0D" w:rsidP="0086285C">
      <w:pPr>
        <w:pStyle w:val="ListParagraph"/>
        <w:numPr>
          <w:ilvl w:val="3"/>
          <w:numId w:val="73"/>
        </w:numPr>
        <w:tabs>
          <w:tab w:val="clear" w:pos="3589"/>
          <w:tab w:val="num" w:pos="3402"/>
        </w:tabs>
        <w:spacing w:line="240" w:lineRule="atLeast"/>
        <w:ind w:left="426"/>
        <w:jc w:val="both"/>
        <w:rPr>
          <w:rFonts w:ascii="Garamond" w:hAnsi="Garamond" w:cs="Garamond"/>
          <w:szCs w:val="28"/>
          <w:lang w:val="en-US" w:eastAsia="ru-RU"/>
        </w:rPr>
      </w:pPr>
      <w:r w:rsidRPr="0086285C">
        <w:rPr>
          <w:rFonts w:ascii="Garamond" w:hAnsi="Garamond" w:cs="Garamond"/>
          <w:szCs w:val="28"/>
          <w:lang w:val="en-US" w:eastAsia="ru-RU"/>
        </w:rPr>
        <w:t>Insurance Europe aisbl, 2015</w:t>
      </w:r>
      <w:r>
        <w:rPr>
          <w:rFonts w:ascii="Garamond" w:hAnsi="Garamond" w:cs="Garamond"/>
          <w:szCs w:val="28"/>
          <w:lang w:val="en-US" w:eastAsia="ru-RU"/>
        </w:rPr>
        <w:t>,</w:t>
      </w:r>
      <w:r w:rsidRPr="0086285C">
        <w:rPr>
          <w:rFonts w:ascii="Garamond" w:hAnsi="Garamond" w:cs="Garamond"/>
          <w:szCs w:val="28"/>
          <w:lang w:val="en-US" w:eastAsia="ru-RU"/>
        </w:rPr>
        <w:t xml:space="preserve"> </w:t>
      </w:r>
      <w:r w:rsidR="0072591B" w:rsidRPr="00E425AB">
        <w:rPr>
          <w:rFonts w:ascii="Garamond" w:hAnsi="Garamond" w:cs="Garamond"/>
          <w:i/>
          <w:szCs w:val="28"/>
          <w:lang w:val="en-US" w:eastAsia="ru-RU"/>
        </w:rPr>
        <w:t xml:space="preserve">The </w:t>
      </w:r>
      <w:r>
        <w:rPr>
          <w:rFonts w:ascii="Garamond" w:hAnsi="Garamond" w:cs="Garamond"/>
          <w:i/>
          <w:szCs w:val="28"/>
          <w:lang w:val="en-US" w:eastAsia="ru-RU"/>
        </w:rPr>
        <w:t>B</w:t>
      </w:r>
      <w:r w:rsidR="0072591B" w:rsidRPr="00E425AB">
        <w:rPr>
          <w:rFonts w:ascii="Garamond" w:hAnsi="Garamond" w:cs="Garamond"/>
          <w:i/>
          <w:szCs w:val="28"/>
          <w:lang w:val="en-US" w:eastAsia="ru-RU"/>
        </w:rPr>
        <w:t xml:space="preserve">enefits of </w:t>
      </w:r>
      <w:r>
        <w:rPr>
          <w:rFonts w:ascii="Garamond" w:hAnsi="Garamond" w:cs="Garamond"/>
          <w:i/>
          <w:szCs w:val="28"/>
          <w:lang w:val="en-US" w:eastAsia="ru-RU"/>
        </w:rPr>
        <w:t>I</w:t>
      </w:r>
      <w:r w:rsidR="0072591B" w:rsidRPr="00E425AB">
        <w:rPr>
          <w:rFonts w:ascii="Garamond" w:hAnsi="Garamond" w:cs="Garamond"/>
          <w:i/>
          <w:szCs w:val="28"/>
          <w:lang w:val="en-US" w:eastAsia="ru-RU"/>
        </w:rPr>
        <w:t>nsurance</w:t>
      </w:r>
      <w:r w:rsidR="00E425AB">
        <w:rPr>
          <w:rFonts w:ascii="Garamond" w:hAnsi="Garamond" w:cs="Garamond"/>
          <w:i/>
          <w:szCs w:val="28"/>
          <w:lang w:val="en-US" w:eastAsia="ru-RU"/>
        </w:rPr>
        <w:t xml:space="preserve">, </w:t>
      </w:r>
      <w:r w:rsidR="0072591B" w:rsidRPr="0086285C">
        <w:rPr>
          <w:rFonts w:ascii="Garamond" w:hAnsi="Garamond" w:cs="Garamond"/>
          <w:szCs w:val="28"/>
          <w:lang w:val="en-US" w:eastAsia="ru-RU"/>
        </w:rPr>
        <w:t>Brussels.</w:t>
      </w:r>
    </w:p>
    <w:p w14:paraId="3BD0D38D" w14:textId="77777777" w:rsidR="00FB375D" w:rsidRPr="0086285C" w:rsidRDefault="00AF2E0D" w:rsidP="0086285C">
      <w:pPr>
        <w:pStyle w:val="ListParagraph"/>
        <w:numPr>
          <w:ilvl w:val="3"/>
          <w:numId w:val="73"/>
        </w:numPr>
        <w:tabs>
          <w:tab w:val="clear" w:pos="3589"/>
          <w:tab w:val="num" w:pos="3402"/>
        </w:tabs>
        <w:spacing w:line="240" w:lineRule="atLeast"/>
        <w:ind w:left="426"/>
        <w:jc w:val="both"/>
        <w:rPr>
          <w:rFonts w:ascii="Garamond" w:hAnsi="Garamond" w:cs="Garamond"/>
          <w:szCs w:val="28"/>
          <w:lang w:val="en-US" w:eastAsia="ru-RU"/>
        </w:rPr>
      </w:pPr>
      <w:r w:rsidRPr="0086285C">
        <w:rPr>
          <w:rFonts w:ascii="Garamond" w:hAnsi="Garamond" w:cs="Garamond"/>
          <w:szCs w:val="28"/>
          <w:lang w:val="en-US" w:eastAsia="ru-RU"/>
        </w:rPr>
        <w:t xml:space="preserve">Insurance Europe aisbl, </w:t>
      </w:r>
      <w:r>
        <w:rPr>
          <w:rFonts w:ascii="Garamond" w:hAnsi="Garamond" w:cs="Garamond"/>
          <w:szCs w:val="28"/>
          <w:lang w:val="en-US" w:eastAsia="ru-RU"/>
        </w:rPr>
        <w:t>2014,</w:t>
      </w:r>
      <w:r w:rsidRPr="0086285C">
        <w:rPr>
          <w:rFonts w:ascii="Garamond" w:hAnsi="Garamond" w:cs="Garamond"/>
          <w:szCs w:val="28"/>
          <w:lang w:val="en-US" w:eastAsia="ru-RU"/>
        </w:rPr>
        <w:t xml:space="preserve"> </w:t>
      </w:r>
      <w:r w:rsidR="0072591B" w:rsidRPr="00E425AB">
        <w:rPr>
          <w:rFonts w:ascii="Garamond" w:hAnsi="Garamond" w:cs="Garamond"/>
          <w:i/>
          <w:szCs w:val="28"/>
          <w:lang w:val="en-US" w:eastAsia="ru-RU"/>
        </w:rPr>
        <w:t xml:space="preserve">Why </w:t>
      </w:r>
      <w:r>
        <w:rPr>
          <w:rFonts w:ascii="Garamond" w:hAnsi="Garamond" w:cs="Garamond"/>
          <w:i/>
          <w:szCs w:val="28"/>
          <w:lang w:val="en-US" w:eastAsia="ru-RU"/>
        </w:rPr>
        <w:t>I</w:t>
      </w:r>
      <w:r w:rsidR="0072591B" w:rsidRPr="00E425AB">
        <w:rPr>
          <w:rFonts w:ascii="Garamond" w:hAnsi="Garamond" w:cs="Garamond"/>
          <w:i/>
          <w:szCs w:val="28"/>
          <w:lang w:val="en-US" w:eastAsia="ru-RU"/>
        </w:rPr>
        <w:t xml:space="preserve">nsurers </w:t>
      </w:r>
      <w:r>
        <w:rPr>
          <w:rFonts w:ascii="Garamond" w:hAnsi="Garamond" w:cs="Garamond"/>
          <w:i/>
          <w:szCs w:val="28"/>
          <w:lang w:val="en-US" w:eastAsia="ru-RU"/>
        </w:rPr>
        <w:t>D</w:t>
      </w:r>
      <w:r w:rsidR="0072591B" w:rsidRPr="00E425AB">
        <w:rPr>
          <w:rFonts w:ascii="Garamond" w:hAnsi="Garamond" w:cs="Garamond"/>
          <w:i/>
          <w:szCs w:val="28"/>
          <w:lang w:val="en-US" w:eastAsia="ru-RU"/>
        </w:rPr>
        <w:t xml:space="preserve">iffer from </w:t>
      </w:r>
      <w:r>
        <w:rPr>
          <w:rFonts w:ascii="Garamond" w:hAnsi="Garamond" w:cs="Garamond"/>
          <w:i/>
          <w:szCs w:val="28"/>
          <w:lang w:val="en-US" w:eastAsia="ru-RU"/>
        </w:rPr>
        <w:t>B</w:t>
      </w:r>
      <w:r w:rsidR="0072591B" w:rsidRPr="00E425AB">
        <w:rPr>
          <w:rFonts w:ascii="Garamond" w:hAnsi="Garamond" w:cs="Garamond"/>
          <w:i/>
          <w:szCs w:val="28"/>
          <w:lang w:val="en-US" w:eastAsia="ru-RU"/>
        </w:rPr>
        <w:t>anks</w:t>
      </w:r>
      <w:r w:rsidR="00E425AB">
        <w:rPr>
          <w:rFonts w:ascii="Garamond" w:hAnsi="Garamond" w:cs="Garamond"/>
          <w:i/>
          <w:szCs w:val="28"/>
          <w:lang w:val="en-US" w:eastAsia="ru-RU"/>
        </w:rPr>
        <w:t xml:space="preserve">, </w:t>
      </w:r>
      <w:r w:rsidR="0072591B" w:rsidRPr="0086285C">
        <w:rPr>
          <w:rFonts w:ascii="Garamond" w:hAnsi="Garamond" w:cs="Garamond"/>
          <w:szCs w:val="28"/>
          <w:lang w:val="en-US" w:eastAsia="ru-RU"/>
        </w:rPr>
        <w:t>Brussels.</w:t>
      </w:r>
    </w:p>
    <w:p w14:paraId="5550A98E" w14:textId="77777777" w:rsidR="00FB375D" w:rsidRPr="00AD70E8" w:rsidRDefault="00FB375D" w:rsidP="00FB375D">
      <w:pPr>
        <w:keepNext/>
        <w:keepLines/>
        <w:pBdr>
          <w:top w:val="single" w:sz="6" w:space="6" w:color="808080"/>
          <w:bottom w:val="single" w:sz="6" w:space="6" w:color="808080"/>
        </w:pBdr>
        <w:spacing w:after="240" w:line="240" w:lineRule="atLeast"/>
        <w:jc w:val="center"/>
        <w:outlineLvl w:val="0"/>
        <w:rPr>
          <w:b/>
          <w:caps/>
          <w:spacing w:val="20"/>
          <w:kern w:val="16"/>
          <w:sz w:val="28"/>
          <w:szCs w:val="28"/>
          <w:lang w:val="en-US" w:eastAsia="ru-RU"/>
        </w:rPr>
      </w:pPr>
      <w:r w:rsidRPr="00AD70E8">
        <w:rPr>
          <w:b/>
          <w:caps/>
          <w:spacing w:val="20"/>
          <w:kern w:val="16"/>
          <w:sz w:val="28"/>
          <w:szCs w:val="28"/>
          <w:lang w:val="en-US" w:eastAsia="ru-RU"/>
        </w:rPr>
        <w:t>Key terms</w:t>
      </w:r>
    </w:p>
    <w:tbl>
      <w:tblPr>
        <w:tblStyle w:val="5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93"/>
        <w:gridCol w:w="7522"/>
      </w:tblGrid>
      <w:tr w:rsidR="00FB375D" w:rsidRPr="00AD70E8" w14:paraId="1C5C3A31" w14:textId="77777777" w:rsidTr="00FB375D">
        <w:tc>
          <w:tcPr>
            <w:tcW w:w="2093" w:type="dxa"/>
          </w:tcPr>
          <w:p w14:paraId="1285848E" w14:textId="77777777" w:rsidR="00FB375D" w:rsidRPr="00AD70E8" w:rsidRDefault="00FB375D" w:rsidP="00AD70E8">
            <w:pPr>
              <w:spacing w:after="120" w:line="240" w:lineRule="atLeast"/>
              <w:rPr>
                <w:rFonts w:ascii="Garamond" w:eastAsia="Calibri" w:hAnsi="Garamond" w:cs="Garamond"/>
                <w:b/>
                <w:sz w:val="24"/>
                <w:szCs w:val="24"/>
                <w:highlight w:val="yellow"/>
                <w:lang w:val="en-US" w:eastAsia="en-US"/>
              </w:rPr>
            </w:pPr>
            <w:r w:rsidRPr="00AD70E8">
              <w:rPr>
                <w:rFonts w:ascii="Garamond" w:eastAsia="Calibri" w:hAnsi="Garamond" w:cs="Garamond"/>
                <w:b/>
                <w:sz w:val="24"/>
                <w:szCs w:val="24"/>
                <w:lang w:val="en-US" w:eastAsia="en-US"/>
              </w:rPr>
              <w:t xml:space="preserve">insurance (assurance) </w:t>
            </w:r>
          </w:p>
        </w:tc>
        <w:tc>
          <w:tcPr>
            <w:tcW w:w="7522" w:type="dxa"/>
          </w:tcPr>
          <w:p w14:paraId="273AF881" w14:textId="77777777" w:rsidR="00FB375D" w:rsidRPr="00AD70E8" w:rsidRDefault="00FB375D" w:rsidP="00AD70E8">
            <w:pPr>
              <w:spacing w:after="120" w:line="240" w:lineRule="atLeast"/>
              <w:jc w:val="both"/>
              <w:rPr>
                <w:rFonts w:ascii="Garamond" w:eastAsia="Calibri" w:hAnsi="Garamond" w:cs="Garamond"/>
                <w:sz w:val="24"/>
                <w:szCs w:val="24"/>
                <w:highlight w:val="yellow"/>
                <w:lang w:val="en-US" w:eastAsia="en-US"/>
              </w:rPr>
            </w:pPr>
            <w:r w:rsidRPr="00AD70E8">
              <w:rPr>
                <w:rFonts w:ascii="Garamond" w:eastAsia="Calibri" w:hAnsi="Garamond" w:cs="Garamond"/>
                <w:sz w:val="24"/>
                <w:szCs w:val="24"/>
                <w:lang w:val="en-US" w:eastAsia="en-US"/>
              </w:rPr>
              <w:t>is a contractual relationship that exists when one party (the insurer) for a consideration (the premium) agrees to reimburse another party (the insured) for loss to a specified subject (the risk) caused by designated contingencies (hazards or perils).</w:t>
            </w:r>
          </w:p>
        </w:tc>
      </w:tr>
      <w:tr w:rsidR="00FB375D" w:rsidRPr="00AD70E8" w14:paraId="0ACAEB42" w14:textId="77777777" w:rsidTr="00FB375D">
        <w:tc>
          <w:tcPr>
            <w:tcW w:w="2093" w:type="dxa"/>
          </w:tcPr>
          <w:p w14:paraId="19312EAA" w14:textId="77777777" w:rsidR="00FB375D" w:rsidRPr="00AD70E8" w:rsidRDefault="00FB375D" w:rsidP="00AD70E8">
            <w:pPr>
              <w:spacing w:after="120" w:line="240" w:lineRule="atLeast"/>
              <w:rPr>
                <w:rFonts w:ascii="Garamond" w:eastAsia="Calibri" w:hAnsi="Garamond" w:cs="Garamond"/>
                <w:b/>
                <w:sz w:val="24"/>
                <w:szCs w:val="24"/>
                <w:highlight w:val="yellow"/>
                <w:lang w:val="en-US" w:eastAsia="en-US"/>
              </w:rPr>
            </w:pPr>
            <w:r w:rsidRPr="00AD70E8">
              <w:rPr>
                <w:rFonts w:ascii="Garamond" w:eastAsia="Calibri" w:hAnsi="Garamond" w:cs="Garamond"/>
                <w:b/>
                <w:sz w:val="24"/>
                <w:szCs w:val="24"/>
                <w:lang w:val="en-US" w:eastAsia="en-US"/>
              </w:rPr>
              <w:lastRenderedPageBreak/>
              <w:t xml:space="preserve">insurer  </w:t>
            </w:r>
          </w:p>
        </w:tc>
        <w:tc>
          <w:tcPr>
            <w:tcW w:w="7522" w:type="dxa"/>
          </w:tcPr>
          <w:p w14:paraId="0ED7E077" w14:textId="77777777" w:rsidR="00FB375D" w:rsidRPr="00AD70E8" w:rsidRDefault="00FB375D" w:rsidP="00AD70E8">
            <w:pPr>
              <w:spacing w:after="120" w:line="240" w:lineRule="atLeast"/>
              <w:jc w:val="both"/>
              <w:rPr>
                <w:rFonts w:ascii="Garamond" w:eastAsia="Calibri" w:hAnsi="Garamond" w:cs="Garamond"/>
                <w:sz w:val="24"/>
                <w:szCs w:val="24"/>
                <w:highlight w:val="yellow"/>
                <w:lang w:val="en-US" w:eastAsia="en-US"/>
              </w:rPr>
            </w:pPr>
            <w:r w:rsidRPr="00AD70E8">
              <w:rPr>
                <w:rFonts w:ascii="Garamond" w:eastAsia="Calibri" w:hAnsi="Garamond" w:cs="Garamond"/>
                <w:sz w:val="24"/>
                <w:szCs w:val="24"/>
                <w:lang w:val="en-US" w:eastAsia="en-US"/>
              </w:rPr>
              <w:t>is an insurance company that undertakes to indemnify for losses and perform other insurance-related operations.</w:t>
            </w:r>
          </w:p>
        </w:tc>
      </w:tr>
      <w:tr w:rsidR="00FB375D" w:rsidRPr="00AD70E8" w14:paraId="4B42D607" w14:textId="77777777" w:rsidTr="00FB375D">
        <w:tc>
          <w:tcPr>
            <w:tcW w:w="2093" w:type="dxa"/>
          </w:tcPr>
          <w:p w14:paraId="25AFF508"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insured  </w:t>
            </w:r>
          </w:p>
        </w:tc>
        <w:tc>
          <w:tcPr>
            <w:tcW w:w="7522" w:type="dxa"/>
          </w:tcPr>
          <w:p w14:paraId="6A57F444"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w:t>
            </w:r>
            <w:r w:rsidR="00C55BCC">
              <w:rPr>
                <w:rFonts w:ascii="Garamond" w:eastAsia="Calibri" w:hAnsi="Garamond" w:cs="Garamond"/>
                <w:sz w:val="24"/>
                <w:szCs w:val="24"/>
                <w:lang w:val="en-US" w:eastAsia="en-US"/>
              </w:rPr>
              <w:t xml:space="preserve"> </w:t>
            </w:r>
            <w:r w:rsidRPr="00AD70E8">
              <w:rPr>
                <w:rFonts w:ascii="Garamond" w:eastAsia="Calibri" w:hAnsi="Garamond" w:cs="Garamond"/>
                <w:sz w:val="24"/>
                <w:szCs w:val="24"/>
                <w:lang w:val="en-US" w:eastAsia="en-US"/>
              </w:rPr>
              <w:t>(are) the person(s) protected under an insurance contract.</w:t>
            </w:r>
          </w:p>
        </w:tc>
      </w:tr>
      <w:tr w:rsidR="00FB375D" w:rsidRPr="00AD70E8" w14:paraId="1181572D" w14:textId="77777777" w:rsidTr="00FB375D">
        <w:tc>
          <w:tcPr>
            <w:tcW w:w="2093" w:type="dxa"/>
          </w:tcPr>
          <w:p w14:paraId="5E19B803"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policyholder  </w:t>
            </w:r>
          </w:p>
        </w:tc>
        <w:tc>
          <w:tcPr>
            <w:tcW w:w="7522" w:type="dxa"/>
          </w:tcPr>
          <w:p w14:paraId="1BB53364"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 xml:space="preserve">contractual partner in the insurance contract </w:t>
            </w:r>
            <w:r w:rsidR="00C55BCC">
              <w:rPr>
                <w:rFonts w:ascii="Garamond" w:eastAsia="Calibri" w:hAnsi="Garamond" w:cs="Garamond"/>
                <w:sz w:val="24"/>
                <w:szCs w:val="24"/>
                <w:lang w:val="en-US" w:eastAsia="en-US"/>
              </w:rPr>
              <w:t xml:space="preserve">who </w:t>
            </w:r>
            <w:r w:rsidRPr="00AD70E8">
              <w:rPr>
                <w:rFonts w:ascii="Garamond" w:eastAsia="Calibri" w:hAnsi="Garamond" w:cs="Garamond"/>
                <w:sz w:val="24"/>
                <w:szCs w:val="24"/>
                <w:lang w:val="en-US" w:eastAsia="en-US"/>
              </w:rPr>
              <w:t xml:space="preserve">has the obligation to pay the insurance premium. </w:t>
            </w:r>
          </w:p>
        </w:tc>
      </w:tr>
      <w:tr w:rsidR="00FB375D" w:rsidRPr="00AD70E8" w14:paraId="05159539" w14:textId="77777777" w:rsidTr="00FB375D">
        <w:tc>
          <w:tcPr>
            <w:tcW w:w="2093" w:type="dxa"/>
          </w:tcPr>
          <w:p w14:paraId="29FA16A4" w14:textId="77777777" w:rsidR="00FB375D" w:rsidRPr="00AD70E8" w:rsidRDefault="00FB375D" w:rsidP="00AD70E8">
            <w:pPr>
              <w:spacing w:after="120" w:line="240" w:lineRule="atLeast"/>
              <w:rPr>
                <w:rFonts w:ascii="Garamond" w:eastAsia="Calibri" w:hAnsi="Garamond" w:cs="Garamond"/>
                <w:b/>
                <w:sz w:val="24"/>
                <w:szCs w:val="24"/>
                <w:highlight w:val="yellow"/>
                <w:lang w:val="en-US" w:eastAsia="en-US"/>
              </w:rPr>
            </w:pPr>
            <w:r w:rsidRPr="00AD70E8">
              <w:rPr>
                <w:rFonts w:ascii="Garamond" w:eastAsia="Calibri" w:hAnsi="Garamond" w:cs="Garamond"/>
                <w:b/>
                <w:sz w:val="24"/>
                <w:szCs w:val="24"/>
                <w:lang w:val="en-US" w:eastAsia="en-US"/>
              </w:rPr>
              <w:t xml:space="preserve">insurance risk (event risk, pure risk)  </w:t>
            </w:r>
          </w:p>
        </w:tc>
        <w:tc>
          <w:tcPr>
            <w:tcW w:w="7522" w:type="dxa"/>
          </w:tcPr>
          <w:p w14:paraId="7A435B61" w14:textId="77777777" w:rsidR="00FB375D" w:rsidRPr="00AD70E8" w:rsidRDefault="00FB375D" w:rsidP="00AD70E8">
            <w:pPr>
              <w:spacing w:after="120" w:line="240" w:lineRule="atLeast"/>
              <w:jc w:val="both"/>
              <w:rPr>
                <w:rFonts w:ascii="Garamond" w:eastAsia="Calibri" w:hAnsi="Garamond" w:cs="Garamond"/>
                <w:sz w:val="24"/>
                <w:szCs w:val="24"/>
                <w:highlight w:val="yellow"/>
                <w:lang w:val="en-US" w:eastAsia="en-US"/>
              </w:rPr>
            </w:pPr>
            <w:r w:rsidRPr="00AD70E8">
              <w:rPr>
                <w:rFonts w:ascii="Garamond" w:eastAsia="Calibri" w:hAnsi="Garamond" w:cs="Garamond"/>
                <w:sz w:val="24"/>
                <w:szCs w:val="24"/>
                <w:lang w:val="en-US" w:eastAsia="en-US"/>
              </w:rPr>
              <w:t>is a risk of loss associated with fortuitous occurrences (e.</w:t>
            </w:r>
            <w:r w:rsidR="00C55BCC">
              <w:rPr>
                <w:rFonts w:ascii="Garamond" w:eastAsia="Calibri" w:hAnsi="Garamond" w:cs="Garamond"/>
                <w:sz w:val="24"/>
                <w:szCs w:val="24"/>
                <w:lang w:val="en-US" w:eastAsia="en-US"/>
              </w:rPr>
              <w:t xml:space="preserve"> </w:t>
            </w:r>
            <w:r w:rsidRPr="00AD70E8">
              <w:rPr>
                <w:rFonts w:ascii="Garamond" w:eastAsia="Calibri" w:hAnsi="Garamond" w:cs="Garamond"/>
                <w:sz w:val="24"/>
                <w:szCs w:val="24"/>
                <w:lang w:val="en-US" w:eastAsia="en-US"/>
              </w:rPr>
              <w:t>g., fires, hurricanes, tortuous conduct); insurance risk presents no chance of gain, only of loss.</w:t>
            </w:r>
          </w:p>
        </w:tc>
      </w:tr>
      <w:tr w:rsidR="00FB375D" w:rsidRPr="00AD70E8" w14:paraId="32030517" w14:textId="77777777" w:rsidTr="00FB375D">
        <w:tc>
          <w:tcPr>
            <w:tcW w:w="2093" w:type="dxa"/>
          </w:tcPr>
          <w:p w14:paraId="280A5E49"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coverage  </w:t>
            </w:r>
          </w:p>
        </w:tc>
        <w:tc>
          <w:tcPr>
            <w:tcW w:w="7522" w:type="dxa"/>
          </w:tcPr>
          <w:p w14:paraId="30CFE14D"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the scope of protection provided under an insurance policy. In property insurance, coverage lists perils insured against, properties covered, locations covered, individuals insured, and the limits of indemnification. In life insurance, living and death benefits are listed.</w:t>
            </w:r>
          </w:p>
        </w:tc>
      </w:tr>
      <w:tr w:rsidR="00FB375D" w:rsidRPr="00AD70E8" w14:paraId="490374A4" w14:textId="77777777" w:rsidTr="00FB375D">
        <w:tc>
          <w:tcPr>
            <w:tcW w:w="2093" w:type="dxa"/>
          </w:tcPr>
          <w:p w14:paraId="38E70D16"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insurance premium  </w:t>
            </w:r>
          </w:p>
        </w:tc>
        <w:tc>
          <w:tcPr>
            <w:tcW w:w="7522" w:type="dxa"/>
          </w:tcPr>
          <w:p w14:paraId="12EDD4A5"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money charged by the insurance company; the price of insurance protection for a specified risk for a specified period of time.</w:t>
            </w:r>
          </w:p>
        </w:tc>
      </w:tr>
      <w:tr w:rsidR="00FB375D" w:rsidRPr="00AD70E8" w14:paraId="00DC836A" w14:textId="77777777" w:rsidTr="00FB375D">
        <w:tc>
          <w:tcPr>
            <w:tcW w:w="2093" w:type="dxa"/>
          </w:tcPr>
          <w:p w14:paraId="249E81FC"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indemnity  </w:t>
            </w:r>
          </w:p>
        </w:tc>
        <w:tc>
          <w:tcPr>
            <w:tcW w:w="7522" w:type="dxa"/>
          </w:tcPr>
          <w:p w14:paraId="6FED622E"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restoration to the victim of a loss by payment, repair or replacement.</w:t>
            </w:r>
          </w:p>
        </w:tc>
      </w:tr>
      <w:tr w:rsidR="00FB375D" w:rsidRPr="00AD70E8" w14:paraId="64A9C7BA" w14:textId="77777777" w:rsidTr="00FB375D">
        <w:tc>
          <w:tcPr>
            <w:tcW w:w="2093" w:type="dxa"/>
          </w:tcPr>
          <w:p w14:paraId="26AA20FF"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insurance claim  </w:t>
            </w:r>
          </w:p>
        </w:tc>
        <w:tc>
          <w:tcPr>
            <w:tcW w:w="7522" w:type="dxa"/>
          </w:tcPr>
          <w:p w14:paraId="67C0A5E9" w14:textId="77777777" w:rsidR="00FB375D" w:rsidRPr="00AD70E8" w:rsidRDefault="00FB375D" w:rsidP="00C55BCC">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a demand by an individual or corporation to recover, under a policy of insurance, for loss that may come from that policy.</w:t>
            </w:r>
          </w:p>
        </w:tc>
      </w:tr>
      <w:tr w:rsidR="00FB375D" w:rsidRPr="00AD70E8" w14:paraId="62B42557" w14:textId="77777777" w:rsidTr="00FB375D">
        <w:tc>
          <w:tcPr>
            <w:tcW w:w="2093" w:type="dxa"/>
          </w:tcPr>
          <w:p w14:paraId="60601844"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insurance policy  </w:t>
            </w:r>
          </w:p>
        </w:tc>
        <w:tc>
          <w:tcPr>
            <w:tcW w:w="7522" w:type="dxa"/>
          </w:tcPr>
          <w:p w14:paraId="618FBF8B" w14:textId="77777777" w:rsidR="00FB375D" w:rsidRPr="00AD70E8" w:rsidRDefault="00FB375D" w:rsidP="00C55BCC">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the written contract effecting insurance that generally includes the coverage term, the insurance policy limits, the grant of coverage, exclusions and other limitations of coverage, and the duties and responsibilities of the insured in the event of a loss.</w:t>
            </w:r>
          </w:p>
        </w:tc>
      </w:tr>
      <w:tr w:rsidR="00FB375D" w:rsidRPr="00AD70E8" w14:paraId="33B6686B" w14:textId="77777777" w:rsidTr="00FB375D">
        <w:tc>
          <w:tcPr>
            <w:tcW w:w="2093" w:type="dxa"/>
          </w:tcPr>
          <w:p w14:paraId="34095F63" w14:textId="77777777" w:rsidR="00FB375D" w:rsidRPr="00AD70E8" w:rsidRDefault="00FB375D" w:rsidP="00AD70E8">
            <w:pPr>
              <w:spacing w:after="120" w:line="240" w:lineRule="atLeast"/>
              <w:rPr>
                <w:rFonts w:ascii="Garamond" w:eastAsia="Calibri" w:hAnsi="Garamond" w:cs="Garamond"/>
                <w:b/>
                <w:sz w:val="24"/>
                <w:szCs w:val="24"/>
                <w:highlight w:val="yellow"/>
                <w:lang w:val="en-US" w:eastAsia="en-US"/>
              </w:rPr>
            </w:pPr>
            <w:r w:rsidRPr="00AD70E8">
              <w:rPr>
                <w:rFonts w:ascii="Garamond" w:eastAsia="Calibri" w:hAnsi="Garamond" w:cs="Garamond"/>
                <w:b/>
                <w:sz w:val="24"/>
                <w:szCs w:val="24"/>
                <w:lang w:val="en-US" w:eastAsia="en-US"/>
              </w:rPr>
              <w:t xml:space="preserve">reinsurance  </w:t>
            </w:r>
          </w:p>
        </w:tc>
        <w:tc>
          <w:tcPr>
            <w:tcW w:w="7522" w:type="dxa"/>
          </w:tcPr>
          <w:p w14:paraId="669D1834"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an “insurance cover for insurance companies”; it is a practice of insurers transferring portions of risk portfolios to other parties by some form of agreement in order to reduce the likelihood of having to pay a large obligation resulting from an insurance claim.</w:t>
            </w:r>
          </w:p>
        </w:tc>
      </w:tr>
      <w:tr w:rsidR="00FB375D" w:rsidRPr="00AD70E8" w14:paraId="05D102F6" w14:textId="77777777" w:rsidTr="00FB375D">
        <w:tc>
          <w:tcPr>
            <w:tcW w:w="2093" w:type="dxa"/>
          </w:tcPr>
          <w:p w14:paraId="77D0AF6D" w14:textId="77777777" w:rsidR="00FB375D" w:rsidRPr="00AD70E8" w:rsidRDefault="00FB375D" w:rsidP="00AD70E8">
            <w:pPr>
              <w:spacing w:after="120" w:line="240" w:lineRule="atLeast"/>
              <w:rPr>
                <w:rFonts w:ascii="Garamond" w:eastAsia="Calibri" w:hAnsi="Garamond" w:cs="Garamond"/>
                <w:b/>
                <w:sz w:val="24"/>
                <w:szCs w:val="24"/>
                <w:highlight w:val="yellow"/>
                <w:lang w:val="en-US" w:eastAsia="en-US"/>
              </w:rPr>
            </w:pPr>
            <w:r w:rsidRPr="00AD70E8">
              <w:rPr>
                <w:rFonts w:ascii="Garamond" w:eastAsia="Calibri" w:hAnsi="Garamond" w:cs="Garamond"/>
                <w:b/>
                <w:sz w:val="24"/>
                <w:szCs w:val="24"/>
                <w:lang w:val="en-US" w:eastAsia="en-US"/>
              </w:rPr>
              <w:t xml:space="preserve">deductible  </w:t>
            </w:r>
          </w:p>
        </w:tc>
        <w:tc>
          <w:tcPr>
            <w:tcW w:w="7522" w:type="dxa"/>
          </w:tcPr>
          <w:p w14:paraId="1BE6F1A5"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an amount the insurer will deduct from the loss before paying up to its policy limits.</w:t>
            </w:r>
          </w:p>
        </w:tc>
      </w:tr>
      <w:tr w:rsidR="00FB375D" w:rsidRPr="00AD70E8" w14:paraId="19126ECF" w14:textId="77777777" w:rsidTr="00FB375D">
        <w:tc>
          <w:tcPr>
            <w:tcW w:w="2093" w:type="dxa"/>
          </w:tcPr>
          <w:p w14:paraId="3E6B5DCD"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subrogation </w:t>
            </w:r>
          </w:p>
        </w:tc>
        <w:tc>
          <w:tcPr>
            <w:tcW w:w="7522" w:type="dxa"/>
          </w:tcPr>
          <w:p w14:paraId="37FA516C"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the right of an insurer who has taken over another's loss also to take over the other person's right to pursue remedies against a third party.</w:t>
            </w:r>
          </w:p>
        </w:tc>
      </w:tr>
      <w:tr w:rsidR="00FB375D" w:rsidRPr="00AD70E8" w14:paraId="3586FE4E" w14:textId="77777777" w:rsidTr="00FB375D">
        <w:tc>
          <w:tcPr>
            <w:tcW w:w="2093" w:type="dxa"/>
          </w:tcPr>
          <w:p w14:paraId="7331B51E"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property insurance  </w:t>
            </w:r>
          </w:p>
        </w:tc>
        <w:tc>
          <w:tcPr>
            <w:tcW w:w="7522" w:type="dxa"/>
          </w:tcPr>
          <w:p w14:paraId="54FE2966" w14:textId="77777777" w:rsidR="00FB375D" w:rsidRPr="00AD70E8" w:rsidRDefault="00FB375D" w:rsidP="00AD70E8">
            <w:pPr>
              <w:spacing w:after="120" w:line="240" w:lineRule="atLeast"/>
              <w:jc w:val="both"/>
              <w:rPr>
                <w:rFonts w:ascii="Garamond" w:eastAsia="Calibri" w:hAnsi="Garamond" w:cs="Garamond"/>
                <w:sz w:val="24"/>
                <w:szCs w:val="24"/>
                <w:highlight w:val="yellow"/>
                <w:lang w:val="en-US" w:eastAsia="en-US"/>
              </w:rPr>
            </w:pPr>
            <w:r w:rsidRPr="00AD70E8">
              <w:rPr>
                <w:rFonts w:ascii="Garamond" w:eastAsia="Calibri" w:hAnsi="Garamond" w:cs="Garamond"/>
                <w:sz w:val="24"/>
                <w:szCs w:val="24"/>
                <w:lang w:val="en-US" w:eastAsia="en-US"/>
              </w:rPr>
              <w:t>is the first-party insurance that indemnifies the owner or user of property for its loss, or the loss of its income-producing ability, when the loss or damage is caused by a covered peril.</w:t>
            </w:r>
          </w:p>
        </w:tc>
      </w:tr>
      <w:tr w:rsidR="00FB375D" w:rsidRPr="00AD70E8" w14:paraId="7792311E" w14:textId="77777777" w:rsidTr="00FB375D">
        <w:tc>
          <w:tcPr>
            <w:tcW w:w="2093" w:type="dxa"/>
          </w:tcPr>
          <w:p w14:paraId="16D6BE6B" w14:textId="77777777" w:rsidR="00FB375D" w:rsidRPr="00AD70E8" w:rsidRDefault="00FB375D" w:rsidP="00770895">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liability insurance</w:t>
            </w:r>
            <w:r w:rsidR="00770895">
              <w:rPr>
                <w:rFonts w:ascii="Garamond" w:eastAsia="Calibri" w:hAnsi="Garamond" w:cs="Garamond"/>
                <w:b/>
                <w:sz w:val="24"/>
                <w:szCs w:val="24"/>
                <w:lang w:val="en-US" w:eastAsia="en-US"/>
              </w:rPr>
              <w:t> </w:t>
            </w:r>
            <w:r w:rsidRPr="00AD70E8">
              <w:rPr>
                <w:rFonts w:ascii="Garamond" w:eastAsia="Calibri" w:hAnsi="Garamond" w:cs="Garamond"/>
                <w:b/>
                <w:sz w:val="24"/>
                <w:szCs w:val="24"/>
                <w:lang w:val="en-US" w:eastAsia="en-US"/>
              </w:rPr>
              <w:t xml:space="preserve"> </w:t>
            </w:r>
          </w:p>
        </w:tc>
        <w:tc>
          <w:tcPr>
            <w:tcW w:w="7522" w:type="dxa"/>
          </w:tcPr>
          <w:p w14:paraId="4753DEAB"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an insurance that pays and renders service on behalf of an insured for loss arising out of his responsibility, due to negligence, to others imposed by law or assumed by contract.</w:t>
            </w:r>
          </w:p>
        </w:tc>
      </w:tr>
      <w:tr w:rsidR="00FB375D" w:rsidRPr="00AD70E8" w14:paraId="2808A9B6" w14:textId="77777777" w:rsidTr="00FB375D">
        <w:tc>
          <w:tcPr>
            <w:tcW w:w="2093" w:type="dxa"/>
          </w:tcPr>
          <w:p w14:paraId="3E73346D"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insurance broker  </w:t>
            </w:r>
          </w:p>
        </w:tc>
        <w:tc>
          <w:tcPr>
            <w:tcW w:w="7522" w:type="dxa"/>
          </w:tcPr>
          <w:p w14:paraId="64AEFC0F"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an insurance salesperson that searches the marketplace in the interest of clients, not insurance companies. While some brokers do have agency contracts with some insurers, they usually remain obligated to represent the interests of insureds rather than insurers.</w:t>
            </w:r>
          </w:p>
        </w:tc>
      </w:tr>
      <w:tr w:rsidR="00FB375D" w:rsidRPr="00AD70E8" w14:paraId="0F35A8E3" w14:textId="77777777" w:rsidTr="00FB375D">
        <w:tc>
          <w:tcPr>
            <w:tcW w:w="2093" w:type="dxa"/>
          </w:tcPr>
          <w:p w14:paraId="6F6371EC"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insurance agent  </w:t>
            </w:r>
          </w:p>
        </w:tc>
        <w:tc>
          <w:tcPr>
            <w:tcW w:w="7522" w:type="dxa"/>
          </w:tcPr>
          <w:p w14:paraId="55165D86" w14:textId="77777777" w:rsidR="00FB375D"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a person or organization who/that solicits, negotiates, or instigates insurance contracts on behalf of an insurer and can be independent or an employee of the insurer.</w:t>
            </w:r>
          </w:p>
          <w:p w14:paraId="560EC202" w14:textId="77777777" w:rsidR="00B95883" w:rsidRPr="00AD70E8" w:rsidRDefault="00B95883" w:rsidP="00AD70E8">
            <w:pPr>
              <w:spacing w:after="120" w:line="240" w:lineRule="atLeast"/>
              <w:jc w:val="both"/>
              <w:rPr>
                <w:rFonts w:ascii="Garamond" w:eastAsia="Calibri" w:hAnsi="Garamond" w:cs="Garamond"/>
                <w:sz w:val="24"/>
                <w:szCs w:val="24"/>
                <w:lang w:val="en-US" w:eastAsia="en-US"/>
              </w:rPr>
            </w:pPr>
          </w:p>
        </w:tc>
      </w:tr>
      <w:tr w:rsidR="00FB375D" w:rsidRPr="00AD70E8" w14:paraId="19446CF1" w14:textId="77777777" w:rsidTr="00FB375D">
        <w:tc>
          <w:tcPr>
            <w:tcW w:w="2093" w:type="dxa"/>
          </w:tcPr>
          <w:p w14:paraId="189CBDFF"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lastRenderedPageBreak/>
              <w:t xml:space="preserve">underwriting  </w:t>
            </w:r>
          </w:p>
        </w:tc>
        <w:tc>
          <w:tcPr>
            <w:tcW w:w="7522" w:type="dxa"/>
          </w:tcPr>
          <w:p w14:paraId="50319596"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the process of selecting risks for insurance and classifying them according to their degrees of insurability so that the appropriate rates may be assigned; the process also includes rejection of those risks that do not qualify.</w:t>
            </w:r>
          </w:p>
        </w:tc>
      </w:tr>
      <w:tr w:rsidR="00FB375D" w:rsidRPr="00AD70E8" w14:paraId="0FD9D7A1" w14:textId="77777777" w:rsidTr="00FB375D">
        <w:tc>
          <w:tcPr>
            <w:tcW w:w="2093" w:type="dxa"/>
          </w:tcPr>
          <w:p w14:paraId="71141E08" w14:textId="77777777" w:rsidR="00FB375D" w:rsidRPr="00AD70E8" w:rsidRDefault="00FB375D" w:rsidP="00AD70E8">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 xml:space="preserve">actuary </w:t>
            </w:r>
          </w:p>
        </w:tc>
        <w:tc>
          <w:tcPr>
            <w:tcW w:w="7522" w:type="dxa"/>
          </w:tcPr>
          <w:p w14:paraId="2BD119DC"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 xml:space="preserve">is a business professional who analyzes probabilities of risk and risk management including calculation of premiums, dividends, and other applicable insurance industry standards. </w:t>
            </w:r>
          </w:p>
        </w:tc>
      </w:tr>
      <w:tr w:rsidR="00FB375D" w:rsidRPr="00AD70E8" w14:paraId="1E38CC74" w14:textId="77777777" w:rsidTr="00FB375D">
        <w:tc>
          <w:tcPr>
            <w:tcW w:w="2093" w:type="dxa"/>
          </w:tcPr>
          <w:p w14:paraId="3331F2A3" w14:textId="77777777" w:rsidR="00FB375D" w:rsidRPr="00AD70E8" w:rsidRDefault="00FB375D" w:rsidP="00770895">
            <w:pPr>
              <w:spacing w:after="120" w:line="240" w:lineRule="atLeast"/>
              <w:rPr>
                <w:rFonts w:ascii="Garamond" w:eastAsia="Calibri" w:hAnsi="Garamond" w:cs="Garamond"/>
                <w:b/>
                <w:sz w:val="24"/>
                <w:szCs w:val="24"/>
                <w:lang w:val="en-US" w:eastAsia="en-US"/>
              </w:rPr>
            </w:pPr>
            <w:r w:rsidRPr="00AD70E8">
              <w:rPr>
                <w:rFonts w:ascii="Garamond" w:eastAsia="Calibri" w:hAnsi="Garamond" w:cs="Garamond"/>
                <w:b/>
                <w:sz w:val="24"/>
                <w:szCs w:val="24"/>
                <w:lang w:val="en-US" w:eastAsia="en-US"/>
              </w:rPr>
              <w:t>insurance adjuster</w:t>
            </w:r>
            <w:r w:rsidR="00770895">
              <w:rPr>
                <w:rFonts w:ascii="Garamond" w:eastAsia="Calibri" w:hAnsi="Garamond" w:cs="Garamond"/>
                <w:b/>
                <w:sz w:val="24"/>
                <w:szCs w:val="24"/>
                <w:lang w:val="en-US" w:eastAsia="en-US"/>
              </w:rPr>
              <w:t> </w:t>
            </w:r>
          </w:p>
        </w:tc>
        <w:tc>
          <w:tcPr>
            <w:tcW w:w="7522" w:type="dxa"/>
          </w:tcPr>
          <w:p w14:paraId="1E362511" w14:textId="77777777" w:rsidR="00FB375D" w:rsidRPr="00AD70E8" w:rsidRDefault="00FB375D" w:rsidP="00AD70E8">
            <w:pPr>
              <w:spacing w:after="120" w:line="240" w:lineRule="atLeast"/>
              <w:jc w:val="both"/>
              <w:rPr>
                <w:rFonts w:ascii="Garamond" w:eastAsia="Calibri" w:hAnsi="Garamond" w:cs="Garamond"/>
                <w:sz w:val="24"/>
                <w:szCs w:val="24"/>
                <w:lang w:val="en-US" w:eastAsia="en-US"/>
              </w:rPr>
            </w:pPr>
            <w:r w:rsidRPr="00AD70E8">
              <w:rPr>
                <w:rFonts w:ascii="Garamond" w:eastAsia="Calibri" w:hAnsi="Garamond" w:cs="Garamond"/>
                <w:sz w:val="24"/>
                <w:szCs w:val="24"/>
                <w:lang w:val="en-US" w:eastAsia="en-US"/>
              </w:rPr>
              <w:t>is a representative of the insurer who investigates claims and recommends settlement options based on estimates of damage and insurance policies held.</w:t>
            </w:r>
          </w:p>
        </w:tc>
      </w:tr>
    </w:tbl>
    <w:p w14:paraId="0408385D" w14:textId="77777777" w:rsidR="00FB375D" w:rsidRPr="00FB375D" w:rsidRDefault="00FB375D" w:rsidP="009C0961">
      <w:pPr>
        <w:pStyle w:val="end2"/>
        <w:rPr>
          <w:lang w:eastAsia="ru-RU"/>
        </w:rPr>
      </w:pPr>
      <w:r w:rsidRPr="00FB375D">
        <w:rPr>
          <w:lang w:eastAsia="ru-RU"/>
        </w:rPr>
        <w:t>Review questions</w:t>
      </w:r>
    </w:p>
    <w:p w14:paraId="4A67006E" w14:textId="77777777" w:rsidR="00FB375D" w:rsidRPr="009C0961" w:rsidRDefault="00FB375D" w:rsidP="006F749C">
      <w:pPr>
        <w:numPr>
          <w:ilvl w:val="0"/>
          <w:numId w:val="74"/>
        </w:numPr>
        <w:tabs>
          <w:tab w:val="num" w:pos="426"/>
        </w:tabs>
        <w:spacing w:line="312" w:lineRule="auto"/>
        <w:ind w:left="426"/>
        <w:contextualSpacing/>
        <w:jc w:val="both"/>
        <w:rPr>
          <w:rFonts w:cs="Garamond"/>
          <w:sz w:val="28"/>
          <w:szCs w:val="28"/>
          <w:lang w:val="en-US" w:eastAsia="ru-RU" w:bidi="ru-RU"/>
        </w:rPr>
      </w:pPr>
      <w:r w:rsidRPr="009C0961">
        <w:rPr>
          <w:rFonts w:cs="Garamond"/>
          <w:sz w:val="28"/>
          <w:szCs w:val="28"/>
          <w:lang w:val="en-US" w:eastAsia="ru-RU" w:bidi="ru-RU"/>
        </w:rPr>
        <w:t>What are the main risk management methods? Which method does the insurance belong to?</w:t>
      </w:r>
    </w:p>
    <w:p w14:paraId="6C886216"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 xml:space="preserve">What is the essence of insurance? Why </w:t>
      </w:r>
      <w:r w:rsidR="00C55BCC">
        <w:rPr>
          <w:rFonts w:cs="Garamond"/>
          <w:sz w:val="28"/>
          <w:szCs w:val="28"/>
          <w:lang w:val="en-US" w:eastAsia="ru-RU" w:bidi="ru-RU"/>
        </w:rPr>
        <w:t>i</w:t>
      </w:r>
      <w:r w:rsidRPr="009C0961">
        <w:rPr>
          <w:rFonts w:cs="Garamond"/>
          <w:sz w:val="28"/>
          <w:szCs w:val="28"/>
          <w:lang w:val="en-US" w:eastAsia="ru-RU" w:bidi="ru-RU"/>
        </w:rPr>
        <w:t>s it important?</w:t>
      </w:r>
    </w:p>
    <w:p w14:paraId="4727D5EF"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Explain the difference between pure and speculative risks? Give the examples.</w:t>
      </w:r>
    </w:p>
    <w:p w14:paraId="5E4719E6"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 xml:space="preserve">What is </w:t>
      </w:r>
      <w:r w:rsidR="00C55BCC">
        <w:rPr>
          <w:rFonts w:cs="Garamond"/>
          <w:sz w:val="28"/>
          <w:szCs w:val="28"/>
          <w:lang w:val="en-US" w:eastAsia="ru-RU" w:bidi="ru-RU"/>
        </w:rPr>
        <w:t xml:space="preserve">an </w:t>
      </w:r>
      <w:r w:rsidRPr="009C0961">
        <w:rPr>
          <w:rFonts w:cs="Garamond"/>
          <w:sz w:val="28"/>
          <w:szCs w:val="28"/>
          <w:lang w:val="en-US" w:eastAsia="ru-RU" w:bidi="ru-RU"/>
        </w:rPr>
        <w:t>insurable interest? What are the criteria of insurability of risks?</w:t>
      </w:r>
    </w:p>
    <w:p w14:paraId="68B971DB"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 xml:space="preserve">Name and explain the basic principles of insurance. </w:t>
      </w:r>
    </w:p>
    <w:p w14:paraId="2D51CE94"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Explain the difference between the insured, the insurer, the policyholder</w:t>
      </w:r>
      <w:r w:rsidR="00C55BCC">
        <w:rPr>
          <w:rFonts w:cs="Garamond"/>
          <w:sz w:val="28"/>
          <w:szCs w:val="28"/>
          <w:lang w:val="en-US" w:eastAsia="ru-RU" w:bidi="ru-RU"/>
        </w:rPr>
        <w:t>,</w:t>
      </w:r>
      <w:r w:rsidRPr="009C0961">
        <w:rPr>
          <w:rFonts w:cs="Garamond"/>
          <w:sz w:val="28"/>
          <w:szCs w:val="28"/>
          <w:lang w:val="en-US" w:eastAsia="ru-RU" w:bidi="ru-RU"/>
        </w:rPr>
        <w:t xml:space="preserve"> and the beneficiary. Which of them are contractual partners?</w:t>
      </w:r>
    </w:p>
    <w:p w14:paraId="366ECC72"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Explain the essence and interrelation of basic terms in insurance: sum insured, tariff,</w:t>
      </w:r>
      <w:r w:rsidR="00C55BCC">
        <w:rPr>
          <w:rFonts w:cs="Garamond"/>
          <w:sz w:val="28"/>
          <w:szCs w:val="28"/>
          <w:lang w:val="en-US" w:eastAsia="ru-RU" w:bidi="ru-RU"/>
        </w:rPr>
        <w:t xml:space="preserve"> and</w:t>
      </w:r>
      <w:r w:rsidRPr="009C0961">
        <w:rPr>
          <w:rFonts w:cs="Garamond"/>
          <w:sz w:val="28"/>
          <w:szCs w:val="28"/>
          <w:lang w:val="en-US" w:eastAsia="ru-RU" w:bidi="ru-RU"/>
        </w:rPr>
        <w:t xml:space="preserve"> insurance premium. </w:t>
      </w:r>
    </w:p>
    <w:p w14:paraId="53A61298"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What does the deductible clause mean in insurance contracts? What is the difference between ordinary and franchise deductibles?</w:t>
      </w:r>
    </w:p>
    <w:p w14:paraId="2524419D"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What professionals can participate in insurance? What is the difference in duties and goals of insurance brokers and insurance agents?</w:t>
      </w:r>
    </w:p>
    <w:p w14:paraId="7AF5E931"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What are the approaches to dividing insurance into types and categories?</w:t>
      </w:r>
    </w:p>
    <w:p w14:paraId="46FFEFBE"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What are life and non-life insurance</w:t>
      </w:r>
      <w:r w:rsidR="00C55BCC">
        <w:rPr>
          <w:rFonts w:cs="Garamond"/>
          <w:sz w:val="28"/>
          <w:szCs w:val="28"/>
          <w:lang w:val="en-US" w:eastAsia="ru-RU" w:bidi="ru-RU"/>
        </w:rPr>
        <w:t>s</w:t>
      </w:r>
      <w:r w:rsidRPr="009C0961">
        <w:rPr>
          <w:rFonts w:cs="Garamond"/>
          <w:sz w:val="28"/>
          <w:szCs w:val="28"/>
          <w:lang w:val="en-US" w:eastAsia="ru-RU" w:bidi="ru-RU"/>
        </w:rPr>
        <w:t xml:space="preserve">? What is </w:t>
      </w:r>
      <w:r w:rsidR="00C55BCC">
        <w:rPr>
          <w:rFonts w:cs="Garamond"/>
          <w:sz w:val="28"/>
          <w:szCs w:val="28"/>
          <w:lang w:val="en-US" w:eastAsia="ru-RU" w:bidi="ru-RU"/>
        </w:rPr>
        <w:t xml:space="preserve">the </w:t>
      </w:r>
      <w:r w:rsidRPr="009C0961">
        <w:rPr>
          <w:rFonts w:cs="Garamond"/>
          <w:sz w:val="28"/>
          <w:szCs w:val="28"/>
          <w:lang w:val="en-US" w:eastAsia="ru-RU" w:bidi="ru-RU"/>
        </w:rPr>
        <w:t xml:space="preserve">specifics of life insurance? </w:t>
      </w:r>
    </w:p>
    <w:p w14:paraId="639D17ED"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What are the distinctive features of liability insurance? Give the examples of its subcategories.</w:t>
      </w:r>
    </w:p>
    <w:p w14:paraId="1CABB904"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What are the distinctive features of property insurance? Characterize the main types of property insurance.</w:t>
      </w:r>
    </w:p>
    <w:p w14:paraId="02E580BC"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 xml:space="preserve">What methods of insurance covering are used in property insurance? How </w:t>
      </w:r>
      <w:r w:rsidR="00C55BCC">
        <w:rPr>
          <w:rFonts w:cs="Garamond"/>
          <w:sz w:val="28"/>
          <w:szCs w:val="28"/>
          <w:lang w:val="en-US" w:eastAsia="ru-RU" w:bidi="ru-RU"/>
        </w:rPr>
        <w:t xml:space="preserve">is </w:t>
      </w:r>
      <w:r w:rsidRPr="009C0961">
        <w:rPr>
          <w:rFonts w:cs="Garamond"/>
          <w:sz w:val="28"/>
          <w:szCs w:val="28"/>
          <w:lang w:val="en-US" w:eastAsia="ru-RU" w:bidi="ru-RU"/>
        </w:rPr>
        <w:t xml:space="preserve">the sum of compensation calculated in first-loss policy and in case of pro rata condition of average? </w:t>
      </w:r>
    </w:p>
    <w:p w14:paraId="39885B34" w14:textId="77777777" w:rsidR="00FB375D" w:rsidRPr="009C0961" w:rsidRDefault="00FB375D" w:rsidP="006F749C">
      <w:pPr>
        <w:numPr>
          <w:ilvl w:val="0"/>
          <w:numId w:val="74"/>
        </w:numPr>
        <w:spacing w:line="312" w:lineRule="auto"/>
        <w:ind w:left="425" w:hanging="357"/>
        <w:contextualSpacing/>
        <w:jc w:val="both"/>
        <w:rPr>
          <w:rFonts w:cs="Garamond"/>
          <w:sz w:val="28"/>
          <w:szCs w:val="28"/>
          <w:lang w:val="en-US" w:eastAsia="ru-RU" w:bidi="ru-RU"/>
        </w:rPr>
      </w:pPr>
      <w:r w:rsidRPr="009C0961">
        <w:rPr>
          <w:rFonts w:cs="Garamond"/>
          <w:sz w:val="28"/>
          <w:szCs w:val="28"/>
          <w:lang w:val="en-US" w:eastAsia="ru-RU" w:bidi="ru-RU"/>
        </w:rPr>
        <w:t>What is the purpose of coinsurance and reinsurance? Highlight the differences between these operations.</w:t>
      </w:r>
    </w:p>
    <w:p w14:paraId="3F1FA87E" w14:textId="77777777" w:rsidR="00FB375D" w:rsidRPr="009C0961" w:rsidRDefault="00FB375D" w:rsidP="00FB375D">
      <w:pPr>
        <w:keepNext/>
        <w:keepLines/>
        <w:pBdr>
          <w:top w:val="single" w:sz="6" w:space="6" w:color="808080"/>
          <w:bottom w:val="single" w:sz="6" w:space="6" w:color="808080"/>
        </w:pBdr>
        <w:spacing w:after="240" w:line="240" w:lineRule="atLeast"/>
        <w:jc w:val="center"/>
        <w:outlineLvl w:val="0"/>
        <w:rPr>
          <w:b/>
          <w:caps/>
          <w:spacing w:val="20"/>
          <w:kern w:val="16"/>
          <w:sz w:val="28"/>
          <w:szCs w:val="28"/>
          <w:lang w:val="en-US" w:eastAsia="ru-RU"/>
        </w:rPr>
      </w:pPr>
      <w:r w:rsidRPr="009C0961">
        <w:rPr>
          <w:b/>
          <w:caps/>
          <w:spacing w:val="20"/>
          <w:kern w:val="16"/>
          <w:sz w:val="28"/>
          <w:szCs w:val="28"/>
          <w:lang w:val="en-US" w:eastAsia="ru-RU"/>
        </w:rPr>
        <w:lastRenderedPageBreak/>
        <w:t>Multiple</w:t>
      </w:r>
      <w:r w:rsidR="00E425AB">
        <w:rPr>
          <w:b/>
          <w:caps/>
          <w:spacing w:val="20"/>
          <w:kern w:val="16"/>
          <w:sz w:val="28"/>
          <w:szCs w:val="28"/>
          <w:lang w:val="en-US" w:eastAsia="ru-RU"/>
        </w:rPr>
        <w:t xml:space="preserve"> </w:t>
      </w:r>
      <w:r w:rsidRPr="009C0961">
        <w:rPr>
          <w:b/>
          <w:caps/>
          <w:spacing w:val="20"/>
          <w:kern w:val="16"/>
          <w:sz w:val="28"/>
          <w:szCs w:val="28"/>
          <w:lang w:val="en-US" w:eastAsia="ru-RU"/>
        </w:rPr>
        <w:t>choice questions</w:t>
      </w:r>
    </w:p>
    <w:p w14:paraId="3C8FC902" w14:textId="77777777" w:rsidR="00FB375D" w:rsidRPr="009C0961" w:rsidRDefault="00FB375D" w:rsidP="00FB375D">
      <w:pPr>
        <w:spacing w:line="240" w:lineRule="atLeast"/>
        <w:ind w:firstLine="357"/>
        <w:jc w:val="both"/>
        <w:rPr>
          <w:rFonts w:cs="Garamond"/>
          <w:sz w:val="28"/>
          <w:szCs w:val="28"/>
          <w:lang w:val="en-US" w:eastAsia="ru-RU"/>
        </w:rPr>
      </w:pPr>
      <w:r w:rsidRPr="009C0961">
        <w:rPr>
          <w:rFonts w:cs="Garamond"/>
          <w:sz w:val="28"/>
          <w:szCs w:val="28"/>
          <w:lang w:val="en-US" w:eastAsia="ru-RU"/>
        </w:rPr>
        <w:t>Choose the one alternative that best completes the statement or answers the question.</w:t>
      </w:r>
    </w:p>
    <w:tbl>
      <w:tblPr>
        <w:tblStyle w:val="5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64"/>
      </w:tblGrid>
      <w:tr w:rsidR="00FB375D" w:rsidRPr="009C0961" w14:paraId="42800DE7" w14:textId="77777777" w:rsidTr="009C0961">
        <w:trPr>
          <w:trHeight w:val="20"/>
        </w:trPr>
        <w:tc>
          <w:tcPr>
            <w:tcW w:w="9564" w:type="dxa"/>
          </w:tcPr>
          <w:p w14:paraId="731F2665" w14:textId="77777777" w:rsidR="00FB375D" w:rsidRPr="009C0961" w:rsidRDefault="00FB375D" w:rsidP="006F749C">
            <w:pPr>
              <w:numPr>
                <w:ilvl w:val="0"/>
                <w:numId w:val="206"/>
              </w:numPr>
              <w:spacing w:line="240" w:lineRule="atLeast"/>
              <w:ind w:left="426"/>
              <w:contextualSpacing/>
              <w:rPr>
                <w:rFonts w:ascii="Garamond" w:eastAsia="Calibri" w:hAnsi="Garamond"/>
                <w:sz w:val="28"/>
                <w:szCs w:val="28"/>
                <w:lang w:val="en-US" w:eastAsia="en-US"/>
              </w:rPr>
            </w:pPr>
            <w:r w:rsidRPr="009C0961">
              <w:rPr>
                <w:rFonts w:ascii="Garamond" w:eastAsia="Calibri" w:hAnsi="Garamond"/>
                <w:sz w:val="28"/>
                <w:szCs w:val="28"/>
                <w:lang w:val="en-US" w:eastAsia="en-US"/>
              </w:rPr>
              <w:t xml:space="preserve">Which of the following statements represents a pure risk? </w:t>
            </w:r>
          </w:p>
          <w:p w14:paraId="0D10D446" w14:textId="77777777" w:rsidR="00FB375D" w:rsidRPr="009C0961" w:rsidRDefault="00FB375D" w:rsidP="006F749C">
            <w:pPr>
              <w:numPr>
                <w:ilvl w:val="0"/>
                <w:numId w:val="75"/>
              </w:numPr>
              <w:shd w:val="clear" w:color="auto" w:fill="FFFFFF"/>
              <w:spacing w:line="240" w:lineRule="atLeast"/>
              <w:ind w:left="788"/>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John is a trader on the stock market; he will get a loss if the price of stock goes down;</w:t>
            </w:r>
          </w:p>
          <w:p w14:paraId="59AC4457" w14:textId="77777777" w:rsidR="00FB375D" w:rsidRPr="009C0961" w:rsidRDefault="00FB375D" w:rsidP="006F749C">
            <w:pPr>
              <w:numPr>
                <w:ilvl w:val="0"/>
                <w:numId w:val="75"/>
              </w:numPr>
              <w:shd w:val="clear" w:color="auto" w:fill="FFFFFF"/>
              <w:spacing w:line="240" w:lineRule="atLeast"/>
              <w:ind w:left="788"/>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 xml:space="preserve">Andrew has a dog </w:t>
            </w:r>
            <w:r w:rsidR="00C55BCC">
              <w:rPr>
                <w:rFonts w:ascii="Garamond" w:eastAsia="Calibri" w:hAnsi="Garamond"/>
                <w:sz w:val="28"/>
                <w:szCs w:val="28"/>
                <w:lang w:val="en-US" w:eastAsia="en-US"/>
              </w:rPr>
              <w:t>and he will be held responsible</w:t>
            </w:r>
            <w:r w:rsidRPr="009C0961">
              <w:rPr>
                <w:rFonts w:ascii="Garamond" w:eastAsia="Calibri" w:hAnsi="Garamond"/>
                <w:sz w:val="28"/>
                <w:szCs w:val="28"/>
                <w:lang w:val="en-US" w:eastAsia="en-US"/>
              </w:rPr>
              <w:t xml:space="preserve"> if the dog bites someone;</w:t>
            </w:r>
          </w:p>
          <w:p w14:paraId="40C69F50" w14:textId="77777777" w:rsidR="00FB375D" w:rsidRPr="009C0961" w:rsidRDefault="00FB375D" w:rsidP="006F749C">
            <w:pPr>
              <w:numPr>
                <w:ilvl w:val="0"/>
                <w:numId w:val="75"/>
              </w:numPr>
              <w:shd w:val="clear" w:color="auto" w:fill="FFFFFF"/>
              <w:spacing w:line="240" w:lineRule="atLeast"/>
              <w:ind w:left="788"/>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Katya always buys lottery tickets, but never wins;</w:t>
            </w:r>
          </w:p>
          <w:p w14:paraId="1EDA9482" w14:textId="77777777" w:rsidR="00FB375D" w:rsidRPr="009C0961" w:rsidRDefault="00FB375D" w:rsidP="006F749C">
            <w:pPr>
              <w:numPr>
                <w:ilvl w:val="0"/>
                <w:numId w:val="75"/>
              </w:numPr>
              <w:shd w:val="clear" w:color="auto" w:fill="FFFFFF"/>
              <w:spacing w:after="120"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the company received a net loss for a fiscal year.</w:t>
            </w:r>
          </w:p>
        </w:tc>
      </w:tr>
      <w:tr w:rsidR="00FB375D" w:rsidRPr="009C0961" w14:paraId="1BBADDC9" w14:textId="77777777" w:rsidTr="009C0961">
        <w:trPr>
          <w:trHeight w:val="20"/>
        </w:trPr>
        <w:tc>
          <w:tcPr>
            <w:tcW w:w="9564" w:type="dxa"/>
          </w:tcPr>
          <w:p w14:paraId="45A2261E" w14:textId="77777777" w:rsidR="00FB375D" w:rsidRPr="009C0961" w:rsidRDefault="00FB375D" w:rsidP="006F749C">
            <w:pPr>
              <w:numPr>
                <w:ilvl w:val="0"/>
                <w:numId w:val="206"/>
              </w:numPr>
              <w:spacing w:line="240" w:lineRule="atLeast"/>
              <w:ind w:left="425" w:hanging="357"/>
              <w:contextualSpacing/>
              <w:jc w:val="both"/>
              <w:rPr>
                <w:rFonts w:ascii="Garamond" w:eastAsia="Calibri" w:hAnsi="Garamond"/>
                <w:sz w:val="28"/>
                <w:szCs w:val="28"/>
                <w:lang w:val="en-US" w:eastAsia="en-US"/>
              </w:rPr>
            </w:pPr>
            <w:r w:rsidRPr="009C0961">
              <w:rPr>
                <w:rFonts w:ascii="Garamond" w:eastAsia="Calibri" w:hAnsi="Garamond"/>
                <w:sz w:val="28"/>
                <w:szCs w:val="28"/>
                <w:lang w:val="en-US" w:eastAsia="en-US"/>
              </w:rPr>
              <w:t>Peter’s flat was demolished by the fire because his neighbor Julia forgot to extinguish the candles. The insurance company paid Peter for the damage and filed suit against Julia to recover the amount it paid for the loss. This is an example of:</w:t>
            </w:r>
          </w:p>
          <w:p w14:paraId="789D2682" w14:textId="77777777" w:rsidR="00FB375D" w:rsidRPr="009C0961" w:rsidRDefault="00FB375D" w:rsidP="006F749C">
            <w:pPr>
              <w:numPr>
                <w:ilvl w:val="0"/>
                <w:numId w:val="82"/>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deductible;</w:t>
            </w:r>
          </w:p>
          <w:p w14:paraId="3FDB52B8" w14:textId="77777777" w:rsidR="00FB375D" w:rsidRPr="009C0961" w:rsidRDefault="00FB375D" w:rsidP="006F749C">
            <w:pPr>
              <w:numPr>
                <w:ilvl w:val="0"/>
                <w:numId w:val="82"/>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coinsurance;</w:t>
            </w:r>
          </w:p>
          <w:p w14:paraId="5C0142AB" w14:textId="77777777" w:rsidR="00FB375D" w:rsidRPr="009C0961" w:rsidRDefault="00FB375D" w:rsidP="006F749C">
            <w:pPr>
              <w:numPr>
                <w:ilvl w:val="0"/>
                <w:numId w:val="82"/>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reinsurance;</w:t>
            </w:r>
          </w:p>
          <w:p w14:paraId="3767948E" w14:textId="77777777" w:rsidR="00FB375D" w:rsidRPr="009C0961" w:rsidRDefault="00FB375D" w:rsidP="006F749C">
            <w:pPr>
              <w:numPr>
                <w:ilvl w:val="0"/>
                <w:numId w:val="82"/>
              </w:numPr>
              <w:shd w:val="clear" w:color="auto" w:fill="FFFFFF"/>
              <w:spacing w:after="120"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subrogation.</w:t>
            </w:r>
          </w:p>
        </w:tc>
      </w:tr>
      <w:tr w:rsidR="00FB375D" w:rsidRPr="009C0961" w14:paraId="306B2A3B" w14:textId="77777777" w:rsidTr="009C0961">
        <w:trPr>
          <w:trHeight w:val="20"/>
        </w:trPr>
        <w:tc>
          <w:tcPr>
            <w:tcW w:w="9564" w:type="dxa"/>
          </w:tcPr>
          <w:p w14:paraId="6ADB2575" w14:textId="77777777" w:rsidR="00FB375D" w:rsidRPr="009C0961" w:rsidRDefault="00FB375D" w:rsidP="006F749C">
            <w:pPr>
              <w:numPr>
                <w:ilvl w:val="0"/>
                <w:numId w:val="206"/>
              </w:numPr>
              <w:spacing w:line="240" w:lineRule="atLeast"/>
              <w:ind w:left="425" w:hanging="357"/>
              <w:contextualSpacing/>
              <w:jc w:val="both"/>
              <w:rPr>
                <w:rFonts w:ascii="Garamond" w:eastAsia="Calibri" w:hAnsi="Garamond"/>
                <w:sz w:val="28"/>
                <w:szCs w:val="28"/>
                <w:lang w:val="en-US" w:eastAsia="en-US"/>
              </w:rPr>
            </w:pPr>
            <w:r w:rsidRPr="009C0961">
              <w:rPr>
                <w:rFonts w:ascii="Garamond" w:eastAsia="Calibri" w:hAnsi="Garamond"/>
                <w:sz w:val="28"/>
                <w:szCs w:val="28"/>
                <w:lang w:val="en-US" w:eastAsia="en-US"/>
              </w:rPr>
              <w:t>The person, who according to the insurance contract has the obligation to pay insurance premium, is called:</w:t>
            </w:r>
          </w:p>
          <w:p w14:paraId="7438F79B" w14:textId="77777777" w:rsidR="00FB375D" w:rsidRPr="009C0961" w:rsidRDefault="00FB375D" w:rsidP="006F749C">
            <w:pPr>
              <w:numPr>
                <w:ilvl w:val="0"/>
                <w:numId w:val="81"/>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insurer;</w:t>
            </w:r>
          </w:p>
          <w:p w14:paraId="487FEA1F" w14:textId="77777777" w:rsidR="00FB375D" w:rsidRPr="009C0961" w:rsidRDefault="00FB375D" w:rsidP="006F749C">
            <w:pPr>
              <w:numPr>
                <w:ilvl w:val="0"/>
                <w:numId w:val="81"/>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policyholder;</w:t>
            </w:r>
          </w:p>
          <w:p w14:paraId="6E4587FE" w14:textId="77777777" w:rsidR="00FB375D" w:rsidRPr="009C0961" w:rsidRDefault="00FB375D" w:rsidP="006F749C">
            <w:pPr>
              <w:numPr>
                <w:ilvl w:val="0"/>
                <w:numId w:val="81"/>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insured;</w:t>
            </w:r>
          </w:p>
          <w:p w14:paraId="7C7F0837" w14:textId="77777777" w:rsidR="00FB375D" w:rsidRPr="009C0961" w:rsidRDefault="00B95883" w:rsidP="00B95883">
            <w:pPr>
              <w:numPr>
                <w:ilvl w:val="0"/>
                <w:numId w:val="81"/>
              </w:numPr>
              <w:shd w:val="clear" w:color="auto" w:fill="FFFFFF"/>
              <w:spacing w:line="240" w:lineRule="atLeast"/>
              <w:ind w:left="782" w:hanging="357"/>
              <w:textAlignment w:val="baseline"/>
              <w:rPr>
                <w:rFonts w:ascii="Garamond" w:eastAsia="Calibri" w:hAnsi="Garamond"/>
                <w:sz w:val="28"/>
                <w:szCs w:val="28"/>
                <w:lang w:val="en-US"/>
              </w:rPr>
            </w:pPr>
            <w:r>
              <w:rPr>
                <w:rFonts w:ascii="Garamond" w:eastAsia="Calibri" w:hAnsi="Garamond"/>
                <w:sz w:val="28"/>
                <w:szCs w:val="28"/>
                <w:lang w:val="en-US" w:eastAsia="en-US"/>
              </w:rPr>
              <w:t>beneficiary</w:t>
            </w:r>
            <w:r w:rsidR="00FB375D" w:rsidRPr="009C0961">
              <w:rPr>
                <w:rFonts w:ascii="Garamond" w:eastAsia="Calibri" w:hAnsi="Garamond"/>
                <w:sz w:val="28"/>
                <w:szCs w:val="28"/>
                <w:lang w:val="en-US" w:eastAsia="en-US"/>
              </w:rPr>
              <w:t>.</w:t>
            </w:r>
          </w:p>
        </w:tc>
      </w:tr>
      <w:tr w:rsidR="00FB375D" w:rsidRPr="009C0961" w14:paraId="7E81BE27" w14:textId="77777777" w:rsidTr="009C0961">
        <w:trPr>
          <w:trHeight w:val="20"/>
        </w:trPr>
        <w:tc>
          <w:tcPr>
            <w:tcW w:w="9564" w:type="dxa"/>
          </w:tcPr>
          <w:p w14:paraId="1A3FE3D7" w14:textId="77777777" w:rsidR="00FB375D" w:rsidRPr="009C0961" w:rsidRDefault="00FB375D" w:rsidP="006F749C">
            <w:pPr>
              <w:numPr>
                <w:ilvl w:val="0"/>
                <w:numId w:val="206"/>
              </w:numPr>
              <w:spacing w:line="240" w:lineRule="atLeast"/>
              <w:ind w:left="426"/>
              <w:contextualSpacing/>
              <w:jc w:val="both"/>
              <w:rPr>
                <w:rFonts w:ascii="Garamond" w:eastAsia="Calibri" w:hAnsi="Garamond"/>
                <w:sz w:val="28"/>
                <w:szCs w:val="28"/>
                <w:lang w:val="en-US" w:eastAsia="en-US"/>
              </w:rPr>
            </w:pPr>
            <w:r w:rsidRPr="009C0961">
              <w:rPr>
                <w:rFonts w:ascii="Garamond" w:eastAsia="Calibri" w:hAnsi="Garamond"/>
                <w:sz w:val="28"/>
                <w:szCs w:val="28"/>
                <w:lang w:val="en-US" w:eastAsia="en-US"/>
              </w:rPr>
              <w:t xml:space="preserve">The person, who gets the payment of the sum insured (or of its part), but is not the insured, is called: </w:t>
            </w:r>
          </w:p>
          <w:p w14:paraId="201470BF" w14:textId="77777777" w:rsidR="00FB375D" w:rsidRPr="009C0961" w:rsidRDefault="00FB375D" w:rsidP="006F749C">
            <w:pPr>
              <w:numPr>
                <w:ilvl w:val="0"/>
                <w:numId w:val="76"/>
              </w:numPr>
              <w:shd w:val="clear" w:color="auto" w:fill="FFFFFF"/>
              <w:spacing w:line="240" w:lineRule="atLeast"/>
              <w:ind w:left="788"/>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insurer;</w:t>
            </w:r>
          </w:p>
          <w:p w14:paraId="4B36075C" w14:textId="77777777" w:rsidR="00FB375D" w:rsidRPr="009C0961" w:rsidRDefault="00FB375D" w:rsidP="006F749C">
            <w:pPr>
              <w:numPr>
                <w:ilvl w:val="0"/>
                <w:numId w:val="76"/>
              </w:numPr>
              <w:shd w:val="clear" w:color="auto" w:fill="FFFFFF"/>
              <w:spacing w:line="240" w:lineRule="atLeast"/>
              <w:ind w:left="788"/>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policyholder;</w:t>
            </w:r>
          </w:p>
          <w:p w14:paraId="72C52232" w14:textId="77777777" w:rsidR="00FB375D" w:rsidRPr="009C0961" w:rsidRDefault="00FB375D" w:rsidP="006F749C">
            <w:pPr>
              <w:numPr>
                <w:ilvl w:val="0"/>
                <w:numId w:val="76"/>
              </w:numPr>
              <w:shd w:val="clear" w:color="auto" w:fill="FFFFFF"/>
              <w:spacing w:line="240" w:lineRule="atLeast"/>
              <w:ind w:left="788"/>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beneficiary;</w:t>
            </w:r>
          </w:p>
          <w:p w14:paraId="0FBDC6D6" w14:textId="77777777" w:rsidR="00FB375D" w:rsidRPr="009C0961" w:rsidRDefault="00FB375D" w:rsidP="006F749C">
            <w:pPr>
              <w:numPr>
                <w:ilvl w:val="0"/>
                <w:numId w:val="76"/>
              </w:numPr>
              <w:shd w:val="clear" w:color="auto" w:fill="FFFFFF"/>
              <w:spacing w:after="120" w:line="240" w:lineRule="atLeast"/>
              <w:ind w:left="782" w:hanging="357"/>
              <w:textAlignment w:val="baseline"/>
              <w:rPr>
                <w:rFonts w:ascii="Garamond" w:eastAsia="Calibri" w:hAnsi="Garamond"/>
                <w:sz w:val="28"/>
                <w:szCs w:val="28"/>
                <w:lang w:val="en-US"/>
              </w:rPr>
            </w:pPr>
            <w:r w:rsidRPr="009C0961">
              <w:rPr>
                <w:rFonts w:ascii="Garamond" w:eastAsia="Calibri" w:hAnsi="Garamond"/>
                <w:sz w:val="28"/>
                <w:szCs w:val="28"/>
                <w:lang w:val="en-US" w:eastAsia="en-US"/>
              </w:rPr>
              <w:t>actuary.</w:t>
            </w:r>
          </w:p>
        </w:tc>
      </w:tr>
      <w:tr w:rsidR="00FB375D" w:rsidRPr="009C0961" w14:paraId="56089F44" w14:textId="77777777" w:rsidTr="009C0961">
        <w:trPr>
          <w:trHeight w:val="20"/>
        </w:trPr>
        <w:tc>
          <w:tcPr>
            <w:tcW w:w="9564" w:type="dxa"/>
          </w:tcPr>
          <w:p w14:paraId="5268EA22" w14:textId="77777777" w:rsidR="00FB375D" w:rsidRPr="009C0961" w:rsidRDefault="00FB375D" w:rsidP="006F749C">
            <w:pPr>
              <w:numPr>
                <w:ilvl w:val="0"/>
                <w:numId w:val="206"/>
              </w:numPr>
              <w:spacing w:line="240" w:lineRule="atLeast"/>
              <w:ind w:left="426"/>
              <w:contextualSpacing/>
              <w:rPr>
                <w:rFonts w:ascii="Garamond" w:eastAsia="Calibri" w:hAnsi="Garamond"/>
                <w:sz w:val="28"/>
                <w:szCs w:val="28"/>
                <w:lang w:val="en-US" w:eastAsia="en-US"/>
              </w:rPr>
            </w:pPr>
            <w:r w:rsidRPr="009C0961">
              <w:rPr>
                <w:rFonts w:ascii="Garamond" w:eastAsia="Calibri" w:hAnsi="Garamond"/>
                <w:sz w:val="28"/>
                <w:szCs w:val="28"/>
                <w:lang w:val="en-US" w:eastAsia="en-US"/>
              </w:rPr>
              <w:t>The amount of money that individual or business must pay to insurance company for insurance coverage is</w:t>
            </w:r>
            <w:r w:rsidR="00C55BCC">
              <w:rPr>
                <w:rFonts w:ascii="Garamond" w:eastAsia="Calibri" w:hAnsi="Garamond"/>
                <w:sz w:val="28"/>
                <w:szCs w:val="28"/>
                <w:lang w:val="en-US" w:eastAsia="en-US"/>
              </w:rPr>
              <w:t xml:space="preserve"> called</w:t>
            </w:r>
            <w:r w:rsidRPr="009C0961">
              <w:rPr>
                <w:rFonts w:ascii="Garamond" w:eastAsia="Calibri" w:hAnsi="Garamond"/>
                <w:sz w:val="28"/>
                <w:szCs w:val="28"/>
                <w:lang w:val="en-US" w:eastAsia="en-US"/>
              </w:rPr>
              <w:t xml:space="preserve">: </w:t>
            </w:r>
          </w:p>
          <w:p w14:paraId="1DEAFFE2" w14:textId="77777777" w:rsidR="00FB375D" w:rsidRPr="009C0961" w:rsidRDefault="00FB375D" w:rsidP="006F749C">
            <w:pPr>
              <w:numPr>
                <w:ilvl w:val="0"/>
                <w:numId w:val="77"/>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insurance sum;</w:t>
            </w:r>
          </w:p>
          <w:p w14:paraId="5B67394C" w14:textId="77777777" w:rsidR="00FB375D" w:rsidRPr="009C0961" w:rsidRDefault="00FB375D" w:rsidP="006F749C">
            <w:pPr>
              <w:numPr>
                <w:ilvl w:val="0"/>
                <w:numId w:val="77"/>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insurance claim;</w:t>
            </w:r>
          </w:p>
          <w:p w14:paraId="220DFB4B" w14:textId="77777777" w:rsidR="00FB375D" w:rsidRPr="009C0961" w:rsidRDefault="00FB375D" w:rsidP="006F749C">
            <w:pPr>
              <w:numPr>
                <w:ilvl w:val="0"/>
                <w:numId w:val="77"/>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insurance loss;</w:t>
            </w:r>
          </w:p>
          <w:p w14:paraId="0D6E2831" w14:textId="77777777" w:rsidR="00FB375D" w:rsidRPr="009C0961" w:rsidRDefault="00FB375D" w:rsidP="006F749C">
            <w:pPr>
              <w:numPr>
                <w:ilvl w:val="0"/>
                <w:numId w:val="77"/>
              </w:numPr>
              <w:shd w:val="clear" w:color="auto" w:fill="FFFFFF"/>
              <w:spacing w:after="120" w:line="240" w:lineRule="atLeast"/>
              <w:ind w:left="782" w:hanging="357"/>
              <w:textAlignment w:val="baseline"/>
              <w:rPr>
                <w:rFonts w:ascii="Garamond" w:eastAsia="Calibri" w:hAnsi="Garamond"/>
                <w:sz w:val="28"/>
                <w:szCs w:val="28"/>
                <w:lang w:val="en-US"/>
              </w:rPr>
            </w:pPr>
            <w:r w:rsidRPr="009C0961">
              <w:rPr>
                <w:rFonts w:ascii="Garamond" w:eastAsia="Calibri" w:hAnsi="Garamond"/>
                <w:sz w:val="28"/>
                <w:szCs w:val="28"/>
                <w:lang w:val="en-US" w:eastAsia="en-US"/>
              </w:rPr>
              <w:t>insurance premium.</w:t>
            </w:r>
          </w:p>
        </w:tc>
      </w:tr>
      <w:tr w:rsidR="00FB375D" w:rsidRPr="009C0961" w14:paraId="0F3112C4" w14:textId="77777777" w:rsidTr="009C0961">
        <w:trPr>
          <w:trHeight w:val="20"/>
        </w:trPr>
        <w:tc>
          <w:tcPr>
            <w:tcW w:w="9564" w:type="dxa"/>
          </w:tcPr>
          <w:p w14:paraId="23D2C7C6" w14:textId="77777777" w:rsidR="00FB375D" w:rsidRPr="009C0961" w:rsidRDefault="00FB375D" w:rsidP="006F749C">
            <w:pPr>
              <w:numPr>
                <w:ilvl w:val="0"/>
                <w:numId w:val="206"/>
              </w:numPr>
              <w:spacing w:line="240" w:lineRule="atLeast"/>
              <w:ind w:left="425" w:hanging="357"/>
              <w:contextualSpacing/>
              <w:rPr>
                <w:rFonts w:ascii="Garamond" w:eastAsia="Calibri" w:hAnsi="Garamond"/>
                <w:sz w:val="28"/>
                <w:szCs w:val="28"/>
                <w:lang w:val="en-US" w:eastAsia="en-US"/>
              </w:rPr>
            </w:pPr>
            <w:r w:rsidRPr="009C0961">
              <w:rPr>
                <w:rFonts w:ascii="Garamond" w:eastAsia="Calibri" w:hAnsi="Garamond"/>
                <w:sz w:val="28"/>
                <w:szCs w:val="28"/>
                <w:lang w:val="en-US" w:eastAsia="en-US"/>
              </w:rPr>
              <w:t xml:space="preserve">Intermediary in insurance, who represents interests of policyholder, is called: </w:t>
            </w:r>
          </w:p>
          <w:p w14:paraId="6846C920" w14:textId="77777777" w:rsidR="00FB375D" w:rsidRPr="009C0961" w:rsidRDefault="00FB375D" w:rsidP="006F749C">
            <w:pPr>
              <w:numPr>
                <w:ilvl w:val="0"/>
                <w:numId w:val="78"/>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insurance broker;</w:t>
            </w:r>
          </w:p>
          <w:p w14:paraId="7E9EB46D" w14:textId="77777777" w:rsidR="00FB375D" w:rsidRPr="009C0961" w:rsidRDefault="00FB375D" w:rsidP="006F749C">
            <w:pPr>
              <w:numPr>
                <w:ilvl w:val="0"/>
                <w:numId w:val="78"/>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insurance adjuster;</w:t>
            </w:r>
          </w:p>
          <w:p w14:paraId="297CB7B4" w14:textId="77777777" w:rsidR="00FB375D" w:rsidRPr="009C0961" w:rsidRDefault="00FB375D" w:rsidP="006F749C">
            <w:pPr>
              <w:numPr>
                <w:ilvl w:val="0"/>
                <w:numId w:val="78"/>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insurance agent;</w:t>
            </w:r>
          </w:p>
          <w:p w14:paraId="30A042D8" w14:textId="77777777" w:rsidR="00FB375D" w:rsidRPr="009C0961" w:rsidRDefault="00FB375D" w:rsidP="006F749C">
            <w:pPr>
              <w:numPr>
                <w:ilvl w:val="0"/>
                <w:numId w:val="78"/>
              </w:numPr>
              <w:shd w:val="clear" w:color="auto" w:fill="FFFFFF"/>
              <w:spacing w:after="120" w:line="240" w:lineRule="atLeast"/>
              <w:ind w:left="782" w:hanging="357"/>
              <w:textAlignment w:val="baseline"/>
              <w:rPr>
                <w:rFonts w:ascii="Garamond" w:eastAsia="Calibri" w:hAnsi="Garamond"/>
                <w:sz w:val="28"/>
                <w:szCs w:val="28"/>
                <w:lang w:val="en-US"/>
              </w:rPr>
            </w:pPr>
            <w:r w:rsidRPr="009C0961">
              <w:rPr>
                <w:rFonts w:ascii="Garamond" w:eastAsia="Calibri" w:hAnsi="Garamond"/>
                <w:sz w:val="28"/>
                <w:szCs w:val="28"/>
                <w:lang w:val="en-US" w:eastAsia="en-US"/>
              </w:rPr>
              <w:t>underwriter.</w:t>
            </w:r>
          </w:p>
        </w:tc>
      </w:tr>
      <w:tr w:rsidR="00FB375D" w:rsidRPr="009C0961" w14:paraId="4E6C20EF" w14:textId="77777777" w:rsidTr="009C0961">
        <w:trPr>
          <w:trHeight w:val="20"/>
        </w:trPr>
        <w:tc>
          <w:tcPr>
            <w:tcW w:w="9564" w:type="dxa"/>
          </w:tcPr>
          <w:p w14:paraId="68A9A8D1" w14:textId="77777777" w:rsidR="00FB375D" w:rsidRPr="009C0961" w:rsidRDefault="00FB375D" w:rsidP="006F749C">
            <w:pPr>
              <w:numPr>
                <w:ilvl w:val="0"/>
                <w:numId w:val="206"/>
              </w:numPr>
              <w:spacing w:line="240" w:lineRule="atLeast"/>
              <w:ind w:left="426"/>
              <w:contextualSpacing/>
              <w:rPr>
                <w:rFonts w:ascii="Garamond" w:eastAsia="Calibri" w:hAnsi="Garamond"/>
                <w:sz w:val="28"/>
                <w:szCs w:val="28"/>
                <w:lang w:val="en-US" w:eastAsia="en-US"/>
              </w:rPr>
            </w:pPr>
            <w:r w:rsidRPr="009C0961">
              <w:rPr>
                <w:rFonts w:ascii="Garamond" w:eastAsia="Calibri" w:hAnsi="Garamond"/>
                <w:sz w:val="28"/>
                <w:szCs w:val="28"/>
                <w:lang w:val="en-US" w:eastAsia="en-US"/>
              </w:rPr>
              <w:lastRenderedPageBreak/>
              <w:t>A store owner decided that in case of burglary o</w:t>
            </w:r>
            <w:r w:rsidR="005D330F">
              <w:rPr>
                <w:rFonts w:ascii="Garamond" w:eastAsia="Calibri" w:hAnsi="Garamond"/>
                <w:sz w:val="28"/>
                <w:szCs w:val="28"/>
                <w:lang w:val="en-US" w:eastAsia="en-US"/>
              </w:rPr>
              <w:t>r</w:t>
            </w:r>
            <w:r w:rsidRPr="009C0961">
              <w:rPr>
                <w:rFonts w:ascii="Garamond" w:eastAsia="Calibri" w:hAnsi="Garamond"/>
                <w:sz w:val="28"/>
                <w:szCs w:val="28"/>
                <w:lang w:val="en-US" w:eastAsia="en-US"/>
              </w:rPr>
              <w:t xml:space="preserve"> theft he could lose not more than 100 000 UAH and obtained the insurance policy for that amount. The total value of goods in the store is 500 000 UAH. This is an example of:</w:t>
            </w:r>
          </w:p>
          <w:p w14:paraId="4FBE3BEE" w14:textId="77777777" w:rsidR="00FB375D" w:rsidRPr="009C0961" w:rsidRDefault="00FB375D" w:rsidP="006F749C">
            <w:pPr>
              <w:numPr>
                <w:ilvl w:val="0"/>
                <w:numId w:val="79"/>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pro rata condition of average;</w:t>
            </w:r>
          </w:p>
          <w:p w14:paraId="500E09C7" w14:textId="77777777" w:rsidR="00FB375D" w:rsidRPr="009C0961" w:rsidRDefault="00FB375D" w:rsidP="006F749C">
            <w:pPr>
              <w:numPr>
                <w:ilvl w:val="0"/>
                <w:numId w:val="79"/>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first-lost policy;</w:t>
            </w:r>
          </w:p>
          <w:p w14:paraId="4599FBD9" w14:textId="77777777" w:rsidR="00FB375D" w:rsidRPr="009C0961" w:rsidRDefault="00FB375D" w:rsidP="006F749C">
            <w:pPr>
              <w:numPr>
                <w:ilvl w:val="0"/>
                <w:numId w:val="79"/>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replacement cost basis;</w:t>
            </w:r>
          </w:p>
          <w:p w14:paraId="3F5F8488" w14:textId="77777777" w:rsidR="00FB375D" w:rsidRPr="009C0961" w:rsidRDefault="00FB375D" w:rsidP="006F749C">
            <w:pPr>
              <w:numPr>
                <w:ilvl w:val="0"/>
                <w:numId w:val="79"/>
              </w:numPr>
              <w:shd w:val="clear" w:color="auto" w:fill="FFFFFF"/>
              <w:spacing w:after="120" w:line="240" w:lineRule="atLeast"/>
              <w:ind w:left="782" w:hanging="357"/>
              <w:textAlignment w:val="baseline"/>
              <w:rPr>
                <w:rFonts w:ascii="Garamond" w:eastAsia="Calibri" w:hAnsi="Garamond"/>
                <w:sz w:val="28"/>
                <w:szCs w:val="28"/>
                <w:lang w:val="en-US"/>
              </w:rPr>
            </w:pPr>
            <w:r w:rsidRPr="009C0961">
              <w:rPr>
                <w:rFonts w:ascii="Garamond" w:eastAsia="Calibri" w:hAnsi="Garamond"/>
                <w:sz w:val="28"/>
                <w:szCs w:val="28"/>
                <w:lang w:val="en-US" w:eastAsia="en-US"/>
              </w:rPr>
              <w:t>over insurance.</w:t>
            </w:r>
          </w:p>
        </w:tc>
      </w:tr>
      <w:tr w:rsidR="00FB375D" w:rsidRPr="009C0961" w14:paraId="144CE1CA" w14:textId="77777777" w:rsidTr="009C0961">
        <w:trPr>
          <w:trHeight w:val="20"/>
        </w:trPr>
        <w:tc>
          <w:tcPr>
            <w:tcW w:w="9564" w:type="dxa"/>
          </w:tcPr>
          <w:p w14:paraId="25384E43" w14:textId="77777777" w:rsidR="00FB375D" w:rsidRPr="009C0961" w:rsidRDefault="00FB375D" w:rsidP="006F749C">
            <w:pPr>
              <w:numPr>
                <w:ilvl w:val="0"/>
                <w:numId w:val="206"/>
              </w:numPr>
              <w:spacing w:line="240" w:lineRule="atLeast"/>
              <w:ind w:left="425" w:hanging="357"/>
              <w:contextualSpacing/>
              <w:rPr>
                <w:rFonts w:ascii="Garamond" w:eastAsia="Calibri" w:hAnsi="Garamond"/>
                <w:sz w:val="28"/>
                <w:szCs w:val="28"/>
                <w:lang w:val="en-US" w:eastAsia="en-US"/>
              </w:rPr>
            </w:pPr>
            <w:r w:rsidRPr="009C0961">
              <w:rPr>
                <w:rFonts w:ascii="Garamond" w:eastAsia="Calibri" w:hAnsi="Garamond"/>
                <w:sz w:val="28"/>
                <w:szCs w:val="28"/>
                <w:lang w:val="en-US" w:eastAsia="en-US"/>
              </w:rPr>
              <w:t>In what way life insurance differs from other insurance products?</w:t>
            </w:r>
          </w:p>
          <w:p w14:paraId="7C1F2738" w14:textId="77777777" w:rsidR="00FB375D" w:rsidRPr="009C0961" w:rsidRDefault="00FB375D" w:rsidP="006F749C">
            <w:pPr>
              <w:numPr>
                <w:ilvl w:val="0"/>
                <w:numId w:val="80"/>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life insurance contracts are short-term;</w:t>
            </w:r>
          </w:p>
          <w:p w14:paraId="5230891A" w14:textId="77777777" w:rsidR="00FB375D" w:rsidRPr="009C0961" w:rsidRDefault="00FB375D" w:rsidP="006F749C">
            <w:pPr>
              <w:numPr>
                <w:ilvl w:val="0"/>
                <w:numId w:val="80"/>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the beneficiary is not specified in life insurance policies;</w:t>
            </w:r>
          </w:p>
          <w:p w14:paraId="2B088ABB" w14:textId="77777777" w:rsidR="00FB375D" w:rsidRPr="009C0961" w:rsidRDefault="00FB375D" w:rsidP="006F749C">
            <w:pPr>
              <w:numPr>
                <w:ilvl w:val="0"/>
                <w:numId w:val="80"/>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life insurance allows the insured to make savings and guarantees an investment income;</w:t>
            </w:r>
          </w:p>
          <w:p w14:paraId="01BEEB13" w14:textId="77777777" w:rsidR="00FB375D" w:rsidRPr="009C0961" w:rsidRDefault="00FB375D" w:rsidP="006F749C">
            <w:pPr>
              <w:numPr>
                <w:ilvl w:val="0"/>
                <w:numId w:val="80"/>
              </w:numPr>
              <w:shd w:val="clear" w:color="auto" w:fill="FFFFFF"/>
              <w:spacing w:after="120"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replacement cost basis is generally employed in life insurance.</w:t>
            </w:r>
          </w:p>
        </w:tc>
      </w:tr>
      <w:tr w:rsidR="00FB375D" w:rsidRPr="009C0961" w14:paraId="12C27120" w14:textId="77777777" w:rsidTr="009C0961">
        <w:trPr>
          <w:trHeight w:val="20"/>
        </w:trPr>
        <w:tc>
          <w:tcPr>
            <w:tcW w:w="9564" w:type="dxa"/>
          </w:tcPr>
          <w:p w14:paraId="647ECA77" w14:textId="77777777" w:rsidR="00FB375D" w:rsidRPr="009C0961" w:rsidRDefault="00FB375D" w:rsidP="006F749C">
            <w:pPr>
              <w:numPr>
                <w:ilvl w:val="0"/>
                <w:numId w:val="206"/>
              </w:numPr>
              <w:spacing w:line="240" w:lineRule="atLeast"/>
              <w:ind w:left="425" w:hanging="357"/>
              <w:contextualSpacing/>
              <w:jc w:val="both"/>
              <w:rPr>
                <w:rFonts w:ascii="Garamond" w:eastAsia="Calibri" w:hAnsi="Garamond"/>
                <w:sz w:val="28"/>
                <w:szCs w:val="28"/>
                <w:lang w:val="en-US" w:eastAsia="en-US"/>
              </w:rPr>
            </w:pPr>
            <w:r w:rsidRPr="009C0961">
              <w:rPr>
                <w:rFonts w:ascii="Garamond" w:eastAsia="Calibri" w:hAnsi="Garamond"/>
                <w:sz w:val="28"/>
                <w:szCs w:val="28"/>
                <w:lang w:val="en-US" w:eastAsia="en-US"/>
              </w:rPr>
              <w:t>Tatiana has a property insurance policy, which covers the risk of fire on a replacement cost basis. Tatiana’s furniture was destroyed in a fire. The amount of the loss is 10 000 UAH, the actual value of the furniture is 7 000 UAH. What will be the amount of insurance payment?</w:t>
            </w:r>
          </w:p>
          <w:p w14:paraId="6F2A1E08" w14:textId="77777777" w:rsidR="00FB375D" w:rsidRPr="009C0961" w:rsidRDefault="00FB375D" w:rsidP="006F749C">
            <w:pPr>
              <w:numPr>
                <w:ilvl w:val="0"/>
                <w:numId w:val="83"/>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3 000 UAH;</w:t>
            </w:r>
          </w:p>
          <w:p w14:paraId="3DCEFAD7" w14:textId="77777777" w:rsidR="00FB375D" w:rsidRPr="009C0961" w:rsidRDefault="00FB375D" w:rsidP="006F749C">
            <w:pPr>
              <w:numPr>
                <w:ilvl w:val="0"/>
                <w:numId w:val="83"/>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7 000 UAH;</w:t>
            </w:r>
          </w:p>
          <w:p w14:paraId="4879CD2B" w14:textId="77777777" w:rsidR="00FB375D" w:rsidRPr="009C0961" w:rsidRDefault="00FB375D" w:rsidP="006F749C">
            <w:pPr>
              <w:numPr>
                <w:ilvl w:val="0"/>
                <w:numId w:val="83"/>
              </w:numPr>
              <w:shd w:val="clear" w:color="auto" w:fill="FFFFFF"/>
              <w:spacing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10 000 UAH;</w:t>
            </w:r>
          </w:p>
          <w:p w14:paraId="03C0B3E8" w14:textId="77777777" w:rsidR="00FB375D" w:rsidRPr="009C0961" w:rsidRDefault="00FB375D" w:rsidP="006F749C">
            <w:pPr>
              <w:numPr>
                <w:ilvl w:val="0"/>
                <w:numId w:val="83"/>
              </w:numPr>
              <w:shd w:val="clear" w:color="auto" w:fill="FFFFFF"/>
              <w:spacing w:after="120"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17 000 UAH.</w:t>
            </w:r>
          </w:p>
        </w:tc>
      </w:tr>
      <w:tr w:rsidR="00FB375D" w:rsidRPr="009C0961" w14:paraId="79D86D14" w14:textId="77777777" w:rsidTr="009C0961">
        <w:trPr>
          <w:trHeight w:val="20"/>
        </w:trPr>
        <w:tc>
          <w:tcPr>
            <w:tcW w:w="9564" w:type="dxa"/>
          </w:tcPr>
          <w:p w14:paraId="487A81AF" w14:textId="77777777" w:rsidR="00FB375D" w:rsidRPr="009C0961" w:rsidRDefault="00FB375D" w:rsidP="006F749C">
            <w:pPr>
              <w:numPr>
                <w:ilvl w:val="0"/>
                <w:numId w:val="206"/>
              </w:numPr>
              <w:spacing w:line="240" w:lineRule="atLeast"/>
              <w:ind w:left="426"/>
              <w:contextualSpacing/>
              <w:rPr>
                <w:rFonts w:ascii="Garamond" w:eastAsia="Calibri" w:hAnsi="Garamond"/>
                <w:sz w:val="28"/>
                <w:szCs w:val="28"/>
                <w:lang w:val="en-US" w:eastAsia="en-US"/>
              </w:rPr>
            </w:pPr>
            <w:r w:rsidRPr="009C0961">
              <w:rPr>
                <w:rFonts w:ascii="Garamond" w:eastAsia="Calibri" w:hAnsi="Garamond"/>
                <w:sz w:val="28"/>
                <w:szCs w:val="28"/>
                <w:lang w:val="en-US" w:eastAsia="en-US"/>
              </w:rPr>
              <w:t>What is the main purpose of reinsurance?</w:t>
            </w:r>
          </w:p>
          <w:p w14:paraId="1ECE0519" w14:textId="77777777" w:rsidR="00FB375D" w:rsidRPr="009C0961" w:rsidRDefault="00FB375D" w:rsidP="006F749C">
            <w:pPr>
              <w:numPr>
                <w:ilvl w:val="0"/>
                <w:numId w:val="84"/>
              </w:numPr>
              <w:shd w:val="clear" w:color="auto" w:fill="FFFFFF"/>
              <w:spacing w:line="240" w:lineRule="atLeast"/>
              <w:ind w:left="788"/>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to reduce the claims loss ratio;</w:t>
            </w:r>
          </w:p>
          <w:p w14:paraId="60A6407C" w14:textId="77777777" w:rsidR="00FB375D" w:rsidRPr="009C0961" w:rsidRDefault="00FB375D" w:rsidP="006F749C">
            <w:pPr>
              <w:numPr>
                <w:ilvl w:val="0"/>
                <w:numId w:val="84"/>
              </w:numPr>
              <w:shd w:val="clear" w:color="auto" w:fill="FFFFFF"/>
              <w:spacing w:line="240" w:lineRule="atLeast"/>
              <w:ind w:left="788"/>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 xml:space="preserve">to reduce risks for the direct insurer; </w:t>
            </w:r>
          </w:p>
          <w:p w14:paraId="6504BBEC" w14:textId="77777777" w:rsidR="00FB375D" w:rsidRPr="009C0961" w:rsidRDefault="00FB375D" w:rsidP="006F749C">
            <w:pPr>
              <w:numPr>
                <w:ilvl w:val="0"/>
                <w:numId w:val="84"/>
              </w:numPr>
              <w:shd w:val="clear" w:color="auto" w:fill="FFFFFF"/>
              <w:spacing w:line="240" w:lineRule="atLeast"/>
              <w:ind w:left="788"/>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to increase the number of intermediaries in the insurance market;</w:t>
            </w:r>
          </w:p>
          <w:p w14:paraId="01AA35A3" w14:textId="77777777" w:rsidR="00FB375D" w:rsidRPr="009C0961" w:rsidRDefault="00FB375D" w:rsidP="006F749C">
            <w:pPr>
              <w:numPr>
                <w:ilvl w:val="0"/>
                <w:numId w:val="84"/>
              </w:numPr>
              <w:shd w:val="clear" w:color="auto" w:fill="FFFFFF"/>
              <w:spacing w:after="120" w:line="240" w:lineRule="atLeast"/>
              <w:ind w:left="782" w:hanging="357"/>
              <w:textAlignment w:val="baseline"/>
              <w:rPr>
                <w:rFonts w:ascii="Garamond" w:eastAsia="Calibri" w:hAnsi="Garamond"/>
                <w:sz w:val="28"/>
                <w:szCs w:val="28"/>
                <w:lang w:val="en-US" w:eastAsia="en-US"/>
              </w:rPr>
            </w:pPr>
            <w:r w:rsidRPr="009C0961">
              <w:rPr>
                <w:rFonts w:ascii="Garamond" w:eastAsia="Calibri" w:hAnsi="Garamond"/>
                <w:sz w:val="28"/>
                <w:szCs w:val="28"/>
                <w:lang w:val="en-US" w:eastAsia="en-US"/>
              </w:rPr>
              <w:t>to increase the profitability of the insurance company.</w:t>
            </w:r>
          </w:p>
        </w:tc>
      </w:tr>
    </w:tbl>
    <w:p w14:paraId="7EDD8150" w14:textId="77777777" w:rsidR="00FB375D" w:rsidRPr="009C0961" w:rsidRDefault="00FB375D" w:rsidP="009C0961">
      <w:pPr>
        <w:pStyle w:val="end2"/>
        <w:rPr>
          <w:lang w:eastAsia="ru-RU"/>
        </w:rPr>
      </w:pPr>
      <w:r w:rsidRPr="009C0961">
        <w:rPr>
          <w:lang w:eastAsia="ru-RU"/>
        </w:rPr>
        <w:t>Short answer questions</w:t>
      </w:r>
    </w:p>
    <w:p w14:paraId="12B6D8C5" w14:textId="77777777" w:rsidR="00FB375D" w:rsidRPr="009C0961" w:rsidRDefault="00FB375D" w:rsidP="009C0961">
      <w:pPr>
        <w:pStyle w:val="eng3"/>
      </w:pPr>
      <w:r w:rsidRPr="009C0961">
        <w:t>Missing</w:t>
      </w:r>
      <w:r w:rsidR="00E425AB">
        <w:t xml:space="preserve"> </w:t>
      </w:r>
      <w:r w:rsidRPr="009C0961">
        <w:t>word questions</w:t>
      </w:r>
    </w:p>
    <w:p w14:paraId="0BA6B70A" w14:textId="77777777" w:rsidR="00FB375D" w:rsidRPr="009C0961" w:rsidRDefault="00FB375D" w:rsidP="009C0961">
      <w:pPr>
        <w:spacing w:line="240" w:lineRule="atLeast"/>
        <w:ind w:firstLine="360"/>
        <w:jc w:val="both"/>
        <w:rPr>
          <w:rFonts w:cs="Garamond"/>
          <w:sz w:val="28"/>
          <w:szCs w:val="28"/>
          <w:lang w:val="en-US" w:eastAsia="ru-RU"/>
        </w:rPr>
      </w:pPr>
      <w:r w:rsidRPr="009C0961">
        <w:rPr>
          <w:rFonts w:cs="Garamond"/>
          <w:sz w:val="28"/>
          <w:szCs w:val="28"/>
          <w:lang w:val="en-US" w:eastAsia="ru-RU"/>
        </w:rPr>
        <w:t>Choose the correct word to complete each sentence.</w:t>
      </w:r>
    </w:p>
    <w:p w14:paraId="15C8BA53" w14:textId="77777777" w:rsidR="00FB375D" w:rsidRPr="009C0961" w:rsidRDefault="00FB375D" w:rsidP="009C0961">
      <w:pPr>
        <w:spacing w:line="240" w:lineRule="atLeast"/>
        <w:ind w:firstLine="360"/>
        <w:jc w:val="both"/>
        <w:rPr>
          <w:rFonts w:cs="Garamond"/>
          <w:sz w:val="28"/>
          <w:szCs w:val="28"/>
          <w:lang w:val="en-US" w:eastAsia="ru-RU"/>
        </w:rPr>
      </w:pPr>
    </w:p>
    <w:p w14:paraId="50A0C4C3" w14:textId="77777777" w:rsidR="00FB375D" w:rsidRPr="009C0961" w:rsidRDefault="00FB375D" w:rsidP="006F749C">
      <w:pPr>
        <w:pStyle w:val="ListParagraph"/>
        <w:numPr>
          <w:ilvl w:val="0"/>
          <w:numId w:val="207"/>
        </w:numPr>
        <w:spacing w:after="0" w:line="240" w:lineRule="atLeast"/>
        <w:ind w:left="425"/>
        <w:jc w:val="both"/>
        <w:rPr>
          <w:rFonts w:ascii="Garamond" w:hAnsi="Garamond"/>
          <w:szCs w:val="28"/>
          <w:lang w:val="en-US" w:eastAsia="ru-RU"/>
        </w:rPr>
      </w:pPr>
      <w:r w:rsidRPr="009C0961">
        <w:rPr>
          <w:rFonts w:ascii="Garamond" w:hAnsi="Garamond"/>
          <w:szCs w:val="28"/>
          <w:lang w:val="en-US" w:eastAsia="ru-RU"/>
        </w:rPr>
        <w:t xml:space="preserve">Insurance is </w:t>
      </w:r>
      <w:r w:rsidR="009C0961" w:rsidRPr="009C0961">
        <w:rPr>
          <w:rFonts w:ascii="Garamond" w:hAnsi="Garamond"/>
          <w:szCs w:val="28"/>
          <w:lang w:val="en-US" w:eastAsia="ru-RU"/>
        </w:rPr>
        <w:t>essentially</w:t>
      </w:r>
      <w:r w:rsidRPr="009C0961">
        <w:rPr>
          <w:rFonts w:ascii="Garamond" w:hAnsi="Garamond"/>
          <w:szCs w:val="28"/>
          <w:lang w:val="en-US" w:eastAsia="ru-RU"/>
        </w:rPr>
        <w:t xml:space="preserve"> a risk ___________ mechanism, removing, for a ___________, the potential financial loss from the individual and placing it upon the insurer.</w:t>
      </w:r>
    </w:p>
    <w:p w14:paraId="42A95909" w14:textId="77777777" w:rsidR="00FB375D" w:rsidRPr="009C0961" w:rsidRDefault="00FB375D" w:rsidP="009C0961">
      <w:pPr>
        <w:spacing w:line="240" w:lineRule="atLeast"/>
        <w:ind w:left="425"/>
        <w:jc w:val="both"/>
        <w:rPr>
          <w:sz w:val="28"/>
          <w:szCs w:val="28"/>
          <w:lang w:val="en-US" w:eastAsia="ru-RU"/>
        </w:rPr>
      </w:pPr>
    </w:p>
    <w:p w14:paraId="75C99332" w14:textId="77777777" w:rsidR="00FB375D" w:rsidRPr="009C0961" w:rsidRDefault="00FB375D" w:rsidP="006F749C">
      <w:pPr>
        <w:pStyle w:val="ListParagraph"/>
        <w:numPr>
          <w:ilvl w:val="0"/>
          <w:numId w:val="207"/>
        </w:numPr>
        <w:spacing w:after="0" w:line="240" w:lineRule="atLeast"/>
        <w:ind w:left="425"/>
        <w:jc w:val="both"/>
        <w:rPr>
          <w:rFonts w:ascii="Garamond" w:hAnsi="Garamond"/>
          <w:szCs w:val="28"/>
          <w:lang w:val="en-US" w:eastAsia="ru-RU"/>
        </w:rPr>
      </w:pPr>
      <w:r w:rsidRPr="009C0961">
        <w:rPr>
          <w:rFonts w:ascii="Garamond" w:hAnsi="Garamond"/>
          <w:szCs w:val="28"/>
          <w:lang w:val="en-US" w:eastAsia="ru-RU"/>
        </w:rPr>
        <w:t xml:space="preserve">Insurable _____________ arises in a variety of circumstances, which may be considered under insurance of the person, insurance of ____________ and insurance of liability. </w:t>
      </w:r>
    </w:p>
    <w:p w14:paraId="5120D8B4" w14:textId="77777777" w:rsidR="00FB375D" w:rsidRPr="009C0961" w:rsidRDefault="00FB375D" w:rsidP="009C0961">
      <w:pPr>
        <w:spacing w:line="240" w:lineRule="atLeast"/>
        <w:ind w:left="425"/>
        <w:jc w:val="both"/>
        <w:rPr>
          <w:sz w:val="28"/>
          <w:szCs w:val="28"/>
          <w:lang w:val="en-US" w:eastAsia="ru-RU"/>
        </w:rPr>
      </w:pPr>
    </w:p>
    <w:p w14:paraId="74264EAC" w14:textId="77777777" w:rsidR="00FB375D" w:rsidRPr="009C0961" w:rsidRDefault="00FB375D" w:rsidP="006F749C">
      <w:pPr>
        <w:pStyle w:val="ListParagraph"/>
        <w:numPr>
          <w:ilvl w:val="0"/>
          <w:numId w:val="207"/>
        </w:numPr>
        <w:spacing w:after="0" w:line="240" w:lineRule="atLeast"/>
        <w:ind w:left="425"/>
        <w:jc w:val="both"/>
        <w:rPr>
          <w:rFonts w:ascii="Garamond" w:hAnsi="Garamond"/>
          <w:szCs w:val="28"/>
          <w:lang w:val="en-US" w:eastAsia="ru-RU"/>
        </w:rPr>
      </w:pPr>
      <w:r w:rsidRPr="009C0961">
        <w:rPr>
          <w:rFonts w:ascii="Garamond" w:hAnsi="Garamond"/>
          <w:szCs w:val="28"/>
          <w:lang w:val="en-US" w:eastAsia="ru-RU"/>
        </w:rPr>
        <w:lastRenderedPageBreak/>
        <w:t>When the application comes to the insurance company, _______________ review it for its acceptability to the company and evaluate the risk</w:t>
      </w:r>
      <w:r w:rsidRPr="009C0961">
        <w:rPr>
          <w:rFonts w:ascii="Garamond" w:hAnsi="Garamond" w:cs="Garamond"/>
          <w:szCs w:val="28"/>
          <w:lang w:val="en-US" w:eastAsia="ru-RU" w:bidi="ru-RU"/>
        </w:rPr>
        <w:t>. When the insured event occurs, _____________ investigates claims and recommends settlement options based on estimates of damage.</w:t>
      </w:r>
    </w:p>
    <w:p w14:paraId="7CA52227" w14:textId="77777777" w:rsidR="00FB375D" w:rsidRPr="009C0961" w:rsidRDefault="00FB375D" w:rsidP="009C0961">
      <w:pPr>
        <w:spacing w:line="240" w:lineRule="atLeast"/>
        <w:ind w:left="425"/>
        <w:jc w:val="both"/>
        <w:rPr>
          <w:rFonts w:cs="Garamond"/>
          <w:sz w:val="28"/>
          <w:szCs w:val="28"/>
          <w:lang w:val="en-US" w:eastAsia="ru-RU" w:bidi="ru-RU"/>
        </w:rPr>
      </w:pPr>
    </w:p>
    <w:p w14:paraId="661C342B" w14:textId="77777777" w:rsidR="00FB375D" w:rsidRPr="009C0961" w:rsidRDefault="00FB375D" w:rsidP="006F749C">
      <w:pPr>
        <w:pStyle w:val="ListParagraph"/>
        <w:numPr>
          <w:ilvl w:val="0"/>
          <w:numId w:val="207"/>
        </w:numPr>
        <w:spacing w:after="0" w:line="240" w:lineRule="atLeast"/>
        <w:ind w:left="425"/>
        <w:jc w:val="both"/>
        <w:rPr>
          <w:rFonts w:ascii="Garamond" w:hAnsi="Garamond" w:cs="Garamond"/>
          <w:szCs w:val="28"/>
          <w:lang w:val="en-US" w:eastAsia="ru-RU" w:bidi="ru-RU"/>
        </w:rPr>
      </w:pPr>
      <w:r w:rsidRPr="009C0961">
        <w:rPr>
          <w:rFonts w:ascii="Garamond" w:hAnsi="Garamond" w:cs="Garamond"/>
          <w:szCs w:val="28"/>
          <w:lang w:val="en-US" w:eastAsia="ru-RU" w:bidi="ru-RU"/>
        </w:rPr>
        <w:t xml:space="preserve">Insurers and </w:t>
      </w:r>
      <w:r w:rsidRPr="009C0961">
        <w:rPr>
          <w:rFonts w:ascii="Garamond" w:hAnsi="Garamond"/>
          <w:szCs w:val="28"/>
          <w:lang w:val="en-GB" w:eastAsia="ru-RU"/>
        </w:rPr>
        <w:t>_____________</w:t>
      </w:r>
      <w:r w:rsidRPr="009C0961">
        <w:rPr>
          <w:rFonts w:ascii="Garamond" w:hAnsi="Garamond" w:cs="Garamond"/>
          <w:szCs w:val="28"/>
          <w:lang w:val="en-US" w:eastAsia="ru-RU" w:bidi="ru-RU"/>
        </w:rPr>
        <w:t xml:space="preserve"> are generally free to decide whether and with whom they want to take out an insurance policy. However, it can be in the public interest that this freedom is restricted by the regulation of a ____________ policy of insurance.</w:t>
      </w:r>
    </w:p>
    <w:p w14:paraId="630A3527" w14:textId="77777777" w:rsidR="00FB375D" w:rsidRPr="009C0961" w:rsidRDefault="00FB375D" w:rsidP="009C0961">
      <w:pPr>
        <w:spacing w:line="240" w:lineRule="atLeast"/>
        <w:ind w:left="425"/>
        <w:jc w:val="both"/>
        <w:rPr>
          <w:sz w:val="28"/>
          <w:szCs w:val="28"/>
          <w:lang w:val="en-US" w:eastAsia="ru-RU"/>
        </w:rPr>
      </w:pPr>
    </w:p>
    <w:p w14:paraId="19A609B7" w14:textId="77777777" w:rsidR="00FB375D" w:rsidRPr="009C0961" w:rsidRDefault="00FB375D" w:rsidP="006F749C">
      <w:pPr>
        <w:pStyle w:val="ListParagraph"/>
        <w:numPr>
          <w:ilvl w:val="0"/>
          <w:numId w:val="207"/>
        </w:numPr>
        <w:spacing w:after="0" w:line="240" w:lineRule="atLeast"/>
        <w:ind w:left="425"/>
        <w:jc w:val="both"/>
        <w:rPr>
          <w:rFonts w:ascii="Garamond" w:hAnsi="Garamond"/>
          <w:szCs w:val="28"/>
          <w:lang w:val="en-US" w:eastAsia="ru-RU"/>
        </w:rPr>
      </w:pPr>
      <w:r w:rsidRPr="009C0961">
        <w:rPr>
          <w:rFonts w:ascii="Garamond" w:hAnsi="Garamond"/>
          <w:szCs w:val="28"/>
          <w:lang w:val="en-US" w:eastAsia="ru-RU"/>
        </w:rPr>
        <w:t>Contractual partners in insurance can be represented by someone who acts as an intermediary or takes out insurance contracts commercially</w:t>
      </w:r>
      <w:r w:rsidR="005D330F">
        <w:rPr>
          <w:rFonts w:ascii="Garamond" w:hAnsi="Garamond"/>
          <w:szCs w:val="28"/>
          <w:lang w:val="en-US" w:eastAsia="ru-RU"/>
        </w:rPr>
        <w:t>;</w:t>
      </w:r>
      <w:r w:rsidRPr="009C0961">
        <w:rPr>
          <w:rFonts w:ascii="Garamond" w:hAnsi="Garamond"/>
          <w:szCs w:val="28"/>
          <w:lang w:val="en-US" w:eastAsia="ru-RU"/>
        </w:rPr>
        <w:t xml:space="preserve"> this is the insurance ___________ for the insurance company, and the insurance ____________ for the policyholder.</w:t>
      </w:r>
    </w:p>
    <w:p w14:paraId="11CF5E37" w14:textId="77777777" w:rsidR="00FB375D" w:rsidRPr="009C0961" w:rsidRDefault="00FB375D" w:rsidP="00FB375D">
      <w:pPr>
        <w:spacing w:line="312" w:lineRule="auto"/>
        <w:jc w:val="both"/>
        <w:rPr>
          <w:b/>
          <w:caps/>
          <w:spacing w:val="20"/>
          <w:kern w:val="16"/>
          <w:sz w:val="28"/>
          <w:szCs w:val="28"/>
          <w:lang w:val="en-US" w:eastAsia="ru-RU"/>
        </w:rPr>
      </w:pPr>
    </w:p>
    <w:p w14:paraId="5B5E2850" w14:textId="77777777" w:rsidR="00FB375D" w:rsidRPr="009C0961" w:rsidRDefault="00FB375D" w:rsidP="009C0961">
      <w:pPr>
        <w:pStyle w:val="eng3"/>
        <w:rPr>
          <w:lang w:eastAsia="ru-RU"/>
        </w:rPr>
      </w:pPr>
      <w:r w:rsidRPr="009C0961">
        <w:rPr>
          <w:lang w:eastAsia="ru-RU"/>
        </w:rPr>
        <w:t>True/False/Uncertain questions</w:t>
      </w:r>
    </w:p>
    <w:p w14:paraId="463D7814" w14:textId="77777777" w:rsidR="00FB375D" w:rsidRPr="009C0961" w:rsidRDefault="00FB375D" w:rsidP="009C0961">
      <w:pPr>
        <w:spacing w:line="240" w:lineRule="atLeast"/>
        <w:ind w:firstLine="360"/>
        <w:jc w:val="both"/>
        <w:rPr>
          <w:rFonts w:cs="Garamond"/>
          <w:sz w:val="28"/>
          <w:szCs w:val="28"/>
          <w:lang w:val="en-US" w:eastAsia="ru-RU"/>
        </w:rPr>
      </w:pPr>
      <w:r w:rsidRPr="009C0961">
        <w:rPr>
          <w:rFonts w:cs="Garamond"/>
          <w:sz w:val="28"/>
          <w:szCs w:val="28"/>
          <w:lang w:val="en-US" w:eastAsia="ru-RU"/>
        </w:rPr>
        <w:t xml:space="preserve">Decide whether the following statements are True, False, or Uncertain. Explain your reasoning. Your score will be based not just on whether you get the True, False, </w:t>
      </w:r>
      <w:r w:rsidR="005D330F">
        <w:rPr>
          <w:rFonts w:cs="Garamond"/>
          <w:sz w:val="28"/>
          <w:szCs w:val="28"/>
          <w:lang w:val="en-US" w:eastAsia="ru-RU"/>
        </w:rPr>
        <w:t xml:space="preserve">or </w:t>
      </w:r>
      <w:r w:rsidRPr="009C0961">
        <w:rPr>
          <w:rFonts w:cs="Garamond"/>
          <w:sz w:val="28"/>
          <w:szCs w:val="28"/>
          <w:lang w:val="en-US" w:eastAsia="ru-RU"/>
        </w:rPr>
        <w:t>Uncertain part right but also</w:t>
      </w:r>
      <w:r w:rsidR="005D330F">
        <w:rPr>
          <w:rFonts w:cs="Garamond"/>
          <w:sz w:val="28"/>
          <w:szCs w:val="28"/>
          <w:lang w:val="en-US" w:eastAsia="ru-RU"/>
        </w:rPr>
        <w:t xml:space="preserve">, </w:t>
      </w:r>
      <w:r w:rsidR="005D330F">
        <w:rPr>
          <w:sz w:val="28"/>
          <w:szCs w:val="28"/>
          <w:lang w:val="en-US"/>
        </w:rPr>
        <w:t>to a larger ext</w:t>
      </w:r>
      <w:r w:rsidR="00AF2E0D">
        <w:rPr>
          <w:sz w:val="28"/>
          <w:szCs w:val="28"/>
          <w:lang w:val="en-US"/>
        </w:rPr>
        <w:t>e</w:t>
      </w:r>
      <w:r w:rsidR="005D330F">
        <w:rPr>
          <w:sz w:val="28"/>
          <w:szCs w:val="28"/>
          <w:lang w:val="en-US"/>
        </w:rPr>
        <w:t xml:space="preserve">nt, </w:t>
      </w:r>
      <w:r w:rsidRPr="009C0961">
        <w:rPr>
          <w:rFonts w:cs="Garamond"/>
          <w:sz w:val="28"/>
          <w:szCs w:val="28"/>
          <w:lang w:val="en-US" w:eastAsia="ru-RU"/>
        </w:rPr>
        <w:t>on the quality of your explanation.</w:t>
      </w:r>
    </w:p>
    <w:p w14:paraId="3F346A23" w14:textId="77777777" w:rsidR="00FB375D" w:rsidRPr="009C0961" w:rsidRDefault="00FB375D" w:rsidP="009C0961">
      <w:pPr>
        <w:spacing w:line="240" w:lineRule="atLeast"/>
        <w:jc w:val="both"/>
        <w:rPr>
          <w:sz w:val="28"/>
          <w:szCs w:val="28"/>
          <w:lang w:val="en-US" w:eastAsia="ru-RU"/>
        </w:rPr>
      </w:pPr>
    </w:p>
    <w:p w14:paraId="58D89682" w14:textId="77777777" w:rsidR="00FB375D" w:rsidRPr="009C0961" w:rsidRDefault="00FB375D" w:rsidP="006F749C">
      <w:pPr>
        <w:pStyle w:val="ListParagraph"/>
        <w:numPr>
          <w:ilvl w:val="0"/>
          <w:numId w:val="208"/>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The insurance company and policyholder are two required partners in insurance. Others (insured, beneficiary) can also participate in the insurance contract, but not necessarily.</w:t>
      </w:r>
    </w:p>
    <w:p w14:paraId="0812D23F" w14:textId="77777777" w:rsidR="009C0961" w:rsidRPr="009C0961" w:rsidRDefault="009C0961" w:rsidP="009C0961">
      <w:pPr>
        <w:pStyle w:val="ListParagraph"/>
        <w:spacing w:after="0" w:line="240" w:lineRule="atLeast"/>
        <w:ind w:left="426"/>
        <w:jc w:val="both"/>
        <w:rPr>
          <w:rFonts w:ascii="Garamond" w:hAnsi="Garamond"/>
          <w:szCs w:val="28"/>
          <w:lang w:val="en-US" w:eastAsia="ru-RU"/>
        </w:rPr>
      </w:pPr>
    </w:p>
    <w:p w14:paraId="55186645" w14:textId="77777777" w:rsidR="00FB375D" w:rsidRPr="009C0961" w:rsidRDefault="00FB375D" w:rsidP="006F749C">
      <w:pPr>
        <w:pStyle w:val="ListParagraph"/>
        <w:numPr>
          <w:ilvl w:val="0"/>
          <w:numId w:val="208"/>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As a rule, insurance brokers work for insurance companies and help them to sell insurance products, while insurance agents are usually representatives of policyholders, who search the marketplace and advise on the best terms of insurance.</w:t>
      </w:r>
    </w:p>
    <w:p w14:paraId="2418456D" w14:textId="77777777" w:rsidR="009C0961" w:rsidRPr="009C0961" w:rsidRDefault="009C0961" w:rsidP="009C0961">
      <w:pPr>
        <w:pStyle w:val="ListParagraph"/>
        <w:spacing w:after="0" w:line="240" w:lineRule="atLeast"/>
        <w:ind w:left="426"/>
        <w:jc w:val="both"/>
        <w:rPr>
          <w:rFonts w:ascii="Garamond" w:hAnsi="Garamond"/>
          <w:szCs w:val="28"/>
          <w:lang w:val="en-US" w:eastAsia="ru-RU"/>
        </w:rPr>
      </w:pPr>
    </w:p>
    <w:p w14:paraId="522C30B3" w14:textId="77777777" w:rsidR="00FB375D" w:rsidRPr="009C0961" w:rsidRDefault="00FB375D" w:rsidP="006F749C">
      <w:pPr>
        <w:pStyle w:val="ListParagraph"/>
        <w:numPr>
          <w:ilvl w:val="0"/>
          <w:numId w:val="208"/>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 xml:space="preserve">Compulsory insurance requires the presence of insurance policy, but the main terms of insurance (such as sum insured, insurance premium, </w:t>
      </w:r>
      <w:r w:rsidR="005D330F">
        <w:rPr>
          <w:rFonts w:ascii="Garamond" w:hAnsi="Garamond"/>
          <w:szCs w:val="28"/>
          <w:lang w:val="en-US" w:eastAsia="ru-RU"/>
        </w:rPr>
        <w:t xml:space="preserve">and </w:t>
      </w:r>
      <w:r w:rsidRPr="009C0961">
        <w:rPr>
          <w:rFonts w:ascii="Garamond" w:hAnsi="Garamond"/>
          <w:szCs w:val="28"/>
          <w:lang w:val="en-US" w:eastAsia="ru-RU"/>
        </w:rPr>
        <w:t>perils insured) are up to insurance company and the policyholder.</w:t>
      </w:r>
    </w:p>
    <w:p w14:paraId="04553586" w14:textId="77777777" w:rsidR="009C0961" w:rsidRPr="009C0961" w:rsidRDefault="009C0961" w:rsidP="009C0961">
      <w:pPr>
        <w:pStyle w:val="ListParagraph"/>
        <w:spacing w:after="0" w:line="240" w:lineRule="atLeast"/>
        <w:ind w:left="426"/>
        <w:jc w:val="both"/>
        <w:rPr>
          <w:rFonts w:ascii="Garamond" w:hAnsi="Garamond"/>
          <w:szCs w:val="28"/>
          <w:lang w:val="en-US" w:eastAsia="ru-RU"/>
        </w:rPr>
      </w:pPr>
    </w:p>
    <w:p w14:paraId="53F2F7C5" w14:textId="77777777" w:rsidR="00FB375D" w:rsidRPr="009C0961" w:rsidRDefault="00FB375D" w:rsidP="006F749C">
      <w:pPr>
        <w:pStyle w:val="ListParagraph"/>
        <w:numPr>
          <w:ilvl w:val="0"/>
          <w:numId w:val="208"/>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If a policyholder wants to get sufficient insurance cover</w:t>
      </w:r>
      <w:r w:rsidR="005D330F">
        <w:rPr>
          <w:rFonts w:ascii="Garamond" w:hAnsi="Garamond"/>
          <w:szCs w:val="28"/>
          <w:lang w:val="en-US" w:eastAsia="ru-RU"/>
        </w:rPr>
        <w:t>,</w:t>
      </w:r>
      <w:r w:rsidRPr="009C0961">
        <w:rPr>
          <w:rFonts w:ascii="Garamond" w:hAnsi="Garamond"/>
          <w:szCs w:val="28"/>
          <w:lang w:val="en-US" w:eastAsia="ru-RU"/>
        </w:rPr>
        <w:t xml:space="preserve"> he (she) needs insurance at full value without the deductible clause.</w:t>
      </w:r>
    </w:p>
    <w:p w14:paraId="2B183335" w14:textId="77777777" w:rsidR="009C0961" w:rsidRPr="009C0961" w:rsidRDefault="009C0961" w:rsidP="009C0961">
      <w:pPr>
        <w:pStyle w:val="ListParagraph"/>
        <w:spacing w:after="0" w:line="240" w:lineRule="atLeast"/>
        <w:ind w:left="426"/>
        <w:jc w:val="both"/>
        <w:rPr>
          <w:rFonts w:ascii="Garamond" w:hAnsi="Garamond"/>
          <w:szCs w:val="28"/>
          <w:lang w:val="en-US" w:eastAsia="ru-RU"/>
        </w:rPr>
      </w:pPr>
    </w:p>
    <w:p w14:paraId="5A714EA5" w14:textId="77777777" w:rsidR="00FB375D" w:rsidRPr="009C0961" w:rsidRDefault="00FB375D" w:rsidP="006F749C">
      <w:pPr>
        <w:pStyle w:val="ListParagraph"/>
        <w:numPr>
          <w:ilvl w:val="0"/>
          <w:numId w:val="208"/>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In coinsurance, a policyholder concludes a contract with several insurance companies</w:t>
      </w:r>
      <w:r w:rsidR="005D330F">
        <w:rPr>
          <w:rFonts w:ascii="Garamond" w:hAnsi="Garamond"/>
          <w:szCs w:val="28"/>
          <w:lang w:val="en-US" w:eastAsia="ru-RU"/>
        </w:rPr>
        <w:t>,</w:t>
      </w:r>
      <w:r w:rsidRPr="009C0961">
        <w:rPr>
          <w:rFonts w:ascii="Garamond" w:hAnsi="Garamond"/>
          <w:szCs w:val="28"/>
          <w:lang w:val="en-US" w:eastAsia="ru-RU"/>
        </w:rPr>
        <w:t xml:space="preserve"> while in reinsurance</w:t>
      </w:r>
      <w:r w:rsidR="005D330F">
        <w:rPr>
          <w:rFonts w:ascii="Garamond" w:hAnsi="Garamond"/>
          <w:szCs w:val="28"/>
          <w:lang w:val="en-US" w:eastAsia="ru-RU"/>
        </w:rPr>
        <w:t>,</w:t>
      </w:r>
      <w:r w:rsidRPr="009C0961">
        <w:rPr>
          <w:rFonts w:ascii="Garamond" w:hAnsi="Garamond"/>
          <w:szCs w:val="28"/>
          <w:lang w:val="en-US" w:eastAsia="ru-RU"/>
        </w:rPr>
        <w:t xml:space="preserve"> he (she) has contractual arrangements with direct insurer only and is not notified of participation of reinsurers.</w:t>
      </w:r>
    </w:p>
    <w:p w14:paraId="47E2FA57" w14:textId="77777777" w:rsidR="00FB375D" w:rsidRPr="009C0961" w:rsidRDefault="00FB375D" w:rsidP="009C0961">
      <w:pPr>
        <w:pStyle w:val="end2"/>
        <w:rPr>
          <w:lang w:eastAsia="ru-RU"/>
        </w:rPr>
      </w:pPr>
      <w:r w:rsidRPr="009C0961">
        <w:rPr>
          <w:lang w:eastAsia="ru-RU"/>
        </w:rPr>
        <w:lastRenderedPageBreak/>
        <w:t>Computation problems</w:t>
      </w:r>
    </w:p>
    <w:p w14:paraId="69AAB2BF" w14:textId="77777777" w:rsidR="00FB375D" w:rsidRPr="009C0961"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Determine the risk management method (</w:t>
      </w:r>
      <w:r w:rsidR="005D330F">
        <w:rPr>
          <w:rFonts w:ascii="Garamond" w:hAnsi="Garamond" w:cs="Garamond"/>
          <w:szCs w:val="28"/>
          <w:lang w:val="en-US"/>
        </w:rPr>
        <w:t>a</w:t>
      </w:r>
      <w:r w:rsidR="005D330F" w:rsidRPr="009C0961">
        <w:rPr>
          <w:rFonts w:ascii="Garamond" w:hAnsi="Garamond" w:cs="Garamond"/>
          <w:szCs w:val="28"/>
          <w:lang w:val="en-US"/>
        </w:rPr>
        <w:t>voidance</w:t>
      </w:r>
      <w:r w:rsidR="005D330F">
        <w:rPr>
          <w:rFonts w:ascii="Garamond" w:hAnsi="Garamond" w:cs="Garamond"/>
          <w:szCs w:val="28"/>
          <w:lang w:val="en-US"/>
        </w:rPr>
        <w:t>, r</w:t>
      </w:r>
      <w:r w:rsidR="005D330F" w:rsidRPr="009C0961">
        <w:rPr>
          <w:rFonts w:ascii="Garamond" w:hAnsi="Garamond" w:cs="Garamond"/>
          <w:szCs w:val="28"/>
          <w:lang w:val="en-US"/>
        </w:rPr>
        <w:t>etention</w:t>
      </w:r>
      <w:r w:rsidR="005D330F">
        <w:rPr>
          <w:rFonts w:ascii="Garamond" w:hAnsi="Garamond" w:cs="Garamond"/>
          <w:szCs w:val="28"/>
          <w:lang w:val="en-US"/>
        </w:rPr>
        <w:t>, r</w:t>
      </w:r>
      <w:r w:rsidR="005D330F" w:rsidRPr="009C0961">
        <w:rPr>
          <w:rFonts w:ascii="Garamond" w:hAnsi="Garamond" w:cs="Garamond"/>
          <w:szCs w:val="28"/>
          <w:lang w:val="en-US"/>
        </w:rPr>
        <w:t>eduction and control</w:t>
      </w:r>
      <w:r w:rsidR="005D330F">
        <w:rPr>
          <w:rFonts w:ascii="Garamond" w:hAnsi="Garamond" w:cs="Garamond"/>
          <w:szCs w:val="28"/>
          <w:lang w:val="en-US"/>
        </w:rPr>
        <w:t>, or r</w:t>
      </w:r>
      <w:r w:rsidR="005D330F" w:rsidRPr="009C0961">
        <w:rPr>
          <w:rFonts w:ascii="Garamond" w:hAnsi="Garamond" w:cs="Garamond"/>
          <w:szCs w:val="28"/>
          <w:lang w:val="en-US"/>
        </w:rPr>
        <w:t>isk transfer</w:t>
      </w:r>
      <w:r w:rsidRPr="009C0961">
        <w:rPr>
          <w:rFonts w:ascii="Garamond" w:hAnsi="Garamond"/>
          <w:szCs w:val="28"/>
          <w:lang w:val="en-US" w:eastAsia="ru-RU"/>
        </w:rPr>
        <w:t>) in each of the following examples (</w:t>
      </w:r>
      <w:r w:rsidR="005D330F">
        <w:rPr>
          <w:rFonts w:ascii="Garamond" w:hAnsi="Garamond"/>
          <w:szCs w:val="28"/>
          <w:lang w:val="en-US" w:eastAsia="ru-RU"/>
        </w:rPr>
        <w:t>a – d</w:t>
      </w:r>
      <w:r w:rsidRPr="009C0961">
        <w:rPr>
          <w:rFonts w:ascii="Garamond" w:hAnsi="Garamond"/>
          <w:szCs w:val="28"/>
          <w:lang w:val="en-US" w:eastAsia="ru-RU"/>
        </w:rPr>
        <w:t>):</w:t>
      </w:r>
    </w:p>
    <w:tbl>
      <w:tblPr>
        <w:tblStyle w:val="50"/>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27"/>
      </w:tblGrid>
      <w:tr w:rsidR="005D330F" w:rsidRPr="009C0961" w14:paraId="24C03EEA" w14:textId="77777777" w:rsidTr="005D330F">
        <w:trPr>
          <w:trHeight w:val="2176"/>
        </w:trPr>
        <w:tc>
          <w:tcPr>
            <w:tcW w:w="9427" w:type="dxa"/>
          </w:tcPr>
          <w:p w14:paraId="54982CBE" w14:textId="77777777" w:rsidR="005D330F" w:rsidRPr="009C0961" w:rsidRDefault="005D330F" w:rsidP="00675276">
            <w:pPr>
              <w:autoSpaceDE w:val="0"/>
              <w:autoSpaceDN w:val="0"/>
              <w:adjustRightInd w:val="0"/>
              <w:spacing w:line="240" w:lineRule="atLeast"/>
              <w:ind w:left="601" w:hanging="283"/>
              <w:jc w:val="both"/>
              <w:rPr>
                <w:rFonts w:ascii="Garamond" w:eastAsia="Calibri" w:hAnsi="Garamond" w:cs="Garamond"/>
                <w:sz w:val="28"/>
                <w:szCs w:val="28"/>
                <w:lang w:val="en-US" w:eastAsia="en-US"/>
              </w:rPr>
            </w:pPr>
            <w:r>
              <w:rPr>
                <w:rFonts w:ascii="Garamond" w:eastAsia="Calibri" w:hAnsi="Garamond" w:cs="Garamond"/>
                <w:sz w:val="28"/>
                <w:szCs w:val="28"/>
                <w:lang w:val="en-US" w:eastAsia="en-US"/>
              </w:rPr>
              <w:t>a</w:t>
            </w:r>
            <w:r w:rsidRPr="009C0961">
              <w:rPr>
                <w:rFonts w:ascii="Garamond" w:eastAsia="Calibri" w:hAnsi="Garamond" w:cs="Garamond"/>
                <w:sz w:val="28"/>
                <w:szCs w:val="28"/>
                <w:lang w:val="en-US" w:eastAsia="en-US"/>
              </w:rPr>
              <w:t>) Anna is a very responsible driver</w:t>
            </w:r>
            <w:r>
              <w:rPr>
                <w:rFonts w:ascii="Garamond" w:eastAsia="Calibri" w:hAnsi="Garamond" w:cs="Garamond"/>
                <w:sz w:val="28"/>
                <w:szCs w:val="28"/>
                <w:lang w:val="en-US" w:eastAsia="en-US"/>
              </w:rPr>
              <w:t>: she never exceeds the speed.</w:t>
            </w:r>
          </w:p>
          <w:p w14:paraId="6CF94951" w14:textId="77777777" w:rsidR="005D330F" w:rsidRPr="009C0961" w:rsidRDefault="005D330F" w:rsidP="00675276">
            <w:pPr>
              <w:autoSpaceDE w:val="0"/>
              <w:autoSpaceDN w:val="0"/>
              <w:adjustRightInd w:val="0"/>
              <w:spacing w:line="240" w:lineRule="atLeast"/>
              <w:ind w:left="601" w:hanging="283"/>
              <w:jc w:val="both"/>
              <w:rPr>
                <w:rFonts w:ascii="Garamond" w:eastAsia="Calibri" w:hAnsi="Garamond" w:cs="Garamond"/>
                <w:sz w:val="28"/>
                <w:szCs w:val="28"/>
                <w:lang w:val="en-US" w:eastAsia="en-US"/>
              </w:rPr>
            </w:pPr>
            <w:r>
              <w:rPr>
                <w:rFonts w:ascii="Garamond" w:eastAsia="Calibri" w:hAnsi="Garamond" w:cs="Garamond"/>
                <w:sz w:val="28"/>
                <w:szCs w:val="28"/>
                <w:lang w:val="en-US" w:eastAsia="en-US"/>
              </w:rPr>
              <w:t>b</w:t>
            </w:r>
            <w:r w:rsidRPr="009C0961">
              <w:rPr>
                <w:rFonts w:ascii="Garamond" w:eastAsia="Calibri" w:hAnsi="Garamond" w:cs="Garamond"/>
                <w:sz w:val="28"/>
                <w:szCs w:val="28"/>
                <w:lang w:val="en-US" w:eastAsia="en-US"/>
              </w:rPr>
              <w:t>) The first thing Luis did after buying the car was g</w:t>
            </w:r>
            <w:r>
              <w:rPr>
                <w:rFonts w:ascii="Garamond" w:eastAsia="Calibri" w:hAnsi="Garamond" w:cs="Garamond"/>
                <w:sz w:val="28"/>
                <w:szCs w:val="28"/>
                <w:lang w:val="en-US" w:eastAsia="en-US"/>
              </w:rPr>
              <w:t>etting a motor insurance policy.</w:t>
            </w:r>
          </w:p>
          <w:p w14:paraId="327E8F87" w14:textId="77777777" w:rsidR="005D330F" w:rsidRDefault="005D330F" w:rsidP="00675276">
            <w:pPr>
              <w:autoSpaceDE w:val="0"/>
              <w:autoSpaceDN w:val="0"/>
              <w:adjustRightInd w:val="0"/>
              <w:spacing w:line="240" w:lineRule="atLeast"/>
              <w:ind w:left="601" w:hanging="283"/>
              <w:jc w:val="both"/>
              <w:rPr>
                <w:rFonts w:ascii="Garamond" w:eastAsia="Calibri" w:hAnsi="Garamond" w:cs="Garamond"/>
                <w:sz w:val="28"/>
                <w:szCs w:val="28"/>
                <w:lang w:val="en-US" w:eastAsia="en-US"/>
              </w:rPr>
            </w:pPr>
            <w:r>
              <w:rPr>
                <w:rFonts w:ascii="Garamond" w:eastAsia="Calibri" w:hAnsi="Garamond" w:cs="Garamond"/>
                <w:sz w:val="28"/>
                <w:szCs w:val="28"/>
                <w:lang w:val="en-US" w:eastAsia="en-US"/>
              </w:rPr>
              <w:t>c</w:t>
            </w:r>
            <w:r w:rsidRPr="009C0961">
              <w:rPr>
                <w:rFonts w:ascii="Garamond" w:eastAsia="Calibri" w:hAnsi="Garamond" w:cs="Garamond"/>
                <w:sz w:val="28"/>
                <w:szCs w:val="28"/>
                <w:lang w:val="en-US" w:eastAsia="en-US"/>
              </w:rPr>
              <w:t>) George decided that he didn't need a health insurance policy because he had always been in good</w:t>
            </w:r>
            <w:r>
              <w:rPr>
                <w:rFonts w:ascii="Garamond" w:eastAsia="Calibri" w:hAnsi="Garamond" w:cs="Garamond"/>
                <w:sz w:val="28"/>
                <w:szCs w:val="28"/>
                <w:lang w:val="en-US" w:eastAsia="en-US"/>
              </w:rPr>
              <w:t xml:space="preserve"> health.</w:t>
            </w:r>
          </w:p>
          <w:p w14:paraId="3C55057C" w14:textId="77777777" w:rsidR="005D330F" w:rsidRPr="009C0961" w:rsidRDefault="005D330F" w:rsidP="00675276">
            <w:pPr>
              <w:autoSpaceDE w:val="0"/>
              <w:autoSpaceDN w:val="0"/>
              <w:adjustRightInd w:val="0"/>
              <w:spacing w:line="240" w:lineRule="atLeast"/>
              <w:ind w:left="601" w:hanging="283"/>
              <w:jc w:val="both"/>
              <w:rPr>
                <w:rFonts w:ascii="Garamond" w:eastAsia="Calibri" w:hAnsi="Garamond" w:cs="Garamond"/>
                <w:sz w:val="28"/>
                <w:szCs w:val="28"/>
                <w:lang w:val="en-US" w:eastAsia="en-US"/>
              </w:rPr>
            </w:pPr>
            <w:r>
              <w:rPr>
                <w:rFonts w:ascii="Garamond" w:eastAsia="Calibri" w:hAnsi="Garamond" w:cs="Garamond"/>
                <w:sz w:val="28"/>
                <w:szCs w:val="28"/>
                <w:lang w:val="en-US" w:eastAsia="en-US"/>
              </w:rPr>
              <w:t>d</w:t>
            </w:r>
            <w:r w:rsidRPr="009C0961">
              <w:rPr>
                <w:rFonts w:ascii="Garamond" w:eastAsia="Calibri" w:hAnsi="Garamond" w:cs="Garamond"/>
                <w:sz w:val="28"/>
                <w:szCs w:val="28"/>
                <w:lang w:val="en-US" w:eastAsia="en-US"/>
              </w:rPr>
              <w:t>) The company stopped producing new medicine because of its negative side effects.</w:t>
            </w:r>
          </w:p>
        </w:tc>
      </w:tr>
    </w:tbl>
    <w:p w14:paraId="7E3A5AD0" w14:textId="77777777" w:rsidR="00FB375D" w:rsidRPr="009C0961" w:rsidRDefault="00FB375D" w:rsidP="009C0961">
      <w:pPr>
        <w:autoSpaceDE w:val="0"/>
        <w:autoSpaceDN w:val="0"/>
        <w:adjustRightInd w:val="0"/>
        <w:spacing w:line="240" w:lineRule="atLeast"/>
        <w:ind w:firstLine="357"/>
        <w:jc w:val="both"/>
        <w:rPr>
          <w:rFonts w:cs="Garamond"/>
          <w:sz w:val="28"/>
          <w:szCs w:val="28"/>
          <w:lang w:val="en-US" w:eastAsia="ru-RU"/>
        </w:rPr>
      </w:pPr>
    </w:p>
    <w:p w14:paraId="1FBAEC87" w14:textId="77777777" w:rsidR="00FB375D" w:rsidRPr="009C0961"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In which of the following examples insurance company has the right to refuse pa</w:t>
      </w:r>
      <w:r w:rsidR="005D330F">
        <w:rPr>
          <w:rFonts w:ascii="Garamond" w:hAnsi="Garamond"/>
          <w:szCs w:val="28"/>
          <w:lang w:val="en-US" w:eastAsia="ru-RU"/>
        </w:rPr>
        <w:t>yment of insurance compensation?</w:t>
      </w:r>
    </w:p>
    <w:p w14:paraId="6110C065" w14:textId="77777777" w:rsidR="00FB375D" w:rsidRPr="009C0961" w:rsidRDefault="00FB375D" w:rsidP="006F749C">
      <w:pPr>
        <w:pStyle w:val="ListParagraph"/>
        <w:numPr>
          <w:ilvl w:val="0"/>
          <w:numId w:val="210"/>
        </w:numPr>
        <w:autoSpaceDE w:val="0"/>
        <w:autoSpaceDN w:val="0"/>
        <w:adjustRightInd w:val="0"/>
        <w:spacing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Jim has a health insurance contract; he didn’t notify his insurer that his mother died in a car accident.</w:t>
      </w:r>
    </w:p>
    <w:p w14:paraId="5AB1DC39" w14:textId="77777777" w:rsidR="00FB375D" w:rsidRPr="009C0961" w:rsidRDefault="005D330F" w:rsidP="006F749C">
      <w:pPr>
        <w:pStyle w:val="ListParagraph"/>
        <w:numPr>
          <w:ilvl w:val="0"/>
          <w:numId w:val="210"/>
        </w:numPr>
        <w:autoSpaceDE w:val="0"/>
        <w:autoSpaceDN w:val="0"/>
        <w:adjustRightInd w:val="0"/>
        <w:spacing w:line="240" w:lineRule="atLeast"/>
        <w:ind w:left="851"/>
        <w:jc w:val="both"/>
        <w:rPr>
          <w:rFonts w:ascii="Garamond" w:hAnsi="Garamond" w:cs="Garamond"/>
          <w:szCs w:val="28"/>
          <w:lang w:val="en-US" w:eastAsia="ru-RU"/>
        </w:rPr>
      </w:pPr>
      <w:r>
        <w:rPr>
          <w:rFonts w:ascii="Garamond" w:hAnsi="Garamond" w:cs="Garamond"/>
          <w:szCs w:val="28"/>
          <w:lang w:val="en-US" w:eastAsia="ru-RU"/>
        </w:rPr>
        <w:t>George’s car is insured. I</w:t>
      </w:r>
      <w:r w:rsidR="00FB375D" w:rsidRPr="009C0961">
        <w:rPr>
          <w:rFonts w:ascii="Garamond" w:hAnsi="Garamond" w:cs="Garamond"/>
          <w:szCs w:val="28"/>
          <w:lang w:val="en-US" w:eastAsia="ru-RU"/>
        </w:rPr>
        <w:t>t was hijacked from the parking lot. In the evening, when the car was hijacked, George was drunk.</w:t>
      </w:r>
      <w:r w:rsidR="00FB375D" w:rsidRPr="009C0961">
        <w:rPr>
          <w:rFonts w:ascii="Garamond" w:hAnsi="Garamond"/>
          <w:color w:val="auto"/>
          <w:szCs w:val="28"/>
        </w:rPr>
        <w:t xml:space="preserve"> </w:t>
      </w:r>
    </w:p>
    <w:p w14:paraId="745A685F" w14:textId="77777777" w:rsidR="00FB375D" w:rsidRPr="009C0961" w:rsidRDefault="00FB375D" w:rsidP="006F749C">
      <w:pPr>
        <w:pStyle w:val="ListParagraph"/>
        <w:numPr>
          <w:ilvl w:val="0"/>
          <w:numId w:val="210"/>
        </w:numPr>
        <w:autoSpaceDE w:val="0"/>
        <w:autoSpaceDN w:val="0"/>
        <w:adjustRightInd w:val="0"/>
        <w:spacing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Anna’s house is insured against fire and natural disaster risks. While Anna was sleeping, her house was burglarized.</w:t>
      </w:r>
    </w:p>
    <w:p w14:paraId="4B62F368" w14:textId="77777777" w:rsidR="00FB375D" w:rsidRPr="009C0961" w:rsidRDefault="00FB375D" w:rsidP="006F749C">
      <w:pPr>
        <w:pStyle w:val="ListParagraph"/>
        <w:numPr>
          <w:ilvl w:val="0"/>
          <w:numId w:val="210"/>
        </w:numPr>
        <w:autoSpaceDE w:val="0"/>
        <w:autoSpaceDN w:val="0"/>
        <w:adjustRightInd w:val="0"/>
        <w:spacing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Lucas has a life insurance policy. He didn’t mention in the insurer’s questionnaire about his hereditary diseases.</w:t>
      </w:r>
    </w:p>
    <w:p w14:paraId="2E20B007" w14:textId="77777777" w:rsidR="00FB375D" w:rsidRPr="009C0961" w:rsidRDefault="00FB375D" w:rsidP="006F749C">
      <w:pPr>
        <w:pStyle w:val="ListParagraph"/>
        <w:numPr>
          <w:ilvl w:val="0"/>
          <w:numId w:val="210"/>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 xml:space="preserve">Andrew’s house is insured against fire and natural disaster risks. Andrew was </w:t>
      </w:r>
      <w:r w:rsidR="005D330F">
        <w:rPr>
          <w:rFonts w:ascii="Garamond" w:hAnsi="Garamond" w:cs="Garamond"/>
          <w:szCs w:val="28"/>
          <w:lang w:val="en-US" w:eastAsia="ru-RU"/>
        </w:rPr>
        <w:t>short</w:t>
      </w:r>
      <w:r w:rsidRPr="009C0961">
        <w:rPr>
          <w:rFonts w:ascii="Garamond" w:hAnsi="Garamond" w:cs="Garamond"/>
          <w:szCs w:val="28"/>
          <w:lang w:val="en-US" w:eastAsia="ru-RU"/>
        </w:rPr>
        <w:t xml:space="preserve"> of money, so he asked his neighbor to set fire to the house to get the insurance indemnity.</w:t>
      </w:r>
    </w:p>
    <w:p w14:paraId="370DCED1" w14:textId="77777777" w:rsidR="00FB375D" w:rsidRPr="009C0961" w:rsidRDefault="00FB375D" w:rsidP="006F749C">
      <w:pPr>
        <w:pStyle w:val="ListParagraph"/>
        <w:numPr>
          <w:ilvl w:val="0"/>
          <w:numId w:val="210"/>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Maxim broke his leg. He has a casualty insurance policy. Maxim would not have broken his leg if he had not got drunk at the party.</w:t>
      </w:r>
    </w:p>
    <w:p w14:paraId="27C3EC56" w14:textId="77777777" w:rsidR="009C0961" w:rsidRDefault="00FB375D" w:rsidP="006F749C">
      <w:pPr>
        <w:pStyle w:val="ListParagraph"/>
        <w:numPr>
          <w:ilvl w:val="0"/>
          <w:numId w:val="210"/>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Victor's insurance contract was valid until March 17. He decided to renew the contract and paid the insurance premium on March 19. Insurance company received money on March 21. The insured event occurred on March 20.</w:t>
      </w:r>
    </w:p>
    <w:p w14:paraId="224E72DD" w14:textId="77777777" w:rsidR="00FB375D" w:rsidRPr="009C0961" w:rsidRDefault="00FB375D" w:rsidP="009C0961">
      <w:pPr>
        <w:pStyle w:val="ListParagraph"/>
        <w:autoSpaceDE w:val="0"/>
        <w:autoSpaceDN w:val="0"/>
        <w:adjustRightInd w:val="0"/>
        <w:spacing w:after="0" w:line="240" w:lineRule="atLeast"/>
        <w:ind w:left="851"/>
        <w:jc w:val="both"/>
        <w:rPr>
          <w:rFonts w:ascii="Garamond" w:hAnsi="Garamond" w:cs="Garamond"/>
          <w:szCs w:val="28"/>
          <w:lang w:val="en-US" w:eastAsia="ru-RU"/>
        </w:rPr>
      </w:pPr>
    </w:p>
    <w:p w14:paraId="36995709" w14:textId="77777777" w:rsidR="00FB375D" w:rsidRPr="009C0961"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Classify each of the following types of insurance under “compulsory insurance” and “non-compulsory insurance” according to the Ukrainian legislation:</w:t>
      </w:r>
    </w:p>
    <w:p w14:paraId="33ACCA70"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life insurance;</w:t>
      </w:r>
    </w:p>
    <w:p w14:paraId="06DF002F"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automobile liability insurance;</w:t>
      </w:r>
    </w:p>
    <w:p w14:paraId="3416C837"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financial risks insurance;</w:t>
      </w:r>
    </w:p>
    <w:p w14:paraId="690BC836"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mortgage insurance;</w:t>
      </w:r>
    </w:p>
    <w:p w14:paraId="040C9E7B"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third party liability insurance;</w:t>
      </w:r>
    </w:p>
    <w:p w14:paraId="73288682"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 xml:space="preserve">fire and natural disasters insurance; </w:t>
      </w:r>
    </w:p>
    <w:p w14:paraId="74BD2169"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spacecraft liability insurance;</w:t>
      </w:r>
    </w:p>
    <w:p w14:paraId="16B7A079"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marine insurance;</w:t>
      </w:r>
    </w:p>
    <w:p w14:paraId="1D940804"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casualty insurance;</w:t>
      </w:r>
    </w:p>
    <w:p w14:paraId="530454EC" w14:textId="77777777" w:rsidR="00FB375D" w:rsidRPr="009C0961" w:rsidRDefault="00FB375D" w:rsidP="006F749C">
      <w:pPr>
        <w:pStyle w:val="ListParagraph"/>
        <w:numPr>
          <w:ilvl w:val="0"/>
          <w:numId w:val="211"/>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dog owner liability insurance.</w:t>
      </w:r>
    </w:p>
    <w:p w14:paraId="683AC8E9" w14:textId="77777777" w:rsidR="00FB375D" w:rsidRPr="009C0961"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lastRenderedPageBreak/>
        <w:t>The property is insured against fire and natural disasters for 60 000 UAH. The insurance policy has a clause of the ordinary deductible of 10</w:t>
      </w:r>
      <w:r w:rsidR="005D330F">
        <w:rPr>
          <w:rFonts w:ascii="Garamond" w:hAnsi="Garamond"/>
          <w:szCs w:val="28"/>
          <w:lang w:val="en-US" w:eastAsia="ru-RU"/>
        </w:rPr>
        <w:t xml:space="preserve"> </w:t>
      </w:r>
      <w:r w:rsidRPr="009C0961">
        <w:rPr>
          <w:rFonts w:ascii="Garamond" w:hAnsi="Garamond"/>
          <w:szCs w:val="28"/>
          <w:lang w:val="en-US" w:eastAsia="ru-RU"/>
        </w:rPr>
        <w:t xml:space="preserve">%. What will be the amount of insurance compensation, if the damage caused by the flood is assessed </w:t>
      </w:r>
      <w:r w:rsidR="005D330F">
        <w:rPr>
          <w:rFonts w:ascii="Garamond" w:hAnsi="Garamond"/>
          <w:szCs w:val="28"/>
          <w:lang w:val="en-US" w:eastAsia="ru-RU"/>
        </w:rPr>
        <w:t>as follows</w:t>
      </w:r>
      <w:r w:rsidRPr="009C0961">
        <w:rPr>
          <w:rFonts w:ascii="Garamond" w:hAnsi="Garamond"/>
          <w:szCs w:val="28"/>
          <w:lang w:val="en-US" w:eastAsia="ru-RU"/>
        </w:rPr>
        <w:t>:</w:t>
      </w:r>
    </w:p>
    <w:p w14:paraId="323A710E" w14:textId="77777777" w:rsidR="00FB375D" w:rsidRPr="009C0961" w:rsidRDefault="00FB375D" w:rsidP="006F749C">
      <w:pPr>
        <w:pStyle w:val="ListParagraph"/>
        <w:numPr>
          <w:ilvl w:val="0"/>
          <w:numId w:val="212"/>
        </w:numPr>
        <w:autoSpaceDE w:val="0"/>
        <w:autoSpaceDN w:val="0"/>
        <w:adjustRightInd w:val="0"/>
        <w:spacing w:after="0" w:line="240" w:lineRule="atLeast"/>
        <w:ind w:left="850" w:hanging="357"/>
        <w:jc w:val="both"/>
        <w:rPr>
          <w:rFonts w:ascii="Garamond" w:hAnsi="Garamond" w:cs="Garamond"/>
          <w:szCs w:val="28"/>
          <w:lang w:val="en-US" w:eastAsia="ru-RU"/>
        </w:rPr>
      </w:pPr>
      <w:r w:rsidRPr="009C0961">
        <w:rPr>
          <w:rFonts w:ascii="Garamond" w:hAnsi="Garamond" w:cs="Garamond"/>
          <w:szCs w:val="28"/>
          <w:lang w:val="en-US" w:eastAsia="ru-RU"/>
        </w:rPr>
        <w:t>9 700 UAH;</w:t>
      </w:r>
    </w:p>
    <w:p w14:paraId="070FFAD5" w14:textId="77777777" w:rsidR="00FB375D" w:rsidRPr="009C0961" w:rsidRDefault="00FB375D" w:rsidP="006F749C">
      <w:pPr>
        <w:pStyle w:val="ListParagraph"/>
        <w:numPr>
          <w:ilvl w:val="0"/>
          <w:numId w:val="212"/>
        </w:numPr>
        <w:autoSpaceDE w:val="0"/>
        <w:autoSpaceDN w:val="0"/>
        <w:adjustRightInd w:val="0"/>
        <w:spacing w:after="0" w:line="240" w:lineRule="atLeast"/>
        <w:ind w:left="850" w:hanging="357"/>
        <w:jc w:val="both"/>
        <w:rPr>
          <w:rFonts w:ascii="Garamond" w:hAnsi="Garamond" w:cs="Garamond"/>
          <w:szCs w:val="28"/>
          <w:lang w:val="en-US" w:eastAsia="ru-RU"/>
        </w:rPr>
      </w:pPr>
      <w:r w:rsidRPr="009C0961">
        <w:rPr>
          <w:rFonts w:ascii="Garamond" w:hAnsi="Garamond" w:cs="Garamond"/>
          <w:szCs w:val="28"/>
          <w:lang w:val="en-US" w:eastAsia="ru-RU"/>
        </w:rPr>
        <w:t>5 500 UAH.</w:t>
      </w:r>
    </w:p>
    <w:p w14:paraId="0B168191" w14:textId="77777777" w:rsidR="00FB375D" w:rsidRPr="009C0961" w:rsidRDefault="00FB375D" w:rsidP="009C0961">
      <w:pPr>
        <w:spacing w:line="240" w:lineRule="atLeast"/>
        <w:ind w:firstLine="357"/>
        <w:jc w:val="both"/>
        <w:rPr>
          <w:rFonts w:cs="Garamond"/>
          <w:sz w:val="28"/>
          <w:szCs w:val="28"/>
          <w:lang w:val="en-US" w:eastAsia="ru-RU"/>
        </w:rPr>
      </w:pPr>
    </w:p>
    <w:p w14:paraId="79755663" w14:textId="77777777" w:rsidR="00FB375D" w:rsidRPr="009C0961"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The car is insured for 32 000 UAH. The insurance policy has a clause of 3</w:t>
      </w:r>
      <w:r w:rsidR="005D330F">
        <w:rPr>
          <w:rFonts w:ascii="Garamond" w:hAnsi="Garamond"/>
          <w:szCs w:val="28"/>
          <w:lang w:val="en-US" w:eastAsia="ru-RU"/>
        </w:rPr>
        <w:t xml:space="preserve"> </w:t>
      </w:r>
      <w:r w:rsidRPr="009C0961">
        <w:rPr>
          <w:rFonts w:ascii="Garamond" w:hAnsi="Garamond"/>
          <w:szCs w:val="28"/>
          <w:lang w:val="en-US" w:eastAsia="ru-RU"/>
        </w:rPr>
        <w:t xml:space="preserve">% franchise deductible. What will be the amount of insurance compensation if the loss of policyholder is assessed </w:t>
      </w:r>
      <w:r w:rsidR="005D330F">
        <w:rPr>
          <w:rFonts w:ascii="Garamond" w:hAnsi="Garamond"/>
          <w:szCs w:val="28"/>
          <w:lang w:val="en-US" w:eastAsia="ru-RU"/>
        </w:rPr>
        <w:t>as follows</w:t>
      </w:r>
      <w:r w:rsidRPr="009C0961">
        <w:rPr>
          <w:rFonts w:ascii="Garamond" w:hAnsi="Garamond"/>
          <w:szCs w:val="28"/>
          <w:lang w:val="en-US" w:eastAsia="ru-RU"/>
        </w:rPr>
        <w:t>:</w:t>
      </w:r>
    </w:p>
    <w:p w14:paraId="25801571" w14:textId="77777777" w:rsidR="00FB375D" w:rsidRPr="009C0961" w:rsidRDefault="00FB375D" w:rsidP="006F749C">
      <w:pPr>
        <w:pStyle w:val="ListParagraph"/>
        <w:numPr>
          <w:ilvl w:val="0"/>
          <w:numId w:val="213"/>
        </w:numPr>
        <w:autoSpaceDE w:val="0"/>
        <w:autoSpaceDN w:val="0"/>
        <w:adjustRightInd w:val="0"/>
        <w:spacing w:after="0" w:line="240" w:lineRule="atLeast"/>
        <w:ind w:left="850" w:hanging="357"/>
        <w:jc w:val="both"/>
        <w:rPr>
          <w:rFonts w:ascii="Garamond" w:hAnsi="Garamond" w:cs="Garamond"/>
          <w:szCs w:val="28"/>
          <w:lang w:val="en-US" w:eastAsia="ru-RU"/>
        </w:rPr>
      </w:pPr>
      <w:r w:rsidRPr="009C0961">
        <w:rPr>
          <w:rFonts w:ascii="Garamond" w:hAnsi="Garamond" w:cs="Garamond"/>
          <w:szCs w:val="28"/>
          <w:lang w:val="en-US" w:eastAsia="ru-RU"/>
        </w:rPr>
        <w:t>600 UAH;</w:t>
      </w:r>
    </w:p>
    <w:p w14:paraId="3DC36518" w14:textId="77777777" w:rsidR="00FB375D" w:rsidRPr="009C0961" w:rsidRDefault="00FB375D" w:rsidP="006F749C">
      <w:pPr>
        <w:pStyle w:val="ListParagraph"/>
        <w:numPr>
          <w:ilvl w:val="0"/>
          <w:numId w:val="213"/>
        </w:numPr>
        <w:autoSpaceDE w:val="0"/>
        <w:autoSpaceDN w:val="0"/>
        <w:adjustRightInd w:val="0"/>
        <w:spacing w:after="0" w:line="240" w:lineRule="atLeast"/>
        <w:ind w:left="850" w:hanging="357"/>
        <w:jc w:val="both"/>
        <w:rPr>
          <w:rFonts w:ascii="Garamond" w:hAnsi="Garamond" w:cs="Garamond"/>
          <w:szCs w:val="28"/>
          <w:lang w:val="en-US" w:eastAsia="ru-RU"/>
        </w:rPr>
      </w:pPr>
      <w:r w:rsidRPr="009C0961">
        <w:rPr>
          <w:rFonts w:ascii="Garamond" w:hAnsi="Garamond" w:cs="Garamond"/>
          <w:szCs w:val="28"/>
          <w:lang w:val="en-US" w:eastAsia="ru-RU"/>
        </w:rPr>
        <w:t>2 000 UAH.</w:t>
      </w:r>
    </w:p>
    <w:p w14:paraId="0C0A29C8" w14:textId="77777777" w:rsidR="00FB375D" w:rsidRPr="009C0961" w:rsidRDefault="00FB375D" w:rsidP="009C0961">
      <w:pPr>
        <w:spacing w:line="240" w:lineRule="atLeast"/>
        <w:ind w:firstLine="357"/>
        <w:jc w:val="both"/>
        <w:rPr>
          <w:rFonts w:cs="Garamond"/>
          <w:sz w:val="28"/>
          <w:szCs w:val="28"/>
          <w:lang w:val="en-US" w:eastAsia="ru-RU"/>
        </w:rPr>
      </w:pPr>
    </w:p>
    <w:p w14:paraId="7CF18BE2" w14:textId="77777777" w:rsidR="00FB375D" w:rsidRPr="009C0961"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9C0961">
        <w:rPr>
          <w:rFonts w:ascii="Garamond" w:hAnsi="Garamond"/>
          <w:szCs w:val="28"/>
          <w:lang w:val="en-US" w:eastAsia="ru-RU"/>
        </w:rPr>
        <w:t xml:space="preserve">The property of ABC Company is insured. Some of the factory premises were damaged because of an industrial accident. The value of property, sum insured and amount of loss are given in </w:t>
      </w:r>
      <w:r w:rsidR="00A502F0">
        <w:rPr>
          <w:rFonts w:ascii="Garamond" w:hAnsi="Garamond"/>
          <w:szCs w:val="28"/>
          <w:lang w:val="en-US" w:eastAsia="ru-RU"/>
        </w:rPr>
        <w:t>the box below</w:t>
      </w:r>
      <w:r w:rsidRPr="009C0961">
        <w:rPr>
          <w:rFonts w:ascii="Garamond" w:hAnsi="Garamond"/>
          <w:szCs w:val="28"/>
          <w:lang w:val="en-US" w:eastAsia="ru-RU"/>
        </w:rPr>
        <w:t>. Calculate the total amount payable. Use pro rata condition of average if necessary.</w:t>
      </w:r>
    </w:p>
    <w:p w14:paraId="59906013" w14:textId="77777777" w:rsidR="00A502F0" w:rsidRDefault="00A502F0" w:rsidP="009C0961">
      <w:pPr>
        <w:spacing w:line="240" w:lineRule="atLeast"/>
        <w:ind w:firstLine="357"/>
        <w:jc w:val="center"/>
        <w:rPr>
          <w:rFonts w:cs="Garamond"/>
          <w:b/>
          <w:sz w:val="28"/>
          <w:szCs w:val="28"/>
          <w:lang w:val="en-US" w:eastAsia="ru-RU"/>
        </w:rPr>
      </w:pPr>
    </w:p>
    <w:p w14:paraId="12C2A63A" w14:textId="77777777" w:rsidR="00FB375D" w:rsidRPr="009C0961" w:rsidRDefault="00FB375D" w:rsidP="009C0961">
      <w:pPr>
        <w:spacing w:line="240" w:lineRule="atLeast"/>
        <w:ind w:firstLine="357"/>
        <w:jc w:val="center"/>
        <w:rPr>
          <w:rFonts w:cs="Garamond"/>
          <w:b/>
          <w:sz w:val="28"/>
          <w:szCs w:val="28"/>
          <w:lang w:val="en-US" w:eastAsia="ru-RU"/>
        </w:rPr>
      </w:pPr>
      <w:r w:rsidRPr="009C0961">
        <w:rPr>
          <w:rFonts w:cs="Garamond"/>
          <w:b/>
          <w:sz w:val="28"/>
          <w:szCs w:val="28"/>
          <w:lang w:val="en-US" w:eastAsia="ru-RU"/>
        </w:rPr>
        <w:t>Initial data for calculation of insurance payment</w:t>
      </w:r>
    </w:p>
    <w:tbl>
      <w:tblPr>
        <w:tblStyle w:val="50"/>
        <w:tblW w:w="0" w:type="auto"/>
        <w:tblLook w:val="04A0" w:firstRow="1" w:lastRow="0" w:firstColumn="1" w:lastColumn="0" w:noHBand="0" w:noVBand="1"/>
      </w:tblPr>
      <w:tblGrid>
        <w:gridCol w:w="1923"/>
        <w:gridCol w:w="1923"/>
        <w:gridCol w:w="1923"/>
        <w:gridCol w:w="1924"/>
        <w:gridCol w:w="1924"/>
      </w:tblGrid>
      <w:tr w:rsidR="00FB375D" w:rsidRPr="009C0961" w14:paraId="3DD6E4F6" w14:textId="77777777" w:rsidTr="00A502F0">
        <w:tc>
          <w:tcPr>
            <w:tcW w:w="1923" w:type="dxa"/>
            <w:shd w:val="clear" w:color="auto" w:fill="D9D9D9" w:themeFill="background1" w:themeFillShade="D9"/>
            <w:vAlign w:val="center"/>
          </w:tcPr>
          <w:p w14:paraId="506FB312"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 xml:space="preserve">  Type of property</w:t>
            </w:r>
          </w:p>
        </w:tc>
        <w:tc>
          <w:tcPr>
            <w:tcW w:w="1923" w:type="dxa"/>
            <w:shd w:val="clear" w:color="auto" w:fill="D9D9D9" w:themeFill="background1" w:themeFillShade="D9"/>
            <w:vAlign w:val="center"/>
          </w:tcPr>
          <w:p w14:paraId="683595A0"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Value, UAH</w:t>
            </w:r>
          </w:p>
        </w:tc>
        <w:tc>
          <w:tcPr>
            <w:tcW w:w="1923" w:type="dxa"/>
            <w:shd w:val="clear" w:color="auto" w:fill="D9D9D9" w:themeFill="background1" w:themeFillShade="D9"/>
            <w:vAlign w:val="center"/>
          </w:tcPr>
          <w:p w14:paraId="6AB9FE07"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Sum insured, UAH</w:t>
            </w:r>
          </w:p>
        </w:tc>
        <w:tc>
          <w:tcPr>
            <w:tcW w:w="1924" w:type="dxa"/>
            <w:shd w:val="clear" w:color="auto" w:fill="D9D9D9" w:themeFill="background1" w:themeFillShade="D9"/>
            <w:vAlign w:val="center"/>
          </w:tcPr>
          <w:p w14:paraId="7C5349C0"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Loss, UAH</w:t>
            </w:r>
          </w:p>
        </w:tc>
        <w:tc>
          <w:tcPr>
            <w:tcW w:w="1924" w:type="dxa"/>
            <w:shd w:val="clear" w:color="auto" w:fill="D9D9D9" w:themeFill="background1" w:themeFillShade="D9"/>
            <w:vAlign w:val="center"/>
          </w:tcPr>
          <w:p w14:paraId="22414A94"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Amount payable, UAH</w:t>
            </w:r>
          </w:p>
        </w:tc>
      </w:tr>
      <w:tr w:rsidR="00FB375D" w:rsidRPr="009C0961" w14:paraId="696A8F02" w14:textId="77777777" w:rsidTr="00FB375D">
        <w:tc>
          <w:tcPr>
            <w:tcW w:w="1923" w:type="dxa"/>
            <w:vAlign w:val="center"/>
          </w:tcPr>
          <w:p w14:paraId="781A78FF" w14:textId="77777777" w:rsidR="00FB375D" w:rsidRPr="009C0961" w:rsidRDefault="00FB375D" w:rsidP="00A502F0">
            <w:pPr>
              <w:spacing w:line="240" w:lineRule="atLeast"/>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Office building</w:t>
            </w:r>
          </w:p>
        </w:tc>
        <w:tc>
          <w:tcPr>
            <w:tcW w:w="1923" w:type="dxa"/>
            <w:vAlign w:val="center"/>
          </w:tcPr>
          <w:p w14:paraId="2AA0C15B"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450 000</w:t>
            </w:r>
          </w:p>
        </w:tc>
        <w:tc>
          <w:tcPr>
            <w:tcW w:w="1923" w:type="dxa"/>
            <w:vAlign w:val="center"/>
          </w:tcPr>
          <w:p w14:paraId="74267721"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450 000</w:t>
            </w:r>
          </w:p>
        </w:tc>
        <w:tc>
          <w:tcPr>
            <w:tcW w:w="1924" w:type="dxa"/>
            <w:vAlign w:val="center"/>
          </w:tcPr>
          <w:p w14:paraId="02B51A3D"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20 000</w:t>
            </w:r>
          </w:p>
        </w:tc>
        <w:tc>
          <w:tcPr>
            <w:tcW w:w="1924" w:type="dxa"/>
            <w:vAlign w:val="center"/>
          </w:tcPr>
          <w:p w14:paraId="78BC4330"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r>
      <w:tr w:rsidR="00FB375D" w:rsidRPr="009C0961" w14:paraId="1B9366D7" w14:textId="77777777" w:rsidTr="00FB375D">
        <w:tc>
          <w:tcPr>
            <w:tcW w:w="1923" w:type="dxa"/>
            <w:vAlign w:val="center"/>
          </w:tcPr>
          <w:p w14:paraId="37FD3930" w14:textId="77777777" w:rsidR="00FB375D" w:rsidRPr="009C0961" w:rsidRDefault="00FB375D" w:rsidP="00A502F0">
            <w:pPr>
              <w:spacing w:line="240" w:lineRule="atLeast"/>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Warehouse</w:t>
            </w:r>
          </w:p>
        </w:tc>
        <w:tc>
          <w:tcPr>
            <w:tcW w:w="1923" w:type="dxa"/>
            <w:vAlign w:val="center"/>
          </w:tcPr>
          <w:p w14:paraId="0887AAC7"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200 000</w:t>
            </w:r>
          </w:p>
        </w:tc>
        <w:tc>
          <w:tcPr>
            <w:tcW w:w="1923" w:type="dxa"/>
            <w:vAlign w:val="center"/>
          </w:tcPr>
          <w:p w14:paraId="57AF3A95"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100 000</w:t>
            </w:r>
          </w:p>
        </w:tc>
        <w:tc>
          <w:tcPr>
            <w:tcW w:w="1924" w:type="dxa"/>
            <w:vAlign w:val="center"/>
          </w:tcPr>
          <w:p w14:paraId="786738FF"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170 000</w:t>
            </w:r>
          </w:p>
        </w:tc>
        <w:tc>
          <w:tcPr>
            <w:tcW w:w="1924" w:type="dxa"/>
            <w:vAlign w:val="center"/>
          </w:tcPr>
          <w:p w14:paraId="2B028ACB"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r>
      <w:tr w:rsidR="00FB375D" w:rsidRPr="009C0961" w14:paraId="1395CDB3" w14:textId="77777777" w:rsidTr="00FB375D">
        <w:tc>
          <w:tcPr>
            <w:tcW w:w="1923" w:type="dxa"/>
            <w:vAlign w:val="center"/>
          </w:tcPr>
          <w:p w14:paraId="00DCF876" w14:textId="77777777" w:rsidR="00FB375D" w:rsidRPr="009C0961" w:rsidRDefault="00FB375D" w:rsidP="00A502F0">
            <w:pPr>
              <w:spacing w:line="240" w:lineRule="atLeast"/>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Workshop</w:t>
            </w:r>
          </w:p>
        </w:tc>
        <w:tc>
          <w:tcPr>
            <w:tcW w:w="1923" w:type="dxa"/>
            <w:vAlign w:val="center"/>
          </w:tcPr>
          <w:p w14:paraId="38347CBE"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800 000</w:t>
            </w:r>
          </w:p>
        </w:tc>
        <w:tc>
          <w:tcPr>
            <w:tcW w:w="1923" w:type="dxa"/>
            <w:vAlign w:val="center"/>
          </w:tcPr>
          <w:p w14:paraId="50A24F81"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500 000</w:t>
            </w:r>
          </w:p>
        </w:tc>
        <w:tc>
          <w:tcPr>
            <w:tcW w:w="1924" w:type="dxa"/>
            <w:vAlign w:val="center"/>
          </w:tcPr>
          <w:p w14:paraId="7DD0DBEE"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340 000</w:t>
            </w:r>
          </w:p>
        </w:tc>
        <w:tc>
          <w:tcPr>
            <w:tcW w:w="1924" w:type="dxa"/>
            <w:vAlign w:val="center"/>
          </w:tcPr>
          <w:p w14:paraId="50923205"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r>
      <w:tr w:rsidR="00FB375D" w:rsidRPr="009C0961" w14:paraId="3ADC888D" w14:textId="77777777" w:rsidTr="00FB375D">
        <w:tc>
          <w:tcPr>
            <w:tcW w:w="1923" w:type="dxa"/>
            <w:vAlign w:val="center"/>
          </w:tcPr>
          <w:p w14:paraId="7501045F" w14:textId="77777777" w:rsidR="00FB375D" w:rsidRPr="009C0961" w:rsidRDefault="00FB375D" w:rsidP="00A502F0">
            <w:pPr>
              <w:spacing w:line="240" w:lineRule="atLeast"/>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Total</w:t>
            </w:r>
          </w:p>
        </w:tc>
        <w:tc>
          <w:tcPr>
            <w:tcW w:w="1923" w:type="dxa"/>
            <w:vAlign w:val="center"/>
          </w:tcPr>
          <w:p w14:paraId="4311A121"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923" w:type="dxa"/>
            <w:vAlign w:val="center"/>
          </w:tcPr>
          <w:p w14:paraId="165F4921"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924" w:type="dxa"/>
            <w:vAlign w:val="center"/>
          </w:tcPr>
          <w:p w14:paraId="60853E2B"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924" w:type="dxa"/>
            <w:vAlign w:val="center"/>
          </w:tcPr>
          <w:p w14:paraId="72AEE6E3"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r>
    </w:tbl>
    <w:p w14:paraId="396F6D41" w14:textId="77777777" w:rsidR="00FB375D" w:rsidRPr="009C0961" w:rsidRDefault="00FB375D" w:rsidP="009C0961">
      <w:pPr>
        <w:spacing w:line="240" w:lineRule="atLeast"/>
        <w:ind w:firstLine="357"/>
        <w:jc w:val="both"/>
        <w:rPr>
          <w:rFonts w:cs="Garamond"/>
          <w:sz w:val="28"/>
          <w:szCs w:val="28"/>
          <w:lang w:val="en-US" w:eastAsia="ru-RU"/>
        </w:rPr>
      </w:pPr>
    </w:p>
    <w:p w14:paraId="02BF1CE6" w14:textId="77777777" w:rsidR="00FB375D" w:rsidRPr="00A502F0"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A502F0">
        <w:rPr>
          <w:rFonts w:ascii="Garamond" w:hAnsi="Garamond"/>
          <w:szCs w:val="28"/>
          <w:lang w:val="en-US" w:eastAsia="ru-RU"/>
        </w:rPr>
        <w:t>Irina owns a retail store. She obtained a first-loss insurance policy for 400 000 UAH. The store was burglarized. Calculate the amount of compensation that Irina will receive from the insurance company if the loss</w:t>
      </w:r>
      <w:r w:rsidR="005D330F">
        <w:rPr>
          <w:rFonts w:ascii="Garamond" w:hAnsi="Garamond"/>
          <w:szCs w:val="28"/>
          <w:lang w:val="en-US" w:eastAsia="ru-RU"/>
        </w:rPr>
        <w:t xml:space="preserve"> was</w:t>
      </w:r>
      <w:r w:rsidRPr="00A502F0">
        <w:rPr>
          <w:rFonts w:ascii="Garamond" w:hAnsi="Garamond"/>
          <w:szCs w:val="28"/>
          <w:lang w:val="en-US" w:eastAsia="ru-RU"/>
        </w:rPr>
        <w:t xml:space="preserve"> assessed a</w:t>
      </w:r>
      <w:r w:rsidR="005D330F">
        <w:rPr>
          <w:rFonts w:ascii="Garamond" w:hAnsi="Garamond"/>
          <w:szCs w:val="28"/>
          <w:lang w:val="en-US" w:eastAsia="ru-RU"/>
        </w:rPr>
        <w:t>s follows</w:t>
      </w:r>
      <w:r w:rsidRPr="00A502F0">
        <w:rPr>
          <w:rFonts w:ascii="Garamond" w:hAnsi="Garamond"/>
          <w:szCs w:val="28"/>
          <w:lang w:val="en-US" w:eastAsia="ru-RU"/>
        </w:rPr>
        <w:t>:</w:t>
      </w:r>
    </w:p>
    <w:p w14:paraId="78C46590" w14:textId="77777777" w:rsidR="00FB375D" w:rsidRPr="009C0961" w:rsidRDefault="00FB375D" w:rsidP="006F749C">
      <w:pPr>
        <w:pStyle w:val="ListParagraph"/>
        <w:numPr>
          <w:ilvl w:val="0"/>
          <w:numId w:val="214"/>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250 000 UAH;</w:t>
      </w:r>
    </w:p>
    <w:p w14:paraId="2179467E" w14:textId="77777777" w:rsidR="00FB375D" w:rsidRPr="009C0961" w:rsidRDefault="00FB375D" w:rsidP="006F749C">
      <w:pPr>
        <w:pStyle w:val="ListParagraph"/>
        <w:numPr>
          <w:ilvl w:val="0"/>
          <w:numId w:val="214"/>
        </w:numPr>
        <w:autoSpaceDE w:val="0"/>
        <w:autoSpaceDN w:val="0"/>
        <w:adjustRightInd w:val="0"/>
        <w:spacing w:after="0" w:line="240" w:lineRule="atLeast"/>
        <w:ind w:left="850" w:hanging="357"/>
        <w:jc w:val="both"/>
        <w:rPr>
          <w:rFonts w:ascii="Garamond" w:hAnsi="Garamond" w:cs="Garamond"/>
          <w:szCs w:val="28"/>
          <w:lang w:val="en-US" w:eastAsia="ru-RU"/>
        </w:rPr>
      </w:pPr>
      <w:r w:rsidRPr="009C0961">
        <w:rPr>
          <w:rFonts w:ascii="Garamond" w:hAnsi="Garamond" w:cs="Garamond"/>
          <w:szCs w:val="28"/>
          <w:lang w:val="en-US" w:eastAsia="ru-RU"/>
        </w:rPr>
        <w:t>400 000 UAH;</w:t>
      </w:r>
    </w:p>
    <w:p w14:paraId="44921FDF" w14:textId="77777777" w:rsidR="00FB375D" w:rsidRPr="009C0961" w:rsidRDefault="00FB375D" w:rsidP="006F749C">
      <w:pPr>
        <w:pStyle w:val="ListParagraph"/>
        <w:numPr>
          <w:ilvl w:val="0"/>
          <w:numId w:val="214"/>
        </w:numPr>
        <w:autoSpaceDE w:val="0"/>
        <w:autoSpaceDN w:val="0"/>
        <w:adjustRightInd w:val="0"/>
        <w:spacing w:after="0" w:line="240" w:lineRule="atLeast"/>
        <w:ind w:left="850" w:hanging="357"/>
        <w:jc w:val="both"/>
        <w:rPr>
          <w:rFonts w:ascii="Garamond" w:hAnsi="Garamond" w:cs="Garamond"/>
          <w:szCs w:val="28"/>
          <w:lang w:val="en-US" w:eastAsia="ru-RU"/>
        </w:rPr>
      </w:pPr>
      <w:r w:rsidRPr="009C0961">
        <w:rPr>
          <w:rFonts w:ascii="Garamond" w:hAnsi="Garamond" w:cs="Garamond"/>
          <w:szCs w:val="28"/>
          <w:lang w:val="en-US" w:eastAsia="ru-RU"/>
        </w:rPr>
        <w:t>540 000 UAH.</w:t>
      </w:r>
    </w:p>
    <w:p w14:paraId="34DD8E85" w14:textId="77777777" w:rsidR="00FB375D" w:rsidRPr="009C0961" w:rsidRDefault="00FB375D" w:rsidP="009C0961">
      <w:pPr>
        <w:spacing w:line="240" w:lineRule="atLeast"/>
        <w:ind w:firstLine="357"/>
        <w:jc w:val="both"/>
        <w:rPr>
          <w:rFonts w:cs="Garamond"/>
          <w:sz w:val="28"/>
          <w:szCs w:val="28"/>
          <w:lang w:val="en-US" w:eastAsia="ru-RU"/>
        </w:rPr>
      </w:pPr>
    </w:p>
    <w:p w14:paraId="32B15C5C" w14:textId="77777777" w:rsidR="00FB375D" w:rsidRPr="00A502F0"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A502F0">
        <w:rPr>
          <w:rFonts w:ascii="Garamond" w:hAnsi="Garamond"/>
          <w:szCs w:val="28"/>
          <w:lang w:val="en-US" w:eastAsia="ru-RU"/>
        </w:rPr>
        <w:t>The property of “Eastern Farmers” is partially insured. Current market value of the property is 26 million UAH. The sum insured is 15 million UAH. The insurance contract has a clause of 6</w:t>
      </w:r>
      <w:r w:rsidR="0064449A">
        <w:rPr>
          <w:rFonts w:ascii="Garamond" w:hAnsi="Garamond"/>
          <w:szCs w:val="28"/>
          <w:lang w:val="en-US" w:eastAsia="ru-RU"/>
        </w:rPr>
        <w:t xml:space="preserve"> </w:t>
      </w:r>
      <w:r w:rsidRPr="00A502F0">
        <w:rPr>
          <w:rFonts w:ascii="Garamond" w:hAnsi="Garamond"/>
          <w:szCs w:val="28"/>
          <w:lang w:val="en-US" w:eastAsia="ru-RU"/>
        </w:rPr>
        <w:t>% deductible. Damages caused by the earthquake were assessed at 4 million UAH. Calculate the amount of insurance compensation.</w:t>
      </w:r>
    </w:p>
    <w:p w14:paraId="5930F94E" w14:textId="77777777" w:rsidR="00FB375D" w:rsidRPr="00A502F0" w:rsidRDefault="00FB375D" w:rsidP="00A502F0">
      <w:pPr>
        <w:pStyle w:val="ListParagraph"/>
        <w:spacing w:after="0" w:line="240" w:lineRule="atLeast"/>
        <w:ind w:left="426"/>
        <w:jc w:val="both"/>
        <w:rPr>
          <w:rFonts w:ascii="Garamond" w:hAnsi="Garamond"/>
          <w:szCs w:val="28"/>
          <w:lang w:val="en-US" w:eastAsia="ru-RU"/>
        </w:rPr>
      </w:pPr>
    </w:p>
    <w:p w14:paraId="46D914E7" w14:textId="77777777" w:rsidR="00FB375D" w:rsidRPr="00A502F0"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A502F0">
        <w:rPr>
          <w:rFonts w:ascii="Garamond" w:hAnsi="Garamond"/>
          <w:szCs w:val="28"/>
          <w:lang w:val="en-US" w:eastAsia="ru-RU"/>
        </w:rPr>
        <w:t>Four insurance companies participate pro rata in the nuclear insurance contract. Coinsurer’s shar</w:t>
      </w:r>
      <w:r w:rsidR="0064449A">
        <w:rPr>
          <w:rFonts w:ascii="Garamond" w:hAnsi="Garamond"/>
          <w:szCs w:val="28"/>
          <w:lang w:val="en-US" w:eastAsia="ru-RU"/>
        </w:rPr>
        <w:t>es are</w:t>
      </w:r>
      <w:r w:rsidRPr="00A502F0">
        <w:rPr>
          <w:rFonts w:ascii="Garamond" w:hAnsi="Garamond"/>
          <w:szCs w:val="28"/>
          <w:lang w:val="en-US" w:eastAsia="ru-RU"/>
        </w:rPr>
        <w:t xml:space="preserve"> </w:t>
      </w:r>
      <w:r w:rsidR="00675276">
        <w:rPr>
          <w:rFonts w:ascii="Garamond" w:hAnsi="Garamond"/>
          <w:szCs w:val="28"/>
          <w:lang w:val="en-US" w:eastAsia="ru-RU"/>
        </w:rPr>
        <w:t>(</w:t>
      </w:r>
      <w:r w:rsidRPr="00A502F0">
        <w:rPr>
          <w:rFonts w:ascii="Garamond" w:hAnsi="Garamond"/>
          <w:szCs w:val="28"/>
          <w:lang w:val="en-US" w:eastAsia="ru-RU"/>
        </w:rPr>
        <w:t>A</w:t>
      </w:r>
      <w:r w:rsidR="00675276">
        <w:rPr>
          <w:rFonts w:ascii="Garamond" w:hAnsi="Garamond"/>
          <w:szCs w:val="28"/>
          <w:lang w:val="en-US" w:eastAsia="ru-RU"/>
        </w:rPr>
        <w:t>)</w:t>
      </w:r>
      <w:r w:rsidRPr="00A502F0">
        <w:rPr>
          <w:rFonts w:ascii="Garamond" w:hAnsi="Garamond"/>
          <w:szCs w:val="28"/>
          <w:lang w:val="en-US" w:eastAsia="ru-RU"/>
        </w:rPr>
        <w:t xml:space="preserve"> – 40</w:t>
      </w:r>
      <w:r w:rsidR="0064449A">
        <w:rPr>
          <w:rFonts w:ascii="Garamond" w:hAnsi="Garamond"/>
          <w:szCs w:val="28"/>
          <w:lang w:val="en-US" w:eastAsia="ru-RU"/>
        </w:rPr>
        <w:t xml:space="preserve"> </w:t>
      </w:r>
      <w:r w:rsidRPr="00A502F0">
        <w:rPr>
          <w:rFonts w:ascii="Garamond" w:hAnsi="Garamond"/>
          <w:szCs w:val="28"/>
          <w:lang w:val="en-US" w:eastAsia="ru-RU"/>
        </w:rPr>
        <w:t>% (lead office)</w:t>
      </w:r>
      <w:r w:rsidR="0064449A">
        <w:rPr>
          <w:rFonts w:ascii="Garamond" w:hAnsi="Garamond"/>
          <w:szCs w:val="28"/>
          <w:lang w:val="en-US" w:eastAsia="ru-RU"/>
        </w:rPr>
        <w:t>,</w:t>
      </w:r>
      <w:r w:rsidRPr="00A502F0">
        <w:rPr>
          <w:rFonts w:ascii="Garamond" w:hAnsi="Garamond"/>
          <w:szCs w:val="28"/>
          <w:lang w:val="en-US" w:eastAsia="ru-RU"/>
        </w:rPr>
        <w:t xml:space="preserve"> </w:t>
      </w:r>
      <w:r w:rsidR="00675276">
        <w:rPr>
          <w:rFonts w:ascii="Garamond" w:hAnsi="Garamond"/>
          <w:szCs w:val="28"/>
          <w:lang w:val="en-US" w:eastAsia="ru-RU"/>
        </w:rPr>
        <w:t>(</w:t>
      </w:r>
      <w:r w:rsidRPr="00A502F0">
        <w:rPr>
          <w:rFonts w:ascii="Garamond" w:hAnsi="Garamond"/>
          <w:szCs w:val="28"/>
          <w:lang w:val="en-US" w:eastAsia="ru-RU"/>
        </w:rPr>
        <w:t>B</w:t>
      </w:r>
      <w:r w:rsidR="00675276">
        <w:rPr>
          <w:rFonts w:ascii="Garamond" w:hAnsi="Garamond"/>
          <w:szCs w:val="28"/>
          <w:lang w:val="en-US" w:eastAsia="ru-RU"/>
        </w:rPr>
        <w:t>)</w:t>
      </w:r>
      <w:r w:rsidRPr="00A502F0">
        <w:rPr>
          <w:rFonts w:ascii="Garamond" w:hAnsi="Garamond"/>
          <w:szCs w:val="28"/>
          <w:lang w:val="en-US" w:eastAsia="ru-RU"/>
        </w:rPr>
        <w:t xml:space="preserve"> – 25</w:t>
      </w:r>
      <w:r w:rsidR="0064449A">
        <w:rPr>
          <w:rFonts w:ascii="Garamond" w:hAnsi="Garamond"/>
          <w:szCs w:val="28"/>
          <w:lang w:val="en-US" w:eastAsia="ru-RU"/>
        </w:rPr>
        <w:t xml:space="preserve"> %,</w:t>
      </w:r>
      <w:r w:rsidRPr="00A502F0">
        <w:rPr>
          <w:rFonts w:ascii="Garamond" w:hAnsi="Garamond"/>
          <w:szCs w:val="28"/>
          <w:lang w:val="en-US" w:eastAsia="ru-RU"/>
        </w:rPr>
        <w:t xml:space="preserve"> </w:t>
      </w:r>
      <w:r w:rsidR="00675276">
        <w:rPr>
          <w:rFonts w:ascii="Garamond" w:hAnsi="Garamond"/>
          <w:szCs w:val="28"/>
          <w:lang w:val="en-US" w:eastAsia="ru-RU"/>
        </w:rPr>
        <w:t>(</w:t>
      </w:r>
      <w:r w:rsidRPr="00A502F0">
        <w:rPr>
          <w:rFonts w:ascii="Garamond" w:hAnsi="Garamond"/>
          <w:szCs w:val="28"/>
          <w:lang w:val="en-US" w:eastAsia="ru-RU"/>
        </w:rPr>
        <w:t>C</w:t>
      </w:r>
      <w:r w:rsidR="00675276">
        <w:rPr>
          <w:rFonts w:ascii="Garamond" w:hAnsi="Garamond"/>
          <w:szCs w:val="28"/>
          <w:lang w:val="en-US" w:eastAsia="ru-RU"/>
        </w:rPr>
        <w:t>)</w:t>
      </w:r>
      <w:r w:rsidRPr="00A502F0">
        <w:rPr>
          <w:rFonts w:ascii="Garamond" w:hAnsi="Garamond"/>
          <w:szCs w:val="28"/>
          <w:lang w:val="en-US" w:eastAsia="ru-RU"/>
        </w:rPr>
        <w:t xml:space="preserve"> – 15</w:t>
      </w:r>
      <w:r w:rsidR="0064449A">
        <w:rPr>
          <w:rFonts w:ascii="Garamond" w:hAnsi="Garamond"/>
          <w:szCs w:val="28"/>
          <w:lang w:val="en-US" w:eastAsia="ru-RU"/>
        </w:rPr>
        <w:t xml:space="preserve"> </w:t>
      </w:r>
      <w:r w:rsidRPr="00A502F0">
        <w:rPr>
          <w:rFonts w:ascii="Garamond" w:hAnsi="Garamond"/>
          <w:szCs w:val="28"/>
          <w:lang w:val="en-US" w:eastAsia="ru-RU"/>
        </w:rPr>
        <w:t>%</w:t>
      </w:r>
      <w:r w:rsidR="0064449A">
        <w:rPr>
          <w:rFonts w:ascii="Garamond" w:hAnsi="Garamond"/>
          <w:szCs w:val="28"/>
          <w:lang w:val="en-US" w:eastAsia="ru-RU"/>
        </w:rPr>
        <w:t>, and</w:t>
      </w:r>
      <w:r w:rsidRPr="00A502F0">
        <w:rPr>
          <w:rFonts w:ascii="Garamond" w:hAnsi="Garamond"/>
          <w:szCs w:val="28"/>
          <w:lang w:val="en-US" w:eastAsia="ru-RU"/>
        </w:rPr>
        <w:t xml:space="preserve"> </w:t>
      </w:r>
      <w:r w:rsidR="00675276">
        <w:rPr>
          <w:rFonts w:ascii="Garamond" w:hAnsi="Garamond"/>
          <w:szCs w:val="28"/>
          <w:lang w:val="en-US" w:eastAsia="ru-RU"/>
        </w:rPr>
        <w:t>(</w:t>
      </w:r>
      <w:r w:rsidRPr="00A502F0">
        <w:rPr>
          <w:rFonts w:ascii="Garamond" w:hAnsi="Garamond"/>
          <w:szCs w:val="28"/>
          <w:lang w:val="en-US" w:eastAsia="ru-RU"/>
        </w:rPr>
        <w:t>D</w:t>
      </w:r>
      <w:r w:rsidR="00675276">
        <w:rPr>
          <w:rFonts w:ascii="Garamond" w:hAnsi="Garamond"/>
          <w:szCs w:val="28"/>
          <w:lang w:val="en-US" w:eastAsia="ru-RU"/>
        </w:rPr>
        <w:t>)</w:t>
      </w:r>
      <w:r w:rsidRPr="00A502F0">
        <w:rPr>
          <w:rFonts w:ascii="Garamond" w:hAnsi="Garamond"/>
          <w:szCs w:val="28"/>
          <w:lang w:val="en-US" w:eastAsia="ru-RU"/>
        </w:rPr>
        <w:t xml:space="preserve"> – 20</w:t>
      </w:r>
      <w:r w:rsidR="0064449A">
        <w:rPr>
          <w:rFonts w:ascii="Garamond" w:hAnsi="Garamond"/>
          <w:szCs w:val="28"/>
          <w:lang w:val="en-US" w:eastAsia="ru-RU"/>
        </w:rPr>
        <w:t xml:space="preserve"> </w:t>
      </w:r>
      <w:r w:rsidRPr="00A502F0">
        <w:rPr>
          <w:rFonts w:ascii="Garamond" w:hAnsi="Garamond"/>
          <w:szCs w:val="28"/>
          <w:lang w:val="en-US" w:eastAsia="ru-RU"/>
        </w:rPr>
        <w:t>%. Sum insured is 350 billion UAH. Insurance rate is 1</w:t>
      </w:r>
      <w:r w:rsidR="00675276">
        <w:rPr>
          <w:rFonts w:ascii="Garamond" w:hAnsi="Garamond"/>
          <w:szCs w:val="28"/>
          <w:lang w:val="en-US" w:eastAsia="ru-RU"/>
        </w:rPr>
        <w:t>.</w:t>
      </w:r>
      <w:r w:rsidRPr="00A502F0">
        <w:rPr>
          <w:rFonts w:ascii="Garamond" w:hAnsi="Garamond"/>
          <w:szCs w:val="28"/>
          <w:lang w:val="en-US" w:eastAsia="ru-RU"/>
        </w:rPr>
        <w:t>8%; the lead office receives a lead office commission of 2</w:t>
      </w:r>
      <w:r w:rsidR="0064449A">
        <w:rPr>
          <w:rFonts w:ascii="Garamond" w:hAnsi="Garamond"/>
          <w:szCs w:val="28"/>
          <w:lang w:val="en-US" w:eastAsia="ru-RU"/>
        </w:rPr>
        <w:t xml:space="preserve"> </w:t>
      </w:r>
      <w:r w:rsidRPr="00A502F0">
        <w:rPr>
          <w:rFonts w:ascii="Garamond" w:hAnsi="Garamond"/>
          <w:szCs w:val="28"/>
          <w:lang w:val="en-US" w:eastAsia="ru-RU"/>
        </w:rPr>
        <w:t xml:space="preserve">% of the premium shares of the other </w:t>
      </w:r>
      <w:r w:rsidRPr="00A502F0">
        <w:rPr>
          <w:rFonts w:ascii="Garamond" w:hAnsi="Garamond"/>
          <w:szCs w:val="28"/>
          <w:lang w:val="en-US" w:eastAsia="ru-RU"/>
        </w:rPr>
        <w:lastRenderedPageBreak/>
        <w:t xml:space="preserve">coinsurers. Set up a schedule of distribution. Fill in the results of the calculations in the </w:t>
      </w:r>
      <w:r w:rsidR="00A502F0">
        <w:rPr>
          <w:rFonts w:ascii="Garamond" w:hAnsi="Garamond"/>
          <w:szCs w:val="28"/>
          <w:lang w:val="en-US" w:eastAsia="ru-RU"/>
        </w:rPr>
        <w:t>box below</w:t>
      </w:r>
      <w:r w:rsidRPr="00A502F0">
        <w:rPr>
          <w:rFonts w:ascii="Garamond" w:hAnsi="Garamond"/>
          <w:szCs w:val="28"/>
          <w:lang w:val="en-US" w:eastAsia="ru-RU"/>
        </w:rPr>
        <w:t>.</w:t>
      </w:r>
    </w:p>
    <w:p w14:paraId="1103CD85" w14:textId="77777777" w:rsidR="00FB375D" w:rsidRPr="009C0961" w:rsidRDefault="00FB375D" w:rsidP="009C0961">
      <w:pPr>
        <w:spacing w:line="240" w:lineRule="atLeast"/>
        <w:ind w:firstLine="357"/>
        <w:jc w:val="center"/>
        <w:rPr>
          <w:rFonts w:cs="Garamond"/>
          <w:b/>
          <w:sz w:val="28"/>
          <w:szCs w:val="28"/>
          <w:lang w:val="en-US" w:eastAsia="ru-RU"/>
        </w:rPr>
      </w:pPr>
      <w:r w:rsidRPr="009C0961">
        <w:rPr>
          <w:rFonts w:cs="Garamond"/>
          <w:b/>
          <w:sz w:val="28"/>
          <w:szCs w:val="28"/>
          <w:lang w:val="en-US" w:eastAsia="ru-RU"/>
        </w:rPr>
        <w:t>Distribution plan</w:t>
      </w:r>
    </w:p>
    <w:tbl>
      <w:tblPr>
        <w:tblStyle w:val="50"/>
        <w:tblW w:w="0" w:type="auto"/>
        <w:tblLook w:val="04A0" w:firstRow="1" w:lastRow="0" w:firstColumn="1" w:lastColumn="0" w:noHBand="0" w:noVBand="1"/>
      </w:tblPr>
      <w:tblGrid>
        <w:gridCol w:w="2018"/>
        <w:gridCol w:w="1450"/>
        <w:gridCol w:w="1329"/>
        <w:gridCol w:w="1608"/>
        <w:gridCol w:w="1602"/>
        <w:gridCol w:w="1608"/>
      </w:tblGrid>
      <w:tr w:rsidR="00FB375D" w:rsidRPr="009C0961" w14:paraId="56B28918" w14:textId="77777777" w:rsidTr="00A502F0">
        <w:tc>
          <w:tcPr>
            <w:tcW w:w="2018" w:type="dxa"/>
            <w:shd w:val="clear" w:color="auto" w:fill="D9D9D9" w:themeFill="background1" w:themeFillShade="D9"/>
            <w:vAlign w:val="center"/>
          </w:tcPr>
          <w:p w14:paraId="59F0147F"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Coinsurer</w:t>
            </w:r>
          </w:p>
        </w:tc>
        <w:tc>
          <w:tcPr>
            <w:tcW w:w="1450" w:type="dxa"/>
            <w:shd w:val="clear" w:color="auto" w:fill="D9D9D9" w:themeFill="background1" w:themeFillShade="D9"/>
            <w:vAlign w:val="center"/>
          </w:tcPr>
          <w:p w14:paraId="6A4F3A47"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Coinsurer’s share</w:t>
            </w:r>
          </w:p>
        </w:tc>
        <w:tc>
          <w:tcPr>
            <w:tcW w:w="1329" w:type="dxa"/>
            <w:shd w:val="clear" w:color="auto" w:fill="D9D9D9" w:themeFill="background1" w:themeFillShade="D9"/>
            <w:vAlign w:val="center"/>
          </w:tcPr>
          <w:p w14:paraId="7C7BB671"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Sum insured</w:t>
            </w:r>
          </w:p>
        </w:tc>
        <w:tc>
          <w:tcPr>
            <w:tcW w:w="1608" w:type="dxa"/>
            <w:shd w:val="clear" w:color="auto" w:fill="D9D9D9" w:themeFill="background1" w:themeFillShade="D9"/>
            <w:vAlign w:val="center"/>
          </w:tcPr>
          <w:p w14:paraId="31130889"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Premium (without commission)</w:t>
            </w:r>
          </w:p>
        </w:tc>
        <w:tc>
          <w:tcPr>
            <w:tcW w:w="1602" w:type="dxa"/>
            <w:shd w:val="clear" w:color="auto" w:fill="D9D9D9" w:themeFill="background1" w:themeFillShade="D9"/>
            <w:vAlign w:val="center"/>
          </w:tcPr>
          <w:p w14:paraId="423B306F"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Lead office commission</w:t>
            </w:r>
          </w:p>
        </w:tc>
        <w:tc>
          <w:tcPr>
            <w:tcW w:w="1608" w:type="dxa"/>
            <w:shd w:val="clear" w:color="auto" w:fill="D9D9D9" w:themeFill="background1" w:themeFillShade="D9"/>
            <w:vAlign w:val="center"/>
          </w:tcPr>
          <w:p w14:paraId="73BDE2CB" w14:textId="77777777" w:rsidR="00FB375D" w:rsidRPr="00A502F0" w:rsidRDefault="00FB375D" w:rsidP="00A502F0">
            <w:pPr>
              <w:spacing w:line="240" w:lineRule="atLeast"/>
              <w:jc w:val="center"/>
              <w:rPr>
                <w:rFonts w:ascii="Garamond" w:eastAsia="Calibri" w:hAnsi="Garamond" w:cs="Garamond"/>
                <w:sz w:val="28"/>
                <w:szCs w:val="28"/>
                <w:lang w:val="en-US" w:eastAsia="en-US"/>
              </w:rPr>
            </w:pPr>
            <w:r w:rsidRPr="00A502F0">
              <w:rPr>
                <w:rFonts w:ascii="Garamond" w:eastAsia="Calibri" w:hAnsi="Garamond" w:cs="Garamond"/>
                <w:sz w:val="28"/>
                <w:szCs w:val="28"/>
                <w:lang w:val="en-US" w:eastAsia="en-US"/>
              </w:rPr>
              <w:t>Premium (considering commission)</w:t>
            </w:r>
          </w:p>
        </w:tc>
      </w:tr>
      <w:tr w:rsidR="00FB375D" w:rsidRPr="009C0961" w14:paraId="415E9678" w14:textId="77777777" w:rsidTr="00A502F0">
        <w:tc>
          <w:tcPr>
            <w:tcW w:w="2018" w:type="dxa"/>
            <w:vAlign w:val="center"/>
          </w:tcPr>
          <w:p w14:paraId="1A424798" w14:textId="77777777" w:rsidR="00FB375D" w:rsidRPr="009C0961" w:rsidRDefault="00A502F0" w:rsidP="00A502F0">
            <w:pPr>
              <w:spacing w:line="240" w:lineRule="atLeast"/>
              <w:jc w:val="center"/>
              <w:rPr>
                <w:rFonts w:ascii="Garamond" w:eastAsia="Calibri" w:hAnsi="Garamond" w:cs="Garamond"/>
                <w:sz w:val="28"/>
                <w:szCs w:val="28"/>
                <w:lang w:val="en-US" w:eastAsia="en-US"/>
              </w:rPr>
            </w:pPr>
            <w:r>
              <w:rPr>
                <w:rFonts w:ascii="Garamond" w:eastAsia="Calibri" w:hAnsi="Garamond" w:cs="Garamond"/>
                <w:sz w:val="28"/>
                <w:szCs w:val="28"/>
                <w:lang w:val="en-US" w:eastAsia="en-US"/>
              </w:rPr>
              <w:t xml:space="preserve">A (lead </w:t>
            </w:r>
            <w:r w:rsidR="00FB375D" w:rsidRPr="009C0961">
              <w:rPr>
                <w:rFonts w:ascii="Garamond" w:eastAsia="Calibri" w:hAnsi="Garamond" w:cs="Garamond"/>
                <w:sz w:val="28"/>
                <w:szCs w:val="28"/>
                <w:lang w:val="en-US" w:eastAsia="en-US"/>
              </w:rPr>
              <w:t>office)</w:t>
            </w:r>
          </w:p>
        </w:tc>
        <w:tc>
          <w:tcPr>
            <w:tcW w:w="1450" w:type="dxa"/>
            <w:vAlign w:val="center"/>
          </w:tcPr>
          <w:p w14:paraId="7BC15EF1"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329" w:type="dxa"/>
            <w:vAlign w:val="center"/>
          </w:tcPr>
          <w:p w14:paraId="446443C1"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8" w:type="dxa"/>
            <w:vAlign w:val="center"/>
          </w:tcPr>
          <w:p w14:paraId="558814DC"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2" w:type="dxa"/>
            <w:vAlign w:val="center"/>
          </w:tcPr>
          <w:p w14:paraId="60951C47"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8" w:type="dxa"/>
            <w:vAlign w:val="center"/>
          </w:tcPr>
          <w:p w14:paraId="536AC042"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r>
      <w:tr w:rsidR="00FB375D" w:rsidRPr="009C0961" w14:paraId="38293A41" w14:textId="77777777" w:rsidTr="00A502F0">
        <w:tc>
          <w:tcPr>
            <w:tcW w:w="2018" w:type="dxa"/>
            <w:vAlign w:val="center"/>
          </w:tcPr>
          <w:p w14:paraId="64BF420C"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B</w:t>
            </w:r>
          </w:p>
        </w:tc>
        <w:tc>
          <w:tcPr>
            <w:tcW w:w="1450" w:type="dxa"/>
            <w:vAlign w:val="center"/>
          </w:tcPr>
          <w:p w14:paraId="1855B901"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329" w:type="dxa"/>
            <w:vAlign w:val="center"/>
          </w:tcPr>
          <w:p w14:paraId="2BA70B65"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8" w:type="dxa"/>
            <w:vAlign w:val="center"/>
          </w:tcPr>
          <w:p w14:paraId="426CE5BA"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2" w:type="dxa"/>
            <w:vAlign w:val="center"/>
          </w:tcPr>
          <w:p w14:paraId="66B5E7B6"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8" w:type="dxa"/>
            <w:vAlign w:val="center"/>
          </w:tcPr>
          <w:p w14:paraId="6B871478"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r>
      <w:tr w:rsidR="00FB375D" w:rsidRPr="009C0961" w14:paraId="0A8F20FD" w14:textId="77777777" w:rsidTr="00A502F0">
        <w:tc>
          <w:tcPr>
            <w:tcW w:w="2018" w:type="dxa"/>
            <w:vAlign w:val="center"/>
          </w:tcPr>
          <w:p w14:paraId="20AC906E"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C</w:t>
            </w:r>
          </w:p>
        </w:tc>
        <w:tc>
          <w:tcPr>
            <w:tcW w:w="1450" w:type="dxa"/>
            <w:vAlign w:val="center"/>
          </w:tcPr>
          <w:p w14:paraId="172D8403"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329" w:type="dxa"/>
            <w:vAlign w:val="center"/>
          </w:tcPr>
          <w:p w14:paraId="482E1578"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8" w:type="dxa"/>
            <w:vAlign w:val="center"/>
          </w:tcPr>
          <w:p w14:paraId="2AFA8725"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2" w:type="dxa"/>
            <w:vAlign w:val="center"/>
          </w:tcPr>
          <w:p w14:paraId="681F5527"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8" w:type="dxa"/>
            <w:vAlign w:val="center"/>
          </w:tcPr>
          <w:p w14:paraId="1512BAA6"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r>
      <w:tr w:rsidR="00FB375D" w:rsidRPr="009C0961" w14:paraId="0C6BC3BD" w14:textId="77777777" w:rsidTr="00A502F0">
        <w:tc>
          <w:tcPr>
            <w:tcW w:w="2018" w:type="dxa"/>
            <w:vAlign w:val="center"/>
          </w:tcPr>
          <w:p w14:paraId="2FF1439B" w14:textId="77777777" w:rsidR="00FB375D" w:rsidRPr="009C0961" w:rsidRDefault="00FB375D" w:rsidP="00A502F0">
            <w:pPr>
              <w:spacing w:line="240" w:lineRule="atLeast"/>
              <w:jc w:val="center"/>
              <w:rPr>
                <w:rFonts w:ascii="Garamond" w:eastAsia="Calibri" w:hAnsi="Garamond" w:cs="Garamond"/>
                <w:sz w:val="28"/>
                <w:szCs w:val="28"/>
                <w:lang w:val="en-US" w:eastAsia="en-US"/>
              </w:rPr>
            </w:pPr>
            <w:r w:rsidRPr="009C0961">
              <w:rPr>
                <w:rFonts w:ascii="Garamond" w:eastAsia="Calibri" w:hAnsi="Garamond" w:cs="Garamond"/>
                <w:sz w:val="28"/>
                <w:szCs w:val="28"/>
                <w:lang w:val="en-US" w:eastAsia="en-US"/>
              </w:rPr>
              <w:t>D</w:t>
            </w:r>
          </w:p>
        </w:tc>
        <w:tc>
          <w:tcPr>
            <w:tcW w:w="1450" w:type="dxa"/>
            <w:vAlign w:val="center"/>
          </w:tcPr>
          <w:p w14:paraId="55BB65E7"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329" w:type="dxa"/>
            <w:vAlign w:val="center"/>
          </w:tcPr>
          <w:p w14:paraId="11412B88"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8" w:type="dxa"/>
            <w:vAlign w:val="center"/>
          </w:tcPr>
          <w:p w14:paraId="0C2FC75E"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2" w:type="dxa"/>
            <w:vAlign w:val="center"/>
          </w:tcPr>
          <w:p w14:paraId="20001527"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c>
          <w:tcPr>
            <w:tcW w:w="1608" w:type="dxa"/>
            <w:vAlign w:val="center"/>
          </w:tcPr>
          <w:p w14:paraId="3E382EE4" w14:textId="77777777" w:rsidR="00FB375D" w:rsidRPr="009C0961" w:rsidRDefault="00FB375D" w:rsidP="00A502F0">
            <w:pPr>
              <w:spacing w:line="240" w:lineRule="atLeast"/>
              <w:jc w:val="center"/>
              <w:rPr>
                <w:rFonts w:ascii="Garamond" w:eastAsia="Calibri" w:hAnsi="Garamond" w:cs="Garamond"/>
                <w:sz w:val="28"/>
                <w:szCs w:val="28"/>
                <w:lang w:val="en-US" w:eastAsia="en-US"/>
              </w:rPr>
            </w:pPr>
          </w:p>
        </w:tc>
      </w:tr>
      <w:tr w:rsidR="00FB375D" w:rsidRPr="009C0961" w14:paraId="504CDE13" w14:textId="77777777" w:rsidTr="00A502F0">
        <w:tc>
          <w:tcPr>
            <w:tcW w:w="2018" w:type="dxa"/>
            <w:vAlign w:val="center"/>
          </w:tcPr>
          <w:p w14:paraId="1D40D426" w14:textId="77777777" w:rsidR="00FB375D" w:rsidRPr="00A502F0" w:rsidRDefault="00FB375D" w:rsidP="00A502F0">
            <w:pPr>
              <w:spacing w:line="240" w:lineRule="atLeast"/>
              <w:jc w:val="center"/>
              <w:rPr>
                <w:rFonts w:ascii="Garamond" w:eastAsia="Calibri" w:hAnsi="Garamond" w:cs="Garamond"/>
                <w:b/>
                <w:sz w:val="28"/>
                <w:szCs w:val="28"/>
                <w:lang w:val="en-US" w:eastAsia="en-US"/>
              </w:rPr>
            </w:pPr>
            <w:r w:rsidRPr="00A502F0">
              <w:rPr>
                <w:rFonts w:ascii="Garamond" w:eastAsia="Calibri" w:hAnsi="Garamond" w:cs="Garamond"/>
                <w:b/>
                <w:sz w:val="28"/>
                <w:szCs w:val="28"/>
                <w:lang w:val="en-US" w:eastAsia="en-US"/>
              </w:rPr>
              <w:t>Total</w:t>
            </w:r>
          </w:p>
        </w:tc>
        <w:tc>
          <w:tcPr>
            <w:tcW w:w="1450" w:type="dxa"/>
            <w:vAlign w:val="center"/>
          </w:tcPr>
          <w:p w14:paraId="5B1768E8" w14:textId="77777777" w:rsidR="00FB375D" w:rsidRPr="00A502F0" w:rsidRDefault="00FB375D" w:rsidP="00A502F0">
            <w:pPr>
              <w:spacing w:line="240" w:lineRule="atLeast"/>
              <w:jc w:val="center"/>
              <w:rPr>
                <w:rFonts w:ascii="Garamond" w:eastAsia="Calibri" w:hAnsi="Garamond" w:cs="Garamond"/>
                <w:b/>
                <w:sz w:val="28"/>
                <w:szCs w:val="28"/>
                <w:lang w:val="en-US" w:eastAsia="en-US"/>
              </w:rPr>
            </w:pPr>
          </w:p>
        </w:tc>
        <w:tc>
          <w:tcPr>
            <w:tcW w:w="1329" w:type="dxa"/>
            <w:vAlign w:val="center"/>
          </w:tcPr>
          <w:p w14:paraId="2C20617A" w14:textId="77777777" w:rsidR="00FB375D" w:rsidRPr="00A502F0" w:rsidRDefault="00FB375D" w:rsidP="00A502F0">
            <w:pPr>
              <w:spacing w:line="240" w:lineRule="atLeast"/>
              <w:jc w:val="center"/>
              <w:rPr>
                <w:rFonts w:ascii="Garamond" w:eastAsia="Calibri" w:hAnsi="Garamond" w:cs="Garamond"/>
                <w:b/>
                <w:sz w:val="28"/>
                <w:szCs w:val="28"/>
                <w:lang w:val="en-US" w:eastAsia="en-US"/>
              </w:rPr>
            </w:pPr>
          </w:p>
        </w:tc>
        <w:tc>
          <w:tcPr>
            <w:tcW w:w="1608" w:type="dxa"/>
            <w:vAlign w:val="center"/>
          </w:tcPr>
          <w:p w14:paraId="71484CF3" w14:textId="77777777" w:rsidR="00FB375D" w:rsidRPr="00A502F0" w:rsidRDefault="00FB375D" w:rsidP="00A502F0">
            <w:pPr>
              <w:spacing w:line="240" w:lineRule="atLeast"/>
              <w:jc w:val="center"/>
              <w:rPr>
                <w:rFonts w:ascii="Garamond" w:eastAsia="Calibri" w:hAnsi="Garamond" w:cs="Garamond"/>
                <w:b/>
                <w:sz w:val="28"/>
                <w:szCs w:val="28"/>
                <w:lang w:val="en-US" w:eastAsia="en-US"/>
              </w:rPr>
            </w:pPr>
          </w:p>
        </w:tc>
        <w:tc>
          <w:tcPr>
            <w:tcW w:w="1602" w:type="dxa"/>
            <w:vAlign w:val="center"/>
          </w:tcPr>
          <w:p w14:paraId="7DBCF8FD" w14:textId="77777777" w:rsidR="00FB375D" w:rsidRPr="00A502F0" w:rsidRDefault="00FB375D" w:rsidP="00A502F0">
            <w:pPr>
              <w:spacing w:line="240" w:lineRule="atLeast"/>
              <w:jc w:val="center"/>
              <w:rPr>
                <w:rFonts w:ascii="Garamond" w:eastAsia="Calibri" w:hAnsi="Garamond" w:cs="Garamond"/>
                <w:b/>
                <w:sz w:val="28"/>
                <w:szCs w:val="28"/>
                <w:lang w:val="en-US" w:eastAsia="en-US"/>
              </w:rPr>
            </w:pPr>
          </w:p>
        </w:tc>
        <w:tc>
          <w:tcPr>
            <w:tcW w:w="1608" w:type="dxa"/>
            <w:vAlign w:val="center"/>
          </w:tcPr>
          <w:p w14:paraId="55A905B5" w14:textId="77777777" w:rsidR="00FB375D" w:rsidRPr="00A502F0" w:rsidRDefault="00FB375D" w:rsidP="00A502F0">
            <w:pPr>
              <w:spacing w:line="240" w:lineRule="atLeast"/>
              <w:jc w:val="center"/>
              <w:rPr>
                <w:rFonts w:ascii="Garamond" w:eastAsia="Calibri" w:hAnsi="Garamond" w:cs="Garamond"/>
                <w:b/>
                <w:sz w:val="28"/>
                <w:szCs w:val="28"/>
                <w:lang w:val="en-US" w:eastAsia="en-US"/>
              </w:rPr>
            </w:pPr>
          </w:p>
        </w:tc>
      </w:tr>
    </w:tbl>
    <w:p w14:paraId="2FF05944" w14:textId="77777777" w:rsidR="00675276" w:rsidRDefault="00675276" w:rsidP="00675276">
      <w:pPr>
        <w:pStyle w:val="ListParagraph"/>
        <w:spacing w:after="0" w:line="240" w:lineRule="atLeast"/>
        <w:ind w:left="426"/>
        <w:jc w:val="both"/>
        <w:rPr>
          <w:rFonts w:ascii="Garamond" w:hAnsi="Garamond"/>
          <w:szCs w:val="28"/>
          <w:lang w:val="en-US" w:eastAsia="ru-RU"/>
        </w:rPr>
      </w:pPr>
    </w:p>
    <w:p w14:paraId="329D61CB" w14:textId="77777777" w:rsidR="00FB375D" w:rsidRPr="00A502F0" w:rsidRDefault="00FB375D" w:rsidP="006F749C">
      <w:pPr>
        <w:pStyle w:val="ListParagraph"/>
        <w:numPr>
          <w:ilvl w:val="0"/>
          <w:numId w:val="209"/>
        </w:numPr>
        <w:spacing w:after="0" w:line="240" w:lineRule="atLeast"/>
        <w:ind w:left="426"/>
        <w:jc w:val="both"/>
        <w:rPr>
          <w:rFonts w:ascii="Garamond" w:hAnsi="Garamond"/>
          <w:szCs w:val="28"/>
          <w:lang w:val="en-US" w:eastAsia="ru-RU"/>
        </w:rPr>
      </w:pPr>
      <w:r w:rsidRPr="00A502F0">
        <w:rPr>
          <w:rFonts w:ascii="Garamond" w:hAnsi="Garamond"/>
          <w:szCs w:val="28"/>
          <w:lang w:val="en-US" w:eastAsia="ru-RU"/>
        </w:rPr>
        <w:t>The insurance company has a quota share contract with a reinsurer. Reinsurance quota share is 40</w:t>
      </w:r>
      <w:r w:rsidR="0064449A">
        <w:rPr>
          <w:rFonts w:ascii="Garamond" w:hAnsi="Garamond"/>
          <w:szCs w:val="28"/>
          <w:lang w:val="en-US" w:eastAsia="ru-RU"/>
        </w:rPr>
        <w:t xml:space="preserve"> </w:t>
      </w:r>
      <w:r w:rsidRPr="00A502F0">
        <w:rPr>
          <w:rFonts w:ascii="Garamond" w:hAnsi="Garamond"/>
          <w:szCs w:val="28"/>
          <w:lang w:val="en-US" w:eastAsia="ru-RU"/>
        </w:rPr>
        <w:t>%. Limit of liability of the reinsurer is 3 million UAH for each insurance contract. Calculate reinsurance premiums and reinsurance payments for the following insurance contracts:</w:t>
      </w:r>
    </w:p>
    <w:p w14:paraId="5ABD6549" w14:textId="77777777" w:rsidR="00FB375D" w:rsidRPr="009C0961" w:rsidRDefault="00FB375D" w:rsidP="006F749C">
      <w:pPr>
        <w:pStyle w:val="ListParagraph"/>
        <w:numPr>
          <w:ilvl w:val="0"/>
          <w:numId w:val="215"/>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sum insured – 500 000 UAH; insurance pre</w:t>
      </w:r>
      <w:r w:rsidR="0064449A">
        <w:rPr>
          <w:rFonts w:ascii="Garamond" w:hAnsi="Garamond" w:cs="Garamond"/>
          <w:szCs w:val="28"/>
          <w:lang w:val="en-US" w:eastAsia="ru-RU"/>
        </w:rPr>
        <w:t>mium – 800 UAH; insurance claim </w:t>
      </w:r>
      <w:r w:rsidRPr="009C0961">
        <w:rPr>
          <w:rFonts w:ascii="Garamond" w:hAnsi="Garamond" w:cs="Garamond"/>
          <w:szCs w:val="28"/>
          <w:lang w:val="en-US" w:eastAsia="ru-RU"/>
        </w:rPr>
        <w:t>– 100 000 UAH;</w:t>
      </w:r>
    </w:p>
    <w:p w14:paraId="2EE398BB" w14:textId="77777777" w:rsidR="00FB375D" w:rsidRPr="009C0961" w:rsidRDefault="00FB375D" w:rsidP="006F749C">
      <w:pPr>
        <w:pStyle w:val="ListParagraph"/>
        <w:numPr>
          <w:ilvl w:val="0"/>
          <w:numId w:val="215"/>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sum insured – 3 000 000 UAH; insurance premium – 4 600 UAH; insurance claim – 750 000 UAH;</w:t>
      </w:r>
    </w:p>
    <w:p w14:paraId="6C671765" w14:textId="77777777" w:rsidR="00FB375D" w:rsidRPr="009C0961" w:rsidRDefault="00FB375D" w:rsidP="006F749C">
      <w:pPr>
        <w:pStyle w:val="ListParagraph"/>
        <w:numPr>
          <w:ilvl w:val="0"/>
          <w:numId w:val="215"/>
        </w:numPr>
        <w:autoSpaceDE w:val="0"/>
        <w:autoSpaceDN w:val="0"/>
        <w:adjustRightInd w:val="0"/>
        <w:spacing w:after="0" w:line="240" w:lineRule="atLeast"/>
        <w:ind w:left="851"/>
        <w:jc w:val="both"/>
        <w:rPr>
          <w:rFonts w:ascii="Garamond" w:hAnsi="Garamond" w:cs="Garamond"/>
          <w:szCs w:val="28"/>
          <w:lang w:val="en-US" w:eastAsia="ru-RU"/>
        </w:rPr>
      </w:pPr>
      <w:r w:rsidRPr="009C0961">
        <w:rPr>
          <w:rFonts w:ascii="Garamond" w:hAnsi="Garamond" w:cs="Garamond"/>
          <w:szCs w:val="28"/>
          <w:lang w:val="en-US" w:eastAsia="ru-RU"/>
        </w:rPr>
        <w:t>sum insured – 4 000 000 UAH; insurance premium – 6 500 UAH; insurance claim – 1 200 000 UAH.</w:t>
      </w:r>
    </w:p>
    <w:p w14:paraId="49F9793F" w14:textId="77777777" w:rsidR="00FB375D" w:rsidRPr="00FB375D" w:rsidRDefault="00FB375D" w:rsidP="00FB375D">
      <w:pPr>
        <w:spacing w:line="312" w:lineRule="auto"/>
        <w:ind w:firstLine="357"/>
        <w:jc w:val="both"/>
        <w:rPr>
          <w:rFonts w:cs="Garamond"/>
          <w:lang w:val="en-US" w:eastAsia="ru-RU"/>
        </w:rPr>
      </w:pPr>
    </w:p>
    <w:p w14:paraId="02AD53F6" w14:textId="77777777" w:rsidR="003C51B1" w:rsidRDefault="003C51B1" w:rsidP="003C51B1">
      <w:pPr>
        <w:pBdr>
          <w:top w:val="nil"/>
          <w:left w:val="nil"/>
          <w:bottom w:val="nil"/>
          <w:right w:val="nil"/>
          <w:between w:val="nil"/>
          <w:bar w:val="nil"/>
        </w:pBdr>
        <w:ind w:firstLine="357"/>
        <w:jc w:val="center"/>
        <w:rPr>
          <w:rFonts w:eastAsia="Garamond"/>
          <w:b/>
          <w:bCs/>
          <w:caps/>
          <w:spacing w:val="20"/>
          <w:kern w:val="16"/>
          <w:u w:color="000000"/>
          <w:bdr w:val="nil"/>
          <w:lang w:val="en-US"/>
        </w:rPr>
      </w:pPr>
    </w:p>
    <w:p w14:paraId="4E7AB153" w14:textId="77777777" w:rsidR="003C51B1" w:rsidRDefault="003C51B1">
      <w:pPr>
        <w:rPr>
          <w:rFonts w:eastAsia="Garamond"/>
          <w:b/>
          <w:bCs/>
          <w:caps/>
          <w:spacing w:val="20"/>
          <w:kern w:val="16"/>
          <w:u w:color="000000"/>
          <w:bdr w:val="nil"/>
          <w:lang w:val="en-US"/>
        </w:rPr>
      </w:pPr>
      <w:r>
        <w:rPr>
          <w:rFonts w:eastAsia="Garamond"/>
          <w:b/>
          <w:bCs/>
          <w:caps/>
          <w:spacing w:val="20"/>
          <w:kern w:val="16"/>
          <w:u w:color="000000"/>
          <w:bdr w:val="nil"/>
          <w:lang w:val="en-US"/>
        </w:rPr>
        <w:br w:type="page"/>
      </w:r>
    </w:p>
    <w:p w14:paraId="53F19665" w14:textId="77777777" w:rsidR="003C51B1" w:rsidRPr="003C51B1" w:rsidRDefault="00675276" w:rsidP="00A502F0">
      <w:pPr>
        <w:pStyle w:val="eng"/>
        <w:rPr>
          <w:lang w:val="en-US"/>
        </w:rPr>
      </w:pPr>
      <w:r>
        <w:rPr>
          <w:lang w:val="en-US"/>
        </w:rPr>
        <w:lastRenderedPageBreak/>
        <w:t>Chapter 11:</w:t>
      </w:r>
    </w:p>
    <w:p w14:paraId="762377FB" w14:textId="77777777" w:rsidR="003C51B1" w:rsidRPr="003C51B1" w:rsidRDefault="003C51B1" w:rsidP="00A502F0">
      <w:pPr>
        <w:pStyle w:val="eng"/>
        <w:rPr>
          <w:lang w:val="en-US"/>
        </w:rPr>
      </w:pPr>
      <w:r w:rsidRPr="003C51B1">
        <w:rPr>
          <w:lang w:val="en-US"/>
        </w:rPr>
        <w:t>international finance</w:t>
      </w:r>
    </w:p>
    <w:p w14:paraId="49BEC97A" w14:textId="77777777" w:rsidR="003C51B1" w:rsidRPr="003C51B1" w:rsidRDefault="003C51B1" w:rsidP="00A502F0">
      <w:pPr>
        <w:pStyle w:val="end2"/>
      </w:pPr>
      <w:r w:rsidRPr="003C51B1">
        <w:t>summary</w:t>
      </w:r>
    </w:p>
    <w:p w14:paraId="37441960" w14:textId="77777777" w:rsidR="003C51B1" w:rsidRPr="00A502F0" w:rsidRDefault="003C51B1" w:rsidP="00E425AB">
      <w:pPr>
        <w:spacing w:line="312" w:lineRule="auto"/>
        <w:ind w:firstLine="709"/>
        <w:jc w:val="both"/>
        <w:rPr>
          <w:sz w:val="28"/>
          <w:lang w:val="en-US" w:bidi="ru-RU"/>
        </w:rPr>
      </w:pPr>
      <w:r w:rsidRPr="00A502F0">
        <w:rPr>
          <w:sz w:val="28"/>
          <w:lang w:val="en-US" w:bidi="ru-RU"/>
        </w:rPr>
        <w:t>International finance is one of the key subsystems of the world economy, which focuses on the significance of trade imbalances, the determinants of exchange rates, and the aggregate effects of government monetary and fiscal policies. Main elements of the international finance are:</w:t>
      </w:r>
    </w:p>
    <w:p w14:paraId="4A8E395D" w14:textId="77777777" w:rsidR="003C51B1" w:rsidRPr="00A502F0" w:rsidRDefault="003C51B1" w:rsidP="00E425AB">
      <w:pPr>
        <w:numPr>
          <w:ilvl w:val="0"/>
          <w:numId w:val="85"/>
        </w:numPr>
        <w:spacing w:line="312" w:lineRule="auto"/>
        <w:ind w:left="993" w:hanging="284"/>
        <w:contextualSpacing/>
        <w:jc w:val="both"/>
        <w:rPr>
          <w:sz w:val="28"/>
          <w:lang w:val="en-US" w:bidi="ru-RU"/>
        </w:rPr>
      </w:pPr>
      <w:r w:rsidRPr="00A502F0">
        <w:rPr>
          <w:sz w:val="28"/>
          <w:lang w:val="en-US" w:bidi="ru-RU"/>
        </w:rPr>
        <w:t xml:space="preserve">international monetary system, which is characterized by national and reserve currencies, currency parity, </w:t>
      </w:r>
      <w:r w:rsidR="003D781A">
        <w:rPr>
          <w:sz w:val="28"/>
          <w:lang w:val="en-US" w:bidi="ru-RU"/>
        </w:rPr>
        <w:t xml:space="preserve">and </w:t>
      </w:r>
      <w:r w:rsidRPr="00A502F0">
        <w:rPr>
          <w:sz w:val="28"/>
          <w:lang w:val="en-US" w:bidi="ru-RU"/>
        </w:rPr>
        <w:t>exchange rates;</w:t>
      </w:r>
    </w:p>
    <w:p w14:paraId="4D3B752F" w14:textId="77777777" w:rsidR="003C51B1" w:rsidRPr="00A502F0" w:rsidRDefault="003C51B1" w:rsidP="00E425AB">
      <w:pPr>
        <w:numPr>
          <w:ilvl w:val="0"/>
          <w:numId w:val="85"/>
        </w:numPr>
        <w:spacing w:line="312" w:lineRule="auto"/>
        <w:ind w:left="993" w:hanging="284"/>
        <w:contextualSpacing/>
        <w:jc w:val="both"/>
        <w:rPr>
          <w:sz w:val="28"/>
          <w:lang w:val="en-US" w:bidi="ru-RU"/>
        </w:rPr>
      </w:pPr>
      <w:r w:rsidRPr="00A502F0">
        <w:rPr>
          <w:sz w:val="28"/>
          <w:lang w:val="en-US" w:bidi="ru-RU"/>
        </w:rPr>
        <w:t>international settlements and the balance of payments, which displays all transactions related to international payments;</w:t>
      </w:r>
    </w:p>
    <w:p w14:paraId="7D0B6217" w14:textId="77777777" w:rsidR="003C51B1" w:rsidRPr="00A502F0" w:rsidRDefault="003C51B1" w:rsidP="00E425AB">
      <w:pPr>
        <w:numPr>
          <w:ilvl w:val="0"/>
          <w:numId w:val="85"/>
        </w:numPr>
        <w:spacing w:line="312" w:lineRule="auto"/>
        <w:ind w:left="993" w:hanging="284"/>
        <w:contextualSpacing/>
        <w:jc w:val="both"/>
        <w:rPr>
          <w:sz w:val="28"/>
          <w:lang w:val="en-US" w:bidi="ru-RU"/>
        </w:rPr>
      </w:pPr>
      <w:r w:rsidRPr="00A502F0">
        <w:rPr>
          <w:sz w:val="28"/>
          <w:lang w:val="en-US" w:bidi="ru-RU"/>
        </w:rPr>
        <w:t xml:space="preserve">international financial markets and specific financial instruments – currency, international loans, </w:t>
      </w:r>
      <w:r w:rsidR="003D781A">
        <w:rPr>
          <w:sz w:val="28"/>
          <w:lang w:val="en-US" w:bidi="ru-RU"/>
        </w:rPr>
        <w:t xml:space="preserve">and </w:t>
      </w:r>
      <w:r w:rsidRPr="00A502F0">
        <w:rPr>
          <w:sz w:val="28"/>
          <w:lang w:val="en-US" w:bidi="ru-RU"/>
        </w:rPr>
        <w:t>securities;</w:t>
      </w:r>
    </w:p>
    <w:p w14:paraId="38BEFA47" w14:textId="77777777" w:rsidR="003C51B1" w:rsidRPr="00A502F0" w:rsidRDefault="003C51B1" w:rsidP="00E425AB">
      <w:pPr>
        <w:numPr>
          <w:ilvl w:val="0"/>
          <w:numId w:val="85"/>
        </w:numPr>
        <w:spacing w:line="312" w:lineRule="auto"/>
        <w:ind w:left="993" w:hanging="284"/>
        <w:contextualSpacing/>
        <w:jc w:val="both"/>
        <w:rPr>
          <w:sz w:val="28"/>
          <w:lang w:val="en-US" w:bidi="ru-RU"/>
        </w:rPr>
      </w:pPr>
      <w:r w:rsidRPr="00A502F0">
        <w:rPr>
          <w:sz w:val="28"/>
          <w:lang w:val="en-US" w:bidi="ru-RU"/>
        </w:rPr>
        <w:t>international taxation;</w:t>
      </w:r>
    </w:p>
    <w:p w14:paraId="11943B41" w14:textId="77777777" w:rsidR="003C51B1" w:rsidRPr="00A502F0" w:rsidRDefault="003C51B1" w:rsidP="00E425AB">
      <w:pPr>
        <w:numPr>
          <w:ilvl w:val="0"/>
          <w:numId w:val="85"/>
        </w:numPr>
        <w:spacing w:line="312" w:lineRule="auto"/>
        <w:ind w:left="993" w:hanging="284"/>
        <w:contextualSpacing/>
        <w:jc w:val="both"/>
        <w:rPr>
          <w:sz w:val="28"/>
          <w:lang w:val="en-US" w:bidi="ru-RU"/>
        </w:rPr>
      </w:pPr>
      <w:r w:rsidRPr="00A502F0">
        <w:rPr>
          <w:sz w:val="28"/>
          <w:lang w:val="en-US" w:bidi="ru-RU"/>
        </w:rPr>
        <w:t>international financial management of TNCs (international investment, risk management, transnational financing, etc.).</w:t>
      </w:r>
    </w:p>
    <w:p w14:paraId="7EB1EEB2"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The global financial system is vast and varied; it consists of many different types of financial institutions, as well as financial markets in stocks, bonds, commodities, and derivatives. A significant role in providing financial support and professional advice for economic and social development as well as promoting international economic cooperation and stability belongs to international financial institutions (IFIs). Main groups and types of IFIs are presented in </w:t>
      </w:r>
      <w:r w:rsidR="00613E76">
        <w:rPr>
          <w:sz w:val="28"/>
          <w:lang w:val="en-US" w:bidi="ru-RU"/>
        </w:rPr>
        <w:t>Figure</w:t>
      </w:r>
      <w:r w:rsidRPr="00A502F0">
        <w:rPr>
          <w:sz w:val="28"/>
          <w:lang w:val="en-US" w:bidi="ru-RU"/>
        </w:rPr>
        <w:t xml:space="preserve"> 11.1.</w:t>
      </w:r>
    </w:p>
    <w:p w14:paraId="0B1F2AD0"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IFIs are the largest source of </w:t>
      </w:r>
      <w:r w:rsidR="003D781A" w:rsidRPr="00A502F0">
        <w:rPr>
          <w:sz w:val="28"/>
          <w:lang w:val="en-US" w:bidi="ru-RU"/>
        </w:rPr>
        <w:t xml:space="preserve">finance </w:t>
      </w:r>
      <w:r w:rsidRPr="00A502F0">
        <w:rPr>
          <w:sz w:val="28"/>
          <w:lang w:val="en-US" w:bidi="ru-RU"/>
        </w:rPr>
        <w:t xml:space="preserve">development in the world and a primary source of </w:t>
      </w:r>
      <w:r w:rsidR="003D781A" w:rsidRPr="00A502F0">
        <w:rPr>
          <w:sz w:val="28"/>
          <w:lang w:val="en-US" w:bidi="ru-RU"/>
        </w:rPr>
        <w:t xml:space="preserve">knowledge </w:t>
      </w:r>
      <w:r w:rsidRPr="00A502F0">
        <w:rPr>
          <w:sz w:val="28"/>
          <w:lang w:val="en-US" w:bidi="ru-RU"/>
        </w:rPr>
        <w:t>development</w:t>
      </w:r>
      <w:r w:rsidR="003D781A">
        <w:rPr>
          <w:sz w:val="28"/>
          <w:lang w:val="en-US" w:bidi="ru-RU"/>
        </w:rPr>
        <w:t xml:space="preserve"> as well as</w:t>
      </w:r>
      <w:r w:rsidRPr="00A502F0">
        <w:rPr>
          <w:sz w:val="28"/>
          <w:lang w:val="en-US" w:bidi="ru-RU"/>
        </w:rPr>
        <w:t xml:space="preserve"> publishing research that frames the debate on development issues. IFI loans to finance investment projects and policy reforms in developing countries are intended to reduce poverty and encourage economic development.</w:t>
      </w:r>
    </w:p>
    <w:p w14:paraId="45BA22B0"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The term </w:t>
      </w:r>
      <w:r w:rsidRPr="00A502F0">
        <w:rPr>
          <w:b/>
          <w:sz w:val="28"/>
          <w:lang w:val="en-US" w:bidi="ru-RU"/>
        </w:rPr>
        <w:t>international financial institution</w:t>
      </w:r>
      <w:r w:rsidRPr="00A502F0">
        <w:rPr>
          <w:sz w:val="28"/>
          <w:lang w:val="en-US" w:bidi="ru-RU"/>
        </w:rPr>
        <w:t xml:space="preserve"> typically refers to the International Monetary Fund (IMF) and five multilateral development banks (MDBs): the World Bank Group, the African Development Bank, the Asian Development Bank, the Inter-American Development Bank, and the European Bank for </w:t>
      </w:r>
      <w:r w:rsidRPr="00A502F0">
        <w:rPr>
          <w:sz w:val="28"/>
          <w:lang w:val="en-US" w:bidi="ru-RU"/>
        </w:rPr>
        <w:lastRenderedPageBreak/>
        <w:t xml:space="preserve">Reconstruction and Development. </w:t>
      </w:r>
      <w:r w:rsidR="003D781A">
        <w:rPr>
          <w:sz w:val="28"/>
          <w:lang w:val="en-US" w:bidi="ru-RU"/>
        </w:rPr>
        <w:t>Each of t</w:t>
      </w:r>
      <w:r w:rsidRPr="00A502F0">
        <w:rPr>
          <w:sz w:val="28"/>
          <w:lang w:val="en-US" w:bidi="ru-RU"/>
        </w:rPr>
        <w:t>he last four focus</w:t>
      </w:r>
      <w:r w:rsidR="003D781A">
        <w:rPr>
          <w:sz w:val="28"/>
          <w:lang w:val="en-US" w:bidi="ru-RU"/>
        </w:rPr>
        <w:t>es</w:t>
      </w:r>
      <w:r w:rsidRPr="00A502F0">
        <w:rPr>
          <w:sz w:val="28"/>
          <w:lang w:val="en-US" w:bidi="ru-RU"/>
        </w:rPr>
        <w:t xml:space="preserve"> on a single world region</w:t>
      </w:r>
      <w:r w:rsidR="003D781A">
        <w:rPr>
          <w:sz w:val="28"/>
          <w:lang w:val="en-US" w:bidi="ru-RU"/>
        </w:rPr>
        <w:t>,</w:t>
      </w:r>
      <w:r w:rsidRPr="00A502F0">
        <w:rPr>
          <w:sz w:val="28"/>
          <w:lang w:val="en-US" w:bidi="ru-RU"/>
        </w:rPr>
        <w:t xml:space="preserve"> and hence </w:t>
      </w:r>
      <w:r w:rsidR="003D781A">
        <w:rPr>
          <w:sz w:val="28"/>
          <w:lang w:val="en-US" w:bidi="ru-RU"/>
        </w:rPr>
        <w:t xml:space="preserve">they </w:t>
      </w:r>
      <w:r w:rsidRPr="00A502F0">
        <w:rPr>
          <w:sz w:val="28"/>
          <w:lang w:val="en-US" w:bidi="ru-RU"/>
        </w:rPr>
        <w:t xml:space="preserve">are often called regional development banks. IMF and the World Bank, in contrast, are global in their scope; they are also specialized agencies in the UN system but are governed independently of it. </w:t>
      </w:r>
    </w:p>
    <w:p w14:paraId="10D18B76" w14:textId="77777777" w:rsidR="003C51B1" w:rsidRPr="00A502F0" w:rsidRDefault="003C51B1" w:rsidP="00E425AB">
      <w:pPr>
        <w:spacing w:line="312" w:lineRule="auto"/>
        <w:ind w:firstLine="709"/>
        <w:jc w:val="both"/>
        <w:rPr>
          <w:sz w:val="28"/>
          <w:lang w:val="en" w:bidi="ru-RU"/>
        </w:rPr>
      </w:pPr>
      <w:r w:rsidRPr="00A502F0">
        <w:rPr>
          <w:sz w:val="28"/>
          <w:lang w:val="en" w:bidi="ru-RU"/>
        </w:rPr>
        <w:t>The IMF was conceived at a UN conference in Bretton Woods in 1944. Its primary purpose is to ensure the stability of the international monetary system. The IMF does so in three ways: keeping track of the global economy and the economies of member countries; lending to countries with balance of payments difficulties; and giving practical help to members. The Fund provides loans to member countries experiencing actual or potential balance of payments problems. This financial assistance enables countries to rebuild their international reserves, stabilize their currencies, continue paying for imports, and</w:t>
      </w:r>
      <w:r w:rsidR="003D781A">
        <w:rPr>
          <w:sz w:val="28"/>
          <w:lang w:val="en" w:bidi="ru-RU"/>
        </w:rPr>
        <w:t xml:space="preserve"> to</w:t>
      </w:r>
      <w:r w:rsidRPr="00A502F0">
        <w:rPr>
          <w:sz w:val="28"/>
          <w:lang w:val="en" w:bidi="ru-RU"/>
        </w:rPr>
        <w:t xml:space="preserve"> restore conditions for strong economic growth while undertaking policies to correct underlying problems. Unlike development banks, the IMF does not lend for specific projects. The biggest borrowers of the IMF (amounts outstanding as of 3/13/2015) are Portugal, Greece, Ireland</w:t>
      </w:r>
      <w:r w:rsidR="003D781A">
        <w:rPr>
          <w:sz w:val="28"/>
          <w:lang w:val="en" w:bidi="ru-RU"/>
        </w:rPr>
        <w:t>,</w:t>
      </w:r>
      <w:r w:rsidRPr="00A502F0">
        <w:rPr>
          <w:sz w:val="28"/>
          <w:lang w:val="en" w:bidi="ru-RU"/>
        </w:rPr>
        <w:t xml:space="preserve"> and Ukraine.</w:t>
      </w:r>
    </w:p>
    <w:p w14:paraId="51DFF952" w14:textId="77777777" w:rsidR="003C51B1" w:rsidRPr="00A502F0" w:rsidRDefault="003C51B1" w:rsidP="00E425AB">
      <w:pPr>
        <w:spacing w:line="312" w:lineRule="auto"/>
        <w:ind w:firstLine="709"/>
        <w:jc w:val="both"/>
        <w:rPr>
          <w:sz w:val="28"/>
          <w:lang w:val="en" w:bidi="ru-RU"/>
        </w:rPr>
      </w:pPr>
      <w:r w:rsidRPr="00A502F0">
        <w:rPr>
          <w:sz w:val="28"/>
          <w:lang w:val="en" w:bidi="ru-RU"/>
        </w:rPr>
        <w:t>Besides, the IMF helps its member countries design economic policies and manage their financial affairs more effectively by strengthening their human and institutional capacity through technical assistance and training.</w:t>
      </w:r>
    </w:p>
    <w:p w14:paraId="186C9542" w14:textId="77777777" w:rsidR="003C51B1" w:rsidRPr="00A502F0" w:rsidRDefault="003C51B1" w:rsidP="003C51B1">
      <w:pPr>
        <w:spacing w:line="312" w:lineRule="auto"/>
        <w:jc w:val="both"/>
        <w:rPr>
          <w:sz w:val="28"/>
          <w:lang w:val="en-US" w:bidi="ru-RU"/>
        </w:rPr>
      </w:pPr>
      <w:r w:rsidRPr="00A502F0">
        <w:rPr>
          <w:rFonts w:eastAsia="Calibri"/>
          <w:noProof/>
          <w:sz w:val="28"/>
          <w:lang w:val="ru-RU" w:eastAsia="ru-RU"/>
        </w:rPr>
        <mc:AlternateContent>
          <mc:Choice Requires="wpc">
            <w:drawing>
              <wp:inline distT="0" distB="0" distL="0" distR="0" wp14:anchorId="0F782C0D" wp14:editId="103EB695">
                <wp:extent cx="6099143" cy="3469064"/>
                <wp:effectExtent l="0" t="0" r="0" b="0"/>
                <wp:docPr id="1073742073" name="Полотно 107374207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1073742044" name="Группа 1073742044"/>
                        <wpg:cNvGrpSpPr/>
                        <wpg:grpSpPr>
                          <a:xfrm>
                            <a:off x="104743" y="95248"/>
                            <a:ext cx="5885857" cy="3298403"/>
                            <a:chOff x="104743" y="95248"/>
                            <a:chExt cx="5885857" cy="3298403"/>
                          </a:xfrm>
                        </wpg:grpSpPr>
                        <wpg:grpSp>
                          <wpg:cNvPr id="1073742045" name="Группа 1073742045"/>
                          <wpg:cNvGrpSpPr/>
                          <wpg:grpSpPr>
                            <a:xfrm>
                              <a:off x="104743" y="95248"/>
                              <a:ext cx="5885857" cy="3298403"/>
                              <a:chOff x="104753" y="95250"/>
                              <a:chExt cx="5885857" cy="3298403"/>
                            </a:xfrm>
                          </wpg:grpSpPr>
                          <wps:wsp>
                            <wps:cNvPr id="1073742046" name="Скругленный прямоугольник 1073742046"/>
                            <wps:cNvSpPr/>
                            <wps:spPr>
                              <a:xfrm>
                                <a:off x="1549809" y="585147"/>
                                <a:ext cx="4323090" cy="285589"/>
                              </a:xfrm>
                              <a:prstGeom prst="roundRect">
                                <a:avLst/>
                              </a:prstGeom>
                              <a:noFill/>
                              <a:ln w="9525" cap="flat" cmpd="sng" algn="ctr">
                                <a:solidFill>
                                  <a:sysClr val="windowText" lastClr="000000"/>
                                </a:solidFill>
                                <a:prstDash val="solid"/>
                              </a:ln>
                              <a:effectLst/>
                            </wps:spPr>
                            <wps:txbx>
                              <w:txbxContent>
                                <w:p w14:paraId="072C62DC" w14:textId="77777777" w:rsidR="00B56753" w:rsidRPr="00427498" w:rsidRDefault="00B56753" w:rsidP="003C51B1">
                                  <w:pPr>
                                    <w:jc w:val="center"/>
                                    <w:rPr>
                                      <w:color w:val="000000" w:themeColor="text1"/>
                                      <w:lang w:val="en-US"/>
                                    </w:rPr>
                                  </w:pPr>
                                  <w:r w:rsidRPr="00427498">
                                    <w:rPr>
                                      <w:color w:val="000000" w:themeColor="text1"/>
                                      <w:lang w:val="en-US"/>
                                    </w:rPr>
                                    <w:t>Multilateral development banks (MDBs)</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1073742047" name="Скругленный прямоугольник 1073742047"/>
                            <wps:cNvSpPr/>
                            <wps:spPr>
                              <a:xfrm>
                                <a:off x="104753" y="95250"/>
                                <a:ext cx="5885857" cy="294349"/>
                              </a:xfrm>
                              <a:prstGeom prst="roundRect">
                                <a:avLst/>
                              </a:prstGeom>
                              <a:noFill/>
                              <a:ln w="9525" cap="flat" cmpd="sng" algn="ctr">
                                <a:solidFill>
                                  <a:sysClr val="windowText" lastClr="000000"/>
                                </a:solidFill>
                                <a:prstDash val="solid"/>
                              </a:ln>
                              <a:effectLst/>
                            </wps:spPr>
                            <wps:txbx>
                              <w:txbxContent>
                                <w:p w14:paraId="4881521F" w14:textId="77777777" w:rsidR="00B56753" w:rsidRPr="00427498" w:rsidRDefault="00B56753" w:rsidP="003C51B1">
                                  <w:pPr>
                                    <w:pStyle w:val="NormalWeb"/>
                                    <w:spacing w:before="0" w:beforeAutospacing="0" w:after="0" w:afterAutospacing="0"/>
                                    <w:jc w:val="center"/>
                                    <w:rPr>
                                      <w:rFonts w:ascii="Garamond" w:hAnsi="Garamond"/>
                                      <w:b/>
                                      <w:lang w:val="en-US"/>
                                    </w:rPr>
                                  </w:pPr>
                                  <w:r w:rsidRPr="00427498">
                                    <w:rPr>
                                      <w:rFonts w:ascii="Garamond" w:eastAsia="Calibri" w:hAnsi="Garamond"/>
                                      <w:b/>
                                      <w:sz w:val="22"/>
                                      <w:szCs w:val="22"/>
                                      <w:lang w:val="en-US"/>
                                    </w:rPr>
                                    <w:t>International financial institutions (IFIs)</w:t>
                                  </w:r>
                                </w:p>
                              </w:txbxContent>
                            </wps:txbx>
                            <wps:bodyPr rot="0" spcFirstLastPara="0" vert="horz" wrap="square" numCol="1" spcCol="0" rtlCol="0" fromWordArt="0" anchor="ctr" anchorCtr="0" forceAA="0" compatLnSpc="1">
                              <a:prstTxWarp prst="textNoShape">
                                <a:avLst/>
                              </a:prstTxWarp>
                            </wps:bodyPr>
                          </wps:wsp>
                          <wps:wsp>
                            <wps:cNvPr id="1073742048" name="Скругленный прямоугольник 1073742048"/>
                            <wps:cNvSpPr/>
                            <wps:spPr>
                              <a:xfrm>
                                <a:off x="160255" y="588139"/>
                                <a:ext cx="1168923" cy="723268"/>
                              </a:xfrm>
                              <a:prstGeom prst="roundRect">
                                <a:avLst/>
                              </a:prstGeom>
                              <a:solidFill>
                                <a:sysClr val="window" lastClr="FFFFFF">
                                  <a:lumMod val="95000"/>
                                </a:sysClr>
                              </a:solidFill>
                              <a:ln w="9525" cap="flat" cmpd="sng" algn="ctr">
                                <a:solidFill>
                                  <a:sysClr val="windowText" lastClr="000000"/>
                                </a:solidFill>
                                <a:prstDash val="solid"/>
                              </a:ln>
                              <a:effectLst/>
                            </wps:spPr>
                            <wps:txbx>
                              <w:txbxContent>
                                <w:p w14:paraId="1CBB4EBE" w14:textId="77777777" w:rsidR="00B56753" w:rsidRPr="00427498" w:rsidRDefault="00B56753" w:rsidP="003C51B1">
                                  <w:pPr>
                                    <w:pStyle w:val="NormalWeb"/>
                                    <w:spacing w:before="0" w:beforeAutospacing="0" w:after="0" w:afterAutospacing="0"/>
                                    <w:jc w:val="center"/>
                                    <w:rPr>
                                      <w:rFonts w:ascii="Garamond" w:hAnsi="Garamond"/>
                                      <w:lang w:val="en-US"/>
                                    </w:rPr>
                                  </w:pPr>
                                  <w:r w:rsidRPr="00427498">
                                    <w:rPr>
                                      <w:rFonts w:ascii="Garamond" w:eastAsia="Calibri" w:hAnsi="Garamond"/>
                                      <w:sz w:val="22"/>
                                      <w:szCs w:val="22"/>
                                      <w:lang w:val="en-US"/>
                                    </w:rPr>
                                    <w:t>International Monetary Fund (IMF)</w:t>
                                  </w:r>
                                </w:p>
                              </w:txbxContent>
                            </wps:txbx>
                            <wps:bodyPr rot="0" spcFirstLastPara="0" vert="horz" wrap="square" numCol="1" spcCol="0" rtlCol="0" fromWordArt="0" anchor="ctr" anchorCtr="0" forceAA="0" compatLnSpc="1">
                              <a:prstTxWarp prst="textNoShape">
                                <a:avLst/>
                              </a:prstTxWarp>
                            </wps:bodyPr>
                          </wps:wsp>
                          <wps:wsp>
                            <wps:cNvPr id="1073742049" name="Скругленный прямоугольник 1073742049"/>
                            <wps:cNvSpPr/>
                            <wps:spPr>
                              <a:xfrm>
                                <a:off x="1559181" y="1142765"/>
                                <a:ext cx="1655281" cy="271256"/>
                              </a:xfrm>
                              <a:prstGeom prst="roundRect">
                                <a:avLst/>
                              </a:prstGeom>
                              <a:solidFill>
                                <a:sysClr val="window" lastClr="FFFFFF">
                                  <a:lumMod val="95000"/>
                                </a:sysClr>
                              </a:solidFill>
                              <a:ln w="9525" cap="flat" cmpd="sng" algn="ctr">
                                <a:solidFill>
                                  <a:sysClr val="windowText" lastClr="000000"/>
                                </a:solidFill>
                                <a:prstDash val="solid"/>
                              </a:ln>
                              <a:effectLst/>
                            </wps:spPr>
                            <wps:txbx>
                              <w:txbxContent>
                                <w:p w14:paraId="21E3DBE9" w14:textId="77777777" w:rsidR="00B56753" w:rsidRPr="00427498" w:rsidRDefault="00B56753" w:rsidP="003C51B1">
                                  <w:pPr>
                                    <w:pStyle w:val="NormalWeb"/>
                                    <w:spacing w:before="0" w:beforeAutospacing="0" w:after="0" w:afterAutospacing="0"/>
                                    <w:jc w:val="center"/>
                                    <w:rPr>
                                      <w:rFonts w:ascii="Garamond" w:hAnsi="Garamond"/>
                                      <w:lang w:val="en-US"/>
                                    </w:rPr>
                                  </w:pPr>
                                  <w:r w:rsidRPr="00427498">
                                    <w:rPr>
                                      <w:rFonts w:ascii="Garamond" w:eastAsia="Calibri" w:hAnsi="Garamond"/>
                                      <w:sz w:val="22"/>
                                      <w:szCs w:val="22"/>
                                      <w:lang w:val="en-US"/>
                                    </w:rPr>
                                    <w:t>The World Bank Group</w:t>
                                  </w:r>
                                </w:p>
                              </w:txbxContent>
                            </wps:txbx>
                            <wps:bodyPr rot="0" spcFirstLastPara="0" vert="horz" wrap="square" lIns="91440" tIns="0" rIns="91440" bIns="0" numCol="1" spcCol="0" rtlCol="0" fromWordArt="0" anchor="ctr" anchorCtr="0" forceAA="0" compatLnSpc="1">
                              <a:prstTxWarp prst="textNoShape">
                                <a:avLst/>
                              </a:prstTxWarp>
                            </wps:bodyPr>
                          </wps:wsp>
                          <wps:wsp>
                            <wps:cNvPr id="1073742050" name="Скругленный прямоугольник 1073742050"/>
                            <wps:cNvSpPr/>
                            <wps:spPr>
                              <a:xfrm>
                                <a:off x="3619889" y="1142804"/>
                                <a:ext cx="2164056" cy="337206"/>
                              </a:xfrm>
                              <a:prstGeom prst="roundRect">
                                <a:avLst/>
                              </a:prstGeom>
                              <a:solidFill>
                                <a:sysClr val="window" lastClr="FFFFFF">
                                  <a:lumMod val="95000"/>
                                </a:sysClr>
                              </a:solidFill>
                              <a:ln w="9525" cap="flat" cmpd="sng" algn="ctr">
                                <a:solidFill>
                                  <a:sysClr val="windowText" lastClr="000000"/>
                                </a:solidFill>
                                <a:prstDash val="solid"/>
                              </a:ln>
                              <a:effectLst/>
                            </wps:spPr>
                            <wps:txbx>
                              <w:txbxContent>
                                <w:p w14:paraId="4B4D178C" w14:textId="77777777" w:rsidR="00B56753" w:rsidRPr="00427498" w:rsidRDefault="00B56753" w:rsidP="003C51B1">
                                  <w:pPr>
                                    <w:pStyle w:val="NormalWeb"/>
                                    <w:spacing w:before="0" w:beforeAutospacing="0" w:after="0" w:afterAutospacing="0"/>
                                    <w:jc w:val="center"/>
                                    <w:rPr>
                                      <w:rFonts w:ascii="Garamond" w:hAnsi="Garamond"/>
                                      <w:lang w:val="en-US"/>
                                    </w:rPr>
                                  </w:pPr>
                                  <w:r w:rsidRPr="00427498">
                                    <w:rPr>
                                      <w:rFonts w:ascii="Garamond" w:eastAsia="Calibri" w:hAnsi="Garamond"/>
                                      <w:sz w:val="22"/>
                                      <w:szCs w:val="22"/>
                                      <w:lang w:val="en-US"/>
                                    </w:rPr>
                                    <w:t>UN regional development banks</w:t>
                                  </w:r>
                                </w:p>
                              </w:txbxContent>
                            </wps:txbx>
                            <wps:bodyPr rot="0" spcFirstLastPara="0" vert="horz" wrap="square" lIns="91440" tIns="0" rIns="91440" bIns="0" numCol="1" spcCol="0" rtlCol="0" fromWordArt="0" anchor="ctr" anchorCtr="0" forceAA="0" compatLnSpc="1">
                              <a:prstTxWarp prst="textNoShape">
                                <a:avLst/>
                              </a:prstTxWarp>
                            </wps:bodyPr>
                          </wps:wsp>
                          <wps:wsp>
                            <wps:cNvPr id="1073742051" name="Прямоугольник 1073742051"/>
                            <wps:cNvSpPr/>
                            <wps:spPr>
                              <a:xfrm>
                                <a:off x="160135" y="1515204"/>
                                <a:ext cx="3054600" cy="407320"/>
                              </a:xfrm>
                              <a:prstGeom prst="rect">
                                <a:avLst/>
                              </a:prstGeom>
                              <a:noFill/>
                              <a:ln w="9525" cap="flat" cmpd="sng" algn="ctr">
                                <a:solidFill>
                                  <a:sysClr val="windowText" lastClr="000000"/>
                                </a:solidFill>
                                <a:prstDash val="solid"/>
                              </a:ln>
                              <a:effectLst/>
                            </wps:spPr>
                            <wps:txbx>
                              <w:txbxContent>
                                <w:p w14:paraId="2F4BED9D" w14:textId="77777777" w:rsidR="00B56753" w:rsidRPr="00427498" w:rsidRDefault="00B56753" w:rsidP="003C51B1">
                                  <w:pPr>
                                    <w:jc w:val="center"/>
                                    <w:rPr>
                                      <w:color w:val="000000" w:themeColor="text1"/>
                                      <w:lang w:val="en-US"/>
                                    </w:rPr>
                                  </w:pPr>
                                  <w:r w:rsidRPr="00427498">
                                    <w:rPr>
                                      <w:color w:val="000000" w:themeColor="text1"/>
                                      <w:lang w:val="en-US"/>
                                    </w:rPr>
                                    <w:t>International Bank for Reconstruction &amp; Development (IBRD)</w:t>
                                  </w:r>
                                </w:p>
                              </w:txbxContent>
                            </wps:txbx>
                            <wps:bodyPr rot="0" spcFirstLastPara="0" vertOverflow="overflow" horzOverflow="overflow" vert="horz" wrap="square" lIns="91440" tIns="36000" rIns="91440" bIns="36000" numCol="1" spcCol="0" rtlCol="0" fromWordArt="0" anchor="ctr" anchorCtr="0" forceAA="0" compatLnSpc="1">
                              <a:prstTxWarp prst="textNoShape">
                                <a:avLst/>
                              </a:prstTxWarp>
                            </wps:bodyPr>
                          </wps:wsp>
                          <wps:wsp>
                            <wps:cNvPr id="1073742052" name="Прямоугольник 1073742052"/>
                            <wps:cNvSpPr/>
                            <wps:spPr>
                              <a:xfrm>
                                <a:off x="160239" y="2307713"/>
                                <a:ext cx="3053768" cy="407319"/>
                              </a:xfrm>
                              <a:prstGeom prst="rect">
                                <a:avLst/>
                              </a:prstGeom>
                              <a:noFill/>
                              <a:ln w="9525" cap="flat" cmpd="sng" algn="ctr">
                                <a:solidFill>
                                  <a:sysClr val="windowText" lastClr="000000"/>
                                </a:solidFill>
                                <a:prstDash val="solid"/>
                              </a:ln>
                              <a:effectLst/>
                            </wps:spPr>
                            <wps:txbx>
                              <w:txbxContent>
                                <w:p w14:paraId="5EFC71E9" w14:textId="77777777" w:rsidR="00B56753" w:rsidRPr="00427498" w:rsidRDefault="00B56753" w:rsidP="003C51B1">
                                  <w:pPr>
                                    <w:pStyle w:val="NormalWeb"/>
                                    <w:spacing w:before="0" w:beforeAutospacing="0" w:after="0" w:afterAutospacing="0"/>
                                    <w:jc w:val="center"/>
                                    <w:rPr>
                                      <w:rFonts w:ascii="Garamond" w:hAnsi="Garamond"/>
                                      <w:lang w:val="en-US"/>
                                    </w:rPr>
                                  </w:pPr>
                                  <w:r w:rsidRPr="00427498">
                                    <w:rPr>
                                      <w:rFonts w:ascii="Garamond" w:eastAsia="Calibri" w:hAnsi="Garamond"/>
                                      <w:sz w:val="22"/>
                                      <w:szCs w:val="22"/>
                                      <w:lang w:val="en-US"/>
                                    </w:rPr>
                                    <w:t>International Center for Settlement of Investment Disputes (ICSID)</w:t>
                                  </w:r>
                                </w:p>
                              </w:txbxContent>
                            </wps:txbx>
                            <wps:bodyPr rot="0" spcFirstLastPara="0" vert="horz" wrap="square" lIns="91440" tIns="36000" rIns="91440" bIns="36000" numCol="1" spcCol="0" rtlCol="0" fromWordArt="0" anchor="ctr" anchorCtr="0" forceAA="0" compatLnSpc="1">
                              <a:prstTxWarp prst="textNoShape">
                                <a:avLst/>
                              </a:prstTxWarp>
                            </wps:bodyPr>
                          </wps:wsp>
                          <wps:wsp>
                            <wps:cNvPr id="1073742053" name="Прямоугольник 1073742053"/>
                            <wps:cNvSpPr/>
                            <wps:spPr>
                              <a:xfrm>
                                <a:off x="159787" y="2770933"/>
                                <a:ext cx="3054584" cy="273336"/>
                              </a:xfrm>
                              <a:prstGeom prst="rect">
                                <a:avLst/>
                              </a:prstGeom>
                              <a:noFill/>
                              <a:ln w="9525" cap="flat" cmpd="sng" algn="ctr">
                                <a:solidFill>
                                  <a:sysClr val="windowText" lastClr="000000"/>
                                </a:solidFill>
                                <a:prstDash val="solid"/>
                              </a:ln>
                              <a:effectLst/>
                            </wps:spPr>
                            <wps:txbx>
                              <w:txbxContent>
                                <w:p w14:paraId="57EAF46C" w14:textId="77777777" w:rsidR="00B56753" w:rsidRPr="00427498" w:rsidRDefault="00B56753" w:rsidP="003C51B1">
                                  <w:pPr>
                                    <w:pStyle w:val="NormalWeb"/>
                                    <w:spacing w:before="0" w:beforeAutospacing="0" w:after="0" w:afterAutospacing="0"/>
                                    <w:jc w:val="center"/>
                                    <w:rPr>
                                      <w:rFonts w:ascii="Garamond" w:hAnsi="Garamond"/>
                                      <w:lang w:val="en-US"/>
                                    </w:rPr>
                                  </w:pPr>
                                  <w:r w:rsidRPr="00427498">
                                    <w:rPr>
                                      <w:rFonts w:ascii="Garamond" w:eastAsia="Calibri" w:hAnsi="Garamond"/>
                                      <w:sz w:val="22"/>
                                      <w:szCs w:val="22"/>
                                      <w:lang w:val="en-US"/>
                                    </w:rPr>
                                    <w:t>International Finance Corporation (IFC)</w:t>
                                  </w:r>
                                </w:p>
                              </w:txbxContent>
                            </wps:txbx>
                            <wps:bodyPr rot="0" spcFirstLastPara="0" vert="horz" wrap="square" numCol="1" spcCol="0" rtlCol="0" fromWordArt="0" anchor="ctr" anchorCtr="0" forceAA="0" compatLnSpc="1">
                              <a:prstTxWarp prst="textNoShape">
                                <a:avLst/>
                              </a:prstTxWarp>
                            </wps:bodyPr>
                          </wps:wsp>
                          <wps:wsp>
                            <wps:cNvPr id="1073742054" name="Прямоугольник 1073742054"/>
                            <wps:cNvSpPr/>
                            <wps:spPr>
                              <a:xfrm>
                                <a:off x="159890" y="3097314"/>
                                <a:ext cx="3053768" cy="296339"/>
                              </a:xfrm>
                              <a:prstGeom prst="rect">
                                <a:avLst/>
                              </a:prstGeom>
                              <a:noFill/>
                              <a:ln w="9525" cap="flat" cmpd="sng" algn="ctr">
                                <a:solidFill>
                                  <a:sysClr val="windowText" lastClr="000000"/>
                                </a:solidFill>
                                <a:prstDash val="solid"/>
                              </a:ln>
                              <a:effectLst/>
                            </wps:spPr>
                            <wps:txbx>
                              <w:txbxContent>
                                <w:p w14:paraId="4D840417" w14:textId="77777777" w:rsidR="00B56753" w:rsidRPr="00427498" w:rsidRDefault="00B56753" w:rsidP="003C51B1">
                                  <w:pPr>
                                    <w:pStyle w:val="NormalWeb"/>
                                    <w:spacing w:before="0" w:beforeAutospacing="0" w:after="0" w:afterAutospacing="0"/>
                                    <w:jc w:val="center"/>
                                    <w:rPr>
                                      <w:rFonts w:ascii="Garamond" w:hAnsi="Garamond"/>
                                      <w:lang w:val="en-US"/>
                                    </w:rPr>
                                  </w:pPr>
                                  <w:r w:rsidRPr="00427498">
                                    <w:rPr>
                                      <w:rFonts w:ascii="Garamond" w:eastAsia="Calibri" w:hAnsi="Garamond"/>
                                      <w:sz w:val="22"/>
                                      <w:szCs w:val="22"/>
                                      <w:lang w:val="en-US"/>
                                    </w:rPr>
                                    <w:t>Multilateral Investment Guarantee Agency (MIGA)</w:t>
                                  </w:r>
                                </w:p>
                              </w:txbxContent>
                            </wps:txbx>
                            <wps:bodyPr rot="0" spcFirstLastPara="0" vert="horz" wrap="square" lIns="91440" tIns="36000" rIns="91440" bIns="36000" numCol="1" spcCol="0" rtlCol="0" fromWordArt="0" anchor="ctr" anchorCtr="0" forceAA="0" compatLnSpc="1">
                              <a:prstTxWarp prst="textNoShape">
                                <a:avLst/>
                              </a:prstTxWarp>
                            </wps:bodyPr>
                          </wps:wsp>
                          <wps:wsp>
                            <wps:cNvPr id="1073742055" name="Прямоугольник 1073742055"/>
                            <wps:cNvSpPr/>
                            <wps:spPr>
                              <a:xfrm>
                                <a:off x="3620042" y="1616206"/>
                                <a:ext cx="2163903" cy="318499"/>
                              </a:xfrm>
                              <a:prstGeom prst="rect">
                                <a:avLst/>
                              </a:prstGeom>
                              <a:noFill/>
                              <a:ln w="9525" cap="flat" cmpd="sng" algn="ctr">
                                <a:solidFill>
                                  <a:sysClr val="windowText" lastClr="000000"/>
                                </a:solidFill>
                                <a:prstDash val="solid"/>
                              </a:ln>
                              <a:effectLst/>
                            </wps:spPr>
                            <wps:txbx>
                              <w:txbxContent>
                                <w:p w14:paraId="2D4A3429" w14:textId="77777777" w:rsidR="00B56753" w:rsidRPr="00427498" w:rsidRDefault="00B56753" w:rsidP="003C51B1">
                                  <w:pPr>
                                    <w:pStyle w:val="NormalWeb"/>
                                    <w:spacing w:before="0" w:beforeAutospacing="0" w:after="0" w:afterAutospacing="0"/>
                                    <w:jc w:val="center"/>
                                    <w:rPr>
                                      <w:rFonts w:ascii="Garamond" w:hAnsi="Garamond"/>
                                      <w:lang w:val="en-US"/>
                                    </w:rPr>
                                  </w:pPr>
                                  <w:r w:rsidRPr="00427498">
                                    <w:rPr>
                                      <w:rFonts w:ascii="Garamond" w:eastAsia="Calibri" w:hAnsi="Garamond"/>
                                      <w:sz w:val="22"/>
                                      <w:szCs w:val="22"/>
                                      <w:lang w:val="en-US"/>
                                    </w:rPr>
                                    <w:t>African Development Bank</w:t>
                                  </w:r>
                                </w:p>
                              </w:txbxContent>
                            </wps:txbx>
                            <wps:bodyPr rot="0" spcFirstLastPara="0" vert="horz" wrap="square" numCol="1" spcCol="0" rtlCol="0" fromWordArt="0" anchor="ctr" anchorCtr="0" forceAA="0" compatLnSpc="1">
                              <a:prstTxWarp prst="textNoShape">
                                <a:avLst/>
                              </a:prstTxWarp>
                            </wps:bodyPr>
                          </wps:wsp>
                          <wps:wsp>
                            <wps:cNvPr id="1073742056" name="Прямоугольник 1073742056"/>
                            <wps:cNvSpPr/>
                            <wps:spPr>
                              <a:xfrm>
                                <a:off x="3619889" y="2019968"/>
                                <a:ext cx="2163326" cy="316859"/>
                              </a:xfrm>
                              <a:prstGeom prst="rect">
                                <a:avLst/>
                              </a:prstGeom>
                              <a:noFill/>
                              <a:ln w="9525" cap="flat" cmpd="sng" algn="ctr">
                                <a:solidFill>
                                  <a:sysClr val="windowText" lastClr="000000"/>
                                </a:solidFill>
                                <a:prstDash val="solid"/>
                              </a:ln>
                              <a:effectLst/>
                            </wps:spPr>
                            <wps:txbx>
                              <w:txbxContent>
                                <w:p w14:paraId="666A17F7" w14:textId="77777777" w:rsidR="00B56753" w:rsidRPr="00427498" w:rsidRDefault="00B56753" w:rsidP="003C51B1">
                                  <w:pPr>
                                    <w:pStyle w:val="NormalWeb"/>
                                    <w:spacing w:before="0" w:beforeAutospacing="0" w:after="0" w:afterAutospacing="0"/>
                                    <w:jc w:val="center"/>
                                    <w:rPr>
                                      <w:rFonts w:ascii="Garamond" w:eastAsia="Calibri" w:hAnsi="Garamond"/>
                                      <w:sz w:val="22"/>
                                      <w:szCs w:val="22"/>
                                      <w:lang w:val="en-US"/>
                                    </w:rPr>
                                  </w:pPr>
                                  <w:r w:rsidRPr="00427498">
                                    <w:rPr>
                                      <w:rFonts w:ascii="Garamond" w:eastAsia="Calibri" w:hAnsi="Garamond"/>
                                      <w:sz w:val="22"/>
                                      <w:szCs w:val="22"/>
                                      <w:lang w:val="en-US"/>
                                    </w:rPr>
                                    <w:t>Asian Development Bank</w:t>
                                  </w:r>
                                </w:p>
                              </w:txbxContent>
                            </wps:txbx>
                            <wps:bodyPr rot="0" spcFirstLastPara="0" vert="horz" wrap="square" numCol="1" spcCol="0" rtlCol="0" fromWordArt="0" anchor="ctr" anchorCtr="0" forceAA="0" compatLnSpc="1">
                              <a:prstTxWarp prst="textNoShape">
                                <a:avLst/>
                              </a:prstTxWarp>
                            </wps:bodyPr>
                          </wps:wsp>
                          <wps:wsp>
                            <wps:cNvPr id="1073742057" name="Прямоугольник 1073742057"/>
                            <wps:cNvSpPr/>
                            <wps:spPr>
                              <a:xfrm>
                                <a:off x="3619407" y="2416840"/>
                                <a:ext cx="2163903" cy="410656"/>
                              </a:xfrm>
                              <a:prstGeom prst="rect">
                                <a:avLst/>
                              </a:prstGeom>
                              <a:noFill/>
                              <a:ln w="9525" cap="flat" cmpd="sng" algn="ctr">
                                <a:solidFill>
                                  <a:sysClr val="windowText" lastClr="000000"/>
                                </a:solidFill>
                                <a:prstDash val="solid"/>
                              </a:ln>
                              <a:effectLst/>
                            </wps:spPr>
                            <wps:txbx>
                              <w:txbxContent>
                                <w:p w14:paraId="4E038945" w14:textId="77777777" w:rsidR="00B56753" w:rsidRPr="00427498" w:rsidRDefault="00B56753" w:rsidP="003C51B1">
                                  <w:pPr>
                                    <w:pStyle w:val="NormalWeb"/>
                                    <w:spacing w:before="0" w:beforeAutospacing="0" w:after="0" w:afterAutospacing="0"/>
                                    <w:jc w:val="center"/>
                                    <w:rPr>
                                      <w:rFonts w:ascii="Garamond" w:hAnsi="Garamond"/>
                                      <w:lang w:val="en-US"/>
                                    </w:rPr>
                                  </w:pPr>
                                  <w:r w:rsidRPr="00427498">
                                    <w:rPr>
                                      <w:rFonts w:ascii="Garamond" w:eastAsia="Calibri" w:hAnsi="Garamond"/>
                                      <w:sz w:val="22"/>
                                      <w:szCs w:val="22"/>
                                      <w:lang w:val="en-US"/>
                                    </w:rPr>
                                    <w:t>European Bank for Reconstruction and Development (EBRD)</w:t>
                                  </w:r>
                                </w:p>
                              </w:txbxContent>
                            </wps:txbx>
                            <wps:bodyPr rot="0" spcFirstLastPara="0" vert="horz" wrap="square" lIns="91440" tIns="0" rIns="91440" bIns="0" numCol="1" spcCol="0" rtlCol="0" fromWordArt="0" anchor="ctr" anchorCtr="0" forceAA="0" compatLnSpc="1">
                              <a:prstTxWarp prst="textNoShape">
                                <a:avLst/>
                              </a:prstTxWarp>
                            </wps:bodyPr>
                          </wps:wsp>
                          <wps:wsp>
                            <wps:cNvPr id="1073742058" name="Прямоугольник 1073742058"/>
                            <wps:cNvSpPr/>
                            <wps:spPr>
                              <a:xfrm>
                                <a:off x="3619254" y="2916126"/>
                                <a:ext cx="2163326" cy="427835"/>
                              </a:xfrm>
                              <a:prstGeom prst="rect">
                                <a:avLst/>
                              </a:prstGeom>
                              <a:noFill/>
                              <a:ln w="9525" cap="flat" cmpd="sng" algn="ctr">
                                <a:solidFill>
                                  <a:sysClr val="windowText" lastClr="000000"/>
                                </a:solidFill>
                                <a:prstDash val="solid"/>
                              </a:ln>
                              <a:effectLst/>
                            </wps:spPr>
                            <wps:txbx>
                              <w:txbxContent>
                                <w:p w14:paraId="7B4AED0C" w14:textId="77777777" w:rsidR="00B56753" w:rsidRDefault="00B56753" w:rsidP="003C51B1">
                                  <w:pPr>
                                    <w:pStyle w:val="NormalWeb"/>
                                    <w:spacing w:before="0" w:beforeAutospacing="0" w:after="0" w:afterAutospacing="0"/>
                                    <w:jc w:val="center"/>
                                    <w:rPr>
                                      <w:rFonts w:ascii="Garamond" w:eastAsia="Calibri" w:hAnsi="Garamond"/>
                                      <w:sz w:val="22"/>
                                      <w:szCs w:val="22"/>
                                      <w:lang w:val="en-US"/>
                                    </w:rPr>
                                  </w:pPr>
                                  <w:r w:rsidRPr="00427498">
                                    <w:rPr>
                                      <w:rFonts w:ascii="Garamond" w:eastAsia="Calibri" w:hAnsi="Garamond"/>
                                      <w:sz w:val="22"/>
                                      <w:szCs w:val="22"/>
                                      <w:lang w:val="en-US"/>
                                    </w:rPr>
                                    <w:t xml:space="preserve">Inter-American Development </w:t>
                                  </w:r>
                                </w:p>
                                <w:p w14:paraId="0474EC9C" w14:textId="77777777" w:rsidR="00B56753" w:rsidRPr="00427498" w:rsidRDefault="00B56753" w:rsidP="003C51B1">
                                  <w:pPr>
                                    <w:pStyle w:val="NormalWeb"/>
                                    <w:spacing w:before="0" w:beforeAutospacing="0" w:after="0" w:afterAutospacing="0"/>
                                    <w:jc w:val="center"/>
                                    <w:rPr>
                                      <w:rFonts w:ascii="Garamond" w:hAnsi="Garamond"/>
                                      <w:lang w:val="en-US"/>
                                    </w:rPr>
                                  </w:pPr>
                                  <w:r w:rsidRPr="00427498">
                                    <w:rPr>
                                      <w:rFonts w:ascii="Garamond" w:eastAsia="Calibri" w:hAnsi="Garamond"/>
                                      <w:sz w:val="22"/>
                                      <w:szCs w:val="22"/>
                                      <w:lang w:val="en-US"/>
                                    </w:rPr>
                                    <w:t>Bank (IDB)</w:t>
                                  </w:r>
                                </w:p>
                              </w:txbxContent>
                            </wps:txbx>
                            <wps:bodyPr rot="0" spcFirstLastPara="0" vert="horz" wrap="square" numCol="1" spcCol="0" rtlCol="0" fromWordArt="0" anchor="ctr" anchorCtr="0" forceAA="0" compatLnSpc="1">
                              <a:prstTxWarp prst="textNoShape">
                                <a:avLst/>
                              </a:prstTxWarp>
                            </wps:bodyPr>
                          </wps:wsp>
                          <wps:wsp>
                            <wps:cNvPr id="1073742059" name="Соединительная линия уступом 1073742059"/>
                            <wps:cNvCnPr/>
                            <wps:spPr>
                              <a:xfrm>
                                <a:off x="3214462" y="1278393"/>
                                <a:ext cx="273" cy="440471"/>
                              </a:xfrm>
                              <a:prstGeom prst="bentConnector3">
                                <a:avLst>
                                  <a:gd name="adj1" fmla="val 83836264"/>
                                </a:avLst>
                              </a:prstGeom>
                              <a:noFill/>
                              <a:ln w="9525" cap="flat" cmpd="sng" algn="ctr">
                                <a:solidFill>
                                  <a:sysClr val="windowText" lastClr="000000"/>
                                </a:solidFill>
                                <a:prstDash val="solid"/>
                                <a:tailEnd type="triangle"/>
                              </a:ln>
                              <a:effectLst/>
                            </wps:spPr>
                            <wps:bodyPr/>
                          </wps:wsp>
                          <wps:wsp>
                            <wps:cNvPr id="1073742060" name="Соединительная линия уступом 1073742060"/>
                            <wps:cNvCnPr/>
                            <wps:spPr>
                              <a:xfrm flipH="1">
                                <a:off x="3214007" y="1278393"/>
                                <a:ext cx="455" cy="1232980"/>
                              </a:xfrm>
                              <a:prstGeom prst="bentConnector3">
                                <a:avLst>
                                  <a:gd name="adj1" fmla="val -50241758"/>
                                </a:avLst>
                              </a:prstGeom>
                              <a:noFill/>
                              <a:ln w="9525" cap="flat" cmpd="sng" algn="ctr">
                                <a:solidFill>
                                  <a:sysClr val="windowText" lastClr="000000"/>
                                </a:solidFill>
                                <a:prstDash val="solid"/>
                                <a:tailEnd type="triangle"/>
                              </a:ln>
                              <a:effectLst/>
                            </wps:spPr>
                            <wps:bodyPr/>
                          </wps:wsp>
                          <wps:wsp>
                            <wps:cNvPr id="1073742061" name="Соединительная линия уступом 1073742061"/>
                            <wps:cNvCnPr/>
                            <wps:spPr>
                              <a:xfrm flipH="1">
                                <a:off x="3214371" y="1278393"/>
                                <a:ext cx="91" cy="1629208"/>
                              </a:xfrm>
                              <a:prstGeom prst="bentConnector3">
                                <a:avLst>
                                  <a:gd name="adj1" fmla="val -251208791"/>
                                </a:avLst>
                              </a:prstGeom>
                              <a:noFill/>
                              <a:ln w="9525" cap="flat" cmpd="sng" algn="ctr">
                                <a:solidFill>
                                  <a:sysClr val="windowText" lastClr="000000"/>
                                </a:solidFill>
                                <a:prstDash val="solid"/>
                                <a:tailEnd type="triangle"/>
                              </a:ln>
                              <a:effectLst/>
                            </wps:spPr>
                            <wps:bodyPr/>
                          </wps:wsp>
                          <wps:wsp>
                            <wps:cNvPr id="1073742062" name="Соединительная линия уступом 1073742062"/>
                            <wps:cNvCnPr/>
                            <wps:spPr>
                              <a:xfrm rot="5400000">
                                <a:off x="2913074" y="344484"/>
                                <a:ext cx="272029" cy="1324532"/>
                              </a:xfrm>
                              <a:prstGeom prst="bentConnector3">
                                <a:avLst/>
                              </a:prstGeom>
                              <a:noFill/>
                              <a:ln w="9525" cap="flat" cmpd="sng" algn="ctr">
                                <a:solidFill>
                                  <a:sysClr val="windowText" lastClr="000000"/>
                                </a:solidFill>
                                <a:prstDash val="solid"/>
                                <a:tailEnd type="triangle"/>
                              </a:ln>
                              <a:effectLst/>
                            </wps:spPr>
                            <wps:bodyPr/>
                          </wps:wsp>
                          <wps:wsp>
                            <wps:cNvPr id="1073742063" name="Соединительная линия уступом 1073742063"/>
                            <wps:cNvCnPr/>
                            <wps:spPr>
                              <a:xfrm rot="16200000" flipH="1">
                                <a:off x="4070601" y="511488"/>
                                <a:ext cx="272068" cy="990563"/>
                              </a:xfrm>
                              <a:prstGeom prst="bentConnector3">
                                <a:avLst/>
                              </a:prstGeom>
                              <a:noFill/>
                              <a:ln w="9525" cap="flat" cmpd="sng" algn="ctr">
                                <a:solidFill>
                                  <a:sysClr val="windowText" lastClr="000000"/>
                                </a:solidFill>
                                <a:prstDash val="solid"/>
                                <a:tailEnd type="triangle"/>
                              </a:ln>
                              <a:effectLst/>
                            </wps:spPr>
                            <wps:bodyPr/>
                          </wps:wsp>
                          <wps:wsp>
                            <wps:cNvPr id="1073742064" name="Соединительная линия уступом 1073742064"/>
                            <wps:cNvCnPr/>
                            <wps:spPr>
                              <a:xfrm flipH="1">
                                <a:off x="3213658" y="1278393"/>
                                <a:ext cx="804" cy="1967091"/>
                              </a:xfrm>
                              <a:prstGeom prst="bentConnector3">
                                <a:avLst>
                                  <a:gd name="adj1" fmla="val -28432836"/>
                                </a:avLst>
                              </a:prstGeom>
                              <a:noFill/>
                              <a:ln w="9525" cap="flat" cmpd="sng" algn="ctr">
                                <a:solidFill>
                                  <a:sysClr val="windowText" lastClr="000000"/>
                                </a:solidFill>
                                <a:prstDash val="solid"/>
                                <a:tailEnd type="triangle"/>
                              </a:ln>
                              <a:effectLst/>
                            </wps:spPr>
                            <wps:bodyPr/>
                          </wps:wsp>
                          <wps:wsp>
                            <wps:cNvPr id="1073742065" name="Прямая со стрелкой 1073742065"/>
                            <wps:cNvCnPr/>
                            <wps:spPr>
                              <a:xfrm>
                                <a:off x="744717" y="400050"/>
                                <a:ext cx="0" cy="188089"/>
                              </a:xfrm>
                              <a:prstGeom prst="straightConnector1">
                                <a:avLst/>
                              </a:prstGeom>
                              <a:noFill/>
                              <a:ln w="9525" cap="flat" cmpd="sng" algn="ctr">
                                <a:solidFill>
                                  <a:sysClr val="windowText" lastClr="000000"/>
                                </a:solidFill>
                                <a:prstDash val="solid"/>
                                <a:tailEnd type="triangle"/>
                              </a:ln>
                              <a:effectLst/>
                            </wps:spPr>
                            <wps:bodyPr/>
                          </wps:wsp>
                          <wps:wsp>
                            <wps:cNvPr id="1073742066" name="Прямая со стрелкой 1073742066"/>
                            <wps:cNvCnPr/>
                            <wps:spPr>
                              <a:xfrm>
                                <a:off x="3716518" y="400050"/>
                                <a:ext cx="0" cy="185097"/>
                              </a:xfrm>
                              <a:prstGeom prst="straightConnector1">
                                <a:avLst/>
                              </a:prstGeom>
                              <a:noFill/>
                              <a:ln w="9525" cap="flat" cmpd="sng" algn="ctr">
                                <a:solidFill>
                                  <a:sysClr val="windowText" lastClr="000000"/>
                                </a:solidFill>
                                <a:prstDash val="solid"/>
                                <a:tailEnd type="triangle"/>
                              </a:ln>
                              <a:effectLst/>
                            </wps:spPr>
                            <wps:bodyPr/>
                          </wps:wsp>
                          <wps:wsp>
                            <wps:cNvPr id="1073742067" name="Соединительная линия уступом 1073742067"/>
                            <wps:cNvCnPr/>
                            <wps:spPr>
                              <a:xfrm>
                                <a:off x="5783945" y="1311407"/>
                                <a:ext cx="12700" cy="464049"/>
                              </a:xfrm>
                              <a:prstGeom prst="bentConnector3">
                                <a:avLst>
                                  <a:gd name="adj1" fmla="val 1800000"/>
                                </a:avLst>
                              </a:prstGeom>
                              <a:noFill/>
                              <a:ln w="9525" cap="flat" cmpd="sng" algn="ctr">
                                <a:solidFill>
                                  <a:sysClr val="windowText" lastClr="000000"/>
                                </a:solidFill>
                                <a:prstDash val="solid"/>
                                <a:tailEnd type="triangle"/>
                              </a:ln>
                              <a:effectLst/>
                            </wps:spPr>
                            <wps:bodyPr/>
                          </wps:wsp>
                          <wps:wsp>
                            <wps:cNvPr id="1073742068" name="Соединительная линия уступом 1073742068"/>
                            <wps:cNvCnPr/>
                            <wps:spPr>
                              <a:xfrm flipH="1">
                                <a:off x="5783215" y="1311407"/>
                                <a:ext cx="730" cy="866991"/>
                              </a:xfrm>
                              <a:prstGeom prst="bentConnector3">
                                <a:avLst>
                                  <a:gd name="adj1" fmla="val -31315068"/>
                                </a:avLst>
                              </a:prstGeom>
                              <a:noFill/>
                              <a:ln w="9525" cap="flat" cmpd="sng" algn="ctr">
                                <a:solidFill>
                                  <a:sysClr val="windowText" lastClr="000000"/>
                                </a:solidFill>
                                <a:prstDash val="solid"/>
                                <a:tailEnd type="triangle"/>
                              </a:ln>
                              <a:effectLst/>
                            </wps:spPr>
                            <wps:bodyPr/>
                          </wps:wsp>
                          <wps:wsp>
                            <wps:cNvPr id="1073742069" name="Соединительная линия уступом 1073742069"/>
                            <wps:cNvCnPr/>
                            <wps:spPr>
                              <a:xfrm flipH="1">
                                <a:off x="5783310" y="1311407"/>
                                <a:ext cx="635" cy="1310761"/>
                              </a:xfrm>
                              <a:prstGeom prst="bentConnector3">
                                <a:avLst>
                                  <a:gd name="adj1" fmla="val -36000000"/>
                                </a:avLst>
                              </a:prstGeom>
                              <a:noFill/>
                              <a:ln w="9525" cap="flat" cmpd="sng" algn="ctr">
                                <a:solidFill>
                                  <a:sysClr val="windowText" lastClr="000000"/>
                                </a:solidFill>
                                <a:prstDash val="solid"/>
                                <a:tailEnd type="triangle"/>
                              </a:ln>
                              <a:effectLst/>
                            </wps:spPr>
                            <wps:bodyPr/>
                          </wps:wsp>
                          <wps:wsp>
                            <wps:cNvPr id="1073742070" name="Соединительная линия уступом 1073742070"/>
                            <wps:cNvCnPr/>
                            <wps:spPr>
                              <a:xfrm flipH="1">
                                <a:off x="5782580" y="1311407"/>
                                <a:ext cx="1365" cy="1818637"/>
                              </a:xfrm>
                              <a:prstGeom prst="bentConnector3">
                                <a:avLst>
                                  <a:gd name="adj1" fmla="val -16747253"/>
                                </a:avLst>
                              </a:prstGeom>
                              <a:noFill/>
                              <a:ln w="9525" cap="flat" cmpd="sng" algn="ctr">
                                <a:solidFill>
                                  <a:sysClr val="windowText" lastClr="000000"/>
                                </a:solidFill>
                                <a:prstDash val="solid"/>
                                <a:tailEnd type="triangle"/>
                              </a:ln>
                              <a:effectLst/>
                            </wps:spPr>
                            <wps:bodyPr/>
                          </wps:wsp>
                          <wps:wsp>
                            <wps:cNvPr id="1073742071" name="Прямоугольник 1073742071"/>
                            <wps:cNvSpPr/>
                            <wps:spPr>
                              <a:xfrm>
                                <a:off x="160386" y="1982228"/>
                                <a:ext cx="3054350" cy="273050"/>
                              </a:xfrm>
                              <a:prstGeom prst="rect">
                                <a:avLst/>
                              </a:prstGeom>
                              <a:noFill/>
                              <a:ln w="9525" cap="flat" cmpd="sng" algn="ctr">
                                <a:solidFill>
                                  <a:sysClr val="windowText" lastClr="000000"/>
                                </a:solidFill>
                                <a:prstDash val="solid"/>
                              </a:ln>
                              <a:effectLst/>
                            </wps:spPr>
                            <wps:txbx>
                              <w:txbxContent>
                                <w:p w14:paraId="3765DC88" w14:textId="77777777" w:rsidR="00B56753" w:rsidRDefault="00B56753" w:rsidP="003C51B1">
                                  <w:pPr>
                                    <w:pStyle w:val="NormalWeb"/>
                                    <w:spacing w:before="0" w:beforeAutospacing="0" w:after="0" w:afterAutospacing="0"/>
                                    <w:jc w:val="center"/>
                                  </w:pPr>
                                  <w:r>
                                    <w:rPr>
                                      <w:rFonts w:ascii="Garamond" w:eastAsia="Calibri" w:hAnsi="Garamond"/>
                                      <w:sz w:val="22"/>
                                      <w:szCs w:val="22"/>
                                      <w:lang w:val="en-US"/>
                                    </w:rPr>
                                    <w:t>International Development Association (IDA)</w:t>
                                  </w:r>
                                </w:p>
                              </w:txbxContent>
                            </wps:txbx>
                            <wps:bodyPr rot="0" spcFirstLastPara="0" vert="horz" wrap="square" numCol="1" spcCol="0" rtlCol="0" fromWordArt="0" anchor="ctr" anchorCtr="0" forceAA="0" compatLnSpc="1">
                              <a:prstTxWarp prst="textNoShape">
                                <a:avLst/>
                              </a:prstTxWarp>
                            </wps:bodyPr>
                          </wps:wsp>
                        </wpg:grpSp>
                        <wps:wsp>
                          <wps:cNvPr id="1073742072" name="Соединительная линия уступом 1073742072"/>
                          <wps:cNvCnPr/>
                          <wps:spPr>
                            <a:xfrm>
                              <a:off x="3214452" y="1278391"/>
                              <a:ext cx="274" cy="840360"/>
                            </a:xfrm>
                            <a:prstGeom prst="bentConnector3">
                              <a:avLst>
                                <a:gd name="adj1" fmla="val 83530657"/>
                              </a:avLst>
                            </a:prstGeom>
                            <a:noFill/>
                            <a:ln w="9525" cap="flat" cmpd="sng" algn="ctr">
                              <a:solidFill>
                                <a:sysClr val="windowText" lastClr="000000"/>
                              </a:solidFill>
                              <a:prstDash val="solid"/>
                              <a:tailEnd type="triangle"/>
                            </a:ln>
                            <a:effectLst/>
                          </wps:spPr>
                          <wps:bodyPr/>
                        </wps:wsp>
                      </wpg:wgp>
                    </wpc:wpc>
                  </a:graphicData>
                </a:graphic>
              </wp:inline>
            </w:drawing>
          </mc:Choice>
          <mc:Fallback>
            <w:pict>
              <v:group id="Полотно 1073742073" o:spid="_x0000_s1394" editas="canvas" style="width:480.25pt;height:273.15pt;mso-position-horizontal-relative:char;mso-position-vertical-relative:line" coordsize="60985,34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">
                <v:shape id="_x0000_s1395" type="#_x0000_t75" style="position:absolute;width:60985;height:34690;visibility:visible;mso-wrap-style:square">
                  <v:fill o:detectmouseclick="t"/>
                  <v:path o:connecttype="none"/>
                </v:shape>
                <v:group id="Группа 1073742044" o:spid="_x0000_s1396" style="position:absolute;left:1047;top:952;width:58859;height:32984" coordorigin="1047,952" coordsize="58858,329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6CzSyyQAA&#10;AOMAAAAPAAAAAAAAAAAAAAAAAKoCAABkcnMvZG93bnJldi54bWxQSwUGAAAAAAQABAD6AAAAoAMA&#10;AAAA&#10;">
                  <v:group id="Группа 1073742045" o:spid="_x0000_s1397" style="position:absolute;left:1047;top:952;width:58859;height:32984" coordorigin="1047,952" coordsize="58858,329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NVHkSnIAAAA&#10;4wAAAA8AAAAAAAAAAAAAAAAAqgIAAGRycy9kb3ducmV2LnhtbFBLBQYAAAAABAAEAPoAAACfAwAA&#10;AAA=&#10;">
                    <v:roundrect id="Скругленный прямоугольник 1073742046" o:spid="_x0000_s1398" style="position:absolute;left:15498;top:5851;width:43230;height:28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MXXMcA&#10;AADjAAAADwAAAGRycy9kb3ducmV2LnhtbERPT2vCMBS/D/Ydwht4m4m2qHRGGYLgSZl68fZo3tJi&#10;89I1Udt9+mUw2PH9/r/luneNuFMXas8aJmMFgrj0pmar4Xzavi5AhIhssPFMGgYKsF49Py2xMP7B&#10;H3Q/RitSCIcCNVQxtoWUoazIYRj7ljhxn75zGNPZWWk6fKRw18ipUjPpsObUUGFLm4rK6/HmNOxP&#10;l68dHvos/85oOAzKXnBvtR699O9vICL18V/8596ZNF/Ns3k+VfkMfn9KAM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HjF1zHAAAA4wAAAA8AAAAAAAAAAAAAAAAAmAIAAGRy&#10;cy9kb3ducmV2LnhtbFBLBQYAAAAABAAEAPUAAACMAwAAAAA=&#10;" filled="f" strokecolor="windowText">
                      <v:textbox>
                        <w:txbxContent>
                          <w:p w:rsidR="00B56753" w:rsidRPr="00427498" w:rsidRDefault="00B56753" w:rsidP="003C51B1">
                            <w:pPr>
                              <w:jc w:val="center"/>
                              <w:rPr>
                                <w:color w:val="000000" w:themeColor="text1"/>
                                <w:lang w:val="en-US"/>
                              </w:rPr>
                            </w:pPr>
                            <w:r w:rsidRPr="00427498">
                              <w:rPr>
                                <w:color w:val="000000" w:themeColor="text1"/>
                                <w:lang w:val="en-US"/>
                              </w:rPr>
                              <w:t>Multilateral development banks (MDBs)</w:t>
                            </w:r>
                          </w:p>
                        </w:txbxContent>
                      </v:textbox>
                    </v:roundrect>
                    <v:roundrect id="Скругленный прямоугольник 1073742047" o:spid="_x0000_s1399" style="position:absolute;left:1047;top:952;width:58859;height:29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yx8cA&#10;AADjAAAADwAAAGRycy9kb3ducmV2LnhtbERPT2vCMBS/D/Ydwht4m8lsWaUaZQwGnpSpF2+P5pkW&#10;m5euybT10y+DwY7v9/8t14NrxZX60HjW8DJVIIgrbxq2Go6Hj+c5iBCRDbaeScNIAdarx4cllsbf&#10;+JOu+2hFCuFQooY6xq6UMlQ1OQxT3xEn7ux7hzGdvZWmx1sKd62cKfUqHTacGmrs6L2m6rL/dhq2&#10;h9PXBndDlt8zGnejsifcWq0nT8PbAkSkIf6L/9wbk+arIivymcoL+P0pASB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6vssfHAAAA4wAAAA8AAAAAAAAAAAAAAAAAmAIAAGRy&#10;cy9kb3ducmV2LnhtbFBLBQYAAAAABAAEAPUAAACMAwAAAAA=&#10;" filled="f" strokecolor="windowText">
                      <v:textbox>
                        <w:txbxContent>
                          <w:p w:rsidR="00B56753" w:rsidRPr="00427498" w:rsidRDefault="00B56753" w:rsidP="003C51B1">
                            <w:pPr>
                              <w:pStyle w:val="afc"/>
                              <w:spacing w:before="0" w:beforeAutospacing="0" w:after="0" w:afterAutospacing="0"/>
                              <w:jc w:val="center"/>
                              <w:rPr>
                                <w:rFonts w:ascii="Garamond" w:hAnsi="Garamond"/>
                                <w:b/>
                                <w:lang w:val="en-US"/>
                              </w:rPr>
                            </w:pPr>
                            <w:r w:rsidRPr="00427498">
                              <w:rPr>
                                <w:rFonts w:ascii="Garamond" w:eastAsia="Calibri" w:hAnsi="Garamond"/>
                                <w:b/>
                                <w:sz w:val="22"/>
                                <w:szCs w:val="22"/>
                                <w:lang w:val="en-US"/>
                              </w:rPr>
                              <w:t>International financial institutions (IFIs)</w:t>
                            </w:r>
                          </w:p>
                        </w:txbxContent>
                      </v:textbox>
                    </v:roundrect>
                    <v:roundrect id="Скругленный прямоугольник 1073742048" o:spid="_x0000_s1400" style="position:absolute;left:1602;top:5881;width:11689;height:723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" fillcolor="#f2f2f2" strokecolor="windowText">
                      <v:textbox>
                        <w:txbxContent>
                          <w:p w:rsidR="00B56753" w:rsidRPr="00427498" w:rsidRDefault="00B56753" w:rsidP="003C51B1">
                            <w:pPr>
                              <w:pStyle w:val="afc"/>
                              <w:spacing w:before="0" w:beforeAutospacing="0" w:after="0" w:afterAutospacing="0"/>
                              <w:jc w:val="center"/>
                              <w:rPr>
                                <w:rFonts w:ascii="Garamond" w:hAnsi="Garamond"/>
                                <w:lang w:val="en-US"/>
                              </w:rPr>
                            </w:pPr>
                            <w:r w:rsidRPr="00427498">
                              <w:rPr>
                                <w:rFonts w:ascii="Garamond" w:eastAsia="Calibri" w:hAnsi="Garamond"/>
                                <w:sz w:val="22"/>
                                <w:szCs w:val="22"/>
                                <w:lang w:val="en-US"/>
                              </w:rPr>
                              <w:t>International Monetary Fund (IMF)</w:t>
                            </w:r>
                          </w:p>
                        </w:txbxContent>
                      </v:textbox>
                    </v:roundrect>
                    <v:roundrect id="Скругленный прямоугольник 1073742049" o:spid="_x0000_s1401" style="position:absolute;left:15591;top:11427;width:16553;height:271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me3cgA&#10;AADjAAAADwAAAGRycy9kb3ducmV2LnhtbERPzWrCQBC+F/oOywje6q5WakxdJS2IHsRS9eBxyE6T&#10;YHY2ZFeNb+8KBY/z/c9s0dlaXKj1lWMNw4ECQZw7U3Gh4bBfviUgfEA2WDsmDTfysJi/vswwNe7K&#10;v3TZhULEEPYpaihDaFIpfV6SRT9wDXHk/lxrMcSzLaRp8RrDbS1HSn1IixXHhhIb+i4pP+3OVsN2&#10;c0x8k6zPX6uf09YkecHZJtO63+uyTxCBuvAU/7vXJs5Xk/fJeKTGU3j8FAGQ8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2qZ7dyAAAAOMAAAAPAAAAAAAAAAAAAAAAAJgCAABk&#10;cnMvZG93bnJldi54bWxQSwUGAAAAAAQABAD1AAAAjQMAAAAA&#10;" fillcolor="#f2f2f2" strokecolor="windowText">
                      <v:textbox inset=",0,,0">
                        <w:txbxContent>
                          <w:p w:rsidR="00B56753" w:rsidRPr="00427498" w:rsidRDefault="00B56753" w:rsidP="003C51B1">
                            <w:pPr>
                              <w:pStyle w:val="afc"/>
                              <w:spacing w:before="0" w:beforeAutospacing="0" w:after="0" w:afterAutospacing="0"/>
                              <w:jc w:val="center"/>
                              <w:rPr>
                                <w:rFonts w:ascii="Garamond" w:hAnsi="Garamond"/>
                                <w:lang w:val="en-US"/>
                              </w:rPr>
                            </w:pPr>
                            <w:r w:rsidRPr="00427498">
                              <w:rPr>
                                <w:rFonts w:ascii="Garamond" w:eastAsia="Calibri" w:hAnsi="Garamond"/>
                                <w:sz w:val="22"/>
                                <w:szCs w:val="22"/>
                                <w:lang w:val="en-US"/>
                              </w:rPr>
                              <w:t>The World Bank Group</w:t>
                            </w:r>
                          </w:p>
                        </w:txbxContent>
                      </v:textbox>
                    </v:roundrect>
                    <v:roundrect id="Скругленный прямоугольник 1073742050" o:spid="_x0000_s1402" style="position:absolute;left:36198;top:11428;width:21641;height:337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" fillcolor="#f2f2f2" strokecolor="windowText">
                      <v:textbox inset=",0,,0">
                        <w:txbxContent>
                          <w:p w:rsidR="00B56753" w:rsidRPr="00427498" w:rsidRDefault="00B56753" w:rsidP="003C51B1">
                            <w:pPr>
                              <w:pStyle w:val="afc"/>
                              <w:spacing w:before="0" w:beforeAutospacing="0" w:after="0" w:afterAutospacing="0"/>
                              <w:jc w:val="center"/>
                              <w:rPr>
                                <w:rFonts w:ascii="Garamond" w:hAnsi="Garamond"/>
                                <w:lang w:val="en-US"/>
                              </w:rPr>
                            </w:pPr>
                            <w:r w:rsidRPr="00427498">
                              <w:rPr>
                                <w:rFonts w:ascii="Garamond" w:eastAsia="Calibri" w:hAnsi="Garamond"/>
                                <w:sz w:val="22"/>
                                <w:szCs w:val="22"/>
                                <w:lang w:val="en-US"/>
                              </w:rPr>
                              <w:t>UN regional development banks</w:t>
                            </w:r>
                          </w:p>
                        </w:txbxContent>
                      </v:textbox>
                    </v:roundrect>
                    <v:rect id="Прямоугольник 1073742051" o:spid="_x0000_s1403" style="position:absolute;left:1601;top:15152;width:30546;height:40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OdDscA&#10;AADjAAAADwAAAGRycy9kb3ducmV2LnhtbERP3UvDMBB/F/wfwg18c0nnR123bExB8ElYVXw9m1tT&#10;2lxKk23xvzeC4OP9vm+9TW4QJ5pC51lDMVcgiBtvOm41vL89Xz+ACBHZ4OCZNHxTgO3m8mKNlfFn&#10;3tOpjq3IIRwq1GBjHCspQ2PJYZj7kThzBz85jPmcWmkmPOdwN8iFUvfSYce5weJIT5aavj46Dftj&#10;ev3se6yXj7vQfST1ZYu61PpqlnYrEJFS/Bf/uV9Mnq/Km/J2oe4K+P0pAyA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DnQ7HAAAA4wAAAA8AAAAAAAAAAAAAAAAAmAIAAGRy&#10;cy9kb3ducmV2LnhtbFBLBQYAAAAABAAEAPUAAACMAwAAAAA=&#10;" filled="f" strokecolor="windowText">
                      <v:textbox inset=",1mm,,1mm">
                        <w:txbxContent>
                          <w:p w:rsidR="00B56753" w:rsidRPr="00427498" w:rsidRDefault="00B56753" w:rsidP="003C51B1">
                            <w:pPr>
                              <w:jc w:val="center"/>
                              <w:rPr>
                                <w:color w:val="000000" w:themeColor="text1"/>
                                <w:lang w:val="en-US"/>
                              </w:rPr>
                            </w:pPr>
                            <w:r w:rsidRPr="00427498">
                              <w:rPr>
                                <w:color w:val="000000" w:themeColor="text1"/>
                                <w:lang w:val="en-US"/>
                              </w:rPr>
                              <w:t>International Bank for Reconstruction &amp; Development (IBRD)</w:t>
                            </w:r>
                          </w:p>
                        </w:txbxContent>
                      </v:textbox>
                    </v:rect>
                    <v:rect id="Прямоугольник 1073742052" o:spid="_x0000_s1404" style="position:absolute;left:1602;top:23077;width:30538;height:40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EDeccA&#10;AADjAAAADwAAAGRycy9kb3ducmV2LnhtbERP3UvDMBB/F/wfwg18c8nqR123bExB8ElYVXw9m1tT&#10;2lxKk23xvzeC4OP9vm+9TW4QJ5pC51nDYq5AEDfedNxqeH97vn4AESKywcEzafimANvN5cUaK+PP&#10;vKdTHVuRQzhUqMHGOFZShsaSwzD3I3HmDn5yGPM5tdJMeM7hbpCFUvfSYce5weJIT5aavj46Dftj&#10;ev3se6yXj7vQfST1ZRd1qfXVLO1WICKl+C/+c7+YPF+VN+Vtoe4K+P0pAyA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RA3nHAAAA4wAAAA8AAAAAAAAAAAAAAAAAmAIAAGRy&#10;cy9kb3ducmV2LnhtbFBLBQYAAAAABAAEAPUAAACMAwAAAAA=&#10;" filled="f" strokecolor="windowText">
                      <v:textbox inset=",1mm,,1mm">
                        <w:txbxContent>
                          <w:p w:rsidR="00B56753" w:rsidRPr="00427498" w:rsidRDefault="00B56753" w:rsidP="003C51B1">
                            <w:pPr>
                              <w:pStyle w:val="afc"/>
                              <w:spacing w:before="0" w:beforeAutospacing="0" w:after="0" w:afterAutospacing="0"/>
                              <w:jc w:val="center"/>
                              <w:rPr>
                                <w:rFonts w:ascii="Garamond" w:hAnsi="Garamond"/>
                                <w:lang w:val="en-US"/>
                              </w:rPr>
                            </w:pPr>
                            <w:r w:rsidRPr="00427498">
                              <w:rPr>
                                <w:rFonts w:ascii="Garamond" w:eastAsia="Calibri" w:hAnsi="Garamond"/>
                                <w:sz w:val="22"/>
                                <w:szCs w:val="22"/>
                                <w:lang w:val="en-US"/>
                              </w:rPr>
                              <w:t>International Center for Settlement of Investment Disputes (ICSID)</w:t>
                            </w:r>
                          </w:p>
                        </w:txbxContent>
                      </v:textbox>
                    </v:rect>
                    <v:rect id="Прямоугольник 1073742053" o:spid="_x0000_s1405" style="position:absolute;left:1597;top:27709;width:30546;height:27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uYjsYA&#10;AADjAAAADwAAAGRycy9kb3ducmV2LnhtbERPyW7CMBC9V+IfrKnUW7HDlpJiUFupUsWNpfdRPCRu&#10;43GIXQh/XyMhcZy3z2LVu0acqAvWs4ZsqEAQl95YrjTsd5/PLyBCRDbYeCYNFwqwWg4eFlgYf+YN&#10;nbaxEimEQ4Ea6hjbQspQ1uQwDH1LnLiD7xzGdHaVNB2eU7hr5EipmXRoOTXU2NJHTeXv9s9paCfZ&#10;fP3zvle2tPklZPg9i8dG66fH/u0VRKQ+3sU395dJ81U+zicjNR3D9acEgF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luYjsYAAADjAAAADwAAAAAAAAAAAAAAAACYAgAAZHJz&#10;L2Rvd25yZXYueG1sUEsFBgAAAAAEAAQA9QAAAIsDAAAAAA==&#10;" filled="f" strokecolor="windowText">
                      <v:textbox>
                        <w:txbxContent>
                          <w:p w:rsidR="00B56753" w:rsidRPr="00427498" w:rsidRDefault="00B56753" w:rsidP="003C51B1">
                            <w:pPr>
                              <w:pStyle w:val="afc"/>
                              <w:spacing w:before="0" w:beforeAutospacing="0" w:after="0" w:afterAutospacing="0"/>
                              <w:jc w:val="center"/>
                              <w:rPr>
                                <w:rFonts w:ascii="Garamond" w:hAnsi="Garamond"/>
                                <w:lang w:val="en-US"/>
                              </w:rPr>
                            </w:pPr>
                            <w:r w:rsidRPr="00427498">
                              <w:rPr>
                                <w:rFonts w:ascii="Garamond" w:eastAsia="Calibri" w:hAnsi="Garamond"/>
                                <w:sz w:val="22"/>
                                <w:szCs w:val="22"/>
                                <w:lang w:val="en-US"/>
                              </w:rPr>
                              <w:t>International Finance Corporation (IFC)</w:t>
                            </w:r>
                          </w:p>
                        </w:txbxContent>
                      </v:textbox>
                    </v:rect>
                    <v:rect id="Прямоугольник 1073742054" o:spid="_x0000_s1406" style="position:absolute;left:1598;top:30973;width:30538;height:29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lscA&#10;AADjAAAADwAAAGRycy9kb3ducmV2LnhtbERPS0sDMRC+C/0PYQrebNKHrq5NSysInoSuitdxM26W&#10;3UyWTdrGf28Eocf53rPeJteLE42h9axhPlMgiGtvWm40vL8939yDCBHZYO+ZNPxQgO1mcrXG0vgz&#10;H+hUxUbkEA4larAxDqWUobbkMMz8QJy5bz86jPkcG2lGPOdw18uFUnfSYcu5weJAT5bqrjo6DYdj&#10;ev3sOqwe9rvQfiT1ZedVofX1NO0eQURK8SL+d7+YPF8Vy2K1ULcr+PspAy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l0PpbHAAAA4wAAAA8AAAAAAAAAAAAAAAAAmAIAAGRy&#10;cy9kb3ducmV2LnhtbFBLBQYAAAAABAAEAPUAAACMAwAAAAA=&#10;" filled="f" strokecolor="windowText">
                      <v:textbox inset=",1mm,,1mm">
                        <w:txbxContent>
                          <w:p w:rsidR="00B56753" w:rsidRPr="00427498" w:rsidRDefault="00B56753" w:rsidP="003C51B1">
                            <w:pPr>
                              <w:pStyle w:val="afc"/>
                              <w:spacing w:before="0" w:beforeAutospacing="0" w:after="0" w:afterAutospacing="0"/>
                              <w:jc w:val="center"/>
                              <w:rPr>
                                <w:rFonts w:ascii="Garamond" w:hAnsi="Garamond"/>
                                <w:lang w:val="en-US"/>
                              </w:rPr>
                            </w:pPr>
                            <w:r w:rsidRPr="00427498">
                              <w:rPr>
                                <w:rFonts w:ascii="Garamond" w:eastAsia="Calibri" w:hAnsi="Garamond"/>
                                <w:sz w:val="22"/>
                                <w:szCs w:val="22"/>
                                <w:lang w:val="en-US"/>
                              </w:rPr>
                              <w:t>Multilateral Investment Guarantee Agency (MIGA)</w:t>
                            </w:r>
                          </w:p>
                        </w:txbxContent>
                      </v:textbox>
                    </v:rect>
                    <v:rect id="Прямоугольник 1073742055" o:spid="_x0000_s1407" style="position:absolute;left:36200;top:16162;width:21639;height:31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6lYcYA&#10;AADjAAAADwAAAGRycy9kb3ducmV2LnhtbERPS2/CMAy+T+I/RJ6020jKgEIhoG3SpGk3XnerMW1Y&#10;45Qmg/Lvl0mTOPp7e7nuXSMu1AXrWUM2VCCIS28sVxr2u4/nGYgQkQ02nknDjQKsV4OHJRbGX3lD&#10;l22sRArhUKCGOsa2kDKUNTkMQ98SJ+7oO4cxnV0lTYfXFO4aOVJqKh1aTg01tvReU/m9/XEa2nE2&#10;/zq97ZUtbX4LGR6m8dxo/fTYvy5AROrjXfzv/jRpvspf8vFITSbw91MC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6lYcYAAADjAAAADwAAAAAAAAAAAAAAAACYAgAAZHJz&#10;L2Rvd25yZXYueG1sUEsFBgAAAAAEAAQA9QAAAIsDAAAAAA==&#10;" filled="f" strokecolor="windowText">
                      <v:textbox>
                        <w:txbxContent>
                          <w:p w:rsidR="00B56753" w:rsidRPr="00427498" w:rsidRDefault="00B56753" w:rsidP="003C51B1">
                            <w:pPr>
                              <w:pStyle w:val="afc"/>
                              <w:spacing w:before="0" w:beforeAutospacing="0" w:after="0" w:afterAutospacing="0"/>
                              <w:jc w:val="center"/>
                              <w:rPr>
                                <w:rFonts w:ascii="Garamond" w:hAnsi="Garamond"/>
                                <w:lang w:val="en-US"/>
                              </w:rPr>
                            </w:pPr>
                            <w:r w:rsidRPr="00427498">
                              <w:rPr>
                                <w:rFonts w:ascii="Garamond" w:eastAsia="Calibri" w:hAnsi="Garamond"/>
                                <w:sz w:val="22"/>
                                <w:szCs w:val="22"/>
                                <w:lang w:val="en-US"/>
                              </w:rPr>
                              <w:t>African Development Bank</w:t>
                            </w:r>
                          </w:p>
                        </w:txbxContent>
                      </v:textbox>
                    </v:rect>
                    <v:rect id="Прямоугольник 1073742056" o:spid="_x0000_s1408" style="position:absolute;left:36198;top:20199;width:21634;height:31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w7FsYA&#10;AADjAAAADwAAAGRycy9kb3ducmV2LnhtbERP3U/CMBB/N/F/aM7EN2mHuMGgEDQxMb7Jx/tlPbbC&#10;eh1rhfHfWxMTH+/3fYvV4FpxoT5YzxqykQJBXHljudaw274/TUGEiGyw9UwabhRgtby/W2Bp/JW/&#10;6LKJtUghHErU0MTYlVKGqiGHYeQ74sQdfO8wprOvpenxmsJdK8dK5dKh5dTQYEdvDVWnzbfT0E2y&#10;2efxdadsZYtbyHCfx3Or9ePDsJ6DiDTEf/Gf+8Ok+ap4LiZj9ZLD708JAL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iw7FsYAAADjAAAADwAAAAAAAAAAAAAAAACYAgAAZHJz&#10;L2Rvd25yZXYueG1sUEsFBgAAAAAEAAQA9QAAAIsDAAAAAA==&#10;" filled="f" strokecolor="windowText">
                      <v:textbox>
                        <w:txbxContent>
                          <w:p w:rsidR="00B56753" w:rsidRPr="00427498" w:rsidRDefault="00B56753" w:rsidP="003C51B1">
                            <w:pPr>
                              <w:pStyle w:val="afc"/>
                              <w:spacing w:before="0" w:beforeAutospacing="0" w:after="0" w:afterAutospacing="0"/>
                              <w:jc w:val="center"/>
                              <w:rPr>
                                <w:rFonts w:ascii="Garamond" w:eastAsia="Calibri" w:hAnsi="Garamond"/>
                                <w:sz w:val="22"/>
                                <w:szCs w:val="22"/>
                                <w:lang w:val="en-US"/>
                              </w:rPr>
                            </w:pPr>
                            <w:r w:rsidRPr="00427498">
                              <w:rPr>
                                <w:rFonts w:ascii="Garamond" w:eastAsia="Calibri" w:hAnsi="Garamond"/>
                                <w:sz w:val="22"/>
                                <w:szCs w:val="22"/>
                                <w:lang w:val="en-US"/>
                              </w:rPr>
                              <w:t>Asian Development Bank</w:t>
                            </w:r>
                          </w:p>
                        </w:txbxContent>
                      </v:textbox>
                    </v:rect>
                    <v:rect id="Прямоугольник 1073742057" o:spid="_x0000_s1409" style="position:absolute;left:36194;top:24168;width:21639;height:41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B4X8gA&#10;AADjAAAADwAAAGRycy9kb3ducmV2LnhtbERP3UvDMBB/F/wfwgl7c8lWZ0ddNkQQxh6UfbD5eDS3&#10;tthcSpN10b/eCIKP9/u+xSraVgzU+8axhslYgSAunWm40nDYv97PQfiAbLB1TBq+yMNqeXuzwMK4&#10;K29p2IVKpBD2BWqoQ+gKKX1Zk0U/dh1x4s6utxjS2VfS9HhN4baVU6UepcWGU0ONHb3UVH7uLlZD&#10;9v02+TjGdzxUp2F2tpE3XZNpPbqLz08gAsXwL/5zr02ar/Isf5iqWQ6/PyUA5PI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kHhfyAAAAOMAAAAPAAAAAAAAAAAAAAAAAJgCAABk&#10;cnMvZG93bnJldi54bWxQSwUGAAAAAAQABAD1AAAAjQMAAAAA&#10;" filled="f" strokecolor="windowText">
                      <v:textbox inset=",0,,0">
                        <w:txbxContent>
                          <w:p w:rsidR="00B56753" w:rsidRPr="00427498" w:rsidRDefault="00B56753" w:rsidP="003C51B1">
                            <w:pPr>
                              <w:pStyle w:val="afc"/>
                              <w:spacing w:before="0" w:beforeAutospacing="0" w:after="0" w:afterAutospacing="0"/>
                              <w:jc w:val="center"/>
                              <w:rPr>
                                <w:rFonts w:ascii="Garamond" w:hAnsi="Garamond"/>
                                <w:lang w:val="en-US"/>
                              </w:rPr>
                            </w:pPr>
                            <w:r w:rsidRPr="00427498">
                              <w:rPr>
                                <w:rFonts w:ascii="Garamond" w:eastAsia="Calibri" w:hAnsi="Garamond"/>
                                <w:sz w:val="22"/>
                                <w:szCs w:val="22"/>
                                <w:lang w:val="en-US"/>
                              </w:rPr>
                              <w:t>European Bank for Reconstruction and Development (EBRD)</w:t>
                            </w:r>
                          </w:p>
                        </w:txbxContent>
                      </v:textbox>
                    </v:rect>
                    <v:rect id="Прямоугольник 1073742058" o:spid="_x0000_s1410" style="position:absolute;left:36192;top:29161;width:21633;height:42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8K/8kA&#10;AADjAAAADwAAAGRycy9kb3ducmV2LnhtbESPQU/DMAyF70j7D5GRuLGkY6xQlk2AhDRxY4y71Zg2&#10;0DhdE7bu3+PDpB3t9/ze5+V6DJ060JB8ZAvF1IAirqPz3FjYfb7dPoBKGdlhF5ksnCjBejW5WmLl&#10;4pE/6LDNjZIQThVaaHPuK61T3VLANI09sWjfcQiYZRwa7QY8Snjo9MyYhQ7oWRpa7Om1pfp3+xcs&#10;9PPi8f3nZWd87ctTKvBrkfedtTfX4/MTqExjvpjP1xsn+Ka8K+czcy/Q8pMsQK/+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P8K/8kAAADjAAAADwAAAAAAAAAAAAAAAACYAgAA&#10;ZHJzL2Rvd25yZXYueG1sUEsFBgAAAAAEAAQA9QAAAI4DAAAAAA==&#10;" filled="f" strokecolor="windowText">
                      <v:textbox>
                        <w:txbxContent>
                          <w:p w:rsidR="00B56753" w:rsidRDefault="00B56753" w:rsidP="003C51B1">
                            <w:pPr>
                              <w:pStyle w:val="afc"/>
                              <w:spacing w:before="0" w:beforeAutospacing="0" w:after="0" w:afterAutospacing="0"/>
                              <w:jc w:val="center"/>
                              <w:rPr>
                                <w:rFonts w:ascii="Garamond" w:eastAsia="Calibri" w:hAnsi="Garamond"/>
                                <w:sz w:val="22"/>
                                <w:szCs w:val="22"/>
                                <w:lang w:val="en-US"/>
                              </w:rPr>
                            </w:pPr>
                            <w:r w:rsidRPr="00427498">
                              <w:rPr>
                                <w:rFonts w:ascii="Garamond" w:eastAsia="Calibri" w:hAnsi="Garamond"/>
                                <w:sz w:val="22"/>
                                <w:szCs w:val="22"/>
                                <w:lang w:val="en-US"/>
                              </w:rPr>
                              <w:t xml:space="preserve">Inter-American Development </w:t>
                            </w:r>
                          </w:p>
                          <w:p w:rsidR="00B56753" w:rsidRPr="00427498" w:rsidRDefault="00B56753" w:rsidP="003C51B1">
                            <w:pPr>
                              <w:pStyle w:val="afc"/>
                              <w:spacing w:before="0" w:beforeAutospacing="0" w:after="0" w:afterAutospacing="0"/>
                              <w:jc w:val="center"/>
                              <w:rPr>
                                <w:rFonts w:ascii="Garamond" w:hAnsi="Garamond"/>
                                <w:lang w:val="en-US"/>
                              </w:rPr>
                            </w:pPr>
                            <w:r w:rsidRPr="00427498">
                              <w:rPr>
                                <w:rFonts w:ascii="Garamond" w:eastAsia="Calibri" w:hAnsi="Garamond"/>
                                <w:sz w:val="22"/>
                                <w:szCs w:val="22"/>
                                <w:lang w:val="en-US"/>
                              </w:rPr>
                              <w:t>Bank (IDB)</w:t>
                            </w:r>
                          </w:p>
                        </w:txbxContent>
                      </v:textbox>
                    </v:rect>
                    <v:shape id="Соединительная линия уступом 1073742059" o:spid="_x0000_s1411" type="#_x0000_t34" style="position:absolute;left:32144;top:12783;width:3;height:4405;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vux8YAAADjAAAADwAAAGRycy9kb3ducmV2LnhtbERPS2vCQBC+F/oflil4q7uN7+gqpRCU&#10;ekoUz0N2TILZ2ZDdavrvu4VCj/O9Z7MbbCvu1PvGsYa3sQJBXDrTcKXhfMpelyB8QDbYOiYN3+Rh&#10;t31+2mBq3INzuhehEjGEfYoa6hC6VEpf1mTRj11HHLmr6y2GePaVND0+YrhtZaLUXFpsODbU2NFH&#10;TeWt+LIakmM++H247HPzqWS2Kg6z7DbVevQyvK9BBBrCv/jPfTBxvlpMFtNEzVbw+1MEQG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Bb7sfGAAAA4wAAAA8AAAAAAAAA&#10;AAAAAAAAoQIAAGRycy9kb3ducmV2LnhtbFBLBQYAAAAABAAEAPkAAACUAwAAAAA=&#10;" adj="18108633" strokecolor="windowText">
                      <v:stroke endarrow="block"/>
                    </v:shape>
                    <v:shape id="Соединительная линия уступом 1073742060" o:spid="_x0000_s1412" type="#_x0000_t34" style="position:absolute;left:32140;top:12783;width:4;height:1233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sxfoHygAAAOMAAAAPAAAA&#10;AAAAAAAAAAAAAKECAABkcnMvZG93bnJldi54bWxQSwUGAAAAAAQABAD5AAAAmAMAAAAA&#10;" adj="-10852220" strokecolor="windowText">
                      <v:stroke endarrow="block"/>
                    </v:shape>
                    <v:shape id="Соединительная линия уступом 1073742061" o:spid="_x0000_s1413" type="#_x0000_t34" style="position:absolute;left:32143;top:12783;width:1;height:16293;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Qt38kAAADjAAAADwAAAGRycy9kb3ducmV2LnhtbERPzUoDMRC+F3yHMAVvNmktbV2bFhUE&#10;FSra2uJx2Ex3g5vJksTu+vZGEHqc73+W69414kQhWs8axiMFgrj0xnKl4WP3eLUAEROywcYzafih&#10;COvVxWCJhfEdv9NpmyqRQzgWqKFOqS2kjGVNDuPIt8SZO/rgMOUzVNIE7HK4a+REqZl0aDk31NjS&#10;Q03l1/bbaWg2sXs77F+fbbv39sa/TA/h/lPry2F/dwsiUZ/O4n/3k8nz1fx6Pp2o2Rj+fsoAyNU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M5ULd/JAAAA4wAAAA8AAAAA&#10;AAAAAAAAAAAAoQIAAGRycy9kb3ducmV2LnhtbFBLBQYAAAAABAAEAPkAAACXAwAAAAA=&#10;" adj="-54261099" strokecolor="windowText">
                      <v:stroke endarrow="block"/>
                    </v:shape>
                    <v:shape id="Соединительная линия уступом 1073742062" o:spid="_x0000_s1414" type="#_x0000_t34" style="position:absolute;left:29131;top:3444;width:2720;height:13245;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E3gMgAAADjAAAADwAAAGRycy9kb3ducmV2LnhtbERPX0vDMBB/F/wO4QTfXLI6VqnLhgii&#10;+LTNgfp2a86mrLmUJq6Zn94MBB/v9/8Wq+Q6caQhtJ41TCcKBHHtTcuNht3b080diBCRDXaeScOJ&#10;AqyWlxcLrIwfeUPHbWxEDuFQoQYbY19JGWpLDsPE98SZ+/KDw5jPoZFmwDGHu04WSs2lw5Zzg8We&#10;Hi3Vh+230/C5Htd7m/Y0de8f5Wt6Ppx+Njutr6/Swz2ISCn+i//cLybPV+VtOSvUvIDzTxkAufw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ZE3gMgAAADjAAAADwAAAAAA&#10;AAAAAAAAAAChAgAAZHJzL2Rvd25yZXYueG1sUEsFBgAAAAAEAAQA+QAAAJYDAAAAAA==&#10;" strokecolor="windowText">
                      <v:stroke endarrow="block"/>
                    </v:shape>
                    <v:shape id="Соединительная линия уступом 1073742063" o:spid="_x0000_s1415" type="#_x0000_t34" style="position:absolute;left:40705;top:5115;width:2721;height:9906;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2spMgAAADjAAAADwAAAGRycy9kb3ducmV2LnhtbERPS08CMRC+m/gfmjHhJq27CLhQiJGQ&#10;aLjI48Bxsh13F9vpZltg+ffWxMTjfO+ZL3tnxYW60HjW8DRUIIhLbxquNBz268cpiBCRDVrPpOFG&#10;AZaL+7s5FsZfeUuXXaxECuFQoIY6xraQMpQ1OQxD3xIn7st3DmM6u0qaDq8p3FmZKTWWDhtODTW2&#10;9FZT+b07Ow3u47Ra++Ox8S/P2Seu0G5sbrUePPSvMxCR+vgv/nO/mzRfTfLJKFPjHH5/SgDI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02spMgAAADjAAAADwAAAAAA&#10;AAAAAAAAAAChAgAAZHJzL2Rvd25yZXYueG1sUEsFBgAAAAAEAAQA+QAAAJYDAAAAAA==&#10;" strokecolor="windowText">
                      <v:stroke endarrow="block"/>
                    </v:shape>
                    <v:shape id="Соединительная линия уступом 1073742064" o:spid="_x0000_s1416" type="#_x0000_t34" style="position:absolute;left:32136;top:12783;width:8;height:19671;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62dsUAAADjAAAADwAAAGRycy9kb3ducmV2LnhtbERPS2sCMRC+C/0PYQreNPGBlq1RfCB6&#10;rNpDj9PNdHcxmSybqOu/N0LB43zvmS1aZ8WVmlB51jDoKxDEuTcVFxq+T9veB4gQkQ1az6ThTgEW&#10;87fODDPjb3yg6zEWIoVwyFBDGWOdSRnykhyGvq+JE/fnG4cxnU0hTYO3FO6sHCo1kQ4rTg0l1rQu&#10;KT8fL04Dm4t1P8uv06/LB7gZrc71ziqtu+/t8hNEpDa+xP/uvUnz1XQ0HQ/VZAzPnxIAc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H62dsUAAADjAAAADwAAAAAAAAAA&#10;AAAAAAChAgAAZHJzL2Rvd25yZXYueG1sUEsFBgAAAAAEAAQA+QAAAJMDAAAAAA==&#10;" adj="-6141493" strokecolor="windowText">
                      <v:stroke endarrow="block"/>
                    </v:shape>
                    <v:shape id="Прямая со стрелкой 1073742065" o:spid="_x0000_s1417" type="#_x0000_t32" style="position:absolute;left:7447;top:4000;width:0;height:18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kDcgAAADjAAAADwAAAGRycy9kb3ducmV2LnhtbERPX0vDMBB/F/wO4QTfXOI2N6nLhoqC&#10;Po22Dnw8m7OpNpeSxLV+eyMIPt7v/212k+vFkULsPGu4nCkQxI03HbcaXurHi2sQMSEb7D2Thm+K&#10;sNuenmywMH7kko5VakUO4VigBpvSUEgZG0sO48wPxJl798FhymdopQk45nDXy7lSK+mw49xgcaB7&#10;S81n9eU0lDLcPVfLvq7HB7t425vDa/lx0Pr8bLq9AZFoSv/iP/eTyfPVerFeztXqCn5/ygDI7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Z+kDcgAAADjAAAADwAAAAAA&#10;AAAAAAAAAAChAgAAZHJzL2Rvd25yZXYueG1sUEsFBgAAAAAEAAQA+QAAAJYDAAAAAA==&#10;" strokecolor="windowText">
                      <v:stroke endarrow="block"/>
                    </v:shape>
                    <v:shape id="Прямая со стрелкой 1073742066" o:spid="_x0000_s1418" type="#_x0000_t32" style="position:absolute;left:37165;top:4000;width:0;height:18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06escAAADjAAAADwAAAGRycy9kb3ducmV2LnhtbERPX0vDMBB/F/wO4QTfXOI2OqnLhoqC&#10;PklbBz6ezdlUm0tJ4lq/vREEH+/3/7b72Q3iSCH2njVcLhQI4tabnjsNL83DxRWImJANDp5JwzdF&#10;2O9OT7ZYGj9xRcc6dSKHcCxRg01pLKWMrSWHceFH4sy9++Aw5TN00gSccrgb5FKpQjrsOTdYHOnO&#10;UvtZfzkNlQy3T/V6aJrp3q7ens3htfo4aH1+Nt9cg0g0p3/xn/vR5Plqs9qsl6oo4PenDIDc/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TTp6xwAAAOMAAAAPAAAAAAAA&#10;AAAAAAAAAKECAABkcnMvZG93bnJldi54bWxQSwUGAAAAAAQABAD5AAAAlQMAAAAA&#10;" strokecolor="windowText">
                      <v:stroke endarrow="block"/>
                    </v:shape>
                    <v:shape id="Соединительная линия уступом 1073742067" o:spid="_x0000_s1419" type="#_x0000_t34" style="position:absolute;left:57839;top:13114;width:127;height:464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RjHqPJAAAA4wAAAA8AAAAA&#10;AAAAAAAAAAAAoQIAAGRycy9kb3ducmV2LnhtbFBLBQYAAAAABAAEAPkAAACXAwAAAAA=&#10;" adj="388800" strokecolor="windowText">
                      <v:stroke endarrow="block"/>
                    </v:shape>
                    <v:shape id="Соединительная линия уступом 1073742068" o:spid="_x0000_s1420" type="#_x0000_t34" style="position:absolute;left:57832;top:13114;width:7;height:8669;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02P8OssAAADjAAAADwAA&#10;AAAAAAAAAAAAAAChAgAAZHJzL2Rvd25yZXYueG1sUEsFBgAAAAAEAAQA+QAAAJkDAAAAAA==&#10;" adj="-6764055" strokecolor="windowText">
                      <v:stroke endarrow="block"/>
                    </v:shape>
                    <v:shape id="Соединительная линия уступом 1073742069" o:spid="_x0000_s1421" type="#_x0000_t34" style="position:absolute;left:57833;top:13114;width:6;height:13107;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q4AuyygAAAOMAAAAPAAAA&#10;AAAAAAAAAAAAAKECAABkcnMvZG93bnJldi54bWxQSwUGAAAAAAQABAD5AAAAmAMAAAAA&#10;" adj="-7776000" strokecolor="windowText">
                      <v:stroke endarrow="block"/>
                    </v:shape>
                    <v:shape id="Соединительная линия уступом 1073742070" o:spid="_x0000_s1422" type="#_x0000_t34" style="position:absolute;left:57825;top:13114;width:14;height:18186;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XloM9ygAAAOMAAAAPAAAA&#10;AAAAAAAAAAAAAKECAABkcnMvZG93bnJldi54bWxQSwUGAAAAAAQABAD5AAAAmAMAAAAA&#10;" adj="-3617407" strokecolor="windowText">
                      <v:stroke endarrow="block"/>
                    </v:shape>
                    <v:rect id="Прямоугольник 1073742071" o:spid="_x0000_s1423" style="position:absolute;left:1603;top:19822;width:30544;height:27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D/AsUA&#10;AADjAAAADwAAAGRycy9kb3ducmV2LnhtbERPX2vCMBB/H/gdwgm+zaROrFajuIEge5tz70dzttma&#10;S20yrd/eDAY+3u//rTa9a8SFumA9a8jGCgRx6Y3lSsPxc/c8BxEissHGM2m4UYDNevC0wsL4K3/Q&#10;5RArkUI4FKihjrEtpAxlTQ7D2LfEiTv5zmFMZ1dJ0+E1hbtGTpSaSYeWU0ONLb3VVP4cfp2Gdpot&#10;3r9fj8qWNr+FDL9m8dxoPRr22yWISH18iP/de5Pmq/wln05UnsHfTwkAub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cP8CxQAAAOMAAAAPAAAAAAAAAAAAAAAAAJgCAABkcnMv&#10;ZG93bnJldi54bWxQSwUGAAAAAAQABAD1AAAAigMAAAAA&#10;" filled="f" strokecolor="windowText">
                      <v:textbox>
                        <w:txbxContent>
                          <w:p w:rsidR="00B56753" w:rsidRDefault="00B56753" w:rsidP="003C51B1">
                            <w:pPr>
                              <w:pStyle w:val="afc"/>
                              <w:spacing w:before="0" w:beforeAutospacing="0" w:after="0" w:afterAutospacing="0"/>
                              <w:jc w:val="center"/>
                            </w:pPr>
                            <w:r>
                              <w:rPr>
                                <w:rFonts w:ascii="Garamond" w:eastAsia="Calibri" w:hAnsi="Garamond"/>
                                <w:sz w:val="22"/>
                                <w:szCs w:val="22"/>
                                <w:lang w:val="en-US"/>
                              </w:rPr>
                              <w:t>International Development Association (IDA)</w:t>
                            </w:r>
                          </w:p>
                        </w:txbxContent>
                      </v:textbox>
                    </v:rect>
                  </v:group>
                  <v:shape id="Соединительная линия уступом 1073742072" o:spid="_x0000_s1424" type="#_x0000_t34" style="position:absolute;left:32144;top:12783;width:3;height:8404;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QlRMcAAADjAAAADwAAAGRycy9kb3ducmV2LnhtbERP3UrDMBS+F3yHcITduWSdtKMuGyII&#10;/o1ptwc4Nse22JyUJK717Y0g7PJ8/2e9nWwvTuRD51jDYq5AENfOdNxoOB4erlcgQkQ22DsmDT8U&#10;YLu5vFhjadzI73SqYiNSCIcSNbQxDqWUoW7JYpi7gThxn85bjOn0jTQexxRue5kplUuLHaeGFge6&#10;b6n+qr6thtzvjMr3snu2T2pxKD7eqpfXUevZ1XR3CyLSFM/if/ejSfNVsSxuMlVk8PdTAkB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NCVExwAAAOMAAAAPAAAAAAAA&#10;AAAAAAAAAKECAABkcnMvZG93bnJldi54bWxQSwUGAAAAAAQABAD5AAAAlQMAAAAA&#10;" adj="18042622" strokecolor="windowText">
                    <v:stroke endarrow="block"/>
                  </v:shape>
                </v:group>
                <w10:anchorlock/>
              </v:group>
            </w:pict>
          </mc:Fallback>
        </mc:AlternateContent>
      </w:r>
    </w:p>
    <w:p w14:paraId="18A6CFFC" w14:textId="77777777" w:rsidR="003C51B1" w:rsidRPr="00A502F0" w:rsidRDefault="003C51B1" w:rsidP="003C51B1">
      <w:pPr>
        <w:spacing w:line="312" w:lineRule="auto"/>
        <w:ind w:firstLine="709"/>
        <w:jc w:val="center"/>
        <w:rPr>
          <w:b/>
          <w:sz w:val="28"/>
          <w:lang w:val="en-US" w:bidi="ru-RU"/>
        </w:rPr>
      </w:pPr>
      <w:r w:rsidRPr="00A502F0">
        <w:rPr>
          <w:b/>
          <w:sz w:val="28"/>
          <w:lang w:val="en-US" w:bidi="ru-RU"/>
        </w:rPr>
        <w:t>Figure 11.1</w:t>
      </w:r>
      <w:r w:rsidR="00E425AB">
        <w:rPr>
          <w:b/>
          <w:sz w:val="28"/>
          <w:lang w:val="en-US" w:bidi="ru-RU"/>
        </w:rPr>
        <w:t xml:space="preserve"> </w:t>
      </w:r>
      <w:r w:rsidR="00E425AB" w:rsidRPr="00E425AB">
        <w:rPr>
          <w:rFonts w:cs="Garamond"/>
          <w:b/>
          <w:color w:val="auto"/>
          <w:sz w:val="28"/>
          <w:lang w:val="en-US" w:eastAsia="ru-RU" w:bidi="ru-RU"/>
        </w:rPr>
        <w:t>–</w:t>
      </w:r>
      <w:r w:rsidRPr="00A502F0">
        <w:rPr>
          <w:b/>
          <w:sz w:val="28"/>
          <w:lang w:val="en-US" w:bidi="ru-RU"/>
        </w:rPr>
        <w:t xml:space="preserve"> Main international financial institutions</w:t>
      </w:r>
    </w:p>
    <w:p w14:paraId="5285A334" w14:textId="77777777" w:rsidR="003C51B1" w:rsidRPr="00A502F0" w:rsidRDefault="003C51B1" w:rsidP="00E425AB">
      <w:pPr>
        <w:spacing w:line="312" w:lineRule="auto"/>
        <w:ind w:firstLine="709"/>
        <w:jc w:val="both"/>
        <w:rPr>
          <w:sz w:val="28"/>
          <w:lang w:val="en-US" w:bidi="ru-RU"/>
        </w:rPr>
      </w:pPr>
      <w:r w:rsidRPr="00A502F0">
        <w:rPr>
          <w:sz w:val="28"/>
          <w:lang w:val="en-US" w:bidi="ru-RU"/>
        </w:rPr>
        <w:lastRenderedPageBreak/>
        <w:t>Founded in 1945 at the same international conference as IMF, the World Bank at first was involved mainly in the reconstruction of countries devastated by World War II. At present, the World Bank turned its primary focus to the economic development of the world’s non</w:t>
      </w:r>
      <w:r w:rsidR="00A502F0">
        <w:rPr>
          <w:sz w:val="28"/>
          <w:lang w:val="en-US" w:bidi="ru-RU"/>
        </w:rPr>
        <w:t>-</w:t>
      </w:r>
      <w:r w:rsidRPr="00A502F0">
        <w:rPr>
          <w:sz w:val="28"/>
          <w:lang w:val="en-US" w:bidi="ru-RU"/>
        </w:rPr>
        <w:t xml:space="preserve">industrialized countries, with the goal of lifting the world out of poverty. </w:t>
      </w:r>
    </w:p>
    <w:p w14:paraId="6BD2E59E" w14:textId="77777777" w:rsidR="003C51B1" w:rsidRPr="00A502F0" w:rsidRDefault="003C51B1" w:rsidP="00E425AB">
      <w:pPr>
        <w:spacing w:line="312" w:lineRule="auto"/>
        <w:ind w:firstLine="709"/>
        <w:jc w:val="both"/>
        <w:rPr>
          <w:sz w:val="28"/>
          <w:lang w:val="en-US" w:bidi="ru-RU"/>
        </w:rPr>
      </w:pPr>
      <w:r w:rsidRPr="00A502F0">
        <w:rPr>
          <w:sz w:val="28"/>
          <w:lang w:val="en-US" w:bidi="ru-RU"/>
        </w:rPr>
        <w:t>The World Bank Group is made up of five institutions; each of them plays a different but important role in the group’s corporate mission of reducing global poverty and improving living standards in the developing world. Together, they provide low-interest loans, interest-free credits, and grants to governments and the private sector in developing countries for investments in education, health, infrastructure, communic</w:t>
      </w:r>
      <w:r w:rsidR="003D781A">
        <w:rPr>
          <w:sz w:val="28"/>
          <w:lang w:val="en-US" w:bidi="ru-RU"/>
        </w:rPr>
        <w:t>ations, and many other purposes</w:t>
      </w:r>
      <w:r w:rsidRPr="00A502F0">
        <w:rPr>
          <w:sz w:val="28"/>
          <w:lang w:val="en-US" w:bidi="ru-RU"/>
        </w:rPr>
        <w:t xml:space="preserve"> as well as services in support of those investments.</w:t>
      </w:r>
    </w:p>
    <w:p w14:paraId="14BFD58A" w14:textId="77777777" w:rsidR="003C51B1" w:rsidRPr="00A502F0" w:rsidRDefault="003C51B1" w:rsidP="00E425AB">
      <w:pPr>
        <w:spacing w:line="312" w:lineRule="auto"/>
        <w:ind w:firstLine="709"/>
        <w:jc w:val="both"/>
        <w:rPr>
          <w:sz w:val="28"/>
          <w:lang w:val="en-US" w:bidi="ru-RU"/>
        </w:rPr>
      </w:pPr>
      <w:r w:rsidRPr="00A502F0">
        <w:rPr>
          <w:sz w:val="28"/>
          <w:lang w:val="en-US" w:bidi="ru-RU"/>
        </w:rPr>
        <w:t>The International Bank for Reconstruction &amp; Development (IBRD) focuses on middle-income countries and creditworthy low-income countries, whereas the International Development Association (IDA) focuses on the poorest countries in the world. IBRD lends only to governments, financing these loans primarily by selling triple-A-rated bonds in the world’s financial markets. Although IBRD earns a small margin on this lending, the greater proportion of its income comes from lending out its own capital. This capital consists of reserves built up over the years and money paid in from the World Bank’s shareholders.</w:t>
      </w:r>
    </w:p>
    <w:p w14:paraId="1E6FBB45" w14:textId="77777777" w:rsidR="003C51B1" w:rsidRPr="00A502F0" w:rsidRDefault="003C51B1" w:rsidP="00E425AB">
      <w:pPr>
        <w:spacing w:line="312" w:lineRule="auto"/>
        <w:ind w:firstLine="709"/>
        <w:jc w:val="both"/>
        <w:rPr>
          <w:sz w:val="28"/>
          <w:lang w:val="en-US" w:bidi="ru-RU"/>
        </w:rPr>
      </w:pPr>
      <w:r w:rsidRPr="00A502F0">
        <w:rPr>
          <w:sz w:val="28"/>
          <w:lang w:val="en-US" w:bidi="ru-RU"/>
        </w:rPr>
        <w:t>IDA is the world’s largest source of interest-free loans and grant assistance to the governments of the poorest countries. IDA lends money on concessional terms: credits have a zero or very low-interest charge</w:t>
      </w:r>
      <w:r w:rsidR="003D781A">
        <w:rPr>
          <w:sz w:val="28"/>
          <w:lang w:val="en-US" w:bidi="ru-RU"/>
        </w:rPr>
        <w:t>,</w:t>
      </w:r>
      <w:r w:rsidRPr="00A502F0">
        <w:rPr>
          <w:sz w:val="28"/>
          <w:lang w:val="en-US" w:bidi="ru-RU"/>
        </w:rPr>
        <w:t xml:space="preserve"> and repayments are stretched over 25 to 38 years, including a 5- to 10-year grace period. IDA also provides grants to countries at risk of debt distress.</w:t>
      </w:r>
    </w:p>
    <w:p w14:paraId="3F6FF905" w14:textId="77777777" w:rsidR="003C51B1" w:rsidRPr="00A502F0" w:rsidRDefault="003C51B1" w:rsidP="00E425AB">
      <w:pPr>
        <w:spacing w:line="312" w:lineRule="auto"/>
        <w:ind w:firstLine="709"/>
        <w:jc w:val="both"/>
        <w:rPr>
          <w:sz w:val="28"/>
          <w:lang w:val="en" w:bidi="ru-RU"/>
        </w:rPr>
      </w:pPr>
      <w:r w:rsidRPr="00A502F0">
        <w:rPr>
          <w:sz w:val="28"/>
          <w:lang w:val="en" w:bidi="ru-RU"/>
        </w:rPr>
        <w:t xml:space="preserve">International Center for Settlement of Investment Disputes (ICSID) provides a forum for mediating disputes between investors and governments and advices governments in their efforts to attract investment. ICSID provides for settlement of disputes by conciliation, arbitration or fact-finding.  </w:t>
      </w:r>
    </w:p>
    <w:p w14:paraId="45B0FC13"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The International Finance Corporation (IFC) is the largest global development institution focused exclusively on the private sector in developing countries. In addition to lending, IFC may take an equity stake in development projects, provide and mobilize scarce capital, knowledge, and long-term partnerships that can help </w:t>
      </w:r>
      <w:r w:rsidRPr="00A502F0">
        <w:rPr>
          <w:sz w:val="28"/>
          <w:lang w:val="en-US" w:bidi="ru-RU"/>
        </w:rPr>
        <w:lastRenderedPageBreak/>
        <w:t>address critical constraints in areas such as finance, infrastructure, employee skills, and the regulatory environment.</w:t>
      </w:r>
    </w:p>
    <w:p w14:paraId="31C334C7"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The Multilateral Investment Guarantee Agency (MIGA) promotes foreign direct investment in developing countries and difficult operating environments (the world's poorest countries, fragile and conflict-affected environments, </w:t>
      </w:r>
      <w:r w:rsidR="003D781A">
        <w:rPr>
          <w:sz w:val="28"/>
          <w:lang w:val="en-US" w:bidi="ru-RU"/>
        </w:rPr>
        <w:t xml:space="preserve">and </w:t>
      </w:r>
      <w:r w:rsidRPr="00A502F0">
        <w:rPr>
          <w:sz w:val="28"/>
          <w:lang w:val="en-US" w:bidi="ru-RU"/>
        </w:rPr>
        <w:t>middle-income countries) by insuring investors against political or non-commercial risks in those countries. As a multilateral development agency, MIGA only supports investments that are developmentally sound and meet high social and environmental standards.</w:t>
      </w:r>
    </w:p>
    <w:p w14:paraId="28CC81E6"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The economic relationships between residents of that economy and nonresidents are summarized in the international accounts, such as international investment position (IPP) and balance of payments (BOP). </w:t>
      </w:r>
      <w:r w:rsidRPr="00A502F0">
        <w:rPr>
          <w:b/>
          <w:sz w:val="28"/>
          <w:lang w:val="en-US" w:bidi="ru-RU"/>
        </w:rPr>
        <w:t>The international investment position</w:t>
      </w:r>
      <w:r w:rsidRPr="00A502F0">
        <w:rPr>
          <w:sz w:val="28"/>
          <w:lang w:val="en-US" w:bidi="ru-RU"/>
        </w:rPr>
        <w:t xml:space="preserve"> is a statistical statement that shows at a point in time the value of financial assets of residents of an economy that are claims on nonresidents or are gold bullion held as reserve assets and the liabilities of residents of an economy to nonresidents. The difference between the assets and liabilities is the net position in the IIP and represents either a net claim on or a net liability to the rest of the world.</w:t>
      </w:r>
    </w:p>
    <w:p w14:paraId="48A01298"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An account of all receipts and payments is termed as </w:t>
      </w:r>
      <w:r w:rsidRPr="00A502F0">
        <w:rPr>
          <w:b/>
          <w:sz w:val="28"/>
          <w:lang w:val="en-US" w:bidi="ru-RU"/>
        </w:rPr>
        <w:t>the balance of payments</w:t>
      </w:r>
      <w:r w:rsidRPr="00A502F0">
        <w:rPr>
          <w:sz w:val="28"/>
          <w:lang w:val="en-US" w:bidi="ru-RU"/>
        </w:rPr>
        <w:t>. It is a systematic record of all economic transactions between the residents of the reporting country and residents of foreign countries during a given period of time; usually, it is all annual statement. A country's balance of payments accounts keep</w:t>
      </w:r>
      <w:r w:rsidR="003D781A">
        <w:rPr>
          <w:sz w:val="28"/>
          <w:lang w:val="en-US" w:bidi="ru-RU"/>
        </w:rPr>
        <w:t>s</w:t>
      </w:r>
      <w:r w:rsidRPr="00A502F0">
        <w:rPr>
          <w:sz w:val="28"/>
          <w:lang w:val="en-US" w:bidi="ru-RU"/>
        </w:rPr>
        <w:t xml:space="preserve"> track of three types of international transaction</w:t>
      </w:r>
      <w:r w:rsidR="003D781A">
        <w:rPr>
          <w:sz w:val="28"/>
          <w:lang w:val="en-US" w:bidi="ru-RU"/>
        </w:rPr>
        <w:t>s</w:t>
      </w:r>
      <w:r w:rsidRPr="00A502F0">
        <w:rPr>
          <w:sz w:val="28"/>
          <w:lang w:val="en-US" w:bidi="ru-RU"/>
        </w:rPr>
        <w:t xml:space="preserve"> and respectively can be divided into three main categories:</w:t>
      </w:r>
    </w:p>
    <w:p w14:paraId="3FF63A58" w14:textId="77777777" w:rsidR="003C51B1" w:rsidRPr="00A502F0" w:rsidRDefault="003C51B1" w:rsidP="00E425AB">
      <w:pPr>
        <w:spacing w:line="312" w:lineRule="auto"/>
        <w:ind w:firstLine="709"/>
        <w:jc w:val="both"/>
        <w:rPr>
          <w:sz w:val="28"/>
          <w:lang w:val="en-US" w:bidi="ru-RU"/>
        </w:rPr>
      </w:pPr>
      <w:r w:rsidRPr="00A502F0">
        <w:rPr>
          <w:sz w:val="28"/>
          <w:lang w:val="en-US" w:bidi="ru-RU"/>
        </w:rPr>
        <w:t>1) transactions that involve the export or import of goods or servic</w:t>
      </w:r>
      <w:r w:rsidR="003D781A">
        <w:rPr>
          <w:sz w:val="28"/>
          <w:lang w:val="en-US" w:bidi="ru-RU"/>
        </w:rPr>
        <w:t>es and therefore</w:t>
      </w:r>
      <w:r w:rsidRPr="00A502F0">
        <w:rPr>
          <w:sz w:val="28"/>
          <w:lang w:val="en-US" w:bidi="ru-RU"/>
        </w:rPr>
        <w:t xml:space="preserve"> enter directly into the </w:t>
      </w:r>
      <w:r w:rsidRPr="00A502F0">
        <w:rPr>
          <w:b/>
          <w:sz w:val="28"/>
          <w:lang w:val="en-US" w:bidi="ru-RU"/>
        </w:rPr>
        <w:t>current account</w:t>
      </w:r>
      <w:r w:rsidRPr="00A502F0">
        <w:rPr>
          <w:sz w:val="28"/>
          <w:lang w:val="en-US" w:bidi="ru-RU"/>
        </w:rPr>
        <w:t>;</w:t>
      </w:r>
    </w:p>
    <w:p w14:paraId="642915BD"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2) transactions that involve the purchase or sale of financial assets; they are recorded in the </w:t>
      </w:r>
      <w:r w:rsidRPr="00A502F0">
        <w:rPr>
          <w:b/>
          <w:sz w:val="28"/>
          <w:lang w:val="en-US" w:bidi="ru-RU"/>
        </w:rPr>
        <w:t>financial account</w:t>
      </w:r>
      <w:r w:rsidRPr="00A502F0">
        <w:rPr>
          <w:sz w:val="28"/>
          <w:lang w:val="en-US" w:bidi="ru-RU"/>
        </w:rPr>
        <w:t xml:space="preserve"> of the balance of payments;</w:t>
      </w:r>
    </w:p>
    <w:p w14:paraId="1733D059"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3) certain other activities resulting in transfers of wealth between countries are recorded in the </w:t>
      </w:r>
      <w:r w:rsidRPr="00A502F0">
        <w:rPr>
          <w:b/>
          <w:sz w:val="28"/>
          <w:lang w:val="en-US" w:bidi="ru-RU"/>
        </w:rPr>
        <w:t>capital account</w:t>
      </w:r>
      <w:r w:rsidRPr="00A502F0">
        <w:rPr>
          <w:sz w:val="28"/>
          <w:lang w:val="en-US" w:bidi="ru-RU"/>
        </w:rPr>
        <w:t>. For the most part, these international asset movements result from nonmarket activities or represent the acquisition or disposal of unproduced, nonfinancial assets.</w:t>
      </w:r>
    </w:p>
    <w:p w14:paraId="39CCB442"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Within these three categories </w:t>
      </w:r>
      <w:r w:rsidR="003D781A">
        <w:rPr>
          <w:sz w:val="28"/>
          <w:lang w:val="en-US" w:bidi="ru-RU"/>
        </w:rPr>
        <w:t xml:space="preserve">there </w:t>
      </w:r>
      <w:r w:rsidRPr="00A502F0">
        <w:rPr>
          <w:sz w:val="28"/>
          <w:lang w:val="en-US" w:bidi="ru-RU"/>
        </w:rPr>
        <w:t>are sub-divisions, each of which accounts for a different type of international monetary transaction (</w:t>
      </w:r>
      <w:r w:rsidR="003D781A">
        <w:rPr>
          <w:sz w:val="28"/>
          <w:lang w:val="en-US" w:bidi="ru-RU"/>
        </w:rPr>
        <w:t>T</w:t>
      </w:r>
      <w:r w:rsidRPr="00A502F0">
        <w:rPr>
          <w:sz w:val="28"/>
          <w:lang w:val="en-US" w:bidi="ru-RU"/>
        </w:rPr>
        <w:t>able 11.1).</w:t>
      </w:r>
    </w:p>
    <w:p w14:paraId="7D2C1E37" w14:textId="77777777" w:rsidR="00A502F0" w:rsidRDefault="00A502F0" w:rsidP="00E425AB">
      <w:pPr>
        <w:spacing w:line="312" w:lineRule="auto"/>
        <w:ind w:firstLine="709"/>
        <w:jc w:val="right"/>
        <w:rPr>
          <w:b/>
          <w:sz w:val="28"/>
          <w:lang w:val="en-US" w:bidi="ru-RU"/>
        </w:rPr>
      </w:pPr>
    </w:p>
    <w:p w14:paraId="209026CF" w14:textId="77777777" w:rsidR="003C51B1" w:rsidRPr="00A502F0" w:rsidRDefault="003C51B1" w:rsidP="00675276">
      <w:pPr>
        <w:spacing w:line="312" w:lineRule="auto"/>
        <w:jc w:val="both"/>
        <w:rPr>
          <w:rFonts w:eastAsia="Calibri"/>
          <w:b/>
          <w:sz w:val="28"/>
          <w:lang w:val="en-US" w:eastAsia="en-US"/>
        </w:rPr>
      </w:pPr>
      <w:r w:rsidRPr="00A502F0">
        <w:rPr>
          <w:b/>
          <w:sz w:val="28"/>
          <w:lang w:val="en-US" w:bidi="ru-RU"/>
        </w:rPr>
        <w:lastRenderedPageBreak/>
        <w:t>Table 11.1</w:t>
      </w:r>
      <w:r w:rsidR="00E425AB">
        <w:rPr>
          <w:b/>
          <w:sz w:val="28"/>
          <w:lang w:val="en-US" w:bidi="ru-RU"/>
        </w:rPr>
        <w:t xml:space="preserve"> </w:t>
      </w:r>
      <w:r w:rsidR="00E425AB" w:rsidRPr="00305E02">
        <w:rPr>
          <w:rFonts w:cs="Garamond"/>
          <w:color w:val="auto"/>
          <w:sz w:val="28"/>
          <w:lang w:val="en-US" w:eastAsia="ru-RU" w:bidi="ru-RU"/>
        </w:rPr>
        <w:t>–</w:t>
      </w:r>
      <w:r w:rsidR="00E425AB">
        <w:rPr>
          <w:rFonts w:cs="Garamond"/>
          <w:color w:val="auto"/>
          <w:sz w:val="28"/>
          <w:lang w:val="en-US" w:eastAsia="ru-RU" w:bidi="ru-RU"/>
        </w:rPr>
        <w:t xml:space="preserve"> </w:t>
      </w:r>
      <w:r w:rsidRPr="00A502F0">
        <w:rPr>
          <w:b/>
          <w:sz w:val="28"/>
          <w:lang w:val="en-US" w:bidi="ru-RU"/>
        </w:rPr>
        <w:t>Structure of Balance of Payments</w:t>
      </w:r>
    </w:p>
    <w:tbl>
      <w:tblPr>
        <w:tblStyle w:val="40"/>
        <w:tblW w:w="0" w:type="auto"/>
        <w:tblCellMar>
          <w:top w:w="28" w:type="dxa"/>
          <w:bottom w:w="28" w:type="dxa"/>
        </w:tblCellMar>
        <w:tblLook w:val="04A0" w:firstRow="1" w:lastRow="0" w:firstColumn="1" w:lastColumn="0" w:noHBand="0" w:noVBand="1"/>
      </w:tblPr>
      <w:tblGrid>
        <w:gridCol w:w="4808"/>
        <w:gridCol w:w="4809"/>
      </w:tblGrid>
      <w:tr w:rsidR="003C51B1" w:rsidRPr="00A502F0" w14:paraId="4F6922F3" w14:textId="77777777" w:rsidTr="00E425AB">
        <w:tc>
          <w:tcPr>
            <w:tcW w:w="9855" w:type="dxa"/>
            <w:gridSpan w:val="2"/>
            <w:shd w:val="clear" w:color="auto" w:fill="D9D9D9" w:themeFill="background1" w:themeFillShade="D9"/>
          </w:tcPr>
          <w:p w14:paraId="552D8C38" w14:textId="77777777" w:rsidR="003C51B1" w:rsidRPr="00A502F0" w:rsidRDefault="003C51B1" w:rsidP="003C51B1">
            <w:pPr>
              <w:jc w:val="center"/>
              <w:rPr>
                <w:b/>
                <w:sz w:val="28"/>
                <w:lang w:val="en-US" w:bidi="ru-RU"/>
              </w:rPr>
            </w:pPr>
            <w:r w:rsidRPr="00A502F0">
              <w:rPr>
                <w:b/>
                <w:i/>
                <w:sz w:val="28"/>
                <w:lang w:val="en-US" w:bidi="ru-RU"/>
              </w:rPr>
              <w:t>Current account</w:t>
            </w:r>
          </w:p>
        </w:tc>
      </w:tr>
      <w:tr w:rsidR="003C51B1" w:rsidRPr="00A502F0" w14:paraId="4A4D1E3E" w14:textId="77777777" w:rsidTr="003C51B1">
        <w:tc>
          <w:tcPr>
            <w:tcW w:w="4927" w:type="dxa"/>
          </w:tcPr>
          <w:p w14:paraId="0F6E9F9E" w14:textId="77777777" w:rsidR="003C51B1" w:rsidRPr="00A502F0" w:rsidRDefault="003C51B1" w:rsidP="003C51B1">
            <w:pPr>
              <w:contextualSpacing/>
              <w:jc w:val="center"/>
              <w:rPr>
                <w:b/>
                <w:sz w:val="28"/>
                <w:lang w:val="en-US" w:bidi="ru-RU"/>
              </w:rPr>
            </w:pPr>
            <w:r w:rsidRPr="00A502F0">
              <w:rPr>
                <w:b/>
                <w:sz w:val="28"/>
                <w:lang w:val="en-US" w:bidi="ru-RU"/>
              </w:rPr>
              <w:t>Credits (Receipts)</w:t>
            </w:r>
          </w:p>
        </w:tc>
        <w:tc>
          <w:tcPr>
            <w:tcW w:w="4928" w:type="dxa"/>
          </w:tcPr>
          <w:p w14:paraId="21EE33FC" w14:textId="77777777" w:rsidR="003C51B1" w:rsidRPr="00A502F0" w:rsidRDefault="003C51B1" w:rsidP="003C51B1">
            <w:pPr>
              <w:jc w:val="center"/>
              <w:rPr>
                <w:b/>
                <w:sz w:val="28"/>
                <w:lang w:val="en-US" w:bidi="ru-RU"/>
              </w:rPr>
            </w:pPr>
            <w:r w:rsidRPr="00A502F0">
              <w:rPr>
                <w:b/>
                <w:sz w:val="28"/>
                <w:lang w:val="en-US" w:bidi="ru-RU"/>
              </w:rPr>
              <w:t>Debits (Payments)</w:t>
            </w:r>
          </w:p>
        </w:tc>
      </w:tr>
      <w:tr w:rsidR="003C51B1" w:rsidRPr="00A502F0" w14:paraId="214398E9" w14:textId="77777777" w:rsidTr="003C51B1">
        <w:tc>
          <w:tcPr>
            <w:tcW w:w="4927" w:type="dxa"/>
          </w:tcPr>
          <w:p w14:paraId="0B8E063F" w14:textId="77777777" w:rsidR="003C51B1" w:rsidRPr="00A502F0" w:rsidRDefault="003C51B1" w:rsidP="003C51B1">
            <w:pPr>
              <w:contextualSpacing/>
              <w:rPr>
                <w:sz w:val="28"/>
                <w:lang w:val="en-US" w:bidi="ru-RU"/>
              </w:rPr>
            </w:pPr>
            <w:r w:rsidRPr="00A502F0">
              <w:rPr>
                <w:sz w:val="28"/>
                <w:lang w:val="en-US" w:bidi="ru-RU"/>
              </w:rPr>
              <w:t>Exports of goods and services</w:t>
            </w:r>
          </w:p>
        </w:tc>
        <w:tc>
          <w:tcPr>
            <w:tcW w:w="4928" w:type="dxa"/>
          </w:tcPr>
          <w:p w14:paraId="62924A91" w14:textId="77777777" w:rsidR="003C51B1" w:rsidRPr="00A502F0" w:rsidRDefault="003C51B1" w:rsidP="003C51B1">
            <w:pPr>
              <w:contextualSpacing/>
              <w:rPr>
                <w:sz w:val="28"/>
                <w:lang w:val="en-US" w:bidi="ru-RU"/>
              </w:rPr>
            </w:pPr>
            <w:r w:rsidRPr="00A502F0">
              <w:rPr>
                <w:sz w:val="28"/>
                <w:lang w:val="en-US" w:bidi="ru-RU"/>
              </w:rPr>
              <w:t>Imports of goods and services</w:t>
            </w:r>
          </w:p>
        </w:tc>
      </w:tr>
      <w:tr w:rsidR="003C51B1" w:rsidRPr="00A502F0" w14:paraId="79B5793F" w14:textId="77777777" w:rsidTr="003C51B1">
        <w:tc>
          <w:tcPr>
            <w:tcW w:w="4927" w:type="dxa"/>
          </w:tcPr>
          <w:p w14:paraId="394DDC44" w14:textId="77777777" w:rsidR="003C51B1" w:rsidRPr="00A502F0" w:rsidRDefault="003C51B1" w:rsidP="003C51B1">
            <w:pPr>
              <w:contextualSpacing/>
              <w:rPr>
                <w:sz w:val="28"/>
                <w:lang w:val="en-US" w:bidi="ru-RU"/>
              </w:rPr>
            </w:pPr>
            <w:r w:rsidRPr="00A502F0">
              <w:rPr>
                <w:sz w:val="28"/>
                <w:lang w:val="en-US" w:bidi="ru-RU"/>
              </w:rPr>
              <w:t>Primary income</w:t>
            </w:r>
          </w:p>
        </w:tc>
        <w:tc>
          <w:tcPr>
            <w:tcW w:w="4928" w:type="dxa"/>
          </w:tcPr>
          <w:p w14:paraId="7B07EA53" w14:textId="77777777" w:rsidR="003C51B1" w:rsidRPr="00A502F0" w:rsidRDefault="003C51B1" w:rsidP="003C51B1">
            <w:pPr>
              <w:contextualSpacing/>
              <w:rPr>
                <w:sz w:val="28"/>
                <w:lang w:val="en-US" w:bidi="ru-RU"/>
              </w:rPr>
            </w:pPr>
            <w:r w:rsidRPr="00A502F0">
              <w:rPr>
                <w:sz w:val="28"/>
                <w:lang w:val="en-US" w:bidi="ru-RU"/>
              </w:rPr>
              <w:t>Primary income</w:t>
            </w:r>
          </w:p>
        </w:tc>
      </w:tr>
      <w:tr w:rsidR="003C51B1" w:rsidRPr="00A502F0" w14:paraId="1AC6ABCC" w14:textId="77777777" w:rsidTr="003C51B1">
        <w:tc>
          <w:tcPr>
            <w:tcW w:w="4927" w:type="dxa"/>
          </w:tcPr>
          <w:p w14:paraId="41F952E8" w14:textId="77777777" w:rsidR="003C51B1" w:rsidRPr="00A502F0" w:rsidRDefault="003C51B1" w:rsidP="003C51B1">
            <w:pPr>
              <w:contextualSpacing/>
              <w:rPr>
                <w:sz w:val="28"/>
                <w:lang w:val="en-US" w:bidi="ru-RU"/>
              </w:rPr>
            </w:pPr>
            <w:r w:rsidRPr="00A502F0">
              <w:rPr>
                <w:sz w:val="28"/>
                <w:lang w:val="en-US" w:bidi="ru-RU"/>
              </w:rPr>
              <w:t>Secondary income</w:t>
            </w:r>
          </w:p>
        </w:tc>
        <w:tc>
          <w:tcPr>
            <w:tcW w:w="4928" w:type="dxa"/>
          </w:tcPr>
          <w:p w14:paraId="14EE7336" w14:textId="77777777" w:rsidR="003C51B1" w:rsidRPr="00A502F0" w:rsidRDefault="003C51B1" w:rsidP="003C51B1">
            <w:pPr>
              <w:contextualSpacing/>
              <w:rPr>
                <w:sz w:val="28"/>
                <w:lang w:val="en-US" w:bidi="ru-RU"/>
              </w:rPr>
            </w:pPr>
            <w:r w:rsidRPr="00A502F0">
              <w:rPr>
                <w:sz w:val="28"/>
                <w:lang w:val="en-US" w:bidi="ru-RU"/>
              </w:rPr>
              <w:t>Secondary income</w:t>
            </w:r>
          </w:p>
        </w:tc>
      </w:tr>
      <w:tr w:rsidR="003C51B1" w:rsidRPr="00A502F0" w14:paraId="2DD8DA37" w14:textId="77777777" w:rsidTr="00E425AB">
        <w:tc>
          <w:tcPr>
            <w:tcW w:w="9855" w:type="dxa"/>
            <w:gridSpan w:val="2"/>
            <w:shd w:val="clear" w:color="auto" w:fill="D9D9D9" w:themeFill="background1" w:themeFillShade="D9"/>
          </w:tcPr>
          <w:p w14:paraId="52B96808" w14:textId="77777777" w:rsidR="003C51B1" w:rsidRPr="00A502F0" w:rsidRDefault="003C51B1" w:rsidP="003C51B1">
            <w:pPr>
              <w:contextualSpacing/>
              <w:jc w:val="center"/>
              <w:rPr>
                <w:b/>
                <w:i/>
                <w:sz w:val="28"/>
                <w:lang w:val="en-US" w:bidi="ru-RU"/>
              </w:rPr>
            </w:pPr>
            <w:r w:rsidRPr="00A502F0">
              <w:rPr>
                <w:b/>
                <w:i/>
                <w:sz w:val="28"/>
                <w:lang w:val="en-US" w:bidi="ru-RU"/>
              </w:rPr>
              <w:t>Capital account</w:t>
            </w:r>
          </w:p>
        </w:tc>
      </w:tr>
      <w:tr w:rsidR="003C51B1" w:rsidRPr="00A502F0" w14:paraId="5FCE7A22" w14:textId="77777777" w:rsidTr="003C51B1">
        <w:tc>
          <w:tcPr>
            <w:tcW w:w="4927" w:type="dxa"/>
          </w:tcPr>
          <w:p w14:paraId="73384B9D" w14:textId="77777777" w:rsidR="003C51B1" w:rsidRPr="00A502F0" w:rsidRDefault="003C51B1" w:rsidP="003C51B1">
            <w:pPr>
              <w:contextualSpacing/>
              <w:jc w:val="center"/>
              <w:rPr>
                <w:b/>
                <w:sz w:val="28"/>
                <w:lang w:val="en-US" w:bidi="ru-RU"/>
              </w:rPr>
            </w:pPr>
            <w:r w:rsidRPr="00A502F0">
              <w:rPr>
                <w:b/>
                <w:sz w:val="28"/>
                <w:lang w:val="en-US" w:bidi="ru-RU"/>
              </w:rPr>
              <w:t>Credits</w:t>
            </w:r>
          </w:p>
        </w:tc>
        <w:tc>
          <w:tcPr>
            <w:tcW w:w="4928" w:type="dxa"/>
          </w:tcPr>
          <w:p w14:paraId="51B9CBDB" w14:textId="77777777" w:rsidR="003C51B1" w:rsidRPr="00A502F0" w:rsidRDefault="003C51B1" w:rsidP="003C51B1">
            <w:pPr>
              <w:jc w:val="center"/>
              <w:rPr>
                <w:b/>
                <w:sz w:val="28"/>
                <w:lang w:val="en-US" w:bidi="ru-RU"/>
              </w:rPr>
            </w:pPr>
            <w:r w:rsidRPr="00A502F0">
              <w:rPr>
                <w:b/>
                <w:sz w:val="28"/>
                <w:lang w:val="en-US" w:bidi="ru-RU"/>
              </w:rPr>
              <w:t>Debits</w:t>
            </w:r>
          </w:p>
        </w:tc>
      </w:tr>
      <w:tr w:rsidR="003C51B1" w:rsidRPr="00A502F0" w14:paraId="2700CA2D" w14:textId="77777777" w:rsidTr="003C51B1">
        <w:tc>
          <w:tcPr>
            <w:tcW w:w="4927" w:type="dxa"/>
          </w:tcPr>
          <w:p w14:paraId="0F304192" w14:textId="77777777" w:rsidR="003C51B1" w:rsidRPr="00A502F0" w:rsidRDefault="003C51B1" w:rsidP="003C51B1">
            <w:pPr>
              <w:contextualSpacing/>
              <w:rPr>
                <w:sz w:val="28"/>
                <w:lang w:val="en-US" w:bidi="ru-RU"/>
              </w:rPr>
            </w:pPr>
            <w:r w:rsidRPr="00A502F0">
              <w:rPr>
                <w:sz w:val="28"/>
                <w:lang w:val="en-US" w:bidi="ru-RU"/>
              </w:rPr>
              <w:t>Disposals of not produced nonfinancial assets</w:t>
            </w:r>
          </w:p>
        </w:tc>
        <w:tc>
          <w:tcPr>
            <w:tcW w:w="4928" w:type="dxa"/>
          </w:tcPr>
          <w:p w14:paraId="49504200" w14:textId="77777777" w:rsidR="003C51B1" w:rsidRPr="00A502F0" w:rsidRDefault="003C51B1" w:rsidP="003C51B1">
            <w:pPr>
              <w:contextualSpacing/>
              <w:rPr>
                <w:sz w:val="28"/>
                <w:lang w:val="en-US" w:bidi="ru-RU"/>
              </w:rPr>
            </w:pPr>
            <w:r w:rsidRPr="00A502F0">
              <w:rPr>
                <w:sz w:val="28"/>
                <w:lang w:val="en-US" w:bidi="ru-RU"/>
              </w:rPr>
              <w:t>Acquisitions of unproduced nonfinancial assets</w:t>
            </w:r>
          </w:p>
        </w:tc>
      </w:tr>
      <w:tr w:rsidR="003C51B1" w:rsidRPr="00A502F0" w14:paraId="4371ECA5" w14:textId="77777777" w:rsidTr="003C51B1">
        <w:tc>
          <w:tcPr>
            <w:tcW w:w="4927" w:type="dxa"/>
          </w:tcPr>
          <w:p w14:paraId="6458E175" w14:textId="77777777" w:rsidR="003C51B1" w:rsidRPr="00A502F0" w:rsidRDefault="003C51B1" w:rsidP="003C51B1">
            <w:pPr>
              <w:contextualSpacing/>
              <w:rPr>
                <w:sz w:val="28"/>
                <w:lang w:val="en-US" w:bidi="ru-RU"/>
              </w:rPr>
            </w:pPr>
            <w:r w:rsidRPr="00A502F0">
              <w:rPr>
                <w:sz w:val="28"/>
                <w:lang w:val="en-US" w:bidi="ru-RU"/>
              </w:rPr>
              <w:t>Capital transfers</w:t>
            </w:r>
          </w:p>
        </w:tc>
        <w:tc>
          <w:tcPr>
            <w:tcW w:w="4928" w:type="dxa"/>
          </w:tcPr>
          <w:p w14:paraId="40CE3FCA" w14:textId="77777777" w:rsidR="003C51B1" w:rsidRPr="00A502F0" w:rsidRDefault="003C51B1" w:rsidP="003C51B1">
            <w:pPr>
              <w:contextualSpacing/>
              <w:rPr>
                <w:sz w:val="28"/>
                <w:lang w:val="en-US" w:bidi="ru-RU"/>
              </w:rPr>
            </w:pPr>
            <w:r w:rsidRPr="00A502F0">
              <w:rPr>
                <w:sz w:val="28"/>
                <w:lang w:val="en-US" w:bidi="ru-RU"/>
              </w:rPr>
              <w:t>Capital transfers</w:t>
            </w:r>
          </w:p>
        </w:tc>
      </w:tr>
      <w:tr w:rsidR="003C51B1" w:rsidRPr="00A502F0" w14:paraId="2C4C401E" w14:textId="77777777" w:rsidTr="00E425AB">
        <w:tc>
          <w:tcPr>
            <w:tcW w:w="9855" w:type="dxa"/>
            <w:gridSpan w:val="2"/>
            <w:shd w:val="clear" w:color="auto" w:fill="D9D9D9" w:themeFill="background1" w:themeFillShade="D9"/>
          </w:tcPr>
          <w:p w14:paraId="04903BA1" w14:textId="77777777" w:rsidR="003C51B1" w:rsidRPr="00A502F0" w:rsidRDefault="003C51B1" w:rsidP="003C51B1">
            <w:pPr>
              <w:contextualSpacing/>
              <w:jc w:val="center"/>
              <w:rPr>
                <w:b/>
                <w:sz w:val="28"/>
                <w:lang w:val="en-US" w:bidi="ru-RU"/>
              </w:rPr>
            </w:pPr>
            <w:r w:rsidRPr="00A502F0">
              <w:rPr>
                <w:b/>
                <w:i/>
                <w:sz w:val="28"/>
                <w:lang w:val="en-US" w:bidi="ru-RU"/>
              </w:rPr>
              <w:t>Financial account</w:t>
            </w:r>
          </w:p>
        </w:tc>
      </w:tr>
      <w:tr w:rsidR="003C51B1" w:rsidRPr="00A502F0" w14:paraId="103C9AB9" w14:textId="77777777" w:rsidTr="003C51B1">
        <w:tc>
          <w:tcPr>
            <w:tcW w:w="4927" w:type="dxa"/>
          </w:tcPr>
          <w:p w14:paraId="04449452" w14:textId="77777777" w:rsidR="003C51B1" w:rsidRPr="00A502F0" w:rsidRDefault="003C51B1" w:rsidP="003C51B1">
            <w:pPr>
              <w:contextualSpacing/>
              <w:jc w:val="center"/>
              <w:rPr>
                <w:b/>
                <w:sz w:val="28"/>
                <w:lang w:val="en-US" w:bidi="ru-RU"/>
              </w:rPr>
            </w:pPr>
            <w:r w:rsidRPr="00A502F0">
              <w:rPr>
                <w:b/>
                <w:sz w:val="28"/>
                <w:lang w:val="en-US" w:bidi="ru-RU"/>
              </w:rPr>
              <w:t>Net acquisition of financial assets</w:t>
            </w:r>
          </w:p>
        </w:tc>
        <w:tc>
          <w:tcPr>
            <w:tcW w:w="4928" w:type="dxa"/>
          </w:tcPr>
          <w:p w14:paraId="55FAC3F6" w14:textId="77777777" w:rsidR="003C51B1" w:rsidRPr="00A502F0" w:rsidRDefault="003C51B1" w:rsidP="003C51B1">
            <w:pPr>
              <w:contextualSpacing/>
              <w:jc w:val="center"/>
              <w:rPr>
                <w:b/>
                <w:sz w:val="28"/>
                <w:lang w:val="en-US" w:bidi="ru-RU"/>
              </w:rPr>
            </w:pPr>
            <w:r w:rsidRPr="00A502F0">
              <w:rPr>
                <w:b/>
                <w:sz w:val="28"/>
                <w:lang w:val="en-US" w:bidi="ru-RU"/>
              </w:rPr>
              <w:t>Net incurrence of liabilities</w:t>
            </w:r>
          </w:p>
        </w:tc>
      </w:tr>
      <w:tr w:rsidR="003C51B1" w:rsidRPr="00A502F0" w14:paraId="4EECBC80" w14:textId="77777777" w:rsidTr="003C51B1">
        <w:tc>
          <w:tcPr>
            <w:tcW w:w="4927" w:type="dxa"/>
          </w:tcPr>
          <w:p w14:paraId="00086355" w14:textId="77777777" w:rsidR="003C51B1" w:rsidRPr="00A502F0" w:rsidRDefault="003C51B1" w:rsidP="003C51B1">
            <w:pPr>
              <w:contextualSpacing/>
              <w:rPr>
                <w:sz w:val="28"/>
                <w:lang w:val="en-US" w:bidi="ru-RU"/>
              </w:rPr>
            </w:pPr>
            <w:r w:rsidRPr="00A502F0">
              <w:rPr>
                <w:sz w:val="28"/>
                <w:lang w:val="en-US" w:bidi="ru-RU"/>
              </w:rPr>
              <w:t>Foreign direct investments</w:t>
            </w:r>
          </w:p>
        </w:tc>
        <w:tc>
          <w:tcPr>
            <w:tcW w:w="4928" w:type="dxa"/>
          </w:tcPr>
          <w:p w14:paraId="5CD7693A" w14:textId="77777777" w:rsidR="003C51B1" w:rsidRPr="00A502F0" w:rsidRDefault="003C51B1" w:rsidP="003C51B1">
            <w:pPr>
              <w:contextualSpacing/>
              <w:rPr>
                <w:sz w:val="28"/>
                <w:lang w:val="en-US" w:bidi="ru-RU"/>
              </w:rPr>
            </w:pPr>
            <w:r w:rsidRPr="00A502F0">
              <w:rPr>
                <w:sz w:val="28"/>
                <w:lang w:val="en-US" w:bidi="ru-RU"/>
              </w:rPr>
              <w:t>Direct investments abroad</w:t>
            </w:r>
          </w:p>
        </w:tc>
      </w:tr>
      <w:tr w:rsidR="003C51B1" w:rsidRPr="00A502F0" w14:paraId="43699D64" w14:textId="77777777" w:rsidTr="003C51B1">
        <w:tc>
          <w:tcPr>
            <w:tcW w:w="4927" w:type="dxa"/>
          </w:tcPr>
          <w:p w14:paraId="6B084739" w14:textId="77777777" w:rsidR="003C51B1" w:rsidRPr="00A502F0" w:rsidRDefault="003C51B1" w:rsidP="003C51B1">
            <w:pPr>
              <w:contextualSpacing/>
              <w:rPr>
                <w:sz w:val="28"/>
                <w:lang w:val="en-US" w:bidi="ru-RU"/>
              </w:rPr>
            </w:pPr>
            <w:r w:rsidRPr="00A502F0">
              <w:rPr>
                <w:sz w:val="28"/>
                <w:lang w:val="en-US" w:bidi="ru-RU"/>
              </w:rPr>
              <w:t>Foreign portfolio investments</w:t>
            </w:r>
          </w:p>
        </w:tc>
        <w:tc>
          <w:tcPr>
            <w:tcW w:w="4928" w:type="dxa"/>
          </w:tcPr>
          <w:p w14:paraId="37A155E9" w14:textId="77777777" w:rsidR="003C51B1" w:rsidRPr="00A502F0" w:rsidRDefault="003C51B1" w:rsidP="003C51B1">
            <w:pPr>
              <w:contextualSpacing/>
              <w:rPr>
                <w:sz w:val="28"/>
                <w:lang w:val="en-US" w:bidi="ru-RU"/>
              </w:rPr>
            </w:pPr>
            <w:r w:rsidRPr="00A502F0">
              <w:rPr>
                <w:sz w:val="28"/>
                <w:lang w:val="en-US" w:bidi="ru-RU"/>
              </w:rPr>
              <w:t>Portfolio investments abroad</w:t>
            </w:r>
          </w:p>
        </w:tc>
      </w:tr>
      <w:tr w:rsidR="003C51B1" w:rsidRPr="00A502F0" w14:paraId="01888121" w14:textId="77777777" w:rsidTr="003C51B1">
        <w:tc>
          <w:tcPr>
            <w:tcW w:w="4927" w:type="dxa"/>
          </w:tcPr>
          <w:p w14:paraId="45C7E5B0" w14:textId="77777777" w:rsidR="003C51B1" w:rsidRPr="00A502F0" w:rsidRDefault="003C51B1" w:rsidP="003C51B1">
            <w:pPr>
              <w:tabs>
                <w:tab w:val="center" w:pos="2355"/>
              </w:tabs>
              <w:contextualSpacing/>
              <w:rPr>
                <w:sz w:val="28"/>
                <w:lang w:val="en-US" w:bidi="ru-RU"/>
              </w:rPr>
            </w:pPr>
            <w:r w:rsidRPr="00A502F0">
              <w:rPr>
                <w:sz w:val="28"/>
                <w:lang w:val="en-US" w:bidi="ru-RU"/>
              </w:rPr>
              <w:t>Financial derivatives (other than reserves) and employee stock options</w:t>
            </w:r>
            <w:r w:rsidRPr="00A502F0">
              <w:rPr>
                <w:sz w:val="28"/>
                <w:lang w:val="en-US" w:bidi="ru-RU"/>
              </w:rPr>
              <w:tab/>
            </w:r>
          </w:p>
        </w:tc>
        <w:tc>
          <w:tcPr>
            <w:tcW w:w="4928" w:type="dxa"/>
          </w:tcPr>
          <w:p w14:paraId="20C35B0B" w14:textId="77777777" w:rsidR="003C51B1" w:rsidRPr="00A502F0" w:rsidRDefault="003C51B1" w:rsidP="003C51B1">
            <w:pPr>
              <w:contextualSpacing/>
              <w:rPr>
                <w:sz w:val="28"/>
                <w:lang w:val="en-US" w:bidi="ru-RU"/>
              </w:rPr>
            </w:pPr>
            <w:r w:rsidRPr="00A502F0">
              <w:rPr>
                <w:sz w:val="28"/>
                <w:lang w:val="en-US" w:bidi="ru-RU"/>
              </w:rPr>
              <w:t>Financial derivatives (other than reserves) and employee stock options</w:t>
            </w:r>
            <w:r w:rsidRPr="00A502F0">
              <w:rPr>
                <w:sz w:val="28"/>
                <w:lang w:val="en-US" w:bidi="ru-RU"/>
              </w:rPr>
              <w:tab/>
            </w:r>
          </w:p>
        </w:tc>
      </w:tr>
      <w:tr w:rsidR="003C51B1" w:rsidRPr="00A502F0" w14:paraId="7443EC36" w14:textId="77777777" w:rsidTr="003C51B1">
        <w:tc>
          <w:tcPr>
            <w:tcW w:w="4927" w:type="dxa"/>
          </w:tcPr>
          <w:p w14:paraId="6CCE7114" w14:textId="77777777" w:rsidR="003C51B1" w:rsidRPr="00A502F0" w:rsidRDefault="003C51B1" w:rsidP="003C51B1">
            <w:pPr>
              <w:tabs>
                <w:tab w:val="center" w:pos="2355"/>
              </w:tabs>
              <w:contextualSpacing/>
              <w:rPr>
                <w:sz w:val="28"/>
                <w:lang w:val="en-US" w:bidi="ru-RU"/>
              </w:rPr>
            </w:pPr>
            <w:r w:rsidRPr="00A502F0">
              <w:rPr>
                <w:sz w:val="28"/>
                <w:lang w:val="en-US" w:bidi="ru-RU"/>
              </w:rPr>
              <w:t>Other investment</w:t>
            </w:r>
          </w:p>
        </w:tc>
        <w:tc>
          <w:tcPr>
            <w:tcW w:w="4928" w:type="dxa"/>
          </w:tcPr>
          <w:p w14:paraId="46D4FEE8" w14:textId="77777777" w:rsidR="003C51B1" w:rsidRPr="00A502F0" w:rsidRDefault="003C51B1" w:rsidP="003C51B1">
            <w:pPr>
              <w:contextualSpacing/>
              <w:rPr>
                <w:sz w:val="28"/>
                <w:lang w:val="en-US" w:bidi="ru-RU"/>
              </w:rPr>
            </w:pPr>
            <w:r w:rsidRPr="00A502F0">
              <w:rPr>
                <w:sz w:val="28"/>
                <w:lang w:val="en-US" w:bidi="ru-RU"/>
              </w:rPr>
              <w:t>Other investment</w:t>
            </w:r>
          </w:p>
        </w:tc>
      </w:tr>
      <w:tr w:rsidR="003C51B1" w:rsidRPr="00A502F0" w14:paraId="0377BE2F" w14:textId="77777777" w:rsidTr="003C51B1">
        <w:tc>
          <w:tcPr>
            <w:tcW w:w="4927" w:type="dxa"/>
          </w:tcPr>
          <w:p w14:paraId="6CC9BCF7" w14:textId="77777777" w:rsidR="003C51B1" w:rsidRPr="00A502F0" w:rsidRDefault="003C51B1" w:rsidP="003C51B1">
            <w:pPr>
              <w:tabs>
                <w:tab w:val="center" w:pos="2355"/>
              </w:tabs>
              <w:contextualSpacing/>
              <w:rPr>
                <w:sz w:val="28"/>
                <w:lang w:val="en-US" w:bidi="ru-RU"/>
              </w:rPr>
            </w:pPr>
            <w:r w:rsidRPr="00A502F0">
              <w:rPr>
                <w:sz w:val="28"/>
                <w:lang w:val="en-US" w:bidi="ru-RU"/>
              </w:rPr>
              <w:t>Reserve assets</w:t>
            </w:r>
          </w:p>
        </w:tc>
        <w:tc>
          <w:tcPr>
            <w:tcW w:w="4928" w:type="dxa"/>
          </w:tcPr>
          <w:p w14:paraId="12633869" w14:textId="77777777" w:rsidR="003C51B1" w:rsidRPr="00A502F0" w:rsidRDefault="003C51B1" w:rsidP="003C51B1">
            <w:pPr>
              <w:contextualSpacing/>
              <w:rPr>
                <w:sz w:val="28"/>
                <w:lang w:val="en-US" w:bidi="ru-RU"/>
              </w:rPr>
            </w:pPr>
            <w:r w:rsidRPr="00A502F0">
              <w:rPr>
                <w:sz w:val="28"/>
                <w:lang w:val="en-US" w:bidi="ru-RU"/>
              </w:rPr>
              <w:t>Reserve assets</w:t>
            </w:r>
          </w:p>
        </w:tc>
      </w:tr>
      <w:tr w:rsidR="003C51B1" w:rsidRPr="00A502F0" w14:paraId="41398D7E" w14:textId="77777777" w:rsidTr="00E425AB">
        <w:tc>
          <w:tcPr>
            <w:tcW w:w="9855" w:type="dxa"/>
            <w:gridSpan w:val="2"/>
            <w:shd w:val="clear" w:color="auto" w:fill="D9D9D9" w:themeFill="background1" w:themeFillShade="D9"/>
          </w:tcPr>
          <w:p w14:paraId="23C7C0BB" w14:textId="77777777" w:rsidR="003C51B1" w:rsidRPr="00A502F0" w:rsidRDefault="003C51B1" w:rsidP="003C51B1">
            <w:pPr>
              <w:contextualSpacing/>
              <w:jc w:val="center"/>
              <w:rPr>
                <w:b/>
                <w:i/>
                <w:sz w:val="28"/>
                <w:lang w:val="en-US" w:bidi="ru-RU"/>
              </w:rPr>
            </w:pPr>
            <w:r w:rsidRPr="00A502F0">
              <w:rPr>
                <w:b/>
                <w:i/>
                <w:sz w:val="28"/>
                <w:lang w:val="en-US" w:bidi="ru-RU"/>
              </w:rPr>
              <w:t>Net errors and omissions</w:t>
            </w:r>
          </w:p>
        </w:tc>
      </w:tr>
    </w:tbl>
    <w:p w14:paraId="57F5E028" w14:textId="77777777" w:rsidR="003C51B1" w:rsidRPr="00A502F0" w:rsidRDefault="003C51B1" w:rsidP="003C51B1">
      <w:pPr>
        <w:spacing w:line="312" w:lineRule="auto"/>
        <w:ind w:firstLine="357"/>
        <w:jc w:val="both"/>
        <w:rPr>
          <w:sz w:val="28"/>
          <w:lang w:val="en-US" w:bidi="ru-RU"/>
        </w:rPr>
      </w:pPr>
    </w:p>
    <w:p w14:paraId="0EA54004" w14:textId="77777777" w:rsidR="003C51B1" w:rsidRPr="00A502F0" w:rsidRDefault="003C51B1" w:rsidP="00E425AB">
      <w:pPr>
        <w:spacing w:line="312" w:lineRule="auto"/>
        <w:ind w:firstLine="709"/>
        <w:jc w:val="both"/>
        <w:rPr>
          <w:sz w:val="28"/>
          <w:lang w:val="en-US" w:bidi="ru-RU"/>
        </w:rPr>
      </w:pPr>
      <w:r w:rsidRPr="00A502F0">
        <w:rPr>
          <w:b/>
          <w:sz w:val="28"/>
          <w:lang w:val="en-US" w:bidi="ru-RU"/>
        </w:rPr>
        <w:t>The balance of trade (BOT)</w:t>
      </w:r>
      <w:r w:rsidRPr="00A502F0">
        <w:rPr>
          <w:sz w:val="28"/>
          <w:lang w:val="en-US" w:bidi="ru-RU"/>
        </w:rPr>
        <w:t xml:space="preserve"> is the largest component of a country's balance of payments. Debit items include the value of goods and services imported into the country, credit items include the value of goods and services exported out of a country. A country has a trade deficit if it imports more than it exports; the opposite scenario is a trade surplus.</w:t>
      </w:r>
    </w:p>
    <w:p w14:paraId="749598FD" w14:textId="77777777" w:rsidR="003C51B1" w:rsidRPr="00A502F0" w:rsidRDefault="003C51B1" w:rsidP="00E425AB">
      <w:pPr>
        <w:spacing w:line="312" w:lineRule="auto"/>
        <w:ind w:firstLine="709"/>
        <w:jc w:val="both"/>
        <w:rPr>
          <w:sz w:val="28"/>
          <w:lang w:val="en-US" w:bidi="ru-RU"/>
        </w:rPr>
      </w:pPr>
      <w:r w:rsidRPr="00A502F0">
        <w:rPr>
          <w:sz w:val="28"/>
          <w:lang w:val="en-US" w:bidi="ru-RU"/>
        </w:rPr>
        <w:t>Besides trade in goods and services, the current account is made up of primary and secondary income. The primary income account shows amounts payable and receivable in return for providing temporary use to another entity of labor, financial resources, or unproduced nonfinancial assets (compensation of employees, interest, rent, reinvested earnings). The secondary income account shows redistribution of income, that is</w:t>
      </w:r>
      <w:r w:rsidR="003D781A">
        <w:rPr>
          <w:sz w:val="28"/>
          <w:lang w:val="en-US" w:bidi="ru-RU"/>
        </w:rPr>
        <w:t>,</w:t>
      </w:r>
      <w:r w:rsidRPr="00A502F0">
        <w:rPr>
          <w:sz w:val="28"/>
          <w:lang w:val="en-US" w:bidi="ru-RU"/>
        </w:rPr>
        <w:t xml:space="preserve"> when resources for current purposes are provided by one party without anything of economic value being supplied as a direct return to that party (current taxes, personal transfers, </w:t>
      </w:r>
      <w:r w:rsidR="003D781A">
        <w:rPr>
          <w:sz w:val="28"/>
          <w:lang w:val="en-US" w:bidi="ru-RU"/>
        </w:rPr>
        <w:t xml:space="preserve">and </w:t>
      </w:r>
      <w:r w:rsidRPr="00A502F0">
        <w:rPr>
          <w:sz w:val="28"/>
          <w:lang w:val="en-US" w:bidi="ru-RU"/>
        </w:rPr>
        <w:t xml:space="preserve">current international assistance). </w:t>
      </w:r>
    </w:p>
    <w:p w14:paraId="2A1B2350" w14:textId="77777777" w:rsidR="003C51B1" w:rsidRPr="00A502F0" w:rsidRDefault="003C51B1" w:rsidP="00E425AB">
      <w:pPr>
        <w:spacing w:line="312" w:lineRule="auto"/>
        <w:ind w:firstLine="709"/>
        <w:jc w:val="both"/>
        <w:rPr>
          <w:sz w:val="28"/>
          <w:lang w:val="en-US" w:bidi="ru-RU"/>
        </w:rPr>
      </w:pPr>
      <w:r w:rsidRPr="00A502F0">
        <w:rPr>
          <w:sz w:val="28"/>
          <w:lang w:val="en-US" w:bidi="ru-RU"/>
        </w:rPr>
        <w:lastRenderedPageBreak/>
        <w:t>The current account balance is one of the major measures of a country's foreign trade. A current account surplus indicates that the value of a country's net foreign assets (i.</w:t>
      </w:r>
      <w:r w:rsidR="003D781A">
        <w:rPr>
          <w:sz w:val="28"/>
          <w:lang w:val="en-US" w:bidi="ru-RU"/>
        </w:rPr>
        <w:t>e.,</w:t>
      </w:r>
      <w:r w:rsidRPr="00A502F0">
        <w:rPr>
          <w:sz w:val="28"/>
          <w:lang w:val="en-US" w:bidi="ru-RU"/>
        </w:rPr>
        <w:t xml:space="preserve"> assets less liabilities) grew over the period in question, and a current account deficit indicates that it shrank. There are various factors which could cause a current account deficit in the balance of payments: fixed exchange rate, economic growth, higher inflation, </w:t>
      </w:r>
      <w:r w:rsidR="003D781A">
        <w:rPr>
          <w:sz w:val="28"/>
          <w:lang w:val="en-US" w:bidi="ru-RU"/>
        </w:rPr>
        <w:t xml:space="preserve">and </w:t>
      </w:r>
      <w:r w:rsidRPr="00A502F0">
        <w:rPr>
          <w:sz w:val="28"/>
          <w:lang w:val="en-US" w:bidi="ru-RU"/>
        </w:rPr>
        <w:t>borrowing money. A current acco</w:t>
      </w:r>
      <w:r w:rsidR="003D781A">
        <w:rPr>
          <w:sz w:val="28"/>
          <w:lang w:val="en-US" w:bidi="ru-RU"/>
        </w:rPr>
        <w:t>unt deficit can be a problem if</w:t>
      </w:r>
      <w:r w:rsidRPr="00A502F0">
        <w:rPr>
          <w:sz w:val="28"/>
          <w:lang w:val="en-US" w:bidi="ru-RU"/>
        </w:rPr>
        <w:t xml:space="preserve"> </w:t>
      </w:r>
      <w:r w:rsidR="003D781A">
        <w:rPr>
          <w:sz w:val="28"/>
          <w:lang w:val="en-US" w:bidi="ru-RU"/>
        </w:rPr>
        <w:t>(i</w:t>
      </w:r>
      <w:r w:rsidRPr="00A502F0">
        <w:rPr>
          <w:sz w:val="28"/>
          <w:lang w:val="en-US" w:bidi="ru-RU"/>
        </w:rPr>
        <w:t xml:space="preserve">) it is persistent; </w:t>
      </w:r>
      <w:r w:rsidR="003D781A">
        <w:rPr>
          <w:sz w:val="28"/>
          <w:lang w:val="en-US" w:bidi="ru-RU"/>
        </w:rPr>
        <w:t>(ii</w:t>
      </w:r>
      <w:r w:rsidRPr="00A502F0">
        <w:rPr>
          <w:sz w:val="28"/>
          <w:lang w:val="en-US" w:bidi="ru-RU"/>
        </w:rPr>
        <w:t xml:space="preserve">) it forms a large share of GDP; </w:t>
      </w:r>
      <w:r w:rsidR="003D781A">
        <w:rPr>
          <w:sz w:val="28"/>
          <w:lang w:val="en-US" w:bidi="ru-RU"/>
        </w:rPr>
        <w:t>(iii</w:t>
      </w:r>
      <w:r w:rsidRPr="00A502F0">
        <w:rPr>
          <w:sz w:val="28"/>
          <w:lang w:val="en-US" w:bidi="ru-RU"/>
        </w:rPr>
        <w:t xml:space="preserve">) there are no compensating inflows of investment income or inward capital account flows; </w:t>
      </w:r>
      <w:r w:rsidR="003D781A">
        <w:rPr>
          <w:sz w:val="28"/>
          <w:lang w:val="en-US" w:bidi="ru-RU"/>
        </w:rPr>
        <w:t>(iv</w:t>
      </w:r>
      <w:r w:rsidRPr="00A502F0">
        <w:rPr>
          <w:sz w:val="28"/>
          <w:lang w:val="en-US" w:bidi="ru-RU"/>
        </w:rPr>
        <w:t>) the Central Bank has low reserves;</w:t>
      </w:r>
      <w:r w:rsidR="003D781A">
        <w:rPr>
          <w:sz w:val="28"/>
          <w:lang w:val="en-US" w:bidi="ru-RU"/>
        </w:rPr>
        <w:t xml:space="preserve"> and</w:t>
      </w:r>
      <w:r w:rsidRPr="00A502F0">
        <w:rPr>
          <w:sz w:val="28"/>
          <w:lang w:val="en-US" w:bidi="ru-RU"/>
        </w:rPr>
        <w:t xml:space="preserve"> </w:t>
      </w:r>
      <w:r w:rsidR="003D781A">
        <w:rPr>
          <w:sz w:val="28"/>
          <w:lang w:val="en-US" w:bidi="ru-RU"/>
        </w:rPr>
        <w:t>(v</w:t>
      </w:r>
      <w:r w:rsidRPr="00A502F0">
        <w:rPr>
          <w:sz w:val="28"/>
          <w:lang w:val="en-US" w:bidi="ru-RU"/>
        </w:rPr>
        <w:t>) the economy has a poor record of repaying debt.</w:t>
      </w:r>
    </w:p>
    <w:p w14:paraId="6E268236" w14:textId="77777777" w:rsidR="003C51B1" w:rsidRPr="00A502F0" w:rsidRDefault="003C51B1" w:rsidP="00E425AB">
      <w:pPr>
        <w:spacing w:line="312" w:lineRule="auto"/>
        <w:ind w:firstLine="709"/>
        <w:jc w:val="both"/>
        <w:rPr>
          <w:sz w:val="28"/>
          <w:lang w:val="en-US" w:bidi="ru-RU"/>
        </w:rPr>
      </w:pPr>
      <w:r w:rsidRPr="00A502F0">
        <w:rPr>
          <w:b/>
          <w:sz w:val="28"/>
          <w:lang w:val="en-US" w:bidi="ru-RU"/>
        </w:rPr>
        <w:t>The capital account</w:t>
      </w:r>
      <w:r w:rsidRPr="00A502F0">
        <w:rPr>
          <w:sz w:val="28"/>
          <w:lang w:val="en-US" w:bidi="ru-RU"/>
        </w:rPr>
        <w:t xml:space="preserve"> shows credit and debit entries for unproduced nonfinancial assets and capital transfers between residents and nonresidents. It records acquisitions and disposals of unproduced nonfinancial assets, such as land sold to embassies a</w:t>
      </w:r>
      <w:r w:rsidR="003D781A">
        <w:rPr>
          <w:sz w:val="28"/>
          <w:lang w:val="en-US" w:bidi="ru-RU"/>
        </w:rPr>
        <w:t>nd sales of leases and licenses</w:t>
      </w:r>
      <w:r w:rsidRPr="00A502F0">
        <w:rPr>
          <w:sz w:val="28"/>
          <w:lang w:val="en-US" w:bidi="ru-RU"/>
        </w:rPr>
        <w:t xml:space="preserve"> as well as capital transfers, that is, the provision of resources for capital purposes by one party without anything of economic value being supplied as a direct return to that party.</w:t>
      </w:r>
    </w:p>
    <w:p w14:paraId="565E3CC3" w14:textId="77777777" w:rsidR="003C51B1" w:rsidRPr="00A502F0" w:rsidRDefault="003C51B1" w:rsidP="00E425AB">
      <w:pPr>
        <w:spacing w:line="312" w:lineRule="auto"/>
        <w:ind w:firstLine="709"/>
        <w:jc w:val="both"/>
        <w:rPr>
          <w:sz w:val="28"/>
          <w:lang w:val="en-US" w:bidi="ru-RU"/>
        </w:rPr>
      </w:pPr>
      <w:r w:rsidRPr="00A502F0">
        <w:rPr>
          <w:b/>
          <w:sz w:val="28"/>
          <w:lang w:val="en-US" w:bidi="ru-RU"/>
        </w:rPr>
        <w:t>The financial account</w:t>
      </w:r>
      <w:r w:rsidRPr="00A502F0">
        <w:rPr>
          <w:sz w:val="28"/>
          <w:lang w:val="en-US" w:bidi="ru-RU"/>
        </w:rPr>
        <w:t xml:space="preserve"> shows net acquisition and disposal of financial assets and liabilities</w:t>
      </w:r>
      <w:r w:rsidR="003D781A">
        <w:rPr>
          <w:sz w:val="28"/>
          <w:lang w:val="en-US" w:bidi="ru-RU"/>
        </w:rPr>
        <w:t>;</w:t>
      </w:r>
      <w:r w:rsidRPr="00A502F0">
        <w:rPr>
          <w:sz w:val="28"/>
          <w:lang w:val="en-US" w:bidi="ru-RU"/>
        </w:rPr>
        <w:t xml:space="preserve"> it includes direct investment (investment in an enterprise where the owners or shareholders have some element of control of the business)</w:t>
      </w:r>
      <w:r w:rsidR="003D781A">
        <w:rPr>
          <w:sz w:val="28"/>
          <w:lang w:val="en-US" w:bidi="ru-RU"/>
        </w:rPr>
        <w:t>,</w:t>
      </w:r>
      <w:r w:rsidRPr="00A502F0">
        <w:rPr>
          <w:sz w:val="28"/>
          <w:lang w:val="en-US" w:bidi="ru-RU"/>
        </w:rPr>
        <w:t xml:space="preserve"> portfolio investment (the investor has no control over the enterprise)</w:t>
      </w:r>
      <w:r w:rsidR="003D781A">
        <w:rPr>
          <w:sz w:val="28"/>
          <w:lang w:val="en-US" w:bidi="ru-RU"/>
        </w:rPr>
        <w:t>,</w:t>
      </w:r>
      <w:r w:rsidRPr="00A502F0">
        <w:rPr>
          <w:sz w:val="28"/>
          <w:lang w:val="en-US" w:bidi="ru-RU"/>
        </w:rPr>
        <w:t xml:space="preserve"> financial derivatives (financial instrument whose underlying value is based on another asset, such as a foreign currency, interest rates, commodities or indices)</w:t>
      </w:r>
      <w:r w:rsidR="003D781A">
        <w:rPr>
          <w:sz w:val="28"/>
          <w:lang w:val="en-US" w:bidi="ru-RU"/>
        </w:rPr>
        <w:t>,</w:t>
      </w:r>
      <w:r w:rsidRPr="00A502F0">
        <w:rPr>
          <w:sz w:val="28"/>
          <w:lang w:val="en-US" w:bidi="ru-RU"/>
        </w:rPr>
        <w:t xml:space="preserve"> and reserve assets (foreign financial assets, such as gold, Special Drawing Rights, and foreign exchange that are controlled by monetary authorities).</w:t>
      </w:r>
    </w:p>
    <w:p w14:paraId="784DFB4C"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The current and capital accounts show transactions in gross terms. In contrast, the financial account shows transactions in net terms, which are shown separately for financial assets and liabilities. </w:t>
      </w:r>
    </w:p>
    <w:p w14:paraId="62AE997A" w14:textId="77777777" w:rsidR="003C51B1" w:rsidRPr="00A502F0" w:rsidRDefault="003C51B1" w:rsidP="00E425AB">
      <w:pPr>
        <w:spacing w:line="312" w:lineRule="auto"/>
        <w:ind w:firstLine="709"/>
        <w:jc w:val="both"/>
        <w:rPr>
          <w:sz w:val="28"/>
          <w:lang w:val="en-US" w:bidi="ru-RU"/>
        </w:rPr>
      </w:pPr>
      <w:r w:rsidRPr="00A502F0">
        <w:rPr>
          <w:sz w:val="28"/>
          <w:lang w:val="en-US" w:bidi="ru-RU"/>
        </w:rPr>
        <w:t>The balance of payment record is maintained in a standard double-entry book-keeping method. Every international transaction automatically enters the balance of payments twice</w:t>
      </w:r>
      <w:r w:rsidR="003D781A">
        <w:rPr>
          <w:sz w:val="28"/>
          <w:lang w:val="en-US" w:bidi="ru-RU"/>
        </w:rPr>
        <w:t>:</w:t>
      </w:r>
      <w:r w:rsidRPr="00A502F0">
        <w:rPr>
          <w:sz w:val="28"/>
          <w:lang w:val="en-US" w:bidi="ru-RU"/>
        </w:rPr>
        <w:t xml:space="preserve"> once as a credit and once as a debit. The payments received from foreign countries enter as credit</w:t>
      </w:r>
      <w:r w:rsidR="003D781A">
        <w:rPr>
          <w:sz w:val="28"/>
          <w:lang w:val="en-US" w:bidi="ru-RU"/>
        </w:rPr>
        <w:t>,</w:t>
      </w:r>
      <w:r w:rsidRPr="00A502F0">
        <w:rPr>
          <w:sz w:val="28"/>
          <w:lang w:val="en-US" w:bidi="ru-RU"/>
        </w:rPr>
        <w:t xml:space="preserve"> and payments made to other countries</w:t>
      </w:r>
      <w:r w:rsidR="003D781A">
        <w:rPr>
          <w:sz w:val="28"/>
          <w:lang w:val="en-US" w:bidi="ru-RU"/>
        </w:rPr>
        <w:t xml:space="preserve"> </w:t>
      </w:r>
      <w:r w:rsidR="00E23433">
        <w:rPr>
          <w:sz w:val="28"/>
          <w:lang w:val="en-US" w:bidi="ru-RU"/>
        </w:rPr>
        <w:t>–</w:t>
      </w:r>
      <w:r w:rsidRPr="00A502F0">
        <w:rPr>
          <w:sz w:val="28"/>
          <w:lang w:val="en-US" w:bidi="ru-RU"/>
        </w:rPr>
        <w:t xml:space="preserve"> as debit. In theory, the capital and financial account balance should be equal and ‘opposite’ to the current account balance. Therefore, the current account balance, the financial account balance, and the capital account balance automatically add up to zero:</w:t>
      </w:r>
    </w:p>
    <w:p w14:paraId="5F42DBB9" w14:textId="77777777" w:rsidR="003C51B1" w:rsidRPr="00A502F0" w:rsidRDefault="003C51B1" w:rsidP="003C51B1">
      <w:pPr>
        <w:spacing w:line="312" w:lineRule="auto"/>
        <w:ind w:firstLine="357"/>
        <w:jc w:val="center"/>
        <w:rPr>
          <w:sz w:val="28"/>
          <w:lang w:val="en-US" w:bidi="ru-RU"/>
        </w:rPr>
      </w:pPr>
    </w:p>
    <w:p w14:paraId="22F43275" w14:textId="77777777" w:rsidR="003C51B1" w:rsidRPr="00A502F0" w:rsidRDefault="003C51B1" w:rsidP="003C51B1">
      <w:pPr>
        <w:spacing w:line="312" w:lineRule="auto"/>
        <w:ind w:firstLine="357"/>
        <w:jc w:val="right"/>
        <w:rPr>
          <w:sz w:val="28"/>
          <w:lang w:val="en-US" w:bidi="ru-RU"/>
        </w:rPr>
      </w:pPr>
      <w:r w:rsidRPr="00A502F0">
        <w:rPr>
          <w:sz w:val="28"/>
          <w:lang w:val="en-US" w:bidi="ru-RU"/>
        </w:rPr>
        <w:t>Current account + financial account + capital account = 0</w:t>
      </w:r>
      <w:r w:rsidRPr="00A502F0">
        <w:rPr>
          <w:sz w:val="28"/>
          <w:lang w:val="en-US" w:bidi="ru-RU"/>
        </w:rPr>
        <w:tab/>
      </w:r>
      <w:r w:rsidRPr="00A502F0">
        <w:rPr>
          <w:sz w:val="28"/>
          <w:lang w:val="en-US" w:bidi="ru-RU"/>
        </w:rPr>
        <w:tab/>
      </w:r>
      <w:r w:rsidRPr="00A502F0">
        <w:rPr>
          <w:sz w:val="28"/>
          <w:lang w:val="en-US" w:bidi="ru-RU"/>
        </w:rPr>
        <w:tab/>
        <w:t xml:space="preserve"> (11.1)</w:t>
      </w:r>
    </w:p>
    <w:p w14:paraId="0D407BB6" w14:textId="77777777" w:rsidR="003C51B1" w:rsidRPr="00A502F0" w:rsidRDefault="003C51B1" w:rsidP="003C51B1">
      <w:pPr>
        <w:spacing w:line="312" w:lineRule="auto"/>
        <w:ind w:firstLine="357"/>
        <w:rPr>
          <w:rFonts w:eastAsia="Calibri"/>
          <w:sz w:val="28"/>
          <w:lang w:val="en-US" w:eastAsia="en-US"/>
        </w:rPr>
      </w:pPr>
    </w:p>
    <w:p w14:paraId="7DD6BA59" w14:textId="77777777" w:rsidR="003C51B1" w:rsidRPr="00A502F0" w:rsidRDefault="003C51B1" w:rsidP="00E425AB">
      <w:pPr>
        <w:spacing w:line="312" w:lineRule="auto"/>
        <w:ind w:firstLine="709"/>
        <w:jc w:val="both"/>
        <w:rPr>
          <w:sz w:val="28"/>
          <w:lang w:val="en-US" w:bidi="ru-RU"/>
        </w:rPr>
      </w:pPr>
      <w:r w:rsidRPr="00A502F0">
        <w:rPr>
          <w:sz w:val="28"/>
          <w:lang w:val="en-US" w:bidi="ru-RU"/>
        </w:rPr>
        <w:t>In practice, this is only achieved by the use of a balancing item called net errors and omissions. This device compensates for various errors and omissions in the balance of payments data, and which brings the final balance of payments account to zero.</w:t>
      </w:r>
    </w:p>
    <w:p w14:paraId="31B7E23E"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Each country has a currency in which the prices of goods and services are quoted. Households and companies use </w:t>
      </w:r>
      <w:r w:rsidRPr="00A502F0">
        <w:rPr>
          <w:b/>
          <w:sz w:val="28"/>
          <w:lang w:val="en-US" w:bidi="ru-RU"/>
        </w:rPr>
        <w:t>the exchange rates</w:t>
      </w:r>
      <w:r w:rsidRPr="00A502F0">
        <w:rPr>
          <w:sz w:val="28"/>
          <w:lang w:val="en-US" w:bidi="ru-RU"/>
        </w:rPr>
        <w:t xml:space="preserve"> to translate foreign prices into domestic currency terms. Once the money prices of domestic goods and imports have been expressed in terms of the same currency, households and firms can compute the relative prices that affect intentional trade flows. </w:t>
      </w:r>
    </w:p>
    <w:p w14:paraId="766F2C60"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Exchange rates are determined in the foreign exchange market. The major participants in that market are commercial banks, international corporations, nonbank financial institutions, and national central banks. Currency vendor provides quotes for only the most liquid currencies such as the US dollar, Euro, Pound Sterling, etc. Exchange rates between other currencies are normally calculated as the </w:t>
      </w:r>
      <w:r w:rsidRPr="00A502F0">
        <w:rPr>
          <w:b/>
          <w:sz w:val="28"/>
          <w:lang w:val="en-US" w:bidi="ru-RU"/>
        </w:rPr>
        <w:t>cross rates</w:t>
      </w:r>
      <w:r w:rsidRPr="00A502F0">
        <w:rPr>
          <w:sz w:val="28"/>
          <w:lang w:val="en-US" w:bidi="ru-RU"/>
        </w:rPr>
        <w:t xml:space="preserve"> using the quotes for major currencies:</w:t>
      </w:r>
    </w:p>
    <w:p w14:paraId="2206667F" w14:textId="77777777" w:rsidR="003C51B1" w:rsidRPr="00A502F0" w:rsidRDefault="003C51B1" w:rsidP="003C51B1">
      <w:pPr>
        <w:spacing w:line="312" w:lineRule="auto"/>
        <w:ind w:firstLine="357"/>
        <w:jc w:val="both"/>
        <w:rPr>
          <w:sz w:val="28"/>
          <w:lang w:val="en-US" w:bidi="ru-RU"/>
        </w:rPr>
      </w:pPr>
    </w:p>
    <w:p w14:paraId="6A96E722" w14:textId="77777777" w:rsidR="003C51B1" w:rsidRPr="00A502F0" w:rsidRDefault="003C51B1" w:rsidP="00E425AB">
      <w:pPr>
        <w:spacing w:line="312" w:lineRule="auto"/>
        <w:ind w:firstLine="357"/>
        <w:jc w:val="right"/>
        <w:rPr>
          <w:sz w:val="28"/>
          <w:lang w:val="en-US" w:bidi="ru-RU"/>
        </w:rPr>
      </w:pPr>
      <w:r w:rsidRPr="00A502F0">
        <w:rPr>
          <w:sz w:val="28"/>
          <w:lang w:val="en-US" w:bidi="ru-RU"/>
        </w:rPr>
        <w:t>A/C = A/B × B/C</w:t>
      </w:r>
      <w:r w:rsidRPr="00A502F0">
        <w:rPr>
          <w:sz w:val="28"/>
          <w:lang w:val="en-US" w:bidi="ru-RU"/>
        </w:rPr>
        <w:tab/>
      </w:r>
      <w:r w:rsidRPr="00A502F0">
        <w:rPr>
          <w:sz w:val="28"/>
          <w:lang w:val="en-US" w:bidi="ru-RU"/>
        </w:rPr>
        <w:tab/>
      </w:r>
      <w:r w:rsidR="00E425AB">
        <w:rPr>
          <w:sz w:val="28"/>
          <w:lang w:val="en-US" w:bidi="ru-RU"/>
        </w:rPr>
        <w:t xml:space="preserve">                  </w:t>
      </w:r>
      <w:r w:rsidRPr="00A502F0">
        <w:rPr>
          <w:sz w:val="28"/>
          <w:lang w:val="en-US" w:bidi="ru-RU"/>
        </w:rPr>
        <w:tab/>
      </w:r>
      <w:r w:rsidRPr="00A502F0">
        <w:rPr>
          <w:sz w:val="28"/>
          <w:lang w:val="en-US" w:bidi="ru-RU"/>
        </w:rPr>
        <w:tab/>
      </w:r>
      <w:r w:rsidRPr="00A502F0">
        <w:rPr>
          <w:sz w:val="28"/>
          <w:lang w:val="en-US" w:bidi="ru-RU"/>
        </w:rPr>
        <w:tab/>
        <w:t xml:space="preserve"> (11.2)</w:t>
      </w:r>
    </w:p>
    <w:p w14:paraId="3A2DEAC1" w14:textId="77777777" w:rsidR="003C51B1" w:rsidRPr="00A502F0" w:rsidRDefault="003C51B1" w:rsidP="003C51B1">
      <w:pPr>
        <w:spacing w:line="312" w:lineRule="auto"/>
        <w:ind w:firstLine="357"/>
        <w:jc w:val="both"/>
        <w:rPr>
          <w:sz w:val="28"/>
          <w:lang w:val="en-US" w:bidi="ru-RU"/>
        </w:rPr>
      </w:pPr>
    </w:p>
    <w:p w14:paraId="0E93BB11" w14:textId="77777777" w:rsidR="003C51B1" w:rsidRPr="00A502F0" w:rsidRDefault="003C51B1" w:rsidP="00E425AB">
      <w:pPr>
        <w:spacing w:line="312" w:lineRule="auto"/>
        <w:ind w:firstLine="709"/>
        <w:jc w:val="both"/>
        <w:rPr>
          <w:sz w:val="28"/>
          <w:lang w:val="en-US" w:bidi="ru-RU"/>
        </w:rPr>
      </w:pPr>
      <w:r w:rsidRPr="00A502F0">
        <w:rPr>
          <w:sz w:val="28"/>
          <w:lang w:val="en-US" w:bidi="ru-RU"/>
        </w:rPr>
        <w:t>where A/C = units of currency A per unit of currency C;</w:t>
      </w:r>
    </w:p>
    <w:p w14:paraId="547C438E" w14:textId="77777777" w:rsidR="003C51B1" w:rsidRPr="00A502F0" w:rsidRDefault="003C51B1" w:rsidP="00E425AB">
      <w:pPr>
        <w:spacing w:line="312" w:lineRule="auto"/>
        <w:ind w:left="1418"/>
        <w:jc w:val="both"/>
        <w:rPr>
          <w:sz w:val="28"/>
          <w:lang w:val="en-US" w:bidi="ru-RU"/>
        </w:rPr>
      </w:pPr>
      <w:r w:rsidRPr="00A502F0">
        <w:rPr>
          <w:sz w:val="28"/>
          <w:lang w:val="en-US" w:bidi="ru-RU"/>
        </w:rPr>
        <w:t>A/B = units of currency A per unit of currency B;</w:t>
      </w:r>
    </w:p>
    <w:p w14:paraId="3E388A42" w14:textId="77777777" w:rsidR="003C51B1" w:rsidRPr="00A502F0" w:rsidRDefault="003C51B1" w:rsidP="00E425AB">
      <w:pPr>
        <w:spacing w:line="312" w:lineRule="auto"/>
        <w:ind w:left="1418"/>
        <w:jc w:val="both"/>
        <w:rPr>
          <w:sz w:val="28"/>
          <w:lang w:val="en-US" w:bidi="ru-RU"/>
        </w:rPr>
      </w:pPr>
      <w:r w:rsidRPr="00A502F0">
        <w:rPr>
          <w:sz w:val="28"/>
          <w:lang w:val="en-US" w:bidi="ru-RU"/>
        </w:rPr>
        <w:t>B/C = units of currency B per unit of currency C;</w:t>
      </w:r>
    </w:p>
    <w:p w14:paraId="1A1CE07E" w14:textId="77777777" w:rsidR="003C51B1" w:rsidRPr="00A502F0" w:rsidRDefault="003C51B1" w:rsidP="003C51B1">
      <w:pPr>
        <w:spacing w:line="312" w:lineRule="auto"/>
        <w:ind w:firstLine="357"/>
        <w:jc w:val="both"/>
        <w:rPr>
          <w:sz w:val="28"/>
          <w:lang w:val="en-US" w:bidi="ru-RU"/>
        </w:rPr>
      </w:pPr>
    </w:p>
    <w:p w14:paraId="60DD056F" w14:textId="77777777" w:rsidR="003C51B1" w:rsidRPr="00A502F0" w:rsidRDefault="003C51B1" w:rsidP="00E425AB">
      <w:pPr>
        <w:spacing w:line="312" w:lineRule="auto"/>
        <w:ind w:firstLine="709"/>
        <w:jc w:val="both"/>
        <w:rPr>
          <w:sz w:val="28"/>
          <w:lang w:val="en-US" w:bidi="ru-RU"/>
        </w:rPr>
      </w:pPr>
      <w:r w:rsidRPr="00A502F0">
        <w:rPr>
          <w:sz w:val="28"/>
          <w:lang w:val="en-US" w:bidi="ru-RU"/>
        </w:rPr>
        <w:t xml:space="preserve">One of the biggest and most obvious problems of internationalization is the fact that the relative values of any two currencies may alter over time, sometimes with significant alterations occurring over very short periods. Changes in exchange rates are described as depreciations or appreciations. When a country's currency depreciates, foreigners find that its exports are cheaper and domestic residents find that imports from abroad are more expensive. An appreciation has opposite effects: foreigners pay more for the country's products and domestic consumers pay less for foreign products. </w:t>
      </w:r>
    </w:p>
    <w:p w14:paraId="1A264DFD" w14:textId="77777777" w:rsidR="003C51B1" w:rsidRPr="00A502F0" w:rsidRDefault="003C51B1" w:rsidP="00E425AB">
      <w:pPr>
        <w:spacing w:line="312" w:lineRule="auto"/>
        <w:ind w:firstLine="709"/>
        <w:jc w:val="both"/>
        <w:rPr>
          <w:sz w:val="28"/>
          <w:lang w:val="en-US" w:bidi="ru-RU"/>
        </w:rPr>
      </w:pPr>
      <w:r w:rsidRPr="00A502F0">
        <w:rPr>
          <w:sz w:val="28"/>
          <w:lang w:val="en-US" w:bidi="ru-RU"/>
        </w:rPr>
        <w:lastRenderedPageBreak/>
        <w:t xml:space="preserve">An important element of international finance is the international financial management of transnational (multinational) corporations – TNCs or MNCs. Multinational firms arise because capital is much more mobile than labor. In general, </w:t>
      </w:r>
      <w:r w:rsidRPr="00A502F0">
        <w:rPr>
          <w:b/>
          <w:sz w:val="28"/>
          <w:lang w:val="en-US" w:bidi="ru-RU"/>
        </w:rPr>
        <w:t>the multinational corporation</w:t>
      </w:r>
      <w:r w:rsidRPr="00A502F0">
        <w:rPr>
          <w:sz w:val="28"/>
          <w:lang w:val="en-US" w:bidi="ru-RU"/>
        </w:rPr>
        <w:t xml:space="preserve"> is a business organization whose activities are located in more than two countries and is the organizational form that defines foreign direct investment. This form consists of a country location where the firm is incorporated and of the establishment of branches or subsidiaries in foreign countries.</w:t>
      </w:r>
    </w:p>
    <w:p w14:paraId="4A8AB482" w14:textId="77777777" w:rsidR="003C51B1" w:rsidRPr="00A502F0" w:rsidRDefault="003C51B1" w:rsidP="00E425AB">
      <w:pPr>
        <w:spacing w:line="312" w:lineRule="auto"/>
        <w:ind w:firstLine="709"/>
        <w:jc w:val="both"/>
        <w:rPr>
          <w:sz w:val="28"/>
          <w:lang w:val="en-US" w:bidi="ru-RU"/>
        </w:rPr>
      </w:pPr>
      <w:r w:rsidRPr="00A502F0">
        <w:rPr>
          <w:sz w:val="28"/>
          <w:lang w:val="en-US" w:bidi="ru-RU"/>
        </w:rPr>
        <w:t>Operating in many countries, MNCs are subject to multiple tax jurisdictions, i.</w:t>
      </w:r>
      <w:r w:rsidR="00675276">
        <w:rPr>
          <w:sz w:val="28"/>
          <w:lang w:val="en-US" w:bidi="ru-RU"/>
        </w:rPr>
        <w:t> </w:t>
      </w:r>
      <w:r w:rsidRPr="00A502F0">
        <w:rPr>
          <w:sz w:val="28"/>
          <w:lang w:val="en-US" w:bidi="ru-RU"/>
        </w:rPr>
        <w:t>e.</w:t>
      </w:r>
      <w:r w:rsidR="00E23433">
        <w:rPr>
          <w:sz w:val="28"/>
          <w:lang w:val="en-US" w:bidi="ru-RU"/>
        </w:rPr>
        <w:t>,</w:t>
      </w:r>
      <w:r w:rsidRPr="00A502F0">
        <w:rPr>
          <w:sz w:val="28"/>
          <w:lang w:val="en-US" w:bidi="ru-RU"/>
        </w:rPr>
        <w:t xml:space="preserve"> they must pay taxes to several countries. National tax systems are exceedingly complex and differ between countries.  Differences among national income tax systems affect the decisions of managers of MNCs, regarding the location of subsidiaries, financing, and the transfer prices (the prices of products and assets transferred between various units of MNCs). </w:t>
      </w:r>
    </w:p>
    <w:p w14:paraId="463BB1A6" w14:textId="77777777" w:rsidR="003C51B1" w:rsidRPr="00A502F0" w:rsidRDefault="003C51B1" w:rsidP="00E425AB">
      <w:pPr>
        <w:spacing w:line="312" w:lineRule="auto"/>
        <w:ind w:firstLine="709"/>
        <w:jc w:val="both"/>
        <w:rPr>
          <w:sz w:val="28"/>
          <w:lang w:val="en-US" w:bidi="ru-RU"/>
        </w:rPr>
      </w:pPr>
      <w:r w:rsidRPr="00A502F0">
        <w:rPr>
          <w:sz w:val="28"/>
          <w:lang w:val="en-US" w:bidi="ru-RU"/>
        </w:rPr>
        <w:t>Since countries have different tax rates, multinational companies choose low tax countries to save, invest, and produce. Governments may compete to attract multinational enterprises by offering them lower tax rates and other incentives. Many countries, territories, and jurisdictions have offshore financial centers (OFCs). These include well-known centers like Switzerland,</w:t>
      </w:r>
      <w:r w:rsidR="00E23433">
        <w:rPr>
          <w:sz w:val="28"/>
          <w:lang w:val="en-US" w:bidi="ru-RU"/>
        </w:rPr>
        <w:t xml:space="preserve"> Bermuda, and the Cayman Islands</w:t>
      </w:r>
      <w:r w:rsidRPr="00A502F0">
        <w:rPr>
          <w:sz w:val="28"/>
          <w:lang w:val="en-US" w:bidi="ru-RU"/>
        </w:rPr>
        <w:t xml:space="preserve"> and less-well-known centers like Mauritius, Dublin, and Belize. The level of regulatory standards and transparency differs widely among OFCs. Supporters of OFCs argue that they improve the flow of capital and facilitate international business transactions. A company may legitimately move offshore for the purpose of tax avoidance or to enjoy relaxed regulations. Offshore financial institutions can also be used for illicit purposes</w:t>
      </w:r>
      <w:r w:rsidR="00E23433">
        <w:rPr>
          <w:sz w:val="28"/>
          <w:lang w:val="en-US" w:bidi="ru-RU"/>
        </w:rPr>
        <w:t>,</w:t>
      </w:r>
      <w:r w:rsidRPr="00A502F0">
        <w:rPr>
          <w:sz w:val="28"/>
          <w:lang w:val="en-US" w:bidi="ru-RU"/>
        </w:rPr>
        <w:t xml:space="preserve"> such as money laundering and tax evasion. </w:t>
      </w:r>
    </w:p>
    <w:p w14:paraId="7B1AFFA6" w14:textId="77777777" w:rsidR="003C51B1" w:rsidRPr="00A502F0" w:rsidRDefault="007557BC" w:rsidP="00A502F0">
      <w:pPr>
        <w:pStyle w:val="end2"/>
      </w:pPr>
      <w:r w:rsidRPr="00A502F0">
        <w:t>RECOMMENDED</w:t>
      </w:r>
      <w:r w:rsidR="003C51B1" w:rsidRPr="00A502F0">
        <w:t xml:space="preserve"> reading </w:t>
      </w:r>
    </w:p>
    <w:p w14:paraId="55CE750B" w14:textId="77777777" w:rsidR="0072591B" w:rsidRPr="00E425AB" w:rsidRDefault="00675276" w:rsidP="00E425AB">
      <w:pPr>
        <w:pStyle w:val="ListParagraph"/>
        <w:numPr>
          <w:ilvl w:val="6"/>
          <w:numId w:val="73"/>
        </w:numPr>
        <w:tabs>
          <w:tab w:val="clear" w:pos="5749"/>
        </w:tabs>
        <w:spacing w:line="240" w:lineRule="atLeast"/>
        <w:ind w:left="426"/>
        <w:jc w:val="both"/>
        <w:rPr>
          <w:rFonts w:ascii="Garamond" w:hAnsi="Garamond"/>
          <w:lang w:val="en-US"/>
        </w:rPr>
      </w:pPr>
      <w:r w:rsidRPr="00E425AB">
        <w:rPr>
          <w:rFonts w:ascii="Garamond" w:hAnsi="Garamond"/>
          <w:lang w:val="en-US"/>
        </w:rPr>
        <w:t>International Monetary Fund,</w:t>
      </w:r>
      <w:r w:rsidRPr="00675276">
        <w:rPr>
          <w:rFonts w:ascii="Garamond" w:hAnsi="Garamond"/>
          <w:lang w:val="en-US"/>
        </w:rPr>
        <w:t xml:space="preserve"> </w:t>
      </w:r>
      <w:r>
        <w:rPr>
          <w:rFonts w:ascii="Garamond" w:hAnsi="Garamond"/>
          <w:lang w:val="en-US"/>
        </w:rPr>
        <w:t xml:space="preserve">2009, </w:t>
      </w:r>
      <w:r w:rsidR="0072591B" w:rsidRPr="00E425AB">
        <w:rPr>
          <w:rFonts w:ascii="Garamond" w:hAnsi="Garamond"/>
          <w:i/>
          <w:lang w:val="en-US"/>
        </w:rPr>
        <w:t>Balance of payments and internation</w:t>
      </w:r>
      <w:r w:rsidR="00E425AB" w:rsidRPr="00E425AB">
        <w:rPr>
          <w:rFonts w:ascii="Garamond" w:hAnsi="Garamond"/>
          <w:i/>
          <w:lang w:val="en-US"/>
        </w:rPr>
        <w:t>al investment position manual</w:t>
      </w:r>
      <w:r w:rsidR="00E425AB">
        <w:rPr>
          <w:rFonts w:ascii="Garamond" w:hAnsi="Garamond"/>
          <w:lang w:val="en-US"/>
        </w:rPr>
        <w:t xml:space="preserve">, </w:t>
      </w:r>
      <w:r w:rsidR="0072591B" w:rsidRPr="00E425AB">
        <w:rPr>
          <w:rFonts w:ascii="Garamond" w:hAnsi="Garamond"/>
          <w:lang w:val="en-US"/>
        </w:rPr>
        <w:t>Washington, D.C.</w:t>
      </w:r>
    </w:p>
    <w:p w14:paraId="6C6D1CDB" w14:textId="77777777" w:rsidR="0072591B" w:rsidRPr="00E425AB" w:rsidRDefault="0072591B" w:rsidP="00E425AB">
      <w:pPr>
        <w:pStyle w:val="ListParagraph"/>
        <w:numPr>
          <w:ilvl w:val="6"/>
          <w:numId w:val="73"/>
        </w:numPr>
        <w:tabs>
          <w:tab w:val="clear" w:pos="5749"/>
        </w:tabs>
        <w:spacing w:line="240" w:lineRule="atLeast"/>
        <w:ind w:left="426"/>
        <w:jc w:val="both"/>
        <w:rPr>
          <w:rFonts w:ascii="Garamond" w:hAnsi="Garamond"/>
          <w:lang w:val="en-US"/>
        </w:rPr>
      </w:pPr>
      <w:r w:rsidRPr="00E425AB">
        <w:rPr>
          <w:rFonts w:ascii="Garamond" w:hAnsi="Garamond"/>
          <w:lang w:val="en-US"/>
        </w:rPr>
        <w:t>Bergsten, C. F</w:t>
      </w:r>
      <w:r w:rsidR="00E425AB">
        <w:rPr>
          <w:rFonts w:ascii="Garamond" w:hAnsi="Garamond"/>
          <w:lang w:val="en-US"/>
        </w:rPr>
        <w:t>., 2005,</w:t>
      </w:r>
      <w:r w:rsidRPr="00E425AB">
        <w:rPr>
          <w:rFonts w:ascii="Garamond" w:hAnsi="Garamond"/>
          <w:lang w:val="en-US"/>
        </w:rPr>
        <w:t xml:space="preserve"> </w:t>
      </w:r>
      <w:r w:rsidRPr="00E425AB">
        <w:rPr>
          <w:rFonts w:ascii="Garamond" w:hAnsi="Garamond"/>
          <w:i/>
          <w:lang w:val="en-US"/>
        </w:rPr>
        <w:t>The United States and the world economy: foreign economic policy for the next decade</w:t>
      </w:r>
      <w:r w:rsidRPr="00E425AB">
        <w:rPr>
          <w:rFonts w:ascii="Garamond" w:hAnsi="Garamond"/>
          <w:lang w:val="en-US"/>
        </w:rPr>
        <w:t>, The Institute for International Economics, Washington,</w:t>
      </w:r>
      <w:r w:rsidR="00E425AB">
        <w:rPr>
          <w:rFonts w:ascii="Garamond" w:hAnsi="Garamond"/>
          <w:lang w:val="en-US"/>
        </w:rPr>
        <w:t xml:space="preserve"> DC (Chapter 12, Goldstein, M., </w:t>
      </w:r>
      <w:r w:rsidRPr="00E425AB">
        <w:rPr>
          <w:rFonts w:ascii="Garamond" w:hAnsi="Garamond"/>
          <w:i/>
          <w:lang w:val="en-US"/>
        </w:rPr>
        <w:t>The International Financial Architecture</w:t>
      </w:r>
      <w:r w:rsidRPr="00E425AB">
        <w:rPr>
          <w:rFonts w:ascii="Garamond" w:hAnsi="Garamond"/>
          <w:lang w:val="en-US"/>
        </w:rPr>
        <w:t xml:space="preserve">, </w:t>
      </w:r>
      <w:r w:rsidR="00E425AB">
        <w:rPr>
          <w:rFonts w:ascii="Garamond" w:hAnsi="Garamond"/>
          <w:lang w:val="en-US"/>
        </w:rPr>
        <w:t xml:space="preserve">pp. </w:t>
      </w:r>
      <w:r w:rsidRPr="00E425AB">
        <w:rPr>
          <w:rFonts w:ascii="Garamond" w:hAnsi="Garamond"/>
          <w:lang w:val="en-US"/>
        </w:rPr>
        <w:t>373</w:t>
      </w:r>
      <w:r w:rsidR="00E425AB" w:rsidRPr="00305E02">
        <w:rPr>
          <w:rFonts w:cs="Garamond"/>
          <w:color w:val="auto"/>
          <w:lang w:val="en-US" w:eastAsia="ru-RU" w:bidi="ru-RU"/>
        </w:rPr>
        <w:t>–</w:t>
      </w:r>
      <w:r w:rsidRPr="00E425AB">
        <w:rPr>
          <w:rFonts w:ascii="Garamond" w:hAnsi="Garamond"/>
          <w:lang w:val="en-US"/>
        </w:rPr>
        <w:t>407).</w:t>
      </w:r>
    </w:p>
    <w:p w14:paraId="30F8F30C" w14:textId="77777777" w:rsidR="0072591B" w:rsidRPr="00E425AB" w:rsidRDefault="00E425AB" w:rsidP="00E425AB">
      <w:pPr>
        <w:pStyle w:val="ListParagraph"/>
        <w:numPr>
          <w:ilvl w:val="6"/>
          <w:numId w:val="73"/>
        </w:numPr>
        <w:tabs>
          <w:tab w:val="clear" w:pos="5749"/>
        </w:tabs>
        <w:spacing w:line="240" w:lineRule="atLeast"/>
        <w:ind w:left="426"/>
        <w:jc w:val="both"/>
        <w:rPr>
          <w:rFonts w:ascii="Garamond" w:hAnsi="Garamond"/>
          <w:lang w:val="en-US"/>
        </w:rPr>
      </w:pPr>
      <w:r>
        <w:rPr>
          <w:rFonts w:ascii="Garamond" w:hAnsi="Garamond"/>
          <w:lang w:val="en-US"/>
        </w:rPr>
        <w:t>Bhargava, V. K., 2006,</w:t>
      </w:r>
      <w:r w:rsidR="0072591B" w:rsidRPr="00E425AB">
        <w:rPr>
          <w:rFonts w:ascii="Garamond" w:hAnsi="Garamond"/>
          <w:lang w:val="en-US"/>
        </w:rPr>
        <w:t xml:space="preserve"> </w:t>
      </w:r>
      <w:r w:rsidR="0072591B" w:rsidRPr="00E425AB">
        <w:rPr>
          <w:rFonts w:ascii="Garamond" w:hAnsi="Garamond"/>
          <w:i/>
          <w:lang w:val="en-US"/>
        </w:rPr>
        <w:t>Global issues for global citizens: an introduction to key development challenges</w:t>
      </w:r>
      <w:r w:rsidR="0072591B" w:rsidRPr="00E425AB">
        <w:rPr>
          <w:rFonts w:ascii="Garamond" w:hAnsi="Garamond"/>
          <w:lang w:val="en-US"/>
        </w:rPr>
        <w:t>, The World Bank</w:t>
      </w:r>
      <w:r>
        <w:rPr>
          <w:rFonts w:ascii="Garamond" w:hAnsi="Garamond"/>
          <w:lang w:val="en-US"/>
        </w:rPr>
        <w:t xml:space="preserve">, Washington, DC (Chapter 20, </w:t>
      </w:r>
      <w:r w:rsidR="0072591B" w:rsidRPr="00E425AB">
        <w:rPr>
          <w:rFonts w:ascii="Garamond" w:hAnsi="Garamond"/>
          <w:i/>
          <w:lang w:val="en-US"/>
        </w:rPr>
        <w:t>The role of the international financial institutions in addressing global issues</w:t>
      </w:r>
      <w:r w:rsidR="0072591B" w:rsidRPr="00E425AB">
        <w:rPr>
          <w:rFonts w:ascii="Garamond" w:hAnsi="Garamond"/>
          <w:lang w:val="en-US"/>
        </w:rPr>
        <w:t xml:space="preserve">, </w:t>
      </w:r>
      <w:r>
        <w:rPr>
          <w:rFonts w:ascii="Garamond" w:hAnsi="Garamond"/>
          <w:lang w:val="en-US"/>
        </w:rPr>
        <w:t>pp. 393</w:t>
      </w:r>
      <w:r w:rsidRPr="00305E02">
        <w:rPr>
          <w:rFonts w:cs="Garamond"/>
          <w:color w:val="auto"/>
          <w:lang w:val="en-US" w:eastAsia="ru-RU" w:bidi="ru-RU"/>
        </w:rPr>
        <w:t>–</w:t>
      </w:r>
      <w:r w:rsidR="0072591B" w:rsidRPr="00E425AB">
        <w:rPr>
          <w:rFonts w:ascii="Garamond" w:hAnsi="Garamond"/>
          <w:lang w:val="en-US"/>
        </w:rPr>
        <w:t>409).</w:t>
      </w:r>
    </w:p>
    <w:p w14:paraId="5990E601" w14:textId="77777777" w:rsidR="0072591B" w:rsidRPr="00E425AB" w:rsidRDefault="0072591B" w:rsidP="00E425AB">
      <w:pPr>
        <w:pStyle w:val="ListParagraph"/>
        <w:numPr>
          <w:ilvl w:val="6"/>
          <w:numId w:val="73"/>
        </w:numPr>
        <w:tabs>
          <w:tab w:val="clear" w:pos="5749"/>
        </w:tabs>
        <w:spacing w:line="240" w:lineRule="atLeast"/>
        <w:ind w:left="426"/>
        <w:jc w:val="both"/>
        <w:rPr>
          <w:rFonts w:ascii="Garamond" w:hAnsi="Garamond"/>
          <w:lang w:val="en-US"/>
        </w:rPr>
      </w:pPr>
      <w:r w:rsidRPr="00E425AB">
        <w:rPr>
          <w:rFonts w:ascii="Garamond" w:hAnsi="Garamond"/>
          <w:lang w:val="en-US"/>
        </w:rPr>
        <w:lastRenderedPageBreak/>
        <w:t>Buiter, W. H.,</w:t>
      </w:r>
      <w:r w:rsidR="00E425AB">
        <w:rPr>
          <w:rFonts w:ascii="Garamond" w:hAnsi="Garamond"/>
          <w:lang w:val="en-US"/>
        </w:rPr>
        <w:t xml:space="preserve"> and Lankes, H. P., </w:t>
      </w:r>
      <w:r w:rsidRPr="00E425AB">
        <w:rPr>
          <w:rFonts w:ascii="Garamond" w:hAnsi="Garamond"/>
          <w:lang w:val="en-US"/>
        </w:rPr>
        <w:t>2001</w:t>
      </w:r>
      <w:r w:rsidR="00E425AB">
        <w:rPr>
          <w:rFonts w:ascii="Garamond" w:hAnsi="Garamond"/>
          <w:lang w:val="en-US"/>
        </w:rPr>
        <w:t>,</w:t>
      </w:r>
      <w:r w:rsidRPr="00E425AB">
        <w:rPr>
          <w:rFonts w:ascii="Garamond" w:hAnsi="Garamond"/>
          <w:lang w:val="en-US"/>
        </w:rPr>
        <w:t xml:space="preserve"> </w:t>
      </w:r>
      <w:r w:rsidRPr="00B671A0">
        <w:rPr>
          <w:rFonts w:ascii="Garamond" w:hAnsi="Garamond"/>
          <w:i/>
          <w:lang w:val="en-US"/>
        </w:rPr>
        <w:t>International financial Institutions adapting to a world of private capital flows. Perspectives in Global Finance</w:t>
      </w:r>
      <w:r w:rsidRPr="00E425AB">
        <w:rPr>
          <w:rFonts w:ascii="Garamond" w:hAnsi="Garamond"/>
          <w:lang w:val="en-US"/>
        </w:rPr>
        <w:t>, Routledge, London &amp; New York.</w:t>
      </w:r>
    </w:p>
    <w:p w14:paraId="26D49B9E" w14:textId="77777777" w:rsidR="0072591B" w:rsidRPr="00E425AB" w:rsidRDefault="0072591B" w:rsidP="00E425AB">
      <w:pPr>
        <w:pStyle w:val="ListParagraph"/>
        <w:numPr>
          <w:ilvl w:val="6"/>
          <w:numId w:val="73"/>
        </w:numPr>
        <w:tabs>
          <w:tab w:val="clear" w:pos="5749"/>
        </w:tabs>
        <w:spacing w:line="240" w:lineRule="atLeast"/>
        <w:ind w:left="426"/>
        <w:jc w:val="both"/>
        <w:rPr>
          <w:rFonts w:ascii="Garamond" w:hAnsi="Garamond"/>
          <w:lang w:val="en-US"/>
        </w:rPr>
      </w:pPr>
      <w:r w:rsidRPr="00E425AB">
        <w:rPr>
          <w:rFonts w:ascii="Garamond" w:hAnsi="Garamond"/>
          <w:lang w:val="en-US"/>
        </w:rPr>
        <w:t xml:space="preserve">Krugman, P., </w:t>
      </w:r>
      <w:r w:rsidR="00B671A0">
        <w:rPr>
          <w:rFonts w:ascii="Garamond" w:hAnsi="Garamond"/>
          <w:lang w:val="en-US"/>
        </w:rPr>
        <w:t>and Obstfeld, M., 2003,</w:t>
      </w:r>
      <w:r w:rsidRPr="00E425AB">
        <w:rPr>
          <w:rFonts w:ascii="Garamond" w:hAnsi="Garamond"/>
          <w:lang w:val="en-US"/>
        </w:rPr>
        <w:t xml:space="preserve"> </w:t>
      </w:r>
      <w:r w:rsidRPr="00B671A0">
        <w:rPr>
          <w:rFonts w:ascii="Garamond" w:hAnsi="Garamond"/>
          <w:i/>
          <w:lang w:val="en-US"/>
        </w:rPr>
        <w:t>Internation</w:t>
      </w:r>
      <w:r w:rsidR="00B671A0" w:rsidRPr="00B671A0">
        <w:rPr>
          <w:rFonts w:ascii="Garamond" w:hAnsi="Garamond"/>
          <w:i/>
          <w:lang w:val="en-US"/>
        </w:rPr>
        <w:t>al Economics: Theory and Policy</w:t>
      </w:r>
      <w:r w:rsidR="00B671A0">
        <w:rPr>
          <w:rFonts w:ascii="Garamond" w:hAnsi="Garamond"/>
          <w:lang w:val="en-US"/>
        </w:rPr>
        <w:t>, 6th Edition,</w:t>
      </w:r>
      <w:r w:rsidRPr="00E425AB">
        <w:rPr>
          <w:rFonts w:ascii="Garamond" w:hAnsi="Garamond"/>
          <w:lang w:val="en-US"/>
        </w:rPr>
        <w:t xml:space="preserve"> Addison Wesley World Student Series.</w:t>
      </w:r>
    </w:p>
    <w:p w14:paraId="4562BB6A" w14:textId="77777777" w:rsidR="0072591B" w:rsidRPr="00E425AB" w:rsidRDefault="00137967" w:rsidP="00E425AB">
      <w:pPr>
        <w:pStyle w:val="ListParagraph"/>
        <w:numPr>
          <w:ilvl w:val="6"/>
          <w:numId w:val="73"/>
        </w:numPr>
        <w:tabs>
          <w:tab w:val="clear" w:pos="5749"/>
        </w:tabs>
        <w:spacing w:line="240" w:lineRule="atLeast"/>
        <w:ind w:left="426"/>
        <w:jc w:val="both"/>
        <w:rPr>
          <w:rFonts w:ascii="Garamond" w:hAnsi="Garamond"/>
          <w:lang w:val="en-US"/>
        </w:rPr>
      </w:pPr>
      <w:r>
        <w:rPr>
          <w:rFonts w:ascii="Garamond" w:hAnsi="Garamond"/>
          <w:lang w:val="en-US"/>
        </w:rPr>
        <w:t>Madura, J., 2007,</w:t>
      </w:r>
      <w:r w:rsidR="0072591B" w:rsidRPr="00E425AB">
        <w:rPr>
          <w:rFonts w:ascii="Garamond" w:hAnsi="Garamond"/>
          <w:lang w:val="en-US"/>
        </w:rPr>
        <w:t xml:space="preserve"> </w:t>
      </w:r>
      <w:r w:rsidR="0072591B" w:rsidRPr="00137967">
        <w:rPr>
          <w:rFonts w:ascii="Garamond" w:hAnsi="Garamond"/>
          <w:i/>
          <w:lang w:val="en-US"/>
        </w:rPr>
        <w:t>Interna</w:t>
      </w:r>
      <w:r w:rsidRPr="00137967">
        <w:rPr>
          <w:rFonts w:ascii="Garamond" w:hAnsi="Garamond"/>
          <w:i/>
          <w:lang w:val="en-US"/>
        </w:rPr>
        <w:t>tional Financial Management</w:t>
      </w:r>
      <w:r>
        <w:rPr>
          <w:rFonts w:ascii="Garamond" w:hAnsi="Garamond"/>
          <w:lang w:val="en-US"/>
        </w:rPr>
        <w:t>, Abridged 8th Edition,</w:t>
      </w:r>
      <w:r w:rsidR="0072591B" w:rsidRPr="00E425AB">
        <w:rPr>
          <w:rFonts w:ascii="Garamond" w:hAnsi="Garamond"/>
          <w:lang w:val="en-US"/>
        </w:rPr>
        <w:t xml:space="preserve"> Mason, OH</w:t>
      </w:r>
      <w:r>
        <w:rPr>
          <w:rFonts w:ascii="Garamond" w:hAnsi="Garamond"/>
          <w:lang w:val="en-US"/>
        </w:rPr>
        <w:t xml:space="preserve"> </w:t>
      </w:r>
      <w:r w:rsidR="0072591B" w:rsidRPr="00E425AB">
        <w:rPr>
          <w:rFonts w:ascii="Garamond" w:hAnsi="Garamond"/>
          <w:lang w:val="en-US"/>
        </w:rPr>
        <w:t>: Thomson South-Western.</w:t>
      </w:r>
    </w:p>
    <w:p w14:paraId="77BCA221" w14:textId="77777777" w:rsidR="0072591B" w:rsidRPr="00E425AB" w:rsidRDefault="0072591B" w:rsidP="00E425AB">
      <w:pPr>
        <w:pStyle w:val="ListParagraph"/>
        <w:numPr>
          <w:ilvl w:val="6"/>
          <w:numId w:val="73"/>
        </w:numPr>
        <w:tabs>
          <w:tab w:val="clear" w:pos="5749"/>
        </w:tabs>
        <w:spacing w:line="240" w:lineRule="atLeast"/>
        <w:ind w:left="426"/>
        <w:jc w:val="both"/>
        <w:rPr>
          <w:rFonts w:ascii="Garamond" w:hAnsi="Garamond"/>
          <w:lang w:val="en-US"/>
        </w:rPr>
      </w:pPr>
      <w:r w:rsidRPr="00E425AB">
        <w:rPr>
          <w:rFonts w:ascii="Garamond" w:hAnsi="Garamond"/>
          <w:lang w:val="en-US"/>
        </w:rPr>
        <w:t xml:space="preserve">Moffett, M., Stonehill, A., </w:t>
      </w:r>
      <w:r w:rsidR="00137967">
        <w:rPr>
          <w:rFonts w:ascii="Garamond" w:hAnsi="Garamond"/>
          <w:lang w:val="en-US"/>
        </w:rPr>
        <w:t>and Eiteman, D., 2009,</w:t>
      </w:r>
      <w:r w:rsidRPr="00E425AB">
        <w:rPr>
          <w:rFonts w:ascii="Garamond" w:hAnsi="Garamond"/>
          <w:lang w:val="en-US"/>
        </w:rPr>
        <w:t xml:space="preserve"> </w:t>
      </w:r>
      <w:r w:rsidRPr="00137967">
        <w:rPr>
          <w:rFonts w:ascii="Garamond" w:hAnsi="Garamond"/>
          <w:i/>
          <w:lang w:val="en-US"/>
        </w:rPr>
        <w:t>Fundam</w:t>
      </w:r>
      <w:r w:rsidR="00137967" w:rsidRPr="00137967">
        <w:rPr>
          <w:rFonts w:ascii="Garamond" w:hAnsi="Garamond"/>
          <w:i/>
          <w:lang w:val="en-US"/>
        </w:rPr>
        <w:t>entals of Multinational Finance</w:t>
      </w:r>
      <w:r w:rsidR="00137967">
        <w:rPr>
          <w:rFonts w:ascii="Garamond" w:hAnsi="Garamond"/>
          <w:lang w:val="en-US"/>
        </w:rPr>
        <w:t>,</w:t>
      </w:r>
      <w:r w:rsidRPr="00E425AB">
        <w:rPr>
          <w:rFonts w:ascii="Garamond" w:hAnsi="Garamond"/>
          <w:lang w:val="en-US"/>
        </w:rPr>
        <w:t xml:space="preserve"> 3rd Edition, Pearson Prentice Hall.</w:t>
      </w:r>
    </w:p>
    <w:p w14:paraId="1AA4B6EA" w14:textId="77777777" w:rsidR="0072591B" w:rsidRPr="00E425AB" w:rsidRDefault="0072591B" w:rsidP="00675276">
      <w:pPr>
        <w:pStyle w:val="ListParagraph"/>
        <w:numPr>
          <w:ilvl w:val="6"/>
          <w:numId w:val="73"/>
        </w:numPr>
        <w:tabs>
          <w:tab w:val="clear" w:pos="5749"/>
        </w:tabs>
        <w:spacing w:line="240" w:lineRule="atLeast"/>
        <w:ind w:left="426"/>
        <w:jc w:val="both"/>
        <w:rPr>
          <w:rFonts w:ascii="Garamond" w:hAnsi="Garamond"/>
          <w:lang w:val="en-US"/>
        </w:rPr>
      </w:pPr>
      <w:r w:rsidRPr="00E425AB">
        <w:rPr>
          <w:rFonts w:ascii="Garamond" w:hAnsi="Garamond"/>
          <w:lang w:val="en-US"/>
        </w:rPr>
        <w:t xml:space="preserve">Mohan, R., Patra, M. D., </w:t>
      </w:r>
      <w:r w:rsidR="00137967">
        <w:rPr>
          <w:rFonts w:ascii="Garamond" w:hAnsi="Garamond"/>
          <w:lang w:val="en-US"/>
        </w:rPr>
        <w:t>and Kapur, M., 2013,</w:t>
      </w:r>
      <w:r w:rsidRPr="00E425AB">
        <w:rPr>
          <w:rFonts w:ascii="Garamond" w:hAnsi="Garamond"/>
          <w:lang w:val="en-US"/>
        </w:rPr>
        <w:t xml:space="preserve"> The international monetary system: where are we and where do we need to go?, </w:t>
      </w:r>
      <w:r w:rsidRPr="00137967">
        <w:rPr>
          <w:rFonts w:ascii="Garamond" w:hAnsi="Garamond"/>
          <w:i/>
          <w:lang w:val="en-US"/>
        </w:rPr>
        <w:t>IMF Working Paper</w:t>
      </w:r>
      <w:r w:rsidRPr="00E425AB">
        <w:rPr>
          <w:rFonts w:ascii="Garamond" w:hAnsi="Garamond"/>
          <w:lang w:val="en-US"/>
        </w:rPr>
        <w:t>.</w:t>
      </w:r>
      <w:r w:rsidR="00675276">
        <w:rPr>
          <w:rFonts w:ascii="Garamond" w:hAnsi="Garamond"/>
          <w:lang w:val="en-US"/>
        </w:rPr>
        <w:t xml:space="preserve"> Available at http://</w:t>
      </w:r>
      <w:r w:rsidR="00675276" w:rsidRPr="00675276">
        <w:t xml:space="preserve"> </w:t>
      </w:r>
      <w:r w:rsidR="00675276" w:rsidRPr="00675276">
        <w:rPr>
          <w:rFonts w:ascii="Garamond" w:hAnsi="Garamond"/>
          <w:lang w:val="en-US"/>
        </w:rPr>
        <w:t>http://www.imf.org/external/pubs/ft/wp/2013/wp13224.pdf</w:t>
      </w:r>
    </w:p>
    <w:p w14:paraId="3C09EA47" w14:textId="77777777" w:rsidR="0072591B" w:rsidRPr="00E425AB" w:rsidRDefault="0072591B" w:rsidP="00E425AB">
      <w:pPr>
        <w:pStyle w:val="ListParagraph"/>
        <w:numPr>
          <w:ilvl w:val="6"/>
          <w:numId w:val="73"/>
        </w:numPr>
        <w:tabs>
          <w:tab w:val="clear" w:pos="5749"/>
        </w:tabs>
        <w:spacing w:line="240" w:lineRule="atLeast"/>
        <w:ind w:left="426"/>
        <w:jc w:val="both"/>
        <w:rPr>
          <w:rFonts w:ascii="Garamond" w:hAnsi="Garamond"/>
          <w:lang w:val="en-US"/>
        </w:rPr>
      </w:pPr>
      <w:r w:rsidRPr="00E425AB">
        <w:rPr>
          <w:rFonts w:ascii="Garamond" w:hAnsi="Garamond"/>
          <w:lang w:val="en-US"/>
        </w:rPr>
        <w:t xml:space="preserve">Myendorff, A., </w:t>
      </w:r>
      <w:r w:rsidR="00137967">
        <w:rPr>
          <w:rFonts w:ascii="Garamond" w:hAnsi="Garamond"/>
          <w:lang w:val="en-US"/>
        </w:rPr>
        <w:t>and Thakor, A. V., 2002,</w:t>
      </w:r>
      <w:r w:rsidRPr="00E425AB">
        <w:rPr>
          <w:rFonts w:ascii="Garamond" w:hAnsi="Garamond"/>
          <w:lang w:val="en-US"/>
        </w:rPr>
        <w:t xml:space="preserve"> </w:t>
      </w:r>
      <w:r w:rsidRPr="00137967">
        <w:rPr>
          <w:rFonts w:ascii="Garamond" w:hAnsi="Garamond"/>
          <w:i/>
          <w:lang w:val="en-US"/>
        </w:rPr>
        <w:t>Designing Financial Systems in Transition Economics: Strategies for Reform in Central and Eastern Europe</w:t>
      </w:r>
      <w:r w:rsidRPr="00E425AB">
        <w:rPr>
          <w:rFonts w:ascii="Garamond" w:hAnsi="Garamond"/>
          <w:lang w:val="en-US"/>
        </w:rPr>
        <w:t>, MIT Press.</w:t>
      </w:r>
    </w:p>
    <w:p w14:paraId="636D7344" w14:textId="77777777" w:rsidR="0072591B" w:rsidRPr="00E425AB" w:rsidRDefault="0072591B" w:rsidP="00E425AB">
      <w:pPr>
        <w:pStyle w:val="ListParagraph"/>
        <w:numPr>
          <w:ilvl w:val="6"/>
          <w:numId w:val="73"/>
        </w:numPr>
        <w:tabs>
          <w:tab w:val="clear" w:pos="5749"/>
        </w:tabs>
        <w:spacing w:line="240" w:lineRule="atLeast"/>
        <w:ind w:left="426"/>
        <w:jc w:val="both"/>
        <w:rPr>
          <w:rFonts w:ascii="Garamond" w:hAnsi="Garamond"/>
          <w:lang w:val="en-US"/>
        </w:rPr>
      </w:pPr>
      <w:r w:rsidRPr="00E425AB">
        <w:rPr>
          <w:rFonts w:ascii="Garamond" w:hAnsi="Garamond"/>
          <w:lang w:val="en-US"/>
        </w:rPr>
        <w:t>Pilbeam, K.</w:t>
      </w:r>
      <w:r w:rsidR="00137967">
        <w:rPr>
          <w:rFonts w:ascii="Garamond" w:hAnsi="Garamond"/>
          <w:lang w:val="en-US"/>
        </w:rPr>
        <w:t xml:space="preserve">, 2006, </w:t>
      </w:r>
      <w:r w:rsidR="00137967" w:rsidRPr="00137967">
        <w:rPr>
          <w:rFonts w:ascii="Garamond" w:hAnsi="Garamond"/>
          <w:i/>
          <w:lang w:val="en-US"/>
        </w:rPr>
        <w:t>International Finance</w:t>
      </w:r>
      <w:r w:rsidR="00137967">
        <w:rPr>
          <w:rFonts w:ascii="Garamond" w:hAnsi="Garamond"/>
          <w:lang w:val="en-US"/>
        </w:rPr>
        <w:t>, 3rd Edition,</w:t>
      </w:r>
      <w:r w:rsidRPr="00E425AB">
        <w:rPr>
          <w:rFonts w:ascii="Garamond" w:hAnsi="Garamond"/>
          <w:lang w:val="en-US"/>
        </w:rPr>
        <w:t xml:space="preserve"> New York, NY: Palgrave Macmillan.</w:t>
      </w:r>
    </w:p>
    <w:p w14:paraId="78EBF0DC" w14:textId="77777777" w:rsidR="0072591B" w:rsidRPr="00E425AB" w:rsidRDefault="00137967" w:rsidP="00E425AB">
      <w:pPr>
        <w:pStyle w:val="ListParagraph"/>
        <w:numPr>
          <w:ilvl w:val="6"/>
          <w:numId w:val="73"/>
        </w:numPr>
        <w:tabs>
          <w:tab w:val="clear" w:pos="5749"/>
        </w:tabs>
        <w:spacing w:line="240" w:lineRule="atLeast"/>
        <w:ind w:left="426"/>
        <w:jc w:val="both"/>
        <w:rPr>
          <w:rFonts w:ascii="Garamond" w:hAnsi="Garamond"/>
          <w:lang w:val="en-US"/>
        </w:rPr>
      </w:pPr>
      <w:r>
        <w:rPr>
          <w:rFonts w:ascii="Garamond" w:hAnsi="Garamond"/>
          <w:lang w:val="en-US"/>
        </w:rPr>
        <w:t>Root, F. R., 1990,</w:t>
      </w:r>
      <w:r w:rsidR="0072591B" w:rsidRPr="00E425AB">
        <w:rPr>
          <w:rFonts w:ascii="Garamond" w:hAnsi="Garamond"/>
          <w:lang w:val="en-US"/>
        </w:rPr>
        <w:t xml:space="preserve"> </w:t>
      </w:r>
      <w:r w:rsidR="0072591B" w:rsidRPr="00137967">
        <w:rPr>
          <w:rFonts w:ascii="Garamond" w:hAnsi="Garamond"/>
          <w:i/>
          <w:lang w:val="en-US"/>
        </w:rPr>
        <w:t>Int</w:t>
      </w:r>
      <w:r w:rsidRPr="00137967">
        <w:rPr>
          <w:rFonts w:ascii="Garamond" w:hAnsi="Garamond"/>
          <w:i/>
          <w:lang w:val="en-US"/>
        </w:rPr>
        <w:t>ernational trade and investment</w:t>
      </w:r>
      <w:r>
        <w:rPr>
          <w:rFonts w:ascii="Garamond" w:hAnsi="Garamond"/>
          <w:lang w:val="en-US"/>
        </w:rPr>
        <w:t>,</w:t>
      </w:r>
      <w:r w:rsidR="0072591B" w:rsidRPr="00E425AB">
        <w:rPr>
          <w:rFonts w:ascii="Garamond" w:hAnsi="Garamond"/>
          <w:lang w:val="en-US"/>
        </w:rPr>
        <w:t xml:space="preserve"> South-Western Pub. Co.</w:t>
      </w:r>
    </w:p>
    <w:p w14:paraId="0E841D1D" w14:textId="77777777" w:rsidR="003C51B1" w:rsidRPr="00A502F0" w:rsidRDefault="003C51B1" w:rsidP="00A502F0">
      <w:pPr>
        <w:pStyle w:val="end2"/>
      </w:pPr>
      <w:r w:rsidRPr="00A502F0">
        <w:t>Key terms</w:t>
      </w:r>
    </w:p>
    <w:tbl>
      <w:tblPr>
        <w:tblStyle w:val="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93"/>
        <w:gridCol w:w="7522"/>
      </w:tblGrid>
      <w:tr w:rsidR="003C51B1" w:rsidRPr="003C51B1" w14:paraId="0BA8F66C" w14:textId="77777777" w:rsidTr="003C51B1">
        <w:tc>
          <w:tcPr>
            <w:tcW w:w="2093" w:type="dxa"/>
          </w:tcPr>
          <w:p w14:paraId="7D5D984E" w14:textId="77777777" w:rsidR="003C51B1" w:rsidRPr="00E86F07" w:rsidRDefault="003C51B1" w:rsidP="003C51B1">
            <w:pPr>
              <w:rPr>
                <w:b/>
                <w:lang w:val="en-US"/>
              </w:rPr>
            </w:pPr>
            <w:r w:rsidRPr="003C51B1">
              <w:rPr>
                <w:b/>
                <w:lang w:val="en-US"/>
              </w:rPr>
              <w:t xml:space="preserve">international finance </w:t>
            </w:r>
          </w:p>
        </w:tc>
        <w:tc>
          <w:tcPr>
            <w:tcW w:w="7522" w:type="dxa"/>
          </w:tcPr>
          <w:p w14:paraId="0AA8E013" w14:textId="77777777" w:rsidR="003C51B1" w:rsidRPr="003C51B1" w:rsidRDefault="003C51B1" w:rsidP="003C51B1">
            <w:pPr>
              <w:spacing w:after="120" w:line="240" w:lineRule="atLeast"/>
              <w:jc w:val="both"/>
              <w:rPr>
                <w:highlight w:val="yellow"/>
                <w:lang w:val="en-US"/>
              </w:rPr>
            </w:pPr>
            <w:r w:rsidRPr="003C51B1">
              <w:rPr>
                <w:lang w:val="en-US"/>
              </w:rPr>
              <w:t>is an area of financial economics that deals with monetary interactions between two or more countries, concerning itself with topics such as currency exchange rates, international monetary systems, foreign direct investment, and issues of international financial management including political risk and foreign exchange risk inherent in managing multinational corporations.</w:t>
            </w:r>
          </w:p>
        </w:tc>
      </w:tr>
      <w:tr w:rsidR="003C51B1" w:rsidRPr="003C51B1" w14:paraId="230A9CBE" w14:textId="77777777" w:rsidTr="003C51B1">
        <w:tc>
          <w:tcPr>
            <w:tcW w:w="2093" w:type="dxa"/>
          </w:tcPr>
          <w:p w14:paraId="6C024594" w14:textId="77777777" w:rsidR="003C51B1" w:rsidRPr="003C51B1" w:rsidRDefault="003C51B1" w:rsidP="003C51B1">
            <w:pPr>
              <w:rPr>
                <w:b/>
                <w:lang w:val="en-US"/>
              </w:rPr>
            </w:pPr>
            <w:r w:rsidRPr="003C51B1">
              <w:rPr>
                <w:b/>
                <w:lang w:val="en-US"/>
              </w:rPr>
              <w:t xml:space="preserve">multilateral development bank (MDB)  </w:t>
            </w:r>
          </w:p>
        </w:tc>
        <w:tc>
          <w:tcPr>
            <w:tcW w:w="7522" w:type="dxa"/>
          </w:tcPr>
          <w:p w14:paraId="2E342F62" w14:textId="77777777" w:rsidR="003C51B1" w:rsidRPr="00E86F07" w:rsidRDefault="003C51B1" w:rsidP="003C51B1">
            <w:pPr>
              <w:jc w:val="both"/>
              <w:rPr>
                <w:b/>
                <w:lang w:val="en-US"/>
              </w:rPr>
            </w:pPr>
            <w:r w:rsidRPr="00E86F07">
              <w:rPr>
                <w:lang w:val="en-US"/>
              </w:rPr>
              <w:t>is an</w:t>
            </w:r>
            <w:r w:rsidR="00E23433" w:rsidRPr="00E86F07">
              <w:rPr>
                <w:lang w:val="en-US"/>
              </w:rPr>
              <w:t xml:space="preserve"> institution created by a group of countries</w:t>
            </w:r>
            <w:r w:rsidRPr="00E86F07">
              <w:rPr>
                <w:lang w:val="en-US"/>
              </w:rPr>
              <w:t xml:space="preserve"> that provides financing and professional advising for the purpose of development</w:t>
            </w:r>
            <w:r w:rsidR="00E23433" w:rsidRPr="00E86F07">
              <w:rPr>
                <w:lang w:val="en-US"/>
              </w:rPr>
              <w:t>.</w:t>
            </w:r>
          </w:p>
        </w:tc>
      </w:tr>
      <w:tr w:rsidR="003C51B1" w:rsidRPr="003C51B1" w14:paraId="19EED29F" w14:textId="77777777" w:rsidTr="003C51B1">
        <w:tc>
          <w:tcPr>
            <w:tcW w:w="2093" w:type="dxa"/>
          </w:tcPr>
          <w:p w14:paraId="692BEC34" w14:textId="77777777" w:rsidR="003C51B1" w:rsidRPr="003C51B1" w:rsidRDefault="003C51B1" w:rsidP="00A502F0">
            <w:pPr>
              <w:rPr>
                <w:b/>
                <w:lang w:val="en-US"/>
              </w:rPr>
            </w:pPr>
            <w:r w:rsidRPr="003C51B1">
              <w:rPr>
                <w:b/>
                <w:lang w:val="en-US"/>
              </w:rPr>
              <w:t>international financial institutions (IFIs)</w:t>
            </w:r>
            <w:r w:rsidR="00A502F0">
              <w:rPr>
                <w:b/>
                <w:lang w:val="en-US"/>
              </w:rPr>
              <w:t> </w:t>
            </w:r>
            <w:r w:rsidRPr="003C51B1">
              <w:rPr>
                <w:b/>
                <w:lang w:val="en-US"/>
              </w:rPr>
              <w:t xml:space="preserve"> </w:t>
            </w:r>
          </w:p>
        </w:tc>
        <w:tc>
          <w:tcPr>
            <w:tcW w:w="7522" w:type="dxa"/>
          </w:tcPr>
          <w:p w14:paraId="55117628" w14:textId="77777777" w:rsidR="003C51B1" w:rsidRPr="003C51B1" w:rsidRDefault="003C51B1" w:rsidP="003C51B1">
            <w:pPr>
              <w:spacing w:after="120" w:line="240" w:lineRule="atLeast"/>
              <w:jc w:val="both"/>
              <w:rPr>
                <w:lang w:val="en-US"/>
              </w:rPr>
            </w:pPr>
            <w:r w:rsidRPr="003C51B1">
              <w:rPr>
                <w:lang w:val="en-US"/>
              </w:rPr>
              <w:t>are institutions that provide financial support (via grants and loans) for economic and social development activities in developing countries. International financial institutions include public banks and regional development banks.</w:t>
            </w:r>
          </w:p>
        </w:tc>
      </w:tr>
      <w:tr w:rsidR="003C51B1" w:rsidRPr="003C51B1" w14:paraId="76001FE5" w14:textId="77777777" w:rsidTr="003C51B1">
        <w:tc>
          <w:tcPr>
            <w:tcW w:w="2093" w:type="dxa"/>
          </w:tcPr>
          <w:p w14:paraId="7A12DB6D" w14:textId="77777777" w:rsidR="003C51B1" w:rsidRPr="003C51B1" w:rsidRDefault="003C51B1" w:rsidP="003C51B1">
            <w:pPr>
              <w:rPr>
                <w:b/>
                <w:lang w:val="en-US"/>
              </w:rPr>
            </w:pPr>
            <w:r w:rsidRPr="003C51B1">
              <w:rPr>
                <w:b/>
                <w:lang w:val="en-US"/>
              </w:rPr>
              <w:t xml:space="preserve">International Monetary Fund (IMF)  </w:t>
            </w:r>
          </w:p>
        </w:tc>
        <w:tc>
          <w:tcPr>
            <w:tcW w:w="7522" w:type="dxa"/>
          </w:tcPr>
          <w:p w14:paraId="4078D13E" w14:textId="77777777" w:rsidR="003C51B1" w:rsidRPr="003C51B1" w:rsidRDefault="003C51B1" w:rsidP="003C51B1">
            <w:pPr>
              <w:spacing w:after="120" w:line="240" w:lineRule="atLeast"/>
              <w:jc w:val="both"/>
              <w:rPr>
                <w:lang w:val="en-US"/>
              </w:rPr>
            </w:pPr>
            <w:r w:rsidRPr="003C51B1">
              <w:rPr>
                <w:lang w:val="en-US"/>
              </w:rPr>
              <w:t>is an international organization created for the purpose of standardizing global financial relations and exchange rates.</w:t>
            </w:r>
          </w:p>
        </w:tc>
      </w:tr>
      <w:tr w:rsidR="003C51B1" w:rsidRPr="003C51B1" w14:paraId="5D3A01D4" w14:textId="77777777" w:rsidTr="003C51B1">
        <w:tc>
          <w:tcPr>
            <w:tcW w:w="2093" w:type="dxa"/>
          </w:tcPr>
          <w:p w14:paraId="7DD4955D" w14:textId="77777777" w:rsidR="003C51B1" w:rsidRPr="003C51B1" w:rsidRDefault="003C51B1" w:rsidP="003C51B1">
            <w:pPr>
              <w:rPr>
                <w:b/>
                <w:lang w:val="en-US"/>
              </w:rPr>
            </w:pPr>
            <w:r w:rsidRPr="003C51B1">
              <w:rPr>
                <w:b/>
                <w:lang w:val="en-US"/>
              </w:rPr>
              <w:t xml:space="preserve">World Bank  </w:t>
            </w:r>
          </w:p>
        </w:tc>
        <w:tc>
          <w:tcPr>
            <w:tcW w:w="7522" w:type="dxa"/>
          </w:tcPr>
          <w:p w14:paraId="5F7316AE" w14:textId="77777777" w:rsidR="003C51B1" w:rsidRPr="003C51B1" w:rsidRDefault="003C51B1" w:rsidP="003C51B1">
            <w:pPr>
              <w:spacing w:after="120" w:line="240" w:lineRule="atLeast"/>
              <w:jc w:val="both"/>
              <w:rPr>
                <w:lang w:val="en-US"/>
              </w:rPr>
            </w:pPr>
            <w:r w:rsidRPr="003C51B1">
              <w:rPr>
                <w:lang w:val="en-US"/>
              </w:rPr>
              <w:t xml:space="preserve">is an international organization dedicated to providing financing, advice and research to developing nations to aid their economic advancement. </w:t>
            </w:r>
          </w:p>
        </w:tc>
      </w:tr>
      <w:tr w:rsidR="003C51B1" w:rsidRPr="003C51B1" w14:paraId="2A47387F" w14:textId="77777777" w:rsidTr="003C51B1">
        <w:tc>
          <w:tcPr>
            <w:tcW w:w="2093" w:type="dxa"/>
          </w:tcPr>
          <w:p w14:paraId="1564FC15" w14:textId="77777777" w:rsidR="003C51B1" w:rsidRPr="003C51B1" w:rsidRDefault="003C51B1" w:rsidP="003C51B1">
            <w:pPr>
              <w:rPr>
                <w:b/>
                <w:lang w:val="en-US"/>
              </w:rPr>
            </w:pPr>
            <w:r w:rsidRPr="003C51B1">
              <w:rPr>
                <w:b/>
                <w:lang w:val="en-US"/>
              </w:rPr>
              <w:t xml:space="preserve">exchange rate  </w:t>
            </w:r>
          </w:p>
        </w:tc>
        <w:tc>
          <w:tcPr>
            <w:tcW w:w="7522" w:type="dxa"/>
          </w:tcPr>
          <w:p w14:paraId="5E2771D7" w14:textId="77777777" w:rsidR="003C51B1" w:rsidRPr="003C51B1" w:rsidRDefault="003C51B1" w:rsidP="003C51B1">
            <w:pPr>
              <w:spacing w:after="120" w:line="240" w:lineRule="atLeast"/>
              <w:ind w:firstLine="33"/>
              <w:jc w:val="both"/>
              <w:rPr>
                <w:lang w:val="en-US"/>
              </w:rPr>
            </w:pPr>
            <w:r w:rsidRPr="003C51B1">
              <w:rPr>
                <w:lang w:val="en-US"/>
              </w:rPr>
              <w:t>is a price for which the currency of a country can be exchanged for another country's currency.</w:t>
            </w:r>
          </w:p>
        </w:tc>
      </w:tr>
      <w:tr w:rsidR="003C51B1" w:rsidRPr="003C51B1" w14:paraId="77DABB78" w14:textId="77777777" w:rsidTr="003C51B1">
        <w:tc>
          <w:tcPr>
            <w:tcW w:w="2093" w:type="dxa"/>
          </w:tcPr>
          <w:p w14:paraId="094F2F7D" w14:textId="77777777" w:rsidR="003C51B1" w:rsidRPr="003C51B1" w:rsidRDefault="003C51B1" w:rsidP="003C51B1">
            <w:pPr>
              <w:rPr>
                <w:b/>
                <w:lang w:val="en-US"/>
              </w:rPr>
            </w:pPr>
            <w:r w:rsidRPr="003C51B1">
              <w:rPr>
                <w:b/>
                <w:lang w:val="en-US"/>
              </w:rPr>
              <w:t xml:space="preserve">cross rate  </w:t>
            </w:r>
          </w:p>
        </w:tc>
        <w:tc>
          <w:tcPr>
            <w:tcW w:w="7522" w:type="dxa"/>
          </w:tcPr>
          <w:p w14:paraId="3DDD8F99" w14:textId="77777777" w:rsidR="003C51B1" w:rsidRPr="003C51B1" w:rsidRDefault="003C51B1" w:rsidP="003C51B1">
            <w:pPr>
              <w:spacing w:after="120" w:line="240" w:lineRule="atLeast"/>
              <w:ind w:firstLine="33"/>
              <w:jc w:val="both"/>
              <w:rPr>
                <w:lang w:val="en-US"/>
              </w:rPr>
            </w:pPr>
            <w:r w:rsidRPr="003C51B1">
              <w:rPr>
                <w:lang w:val="en-US"/>
              </w:rPr>
              <w:t>is an exchange rate between currency A and currency C derived from actual exchange rate between currency A and currency B and between currency B and currency C.</w:t>
            </w:r>
          </w:p>
        </w:tc>
      </w:tr>
      <w:tr w:rsidR="003C51B1" w:rsidRPr="003C51B1" w14:paraId="7B33BC08" w14:textId="77777777" w:rsidTr="003C51B1">
        <w:tc>
          <w:tcPr>
            <w:tcW w:w="2093" w:type="dxa"/>
          </w:tcPr>
          <w:p w14:paraId="1D56D119" w14:textId="77777777" w:rsidR="003C51B1" w:rsidRPr="003C51B1" w:rsidRDefault="003C51B1" w:rsidP="003C51B1">
            <w:pPr>
              <w:rPr>
                <w:b/>
                <w:lang w:val="en-US"/>
              </w:rPr>
            </w:pPr>
            <w:r w:rsidRPr="003C51B1">
              <w:rPr>
                <w:b/>
                <w:lang w:val="en-US"/>
              </w:rPr>
              <w:t xml:space="preserve">the balance of payments (BOP)  </w:t>
            </w:r>
          </w:p>
        </w:tc>
        <w:tc>
          <w:tcPr>
            <w:tcW w:w="7522" w:type="dxa"/>
          </w:tcPr>
          <w:p w14:paraId="26A07224" w14:textId="77777777" w:rsidR="003C51B1" w:rsidRDefault="003C51B1" w:rsidP="003C51B1">
            <w:pPr>
              <w:spacing w:after="120" w:line="240" w:lineRule="atLeast"/>
              <w:jc w:val="both"/>
              <w:rPr>
                <w:lang w:val="en-US"/>
              </w:rPr>
            </w:pPr>
            <w:r w:rsidRPr="003C51B1">
              <w:rPr>
                <w:lang w:val="en-US"/>
              </w:rPr>
              <w:t>is a statement that summarizes economic transactions between residents and nonresidents during a specific time period.</w:t>
            </w:r>
          </w:p>
          <w:p w14:paraId="7447A28C" w14:textId="77777777" w:rsidR="00B95883" w:rsidRPr="003C51B1" w:rsidRDefault="00B95883" w:rsidP="003C51B1">
            <w:pPr>
              <w:spacing w:after="120" w:line="240" w:lineRule="atLeast"/>
              <w:jc w:val="both"/>
              <w:rPr>
                <w:lang w:val="en-US"/>
              </w:rPr>
            </w:pPr>
          </w:p>
        </w:tc>
      </w:tr>
      <w:tr w:rsidR="003C51B1" w:rsidRPr="003C51B1" w14:paraId="398D8AF3" w14:textId="77777777" w:rsidTr="003C51B1">
        <w:tc>
          <w:tcPr>
            <w:tcW w:w="2093" w:type="dxa"/>
          </w:tcPr>
          <w:p w14:paraId="0AC183C2" w14:textId="77777777" w:rsidR="003C51B1" w:rsidRPr="003C51B1" w:rsidRDefault="003C51B1" w:rsidP="003C51B1">
            <w:pPr>
              <w:rPr>
                <w:b/>
                <w:lang w:val="en-US"/>
              </w:rPr>
            </w:pPr>
            <w:r w:rsidRPr="003C51B1">
              <w:rPr>
                <w:b/>
                <w:lang w:val="en-US"/>
              </w:rPr>
              <w:lastRenderedPageBreak/>
              <w:t xml:space="preserve">current account  </w:t>
            </w:r>
          </w:p>
        </w:tc>
        <w:tc>
          <w:tcPr>
            <w:tcW w:w="7522" w:type="dxa"/>
          </w:tcPr>
          <w:p w14:paraId="3CE85EE7" w14:textId="77777777" w:rsidR="003C51B1" w:rsidRPr="003C51B1" w:rsidRDefault="003C51B1" w:rsidP="003C51B1">
            <w:pPr>
              <w:spacing w:after="120" w:line="240" w:lineRule="atLeast"/>
              <w:jc w:val="both"/>
              <w:rPr>
                <w:lang w:val="en-US"/>
              </w:rPr>
            </w:pPr>
            <w:r w:rsidRPr="003C51B1">
              <w:rPr>
                <w:lang w:val="en-US"/>
              </w:rPr>
              <w:t>shows flows of goods, services, primary income, and secondary income between residents and nonresidents.</w:t>
            </w:r>
          </w:p>
        </w:tc>
      </w:tr>
      <w:tr w:rsidR="003C51B1" w:rsidRPr="003C51B1" w14:paraId="7C443D7E" w14:textId="77777777" w:rsidTr="003C51B1">
        <w:tc>
          <w:tcPr>
            <w:tcW w:w="2093" w:type="dxa"/>
          </w:tcPr>
          <w:p w14:paraId="06186D9D" w14:textId="77777777" w:rsidR="003C51B1" w:rsidRPr="003C51B1" w:rsidRDefault="003C51B1" w:rsidP="003C51B1">
            <w:pPr>
              <w:rPr>
                <w:b/>
                <w:lang w:val="en-US"/>
              </w:rPr>
            </w:pPr>
            <w:r w:rsidRPr="003C51B1">
              <w:rPr>
                <w:b/>
                <w:lang w:val="en-US"/>
              </w:rPr>
              <w:t xml:space="preserve">current account deficit  </w:t>
            </w:r>
          </w:p>
        </w:tc>
        <w:tc>
          <w:tcPr>
            <w:tcW w:w="7522" w:type="dxa"/>
          </w:tcPr>
          <w:p w14:paraId="7231D1A3" w14:textId="77777777" w:rsidR="003C51B1" w:rsidRPr="003C51B1" w:rsidRDefault="003C51B1" w:rsidP="003C51B1">
            <w:pPr>
              <w:spacing w:after="120"/>
              <w:jc w:val="both"/>
              <w:rPr>
                <w:lang w:val="en-US"/>
              </w:rPr>
            </w:pPr>
            <w:r w:rsidRPr="003C51B1">
              <w:rPr>
                <w:lang w:val="en-US"/>
              </w:rPr>
              <w:t>is a measurement of a country’s trade in which the value of goods and services it imports exceeds the value of goods and services it exports.</w:t>
            </w:r>
          </w:p>
        </w:tc>
      </w:tr>
      <w:tr w:rsidR="003C51B1" w:rsidRPr="003C51B1" w14:paraId="298FF32F" w14:textId="77777777" w:rsidTr="003C51B1">
        <w:tc>
          <w:tcPr>
            <w:tcW w:w="2093" w:type="dxa"/>
          </w:tcPr>
          <w:p w14:paraId="60F7FE89" w14:textId="77777777" w:rsidR="003C51B1" w:rsidRPr="003C51B1" w:rsidRDefault="003C51B1" w:rsidP="003C51B1">
            <w:pPr>
              <w:rPr>
                <w:b/>
                <w:lang w:val="en-US"/>
              </w:rPr>
            </w:pPr>
            <w:r w:rsidRPr="003C51B1">
              <w:rPr>
                <w:b/>
                <w:lang w:val="en-US"/>
              </w:rPr>
              <w:t xml:space="preserve">current account surplus  </w:t>
            </w:r>
          </w:p>
        </w:tc>
        <w:tc>
          <w:tcPr>
            <w:tcW w:w="7522" w:type="dxa"/>
          </w:tcPr>
          <w:p w14:paraId="24ECC00A" w14:textId="77777777" w:rsidR="003C51B1" w:rsidRPr="003C51B1" w:rsidRDefault="003C51B1" w:rsidP="003C51B1">
            <w:pPr>
              <w:spacing w:after="120" w:line="240" w:lineRule="atLeast"/>
              <w:jc w:val="both"/>
              <w:rPr>
                <w:lang w:val="en-US"/>
              </w:rPr>
            </w:pPr>
            <w:r w:rsidRPr="003C51B1">
              <w:rPr>
                <w:lang w:val="en-US"/>
              </w:rPr>
              <w:t>is a positive difference between the value of goods and services which the country exports and the value of goods and services it imports.</w:t>
            </w:r>
          </w:p>
        </w:tc>
      </w:tr>
      <w:tr w:rsidR="003C51B1" w:rsidRPr="003C51B1" w14:paraId="4F4B2B59" w14:textId="77777777" w:rsidTr="003C51B1">
        <w:tc>
          <w:tcPr>
            <w:tcW w:w="2093" w:type="dxa"/>
          </w:tcPr>
          <w:p w14:paraId="12712AB8" w14:textId="77777777" w:rsidR="003C51B1" w:rsidRPr="003C51B1" w:rsidRDefault="003C51B1" w:rsidP="00675276">
            <w:pPr>
              <w:rPr>
                <w:b/>
                <w:lang w:val="en-US"/>
              </w:rPr>
            </w:pPr>
            <w:r w:rsidRPr="003C51B1">
              <w:rPr>
                <w:b/>
                <w:lang w:val="en-US"/>
              </w:rPr>
              <w:t>the balance of trade</w:t>
            </w:r>
            <w:r w:rsidR="00A502F0">
              <w:rPr>
                <w:b/>
                <w:lang w:val="en-US"/>
              </w:rPr>
              <w:t xml:space="preserve"> (</w:t>
            </w:r>
            <w:r w:rsidR="00675276" w:rsidRPr="003C51B1">
              <w:rPr>
                <w:b/>
                <w:lang w:val="en-US"/>
              </w:rPr>
              <w:t>BOT</w:t>
            </w:r>
            <w:r w:rsidR="00675276">
              <w:rPr>
                <w:b/>
                <w:lang w:val="en-US"/>
              </w:rPr>
              <w:t xml:space="preserve"> or</w:t>
            </w:r>
            <w:r w:rsidR="00675276" w:rsidRPr="003C51B1">
              <w:rPr>
                <w:b/>
                <w:lang w:val="en-US"/>
              </w:rPr>
              <w:t xml:space="preserve"> </w:t>
            </w:r>
            <w:r w:rsidR="00675276">
              <w:rPr>
                <w:b/>
                <w:lang w:val="en-US"/>
              </w:rPr>
              <w:t>trade balance</w:t>
            </w:r>
            <w:r w:rsidRPr="003C51B1">
              <w:rPr>
                <w:b/>
                <w:lang w:val="en-US"/>
              </w:rPr>
              <w:t xml:space="preserve">)  </w:t>
            </w:r>
          </w:p>
        </w:tc>
        <w:tc>
          <w:tcPr>
            <w:tcW w:w="7522" w:type="dxa"/>
          </w:tcPr>
          <w:p w14:paraId="1A8083C0" w14:textId="77777777" w:rsidR="003C51B1" w:rsidRPr="003C51B1" w:rsidRDefault="003C51B1" w:rsidP="003C51B1">
            <w:pPr>
              <w:spacing w:after="120" w:line="240" w:lineRule="atLeast"/>
              <w:jc w:val="both"/>
              <w:rPr>
                <w:lang w:val="en-US"/>
              </w:rPr>
            </w:pPr>
            <w:r w:rsidRPr="003C51B1">
              <w:rPr>
                <w:lang w:val="en-US"/>
              </w:rPr>
              <w:t>is the difference between a country's imports and its exports.</w:t>
            </w:r>
          </w:p>
        </w:tc>
      </w:tr>
      <w:tr w:rsidR="003C51B1" w:rsidRPr="003C51B1" w14:paraId="49094622" w14:textId="77777777" w:rsidTr="003C51B1">
        <w:trPr>
          <w:trHeight w:val="83"/>
        </w:trPr>
        <w:tc>
          <w:tcPr>
            <w:tcW w:w="2093" w:type="dxa"/>
          </w:tcPr>
          <w:p w14:paraId="11CAE3EE" w14:textId="77777777" w:rsidR="003C51B1" w:rsidRPr="003C51B1" w:rsidRDefault="003C51B1" w:rsidP="003C51B1">
            <w:pPr>
              <w:rPr>
                <w:b/>
                <w:lang w:val="en-US"/>
              </w:rPr>
            </w:pPr>
            <w:r w:rsidRPr="003C51B1">
              <w:rPr>
                <w:b/>
                <w:lang w:val="en-US"/>
              </w:rPr>
              <w:t xml:space="preserve">import  </w:t>
            </w:r>
          </w:p>
        </w:tc>
        <w:tc>
          <w:tcPr>
            <w:tcW w:w="7522" w:type="dxa"/>
          </w:tcPr>
          <w:p w14:paraId="2F96D8D6" w14:textId="77777777" w:rsidR="003C51B1" w:rsidRPr="003C51B1" w:rsidRDefault="003C51B1" w:rsidP="003C51B1">
            <w:pPr>
              <w:spacing w:after="120" w:line="240" w:lineRule="atLeast"/>
              <w:jc w:val="both"/>
              <w:rPr>
                <w:lang w:val="en-US"/>
              </w:rPr>
            </w:pPr>
            <w:r w:rsidRPr="003C51B1">
              <w:rPr>
                <w:lang w:val="en-US"/>
              </w:rPr>
              <w:t>is a good or service brought into one country from another.</w:t>
            </w:r>
          </w:p>
        </w:tc>
      </w:tr>
      <w:tr w:rsidR="003C51B1" w:rsidRPr="003C51B1" w14:paraId="18D075D3" w14:textId="77777777" w:rsidTr="003C51B1">
        <w:tc>
          <w:tcPr>
            <w:tcW w:w="2093" w:type="dxa"/>
          </w:tcPr>
          <w:p w14:paraId="03D46FA1" w14:textId="77777777" w:rsidR="003C51B1" w:rsidRPr="003C51B1" w:rsidRDefault="003C51B1" w:rsidP="003C51B1">
            <w:pPr>
              <w:rPr>
                <w:b/>
                <w:lang w:val="en-US"/>
              </w:rPr>
            </w:pPr>
            <w:r w:rsidRPr="003C51B1">
              <w:rPr>
                <w:b/>
                <w:lang w:val="en-US"/>
              </w:rPr>
              <w:t xml:space="preserve">export  </w:t>
            </w:r>
          </w:p>
        </w:tc>
        <w:tc>
          <w:tcPr>
            <w:tcW w:w="7522" w:type="dxa"/>
          </w:tcPr>
          <w:p w14:paraId="07CB2ED6" w14:textId="77777777" w:rsidR="003C51B1" w:rsidRPr="003C51B1" w:rsidRDefault="003C51B1" w:rsidP="003C51B1">
            <w:pPr>
              <w:spacing w:after="120" w:line="240" w:lineRule="atLeast"/>
              <w:jc w:val="both"/>
              <w:rPr>
                <w:lang w:val="en-US"/>
              </w:rPr>
            </w:pPr>
            <w:r w:rsidRPr="003C51B1">
              <w:rPr>
                <w:lang w:val="en-US"/>
              </w:rPr>
              <w:t>is a function of international trade whereby goods produced in one country are shipped to another country for future sale or trade.</w:t>
            </w:r>
          </w:p>
        </w:tc>
      </w:tr>
      <w:tr w:rsidR="003C51B1" w:rsidRPr="003C51B1" w14:paraId="7434D518" w14:textId="77777777" w:rsidTr="003C51B1">
        <w:tc>
          <w:tcPr>
            <w:tcW w:w="2093" w:type="dxa"/>
          </w:tcPr>
          <w:p w14:paraId="1044EE55" w14:textId="77777777" w:rsidR="003C51B1" w:rsidRPr="003C51B1" w:rsidRDefault="003C51B1" w:rsidP="003C51B1">
            <w:pPr>
              <w:rPr>
                <w:b/>
                <w:lang w:val="en-US"/>
              </w:rPr>
            </w:pPr>
            <w:r w:rsidRPr="003C51B1">
              <w:rPr>
                <w:b/>
                <w:lang w:val="en-US"/>
              </w:rPr>
              <w:t xml:space="preserve">capital account  </w:t>
            </w:r>
          </w:p>
        </w:tc>
        <w:tc>
          <w:tcPr>
            <w:tcW w:w="7522" w:type="dxa"/>
          </w:tcPr>
          <w:p w14:paraId="3F77DBB7" w14:textId="77777777" w:rsidR="003C51B1" w:rsidRPr="003C51B1" w:rsidRDefault="003C51B1" w:rsidP="003C51B1">
            <w:pPr>
              <w:spacing w:after="120" w:line="240" w:lineRule="atLeast"/>
              <w:jc w:val="both"/>
              <w:rPr>
                <w:lang w:val="en-US"/>
              </w:rPr>
            </w:pPr>
            <w:r w:rsidRPr="003C51B1">
              <w:rPr>
                <w:lang w:val="en-US"/>
              </w:rPr>
              <w:t>shows credit and debit entries for unproduced nonfinancial assets and capital transfers between residents and nonresidents.</w:t>
            </w:r>
          </w:p>
        </w:tc>
      </w:tr>
      <w:tr w:rsidR="003C51B1" w:rsidRPr="003C51B1" w14:paraId="02916578" w14:textId="77777777" w:rsidTr="003C51B1">
        <w:tc>
          <w:tcPr>
            <w:tcW w:w="2093" w:type="dxa"/>
          </w:tcPr>
          <w:p w14:paraId="29DFDCDA" w14:textId="77777777" w:rsidR="003C51B1" w:rsidRPr="003C51B1" w:rsidRDefault="003C51B1" w:rsidP="00A502F0">
            <w:pPr>
              <w:rPr>
                <w:b/>
                <w:lang w:val="en-US"/>
              </w:rPr>
            </w:pPr>
            <w:r w:rsidRPr="003C51B1">
              <w:rPr>
                <w:b/>
                <w:lang w:val="en-US"/>
              </w:rPr>
              <w:t>financial account</w:t>
            </w:r>
            <w:r w:rsidR="00A502F0">
              <w:rPr>
                <w:b/>
                <w:lang w:val="en-US"/>
              </w:rPr>
              <w:t> </w:t>
            </w:r>
            <w:r w:rsidRPr="003C51B1">
              <w:rPr>
                <w:b/>
                <w:lang w:val="en-US"/>
              </w:rPr>
              <w:t xml:space="preserve"> </w:t>
            </w:r>
          </w:p>
        </w:tc>
        <w:tc>
          <w:tcPr>
            <w:tcW w:w="7522" w:type="dxa"/>
          </w:tcPr>
          <w:p w14:paraId="0C2856AA" w14:textId="77777777" w:rsidR="003C51B1" w:rsidRPr="003C51B1" w:rsidRDefault="003C51B1" w:rsidP="003C51B1">
            <w:pPr>
              <w:spacing w:after="120" w:line="240" w:lineRule="atLeast"/>
              <w:jc w:val="both"/>
              <w:rPr>
                <w:lang w:val="en-US"/>
              </w:rPr>
            </w:pPr>
            <w:r w:rsidRPr="003C51B1">
              <w:rPr>
                <w:lang w:val="en-US"/>
              </w:rPr>
              <w:t xml:space="preserve">shows net acquisition and disposal of financial assets and liabilities. </w:t>
            </w:r>
          </w:p>
        </w:tc>
      </w:tr>
      <w:tr w:rsidR="003C51B1" w:rsidRPr="003C51B1" w14:paraId="334B2B2A" w14:textId="77777777" w:rsidTr="003C51B1">
        <w:tc>
          <w:tcPr>
            <w:tcW w:w="2093" w:type="dxa"/>
          </w:tcPr>
          <w:p w14:paraId="1EEE586E" w14:textId="77777777" w:rsidR="003C51B1" w:rsidRPr="003C51B1" w:rsidRDefault="003C51B1" w:rsidP="003C51B1">
            <w:pPr>
              <w:rPr>
                <w:b/>
                <w:lang w:val="en-US"/>
              </w:rPr>
            </w:pPr>
            <w:r w:rsidRPr="003C51B1">
              <w:rPr>
                <w:b/>
                <w:lang w:val="en-US"/>
              </w:rPr>
              <w:t xml:space="preserve">international investment position (IIP)  </w:t>
            </w:r>
          </w:p>
        </w:tc>
        <w:tc>
          <w:tcPr>
            <w:tcW w:w="7522" w:type="dxa"/>
          </w:tcPr>
          <w:p w14:paraId="38C33168" w14:textId="77777777" w:rsidR="003C51B1" w:rsidRPr="003C51B1" w:rsidRDefault="003C51B1" w:rsidP="003C51B1">
            <w:pPr>
              <w:spacing w:after="120" w:line="240" w:lineRule="atLeast"/>
              <w:jc w:val="both"/>
              <w:rPr>
                <w:lang w:val="en-US"/>
              </w:rPr>
            </w:pPr>
            <w:r w:rsidRPr="003C51B1">
              <w:rPr>
                <w:lang w:val="en-US"/>
              </w:rPr>
              <w:t xml:space="preserve">is a statistical statement that shows </w:t>
            </w:r>
            <w:r w:rsidR="00E86F07">
              <w:rPr>
                <w:lang w:val="en-US"/>
              </w:rPr>
              <w:t>at a point in time the value of</w:t>
            </w:r>
            <w:r w:rsidRPr="003C51B1">
              <w:rPr>
                <w:lang w:val="en-US"/>
              </w:rPr>
              <w:t xml:space="preserve"> financial assets of residents of an economy that are claims on nonresidents or are gold bullion held as reserve assets; and the liabilities of residents of an economy to nonresidents. </w:t>
            </w:r>
          </w:p>
        </w:tc>
      </w:tr>
      <w:tr w:rsidR="003C51B1" w:rsidRPr="003C51B1" w14:paraId="0899A377" w14:textId="77777777" w:rsidTr="003C51B1">
        <w:tc>
          <w:tcPr>
            <w:tcW w:w="2093" w:type="dxa"/>
          </w:tcPr>
          <w:p w14:paraId="65C3AF91" w14:textId="77777777" w:rsidR="003C51B1" w:rsidRPr="003C51B1" w:rsidRDefault="003C51B1" w:rsidP="003C51B1">
            <w:pPr>
              <w:rPr>
                <w:b/>
                <w:lang w:val="en-US"/>
              </w:rPr>
            </w:pPr>
            <w:r w:rsidRPr="003C51B1">
              <w:rPr>
                <w:b/>
                <w:lang w:val="en-US"/>
              </w:rPr>
              <w:t xml:space="preserve">transnational /multinational corporation (TNC/MNC) </w:t>
            </w:r>
          </w:p>
        </w:tc>
        <w:tc>
          <w:tcPr>
            <w:tcW w:w="7522" w:type="dxa"/>
          </w:tcPr>
          <w:p w14:paraId="1F332831" w14:textId="77777777" w:rsidR="003C51B1" w:rsidRPr="003C51B1" w:rsidRDefault="003C51B1" w:rsidP="003C51B1">
            <w:pPr>
              <w:spacing w:after="120" w:line="240" w:lineRule="atLeast"/>
              <w:jc w:val="both"/>
              <w:rPr>
                <w:lang w:val="en-US"/>
              </w:rPr>
            </w:pPr>
            <w:r w:rsidRPr="003C51B1">
              <w:rPr>
                <w:lang w:val="en-US"/>
              </w:rPr>
              <w:t>is a corporation that has its facilities and other assets in at least one country other than its home country. Such companies have offices and/or factories in different countries and usually have a centralized head office where they co-ordinate global management.</w:t>
            </w:r>
          </w:p>
        </w:tc>
      </w:tr>
      <w:tr w:rsidR="003C51B1" w:rsidRPr="003C51B1" w14:paraId="7C253FC8" w14:textId="77777777" w:rsidTr="003C51B1">
        <w:tc>
          <w:tcPr>
            <w:tcW w:w="2093" w:type="dxa"/>
          </w:tcPr>
          <w:p w14:paraId="0920C089" w14:textId="77777777" w:rsidR="003C51B1" w:rsidRPr="003C51B1" w:rsidRDefault="003C51B1" w:rsidP="00A502F0">
            <w:pPr>
              <w:rPr>
                <w:b/>
                <w:lang w:val="en-US"/>
              </w:rPr>
            </w:pPr>
            <w:r w:rsidRPr="003C51B1">
              <w:rPr>
                <w:b/>
                <w:lang w:val="en-US"/>
              </w:rPr>
              <w:t xml:space="preserve">transfer price </w:t>
            </w:r>
            <w:r w:rsidR="00A502F0">
              <w:rPr>
                <w:b/>
                <w:lang w:val="en-US"/>
              </w:rPr>
              <w:t>(</w:t>
            </w:r>
            <w:r w:rsidRPr="003C51B1">
              <w:rPr>
                <w:b/>
                <w:lang w:val="en-US"/>
              </w:rPr>
              <w:t>transfer cost</w:t>
            </w:r>
            <w:r w:rsidR="00A502F0">
              <w:rPr>
                <w:b/>
                <w:lang w:val="en-US"/>
              </w:rPr>
              <w:t>)</w:t>
            </w:r>
            <w:r w:rsidRPr="003C51B1">
              <w:rPr>
                <w:b/>
                <w:lang w:val="en-US"/>
              </w:rPr>
              <w:t xml:space="preserve">  </w:t>
            </w:r>
          </w:p>
        </w:tc>
        <w:tc>
          <w:tcPr>
            <w:tcW w:w="7522" w:type="dxa"/>
          </w:tcPr>
          <w:p w14:paraId="4886F301" w14:textId="77777777" w:rsidR="003C51B1" w:rsidRPr="003C51B1" w:rsidRDefault="003C51B1" w:rsidP="003C51B1">
            <w:pPr>
              <w:spacing w:after="120" w:line="240" w:lineRule="atLeast"/>
              <w:jc w:val="both"/>
              <w:rPr>
                <w:lang w:val="en-US"/>
              </w:rPr>
            </w:pPr>
            <w:r w:rsidRPr="003C51B1">
              <w:rPr>
                <w:lang w:val="en-US"/>
              </w:rPr>
              <w:t>is the price at which divisions of a company transact with each other. Transfer prices are used when individual entities of a larger multi-entity firm are treated and measured as separately run entities.</w:t>
            </w:r>
          </w:p>
        </w:tc>
      </w:tr>
      <w:tr w:rsidR="003C51B1" w:rsidRPr="003C51B1" w14:paraId="3BE41B6A" w14:textId="77777777" w:rsidTr="003C51B1">
        <w:tc>
          <w:tcPr>
            <w:tcW w:w="2093" w:type="dxa"/>
          </w:tcPr>
          <w:p w14:paraId="3C0CD45E" w14:textId="77777777" w:rsidR="003C51B1" w:rsidRPr="003C51B1" w:rsidRDefault="003C51B1" w:rsidP="003C51B1">
            <w:pPr>
              <w:rPr>
                <w:b/>
                <w:lang w:val="en-US"/>
              </w:rPr>
            </w:pPr>
            <w:r w:rsidRPr="003C51B1">
              <w:rPr>
                <w:b/>
                <w:lang w:val="en-US"/>
              </w:rPr>
              <w:t xml:space="preserve">offshore financial center  </w:t>
            </w:r>
          </w:p>
        </w:tc>
        <w:tc>
          <w:tcPr>
            <w:tcW w:w="7522" w:type="dxa"/>
          </w:tcPr>
          <w:p w14:paraId="533BE59A" w14:textId="77777777" w:rsidR="003C51B1" w:rsidRPr="003C51B1" w:rsidRDefault="003C51B1" w:rsidP="003C51B1">
            <w:pPr>
              <w:spacing w:after="120" w:line="240" w:lineRule="atLeast"/>
              <w:jc w:val="both"/>
              <w:rPr>
                <w:lang w:val="en-US"/>
              </w:rPr>
            </w:pPr>
            <w:r w:rsidRPr="003C51B1">
              <w:rPr>
                <w:lang w:val="en-US"/>
              </w:rPr>
              <w:t xml:space="preserve">is </w:t>
            </w:r>
            <w:r w:rsidR="00E86F07">
              <w:rPr>
                <w:lang w:val="en-US"/>
              </w:rPr>
              <w:t xml:space="preserve">a </w:t>
            </w:r>
            <w:r w:rsidRPr="003C51B1">
              <w:rPr>
                <w:lang w:val="en-US"/>
              </w:rPr>
              <w:t>country or jurisdiction with financial centers that contain financial institutions that deal primarily with nonresidents and/or in foreign currency on a scale out of proportion to the size of the host economy. The institutions in the center may well gain from tax benefits not available to those outside the center.</w:t>
            </w:r>
          </w:p>
        </w:tc>
      </w:tr>
    </w:tbl>
    <w:p w14:paraId="38FC7C83" w14:textId="77777777" w:rsidR="003C51B1" w:rsidRPr="003C51B1" w:rsidRDefault="003C51B1" w:rsidP="00A502F0">
      <w:pPr>
        <w:pStyle w:val="end2"/>
      </w:pPr>
      <w:r w:rsidRPr="003C51B1">
        <w:t>Review questions</w:t>
      </w:r>
    </w:p>
    <w:p w14:paraId="4941809C" w14:textId="77777777" w:rsidR="003C51B1" w:rsidRPr="00A502F0" w:rsidRDefault="003C51B1" w:rsidP="006F749C">
      <w:pPr>
        <w:numPr>
          <w:ilvl w:val="0"/>
          <w:numId w:val="216"/>
        </w:numPr>
        <w:tabs>
          <w:tab w:val="clear" w:pos="644"/>
          <w:tab w:val="num" w:pos="426"/>
        </w:tabs>
        <w:spacing w:line="312" w:lineRule="auto"/>
        <w:ind w:left="426"/>
        <w:contextualSpacing/>
        <w:jc w:val="both"/>
        <w:rPr>
          <w:sz w:val="28"/>
          <w:szCs w:val="28"/>
          <w:lang w:val="en-US" w:bidi="ru-RU"/>
        </w:rPr>
      </w:pPr>
      <w:r w:rsidRPr="00A502F0">
        <w:rPr>
          <w:sz w:val="28"/>
          <w:szCs w:val="28"/>
          <w:lang w:val="en-US" w:bidi="ru-RU"/>
        </w:rPr>
        <w:t>What is international finance? Characterize the main elements of international finance.</w:t>
      </w:r>
    </w:p>
    <w:p w14:paraId="70EFC466" w14:textId="77777777" w:rsidR="003C51B1" w:rsidRPr="00A502F0" w:rsidRDefault="003C51B1" w:rsidP="006F749C">
      <w:pPr>
        <w:numPr>
          <w:ilvl w:val="0"/>
          <w:numId w:val="216"/>
        </w:numPr>
        <w:spacing w:line="312" w:lineRule="auto"/>
        <w:ind w:left="425" w:hanging="357"/>
        <w:contextualSpacing/>
        <w:jc w:val="both"/>
        <w:rPr>
          <w:sz w:val="28"/>
          <w:szCs w:val="28"/>
          <w:lang w:val="en-US" w:bidi="ru-RU"/>
        </w:rPr>
      </w:pPr>
      <w:r w:rsidRPr="00A502F0">
        <w:rPr>
          <w:sz w:val="28"/>
          <w:szCs w:val="28"/>
          <w:lang w:val="en-US" w:bidi="ru-RU"/>
        </w:rPr>
        <w:t>What is the international financial institution? What is the main purpose of its foundation?</w:t>
      </w:r>
    </w:p>
    <w:p w14:paraId="394E7431" w14:textId="77777777" w:rsidR="003C51B1" w:rsidRPr="00A502F0" w:rsidRDefault="003C51B1" w:rsidP="006F749C">
      <w:pPr>
        <w:numPr>
          <w:ilvl w:val="0"/>
          <w:numId w:val="216"/>
        </w:numPr>
        <w:spacing w:line="312" w:lineRule="auto"/>
        <w:ind w:left="425" w:hanging="357"/>
        <w:contextualSpacing/>
        <w:jc w:val="both"/>
        <w:rPr>
          <w:sz w:val="28"/>
          <w:szCs w:val="28"/>
          <w:lang w:val="en-US" w:bidi="ru-RU"/>
        </w:rPr>
      </w:pPr>
      <w:r w:rsidRPr="00A502F0">
        <w:rPr>
          <w:sz w:val="28"/>
          <w:szCs w:val="28"/>
          <w:lang w:val="en-US" w:bidi="ru-RU"/>
        </w:rPr>
        <w:t>Explain the difference between regional and public development banks. Name the main of them.</w:t>
      </w:r>
    </w:p>
    <w:p w14:paraId="11CC4E4D" w14:textId="77777777" w:rsidR="003C51B1" w:rsidRPr="00A502F0" w:rsidRDefault="003C51B1" w:rsidP="006F749C">
      <w:pPr>
        <w:numPr>
          <w:ilvl w:val="0"/>
          <w:numId w:val="216"/>
        </w:numPr>
        <w:spacing w:line="312" w:lineRule="auto"/>
        <w:ind w:left="425" w:hanging="357"/>
        <w:contextualSpacing/>
        <w:jc w:val="both"/>
        <w:rPr>
          <w:sz w:val="28"/>
          <w:szCs w:val="28"/>
          <w:lang w:val="en-US" w:bidi="ru-RU"/>
        </w:rPr>
      </w:pPr>
      <w:r w:rsidRPr="00A502F0">
        <w:rPr>
          <w:sz w:val="28"/>
          <w:szCs w:val="28"/>
          <w:lang w:val="en-US" w:bidi="ru-RU"/>
        </w:rPr>
        <w:lastRenderedPageBreak/>
        <w:t>Give a detailed description of the objectives and activities of the IMF.</w:t>
      </w:r>
    </w:p>
    <w:p w14:paraId="65E492EC" w14:textId="77777777" w:rsidR="003C51B1" w:rsidRPr="00A502F0" w:rsidRDefault="003C51B1" w:rsidP="006F749C">
      <w:pPr>
        <w:numPr>
          <w:ilvl w:val="0"/>
          <w:numId w:val="216"/>
        </w:numPr>
        <w:spacing w:line="312" w:lineRule="auto"/>
        <w:ind w:left="426" w:hanging="357"/>
        <w:contextualSpacing/>
        <w:jc w:val="both"/>
        <w:rPr>
          <w:sz w:val="28"/>
          <w:szCs w:val="28"/>
          <w:lang w:val="en-US" w:bidi="ru-RU"/>
        </w:rPr>
      </w:pPr>
      <w:r w:rsidRPr="00A502F0">
        <w:rPr>
          <w:sz w:val="28"/>
          <w:szCs w:val="28"/>
          <w:lang w:val="en-US" w:bidi="ru-RU"/>
        </w:rPr>
        <w:t xml:space="preserve">What financial institutions are in the World Bank Group? Describe their goals and activities. </w:t>
      </w:r>
    </w:p>
    <w:p w14:paraId="0CE5555C" w14:textId="77777777" w:rsidR="003C51B1" w:rsidRPr="00A502F0" w:rsidRDefault="003C51B1" w:rsidP="006F749C">
      <w:pPr>
        <w:numPr>
          <w:ilvl w:val="0"/>
          <w:numId w:val="216"/>
        </w:numPr>
        <w:spacing w:line="312" w:lineRule="auto"/>
        <w:ind w:left="426" w:hanging="357"/>
        <w:contextualSpacing/>
        <w:jc w:val="both"/>
        <w:rPr>
          <w:sz w:val="28"/>
          <w:szCs w:val="28"/>
          <w:lang w:val="en-US" w:bidi="ru-RU"/>
        </w:rPr>
      </w:pPr>
      <w:r w:rsidRPr="00A502F0">
        <w:rPr>
          <w:sz w:val="28"/>
          <w:szCs w:val="28"/>
          <w:lang w:val="en-US" w:bidi="ru-RU"/>
        </w:rPr>
        <w:t xml:space="preserve">Name and explain the essence of international accounts, in which the economic relationships between residents and nonresidents of the country are summarized. </w:t>
      </w:r>
    </w:p>
    <w:p w14:paraId="550853EE" w14:textId="77777777" w:rsidR="003C51B1" w:rsidRPr="00A502F0" w:rsidRDefault="003C51B1" w:rsidP="006F749C">
      <w:pPr>
        <w:numPr>
          <w:ilvl w:val="0"/>
          <w:numId w:val="216"/>
        </w:numPr>
        <w:spacing w:line="312" w:lineRule="auto"/>
        <w:ind w:left="426" w:hanging="357"/>
        <w:contextualSpacing/>
        <w:jc w:val="both"/>
        <w:rPr>
          <w:sz w:val="28"/>
          <w:szCs w:val="28"/>
          <w:lang w:val="en-US" w:bidi="ru-RU"/>
        </w:rPr>
      </w:pPr>
      <w:r w:rsidRPr="00A502F0">
        <w:rPr>
          <w:sz w:val="28"/>
          <w:szCs w:val="28"/>
          <w:lang w:val="en-US" w:bidi="ru-RU"/>
        </w:rPr>
        <w:t>What is the structure of the balance of payments?</w:t>
      </w:r>
    </w:p>
    <w:p w14:paraId="3B88C36D" w14:textId="77777777" w:rsidR="003C51B1" w:rsidRPr="00A502F0" w:rsidRDefault="003C51B1" w:rsidP="006F749C">
      <w:pPr>
        <w:numPr>
          <w:ilvl w:val="0"/>
          <w:numId w:val="216"/>
        </w:numPr>
        <w:spacing w:line="312" w:lineRule="auto"/>
        <w:ind w:left="426" w:hanging="357"/>
        <w:contextualSpacing/>
        <w:jc w:val="both"/>
        <w:rPr>
          <w:sz w:val="28"/>
          <w:szCs w:val="28"/>
          <w:lang w:val="en-US" w:bidi="ru-RU"/>
        </w:rPr>
      </w:pPr>
      <w:r w:rsidRPr="00A502F0">
        <w:rPr>
          <w:sz w:val="28"/>
          <w:szCs w:val="28"/>
          <w:lang w:val="en-US" w:bidi="ru-RU"/>
        </w:rPr>
        <w:t xml:space="preserve">What method of making records is used in the balance of payments? </w:t>
      </w:r>
    </w:p>
    <w:p w14:paraId="08BE1101" w14:textId="77777777" w:rsidR="003C51B1" w:rsidRPr="00A502F0" w:rsidRDefault="003C51B1" w:rsidP="006F749C">
      <w:pPr>
        <w:numPr>
          <w:ilvl w:val="0"/>
          <w:numId w:val="216"/>
        </w:numPr>
        <w:spacing w:line="312" w:lineRule="auto"/>
        <w:ind w:left="426" w:hanging="357"/>
        <w:contextualSpacing/>
        <w:jc w:val="both"/>
        <w:rPr>
          <w:sz w:val="28"/>
          <w:szCs w:val="28"/>
          <w:lang w:val="en-US" w:bidi="ru-RU"/>
        </w:rPr>
      </w:pPr>
      <w:r w:rsidRPr="00A502F0">
        <w:rPr>
          <w:sz w:val="28"/>
          <w:szCs w:val="28"/>
          <w:lang w:val="en-US" w:bidi="ru-RU"/>
        </w:rPr>
        <w:t>What types of international transactions are summarized in the current account?</w:t>
      </w:r>
    </w:p>
    <w:p w14:paraId="7E9F161F" w14:textId="77777777" w:rsidR="003C51B1" w:rsidRPr="00A502F0" w:rsidRDefault="003C51B1" w:rsidP="006F749C">
      <w:pPr>
        <w:numPr>
          <w:ilvl w:val="0"/>
          <w:numId w:val="216"/>
        </w:numPr>
        <w:spacing w:line="312" w:lineRule="auto"/>
        <w:ind w:left="426" w:hanging="357"/>
        <w:contextualSpacing/>
        <w:jc w:val="both"/>
        <w:rPr>
          <w:sz w:val="28"/>
          <w:szCs w:val="28"/>
          <w:lang w:val="en-US" w:bidi="ru-RU"/>
        </w:rPr>
      </w:pPr>
      <w:r w:rsidRPr="00A502F0">
        <w:rPr>
          <w:sz w:val="28"/>
          <w:szCs w:val="28"/>
          <w:lang w:val="en-US" w:bidi="ru-RU"/>
        </w:rPr>
        <w:t>What types of transactions are shown in the financial account?</w:t>
      </w:r>
    </w:p>
    <w:p w14:paraId="38209D65" w14:textId="77777777" w:rsidR="003C51B1" w:rsidRPr="00A502F0" w:rsidRDefault="003C51B1" w:rsidP="006F749C">
      <w:pPr>
        <w:numPr>
          <w:ilvl w:val="0"/>
          <w:numId w:val="216"/>
        </w:numPr>
        <w:spacing w:line="312" w:lineRule="auto"/>
        <w:ind w:left="425" w:hanging="357"/>
        <w:contextualSpacing/>
        <w:jc w:val="both"/>
        <w:rPr>
          <w:sz w:val="28"/>
          <w:szCs w:val="28"/>
          <w:lang w:val="en-US" w:bidi="ru-RU"/>
        </w:rPr>
      </w:pPr>
      <w:r w:rsidRPr="00A502F0">
        <w:rPr>
          <w:sz w:val="28"/>
          <w:szCs w:val="28"/>
          <w:lang w:val="en-US" w:bidi="ru-RU"/>
        </w:rPr>
        <w:t>Is there any interrelation between current, capital and financial account of the BOP?</w:t>
      </w:r>
    </w:p>
    <w:p w14:paraId="56430860" w14:textId="77777777" w:rsidR="003C51B1" w:rsidRPr="00A502F0" w:rsidRDefault="003C51B1" w:rsidP="006F749C">
      <w:pPr>
        <w:numPr>
          <w:ilvl w:val="0"/>
          <w:numId w:val="216"/>
        </w:numPr>
        <w:spacing w:line="312" w:lineRule="auto"/>
        <w:ind w:left="426" w:hanging="357"/>
        <w:contextualSpacing/>
        <w:jc w:val="both"/>
        <w:rPr>
          <w:sz w:val="28"/>
          <w:szCs w:val="28"/>
          <w:lang w:val="en-US" w:bidi="ru-RU"/>
        </w:rPr>
      </w:pPr>
      <w:r w:rsidRPr="00A502F0">
        <w:rPr>
          <w:sz w:val="28"/>
          <w:szCs w:val="28"/>
          <w:lang w:val="en-US" w:bidi="ru-RU"/>
        </w:rPr>
        <w:t xml:space="preserve">What is </w:t>
      </w:r>
      <w:r w:rsidR="00E86F07">
        <w:rPr>
          <w:sz w:val="28"/>
          <w:szCs w:val="28"/>
          <w:lang w:val="en-US" w:bidi="ru-RU"/>
        </w:rPr>
        <w:t xml:space="preserve">a </w:t>
      </w:r>
      <w:r w:rsidRPr="00A502F0">
        <w:rPr>
          <w:sz w:val="28"/>
          <w:szCs w:val="28"/>
          <w:lang w:val="en-US" w:bidi="ru-RU"/>
        </w:rPr>
        <w:t>cross rate? How could it be calculated?</w:t>
      </w:r>
    </w:p>
    <w:p w14:paraId="64A53F29" w14:textId="77777777" w:rsidR="003C51B1" w:rsidRPr="00A502F0" w:rsidRDefault="003C51B1" w:rsidP="006F749C">
      <w:pPr>
        <w:numPr>
          <w:ilvl w:val="0"/>
          <w:numId w:val="216"/>
        </w:numPr>
        <w:spacing w:line="312" w:lineRule="auto"/>
        <w:ind w:left="425" w:hanging="357"/>
        <w:contextualSpacing/>
        <w:jc w:val="both"/>
        <w:rPr>
          <w:sz w:val="28"/>
          <w:szCs w:val="28"/>
          <w:lang w:val="en-US" w:bidi="ru-RU"/>
        </w:rPr>
      </w:pPr>
      <w:r w:rsidRPr="00A502F0">
        <w:rPr>
          <w:sz w:val="28"/>
          <w:szCs w:val="28"/>
          <w:lang w:val="en-US" w:bidi="ru-RU"/>
        </w:rPr>
        <w:t>How do the changes in exchange rates affect the financial results of exporters and importers?</w:t>
      </w:r>
    </w:p>
    <w:p w14:paraId="32750480" w14:textId="77777777" w:rsidR="003C51B1" w:rsidRPr="00A502F0" w:rsidRDefault="003C51B1" w:rsidP="006F749C">
      <w:pPr>
        <w:numPr>
          <w:ilvl w:val="0"/>
          <w:numId w:val="216"/>
        </w:numPr>
        <w:spacing w:line="312" w:lineRule="auto"/>
        <w:ind w:left="426" w:hanging="357"/>
        <w:contextualSpacing/>
        <w:jc w:val="both"/>
        <w:rPr>
          <w:sz w:val="28"/>
          <w:szCs w:val="28"/>
          <w:lang w:val="en-US" w:bidi="ru-RU"/>
        </w:rPr>
      </w:pPr>
      <w:r w:rsidRPr="00A502F0">
        <w:rPr>
          <w:sz w:val="28"/>
          <w:szCs w:val="28"/>
          <w:lang w:val="en-US" w:bidi="ru-RU"/>
        </w:rPr>
        <w:t>What are multinational corporations?</w:t>
      </w:r>
    </w:p>
    <w:p w14:paraId="4E3A7EF6" w14:textId="77777777" w:rsidR="003C51B1" w:rsidRPr="00A502F0" w:rsidRDefault="003C51B1" w:rsidP="006F749C">
      <w:pPr>
        <w:numPr>
          <w:ilvl w:val="0"/>
          <w:numId w:val="216"/>
        </w:numPr>
        <w:spacing w:line="312" w:lineRule="auto"/>
        <w:ind w:left="425" w:hanging="357"/>
        <w:contextualSpacing/>
        <w:jc w:val="both"/>
        <w:rPr>
          <w:sz w:val="28"/>
          <w:szCs w:val="28"/>
          <w:lang w:val="en-US" w:bidi="ru-RU"/>
        </w:rPr>
      </w:pPr>
      <w:r w:rsidRPr="00A502F0">
        <w:rPr>
          <w:sz w:val="28"/>
          <w:szCs w:val="28"/>
          <w:lang w:val="en-US" w:bidi="ru-RU"/>
        </w:rPr>
        <w:t>What is the offshore financial center? What are benefits and threats of its creation?</w:t>
      </w:r>
    </w:p>
    <w:p w14:paraId="352582C0" w14:textId="77777777" w:rsidR="003C51B1" w:rsidRPr="003C51B1" w:rsidRDefault="00137967" w:rsidP="00A502F0">
      <w:pPr>
        <w:pStyle w:val="end2"/>
      </w:pPr>
      <w:r>
        <w:t xml:space="preserve">Multiple </w:t>
      </w:r>
      <w:r w:rsidR="003C51B1" w:rsidRPr="003C51B1">
        <w:t>choice questions</w:t>
      </w:r>
    </w:p>
    <w:p w14:paraId="7B15E25A" w14:textId="77777777" w:rsidR="003C51B1" w:rsidRPr="00A502F0" w:rsidRDefault="003C51B1" w:rsidP="00A502F0">
      <w:pPr>
        <w:spacing w:line="240" w:lineRule="atLeast"/>
        <w:ind w:firstLine="357"/>
        <w:jc w:val="both"/>
        <w:rPr>
          <w:sz w:val="28"/>
          <w:szCs w:val="28"/>
          <w:lang w:val="en-US"/>
        </w:rPr>
      </w:pPr>
      <w:r w:rsidRPr="00A502F0">
        <w:rPr>
          <w:sz w:val="28"/>
          <w:szCs w:val="28"/>
          <w:lang w:val="en-US"/>
        </w:rPr>
        <w:t>Choose the one alternative that best completes the statement or answers the question.</w:t>
      </w:r>
    </w:p>
    <w:tbl>
      <w:tblPr>
        <w:tblStyle w:val="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tblGrid>
      <w:tr w:rsidR="003C51B1" w:rsidRPr="00A502F0" w14:paraId="184FA16F" w14:textId="77777777" w:rsidTr="003C51B1">
        <w:trPr>
          <w:trHeight w:val="20"/>
        </w:trPr>
        <w:tc>
          <w:tcPr>
            <w:tcW w:w="8613" w:type="dxa"/>
          </w:tcPr>
          <w:p w14:paraId="11999866" w14:textId="77777777" w:rsidR="003C51B1" w:rsidRPr="00A502F0" w:rsidRDefault="003C51B1" w:rsidP="006F749C">
            <w:pPr>
              <w:numPr>
                <w:ilvl w:val="0"/>
                <w:numId w:val="217"/>
              </w:numPr>
              <w:spacing w:line="240" w:lineRule="atLeast"/>
              <w:ind w:left="425" w:hanging="357"/>
              <w:contextualSpacing/>
              <w:rPr>
                <w:sz w:val="28"/>
                <w:szCs w:val="28"/>
                <w:lang w:val="en-US"/>
              </w:rPr>
            </w:pPr>
            <w:r w:rsidRPr="00A502F0">
              <w:rPr>
                <w:sz w:val="28"/>
                <w:szCs w:val="28"/>
                <w:lang w:val="en-US"/>
              </w:rPr>
              <w:t>International finance is a part of:</w:t>
            </w:r>
          </w:p>
          <w:p w14:paraId="4C7844B7" w14:textId="77777777" w:rsidR="003C51B1" w:rsidRPr="00A502F0" w:rsidRDefault="003C51B1" w:rsidP="006F749C">
            <w:pPr>
              <w:numPr>
                <w:ilvl w:val="0"/>
                <w:numId w:val="218"/>
              </w:numPr>
              <w:shd w:val="clear" w:color="auto" w:fill="FFFFFF"/>
              <w:spacing w:line="240" w:lineRule="atLeast"/>
              <w:ind w:left="788"/>
              <w:textAlignment w:val="baseline"/>
              <w:rPr>
                <w:sz w:val="28"/>
                <w:szCs w:val="28"/>
                <w:lang w:val="en-US"/>
              </w:rPr>
            </w:pPr>
            <w:r w:rsidRPr="00A502F0">
              <w:rPr>
                <w:sz w:val="28"/>
                <w:szCs w:val="28"/>
                <w:lang w:val="en-US"/>
              </w:rPr>
              <w:t>international economy;</w:t>
            </w:r>
          </w:p>
          <w:p w14:paraId="3CF0FB25" w14:textId="77777777" w:rsidR="003C51B1" w:rsidRPr="00A502F0" w:rsidRDefault="003C51B1" w:rsidP="006F749C">
            <w:pPr>
              <w:numPr>
                <w:ilvl w:val="0"/>
                <w:numId w:val="218"/>
              </w:numPr>
              <w:shd w:val="clear" w:color="auto" w:fill="FFFFFF"/>
              <w:spacing w:line="240" w:lineRule="atLeast"/>
              <w:ind w:left="788"/>
              <w:textAlignment w:val="baseline"/>
              <w:rPr>
                <w:sz w:val="28"/>
                <w:szCs w:val="28"/>
                <w:lang w:val="en-US"/>
              </w:rPr>
            </w:pPr>
            <w:r w:rsidRPr="00A502F0">
              <w:rPr>
                <w:sz w:val="28"/>
                <w:szCs w:val="28"/>
                <w:lang w:val="en-US"/>
              </w:rPr>
              <w:t>international trade;</w:t>
            </w:r>
          </w:p>
          <w:p w14:paraId="03DF8C0B" w14:textId="77777777" w:rsidR="003C51B1" w:rsidRPr="00A502F0" w:rsidRDefault="003C51B1" w:rsidP="006F749C">
            <w:pPr>
              <w:numPr>
                <w:ilvl w:val="0"/>
                <w:numId w:val="218"/>
              </w:numPr>
              <w:shd w:val="clear" w:color="auto" w:fill="FFFFFF"/>
              <w:spacing w:line="240" w:lineRule="atLeast"/>
              <w:ind w:left="788"/>
              <w:textAlignment w:val="baseline"/>
              <w:rPr>
                <w:sz w:val="28"/>
                <w:szCs w:val="28"/>
                <w:lang w:val="en-US"/>
              </w:rPr>
            </w:pPr>
            <w:r w:rsidRPr="00A502F0">
              <w:rPr>
                <w:sz w:val="28"/>
                <w:szCs w:val="28"/>
                <w:lang w:val="en-US"/>
              </w:rPr>
              <w:t>international monetary system;</w:t>
            </w:r>
          </w:p>
          <w:p w14:paraId="320C2E0E" w14:textId="77777777" w:rsidR="003C51B1" w:rsidRPr="00A502F0" w:rsidRDefault="003C51B1" w:rsidP="006F749C">
            <w:pPr>
              <w:numPr>
                <w:ilvl w:val="0"/>
                <w:numId w:val="218"/>
              </w:numPr>
              <w:shd w:val="clear" w:color="auto" w:fill="FFFFFF"/>
              <w:spacing w:after="120" w:line="240" w:lineRule="atLeast"/>
              <w:ind w:left="782" w:hanging="357"/>
              <w:textAlignment w:val="baseline"/>
              <w:rPr>
                <w:sz w:val="28"/>
                <w:szCs w:val="28"/>
                <w:lang w:val="en-US"/>
              </w:rPr>
            </w:pPr>
            <w:r w:rsidRPr="00A502F0">
              <w:rPr>
                <w:sz w:val="28"/>
                <w:szCs w:val="28"/>
                <w:lang w:val="en-US"/>
              </w:rPr>
              <w:t>global financial market.</w:t>
            </w:r>
          </w:p>
        </w:tc>
      </w:tr>
      <w:tr w:rsidR="003C51B1" w:rsidRPr="00A502F0" w14:paraId="4FE107F2" w14:textId="77777777" w:rsidTr="003C51B1">
        <w:trPr>
          <w:trHeight w:val="20"/>
        </w:trPr>
        <w:tc>
          <w:tcPr>
            <w:tcW w:w="8613" w:type="dxa"/>
          </w:tcPr>
          <w:p w14:paraId="41F0EAB4" w14:textId="77777777" w:rsidR="003C51B1" w:rsidRPr="00A502F0" w:rsidRDefault="003C51B1" w:rsidP="006F749C">
            <w:pPr>
              <w:numPr>
                <w:ilvl w:val="0"/>
                <w:numId w:val="217"/>
              </w:numPr>
              <w:spacing w:line="240" w:lineRule="atLeast"/>
              <w:ind w:left="425" w:hanging="357"/>
              <w:contextualSpacing/>
              <w:rPr>
                <w:i/>
                <w:sz w:val="28"/>
                <w:szCs w:val="28"/>
                <w:lang w:val="en-US"/>
              </w:rPr>
            </w:pPr>
            <w:r w:rsidRPr="00A502F0">
              <w:rPr>
                <w:sz w:val="28"/>
                <w:szCs w:val="28"/>
                <w:lang w:val="en-US"/>
              </w:rPr>
              <w:t>What’s the primary mission of the World Bank?</w:t>
            </w:r>
          </w:p>
          <w:p w14:paraId="5268CAE4" w14:textId="77777777" w:rsidR="003C51B1" w:rsidRPr="00A502F0" w:rsidRDefault="003C51B1" w:rsidP="006F749C">
            <w:pPr>
              <w:numPr>
                <w:ilvl w:val="0"/>
                <w:numId w:val="219"/>
              </w:numPr>
              <w:shd w:val="clear" w:color="auto" w:fill="FFFFFF"/>
              <w:spacing w:line="240" w:lineRule="atLeast"/>
              <w:ind w:left="782" w:hanging="357"/>
              <w:textAlignment w:val="baseline"/>
              <w:rPr>
                <w:sz w:val="28"/>
                <w:szCs w:val="28"/>
                <w:lang w:val="en-US"/>
              </w:rPr>
            </w:pPr>
            <w:r w:rsidRPr="00A502F0">
              <w:rPr>
                <w:sz w:val="28"/>
                <w:szCs w:val="28"/>
                <w:lang w:val="en-US"/>
              </w:rPr>
              <w:t>set world interest rates;</w:t>
            </w:r>
          </w:p>
          <w:p w14:paraId="193C5BF5" w14:textId="77777777" w:rsidR="003C51B1" w:rsidRPr="00A502F0" w:rsidRDefault="003C51B1" w:rsidP="006F749C">
            <w:pPr>
              <w:numPr>
                <w:ilvl w:val="0"/>
                <w:numId w:val="219"/>
              </w:numPr>
              <w:shd w:val="clear" w:color="auto" w:fill="FFFFFF"/>
              <w:spacing w:line="240" w:lineRule="atLeast"/>
              <w:ind w:left="782" w:hanging="357"/>
              <w:textAlignment w:val="baseline"/>
              <w:rPr>
                <w:sz w:val="28"/>
                <w:szCs w:val="28"/>
                <w:lang w:val="en-US"/>
              </w:rPr>
            </w:pPr>
            <w:r w:rsidRPr="00A502F0">
              <w:rPr>
                <w:sz w:val="28"/>
                <w:szCs w:val="28"/>
                <w:lang w:val="en-US"/>
              </w:rPr>
              <w:t>provide short-term financing for countries with balance of payment problems;</w:t>
            </w:r>
          </w:p>
          <w:p w14:paraId="3BA0724A" w14:textId="77777777" w:rsidR="003C51B1" w:rsidRPr="00A502F0" w:rsidRDefault="003C51B1" w:rsidP="006F749C">
            <w:pPr>
              <w:numPr>
                <w:ilvl w:val="0"/>
                <w:numId w:val="219"/>
              </w:numPr>
              <w:shd w:val="clear" w:color="auto" w:fill="FFFFFF"/>
              <w:spacing w:line="240" w:lineRule="atLeast"/>
              <w:ind w:left="782" w:hanging="357"/>
              <w:textAlignment w:val="baseline"/>
              <w:rPr>
                <w:sz w:val="28"/>
                <w:szCs w:val="28"/>
                <w:lang w:val="en-US"/>
              </w:rPr>
            </w:pPr>
            <w:r w:rsidRPr="00A502F0">
              <w:rPr>
                <w:sz w:val="28"/>
                <w:szCs w:val="28"/>
                <w:lang w:val="en-US"/>
              </w:rPr>
              <w:t>lend money for economic development;</w:t>
            </w:r>
          </w:p>
          <w:p w14:paraId="154D41C6" w14:textId="77777777" w:rsidR="003C51B1" w:rsidRPr="00E86F07" w:rsidRDefault="003C51B1" w:rsidP="006F749C">
            <w:pPr>
              <w:numPr>
                <w:ilvl w:val="0"/>
                <w:numId w:val="219"/>
              </w:numPr>
              <w:shd w:val="clear" w:color="auto" w:fill="FFFFFF"/>
              <w:spacing w:after="120" w:line="240" w:lineRule="atLeast"/>
              <w:ind w:left="782" w:hanging="357"/>
              <w:textAlignment w:val="baseline"/>
              <w:rPr>
                <w:sz w:val="28"/>
                <w:szCs w:val="28"/>
                <w:lang w:val="en-US"/>
              </w:rPr>
            </w:pPr>
            <w:r w:rsidRPr="00E86F07">
              <w:rPr>
                <w:sz w:val="28"/>
                <w:szCs w:val="28"/>
                <w:lang w:val="en-US"/>
              </w:rPr>
              <w:t>end money to international corporations.</w:t>
            </w:r>
          </w:p>
        </w:tc>
      </w:tr>
      <w:tr w:rsidR="003C51B1" w:rsidRPr="00A502F0" w14:paraId="58B70018" w14:textId="77777777" w:rsidTr="003C51B1">
        <w:trPr>
          <w:trHeight w:val="20"/>
        </w:trPr>
        <w:tc>
          <w:tcPr>
            <w:tcW w:w="8613" w:type="dxa"/>
          </w:tcPr>
          <w:p w14:paraId="06FA9F8A" w14:textId="77777777" w:rsidR="003C51B1" w:rsidRPr="00A502F0" w:rsidRDefault="003C51B1" w:rsidP="006F749C">
            <w:pPr>
              <w:numPr>
                <w:ilvl w:val="0"/>
                <w:numId w:val="217"/>
              </w:numPr>
              <w:spacing w:line="240" w:lineRule="atLeast"/>
              <w:ind w:left="425" w:hanging="357"/>
              <w:contextualSpacing/>
              <w:rPr>
                <w:sz w:val="28"/>
                <w:szCs w:val="28"/>
                <w:lang w:val="en-US"/>
              </w:rPr>
            </w:pPr>
            <w:r w:rsidRPr="00A502F0">
              <w:rPr>
                <w:sz w:val="28"/>
                <w:szCs w:val="28"/>
                <w:lang w:val="en-US"/>
              </w:rPr>
              <w:t xml:space="preserve">Which of the following is </w:t>
            </w:r>
            <w:r w:rsidR="00E86F07">
              <w:rPr>
                <w:sz w:val="28"/>
                <w:szCs w:val="28"/>
                <w:lang w:val="en-US"/>
              </w:rPr>
              <w:t xml:space="preserve">the primary goal </w:t>
            </w:r>
            <w:r w:rsidRPr="00A502F0">
              <w:rPr>
                <w:sz w:val="28"/>
                <w:szCs w:val="28"/>
                <w:lang w:val="en-US"/>
              </w:rPr>
              <w:t>of the IMF?</w:t>
            </w:r>
          </w:p>
          <w:p w14:paraId="57C735B1" w14:textId="77777777" w:rsidR="003C51B1" w:rsidRPr="00A502F0" w:rsidRDefault="003C51B1" w:rsidP="006F749C">
            <w:pPr>
              <w:numPr>
                <w:ilvl w:val="0"/>
                <w:numId w:val="220"/>
              </w:numPr>
              <w:shd w:val="clear" w:color="auto" w:fill="FFFFFF"/>
              <w:spacing w:line="240" w:lineRule="atLeast"/>
              <w:ind w:left="782" w:hanging="357"/>
              <w:textAlignment w:val="baseline"/>
              <w:rPr>
                <w:sz w:val="28"/>
                <w:szCs w:val="28"/>
                <w:lang w:val="en-US"/>
              </w:rPr>
            </w:pPr>
            <w:r w:rsidRPr="00A502F0">
              <w:rPr>
                <w:sz w:val="28"/>
                <w:szCs w:val="28"/>
                <w:lang w:val="en-US"/>
              </w:rPr>
              <w:t>promote international cooperation with monetary policy;</w:t>
            </w:r>
          </w:p>
          <w:p w14:paraId="1063A8DC" w14:textId="77777777" w:rsidR="003C51B1" w:rsidRPr="00A502F0" w:rsidRDefault="003C51B1" w:rsidP="006F749C">
            <w:pPr>
              <w:numPr>
                <w:ilvl w:val="0"/>
                <w:numId w:val="220"/>
              </w:numPr>
              <w:shd w:val="clear" w:color="auto" w:fill="FFFFFF"/>
              <w:spacing w:line="240" w:lineRule="atLeast"/>
              <w:ind w:left="782" w:hanging="357"/>
              <w:textAlignment w:val="baseline"/>
              <w:rPr>
                <w:sz w:val="28"/>
                <w:szCs w:val="28"/>
                <w:lang w:val="en-US"/>
              </w:rPr>
            </w:pPr>
            <w:r w:rsidRPr="00A502F0">
              <w:rPr>
                <w:sz w:val="28"/>
                <w:szCs w:val="28"/>
                <w:lang w:val="en-US"/>
              </w:rPr>
              <w:t>encourage trade;</w:t>
            </w:r>
          </w:p>
          <w:p w14:paraId="5A51C66E" w14:textId="77777777" w:rsidR="003C51B1" w:rsidRPr="00A502F0" w:rsidRDefault="003C51B1" w:rsidP="006F749C">
            <w:pPr>
              <w:numPr>
                <w:ilvl w:val="0"/>
                <w:numId w:val="220"/>
              </w:numPr>
              <w:shd w:val="clear" w:color="auto" w:fill="FFFFFF"/>
              <w:spacing w:line="240" w:lineRule="atLeast"/>
              <w:ind w:left="782" w:hanging="357"/>
              <w:textAlignment w:val="baseline"/>
              <w:rPr>
                <w:sz w:val="28"/>
                <w:szCs w:val="28"/>
                <w:lang w:val="en-US"/>
              </w:rPr>
            </w:pPr>
            <w:r w:rsidRPr="00A502F0">
              <w:rPr>
                <w:sz w:val="28"/>
                <w:szCs w:val="28"/>
                <w:lang w:val="en-US"/>
              </w:rPr>
              <w:t>encourage exchange stability;</w:t>
            </w:r>
          </w:p>
          <w:p w14:paraId="0E3640E2" w14:textId="77777777" w:rsidR="003C51B1" w:rsidRPr="00A502F0" w:rsidRDefault="003C51B1" w:rsidP="006F749C">
            <w:pPr>
              <w:numPr>
                <w:ilvl w:val="0"/>
                <w:numId w:val="220"/>
              </w:numPr>
              <w:shd w:val="clear" w:color="auto" w:fill="FFFFFF"/>
              <w:spacing w:line="240" w:lineRule="atLeast"/>
              <w:ind w:left="782" w:hanging="357"/>
              <w:textAlignment w:val="baseline"/>
              <w:rPr>
                <w:sz w:val="28"/>
                <w:szCs w:val="28"/>
                <w:lang w:val="en-US"/>
              </w:rPr>
            </w:pPr>
            <w:r w:rsidRPr="00A502F0">
              <w:rPr>
                <w:sz w:val="28"/>
                <w:szCs w:val="28"/>
                <w:lang w:val="en-US"/>
              </w:rPr>
              <w:t>provide short-term financing for countries with balance of payment problems;</w:t>
            </w:r>
          </w:p>
          <w:p w14:paraId="5263C630" w14:textId="77777777" w:rsidR="003C51B1" w:rsidRPr="00A502F0" w:rsidRDefault="003C51B1" w:rsidP="006F749C">
            <w:pPr>
              <w:numPr>
                <w:ilvl w:val="0"/>
                <w:numId w:val="220"/>
              </w:numPr>
              <w:shd w:val="clear" w:color="auto" w:fill="FFFFFF"/>
              <w:spacing w:after="120" w:line="240" w:lineRule="atLeast"/>
              <w:ind w:left="782" w:hanging="357"/>
              <w:textAlignment w:val="baseline"/>
              <w:rPr>
                <w:sz w:val="28"/>
                <w:szCs w:val="28"/>
                <w:lang w:val="en-US" w:eastAsia="uk-UA"/>
              </w:rPr>
            </w:pPr>
            <w:r w:rsidRPr="00A502F0">
              <w:rPr>
                <w:sz w:val="28"/>
                <w:szCs w:val="28"/>
                <w:lang w:val="en-US"/>
              </w:rPr>
              <w:lastRenderedPageBreak/>
              <w:t>all of the answers are correct.</w:t>
            </w:r>
          </w:p>
        </w:tc>
      </w:tr>
      <w:tr w:rsidR="003C51B1" w:rsidRPr="00A502F0" w14:paraId="567E5E4F" w14:textId="77777777" w:rsidTr="003C51B1">
        <w:trPr>
          <w:trHeight w:val="20"/>
        </w:trPr>
        <w:tc>
          <w:tcPr>
            <w:tcW w:w="8613" w:type="dxa"/>
          </w:tcPr>
          <w:p w14:paraId="7F8B7EB1" w14:textId="77777777" w:rsidR="003C51B1" w:rsidRPr="00A502F0" w:rsidRDefault="00E86F07" w:rsidP="006F749C">
            <w:pPr>
              <w:numPr>
                <w:ilvl w:val="0"/>
                <w:numId w:val="217"/>
              </w:numPr>
              <w:spacing w:line="240" w:lineRule="atLeast"/>
              <w:ind w:left="426"/>
              <w:contextualSpacing/>
              <w:rPr>
                <w:sz w:val="28"/>
                <w:szCs w:val="28"/>
                <w:lang w:val="en-US"/>
              </w:rPr>
            </w:pPr>
            <w:r>
              <w:rPr>
                <w:sz w:val="28"/>
                <w:szCs w:val="28"/>
                <w:lang w:val="en-US"/>
              </w:rPr>
              <w:lastRenderedPageBreak/>
              <w:t>These are t</w:t>
            </w:r>
            <w:r w:rsidR="003C51B1" w:rsidRPr="00A502F0">
              <w:rPr>
                <w:sz w:val="28"/>
                <w:szCs w:val="28"/>
                <w:lang w:val="en-US"/>
              </w:rPr>
              <w:t>op borrowers of international financial institutions:</w:t>
            </w:r>
          </w:p>
          <w:p w14:paraId="258854AC" w14:textId="77777777" w:rsidR="003C51B1" w:rsidRPr="00A502F0" w:rsidRDefault="003C51B1" w:rsidP="006F749C">
            <w:pPr>
              <w:numPr>
                <w:ilvl w:val="0"/>
                <w:numId w:val="221"/>
              </w:numPr>
              <w:shd w:val="clear" w:color="auto" w:fill="FFFFFF"/>
              <w:spacing w:line="240" w:lineRule="atLeast"/>
              <w:ind w:left="788"/>
              <w:textAlignment w:val="baseline"/>
              <w:rPr>
                <w:sz w:val="28"/>
                <w:szCs w:val="28"/>
                <w:lang w:val="en-US"/>
              </w:rPr>
            </w:pPr>
            <w:r w:rsidRPr="00A502F0">
              <w:rPr>
                <w:sz w:val="28"/>
                <w:szCs w:val="28"/>
                <w:lang w:val="en-US"/>
              </w:rPr>
              <w:t>high-income countries;</w:t>
            </w:r>
          </w:p>
          <w:p w14:paraId="7A25146F" w14:textId="77777777" w:rsidR="003C51B1" w:rsidRPr="00A502F0" w:rsidRDefault="003C51B1" w:rsidP="006F749C">
            <w:pPr>
              <w:numPr>
                <w:ilvl w:val="0"/>
                <w:numId w:val="221"/>
              </w:numPr>
              <w:shd w:val="clear" w:color="auto" w:fill="FFFFFF"/>
              <w:spacing w:line="240" w:lineRule="atLeast"/>
              <w:ind w:left="788"/>
              <w:textAlignment w:val="baseline"/>
              <w:rPr>
                <w:sz w:val="28"/>
                <w:szCs w:val="28"/>
                <w:lang w:val="en-US"/>
              </w:rPr>
            </w:pPr>
            <w:r w:rsidRPr="00A502F0">
              <w:rPr>
                <w:sz w:val="28"/>
                <w:szCs w:val="28"/>
                <w:lang w:val="en-US"/>
              </w:rPr>
              <w:t>regional development banks;</w:t>
            </w:r>
          </w:p>
          <w:p w14:paraId="7B8DF13D" w14:textId="77777777" w:rsidR="003C51B1" w:rsidRPr="00A502F0" w:rsidRDefault="003C51B1" w:rsidP="006F749C">
            <w:pPr>
              <w:numPr>
                <w:ilvl w:val="0"/>
                <w:numId w:val="221"/>
              </w:numPr>
              <w:shd w:val="clear" w:color="auto" w:fill="FFFFFF"/>
              <w:spacing w:line="240" w:lineRule="atLeast"/>
              <w:ind w:left="788"/>
              <w:textAlignment w:val="baseline"/>
              <w:rPr>
                <w:sz w:val="28"/>
                <w:szCs w:val="28"/>
                <w:lang w:val="en-US"/>
              </w:rPr>
            </w:pPr>
            <w:r w:rsidRPr="00A502F0">
              <w:rPr>
                <w:sz w:val="28"/>
                <w:szCs w:val="28"/>
                <w:lang w:val="en-US"/>
              </w:rPr>
              <w:t>developed countries;</w:t>
            </w:r>
          </w:p>
          <w:p w14:paraId="0F6CA839" w14:textId="77777777" w:rsidR="003C51B1" w:rsidRPr="00A502F0" w:rsidRDefault="003C51B1" w:rsidP="006F749C">
            <w:pPr>
              <w:numPr>
                <w:ilvl w:val="0"/>
                <w:numId w:val="221"/>
              </w:numPr>
              <w:shd w:val="clear" w:color="auto" w:fill="FFFFFF"/>
              <w:spacing w:after="120" w:line="240" w:lineRule="atLeast"/>
              <w:ind w:left="782" w:hanging="357"/>
              <w:textAlignment w:val="baseline"/>
              <w:rPr>
                <w:sz w:val="28"/>
                <w:szCs w:val="28"/>
                <w:lang w:val="en-US" w:eastAsia="uk-UA"/>
              </w:rPr>
            </w:pPr>
            <w:r w:rsidRPr="00A502F0">
              <w:rPr>
                <w:sz w:val="28"/>
                <w:szCs w:val="28"/>
                <w:lang w:val="en-US"/>
              </w:rPr>
              <w:t>developing countries.</w:t>
            </w:r>
          </w:p>
        </w:tc>
      </w:tr>
      <w:tr w:rsidR="003C51B1" w:rsidRPr="00A502F0" w14:paraId="71B2C491" w14:textId="77777777" w:rsidTr="003C51B1">
        <w:trPr>
          <w:trHeight w:val="20"/>
        </w:trPr>
        <w:tc>
          <w:tcPr>
            <w:tcW w:w="8613" w:type="dxa"/>
          </w:tcPr>
          <w:p w14:paraId="48F4E11A" w14:textId="77777777" w:rsidR="003C51B1" w:rsidRPr="00A502F0" w:rsidRDefault="003C51B1" w:rsidP="006F749C">
            <w:pPr>
              <w:numPr>
                <w:ilvl w:val="0"/>
                <w:numId w:val="217"/>
              </w:numPr>
              <w:spacing w:line="240" w:lineRule="atLeast"/>
              <w:ind w:left="426"/>
              <w:contextualSpacing/>
              <w:rPr>
                <w:sz w:val="28"/>
                <w:szCs w:val="28"/>
                <w:lang w:val="en-US"/>
              </w:rPr>
            </w:pPr>
            <w:r w:rsidRPr="00A502F0">
              <w:rPr>
                <w:sz w:val="28"/>
                <w:szCs w:val="28"/>
                <w:lang w:val="en-US"/>
              </w:rPr>
              <w:t>Which international financial institution provides lending for the private sector?</w:t>
            </w:r>
          </w:p>
          <w:p w14:paraId="756C8B91" w14:textId="77777777" w:rsidR="003C51B1" w:rsidRPr="00A502F0" w:rsidRDefault="003C51B1" w:rsidP="006F749C">
            <w:pPr>
              <w:numPr>
                <w:ilvl w:val="0"/>
                <w:numId w:val="222"/>
              </w:numPr>
              <w:shd w:val="clear" w:color="auto" w:fill="FFFFFF"/>
              <w:spacing w:line="240" w:lineRule="atLeast"/>
              <w:ind w:left="782" w:hanging="357"/>
              <w:textAlignment w:val="baseline"/>
              <w:rPr>
                <w:sz w:val="28"/>
                <w:szCs w:val="28"/>
                <w:lang w:val="en-US"/>
              </w:rPr>
            </w:pPr>
            <w:r w:rsidRPr="00A502F0">
              <w:rPr>
                <w:sz w:val="28"/>
                <w:szCs w:val="28"/>
                <w:lang w:val="en-US"/>
              </w:rPr>
              <w:t>The International Bank for Reconstruction &amp; Development;</w:t>
            </w:r>
          </w:p>
          <w:p w14:paraId="603333CF" w14:textId="77777777" w:rsidR="003C51B1" w:rsidRPr="00A502F0" w:rsidRDefault="003C51B1" w:rsidP="006F749C">
            <w:pPr>
              <w:numPr>
                <w:ilvl w:val="0"/>
                <w:numId w:val="222"/>
              </w:numPr>
              <w:shd w:val="clear" w:color="auto" w:fill="FFFFFF"/>
              <w:spacing w:line="240" w:lineRule="atLeast"/>
              <w:ind w:left="782" w:hanging="357"/>
              <w:textAlignment w:val="baseline"/>
              <w:rPr>
                <w:sz w:val="28"/>
                <w:szCs w:val="28"/>
                <w:lang w:val="en-US"/>
              </w:rPr>
            </w:pPr>
            <w:r w:rsidRPr="00A502F0">
              <w:rPr>
                <w:sz w:val="28"/>
                <w:szCs w:val="28"/>
                <w:lang w:val="en-US"/>
              </w:rPr>
              <w:t>The International Finance Corporation;</w:t>
            </w:r>
          </w:p>
          <w:p w14:paraId="275768E3" w14:textId="77777777" w:rsidR="003C51B1" w:rsidRPr="00A502F0" w:rsidRDefault="003C51B1" w:rsidP="006F749C">
            <w:pPr>
              <w:numPr>
                <w:ilvl w:val="0"/>
                <w:numId w:val="222"/>
              </w:numPr>
              <w:shd w:val="clear" w:color="auto" w:fill="FFFFFF"/>
              <w:spacing w:line="240" w:lineRule="atLeast"/>
              <w:ind w:left="782" w:hanging="357"/>
              <w:textAlignment w:val="baseline"/>
              <w:rPr>
                <w:sz w:val="28"/>
                <w:szCs w:val="28"/>
                <w:lang w:val="en-US"/>
              </w:rPr>
            </w:pPr>
            <w:r w:rsidRPr="00A502F0">
              <w:rPr>
                <w:sz w:val="28"/>
                <w:szCs w:val="28"/>
                <w:lang w:val="en-US"/>
              </w:rPr>
              <w:t>The Multilateral Investment Guarantee Agency;</w:t>
            </w:r>
          </w:p>
          <w:p w14:paraId="5F5F9A64" w14:textId="77777777" w:rsidR="003C51B1" w:rsidRPr="00A502F0" w:rsidRDefault="003C51B1" w:rsidP="006F749C">
            <w:pPr>
              <w:numPr>
                <w:ilvl w:val="0"/>
                <w:numId w:val="222"/>
              </w:numPr>
              <w:shd w:val="clear" w:color="auto" w:fill="FFFFFF"/>
              <w:spacing w:after="120" w:line="240" w:lineRule="atLeast"/>
              <w:ind w:left="782" w:hanging="357"/>
              <w:textAlignment w:val="baseline"/>
              <w:rPr>
                <w:sz w:val="28"/>
                <w:szCs w:val="28"/>
                <w:lang w:val="en-US" w:eastAsia="uk-UA"/>
              </w:rPr>
            </w:pPr>
            <w:r w:rsidRPr="00A502F0">
              <w:rPr>
                <w:sz w:val="28"/>
                <w:szCs w:val="28"/>
                <w:lang w:val="en-US"/>
              </w:rPr>
              <w:t>the International Development Association.</w:t>
            </w:r>
          </w:p>
        </w:tc>
      </w:tr>
      <w:tr w:rsidR="003C51B1" w:rsidRPr="00A502F0" w14:paraId="3AAACD3C" w14:textId="77777777" w:rsidTr="003C51B1">
        <w:trPr>
          <w:trHeight w:val="20"/>
        </w:trPr>
        <w:tc>
          <w:tcPr>
            <w:tcW w:w="8613" w:type="dxa"/>
          </w:tcPr>
          <w:p w14:paraId="722BF17F" w14:textId="77777777" w:rsidR="003C51B1" w:rsidRPr="00A502F0" w:rsidRDefault="003C51B1" w:rsidP="006F749C">
            <w:pPr>
              <w:numPr>
                <w:ilvl w:val="0"/>
                <w:numId w:val="217"/>
              </w:numPr>
              <w:spacing w:line="240" w:lineRule="atLeast"/>
              <w:ind w:left="425" w:hanging="357"/>
              <w:contextualSpacing/>
              <w:rPr>
                <w:sz w:val="28"/>
                <w:szCs w:val="28"/>
                <w:lang w:val="en-US"/>
              </w:rPr>
            </w:pPr>
            <w:r w:rsidRPr="00A502F0">
              <w:rPr>
                <w:sz w:val="28"/>
                <w:szCs w:val="28"/>
                <w:lang w:val="en-US"/>
              </w:rPr>
              <w:t>Which of the following equations is correct?</w:t>
            </w:r>
          </w:p>
          <w:p w14:paraId="1ADC9AE3" w14:textId="77777777" w:rsidR="003C51B1" w:rsidRPr="00A502F0" w:rsidRDefault="003C51B1" w:rsidP="006F749C">
            <w:pPr>
              <w:numPr>
                <w:ilvl w:val="0"/>
                <w:numId w:val="223"/>
              </w:numPr>
              <w:shd w:val="clear" w:color="auto" w:fill="FFFFFF"/>
              <w:spacing w:line="240" w:lineRule="atLeast"/>
              <w:ind w:left="782" w:hanging="357"/>
              <w:textAlignment w:val="baseline"/>
              <w:rPr>
                <w:sz w:val="28"/>
                <w:szCs w:val="28"/>
                <w:lang w:val="en-US"/>
              </w:rPr>
            </w:pPr>
            <w:r w:rsidRPr="00A502F0">
              <w:rPr>
                <w:sz w:val="28"/>
                <w:szCs w:val="28"/>
                <w:lang w:val="en-US"/>
              </w:rPr>
              <w:t>current account – (financial account + capital account) = 0;</w:t>
            </w:r>
          </w:p>
          <w:p w14:paraId="1C2EB2C9" w14:textId="77777777" w:rsidR="003C51B1" w:rsidRPr="00A502F0" w:rsidRDefault="003C51B1" w:rsidP="006F749C">
            <w:pPr>
              <w:numPr>
                <w:ilvl w:val="0"/>
                <w:numId w:val="223"/>
              </w:numPr>
              <w:shd w:val="clear" w:color="auto" w:fill="FFFFFF"/>
              <w:spacing w:line="240" w:lineRule="atLeast"/>
              <w:ind w:left="782" w:hanging="357"/>
              <w:textAlignment w:val="baseline"/>
              <w:rPr>
                <w:sz w:val="28"/>
                <w:szCs w:val="28"/>
                <w:lang w:val="en-US"/>
              </w:rPr>
            </w:pPr>
            <w:r w:rsidRPr="00A502F0">
              <w:rPr>
                <w:sz w:val="28"/>
                <w:szCs w:val="28"/>
                <w:lang w:val="en-US"/>
              </w:rPr>
              <w:t>current account = financial account + capital account;</w:t>
            </w:r>
          </w:p>
          <w:p w14:paraId="468D84F6" w14:textId="77777777" w:rsidR="003C51B1" w:rsidRPr="00A502F0" w:rsidRDefault="003C51B1" w:rsidP="006F749C">
            <w:pPr>
              <w:numPr>
                <w:ilvl w:val="0"/>
                <w:numId w:val="223"/>
              </w:numPr>
              <w:shd w:val="clear" w:color="auto" w:fill="FFFFFF"/>
              <w:spacing w:line="240" w:lineRule="atLeast"/>
              <w:ind w:left="782" w:hanging="357"/>
              <w:textAlignment w:val="baseline"/>
              <w:rPr>
                <w:sz w:val="28"/>
                <w:szCs w:val="28"/>
                <w:lang w:val="en-US"/>
              </w:rPr>
            </w:pPr>
            <w:r w:rsidRPr="00A502F0">
              <w:rPr>
                <w:sz w:val="28"/>
                <w:szCs w:val="28"/>
              </w:rPr>
              <w:t>с</w:t>
            </w:r>
            <w:r w:rsidRPr="00A502F0">
              <w:rPr>
                <w:sz w:val="28"/>
                <w:szCs w:val="28"/>
                <w:lang w:val="en-US"/>
              </w:rPr>
              <w:t>urrent account + (financial account + capital account) = 0;</w:t>
            </w:r>
          </w:p>
          <w:p w14:paraId="3E32B732" w14:textId="77777777" w:rsidR="003C51B1" w:rsidRPr="00A502F0" w:rsidRDefault="003C51B1" w:rsidP="006F749C">
            <w:pPr>
              <w:numPr>
                <w:ilvl w:val="0"/>
                <w:numId w:val="223"/>
              </w:numPr>
              <w:shd w:val="clear" w:color="auto" w:fill="FFFFFF"/>
              <w:spacing w:after="120" w:line="240" w:lineRule="atLeast"/>
              <w:ind w:left="782" w:hanging="357"/>
              <w:textAlignment w:val="baseline"/>
              <w:rPr>
                <w:sz w:val="28"/>
                <w:szCs w:val="28"/>
                <w:lang w:val="en-US" w:eastAsia="uk-UA"/>
              </w:rPr>
            </w:pPr>
            <w:r w:rsidRPr="00A502F0">
              <w:rPr>
                <w:sz w:val="28"/>
                <w:szCs w:val="28"/>
                <w:lang w:val="en-US"/>
              </w:rPr>
              <w:t>no correct answer.</w:t>
            </w:r>
          </w:p>
        </w:tc>
      </w:tr>
      <w:tr w:rsidR="003C51B1" w:rsidRPr="00A502F0" w14:paraId="1839A774" w14:textId="77777777" w:rsidTr="003C51B1">
        <w:trPr>
          <w:trHeight w:val="20"/>
        </w:trPr>
        <w:tc>
          <w:tcPr>
            <w:tcW w:w="8613" w:type="dxa"/>
          </w:tcPr>
          <w:p w14:paraId="459048FE" w14:textId="77777777" w:rsidR="003C51B1" w:rsidRPr="00A502F0" w:rsidRDefault="003C51B1" w:rsidP="006F749C">
            <w:pPr>
              <w:numPr>
                <w:ilvl w:val="0"/>
                <w:numId w:val="217"/>
              </w:numPr>
              <w:spacing w:line="240" w:lineRule="atLeast"/>
              <w:ind w:left="426"/>
              <w:contextualSpacing/>
              <w:rPr>
                <w:sz w:val="28"/>
                <w:szCs w:val="28"/>
                <w:lang w:val="en-US"/>
              </w:rPr>
            </w:pPr>
            <w:r w:rsidRPr="00A502F0">
              <w:rPr>
                <w:sz w:val="28"/>
                <w:szCs w:val="28"/>
                <w:lang w:val="en-US"/>
              </w:rPr>
              <w:t>The current account in balance of payments pertains to:</w:t>
            </w:r>
          </w:p>
          <w:p w14:paraId="4B4D1C14" w14:textId="77777777" w:rsidR="003C51B1" w:rsidRPr="00A502F0" w:rsidRDefault="003C51B1" w:rsidP="006F749C">
            <w:pPr>
              <w:numPr>
                <w:ilvl w:val="0"/>
                <w:numId w:val="224"/>
              </w:numPr>
              <w:shd w:val="clear" w:color="auto" w:fill="FFFFFF"/>
              <w:spacing w:line="240" w:lineRule="atLeast"/>
              <w:ind w:left="782" w:hanging="357"/>
              <w:textAlignment w:val="baseline"/>
              <w:rPr>
                <w:sz w:val="28"/>
                <w:szCs w:val="28"/>
                <w:lang w:val="en-US"/>
              </w:rPr>
            </w:pPr>
            <w:r w:rsidRPr="00A502F0">
              <w:rPr>
                <w:sz w:val="28"/>
                <w:szCs w:val="28"/>
                <w:lang w:val="en-US"/>
              </w:rPr>
              <w:t>goods, services, income, capital transfers;</w:t>
            </w:r>
          </w:p>
          <w:p w14:paraId="683B0301" w14:textId="77777777" w:rsidR="003C51B1" w:rsidRPr="00A502F0" w:rsidRDefault="003C51B1" w:rsidP="006F749C">
            <w:pPr>
              <w:numPr>
                <w:ilvl w:val="0"/>
                <w:numId w:val="224"/>
              </w:numPr>
              <w:shd w:val="clear" w:color="auto" w:fill="FFFFFF"/>
              <w:spacing w:line="240" w:lineRule="atLeast"/>
              <w:ind w:left="782" w:hanging="357"/>
              <w:textAlignment w:val="baseline"/>
              <w:rPr>
                <w:sz w:val="28"/>
                <w:szCs w:val="28"/>
                <w:lang w:val="en-US"/>
              </w:rPr>
            </w:pPr>
            <w:r w:rsidRPr="00A502F0">
              <w:rPr>
                <w:sz w:val="28"/>
                <w:szCs w:val="28"/>
                <w:lang w:val="en-US"/>
              </w:rPr>
              <w:t>goods, services, income, current transfers;</w:t>
            </w:r>
          </w:p>
          <w:p w14:paraId="3AEF321A" w14:textId="77777777" w:rsidR="003C51B1" w:rsidRPr="00A502F0" w:rsidRDefault="003C51B1" w:rsidP="006F749C">
            <w:pPr>
              <w:numPr>
                <w:ilvl w:val="0"/>
                <w:numId w:val="224"/>
              </w:numPr>
              <w:shd w:val="clear" w:color="auto" w:fill="FFFFFF"/>
              <w:spacing w:line="240" w:lineRule="atLeast"/>
              <w:ind w:left="782" w:hanging="357"/>
              <w:textAlignment w:val="baseline"/>
              <w:rPr>
                <w:sz w:val="28"/>
                <w:szCs w:val="28"/>
                <w:lang w:val="en-US"/>
              </w:rPr>
            </w:pPr>
            <w:r w:rsidRPr="00A502F0">
              <w:rPr>
                <w:sz w:val="28"/>
                <w:szCs w:val="28"/>
                <w:lang w:val="en-US"/>
              </w:rPr>
              <w:t>capital transfers, acquisition or disposal of unproduced, nonfinancial assets;</w:t>
            </w:r>
          </w:p>
          <w:p w14:paraId="0561E923" w14:textId="77777777" w:rsidR="003C51B1" w:rsidRPr="00A502F0" w:rsidRDefault="003C51B1" w:rsidP="006F749C">
            <w:pPr>
              <w:numPr>
                <w:ilvl w:val="0"/>
                <w:numId w:val="224"/>
              </w:numPr>
              <w:shd w:val="clear" w:color="auto" w:fill="FFFFFF"/>
              <w:spacing w:after="120" w:line="240" w:lineRule="atLeast"/>
              <w:ind w:left="782" w:hanging="357"/>
              <w:textAlignment w:val="baseline"/>
              <w:rPr>
                <w:sz w:val="28"/>
                <w:szCs w:val="28"/>
                <w:lang w:val="en-US" w:eastAsia="uk-UA"/>
              </w:rPr>
            </w:pPr>
            <w:r w:rsidRPr="00A502F0">
              <w:rPr>
                <w:sz w:val="28"/>
                <w:szCs w:val="28"/>
                <w:lang w:val="en-US"/>
              </w:rPr>
              <w:t>goods, services, financial assets and liabilities.</w:t>
            </w:r>
          </w:p>
        </w:tc>
      </w:tr>
      <w:tr w:rsidR="003C51B1" w:rsidRPr="00A502F0" w14:paraId="4156948D" w14:textId="77777777" w:rsidTr="003C51B1">
        <w:trPr>
          <w:trHeight w:val="20"/>
        </w:trPr>
        <w:tc>
          <w:tcPr>
            <w:tcW w:w="8613" w:type="dxa"/>
          </w:tcPr>
          <w:p w14:paraId="76D9C868" w14:textId="77777777" w:rsidR="003C51B1" w:rsidRPr="00A502F0" w:rsidRDefault="003C51B1" w:rsidP="006F749C">
            <w:pPr>
              <w:numPr>
                <w:ilvl w:val="0"/>
                <w:numId w:val="217"/>
              </w:numPr>
              <w:spacing w:line="240" w:lineRule="atLeast"/>
              <w:ind w:left="425" w:hanging="357"/>
              <w:contextualSpacing/>
              <w:rPr>
                <w:sz w:val="28"/>
                <w:szCs w:val="28"/>
                <w:lang w:val="en-US"/>
              </w:rPr>
            </w:pPr>
            <w:r w:rsidRPr="00A502F0">
              <w:rPr>
                <w:sz w:val="28"/>
                <w:szCs w:val="28"/>
                <w:lang w:val="en-US"/>
              </w:rPr>
              <w:t xml:space="preserve">The </w:t>
            </w:r>
            <w:r w:rsidR="00E86F07">
              <w:rPr>
                <w:sz w:val="28"/>
                <w:szCs w:val="28"/>
                <w:lang w:val="en-US"/>
              </w:rPr>
              <w:t xml:space="preserve">following are </w:t>
            </w:r>
            <w:r w:rsidRPr="00A502F0">
              <w:rPr>
                <w:sz w:val="28"/>
                <w:szCs w:val="28"/>
                <w:lang w:val="en-US"/>
              </w:rPr>
              <w:t>major components of the capital account in balance of payments:</w:t>
            </w:r>
          </w:p>
          <w:p w14:paraId="1BEA319F" w14:textId="77777777" w:rsidR="003C51B1" w:rsidRPr="00A502F0" w:rsidRDefault="003C51B1" w:rsidP="006F749C">
            <w:pPr>
              <w:numPr>
                <w:ilvl w:val="0"/>
                <w:numId w:val="225"/>
              </w:numPr>
              <w:shd w:val="clear" w:color="auto" w:fill="FFFFFF"/>
              <w:spacing w:line="240" w:lineRule="atLeast"/>
              <w:ind w:left="782" w:hanging="357"/>
              <w:textAlignment w:val="baseline"/>
              <w:rPr>
                <w:sz w:val="28"/>
                <w:szCs w:val="28"/>
                <w:lang w:val="en-US"/>
              </w:rPr>
            </w:pPr>
            <w:r w:rsidRPr="00A502F0">
              <w:rPr>
                <w:sz w:val="28"/>
                <w:szCs w:val="28"/>
                <w:lang w:val="en-US"/>
              </w:rPr>
              <w:t>goods, services, and income;</w:t>
            </w:r>
          </w:p>
          <w:p w14:paraId="027E7390" w14:textId="77777777" w:rsidR="003C51B1" w:rsidRPr="00A502F0" w:rsidRDefault="003C51B1" w:rsidP="006F749C">
            <w:pPr>
              <w:numPr>
                <w:ilvl w:val="0"/>
                <w:numId w:val="225"/>
              </w:numPr>
              <w:shd w:val="clear" w:color="auto" w:fill="FFFFFF"/>
              <w:spacing w:line="240" w:lineRule="atLeast"/>
              <w:ind w:left="782" w:hanging="357"/>
              <w:textAlignment w:val="baseline"/>
              <w:rPr>
                <w:sz w:val="28"/>
                <w:szCs w:val="28"/>
                <w:lang w:val="en-US"/>
              </w:rPr>
            </w:pPr>
            <w:r w:rsidRPr="00A502F0">
              <w:rPr>
                <w:sz w:val="28"/>
                <w:szCs w:val="28"/>
                <w:lang w:val="en-US"/>
              </w:rPr>
              <w:t>current and capital transfers;</w:t>
            </w:r>
          </w:p>
          <w:p w14:paraId="482403C6" w14:textId="77777777" w:rsidR="003C51B1" w:rsidRPr="00A502F0" w:rsidRDefault="003C51B1" w:rsidP="006F749C">
            <w:pPr>
              <w:numPr>
                <w:ilvl w:val="0"/>
                <w:numId w:val="225"/>
              </w:numPr>
              <w:shd w:val="clear" w:color="auto" w:fill="FFFFFF"/>
              <w:spacing w:line="240" w:lineRule="atLeast"/>
              <w:ind w:left="782" w:hanging="357"/>
              <w:textAlignment w:val="baseline"/>
              <w:rPr>
                <w:sz w:val="28"/>
                <w:szCs w:val="28"/>
                <w:lang w:val="en-US"/>
              </w:rPr>
            </w:pPr>
            <w:r w:rsidRPr="00A502F0">
              <w:rPr>
                <w:sz w:val="28"/>
                <w:szCs w:val="28"/>
                <w:lang w:val="en-US"/>
              </w:rPr>
              <w:t>capital transfers and acquisition/disposal of unproduced, nonfinancial assets;</w:t>
            </w:r>
          </w:p>
          <w:p w14:paraId="28B1A012" w14:textId="77777777" w:rsidR="003C51B1" w:rsidRPr="00A502F0" w:rsidRDefault="003C51B1" w:rsidP="006F749C">
            <w:pPr>
              <w:numPr>
                <w:ilvl w:val="0"/>
                <w:numId w:val="225"/>
              </w:numPr>
              <w:shd w:val="clear" w:color="auto" w:fill="FFFFFF"/>
              <w:spacing w:after="120" w:line="240" w:lineRule="atLeast"/>
              <w:ind w:left="782" w:hanging="357"/>
              <w:textAlignment w:val="baseline"/>
              <w:rPr>
                <w:sz w:val="28"/>
                <w:szCs w:val="28"/>
                <w:lang w:val="en-US"/>
              </w:rPr>
            </w:pPr>
            <w:r w:rsidRPr="00A502F0">
              <w:rPr>
                <w:sz w:val="28"/>
                <w:szCs w:val="28"/>
                <w:lang w:val="en-US"/>
              </w:rPr>
              <w:t>direct investment, portfolio investment,</w:t>
            </w:r>
            <w:r w:rsidR="00E86F07">
              <w:rPr>
                <w:sz w:val="28"/>
                <w:szCs w:val="28"/>
                <w:lang w:val="en-US"/>
              </w:rPr>
              <w:t xml:space="preserve"> and</w:t>
            </w:r>
            <w:r w:rsidRPr="00A502F0">
              <w:rPr>
                <w:sz w:val="28"/>
                <w:szCs w:val="28"/>
                <w:lang w:val="en-US"/>
              </w:rPr>
              <w:t xml:space="preserve"> reserve assets.</w:t>
            </w:r>
          </w:p>
        </w:tc>
      </w:tr>
      <w:tr w:rsidR="003C51B1" w:rsidRPr="00A502F0" w14:paraId="6FF6FC99" w14:textId="77777777" w:rsidTr="003C51B1">
        <w:trPr>
          <w:trHeight w:val="20"/>
        </w:trPr>
        <w:tc>
          <w:tcPr>
            <w:tcW w:w="8613" w:type="dxa"/>
          </w:tcPr>
          <w:p w14:paraId="318DC009" w14:textId="77777777" w:rsidR="003C51B1" w:rsidRPr="00A502F0" w:rsidRDefault="003C51B1" w:rsidP="006F749C">
            <w:pPr>
              <w:numPr>
                <w:ilvl w:val="0"/>
                <w:numId w:val="217"/>
              </w:numPr>
              <w:spacing w:line="240" w:lineRule="atLeast"/>
              <w:ind w:left="425" w:hanging="357"/>
              <w:contextualSpacing/>
              <w:rPr>
                <w:sz w:val="28"/>
                <w:szCs w:val="28"/>
                <w:lang w:val="en-US"/>
              </w:rPr>
            </w:pPr>
            <w:r w:rsidRPr="00A502F0">
              <w:rPr>
                <w:sz w:val="28"/>
                <w:szCs w:val="28"/>
                <w:lang w:val="en-US"/>
              </w:rPr>
              <w:t>Reserve assets in balance of payments include:</w:t>
            </w:r>
          </w:p>
          <w:p w14:paraId="260CF8CE" w14:textId="77777777" w:rsidR="003C51B1" w:rsidRPr="00A502F0" w:rsidRDefault="003C51B1" w:rsidP="006F749C">
            <w:pPr>
              <w:numPr>
                <w:ilvl w:val="0"/>
                <w:numId w:val="226"/>
              </w:numPr>
              <w:shd w:val="clear" w:color="auto" w:fill="FFFFFF"/>
              <w:spacing w:line="240" w:lineRule="atLeast"/>
              <w:ind w:left="782" w:hanging="357"/>
              <w:textAlignment w:val="baseline"/>
              <w:rPr>
                <w:sz w:val="28"/>
                <w:szCs w:val="28"/>
                <w:lang w:val="en-US"/>
              </w:rPr>
            </w:pPr>
            <w:r w:rsidRPr="00A502F0">
              <w:rPr>
                <w:sz w:val="28"/>
                <w:szCs w:val="28"/>
                <w:lang w:val="en-US"/>
              </w:rPr>
              <w:t>monetary gold, special drawing rights, foreign exchange;</w:t>
            </w:r>
          </w:p>
          <w:p w14:paraId="5AB1C103" w14:textId="77777777" w:rsidR="003C51B1" w:rsidRPr="00A502F0" w:rsidRDefault="003C51B1" w:rsidP="006F749C">
            <w:pPr>
              <w:numPr>
                <w:ilvl w:val="0"/>
                <w:numId w:val="226"/>
              </w:numPr>
              <w:shd w:val="clear" w:color="auto" w:fill="FFFFFF"/>
              <w:spacing w:line="240" w:lineRule="atLeast"/>
              <w:ind w:left="782" w:hanging="357"/>
              <w:textAlignment w:val="baseline"/>
              <w:rPr>
                <w:sz w:val="28"/>
                <w:szCs w:val="28"/>
                <w:lang w:val="en-US"/>
              </w:rPr>
            </w:pPr>
            <w:r w:rsidRPr="00A502F0">
              <w:rPr>
                <w:sz w:val="28"/>
                <w:szCs w:val="28"/>
                <w:lang w:val="en-US"/>
              </w:rPr>
              <w:t>trade credits, loans, currency and deposits;</w:t>
            </w:r>
          </w:p>
          <w:p w14:paraId="7046898C" w14:textId="77777777" w:rsidR="003C51B1" w:rsidRPr="00A502F0" w:rsidRDefault="003C51B1" w:rsidP="006F749C">
            <w:pPr>
              <w:numPr>
                <w:ilvl w:val="0"/>
                <w:numId w:val="226"/>
              </w:numPr>
              <w:shd w:val="clear" w:color="auto" w:fill="FFFFFF"/>
              <w:spacing w:line="240" w:lineRule="atLeast"/>
              <w:ind w:left="782" w:hanging="357"/>
              <w:textAlignment w:val="baseline"/>
              <w:rPr>
                <w:sz w:val="28"/>
                <w:szCs w:val="28"/>
                <w:lang w:val="en-US"/>
              </w:rPr>
            </w:pPr>
            <w:r w:rsidRPr="00A502F0">
              <w:rPr>
                <w:sz w:val="28"/>
                <w:szCs w:val="28"/>
                <w:lang w:val="en-US"/>
              </w:rPr>
              <w:t>equity securities, debt securities, financial derivatives;</w:t>
            </w:r>
          </w:p>
          <w:p w14:paraId="5D17AA8E" w14:textId="77777777" w:rsidR="003C51B1" w:rsidRPr="00A502F0" w:rsidRDefault="003C51B1" w:rsidP="006F749C">
            <w:pPr>
              <w:numPr>
                <w:ilvl w:val="0"/>
                <w:numId w:val="226"/>
              </w:numPr>
              <w:shd w:val="clear" w:color="auto" w:fill="FFFFFF"/>
              <w:spacing w:after="120" w:line="240" w:lineRule="atLeast"/>
              <w:ind w:left="782" w:hanging="357"/>
              <w:textAlignment w:val="baseline"/>
              <w:rPr>
                <w:sz w:val="28"/>
                <w:szCs w:val="28"/>
                <w:lang w:val="en-US"/>
              </w:rPr>
            </w:pPr>
            <w:r w:rsidRPr="00A502F0">
              <w:rPr>
                <w:sz w:val="28"/>
                <w:szCs w:val="28"/>
                <w:lang w:val="en-US"/>
              </w:rPr>
              <w:t>equity capital, reinvested earnings, other capital.</w:t>
            </w:r>
          </w:p>
        </w:tc>
      </w:tr>
      <w:tr w:rsidR="003C51B1" w:rsidRPr="00A502F0" w14:paraId="45E15211" w14:textId="77777777" w:rsidTr="003C51B1">
        <w:trPr>
          <w:trHeight w:val="20"/>
        </w:trPr>
        <w:tc>
          <w:tcPr>
            <w:tcW w:w="8613" w:type="dxa"/>
          </w:tcPr>
          <w:p w14:paraId="714572D0" w14:textId="77777777" w:rsidR="003C51B1" w:rsidRPr="00A502F0" w:rsidRDefault="003C51B1" w:rsidP="006F749C">
            <w:pPr>
              <w:numPr>
                <w:ilvl w:val="0"/>
                <w:numId w:val="217"/>
              </w:numPr>
              <w:spacing w:line="240" w:lineRule="atLeast"/>
              <w:ind w:left="426"/>
              <w:contextualSpacing/>
              <w:rPr>
                <w:sz w:val="28"/>
                <w:szCs w:val="28"/>
                <w:lang w:val="en-US"/>
              </w:rPr>
            </w:pPr>
            <w:r w:rsidRPr="00A502F0">
              <w:rPr>
                <w:sz w:val="28"/>
                <w:szCs w:val="28"/>
                <w:lang w:val="en-US"/>
              </w:rPr>
              <w:t>Which element is missed in the equation “EUR/UAH = _________ ×USD/UAH”?</w:t>
            </w:r>
          </w:p>
          <w:p w14:paraId="105291B9" w14:textId="77777777" w:rsidR="003C51B1" w:rsidRPr="00A502F0" w:rsidRDefault="003C51B1" w:rsidP="006F749C">
            <w:pPr>
              <w:numPr>
                <w:ilvl w:val="0"/>
                <w:numId w:val="227"/>
              </w:numPr>
              <w:shd w:val="clear" w:color="auto" w:fill="FFFFFF"/>
              <w:spacing w:line="240" w:lineRule="atLeast"/>
              <w:ind w:left="788"/>
              <w:textAlignment w:val="baseline"/>
              <w:rPr>
                <w:sz w:val="28"/>
                <w:szCs w:val="28"/>
                <w:lang w:val="en-US"/>
              </w:rPr>
            </w:pPr>
            <w:r w:rsidRPr="00A502F0">
              <w:rPr>
                <w:sz w:val="28"/>
                <w:szCs w:val="28"/>
                <w:lang w:val="en-US"/>
              </w:rPr>
              <w:t>EUR/USD;</w:t>
            </w:r>
          </w:p>
          <w:p w14:paraId="4AAD18EF" w14:textId="77777777" w:rsidR="003C51B1" w:rsidRPr="00A502F0" w:rsidRDefault="003C51B1" w:rsidP="006F749C">
            <w:pPr>
              <w:numPr>
                <w:ilvl w:val="0"/>
                <w:numId w:val="227"/>
              </w:numPr>
              <w:shd w:val="clear" w:color="auto" w:fill="FFFFFF"/>
              <w:spacing w:line="240" w:lineRule="atLeast"/>
              <w:ind w:left="788"/>
              <w:textAlignment w:val="baseline"/>
              <w:rPr>
                <w:sz w:val="28"/>
                <w:szCs w:val="28"/>
                <w:lang w:val="en-US"/>
              </w:rPr>
            </w:pPr>
            <w:r w:rsidRPr="00A502F0">
              <w:rPr>
                <w:sz w:val="28"/>
                <w:szCs w:val="28"/>
                <w:lang w:val="en-US"/>
              </w:rPr>
              <w:t>USD/EUR;</w:t>
            </w:r>
          </w:p>
          <w:p w14:paraId="6DA26189" w14:textId="77777777" w:rsidR="003C51B1" w:rsidRPr="00A502F0" w:rsidRDefault="003C51B1" w:rsidP="006F749C">
            <w:pPr>
              <w:numPr>
                <w:ilvl w:val="0"/>
                <w:numId w:val="227"/>
              </w:numPr>
              <w:shd w:val="clear" w:color="auto" w:fill="FFFFFF"/>
              <w:spacing w:line="240" w:lineRule="atLeast"/>
              <w:ind w:left="788"/>
              <w:textAlignment w:val="baseline"/>
              <w:rPr>
                <w:sz w:val="28"/>
                <w:szCs w:val="28"/>
                <w:lang w:val="en-US"/>
              </w:rPr>
            </w:pPr>
            <w:r w:rsidRPr="00A502F0">
              <w:rPr>
                <w:sz w:val="28"/>
                <w:szCs w:val="28"/>
                <w:lang w:val="en-US"/>
              </w:rPr>
              <w:t>UAH/EUR;</w:t>
            </w:r>
          </w:p>
          <w:p w14:paraId="0984C760" w14:textId="77777777" w:rsidR="003C51B1" w:rsidRPr="007E1311" w:rsidRDefault="003C51B1" w:rsidP="006F749C">
            <w:pPr>
              <w:numPr>
                <w:ilvl w:val="0"/>
                <w:numId w:val="227"/>
              </w:numPr>
              <w:shd w:val="clear" w:color="auto" w:fill="FFFFFF"/>
              <w:spacing w:after="120" w:line="240" w:lineRule="atLeast"/>
              <w:ind w:left="782" w:hanging="357"/>
              <w:textAlignment w:val="baseline"/>
              <w:rPr>
                <w:sz w:val="28"/>
                <w:szCs w:val="28"/>
                <w:lang w:val="en-US"/>
              </w:rPr>
            </w:pPr>
            <w:r w:rsidRPr="00A502F0">
              <w:rPr>
                <w:sz w:val="28"/>
                <w:szCs w:val="28"/>
                <w:lang w:val="en-US"/>
              </w:rPr>
              <w:t>UAH/USD.</w:t>
            </w:r>
          </w:p>
        </w:tc>
      </w:tr>
    </w:tbl>
    <w:p w14:paraId="701625BF" w14:textId="77777777" w:rsidR="003C51B1" w:rsidRPr="00A502F0" w:rsidRDefault="003C51B1" w:rsidP="007E1311">
      <w:pPr>
        <w:pStyle w:val="end2"/>
      </w:pPr>
      <w:r w:rsidRPr="00A502F0">
        <w:lastRenderedPageBreak/>
        <w:t>Short answer questions</w:t>
      </w:r>
    </w:p>
    <w:p w14:paraId="1CB30CD8" w14:textId="77777777" w:rsidR="003C51B1" w:rsidRPr="007E1311" w:rsidRDefault="003C51B1" w:rsidP="007E1311">
      <w:pPr>
        <w:pStyle w:val="eng3"/>
        <w:rPr>
          <w:rStyle w:val="eng30"/>
        </w:rPr>
      </w:pPr>
      <w:r w:rsidRPr="00A502F0">
        <w:t>Missing</w:t>
      </w:r>
      <w:r w:rsidR="00137967">
        <w:t xml:space="preserve"> </w:t>
      </w:r>
      <w:r w:rsidRPr="00A502F0">
        <w:t>word questions</w:t>
      </w:r>
    </w:p>
    <w:p w14:paraId="1C008912" w14:textId="77777777" w:rsidR="003C51B1" w:rsidRPr="00A502F0" w:rsidRDefault="003C51B1" w:rsidP="007E1311">
      <w:pPr>
        <w:spacing w:line="240" w:lineRule="atLeast"/>
        <w:ind w:firstLine="360"/>
        <w:jc w:val="both"/>
        <w:rPr>
          <w:sz w:val="28"/>
          <w:szCs w:val="28"/>
          <w:lang w:val="en-US"/>
        </w:rPr>
      </w:pPr>
      <w:r w:rsidRPr="00A502F0">
        <w:rPr>
          <w:sz w:val="28"/>
          <w:szCs w:val="28"/>
          <w:lang w:val="en-US"/>
        </w:rPr>
        <w:t>Choose the correct word to complete each sentence.</w:t>
      </w:r>
    </w:p>
    <w:p w14:paraId="5B973FC5" w14:textId="77777777" w:rsidR="003C51B1" w:rsidRPr="00A502F0" w:rsidRDefault="003C51B1" w:rsidP="007E1311">
      <w:pPr>
        <w:spacing w:line="240" w:lineRule="atLeast"/>
        <w:ind w:firstLine="360"/>
        <w:jc w:val="both"/>
        <w:rPr>
          <w:sz w:val="28"/>
          <w:szCs w:val="28"/>
          <w:highlight w:val="yellow"/>
          <w:lang w:val="en-US"/>
        </w:rPr>
      </w:pPr>
    </w:p>
    <w:p w14:paraId="5476464D" w14:textId="77777777" w:rsidR="003C51B1" w:rsidRPr="007E1311" w:rsidRDefault="003C51B1" w:rsidP="006F749C">
      <w:pPr>
        <w:pStyle w:val="ListParagraph"/>
        <w:numPr>
          <w:ilvl w:val="0"/>
          <w:numId w:val="228"/>
        </w:numPr>
        <w:spacing w:after="0" w:line="240" w:lineRule="atLeast"/>
        <w:ind w:left="425"/>
        <w:jc w:val="both"/>
        <w:rPr>
          <w:rFonts w:ascii="Garamond" w:hAnsi="Garamond"/>
          <w:szCs w:val="28"/>
          <w:lang w:val="en-GB"/>
        </w:rPr>
      </w:pPr>
      <w:r w:rsidRPr="007E1311">
        <w:rPr>
          <w:rFonts w:ascii="Garamond" w:hAnsi="Garamond"/>
          <w:szCs w:val="28"/>
          <w:lang w:val="en-GB"/>
        </w:rPr>
        <w:t xml:space="preserve">The World Bank </w:t>
      </w:r>
      <w:r w:rsidR="00E86F07" w:rsidRPr="007E1311">
        <w:rPr>
          <w:rFonts w:ascii="Garamond" w:hAnsi="Garamond"/>
          <w:szCs w:val="28"/>
          <w:lang w:val="en-GB"/>
        </w:rPr>
        <w:t xml:space="preserve">Group </w:t>
      </w:r>
      <w:r w:rsidRPr="007E1311">
        <w:rPr>
          <w:rFonts w:ascii="Garamond" w:hAnsi="Garamond"/>
          <w:szCs w:val="28"/>
          <w:lang w:val="en-GB"/>
        </w:rPr>
        <w:t>include</w:t>
      </w:r>
      <w:r w:rsidR="00E86F07">
        <w:rPr>
          <w:rFonts w:ascii="Garamond" w:hAnsi="Garamond"/>
          <w:szCs w:val="28"/>
          <w:lang w:val="en-GB"/>
        </w:rPr>
        <w:t>s</w:t>
      </w:r>
      <w:r w:rsidRPr="007E1311">
        <w:rPr>
          <w:rFonts w:ascii="Garamond" w:hAnsi="Garamond"/>
          <w:szCs w:val="28"/>
          <w:lang w:val="en-GB"/>
        </w:rPr>
        <w:t xml:space="preserve"> ________ financial institutions. Their primary mission is to </w:t>
      </w:r>
      <w:r w:rsidRPr="007E1311">
        <w:rPr>
          <w:rFonts w:ascii="Garamond" w:hAnsi="Garamond"/>
          <w:szCs w:val="28"/>
          <w:lang w:val="en-US" w:bidi="ru-RU"/>
        </w:rPr>
        <w:t>reduce poverty and encourage economic and social development by providing ___________ to _____________ countries</w:t>
      </w:r>
      <w:r w:rsidRPr="007E1311">
        <w:rPr>
          <w:rFonts w:ascii="Garamond" w:hAnsi="Garamond"/>
          <w:szCs w:val="28"/>
          <w:lang w:val="en-GB"/>
        </w:rPr>
        <w:t>.</w:t>
      </w:r>
    </w:p>
    <w:p w14:paraId="5873DABA" w14:textId="77777777" w:rsidR="003C51B1" w:rsidRPr="007E1311" w:rsidRDefault="003C51B1" w:rsidP="007E1311">
      <w:pPr>
        <w:spacing w:line="240" w:lineRule="atLeast"/>
        <w:ind w:left="425"/>
        <w:jc w:val="both"/>
        <w:rPr>
          <w:sz w:val="28"/>
          <w:szCs w:val="28"/>
          <w:highlight w:val="yellow"/>
          <w:lang w:val="en-GB"/>
        </w:rPr>
      </w:pPr>
    </w:p>
    <w:p w14:paraId="6F9AFAD8" w14:textId="77777777" w:rsidR="003C51B1" w:rsidRPr="007E1311" w:rsidRDefault="003C51B1" w:rsidP="006F749C">
      <w:pPr>
        <w:pStyle w:val="ListParagraph"/>
        <w:numPr>
          <w:ilvl w:val="0"/>
          <w:numId w:val="228"/>
        </w:numPr>
        <w:spacing w:after="0" w:line="240" w:lineRule="atLeast"/>
        <w:ind w:left="425"/>
        <w:jc w:val="both"/>
        <w:rPr>
          <w:rFonts w:ascii="Garamond" w:hAnsi="Garamond"/>
          <w:szCs w:val="28"/>
          <w:lang w:val="en-GB"/>
        </w:rPr>
      </w:pPr>
      <w:r w:rsidRPr="007E1311">
        <w:rPr>
          <w:rFonts w:ascii="Garamond" w:hAnsi="Garamond"/>
          <w:szCs w:val="28"/>
          <w:lang w:val="en-GB"/>
        </w:rPr>
        <w:t xml:space="preserve">All economic transactions between the residents of the reporting country and </w:t>
      </w:r>
      <w:r w:rsidR="00E86F07">
        <w:rPr>
          <w:rFonts w:ascii="Garamond" w:hAnsi="Garamond"/>
          <w:szCs w:val="28"/>
          <w:lang w:val="en-GB"/>
        </w:rPr>
        <w:t xml:space="preserve">the </w:t>
      </w:r>
      <w:r w:rsidRPr="007E1311">
        <w:rPr>
          <w:rFonts w:ascii="Garamond" w:hAnsi="Garamond"/>
          <w:szCs w:val="28"/>
          <w:lang w:val="en-GB"/>
        </w:rPr>
        <w:t xml:space="preserve">residents of foreign countries during a given period of time are recorded in the balance of ___________, which can be </w:t>
      </w:r>
      <w:r w:rsidRPr="007E1311">
        <w:rPr>
          <w:rFonts w:ascii="Garamond" w:hAnsi="Garamond"/>
          <w:szCs w:val="28"/>
          <w:lang w:val="en-US" w:bidi="ru-RU"/>
        </w:rPr>
        <w:t>divided into three categories: current account, financial account</w:t>
      </w:r>
      <w:r w:rsidR="00E86F07">
        <w:rPr>
          <w:rFonts w:ascii="Garamond" w:hAnsi="Garamond"/>
          <w:szCs w:val="28"/>
          <w:lang w:val="en-US" w:bidi="ru-RU"/>
        </w:rPr>
        <w:t>,</w:t>
      </w:r>
      <w:r w:rsidRPr="007E1311">
        <w:rPr>
          <w:rFonts w:ascii="Garamond" w:hAnsi="Garamond"/>
          <w:szCs w:val="28"/>
          <w:lang w:val="en-US" w:bidi="ru-RU"/>
        </w:rPr>
        <w:t xml:space="preserve"> and ____________ account</w:t>
      </w:r>
      <w:r w:rsidRPr="007E1311">
        <w:rPr>
          <w:rFonts w:ascii="Garamond" w:hAnsi="Garamond"/>
          <w:szCs w:val="28"/>
          <w:lang w:val="en-GB"/>
        </w:rPr>
        <w:t xml:space="preserve">. </w:t>
      </w:r>
    </w:p>
    <w:p w14:paraId="2796122D" w14:textId="77777777" w:rsidR="003C51B1" w:rsidRPr="007E1311" w:rsidRDefault="003C51B1" w:rsidP="007E1311">
      <w:pPr>
        <w:spacing w:line="240" w:lineRule="atLeast"/>
        <w:ind w:left="425"/>
        <w:jc w:val="both"/>
        <w:rPr>
          <w:sz w:val="28"/>
          <w:szCs w:val="28"/>
          <w:lang w:val="en-GB"/>
        </w:rPr>
      </w:pPr>
    </w:p>
    <w:p w14:paraId="43441CCB" w14:textId="77777777" w:rsidR="003C51B1" w:rsidRPr="007E1311" w:rsidRDefault="003C51B1" w:rsidP="006F749C">
      <w:pPr>
        <w:pStyle w:val="ListParagraph"/>
        <w:numPr>
          <w:ilvl w:val="0"/>
          <w:numId w:val="228"/>
        </w:numPr>
        <w:spacing w:after="0" w:line="240" w:lineRule="atLeast"/>
        <w:ind w:left="425"/>
        <w:jc w:val="both"/>
        <w:rPr>
          <w:rFonts w:ascii="Garamond" w:hAnsi="Garamond"/>
          <w:szCs w:val="28"/>
          <w:lang w:val="en-US" w:bidi="ru-RU"/>
        </w:rPr>
      </w:pPr>
      <w:r w:rsidRPr="007E1311">
        <w:rPr>
          <w:rFonts w:ascii="Garamond" w:hAnsi="Garamond"/>
          <w:szCs w:val="28"/>
          <w:lang w:val="en-GB"/>
        </w:rPr>
        <w:t>Every international transaction enter</w:t>
      </w:r>
      <w:r w:rsidR="00E86F07">
        <w:rPr>
          <w:rFonts w:ascii="Garamond" w:hAnsi="Garamond"/>
          <w:szCs w:val="28"/>
          <w:lang w:val="en-GB"/>
        </w:rPr>
        <w:t>s the balance of payments twice:</w:t>
      </w:r>
      <w:r w:rsidRPr="007E1311">
        <w:rPr>
          <w:rFonts w:ascii="Garamond" w:hAnsi="Garamond"/>
          <w:szCs w:val="28"/>
          <w:lang w:val="en-GB"/>
        </w:rPr>
        <w:t xml:space="preserve"> once as a _________ and once as a debit</w:t>
      </w:r>
      <w:r w:rsidR="00E86F07">
        <w:rPr>
          <w:rFonts w:ascii="Garamond" w:hAnsi="Garamond"/>
          <w:szCs w:val="28"/>
          <w:lang w:val="en-GB"/>
        </w:rPr>
        <w:t>;</w:t>
      </w:r>
      <w:r w:rsidRPr="007E1311">
        <w:rPr>
          <w:rFonts w:ascii="Garamond" w:hAnsi="Garamond"/>
          <w:szCs w:val="28"/>
          <w:lang w:val="en-GB"/>
        </w:rPr>
        <w:t xml:space="preserve"> it means maintaining _________________ </w:t>
      </w:r>
      <w:r w:rsidRPr="007E1311">
        <w:rPr>
          <w:rFonts w:ascii="Garamond" w:hAnsi="Garamond"/>
          <w:szCs w:val="28"/>
          <w:lang w:val="en-US" w:bidi="ru-RU"/>
        </w:rPr>
        <w:t>book-keeping method.</w:t>
      </w:r>
    </w:p>
    <w:p w14:paraId="2711666C" w14:textId="77777777" w:rsidR="003C51B1" w:rsidRPr="007E1311" w:rsidRDefault="003C51B1" w:rsidP="007E1311">
      <w:pPr>
        <w:spacing w:line="240" w:lineRule="atLeast"/>
        <w:ind w:left="425"/>
        <w:jc w:val="both"/>
        <w:rPr>
          <w:sz w:val="28"/>
          <w:szCs w:val="28"/>
          <w:lang w:val="en-US" w:bidi="ru-RU"/>
        </w:rPr>
      </w:pPr>
    </w:p>
    <w:p w14:paraId="61930C6F" w14:textId="77777777" w:rsidR="003C51B1" w:rsidRPr="007E1311" w:rsidRDefault="003C51B1" w:rsidP="006F749C">
      <w:pPr>
        <w:pStyle w:val="ListParagraph"/>
        <w:numPr>
          <w:ilvl w:val="0"/>
          <w:numId w:val="228"/>
        </w:numPr>
        <w:spacing w:after="0" w:line="240" w:lineRule="atLeast"/>
        <w:ind w:left="425"/>
        <w:jc w:val="both"/>
        <w:rPr>
          <w:rFonts w:ascii="Garamond" w:hAnsi="Garamond"/>
          <w:szCs w:val="28"/>
          <w:lang w:val="en-US" w:bidi="ru-RU"/>
        </w:rPr>
      </w:pPr>
      <w:r w:rsidRPr="007E1311">
        <w:rPr>
          <w:rFonts w:ascii="Garamond" w:hAnsi="Garamond"/>
          <w:szCs w:val="28"/>
          <w:lang w:val="en-US" w:bidi="ru-RU"/>
        </w:rPr>
        <w:t>The exchange rate between two currencies, both of which are not the official ___________ of the country in which the exchange rate quote is given in, is usually derived as a __________ rate.</w:t>
      </w:r>
    </w:p>
    <w:p w14:paraId="6150D7F0" w14:textId="77777777" w:rsidR="003C51B1" w:rsidRPr="007E1311" w:rsidRDefault="003C51B1" w:rsidP="007E1311">
      <w:pPr>
        <w:spacing w:line="240" w:lineRule="atLeast"/>
        <w:ind w:left="425"/>
        <w:jc w:val="both"/>
        <w:rPr>
          <w:sz w:val="28"/>
          <w:szCs w:val="28"/>
          <w:highlight w:val="yellow"/>
        </w:rPr>
      </w:pPr>
    </w:p>
    <w:p w14:paraId="7578F551" w14:textId="77777777" w:rsidR="003C51B1" w:rsidRPr="007E1311" w:rsidRDefault="003C51B1" w:rsidP="006F749C">
      <w:pPr>
        <w:pStyle w:val="ListParagraph"/>
        <w:numPr>
          <w:ilvl w:val="0"/>
          <w:numId w:val="228"/>
        </w:numPr>
        <w:spacing w:after="0" w:line="240" w:lineRule="atLeast"/>
        <w:ind w:left="425"/>
        <w:jc w:val="both"/>
        <w:rPr>
          <w:rFonts w:ascii="Garamond" w:hAnsi="Garamond"/>
          <w:szCs w:val="28"/>
          <w:lang w:val="en-US"/>
        </w:rPr>
      </w:pPr>
      <w:r w:rsidRPr="007E1311">
        <w:rPr>
          <w:rFonts w:ascii="Garamond" w:hAnsi="Garamond"/>
          <w:szCs w:val="28"/>
          <w:lang w:val="en-GB"/>
        </w:rPr>
        <w:t>_____________ financial centres are often used for the purpose of tax ____________, which is legal, but also they can be used for illicit tax _____________ and money laundering.</w:t>
      </w:r>
    </w:p>
    <w:p w14:paraId="3C680A2E" w14:textId="77777777" w:rsidR="007E1311" w:rsidRDefault="007E1311" w:rsidP="007E1311">
      <w:pPr>
        <w:pStyle w:val="eng3"/>
      </w:pPr>
    </w:p>
    <w:p w14:paraId="7E5B53CF" w14:textId="77777777" w:rsidR="003C51B1" w:rsidRPr="00A502F0" w:rsidRDefault="003C51B1" w:rsidP="007E1311">
      <w:pPr>
        <w:pStyle w:val="eng3"/>
      </w:pPr>
      <w:r w:rsidRPr="00A502F0">
        <w:t>True/False/Uncertain questions</w:t>
      </w:r>
    </w:p>
    <w:p w14:paraId="10AB28E2" w14:textId="77777777" w:rsidR="003C51B1" w:rsidRPr="00A502F0" w:rsidRDefault="003C51B1" w:rsidP="007E1311">
      <w:pPr>
        <w:spacing w:line="240" w:lineRule="atLeast"/>
        <w:ind w:firstLine="360"/>
        <w:jc w:val="both"/>
        <w:rPr>
          <w:sz w:val="28"/>
          <w:szCs w:val="28"/>
          <w:lang w:val="en-US"/>
        </w:rPr>
      </w:pPr>
      <w:r w:rsidRPr="00A502F0">
        <w:rPr>
          <w:sz w:val="28"/>
          <w:szCs w:val="28"/>
          <w:lang w:val="en-US"/>
        </w:rPr>
        <w:t xml:space="preserve">Decide whether the following statements are True, False, or Uncertain. Explain your reasoning. Your score will be based not just on whether you get the True, False, </w:t>
      </w:r>
      <w:r w:rsidR="00E86F07">
        <w:rPr>
          <w:sz w:val="28"/>
          <w:szCs w:val="28"/>
          <w:lang w:val="en-US"/>
        </w:rPr>
        <w:t xml:space="preserve">or </w:t>
      </w:r>
      <w:r w:rsidRPr="00A502F0">
        <w:rPr>
          <w:sz w:val="28"/>
          <w:szCs w:val="28"/>
          <w:lang w:val="en-US"/>
        </w:rPr>
        <w:t>Uncertain part right but also</w:t>
      </w:r>
      <w:r w:rsidR="00E86F07">
        <w:rPr>
          <w:sz w:val="28"/>
          <w:szCs w:val="28"/>
          <w:lang w:val="en-US"/>
        </w:rPr>
        <w:t>, to a larger extent,</w:t>
      </w:r>
      <w:r w:rsidRPr="00A502F0">
        <w:rPr>
          <w:sz w:val="28"/>
          <w:szCs w:val="28"/>
          <w:lang w:val="en-US"/>
        </w:rPr>
        <w:t xml:space="preserve"> on the quality of your explanation.</w:t>
      </w:r>
    </w:p>
    <w:p w14:paraId="114C232C" w14:textId="77777777" w:rsidR="003C51B1" w:rsidRPr="00A502F0" w:rsidRDefault="003C51B1" w:rsidP="007E1311">
      <w:pPr>
        <w:spacing w:line="240" w:lineRule="atLeast"/>
        <w:jc w:val="both"/>
        <w:rPr>
          <w:sz w:val="28"/>
          <w:szCs w:val="28"/>
          <w:lang w:val="en-GB"/>
        </w:rPr>
      </w:pPr>
    </w:p>
    <w:p w14:paraId="30EE03E3" w14:textId="77777777" w:rsidR="003C51B1" w:rsidRPr="007E1311" w:rsidRDefault="003C51B1" w:rsidP="006F749C">
      <w:pPr>
        <w:pStyle w:val="ListParagraph"/>
        <w:numPr>
          <w:ilvl w:val="0"/>
          <w:numId w:val="229"/>
        </w:numPr>
        <w:spacing w:after="0" w:line="240" w:lineRule="atLeast"/>
        <w:ind w:left="426"/>
        <w:jc w:val="both"/>
        <w:rPr>
          <w:rFonts w:ascii="Garamond" w:hAnsi="Garamond"/>
          <w:szCs w:val="28"/>
          <w:lang w:val="en-GB"/>
        </w:rPr>
      </w:pPr>
      <w:r w:rsidRPr="007E1311">
        <w:rPr>
          <w:rFonts w:ascii="Garamond" w:hAnsi="Garamond"/>
          <w:szCs w:val="28"/>
          <w:lang w:val="en-GB"/>
        </w:rPr>
        <w:t>If a country has a deficit on the current account</w:t>
      </w:r>
      <w:r w:rsidR="00E86F07">
        <w:rPr>
          <w:rFonts w:ascii="Garamond" w:hAnsi="Garamond"/>
          <w:szCs w:val="28"/>
          <w:lang w:val="en-GB"/>
        </w:rPr>
        <w:t>,</w:t>
      </w:r>
      <w:r w:rsidRPr="007E1311">
        <w:rPr>
          <w:rFonts w:ascii="Garamond" w:hAnsi="Garamond"/>
          <w:szCs w:val="28"/>
          <w:lang w:val="en-GB"/>
        </w:rPr>
        <w:t xml:space="preserve"> then it must have an equal and opposite surplus on the capital and financial account.</w:t>
      </w:r>
    </w:p>
    <w:p w14:paraId="3617D815" w14:textId="77777777" w:rsidR="007E1311" w:rsidRPr="007E1311" w:rsidRDefault="007E1311" w:rsidP="007E1311">
      <w:pPr>
        <w:pStyle w:val="ListParagraph"/>
        <w:spacing w:after="0" w:line="240" w:lineRule="atLeast"/>
        <w:ind w:left="425"/>
        <w:jc w:val="both"/>
        <w:rPr>
          <w:rFonts w:ascii="Garamond" w:hAnsi="Garamond"/>
          <w:szCs w:val="28"/>
          <w:lang w:val="en-GB"/>
        </w:rPr>
      </w:pPr>
    </w:p>
    <w:p w14:paraId="4BC97572" w14:textId="77777777" w:rsidR="003C51B1" w:rsidRPr="007E1311" w:rsidRDefault="003C51B1" w:rsidP="006F749C">
      <w:pPr>
        <w:pStyle w:val="ListParagraph"/>
        <w:numPr>
          <w:ilvl w:val="0"/>
          <w:numId w:val="229"/>
        </w:numPr>
        <w:spacing w:after="0" w:line="240" w:lineRule="atLeast"/>
        <w:ind w:left="425"/>
        <w:jc w:val="both"/>
        <w:rPr>
          <w:rFonts w:ascii="Garamond" w:hAnsi="Garamond"/>
          <w:szCs w:val="28"/>
          <w:lang w:val="en-GB"/>
        </w:rPr>
      </w:pPr>
      <w:r w:rsidRPr="007E1311">
        <w:rPr>
          <w:rFonts w:ascii="Garamond" w:hAnsi="Garamond"/>
          <w:szCs w:val="28"/>
          <w:lang w:val="en-GB"/>
        </w:rPr>
        <w:t>International financial institutes provide loans, grants, and technical assistance to governments of developing countries, but not to private businesses.</w:t>
      </w:r>
    </w:p>
    <w:p w14:paraId="0AAB6BC3" w14:textId="77777777" w:rsidR="007E1311" w:rsidRPr="007E1311" w:rsidRDefault="007E1311" w:rsidP="007E1311">
      <w:pPr>
        <w:pStyle w:val="ListParagraph"/>
        <w:spacing w:after="0" w:line="240" w:lineRule="atLeast"/>
        <w:ind w:left="425"/>
        <w:jc w:val="both"/>
        <w:rPr>
          <w:rFonts w:ascii="Garamond" w:hAnsi="Garamond"/>
          <w:szCs w:val="28"/>
          <w:lang w:val="en-GB"/>
        </w:rPr>
      </w:pPr>
    </w:p>
    <w:p w14:paraId="6D51C70B" w14:textId="77777777" w:rsidR="003C51B1" w:rsidRPr="007E1311" w:rsidRDefault="003C51B1" w:rsidP="006F749C">
      <w:pPr>
        <w:pStyle w:val="ListParagraph"/>
        <w:numPr>
          <w:ilvl w:val="0"/>
          <w:numId w:val="229"/>
        </w:numPr>
        <w:spacing w:after="0" w:line="240" w:lineRule="atLeast"/>
        <w:ind w:left="425"/>
        <w:jc w:val="both"/>
        <w:rPr>
          <w:rFonts w:ascii="Garamond" w:hAnsi="Garamond"/>
          <w:szCs w:val="28"/>
          <w:lang w:val="en-GB"/>
        </w:rPr>
      </w:pPr>
      <w:r w:rsidRPr="007E1311">
        <w:rPr>
          <w:rFonts w:ascii="Garamond" w:hAnsi="Garamond"/>
          <w:szCs w:val="28"/>
          <w:lang w:val="en-GB"/>
        </w:rPr>
        <w:t>Business with offshore financial institutions is illegal; it is always associated with money laundering and tax evasion.</w:t>
      </w:r>
    </w:p>
    <w:p w14:paraId="754DDB77" w14:textId="77777777" w:rsidR="007E1311" w:rsidRPr="007E1311" w:rsidRDefault="007E1311" w:rsidP="007E1311">
      <w:pPr>
        <w:pStyle w:val="ListParagraph"/>
        <w:spacing w:after="0" w:line="240" w:lineRule="atLeast"/>
        <w:ind w:left="425"/>
        <w:jc w:val="both"/>
        <w:rPr>
          <w:rFonts w:ascii="Garamond" w:hAnsi="Garamond"/>
          <w:szCs w:val="28"/>
          <w:lang w:val="en-GB"/>
        </w:rPr>
      </w:pPr>
    </w:p>
    <w:p w14:paraId="46E968C7" w14:textId="77777777" w:rsidR="003C51B1" w:rsidRPr="007E1311" w:rsidRDefault="003C51B1" w:rsidP="006F749C">
      <w:pPr>
        <w:pStyle w:val="ListParagraph"/>
        <w:numPr>
          <w:ilvl w:val="0"/>
          <w:numId w:val="229"/>
        </w:numPr>
        <w:spacing w:after="0" w:line="240" w:lineRule="atLeast"/>
        <w:ind w:left="425"/>
        <w:jc w:val="both"/>
        <w:rPr>
          <w:rFonts w:ascii="Garamond" w:hAnsi="Garamond"/>
          <w:szCs w:val="28"/>
          <w:lang w:val="en-GB"/>
        </w:rPr>
      </w:pPr>
      <w:r w:rsidRPr="007E1311">
        <w:rPr>
          <w:rFonts w:ascii="Garamond" w:hAnsi="Garamond"/>
          <w:szCs w:val="28"/>
          <w:lang w:val="en-GB"/>
        </w:rPr>
        <w:lastRenderedPageBreak/>
        <w:t>A current account deficit indicates that a nation is a net lender to the rest of the world.</w:t>
      </w:r>
    </w:p>
    <w:p w14:paraId="03658093" w14:textId="77777777" w:rsidR="007E1311" w:rsidRPr="007E1311" w:rsidRDefault="007E1311" w:rsidP="007E1311">
      <w:pPr>
        <w:pStyle w:val="ListParagraph"/>
        <w:spacing w:after="0" w:line="240" w:lineRule="atLeast"/>
        <w:ind w:left="425"/>
        <w:jc w:val="both"/>
        <w:rPr>
          <w:rFonts w:ascii="Garamond" w:hAnsi="Garamond"/>
          <w:szCs w:val="28"/>
          <w:lang w:val="en-GB"/>
        </w:rPr>
      </w:pPr>
    </w:p>
    <w:p w14:paraId="6802388E" w14:textId="77777777" w:rsidR="003C51B1" w:rsidRPr="007E1311" w:rsidRDefault="003C51B1" w:rsidP="006F749C">
      <w:pPr>
        <w:pStyle w:val="ListParagraph"/>
        <w:numPr>
          <w:ilvl w:val="0"/>
          <w:numId w:val="229"/>
        </w:numPr>
        <w:spacing w:after="0" w:line="240" w:lineRule="atLeast"/>
        <w:ind w:left="425"/>
        <w:jc w:val="both"/>
        <w:rPr>
          <w:rFonts w:ascii="Garamond" w:hAnsi="Garamond"/>
          <w:szCs w:val="28"/>
          <w:lang w:val="en-GB"/>
        </w:rPr>
      </w:pPr>
      <w:r w:rsidRPr="007E1311">
        <w:rPr>
          <w:rFonts w:ascii="Garamond" w:hAnsi="Garamond"/>
          <w:szCs w:val="28"/>
          <w:lang w:val="en-GB"/>
        </w:rPr>
        <w:t>The corporation is called “multinational” if it has employees of different nationalities.</w:t>
      </w:r>
    </w:p>
    <w:p w14:paraId="38407F6C" w14:textId="77777777" w:rsidR="003C51B1" w:rsidRPr="00A502F0" w:rsidRDefault="003C51B1" w:rsidP="007E1311">
      <w:pPr>
        <w:pStyle w:val="end2"/>
      </w:pPr>
      <w:r w:rsidRPr="00A502F0">
        <w:t>Computation problems</w:t>
      </w:r>
    </w:p>
    <w:p w14:paraId="1D6511ED" w14:textId="77777777" w:rsidR="003C51B1" w:rsidRPr="007E1311" w:rsidRDefault="003C51B1" w:rsidP="006F749C">
      <w:pPr>
        <w:pStyle w:val="ListParagraph"/>
        <w:numPr>
          <w:ilvl w:val="0"/>
          <w:numId w:val="230"/>
        </w:numPr>
        <w:spacing w:after="0" w:line="240" w:lineRule="atLeast"/>
        <w:ind w:left="426"/>
        <w:jc w:val="both"/>
        <w:rPr>
          <w:rFonts w:ascii="Garamond" w:hAnsi="Garamond"/>
          <w:szCs w:val="28"/>
          <w:lang w:val="en-GB"/>
        </w:rPr>
      </w:pPr>
      <w:r w:rsidRPr="007E1311">
        <w:rPr>
          <w:rFonts w:ascii="Garamond" w:hAnsi="Garamond"/>
          <w:szCs w:val="28"/>
          <w:lang w:val="en-GB"/>
        </w:rPr>
        <w:t xml:space="preserve">Determine the primary goals, lending terms and target borrowers of different international financial institutions and fill in the </w:t>
      </w:r>
      <w:r w:rsidR="007E1311">
        <w:rPr>
          <w:rFonts w:ascii="Garamond" w:hAnsi="Garamond"/>
          <w:szCs w:val="28"/>
          <w:lang w:val="en-GB"/>
        </w:rPr>
        <w:t>box below</w:t>
      </w:r>
      <w:r w:rsidRPr="007E1311">
        <w:rPr>
          <w:rFonts w:ascii="Garamond" w:hAnsi="Garamond"/>
          <w:szCs w:val="28"/>
          <w:lang w:val="en-GB"/>
        </w:rPr>
        <w:t>.</w:t>
      </w:r>
    </w:p>
    <w:p w14:paraId="496D73B5" w14:textId="77777777" w:rsidR="007E1311" w:rsidRDefault="007E1311" w:rsidP="00A502F0">
      <w:pPr>
        <w:autoSpaceDE w:val="0"/>
        <w:autoSpaceDN w:val="0"/>
        <w:adjustRightInd w:val="0"/>
        <w:spacing w:line="240" w:lineRule="atLeast"/>
        <w:ind w:firstLine="357"/>
        <w:contextualSpacing/>
        <w:jc w:val="center"/>
        <w:rPr>
          <w:b/>
          <w:sz w:val="28"/>
          <w:szCs w:val="28"/>
          <w:lang w:val="en-US"/>
        </w:rPr>
      </w:pPr>
    </w:p>
    <w:p w14:paraId="06FCD2F4" w14:textId="77777777" w:rsidR="003C51B1" w:rsidRPr="00A502F0" w:rsidRDefault="003C51B1" w:rsidP="00A502F0">
      <w:pPr>
        <w:autoSpaceDE w:val="0"/>
        <w:autoSpaceDN w:val="0"/>
        <w:adjustRightInd w:val="0"/>
        <w:spacing w:line="240" w:lineRule="atLeast"/>
        <w:ind w:firstLine="357"/>
        <w:contextualSpacing/>
        <w:jc w:val="center"/>
        <w:rPr>
          <w:b/>
          <w:sz w:val="28"/>
          <w:szCs w:val="28"/>
          <w:lang w:val="en-US"/>
        </w:rPr>
      </w:pPr>
      <w:r w:rsidRPr="00A502F0">
        <w:rPr>
          <w:b/>
          <w:sz w:val="28"/>
          <w:szCs w:val="28"/>
          <w:lang w:val="en-US"/>
        </w:rPr>
        <w:t>Functions of financial institutions of the World Bank Group</w:t>
      </w:r>
    </w:p>
    <w:tbl>
      <w:tblPr>
        <w:tblStyle w:val="40"/>
        <w:tblW w:w="5000" w:type="pct"/>
        <w:jc w:val="center"/>
        <w:tblCellMar>
          <w:top w:w="28" w:type="dxa"/>
          <w:bottom w:w="28" w:type="dxa"/>
        </w:tblCellMar>
        <w:tblLook w:val="04A0" w:firstRow="1" w:lastRow="0" w:firstColumn="1" w:lastColumn="0" w:noHBand="0" w:noVBand="1"/>
      </w:tblPr>
      <w:tblGrid>
        <w:gridCol w:w="3084"/>
        <w:gridCol w:w="2178"/>
        <w:gridCol w:w="2178"/>
        <w:gridCol w:w="2177"/>
      </w:tblGrid>
      <w:tr w:rsidR="003C51B1" w:rsidRPr="00A502F0" w14:paraId="3BF7E9CD" w14:textId="77777777" w:rsidTr="007E1311">
        <w:trPr>
          <w:trHeight w:val="20"/>
          <w:jc w:val="center"/>
        </w:trPr>
        <w:tc>
          <w:tcPr>
            <w:tcW w:w="1603" w:type="pct"/>
            <w:shd w:val="clear" w:color="auto" w:fill="D9D9D9" w:themeFill="background1" w:themeFillShade="D9"/>
            <w:tcMar>
              <w:top w:w="28" w:type="dxa"/>
              <w:bottom w:w="28" w:type="dxa"/>
            </w:tcMar>
            <w:vAlign w:val="center"/>
          </w:tcPr>
          <w:p w14:paraId="2C359935" w14:textId="77777777" w:rsidR="003C51B1" w:rsidRPr="00A502F0" w:rsidRDefault="003C51B1" w:rsidP="00A502F0">
            <w:pPr>
              <w:autoSpaceDE w:val="0"/>
              <w:autoSpaceDN w:val="0"/>
              <w:adjustRightInd w:val="0"/>
              <w:spacing w:line="240" w:lineRule="atLeast"/>
              <w:contextualSpacing/>
              <w:jc w:val="center"/>
              <w:rPr>
                <w:sz w:val="28"/>
                <w:szCs w:val="28"/>
                <w:lang w:val="en-US"/>
              </w:rPr>
            </w:pPr>
            <w:r w:rsidRPr="00A502F0">
              <w:rPr>
                <w:sz w:val="28"/>
                <w:szCs w:val="28"/>
                <w:lang w:val="en-US"/>
              </w:rPr>
              <w:t>The World Bank Group institutions</w:t>
            </w:r>
          </w:p>
        </w:tc>
        <w:tc>
          <w:tcPr>
            <w:tcW w:w="1132" w:type="pct"/>
            <w:shd w:val="clear" w:color="auto" w:fill="D9D9D9" w:themeFill="background1" w:themeFillShade="D9"/>
            <w:tcMar>
              <w:top w:w="28" w:type="dxa"/>
              <w:bottom w:w="28" w:type="dxa"/>
            </w:tcMar>
            <w:vAlign w:val="center"/>
          </w:tcPr>
          <w:p w14:paraId="1F43536F" w14:textId="77777777" w:rsidR="003C51B1" w:rsidRPr="00A502F0" w:rsidRDefault="003C51B1" w:rsidP="00A502F0">
            <w:pPr>
              <w:autoSpaceDE w:val="0"/>
              <w:autoSpaceDN w:val="0"/>
              <w:adjustRightInd w:val="0"/>
              <w:spacing w:line="240" w:lineRule="atLeast"/>
              <w:contextualSpacing/>
              <w:jc w:val="center"/>
              <w:rPr>
                <w:sz w:val="28"/>
                <w:szCs w:val="28"/>
                <w:lang w:val="en-US"/>
              </w:rPr>
            </w:pPr>
            <w:r w:rsidRPr="00A502F0">
              <w:rPr>
                <w:sz w:val="28"/>
                <w:szCs w:val="28"/>
                <w:lang w:val="en-US"/>
              </w:rPr>
              <w:t>Primary goals</w:t>
            </w:r>
          </w:p>
        </w:tc>
        <w:tc>
          <w:tcPr>
            <w:tcW w:w="1132" w:type="pct"/>
            <w:shd w:val="clear" w:color="auto" w:fill="D9D9D9" w:themeFill="background1" w:themeFillShade="D9"/>
            <w:tcMar>
              <w:top w:w="28" w:type="dxa"/>
              <w:bottom w:w="28" w:type="dxa"/>
            </w:tcMar>
            <w:vAlign w:val="center"/>
          </w:tcPr>
          <w:p w14:paraId="74E4803E" w14:textId="77777777" w:rsidR="003C51B1" w:rsidRPr="00A502F0" w:rsidRDefault="003C51B1" w:rsidP="00A502F0">
            <w:pPr>
              <w:autoSpaceDE w:val="0"/>
              <w:autoSpaceDN w:val="0"/>
              <w:adjustRightInd w:val="0"/>
              <w:spacing w:line="240" w:lineRule="atLeast"/>
              <w:contextualSpacing/>
              <w:jc w:val="center"/>
              <w:rPr>
                <w:sz w:val="28"/>
                <w:szCs w:val="28"/>
                <w:lang w:val="en-US"/>
              </w:rPr>
            </w:pPr>
            <w:r w:rsidRPr="00A502F0">
              <w:rPr>
                <w:sz w:val="28"/>
                <w:szCs w:val="28"/>
                <w:lang w:val="en-US"/>
              </w:rPr>
              <w:t>Types of financing and lending terms</w:t>
            </w:r>
          </w:p>
        </w:tc>
        <w:tc>
          <w:tcPr>
            <w:tcW w:w="1132" w:type="pct"/>
            <w:shd w:val="clear" w:color="auto" w:fill="D9D9D9" w:themeFill="background1" w:themeFillShade="D9"/>
            <w:tcMar>
              <w:top w:w="28" w:type="dxa"/>
              <w:bottom w:w="28" w:type="dxa"/>
            </w:tcMar>
            <w:vAlign w:val="center"/>
          </w:tcPr>
          <w:p w14:paraId="7D18D031" w14:textId="77777777" w:rsidR="003C51B1" w:rsidRPr="00A502F0" w:rsidRDefault="003C51B1" w:rsidP="00A502F0">
            <w:pPr>
              <w:autoSpaceDE w:val="0"/>
              <w:autoSpaceDN w:val="0"/>
              <w:adjustRightInd w:val="0"/>
              <w:spacing w:line="240" w:lineRule="atLeast"/>
              <w:contextualSpacing/>
              <w:jc w:val="center"/>
              <w:rPr>
                <w:sz w:val="28"/>
                <w:szCs w:val="28"/>
                <w:lang w:val="en-US"/>
              </w:rPr>
            </w:pPr>
            <w:r w:rsidRPr="00A502F0">
              <w:rPr>
                <w:sz w:val="28"/>
                <w:szCs w:val="28"/>
                <w:lang w:val="en-US"/>
              </w:rPr>
              <w:t>Target borrowers</w:t>
            </w:r>
          </w:p>
        </w:tc>
      </w:tr>
      <w:tr w:rsidR="003C51B1" w:rsidRPr="00A502F0" w14:paraId="3223970E" w14:textId="77777777" w:rsidTr="003C51B1">
        <w:trPr>
          <w:trHeight w:val="20"/>
          <w:jc w:val="center"/>
        </w:trPr>
        <w:tc>
          <w:tcPr>
            <w:tcW w:w="1603" w:type="pct"/>
            <w:tcMar>
              <w:top w:w="28" w:type="dxa"/>
              <w:bottom w:w="28" w:type="dxa"/>
            </w:tcMar>
            <w:vAlign w:val="center"/>
          </w:tcPr>
          <w:p w14:paraId="30D13D02" w14:textId="77777777" w:rsidR="003C51B1" w:rsidRPr="00A502F0" w:rsidRDefault="003C51B1" w:rsidP="00A502F0">
            <w:pPr>
              <w:autoSpaceDE w:val="0"/>
              <w:autoSpaceDN w:val="0"/>
              <w:adjustRightInd w:val="0"/>
              <w:spacing w:line="240" w:lineRule="atLeast"/>
              <w:contextualSpacing/>
              <w:rPr>
                <w:sz w:val="28"/>
                <w:szCs w:val="28"/>
                <w:lang w:val="en-US"/>
              </w:rPr>
            </w:pPr>
            <w:r w:rsidRPr="00A502F0">
              <w:rPr>
                <w:sz w:val="28"/>
                <w:szCs w:val="28"/>
                <w:lang w:val="en-US"/>
              </w:rPr>
              <w:t>International Bank for Reconstruction &amp; Development</w:t>
            </w:r>
          </w:p>
        </w:tc>
        <w:tc>
          <w:tcPr>
            <w:tcW w:w="1132" w:type="pct"/>
            <w:tcMar>
              <w:top w:w="28" w:type="dxa"/>
              <w:bottom w:w="28" w:type="dxa"/>
            </w:tcMar>
          </w:tcPr>
          <w:p w14:paraId="661E3FE7" w14:textId="77777777" w:rsidR="003C51B1" w:rsidRPr="00A502F0" w:rsidRDefault="003C51B1" w:rsidP="00A502F0">
            <w:pPr>
              <w:autoSpaceDE w:val="0"/>
              <w:autoSpaceDN w:val="0"/>
              <w:adjustRightInd w:val="0"/>
              <w:spacing w:line="240" w:lineRule="atLeast"/>
              <w:contextualSpacing/>
              <w:rPr>
                <w:sz w:val="28"/>
                <w:szCs w:val="28"/>
                <w:lang w:val="en-US"/>
              </w:rPr>
            </w:pPr>
          </w:p>
        </w:tc>
        <w:tc>
          <w:tcPr>
            <w:tcW w:w="1132" w:type="pct"/>
            <w:tcMar>
              <w:top w:w="28" w:type="dxa"/>
              <w:bottom w:w="28" w:type="dxa"/>
            </w:tcMar>
          </w:tcPr>
          <w:p w14:paraId="31867A61" w14:textId="77777777" w:rsidR="003C51B1" w:rsidRPr="00A502F0" w:rsidRDefault="003C51B1" w:rsidP="00A502F0">
            <w:pPr>
              <w:autoSpaceDE w:val="0"/>
              <w:autoSpaceDN w:val="0"/>
              <w:adjustRightInd w:val="0"/>
              <w:spacing w:line="240" w:lineRule="atLeast"/>
              <w:contextualSpacing/>
              <w:rPr>
                <w:sz w:val="28"/>
                <w:szCs w:val="28"/>
                <w:lang w:val="en-US"/>
              </w:rPr>
            </w:pPr>
          </w:p>
        </w:tc>
        <w:tc>
          <w:tcPr>
            <w:tcW w:w="1132" w:type="pct"/>
            <w:tcMar>
              <w:top w:w="28" w:type="dxa"/>
              <w:bottom w:w="28" w:type="dxa"/>
            </w:tcMar>
          </w:tcPr>
          <w:p w14:paraId="0F119F94" w14:textId="77777777" w:rsidR="003C51B1" w:rsidRPr="00A502F0" w:rsidRDefault="003C51B1" w:rsidP="00A502F0">
            <w:pPr>
              <w:autoSpaceDE w:val="0"/>
              <w:autoSpaceDN w:val="0"/>
              <w:adjustRightInd w:val="0"/>
              <w:spacing w:line="240" w:lineRule="atLeast"/>
              <w:contextualSpacing/>
              <w:rPr>
                <w:sz w:val="28"/>
                <w:szCs w:val="28"/>
                <w:lang w:val="en-US"/>
              </w:rPr>
            </w:pPr>
          </w:p>
        </w:tc>
      </w:tr>
      <w:tr w:rsidR="003C51B1" w:rsidRPr="00A502F0" w14:paraId="0ECE8ADF" w14:textId="77777777" w:rsidTr="003C51B1">
        <w:trPr>
          <w:trHeight w:val="20"/>
          <w:jc w:val="center"/>
        </w:trPr>
        <w:tc>
          <w:tcPr>
            <w:tcW w:w="1603" w:type="pct"/>
            <w:tcMar>
              <w:top w:w="28" w:type="dxa"/>
              <w:bottom w:w="28" w:type="dxa"/>
            </w:tcMar>
            <w:vAlign w:val="center"/>
          </w:tcPr>
          <w:p w14:paraId="1A66C6F6" w14:textId="77777777" w:rsidR="003C51B1" w:rsidRPr="00A502F0" w:rsidRDefault="003C51B1" w:rsidP="00A502F0">
            <w:pPr>
              <w:autoSpaceDE w:val="0"/>
              <w:autoSpaceDN w:val="0"/>
              <w:adjustRightInd w:val="0"/>
              <w:spacing w:line="240" w:lineRule="atLeast"/>
              <w:contextualSpacing/>
              <w:rPr>
                <w:sz w:val="28"/>
                <w:szCs w:val="28"/>
                <w:lang w:val="en-US"/>
              </w:rPr>
            </w:pPr>
            <w:r w:rsidRPr="00A502F0">
              <w:rPr>
                <w:sz w:val="28"/>
                <w:szCs w:val="28"/>
                <w:lang w:val="en-US"/>
              </w:rPr>
              <w:t>International Development Association</w:t>
            </w:r>
          </w:p>
        </w:tc>
        <w:tc>
          <w:tcPr>
            <w:tcW w:w="1132" w:type="pct"/>
            <w:tcMar>
              <w:top w:w="28" w:type="dxa"/>
              <w:bottom w:w="28" w:type="dxa"/>
            </w:tcMar>
          </w:tcPr>
          <w:p w14:paraId="73EB7ACB" w14:textId="77777777" w:rsidR="003C51B1" w:rsidRPr="00A502F0" w:rsidRDefault="003C51B1" w:rsidP="00A502F0">
            <w:pPr>
              <w:autoSpaceDE w:val="0"/>
              <w:autoSpaceDN w:val="0"/>
              <w:adjustRightInd w:val="0"/>
              <w:spacing w:line="240" w:lineRule="atLeast"/>
              <w:contextualSpacing/>
              <w:rPr>
                <w:sz w:val="28"/>
                <w:szCs w:val="28"/>
                <w:lang w:val="en-US"/>
              </w:rPr>
            </w:pPr>
          </w:p>
        </w:tc>
        <w:tc>
          <w:tcPr>
            <w:tcW w:w="1132" w:type="pct"/>
            <w:tcMar>
              <w:top w:w="28" w:type="dxa"/>
              <w:bottom w:w="28" w:type="dxa"/>
            </w:tcMar>
          </w:tcPr>
          <w:p w14:paraId="2BD2BD20" w14:textId="77777777" w:rsidR="003C51B1" w:rsidRPr="00A502F0" w:rsidRDefault="003C51B1" w:rsidP="00A502F0">
            <w:pPr>
              <w:autoSpaceDE w:val="0"/>
              <w:autoSpaceDN w:val="0"/>
              <w:adjustRightInd w:val="0"/>
              <w:spacing w:line="240" w:lineRule="atLeast"/>
              <w:contextualSpacing/>
              <w:rPr>
                <w:sz w:val="28"/>
                <w:szCs w:val="28"/>
                <w:lang w:val="en-US"/>
              </w:rPr>
            </w:pPr>
          </w:p>
        </w:tc>
        <w:tc>
          <w:tcPr>
            <w:tcW w:w="1132" w:type="pct"/>
            <w:tcMar>
              <w:top w:w="28" w:type="dxa"/>
              <w:bottom w:w="28" w:type="dxa"/>
            </w:tcMar>
          </w:tcPr>
          <w:p w14:paraId="4EAE465F" w14:textId="77777777" w:rsidR="003C51B1" w:rsidRPr="00A502F0" w:rsidRDefault="003C51B1" w:rsidP="00A502F0">
            <w:pPr>
              <w:autoSpaceDE w:val="0"/>
              <w:autoSpaceDN w:val="0"/>
              <w:adjustRightInd w:val="0"/>
              <w:spacing w:line="240" w:lineRule="atLeast"/>
              <w:contextualSpacing/>
              <w:rPr>
                <w:sz w:val="28"/>
                <w:szCs w:val="28"/>
                <w:lang w:val="en-US"/>
              </w:rPr>
            </w:pPr>
          </w:p>
        </w:tc>
      </w:tr>
      <w:tr w:rsidR="003C51B1" w:rsidRPr="00A502F0" w14:paraId="25AB5130" w14:textId="77777777" w:rsidTr="003C51B1">
        <w:trPr>
          <w:trHeight w:val="20"/>
          <w:jc w:val="center"/>
        </w:trPr>
        <w:tc>
          <w:tcPr>
            <w:tcW w:w="1603" w:type="pct"/>
            <w:tcMar>
              <w:top w:w="28" w:type="dxa"/>
              <w:bottom w:w="28" w:type="dxa"/>
            </w:tcMar>
            <w:vAlign w:val="center"/>
          </w:tcPr>
          <w:p w14:paraId="24B2571E" w14:textId="77777777" w:rsidR="003C51B1" w:rsidRPr="00A502F0" w:rsidRDefault="003C51B1" w:rsidP="00A502F0">
            <w:pPr>
              <w:autoSpaceDE w:val="0"/>
              <w:autoSpaceDN w:val="0"/>
              <w:adjustRightInd w:val="0"/>
              <w:spacing w:line="240" w:lineRule="atLeast"/>
              <w:contextualSpacing/>
              <w:rPr>
                <w:sz w:val="28"/>
                <w:szCs w:val="28"/>
                <w:lang w:val="en-US"/>
              </w:rPr>
            </w:pPr>
            <w:r w:rsidRPr="00A502F0">
              <w:rPr>
                <w:sz w:val="28"/>
                <w:szCs w:val="28"/>
                <w:lang w:val="en-US"/>
              </w:rPr>
              <w:t>International Finance Corporation</w:t>
            </w:r>
          </w:p>
        </w:tc>
        <w:tc>
          <w:tcPr>
            <w:tcW w:w="1132" w:type="pct"/>
            <w:tcMar>
              <w:top w:w="28" w:type="dxa"/>
              <w:bottom w:w="28" w:type="dxa"/>
            </w:tcMar>
          </w:tcPr>
          <w:p w14:paraId="68C4E606"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c>
          <w:tcPr>
            <w:tcW w:w="1132" w:type="pct"/>
            <w:tcMar>
              <w:top w:w="28" w:type="dxa"/>
              <w:bottom w:w="28" w:type="dxa"/>
            </w:tcMar>
          </w:tcPr>
          <w:p w14:paraId="64B962FF"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c>
          <w:tcPr>
            <w:tcW w:w="1132" w:type="pct"/>
            <w:tcMar>
              <w:top w:w="28" w:type="dxa"/>
              <w:bottom w:w="28" w:type="dxa"/>
            </w:tcMar>
          </w:tcPr>
          <w:p w14:paraId="3717C347"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r>
      <w:tr w:rsidR="003C51B1" w:rsidRPr="00A502F0" w14:paraId="34DC4149" w14:textId="77777777" w:rsidTr="003C51B1">
        <w:trPr>
          <w:trHeight w:val="20"/>
          <w:jc w:val="center"/>
        </w:trPr>
        <w:tc>
          <w:tcPr>
            <w:tcW w:w="1603" w:type="pct"/>
            <w:tcMar>
              <w:top w:w="28" w:type="dxa"/>
              <w:bottom w:w="28" w:type="dxa"/>
            </w:tcMar>
            <w:vAlign w:val="center"/>
          </w:tcPr>
          <w:p w14:paraId="38566279" w14:textId="77777777" w:rsidR="003C51B1" w:rsidRPr="00A502F0" w:rsidRDefault="003C51B1" w:rsidP="00A502F0">
            <w:pPr>
              <w:autoSpaceDE w:val="0"/>
              <w:autoSpaceDN w:val="0"/>
              <w:adjustRightInd w:val="0"/>
              <w:spacing w:line="240" w:lineRule="atLeast"/>
              <w:contextualSpacing/>
              <w:rPr>
                <w:sz w:val="28"/>
                <w:szCs w:val="28"/>
                <w:lang w:val="en-US"/>
              </w:rPr>
            </w:pPr>
            <w:r w:rsidRPr="00A502F0">
              <w:rPr>
                <w:sz w:val="28"/>
                <w:szCs w:val="28"/>
                <w:lang w:val="en-US"/>
              </w:rPr>
              <w:t>Multilateral Investment Guarantee Agency</w:t>
            </w:r>
          </w:p>
        </w:tc>
        <w:tc>
          <w:tcPr>
            <w:tcW w:w="1132" w:type="pct"/>
            <w:tcMar>
              <w:top w:w="28" w:type="dxa"/>
              <w:bottom w:w="28" w:type="dxa"/>
            </w:tcMar>
          </w:tcPr>
          <w:p w14:paraId="650C9319"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c>
          <w:tcPr>
            <w:tcW w:w="1132" w:type="pct"/>
            <w:tcMar>
              <w:top w:w="28" w:type="dxa"/>
              <w:bottom w:w="28" w:type="dxa"/>
            </w:tcMar>
          </w:tcPr>
          <w:p w14:paraId="2E740970"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c>
          <w:tcPr>
            <w:tcW w:w="1132" w:type="pct"/>
            <w:tcMar>
              <w:top w:w="28" w:type="dxa"/>
              <w:bottom w:w="28" w:type="dxa"/>
            </w:tcMar>
          </w:tcPr>
          <w:p w14:paraId="349AE1FC"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r>
    </w:tbl>
    <w:p w14:paraId="00C164F7" w14:textId="77777777" w:rsidR="003C51B1" w:rsidRPr="00A502F0" w:rsidRDefault="003C51B1" w:rsidP="00A502F0">
      <w:pPr>
        <w:autoSpaceDE w:val="0"/>
        <w:autoSpaceDN w:val="0"/>
        <w:adjustRightInd w:val="0"/>
        <w:spacing w:line="240" w:lineRule="atLeast"/>
        <w:ind w:firstLine="357"/>
        <w:rPr>
          <w:sz w:val="28"/>
          <w:szCs w:val="28"/>
          <w:lang w:val="en-US"/>
        </w:rPr>
      </w:pPr>
    </w:p>
    <w:p w14:paraId="164B0A3C" w14:textId="77777777" w:rsidR="003C51B1" w:rsidRPr="007E1311" w:rsidRDefault="007E1311" w:rsidP="006F749C">
      <w:pPr>
        <w:pStyle w:val="ListParagraph"/>
        <w:numPr>
          <w:ilvl w:val="0"/>
          <w:numId w:val="230"/>
        </w:numPr>
        <w:spacing w:after="0" w:line="240" w:lineRule="atLeast"/>
        <w:ind w:left="426"/>
        <w:jc w:val="both"/>
        <w:rPr>
          <w:rFonts w:ascii="Garamond" w:hAnsi="Garamond"/>
          <w:szCs w:val="28"/>
          <w:lang w:val="en-GB"/>
        </w:rPr>
      </w:pPr>
      <w:r>
        <w:rPr>
          <w:rFonts w:ascii="Garamond" w:hAnsi="Garamond"/>
          <w:szCs w:val="28"/>
          <w:lang w:val="en-GB"/>
        </w:rPr>
        <w:t>C</w:t>
      </w:r>
      <w:r w:rsidR="003C51B1" w:rsidRPr="007E1311">
        <w:rPr>
          <w:rFonts w:ascii="Garamond" w:hAnsi="Garamond"/>
          <w:szCs w:val="28"/>
          <w:lang w:val="en-GB"/>
        </w:rPr>
        <w:t xml:space="preserve">onduct a comparative analysis of the World Bank's and the IMF's activities. Fill in the </w:t>
      </w:r>
      <w:r>
        <w:rPr>
          <w:rFonts w:ascii="Garamond" w:hAnsi="Garamond"/>
          <w:szCs w:val="28"/>
          <w:lang w:val="en-GB"/>
        </w:rPr>
        <w:t>box below</w:t>
      </w:r>
      <w:r w:rsidR="003C51B1" w:rsidRPr="007E1311">
        <w:rPr>
          <w:rFonts w:ascii="Garamond" w:hAnsi="Garamond"/>
          <w:szCs w:val="28"/>
          <w:lang w:val="en-GB"/>
        </w:rPr>
        <w:t>.</w:t>
      </w:r>
    </w:p>
    <w:p w14:paraId="57D4639B" w14:textId="77777777" w:rsidR="007E1311" w:rsidRDefault="007E1311" w:rsidP="00A502F0">
      <w:pPr>
        <w:autoSpaceDE w:val="0"/>
        <w:autoSpaceDN w:val="0"/>
        <w:adjustRightInd w:val="0"/>
        <w:spacing w:line="240" w:lineRule="atLeast"/>
        <w:ind w:firstLine="357"/>
        <w:contextualSpacing/>
        <w:jc w:val="center"/>
        <w:rPr>
          <w:b/>
          <w:sz w:val="28"/>
          <w:szCs w:val="28"/>
          <w:lang w:val="en-US"/>
        </w:rPr>
      </w:pPr>
    </w:p>
    <w:p w14:paraId="09FE256A" w14:textId="77777777" w:rsidR="003C51B1" w:rsidRPr="00A502F0" w:rsidRDefault="003C51B1" w:rsidP="00A502F0">
      <w:pPr>
        <w:autoSpaceDE w:val="0"/>
        <w:autoSpaceDN w:val="0"/>
        <w:adjustRightInd w:val="0"/>
        <w:spacing w:line="240" w:lineRule="atLeast"/>
        <w:ind w:firstLine="357"/>
        <w:contextualSpacing/>
        <w:jc w:val="center"/>
        <w:rPr>
          <w:b/>
          <w:sz w:val="28"/>
          <w:szCs w:val="28"/>
          <w:lang w:val="en-US"/>
        </w:rPr>
      </w:pPr>
      <w:r w:rsidRPr="00A502F0">
        <w:rPr>
          <w:b/>
          <w:sz w:val="28"/>
          <w:szCs w:val="28"/>
          <w:lang w:val="en-US"/>
        </w:rPr>
        <w:t>Comparative analyzes of the World Bank and the IMF</w:t>
      </w:r>
    </w:p>
    <w:tbl>
      <w:tblPr>
        <w:tblStyle w:val="40"/>
        <w:tblW w:w="5000" w:type="pct"/>
        <w:jc w:val="center"/>
        <w:tblLook w:val="04A0" w:firstRow="1" w:lastRow="0" w:firstColumn="1" w:lastColumn="0" w:noHBand="0" w:noVBand="1"/>
      </w:tblPr>
      <w:tblGrid>
        <w:gridCol w:w="3987"/>
        <w:gridCol w:w="2816"/>
        <w:gridCol w:w="2814"/>
      </w:tblGrid>
      <w:tr w:rsidR="003C51B1" w:rsidRPr="00A502F0" w14:paraId="5BD4B9A7" w14:textId="77777777" w:rsidTr="007E1311">
        <w:trPr>
          <w:jc w:val="center"/>
        </w:trPr>
        <w:tc>
          <w:tcPr>
            <w:tcW w:w="2073" w:type="pct"/>
            <w:shd w:val="clear" w:color="auto" w:fill="D9D9D9" w:themeFill="background1" w:themeFillShade="D9"/>
            <w:tcMar>
              <w:top w:w="28" w:type="dxa"/>
              <w:bottom w:w="28" w:type="dxa"/>
            </w:tcMar>
            <w:vAlign w:val="center"/>
          </w:tcPr>
          <w:p w14:paraId="75EE052F" w14:textId="77777777" w:rsidR="003C51B1" w:rsidRPr="00A502F0" w:rsidRDefault="003C51B1" w:rsidP="00A502F0">
            <w:pPr>
              <w:spacing w:line="240" w:lineRule="atLeast"/>
              <w:jc w:val="center"/>
              <w:rPr>
                <w:sz w:val="28"/>
                <w:szCs w:val="28"/>
                <w:lang w:val="en-US"/>
              </w:rPr>
            </w:pPr>
            <w:r w:rsidRPr="00A502F0">
              <w:rPr>
                <w:sz w:val="28"/>
                <w:szCs w:val="28"/>
                <w:lang w:val="en-US"/>
              </w:rPr>
              <w:t>Comparative criteria</w:t>
            </w:r>
          </w:p>
        </w:tc>
        <w:tc>
          <w:tcPr>
            <w:tcW w:w="1464" w:type="pct"/>
            <w:shd w:val="clear" w:color="auto" w:fill="D9D9D9" w:themeFill="background1" w:themeFillShade="D9"/>
            <w:tcMar>
              <w:top w:w="28" w:type="dxa"/>
              <w:bottom w:w="28" w:type="dxa"/>
            </w:tcMar>
            <w:vAlign w:val="center"/>
          </w:tcPr>
          <w:p w14:paraId="4749C653" w14:textId="77777777" w:rsidR="003C51B1" w:rsidRPr="00A502F0" w:rsidRDefault="003C51B1" w:rsidP="00A502F0">
            <w:pPr>
              <w:spacing w:line="240" w:lineRule="atLeast"/>
              <w:jc w:val="center"/>
              <w:rPr>
                <w:sz w:val="28"/>
                <w:szCs w:val="28"/>
                <w:lang w:val="en-US"/>
              </w:rPr>
            </w:pPr>
            <w:r w:rsidRPr="00A502F0">
              <w:rPr>
                <w:sz w:val="28"/>
                <w:szCs w:val="28"/>
                <w:lang w:val="en-US"/>
              </w:rPr>
              <w:t>The World Bank</w:t>
            </w:r>
          </w:p>
        </w:tc>
        <w:tc>
          <w:tcPr>
            <w:tcW w:w="1463" w:type="pct"/>
            <w:shd w:val="clear" w:color="auto" w:fill="D9D9D9" w:themeFill="background1" w:themeFillShade="D9"/>
            <w:tcMar>
              <w:top w:w="28" w:type="dxa"/>
              <w:bottom w:w="28" w:type="dxa"/>
            </w:tcMar>
            <w:vAlign w:val="center"/>
          </w:tcPr>
          <w:p w14:paraId="744A275B" w14:textId="77777777" w:rsidR="003C51B1" w:rsidRPr="00A502F0" w:rsidRDefault="003C51B1" w:rsidP="00A502F0">
            <w:pPr>
              <w:spacing w:line="240" w:lineRule="atLeast"/>
              <w:jc w:val="center"/>
              <w:rPr>
                <w:sz w:val="28"/>
                <w:szCs w:val="28"/>
                <w:lang w:val="en-US"/>
              </w:rPr>
            </w:pPr>
            <w:r w:rsidRPr="00A502F0">
              <w:rPr>
                <w:sz w:val="28"/>
                <w:szCs w:val="28"/>
                <w:lang w:val="en-US"/>
              </w:rPr>
              <w:t>The IMF</w:t>
            </w:r>
          </w:p>
        </w:tc>
      </w:tr>
      <w:tr w:rsidR="003C51B1" w:rsidRPr="00A502F0" w14:paraId="4B264DEC" w14:textId="77777777" w:rsidTr="003C51B1">
        <w:trPr>
          <w:jc w:val="center"/>
        </w:trPr>
        <w:tc>
          <w:tcPr>
            <w:tcW w:w="2073" w:type="pct"/>
            <w:tcMar>
              <w:top w:w="28" w:type="dxa"/>
              <w:bottom w:w="28" w:type="dxa"/>
            </w:tcMar>
            <w:vAlign w:val="center"/>
          </w:tcPr>
          <w:p w14:paraId="0AE33594"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rFonts w:cs="StoneSans"/>
                <w:sz w:val="28"/>
                <w:szCs w:val="28"/>
                <w:lang w:val="en-US"/>
              </w:rPr>
              <w:t>Mission (primary goals)</w:t>
            </w:r>
          </w:p>
        </w:tc>
        <w:tc>
          <w:tcPr>
            <w:tcW w:w="1464" w:type="pct"/>
            <w:tcMar>
              <w:top w:w="28" w:type="dxa"/>
              <w:bottom w:w="28" w:type="dxa"/>
            </w:tcMar>
            <w:vAlign w:val="center"/>
          </w:tcPr>
          <w:p w14:paraId="498B368C" w14:textId="77777777" w:rsidR="003C51B1" w:rsidRPr="00A502F0" w:rsidRDefault="003C51B1" w:rsidP="00A502F0">
            <w:pPr>
              <w:autoSpaceDE w:val="0"/>
              <w:autoSpaceDN w:val="0"/>
              <w:adjustRightInd w:val="0"/>
              <w:spacing w:line="240" w:lineRule="atLeast"/>
              <w:contextualSpacing/>
              <w:rPr>
                <w:sz w:val="28"/>
                <w:szCs w:val="28"/>
                <w:lang w:val="en-US"/>
              </w:rPr>
            </w:pPr>
          </w:p>
        </w:tc>
        <w:tc>
          <w:tcPr>
            <w:tcW w:w="1463" w:type="pct"/>
            <w:tcMar>
              <w:top w:w="28" w:type="dxa"/>
              <w:bottom w:w="28" w:type="dxa"/>
            </w:tcMar>
            <w:vAlign w:val="center"/>
          </w:tcPr>
          <w:p w14:paraId="7CB87325" w14:textId="77777777" w:rsidR="003C51B1" w:rsidRPr="00A502F0" w:rsidRDefault="003C51B1" w:rsidP="00A502F0">
            <w:pPr>
              <w:autoSpaceDE w:val="0"/>
              <w:autoSpaceDN w:val="0"/>
              <w:adjustRightInd w:val="0"/>
              <w:spacing w:line="240" w:lineRule="atLeast"/>
              <w:contextualSpacing/>
              <w:rPr>
                <w:sz w:val="28"/>
                <w:szCs w:val="28"/>
                <w:lang w:val="en-US"/>
              </w:rPr>
            </w:pPr>
          </w:p>
        </w:tc>
      </w:tr>
      <w:tr w:rsidR="003C51B1" w:rsidRPr="00A502F0" w14:paraId="63692A28" w14:textId="77777777" w:rsidTr="003C51B1">
        <w:trPr>
          <w:jc w:val="center"/>
        </w:trPr>
        <w:tc>
          <w:tcPr>
            <w:tcW w:w="2073" w:type="pct"/>
            <w:tcMar>
              <w:top w:w="28" w:type="dxa"/>
              <w:bottom w:w="28" w:type="dxa"/>
            </w:tcMar>
            <w:vAlign w:val="center"/>
          </w:tcPr>
          <w:p w14:paraId="17883DC3"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rFonts w:cs="StoneSans"/>
                <w:sz w:val="28"/>
                <w:szCs w:val="28"/>
                <w:lang w:val="en-US"/>
              </w:rPr>
              <w:t xml:space="preserve">Funding sources </w:t>
            </w:r>
          </w:p>
        </w:tc>
        <w:tc>
          <w:tcPr>
            <w:tcW w:w="1464" w:type="pct"/>
            <w:tcMar>
              <w:top w:w="28" w:type="dxa"/>
              <w:bottom w:w="28" w:type="dxa"/>
            </w:tcMar>
            <w:vAlign w:val="center"/>
          </w:tcPr>
          <w:p w14:paraId="60B63250" w14:textId="77777777" w:rsidR="003C51B1" w:rsidRPr="00A502F0" w:rsidRDefault="003C51B1" w:rsidP="00A502F0">
            <w:pPr>
              <w:autoSpaceDE w:val="0"/>
              <w:autoSpaceDN w:val="0"/>
              <w:adjustRightInd w:val="0"/>
              <w:spacing w:line="240" w:lineRule="atLeast"/>
              <w:contextualSpacing/>
              <w:rPr>
                <w:sz w:val="28"/>
                <w:szCs w:val="28"/>
                <w:lang w:val="en-US"/>
              </w:rPr>
            </w:pPr>
          </w:p>
        </w:tc>
        <w:tc>
          <w:tcPr>
            <w:tcW w:w="1463" w:type="pct"/>
            <w:tcMar>
              <w:top w:w="28" w:type="dxa"/>
              <w:bottom w:w="28" w:type="dxa"/>
            </w:tcMar>
            <w:vAlign w:val="center"/>
          </w:tcPr>
          <w:p w14:paraId="48B5040C" w14:textId="77777777" w:rsidR="003C51B1" w:rsidRPr="00A502F0" w:rsidRDefault="003C51B1" w:rsidP="00A502F0">
            <w:pPr>
              <w:autoSpaceDE w:val="0"/>
              <w:autoSpaceDN w:val="0"/>
              <w:adjustRightInd w:val="0"/>
              <w:spacing w:line="240" w:lineRule="atLeast"/>
              <w:contextualSpacing/>
              <w:rPr>
                <w:sz w:val="28"/>
                <w:szCs w:val="28"/>
                <w:lang w:val="en-US"/>
              </w:rPr>
            </w:pPr>
          </w:p>
        </w:tc>
      </w:tr>
      <w:tr w:rsidR="003C51B1" w:rsidRPr="00A502F0" w14:paraId="3E6068EE" w14:textId="77777777" w:rsidTr="003C51B1">
        <w:trPr>
          <w:jc w:val="center"/>
        </w:trPr>
        <w:tc>
          <w:tcPr>
            <w:tcW w:w="2073" w:type="pct"/>
            <w:tcMar>
              <w:top w:w="28" w:type="dxa"/>
              <w:bottom w:w="28" w:type="dxa"/>
            </w:tcMar>
            <w:vAlign w:val="center"/>
          </w:tcPr>
          <w:p w14:paraId="54832CA7"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rFonts w:cs="StoneSans"/>
                <w:sz w:val="28"/>
                <w:szCs w:val="28"/>
                <w:lang w:val="en-US"/>
              </w:rPr>
              <w:t>Recipients of funds</w:t>
            </w:r>
          </w:p>
        </w:tc>
        <w:tc>
          <w:tcPr>
            <w:tcW w:w="1464" w:type="pct"/>
            <w:tcMar>
              <w:top w:w="28" w:type="dxa"/>
              <w:bottom w:w="28" w:type="dxa"/>
            </w:tcMar>
            <w:vAlign w:val="center"/>
          </w:tcPr>
          <w:p w14:paraId="4754E0A1"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c>
          <w:tcPr>
            <w:tcW w:w="1463" w:type="pct"/>
            <w:tcMar>
              <w:top w:w="28" w:type="dxa"/>
              <w:bottom w:w="28" w:type="dxa"/>
            </w:tcMar>
            <w:vAlign w:val="center"/>
          </w:tcPr>
          <w:p w14:paraId="1E3A51CA"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r>
      <w:tr w:rsidR="003C51B1" w:rsidRPr="00A502F0" w14:paraId="2F457983" w14:textId="77777777" w:rsidTr="003C51B1">
        <w:trPr>
          <w:jc w:val="center"/>
        </w:trPr>
        <w:tc>
          <w:tcPr>
            <w:tcW w:w="2073" w:type="pct"/>
            <w:tcMar>
              <w:top w:w="28" w:type="dxa"/>
              <w:bottom w:w="28" w:type="dxa"/>
            </w:tcMar>
            <w:vAlign w:val="center"/>
          </w:tcPr>
          <w:p w14:paraId="13A6554B"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rFonts w:cs="StoneSans"/>
                <w:sz w:val="28"/>
                <w:szCs w:val="28"/>
                <w:lang w:val="en-US"/>
              </w:rPr>
              <w:t>Authority and main activities</w:t>
            </w:r>
          </w:p>
        </w:tc>
        <w:tc>
          <w:tcPr>
            <w:tcW w:w="1464" w:type="pct"/>
            <w:tcMar>
              <w:top w:w="28" w:type="dxa"/>
              <w:bottom w:w="28" w:type="dxa"/>
            </w:tcMar>
            <w:vAlign w:val="center"/>
          </w:tcPr>
          <w:p w14:paraId="6F22E81F"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c>
          <w:tcPr>
            <w:tcW w:w="1463" w:type="pct"/>
            <w:tcMar>
              <w:top w:w="28" w:type="dxa"/>
              <w:bottom w:w="28" w:type="dxa"/>
            </w:tcMar>
            <w:vAlign w:val="center"/>
          </w:tcPr>
          <w:p w14:paraId="292FF136" w14:textId="77777777" w:rsidR="003C51B1" w:rsidRPr="00A502F0" w:rsidRDefault="003C51B1" w:rsidP="00A502F0">
            <w:pPr>
              <w:autoSpaceDE w:val="0"/>
              <w:autoSpaceDN w:val="0"/>
              <w:adjustRightInd w:val="0"/>
              <w:spacing w:line="240" w:lineRule="atLeast"/>
              <w:contextualSpacing/>
              <w:rPr>
                <w:rFonts w:cs="StoneSans"/>
                <w:sz w:val="28"/>
                <w:szCs w:val="28"/>
                <w:lang w:val="en-US"/>
              </w:rPr>
            </w:pPr>
          </w:p>
        </w:tc>
      </w:tr>
    </w:tbl>
    <w:p w14:paraId="175368B7" w14:textId="77777777" w:rsidR="003C51B1" w:rsidRPr="00A502F0" w:rsidRDefault="003C51B1" w:rsidP="00A502F0">
      <w:pPr>
        <w:autoSpaceDE w:val="0"/>
        <w:autoSpaceDN w:val="0"/>
        <w:adjustRightInd w:val="0"/>
        <w:spacing w:line="240" w:lineRule="atLeast"/>
        <w:ind w:left="720" w:firstLine="709"/>
        <w:contextualSpacing/>
        <w:rPr>
          <w:rFonts w:eastAsia="Calibri" w:cs="StoneSans"/>
          <w:sz w:val="28"/>
          <w:szCs w:val="28"/>
          <w:lang w:val="en-US" w:eastAsia="en-US"/>
        </w:rPr>
      </w:pPr>
    </w:p>
    <w:p w14:paraId="75E4EAF3" w14:textId="77777777" w:rsidR="003C51B1" w:rsidRPr="007E1311" w:rsidRDefault="003C51B1" w:rsidP="006F749C">
      <w:pPr>
        <w:pStyle w:val="ListParagraph"/>
        <w:numPr>
          <w:ilvl w:val="0"/>
          <w:numId w:val="230"/>
        </w:numPr>
        <w:spacing w:after="0" w:line="240" w:lineRule="atLeast"/>
        <w:ind w:left="426"/>
        <w:jc w:val="both"/>
        <w:rPr>
          <w:rFonts w:ascii="Garamond" w:hAnsi="Garamond"/>
          <w:szCs w:val="28"/>
          <w:lang w:val="en-GB"/>
        </w:rPr>
      </w:pPr>
      <w:r w:rsidRPr="007E1311">
        <w:rPr>
          <w:rFonts w:ascii="Garamond" w:hAnsi="Garamond"/>
          <w:szCs w:val="28"/>
          <w:lang w:val="en-GB"/>
        </w:rPr>
        <w:t>Ukrainian company supplies raw materials to the German company. Since January 1, the exchange rate rose from 23.3 UAH per 1 EUR to 27.4 UAH per 1 EUR. The amount of contracts outstanding is 20 000 EUR. Determine the financial result (profit or loss) of that deal for Ukrainian exporter.</w:t>
      </w:r>
    </w:p>
    <w:p w14:paraId="6A166E80" w14:textId="77777777" w:rsidR="003C51B1" w:rsidRPr="007E1311" w:rsidRDefault="003C51B1" w:rsidP="007E1311">
      <w:pPr>
        <w:pStyle w:val="ListParagraph"/>
        <w:spacing w:after="0" w:line="240" w:lineRule="atLeast"/>
        <w:ind w:left="426"/>
        <w:jc w:val="both"/>
        <w:rPr>
          <w:rFonts w:ascii="Garamond" w:hAnsi="Garamond"/>
          <w:szCs w:val="28"/>
          <w:lang w:val="en-GB"/>
        </w:rPr>
      </w:pPr>
    </w:p>
    <w:p w14:paraId="799A18DC" w14:textId="77777777" w:rsidR="003C51B1" w:rsidRPr="007E1311" w:rsidRDefault="003C51B1" w:rsidP="006F749C">
      <w:pPr>
        <w:pStyle w:val="ListParagraph"/>
        <w:numPr>
          <w:ilvl w:val="0"/>
          <w:numId w:val="230"/>
        </w:numPr>
        <w:spacing w:after="0" w:line="240" w:lineRule="atLeast"/>
        <w:ind w:left="426"/>
        <w:jc w:val="both"/>
        <w:rPr>
          <w:rFonts w:ascii="Garamond" w:hAnsi="Garamond"/>
          <w:szCs w:val="28"/>
          <w:lang w:val="en-GB"/>
        </w:rPr>
      </w:pPr>
      <w:r w:rsidRPr="007E1311">
        <w:rPr>
          <w:rFonts w:ascii="Garamond" w:hAnsi="Garamond"/>
          <w:szCs w:val="28"/>
          <w:lang w:val="en-GB"/>
        </w:rPr>
        <w:lastRenderedPageBreak/>
        <w:t xml:space="preserve">Ukrainian company supplies marble to Poland. The currency of the contract price is euro, the payment is expected within 3 months after delivery. The contract price is 1.5 million. The exchange rate fixed in the contract is 28.3 UAH per 1 EUR. Is exporter exposed to currency risk? Calculate the financial result of the operation of </w:t>
      </w:r>
      <w:r w:rsidR="00E86F07">
        <w:rPr>
          <w:rFonts w:ascii="Garamond" w:hAnsi="Garamond"/>
          <w:szCs w:val="28"/>
          <w:lang w:val="en-GB"/>
        </w:rPr>
        <w:t xml:space="preserve">the </w:t>
      </w:r>
      <w:r w:rsidR="00AF5B66">
        <w:rPr>
          <w:rFonts w:ascii="Garamond" w:hAnsi="Garamond"/>
          <w:szCs w:val="28"/>
          <w:lang w:val="en-GB"/>
        </w:rPr>
        <w:t>Ukrainian company if</w:t>
      </w:r>
      <w:r w:rsidRPr="007E1311">
        <w:rPr>
          <w:rFonts w:ascii="Garamond" w:hAnsi="Garamond"/>
          <w:szCs w:val="28"/>
          <w:lang w:val="en-GB"/>
        </w:rPr>
        <w:t xml:space="preserve"> </w:t>
      </w:r>
    </w:p>
    <w:p w14:paraId="27B8B37F" w14:textId="77777777" w:rsidR="003C51B1" w:rsidRPr="00A502F0" w:rsidRDefault="003C51B1" w:rsidP="006F749C">
      <w:pPr>
        <w:numPr>
          <w:ilvl w:val="0"/>
          <w:numId w:val="231"/>
        </w:numPr>
        <w:shd w:val="clear" w:color="auto" w:fill="FFFFFF"/>
        <w:spacing w:line="240" w:lineRule="atLeast"/>
        <w:ind w:left="782" w:hanging="357"/>
        <w:textAlignment w:val="baseline"/>
        <w:rPr>
          <w:sz w:val="28"/>
          <w:szCs w:val="28"/>
          <w:lang w:val="en-US" w:eastAsia="ru-RU"/>
        </w:rPr>
      </w:pPr>
      <w:r w:rsidRPr="00A502F0">
        <w:rPr>
          <w:sz w:val="28"/>
          <w:szCs w:val="28"/>
          <w:lang w:val="en-US" w:eastAsia="ru-RU"/>
        </w:rPr>
        <w:t xml:space="preserve">the exchange rate changes in the direction of strengthening of euro (28.6 UAH per EUR); </w:t>
      </w:r>
    </w:p>
    <w:p w14:paraId="73CAE779" w14:textId="77777777" w:rsidR="003C51B1" w:rsidRPr="00A502F0" w:rsidRDefault="003C51B1" w:rsidP="006F749C">
      <w:pPr>
        <w:numPr>
          <w:ilvl w:val="0"/>
          <w:numId w:val="231"/>
        </w:numPr>
        <w:shd w:val="clear" w:color="auto" w:fill="FFFFFF"/>
        <w:spacing w:line="240" w:lineRule="atLeast"/>
        <w:ind w:left="782" w:hanging="357"/>
        <w:textAlignment w:val="baseline"/>
        <w:rPr>
          <w:sz w:val="28"/>
          <w:szCs w:val="28"/>
          <w:lang w:val="en-US" w:eastAsia="ru-RU"/>
        </w:rPr>
      </w:pPr>
      <w:r w:rsidRPr="00A502F0">
        <w:rPr>
          <w:sz w:val="28"/>
          <w:szCs w:val="28"/>
          <w:lang w:val="en-US" w:eastAsia="ru-RU"/>
        </w:rPr>
        <w:t xml:space="preserve">Ukrainian hryvnia gets stronger (27.5 UAH per </w:t>
      </w:r>
      <w:r w:rsidR="00E86F07">
        <w:rPr>
          <w:sz w:val="28"/>
          <w:szCs w:val="28"/>
          <w:lang w:val="en-US" w:eastAsia="ru-RU"/>
        </w:rPr>
        <w:t xml:space="preserve">1 </w:t>
      </w:r>
      <w:r w:rsidRPr="00A502F0">
        <w:rPr>
          <w:sz w:val="28"/>
          <w:szCs w:val="28"/>
          <w:lang w:val="en-US" w:eastAsia="ru-RU"/>
        </w:rPr>
        <w:t>EUR).</w:t>
      </w:r>
    </w:p>
    <w:p w14:paraId="4A1F1314" w14:textId="77777777" w:rsidR="003C51B1" w:rsidRPr="00A502F0" w:rsidRDefault="003C51B1" w:rsidP="00A502F0">
      <w:pPr>
        <w:spacing w:line="240" w:lineRule="atLeast"/>
        <w:ind w:firstLine="357"/>
        <w:jc w:val="both"/>
        <w:rPr>
          <w:sz w:val="28"/>
          <w:szCs w:val="28"/>
          <w:lang w:val="en-US"/>
        </w:rPr>
      </w:pPr>
    </w:p>
    <w:p w14:paraId="252BC55A" w14:textId="77777777" w:rsidR="003C51B1" w:rsidRPr="007E1311" w:rsidRDefault="003C51B1" w:rsidP="006F749C">
      <w:pPr>
        <w:pStyle w:val="ListParagraph"/>
        <w:numPr>
          <w:ilvl w:val="0"/>
          <w:numId w:val="230"/>
        </w:numPr>
        <w:spacing w:after="0" w:line="240" w:lineRule="atLeast"/>
        <w:ind w:left="426"/>
        <w:jc w:val="both"/>
        <w:rPr>
          <w:rFonts w:ascii="Garamond" w:hAnsi="Garamond"/>
          <w:szCs w:val="28"/>
          <w:lang w:val="en-GB"/>
        </w:rPr>
      </w:pPr>
      <w:r w:rsidRPr="007E1311">
        <w:rPr>
          <w:rFonts w:ascii="Garamond" w:hAnsi="Garamond"/>
          <w:szCs w:val="28"/>
          <w:lang w:val="en-GB"/>
        </w:rPr>
        <w:t xml:space="preserve">As at December </w:t>
      </w:r>
      <w:r w:rsidR="00E86F07" w:rsidRPr="007E1311">
        <w:rPr>
          <w:rFonts w:ascii="Garamond" w:hAnsi="Garamond"/>
          <w:szCs w:val="28"/>
          <w:lang w:val="en-GB"/>
        </w:rPr>
        <w:t>25</w:t>
      </w:r>
      <w:r w:rsidR="00E86F07">
        <w:rPr>
          <w:rFonts w:ascii="Garamond" w:hAnsi="Garamond"/>
          <w:szCs w:val="28"/>
          <w:lang w:val="en-GB"/>
        </w:rPr>
        <w:t>,</w:t>
      </w:r>
      <w:r w:rsidR="00E86F07" w:rsidRPr="007E1311">
        <w:rPr>
          <w:rFonts w:ascii="Garamond" w:hAnsi="Garamond"/>
          <w:szCs w:val="28"/>
          <w:lang w:val="en-GB"/>
        </w:rPr>
        <w:t xml:space="preserve"> </w:t>
      </w:r>
      <w:r w:rsidRPr="007E1311">
        <w:rPr>
          <w:rFonts w:ascii="Garamond" w:hAnsi="Garamond"/>
          <w:szCs w:val="28"/>
          <w:lang w:val="en-GB"/>
        </w:rPr>
        <w:t xml:space="preserve">2015, the exchange rate between </w:t>
      </w:r>
      <w:r w:rsidR="00675276">
        <w:rPr>
          <w:rFonts w:ascii="Garamond" w:hAnsi="Garamond"/>
          <w:szCs w:val="28"/>
          <w:lang w:val="en-GB"/>
        </w:rPr>
        <w:t>e</w:t>
      </w:r>
      <w:r w:rsidRPr="007E1311">
        <w:rPr>
          <w:rFonts w:ascii="Garamond" w:hAnsi="Garamond"/>
          <w:szCs w:val="28"/>
          <w:lang w:val="en-GB"/>
        </w:rPr>
        <w:t xml:space="preserve">uro and US </w:t>
      </w:r>
      <w:r w:rsidR="00675276">
        <w:rPr>
          <w:rFonts w:ascii="Garamond" w:hAnsi="Garamond"/>
          <w:szCs w:val="28"/>
          <w:lang w:val="en-GB"/>
        </w:rPr>
        <w:t>d</w:t>
      </w:r>
      <w:r w:rsidRPr="007E1311">
        <w:rPr>
          <w:rFonts w:ascii="Garamond" w:hAnsi="Garamond"/>
          <w:szCs w:val="28"/>
          <w:lang w:val="en-GB"/>
        </w:rPr>
        <w:t xml:space="preserve">ollar is 0.88 </w:t>
      </w:r>
      <w:r w:rsidR="00675276">
        <w:rPr>
          <w:rFonts w:ascii="Garamond" w:hAnsi="Garamond"/>
          <w:szCs w:val="28"/>
          <w:lang w:val="en-GB"/>
        </w:rPr>
        <w:t>e</w:t>
      </w:r>
      <w:r w:rsidRPr="007E1311">
        <w:rPr>
          <w:rFonts w:ascii="Garamond" w:hAnsi="Garamond"/>
          <w:szCs w:val="28"/>
          <w:lang w:val="en-GB"/>
        </w:rPr>
        <w:t xml:space="preserve">uro per </w:t>
      </w:r>
      <w:r w:rsidR="00CA6A17">
        <w:rPr>
          <w:rFonts w:ascii="Garamond" w:hAnsi="Garamond"/>
          <w:szCs w:val="28"/>
          <w:lang w:val="en-GB"/>
        </w:rPr>
        <w:t xml:space="preserve">1 </w:t>
      </w:r>
      <w:r w:rsidRPr="007E1311">
        <w:rPr>
          <w:rFonts w:ascii="Garamond" w:hAnsi="Garamond"/>
          <w:szCs w:val="28"/>
          <w:lang w:val="en-GB"/>
        </w:rPr>
        <w:t xml:space="preserve">US dollar. Exchange rate between US </w:t>
      </w:r>
      <w:r w:rsidR="00675276">
        <w:rPr>
          <w:rFonts w:ascii="Garamond" w:hAnsi="Garamond"/>
          <w:szCs w:val="28"/>
          <w:lang w:val="en-GB"/>
        </w:rPr>
        <w:t>d</w:t>
      </w:r>
      <w:r w:rsidRPr="007E1311">
        <w:rPr>
          <w:rFonts w:ascii="Garamond" w:hAnsi="Garamond"/>
          <w:szCs w:val="28"/>
          <w:lang w:val="en-GB"/>
        </w:rPr>
        <w:t xml:space="preserve">ollar and </w:t>
      </w:r>
      <w:r w:rsidR="00675276">
        <w:rPr>
          <w:rFonts w:ascii="Garamond" w:hAnsi="Garamond"/>
          <w:szCs w:val="28"/>
          <w:lang w:val="en-GB"/>
        </w:rPr>
        <w:t>p</w:t>
      </w:r>
      <w:r w:rsidRPr="007E1311">
        <w:rPr>
          <w:rFonts w:ascii="Garamond" w:hAnsi="Garamond"/>
          <w:szCs w:val="28"/>
          <w:lang w:val="en-GB"/>
        </w:rPr>
        <w:t xml:space="preserve">ound </w:t>
      </w:r>
      <w:r w:rsidR="00675276">
        <w:rPr>
          <w:rFonts w:ascii="Garamond" w:hAnsi="Garamond"/>
          <w:szCs w:val="28"/>
          <w:lang w:val="en-GB"/>
        </w:rPr>
        <w:t>s</w:t>
      </w:r>
      <w:r w:rsidRPr="007E1311">
        <w:rPr>
          <w:rFonts w:ascii="Garamond" w:hAnsi="Garamond"/>
          <w:szCs w:val="28"/>
          <w:lang w:val="en-GB"/>
        </w:rPr>
        <w:t xml:space="preserve">terling is 1.55 US dollars per </w:t>
      </w:r>
      <w:r w:rsidR="00CA6A17">
        <w:rPr>
          <w:rFonts w:ascii="Garamond" w:hAnsi="Garamond"/>
          <w:szCs w:val="28"/>
          <w:lang w:val="en-GB"/>
        </w:rPr>
        <w:t xml:space="preserve">1 </w:t>
      </w:r>
      <w:r w:rsidR="00675276">
        <w:rPr>
          <w:rFonts w:ascii="Garamond" w:hAnsi="Garamond"/>
          <w:szCs w:val="28"/>
          <w:lang w:val="en-GB"/>
        </w:rPr>
        <w:t>p</w:t>
      </w:r>
      <w:r w:rsidRPr="007E1311">
        <w:rPr>
          <w:rFonts w:ascii="Garamond" w:hAnsi="Garamond"/>
          <w:szCs w:val="28"/>
          <w:lang w:val="en-GB"/>
        </w:rPr>
        <w:t xml:space="preserve">ound </w:t>
      </w:r>
      <w:r w:rsidR="00675276">
        <w:rPr>
          <w:rFonts w:ascii="Garamond" w:hAnsi="Garamond"/>
          <w:szCs w:val="28"/>
          <w:lang w:val="en-GB"/>
        </w:rPr>
        <w:t>s</w:t>
      </w:r>
      <w:r w:rsidRPr="007E1311">
        <w:rPr>
          <w:rFonts w:ascii="Garamond" w:hAnsi="Garamond"/>
          <w:szCs w:val="28"/>
          <w:lang w:val="en-GB"/>
        </w:rPr>
        <w:t xml:space="preserve">terling. Derive the exchange rate between </w:t>
      </w:r>
      <w:r w:rsidR="00675276">
        <w:rPr>
          <w:rFonts w:ascii="Garamond" w:hAnsi="Garamond"/>
          <w:szCs w:val="28"/>
          <w:lang w:val="en-GB"/>
        </w:rPr>
        <w:t>e</w:t>
      </w:r>
      <w:r w:rsidRPr="007E1311">
        <w:rPr>
          <w:rFonts w:ascii="Garamond" w:hAnsi="Garamond"/>
          <w:szCs w:val="28"/>
          <w:lang w:val="en-GB"/>
        </w:rPr>
        <w:t xml:space="preserve">uro and </w:t>
      </w:r>
      <w:r w:rsidR="00675276">
        <w:rPr>
          <w:rFonts w:ascii="Garamond" w:hAnsi="Garamond"/>
          <w:szCs w:val="28"/>
          <w:lang w:val="en-GB"/>
        </w:rPr>
        <w:t>p</w:t>
      </w:r>
      <w:r w:rsidRPr="007E1311">
        <w:rPr>
          <w:rFonts w:ascii="Garamond" w:hAnsi="Garamond"/>
          <w:szCs w:val="28"/>
          <w:lang w:val="en-GB"/>
        </w:rPr>
        <w:t xml:space="preserve">ound </w:t>
      </w:r>
      <w:r w:rsidR="00675276">
        <w:rPr>
          <w:rFonts w:ascii="Garamond" w:hAnsi="Garamond"/>
          <w:szCs w:val="28"/>
          <w:lang w:val="en-GB"/>
        </w:rPr>
        <w:t>s</w:t>
      </w:r>
      <w:r w:rsidRPr="007E1311">
        <w:rPr>
          <w:rFonts w:ascii="Garamond" w:hAnsi="Garamond"/>
          <w:szCs w:val="28"/>
          <w:lang w:val="en-GB"/>
        </w:rPr>
        <w:t xml:space="preserve">terling in </w:t>
      </w:r>
      <w:r w:rsidR="00675276">
        <w:rPr>
          <w:rFonts w:ascii="Garamond" w:hAnsi="Garamond"/>
          <w:szCs w:val="28"/>
          <w:lang w:val="en-GB"/>
        </w:rPr>
        <w:t>e</w:t>
      </w:r>
      <w:r w:rsidRPr="007E1311">
        <w:rPr>
          <w:rFonts w:ascii="Garamond" w:hAnsi="Garamond"/>
          <w:szCs w:val="28"/>
          <w:lang w:val="en-GB"/>
        </w:rPr>
        <w:t xml:space="preserve">uro per </w:t>
      </w:r>
      <w:r w:rsidR="00675276">
        <w:rPr>
          <w:rFonts w:ascii="Garamond" w:hAnsi="Garamond"/>
          <w:szCs w:val="28"/>
          <w:lang w:val="en-GB"/>
        </w:rPr>
        <w:t>p</w:t>
      </w:r>
      <w:r w:rsidRPr="007E1311">
        <w:rPr>
          <w:rFonts w:ascii="Garamond" w:hAnsi="Garamond"/>
          <w:szCs w:val="28"/>
          <w:lang w:val="en-GB"/>
        </w:rPr>
        <w:t xml:space="preserve">ound </w:t>
      </w:r>
      <w:r w:rsidR="00675276">
        <w:rPr>
          <w:rFonts w:ascii="Garamond" w:hAnsi="Garamond"/>
          <w:szCs w:val="28"/>
          <w:lang w:val="en-GB"/>
        </w:rPr>
        <w:t>s</w:t>
      </w:r>
      <w:r w:rsidRPr="007E1311">
        <w:rPr>
          <w:rFonts w:ascii="Garamond" w:hAnsi="Garamond"/>
          <w:szCs w:val="28"/>
          <w:lang w:val="en-GB"/>
        </w:rPr>
        <w:t>terling.</w:t>
      </w:r>
    </w:p>
    <w:p w14:paraId="1B3ED46E" w14:textId="77777777" w:rsidR="003C51B1" w:rsidRPr="007E1311" w:rsidRDefault="003C51B1" w:rsidP="007E1311">
      <w:pPr>
        <w:pStyle w:val="ListParagraph"/>
        <w:spacing w:after="0" w:line="240" w:lineRule="atLeast"/>
        <w:ind w:left="426"/>
        <w:jc w:val="both"/>
        <w:rPr>
          <w:rFonts w:ascii="Garamond" w:hAnsi="Garamond"/>
          <w:szCs w:val="28"/>
          <w:lang w:val="en-GB"/>
        </w:rPr>
      </w:pPr>
    </w:p>
    <w:p w14:paraId="5468456B" w14:textId="77777777" w:rsidR="003C51B1" w:rsidRPr="007E1311" w:rsidRDefault="003C51B1" w:rsidP="006F749C">
      <w:pPr>
        <w:pStyle w:val="ListParagraph"/>
        <w:numPr>
          <w:ilvl w:val="0"/>
          <w:numId w:val="230"/>
        </w:numPr>
        <w:spacing w:after="0" w:line="240" w:lineRule="atLeast"/>
        <w:ind w:left="426"/>
        <w:jc w:val="both"/>
        <w:rPr>
          <w:rFonts w:ascii="Garamond" w:hAnsi="Garamond"/>
          <w:szCs w:val="28"/>
          <w:lang w:val="en-GB"/>
        </w:rPr>
      </w:pPr>
      <w:r w:rsidRPr="007E1311">
        <w:rPr>
          <w:rFonts w:ascii="Garamond" w:hAnsi="Garamond"/>
          <w:szCs w:val="28"/>
          <w:lang w:val="en-GB"/>
        </w:rPr>
        <w:t>Bank announced the following quotation of currencies: USD/UAH = 24.7000</w:t>
      </w:r>
      <w:r w:rsidR="00675276">
        <w:rPr>
          <w:rFonts w:ascii="Garamond" w:hAnsi="Garamond"/>
          <w:szCs w:val="28"/>
          <w:lang w:val="en-GB"/>
        </w:rPr>
        <w:t>–</w:t>
      </w:r>
      <w:r w:rsidRPr="007E1311">
        <w:rPr>
          <w:rFonts w:ascii="Garamond" w:hAnsi="Garamond"/>
          <w:szCs w:val="28"/>
          <w:lang w:val="en-GB"/>
        </w:rPr>
        <w:t>25.1900; USD/EUR = 0.8790</w:t>
      </w:r>
      <w:r w:rsidR="00675276">
        <w:rPr>
          <w:rFonts w:ascii="Garamond" w:hAnsi="Garamond"/>
          <w:szCs w:val="28"/>
          <w:lang w:val="en-GB"/>
        </w:rPr>
        <w:t>–</w:t>
      </w:r>
      <w:r w:rsidRPr="007E1311">
        <w:rPr>
          <w:rFonts w:ascii="Garamond" w:hAnsi="Garamond"/>
          <w:szCs w:val="28"/>
          <w:lang w:val="en-GB"/>
        </w:rPr>
        <w:t>0.8810. Determine the cross-rate of buying and selling EUR/UAH.</w:t>
      </w:r>
      <w:r w:rsidR="00675276">
        <w:rPr>
          <w:rFonts w:ascii="Garamond" w:hAnsi="Garamond"/>
          <w:szCs w:val="28"/>
          <w:lang w:val="en-GB"/>
        </w:rPr>
        <w:t xml:space="preserve"> </w:t>
      </w:r>
    </w:p>
    <w:p w14:paraId="3F3C0252" w14:textId="77777777" w:rsidR="003C51B1" w:rsidRPr="007E1311" w:rsidRDefault="003C51B1" w:rsidP="007E1311">
      <w:pPr>
        <w:pStyle w:val="ListParagraph"/>
        <w:spacing w:after="0" w:line="240" w:lineRule="atLeast"/>
        <w:ind w:left="426"/>
        <w:jc w:val="both"/>
        <w:rPr>
          <w:rFonts w:ascii="Garamond" w:hAnsi="Garamond"/>
          <w:szCs w:val="28"/>
          <w:lang w:val="en-GB"/>
        </w:rPr>
      </w:pPr>
    </w:p>
    <w:p w14:paraId="7C31E591" w14:textId="77777777" w:rsidR="003C51B1" w:rsidRPr="007E1311" w:rsidRDefault="003C51B1" w:rsidP="006F749C">
      <w:pPr>
        <w:pStyle w:val="ListParagraph"/>
        <w:numPr>
          <w:ilvl w:val="0"/>
          <w:numId w:val="230"/>
        </w:numPr>
        <w:spacing w:after="0" w:line="240" w:lineRule="atLeast"/>
        <w:ind w:left="426"/>
        <w:jc w:val="both"/>
        <w:rPr>
          <w:rFonts w:ascii="Garamond" w:hAnsi="Garamond"/>
          <w:szCs w:val="28"/>
          <w:lang w:val="en-GB"/>
        </w:rPr>
      </w:pPr>
      <w:r w:rsidRPr="007E1311">
        <w:rPr>
          <w:rFonts w:ascii="Garamond" w:hAnsi="Garamond"/>
          <w:szCs w:val="28"/>
          <w:lang w:val="en-GB"/>
        </w:rPr>
        <w:t xml:space="preserve">Using data from </w:t>
      </w:r>
      <w:r w:rsidR="007E1311">
        <w:rPr>
          <w:rFonts w:ascii="Garamond" w:hAnsi="Garamond"/>
          <w:szCs w:val="28"/>
          <w:lang w:val="en-GB"/>
        </w:rPr>
        <w:t>the box below</w:t>
      </w:r>
      <w:r w:rsidR="00CA6A17">
        <w:rPr>
          <w:rFonts w:ascii="Garamond" w:hAnsi="Garamond"/>
          <w:szCs w:val="28"/>
          <w:lang w:val="en-GB"/>
        </w:rPr>
        <w:t>,</w:t>
      </w:r>
      <w:r w:rsidRPr="007E1311">
        <w:rPr>
          <w:rFonts w:ascii="Garamond" w:hAnsi="Garamond"/>
          <w:szCs w:val="28"/>
          <w:lang w:val="en-GB"/>
        </w:rPr>
        <w:t xml:space="preserve"> derive the cross rate for JPY/UAH.</w:t>
      </w:r>
    </w:p>
    <w:p w14:paraId="2140ED74" w14:textId="77777777" w:rsidR="007E1311" w:rsidRPr="00CA6A17" w:rsidRDefault="007E1311" w:rsidP="00A502F0">
      <w:pPr>
        <w:autoSpaceDE w:val="0"/>
        <w:autoSpaceDN w:val="0"/>
        <w:adjustRightInd w:val="0"/>
        <w:spacing w:line="240" w:lineRule="atLeast"/>
        <w:ind w:firstLine="357"/>
        <w:contextualSpacing/>
        <w:jc w:val="center"/>
        <w:rPr>
          <w:b/>
          <w:sz w:val="28"/>
          <w:szCs w:val="28"/>
          <w:lang w:val="en-GB"/>
        </w:rPr>
      </w:pPr>
    </w:p>
    <w:p w14:paraId="52E245B2" w14:textId="77777777" w:rsidR="003C51B1" w:rsidRPr="00A502F0" w:rsidRDefault="003C51B1" w:rsidP="00A502F0">
      <w:pPr>
        <w:autoSpaceDE w:val="0"/>
        <w:autoSpaceDN w:val="0"/>
        <w:adjustRightInd w:val="0"/>
        <w:spacing w:line="240" w:lineRule="atLeast"/>
        <w:ind w:firstLine="357"/>
        <w:contextualSpacing/>
        <w:jc w:val="center"/>
        <w:rPr>
          <w:b/>
          <w:sz w:val="28"/>
          <w:szCs w:val="28"/>
          <w:lang w:val="en-US"/>
        </w:rPr>
      </w:pPr>
      <w:r w:rsidRPr="00A502F0">
        <w:rPr>
          <w:b/>
          <w:sz w:val="28"/>
          <w:szCs w:val="28"/>
          <w:lang w:val="en-US"/>
        </w:rPr>
        <w:t>Currency rates</w:t>
      </w:r>
    </w:p>
    <w:tbl>
      <w:tblPr>
        <w:tblStyle w:val="40"/>
        <w:tblW w:w="5000" w:type="pct"/>
        <w:jc w:val="center"/>
        <w:tblCellMar>
          <w:top w:w="28" w:type="dxa"/>
          <w:bottom w:w="28" w:type="dxa"/>
        </w:tblCellMar>
        <w:tblLook w:val="04A0" w:firstRow="1" w:lastRow="0" w:firstColumn="1" w:lastColumn="0" w:noHBand="0" w:noVBand="1"/>
      </w:tblPr>
      <w:tblGrid>
        <w:gridCol w:w="3205"/>
        <w:gridCol w:w="3206"/>
        <w:gridCol w:w="3206"/>
      </w:tblGrid>
      <w:tr w:rsidR="003C51B1" w:rsidRPr="00A502F0" w14:paraId="38010D57" w14:textId="77777777" w:rsidTr="007E1311">
        <w:trPr>
          <w:jc w:val="center"/>
        </w:trPr>
        <w:tc>
          <w:tcPr>
            <w:tcW w:w="1666" w:type="pct"/>
            <w:shd w:val="clear" w:color="auto" w:fill="D9D9D9" w:themeFill="background1" w:themeFillShade="D9"/>
            <w:tcMar>
              <w:top w:w="28" w:type="dxa"/>
              <w:bottom w:w="28" w:type="dxa"/>
            </w:tcMar>
            <w:vAlign w:val="center"/>
          </w:tcPr>
          <w:p w14:paraId="4D988D3D" w14:textId="77777777" w:rsidR="003C51B1" w:rsidRPr="00A502F0" w:rsidRDefault="003C51B1" w:rsidP="00A502F0">
            <w:pPr>
              <w:spacing w:line="240" w:lineRule="atLeast"/>
              <w:jc w:val="center"/>
              <w:rPr>
                <w:sz w:val="28"/>
                <w:szCs w:val="28"/>
                <w:lang w:val="en-US"/>
              </w:rPr>
            </w:pPr>
          </w:p>
        </w:tc>
        <w:tc>
          <w:tcPr>
            <w:tcW w:w="1667" w:type="pct"/>
            <w:shd w:val="clear" w:color="auto" w:fill="D9D9D9" w:themeFill="background1" w:themeFillShade="D9"/>
            <w:tcMar>
              <w:top w:w="28" w:type="dxa"/>
              <w:bottom w:w="28" w:type="dxa"/>
            </w:tcMar>
            <w:vAlign w:val="center"/>
          </w:tcPr>
          <w:p w14:paraId="706F3340" w14:textId="77777777" w:rsidR="003C51B1" w:rsidRPr="00A502F0" w:rsidRDefault="003C51B1" w:rsidP="00A502F0">
            <w:pPr>
              <w:spacing w:line="240" w:lineRule="atLeast"/>
              <w:jc w:val="center"/>
              <w:rPr>
                <w:sz w:val="28"/>
                <w:szCs w:val="28"/>
                <w:lang w:val="en-US"/>
              </w:rPr>
            </w:pPr>
            <w:r w:rsidRPr="00A502F0">
              <w:rPr>
                <w:sz w:val="28"/>
                <w:szCs w:val="28"/>
                <w:lang w:val="en-US"/>
              </w:rPr>
              <w:t>Bid</w:t>
            </w:r>
          </w:p>
        </w:tc>
        <w:tc>
          <w:tcPr>
            <w:tcW w:w="1667" w:type="pct"/>
            <w:shd w:val="clear" w:color="auto" w:fill="D9D9D9" w:themeFill="background1" w:themeFillShade="D9"/>
            <w:tcMar>
              <w:top w:w="28" w:type="dxa"/>
              <w:bottom w:w="28" w:type="dxa"/>
            </w:tcMar>
            <w:vAlign w:val="center"/>
          </w:tcPr>
          <w:p w14:paraId="750E1323" w14:textId="77777777" w:rsidR="003C51B1" w:rsidRPr="00A502F0" w:rsidRDefault="003C51B1" w:rsidP="00A502F0">
            <w:pPr>
              <w:spacing w:line="240" w:lineRule="atLeast"/>
              <w:jc w:val="center"/>
              <w:rPr>
                <w:sz w:val="28"/>
                <w:szCs w:val="28"/>
                <w:lang w:val="en-US"/>
              </w:rPr>
            </w:pPr>
            <w:r w:rsidRPr="00A502F0">
              <w:rPr>
                <w:sz w:val="28"/>
                <w:szCs w:val="28"/>
                <w:lang w:val="en-US"/>
              </w:rPr>
              <w:t>Ask</w:t>
            </w:r>
          </w:p>
        </w:tc>
      </w:tr>
      <w:tr w:rsidR="003C51B1" w:rsidRPr="00A502F0" w14:paraId="0F9E2FBB" w14:textId="77777777" w:rsidTr="003C51B1">
        <w:trPr>
          <w:jc w:val="center"/>
        </w:trPr>
        <w:tc>
          <w:tcPr>
            <w:tcW w:w="1666" w:type="pct"/>
            <w:tcMar>
              <w:top w:w="28" w:type="dxa"/>
              <w:bottom w:w="28" w:type="dxa"/>
            </w:tcMar>
            <w:vAlign w:val="center"/>
          </w:tcPr>
          <w:p w14:paraId="1B69A48A" w14:textId="77777777" w:rsidR="003C51B1" w:rsidRPr="00A502F0" w:rsidRDefault="003C51B1" w:rsidP="00A502F0">
            <w:pPr>
              <w:spacing w:line="240" w:lineRule="atLeast"/>
              <w:jc w:val="center"/>
              <w:rPr>
                <w:sz w:val="28"/>
                <w:szCs w:val="28"/>
                <w:lang w:val="en-US"/>
              </w:rPr>
            </w:pPr>
            <w:r w:rsidRPr="00A502F0">
              <w:rPr>
                <w:sz w:val="28"/>
                <w:szCs w:val="28"/>
                <w:lang w:val="en-US"/>
              </w:rPr>
              <w:t>USD/JPY</w:t>
            </w:r>
          </w:p>
        </w:tc>
        <w:tc>
          <w:tcPr>
            <w:tcW w:w="1667" w:type="pct"/>
            <w:tcMar>
              <w:top w:w="28" w:type="dxa"/>
              <w:bottom w:w="28" w:type="dxa"/>
            </w:tcMar>
            <w:vAlign w:val="center"/>
          </w:tcPr>
          <w:p w14:paraId="3EDA051E" w14:textId="77777777" w:rsidR="003C51B1" w:rsidRPr="00A502F0" w:rsidRDefault="003C51B1" w:rsidP="00A502F0">
            <w:pPr>
              <w:spacing w:line="240" w:lineRule="atLeast"/>
              <w:jc w:val="center"/>
              <w:rPr>
                <w:sz w:val="28"/>
                <w:szCs w:val="28"/>
                <w:lang w:val="en-US"/>
              </w:rPr>
            </w:pPr>
            <w:r w:rsidRPr="00A502F0">
              <w:rPr>
                <w:sz w:val="28"/>
                <w:szCs w:val="28"/>
                <w:lang w:val="en-US"/>
              </w:rPr>
              <w:t>120.5300</w:t>
            </w:r>
          </w:p>
        </w:tc>
        <w:tc>
          <w:tcPr>
            <w:tcW w:w="1667" w:type="pct"/>
            <w:tcMar>
              <w:top w:w="28" w:type="dxa"/>
              <w:bottom w:w="28" w:type="dxa"/>
            </w:tcMar>
            <w:vAlign w:val="center"/>
          </w:tcPr>
          <w:p w14:paraId="4D033893" w14:textId="77777777" w:rsidR="003C51B1" w:rsidRPr="00A502F0" w:rsidRDefault="003C51B1" w:rsidP="00A502F0">
            <w:pPr>
              <w:spacing w:line="240" w:lineRule="atLeast"/>
              <w:jc w:val="center"/>
              <w:rPr>
                <w:sz w:val="28"/>
                <w:szCs w:val="28"/>
                <w:lang w:val="en-US"/>
              </w:rPr>
            </w:pPr>
            <w:r w:rsidRPr="00A502F0">
              <w:rPr>
                <w:sz w:val="28"/>
                <w:szCs w:val="28"/>
                <w:lang w:val="en-US"/>
              </w:rPr>
              <w:t>120.5500</w:t>
            </w:r>
          </w:p>
        </w:tc>
      </w:tr>
      <w:tr w:rsidR="003C51B1" w:rsidRPr="00A502F0" w14:paraId="567E2474" w14:textId="77777777" w:rsidTr="003C51B1">
        <w:trPr>
          <w:jc w:val="center"/>
        </w:trPr>
        <w:tc>
          <w:tcPr>
            <w:tcW w:w="1666" w:type="pct"/>
            <w:tcMar>
              <w:top w:w="28" w:type="dxa"/>
              <w:bottom w:w="28" w:type="dxa"/>
            </w:tcMar>
            <w:vAlign w:val="center"/>
          </w:tcPr>
          <w:p w14:paraId="4299C19F" w14:textId="77777777" w:rsidR="003C51B1" w:rsidRPr="00A502F0" w:rsidRDefault="003C51B1" w:rsidP="00A502F0">
            <w:pPr>
              <w:spacing w:line="240" w:lineRule="atLeast"/>
              <w:jc w:val="center"/>
              <w:rPr>
                <w:sz w:val="28"/>
                <w:szCs w:val="28"/>
                <w:lang w:val="en-US"/>
              </w:rPr>
            </w:pPr>
            <w:r w:rsidRPr="00A502F0">
              <w:rPr>
                <w:sz w:val="28"/>
                <w:szCs w:val="28"/>
                <w:lang w:val="en-US"/>
              </w:rPr>
              <w:t>USD/UAH</w:t>
            </w:r>
          </w:p>
        </w:tc>
        <w:tc>
          <w:tcPr>
            <w:tcW w:w="1667" w:type="pct"/>
            <w:tcMar>
              <w:top w:w="28" w:type="dxa"/>
              <w:bottom w:w="28" w:type="dxa"/>
            </w:tcMar>
            <w:vAlign w:val="center"/>
          </w:tcPr>
          <w:p w14:paraId="1FA5BC71" w14:textId="77777777" w:rsidR="003C51B1" w:rsidRPr="00A502F0" w:rsidRDefault="003C51B1" w:rsidP="00A502F0">
            <w:pPr>
              <w:spacing w:line="240" w:lineRule="atLeast"/>
              <w:jc w:val="center"/>
              <w:rPr>
                <w:sz w:val="28"/>
                <w:szCs w:val="28"/>
                <w:lang w:val="en-US"/>
              </w:rPr>
            </w:pPr>
            <w:r w:rsidRPr="00A502F0">
              <w:rPr>
                <w:sz w:val="28"/>
                <w:szCs w:val="28"/>
                <w:lang w:val="en-US"/>
              </w:rPr>
              <w:t>24.6500</w:t>
            </w:r>
          </w:p>
        </w:tc>
        <w:tc>
          <w:tcPr>
            <w:tcW w:w="1667" w:type="pct"/>
            <w:tcMar>
              <w:top w:w="28" w:type="dxa"/>
              <w:bottom w:w="28" w:type="dxa"/>
            </w:tcMar>
            <w:vAlign w:val="center"/>
          </w:tcPr>
          <w:p w14:paraId="343B0010" w14:textId="77777777" w:rsidR="003C51B1" w:rsidRPr="00A502F0" w:rsidRDefault="003C51B1" w:rsidP="00A502F0">
            <w:pPr>
              <w:spacing w:line="240" w:lineRule="atLeast"/>
              <w:jc w:val="center"/>
              <w:rPr>
                <w:sz w:val="28"/>
                <w:szCs w:val="28"/>
                <w:lang w:val="en-US"/>
              </w:rPr>
            </w:pPr>
            <w:r w:rsidRPr="00A502F0">
              <w:rPr>
                <w:sz w:val="28"/>
                <w:szCs w:val="28"/>
                <w:lang w:val="en-US"/>
              </w:rPr>
              <w:t>25.1500</w:t>
            </w:r>
          </w:p>
        </w:tc>
      </w:tr>
    </w:tbl>
    <w:p w14:paraId="40494A49" w14:textId="77777777" w:rsidR="003C51B1" w:rsidRPr="00A502F0" w:rsidRDefault="003C51B1" w:rsidP="00A502F0">
      <w:pPr>
        <w:autoSpaceDE w:val="0"/>
        <w:autoSpaceDN w:val="0"/>
        <w:adjustRightInd w:val="0"/>
        <w:spacing w:line="240" w:lineRule="atLeast"/>
        <w:ind w:firstLine="357"/>
        <w:rPr>
          <w:sz w:val="28"/>
          <w:szCs w:val="28"/>
          <w:lang w:val="en-US"/>
        </w:rPr>
      </w:pPr>
    </w:p>
    <w:p w14:paraId="56B3ABAF" w14:textId="77777777" w:rsidR="003C51B1" w:rsidRPr="007E1311" w:rsidRDefault="003C51B1" w:rsidP="006F749C">
      <w:pPr>
        <w:pStyle w:val="ListParagraph"/>
        <w:numPr>
          <w:ilvl w:val="0"/>
          <w:numId w:val="230"/>
        </w:numPr>
        <w:spacing w:after="0" w:line="240" w:lineRule="atLeast"/>
        <w:ind w:left="426"/>
        <w:jc w:val="both"/>
        <w:rPr>
          <w:rFonts w:ascii="Garamond" w:hAnsi="Garamond"/>
          <w:szCs w:val="28"/>
          <w:lang w:val="en-GB"/>
        </w:rPr>
      </w:pPr>
      <w:r w:rsidRPr="007E1311">
        <w:rPr>
          <w:rFonts w:ascii="Garamond" w:hAnsi="Garamond"/>
          <w:szCs w:val="28"/>
          <w:lang w:val="en-GB"/>
        </w:rPr>
        <w:t>The balance of payments of the country is characterized by the following indicators (</w:t>
      </w:r>
      <w:r w:rsidR="007E1311">
        <w:rPr>
          <w:rFonts w:ascii="Garamond" w:hAnsi="Garamond"/>
          <w:szCs w:val="28"/>
          <w:lang w:val="en-GB"/>
        </w:rPr>
        <w:t>see the box below</w:t>
      </w:r>
      <w:r w:rsidRPr="007E1311">
        <w:rPr>
          <w:rFonts w:ascii="Garamond" w:hAnsi="Garamond"/>
          <w:szCs w:val="28"/>
          <w:lang w:val="en-GB"/>
        </w:rPr>
        <w:t>). Derive the balance of trade, current account balance, capital account balance, financial account balance</w:t>
      </w:r>
      <w:r w:rsidR="00CA6A17">
        <w:rPr>
          <w:rFonts w:ascii="Garamond" w:hAnsi="Garamond"/>
          <w:szCs w:val="28"/>
          <w:lang w:val="en-GB"/>
        </w:rPr>
        <w:t>,</w:t>
      </w:r>
      <w:r w:rsidRPr="007E1311">
        <w:rPr>
          <w:rFonts w:ascii="Garamond" w:hAnsi="Garamond"/>
          <w:szCs w:val="28"/>
          <w:lang w:val="en-GB"/>
        </w:rPr>
        <w:t xml:space="preserve"> and net errors and omissions. </w:t>
      </w:r>
    </w:p>
    <w:p w14:paraId="45CE3842" w14:textId="77777777" w:rsidR="003C51B1" w:rsidRPr="00A502F0" w:rsidRDefault="003C51B1" w:rsidP="00A502F0">
      <w:pPr>
        <w:autoSpaceDE w:val="0"/>
        <w:autoSpaceDN w:val="0"/>
        <w:adjustRightInd w:val="0"/>
        <w:spacing w:line="240" w:lineRule="atLeast"/>
        <w:ind w:firstLine="357"/>
        <w:contextualSpacing/>
        <w:jc w:val="center"/>
        <w:rPr>
          <w:b/>
          <w:sz w:val="28"/>
          <w:szCs w:val="28"/>
          <w:lang w:val="en-US"/>
        </w:rPr>
      </w:pPr>
      <w:r w:rsidRPr="00A502F0">
        <w:rPr>
          <w:b/>
          <w:sz w:val="28"/>
          <w:szCs w:val="28"/>
          <w:lang w:val="en-US"/>
        </w:rPr>
        <w:t>Balance of payments’ indicators</w:t>
      </w:r>
    </w:p>
    <w:tbl>
      <w:tblPr>
        <w:tblStyle w:val="40"/>
        <w:tblpPr w:leftFromText="180" w:rightFromText="180" w:vertAnchor="text" w:tblpXSpec="center" w:tblpY="1"/>
        <w:tblOverlap w:val="never"/>
        <w:tblW w:w="5000" w:type="pct"/>
        <w:tblCellMar>
          <w:top w:w="28" w:type="dxa"/>
          <w:bottom w:w="28" w:type="dxa"/>
        </w:tblCellMar>
        <w:tblLook w:val="04A0" w:firstRow="1" w:lastRow="0" w:firstColumn="1" w:lastColumn="0" w:noHBand="0" w:noVBand="1"/>
      </w:tblPr>
      <w:tblGrid>
        <w:gridCol w:w="4808"/>
        <w:gridCol w:w="4809"/>
      </w:tblGrid>
      <w:tr w:rsidR="003C51B1" w:rsidRPr="00A502F0" w14:paraId="5135777C" w14:textId="77777777" w:rsidTr="007E1311">
        <w:tc>
          <w:tcPr>
            <w:tcW w:w="2500" w:type="pct"/>
            <w:shd w:val="clear" w:color="auto" w:fill="D9D9D9" w:themeFill="background1" w:themeFillShade="D9"/>
            <w:tcMar>
              <w:top w:w="28" w:type="dxa"/>
              <w:bottom w:w="28" w:type="dxa"/>
            </w:tcMar>
            <w:vAlign w:val="center"/>
          </w:tcPr>
          <w:p w14:paraId="13511418"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Indicator</w:t>
            </w:r>
          </w:p>
        </w:tc>
        <w:tc>
          <w:tcPr>
            <w:tcW w:w="2500" w:type="pct"/>
            <w:shd w:val="clear" w:color="auto" w:fill="D9D9D9" w:themeFill="background1" w:themeFillShade="D9"/>
            <w:tcMar>
              <w:top w:w="28" w:type="dxa"/>
              <w:bottom w:w="28" w:type="dxa"/>
            </w:tcMar>
            <w:vAlign w:val="center"/>
          </w:tcPr>
          <w:p w14:paraId="287CA793" w14:textId="77777777" w:rsidR="003C51B1" w:rsidRPr="00A502F0" w:rsidRDefault="003C51B1" w:rsidP="00A502F0">
            <w:pPr>
              <w:spacing w:line="240" w:lineRule="atLeast"/>
              <w:jc w:val="center"/>
              <w:rPr>
                <w:sz w:val="28"/>
                <w:szCs w:val="28"/>
                <w:lang w:val="en-US" w:eastAsia="uk-UA"/>
              </w:rPr>
            </w:pPr>
            <w:r w:rsidRPr="00A502F0">
              <w:rPr>
                <w:sz w:val="28"/>
                <w:szCs w:val="28"/>
                <w:lang w:val="en-US"/>
              </w:rPr>
              <w:t>Billion USD</w:t>
            </w:r>
          </w:p>
        </w:tc>
      </w:tr>
      <w:tr w:rsidR="003C51B1" w:rsidRPr="00A502F0" w14:paraId="2F50A0A5" w14:textId="77777777" w:rsidTr="003C51B1">
        <w:tc>
          <w:tcPr>
            <w:tcW w:w="2500" w:type="pct"/>
            <w:tcMar>
              <w:top w:w="28" w:type="dxa"/>
              <w:bottom w:w="28" w:type="dxa"/>
            </w:tcMar>
            <w:vAlign w:val="center"/>
          </w:tcPr>
          <w:p w14:paraId="0B35BC06" w14:textId="77777777" w:rsidR="003C51B1" w:rsidRPr="00A502F0" w:rsidRDefault="003C51B1" w:rsidP="00A502F0">
            <w:pPr>
              <w:spacing w:line="240" w:lineRule="atLeast"/>
              <w:rPr>
                <w:sz w:val="28"/>
                <w:szCs w:val="28"/>
                <w:lang w:val="en-US" w:eastAsia="uk-UA"/>
              </w:rPr>
            </w:pPr>
            <w:r w:rsidRPr="00A502F0">
              <w:rPr>
                <w:sz w:val="28"/>
                <w:szCs w:val="28"/>
                <w:lang w:val="en-US" w:eastAsia="uk-UA"/>
              </w:rPr>
              <w:t>Exports of goods</w:t>
            </w:r>
          </w:p>
        </w:tc>
        <w:tc>
          <w:tcPr>
            <w:tcW w:w="2500" w:type="pct"/>
            <w:tcMar>
              <w:top w:w="28" w:type="dxa"/>
              <w:bottom w:w="28" w:type="dxa"/>
            </w:tcMar>
            <w:vAlign w:val="center"/>
          </w:tcPr>
          <w:p w14:paraId="277ADBD7"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160</w:t>
            </w:r>
          </w:p>
        </w:tc>
      </w:tr>
      <w:tr w:rsidR="003C51B1" w:rsidRPr="00A502F0" w14:paraId="32C22F84" w14:textId="77777777" w:rsidTr="003C51B1">
        <w:tc>
          <w:tcPr>
            <w:tcW w:w="2500" w:type="pct"/>
            <w:tcMar>
              <w:top w:w="28" w:type="dxa"/>
              <w:bottom w:w="28" w:type="dxa"/>
            </w:tcMar>
            <w:vAlign w:val="center"/>
          </w:tcPr>
          <w:p w14:paraId="432FB61A" w14:textId="77777777" w:rsidR="003C51B1" w:rsidRPr="00A502F0" w:rsidRDefault="003C51B1" w:rsidP="00A502F0">
            <w:pPr>
              <w:spacing w:line="240" w:lineRule="atLeast"/>
              <w:rPr>
                <w:sz w:val="28"/>
                <w:szCs w:val="28"/>
                <w:lang w:val="en-US" w:eastAsia="uk-UA"/>
              </w:rPr>
            </w:pPr>
            <w:r w:rsidRPr="00A502F0">
              <w:rPr>
                <w:sz w:val="28"/>
                <w:szCs w:val="28"/>
                <w:lang w:val="en-US" w:eastAsia="uk-UA"/>
              </w:rPr>
              <w:t>Imports of goods</w:t>
            </w:r>
          </w:p>
        </w:tc>
        <w:tc>
          <w:tcPr>
            <w:tcW w:w="2500" w:type="pct"/>
            <w:tcMar>
              <w:top w:w="28" w:type="dxa"/>
              <w:bottom w:w="28" w:type="dxa"/>
            </w:tcMar>
            <w:vAlign w:val="center"/>
          </w:tcPr>
          <w:p w14:paraId="1869ED52"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75</w:t>
            </w:r>
          </w:p>
        </w:tc>
      </w:tr>
      <w:tr w:rsidR="003C51B1" w:rsidRPr="00A502F0" w14:paraId="56DE5F42" w14:textId="77777777" w:rsidTr="003C51B1">
        <w:tc>
          <w:tcPr>
            <w:tcW w:w="2500" w:type="pct"/>
            <w:tcMar>
              <w:top w:w="28" w:type="dxa"/>
              <w:bottom w:w="28" w:type="dxa"/>
            </w:tcMar>
            <w:vAlign w:val="center"/>
          </w:tcPr>
          <w:p w14:paraId="5EA5B4CA" w14:textId="77777777" w:rsidR="003C51B1" w:rsidRPr="00A502F0" w:rsidRDefault="003C51B1" w:rsidP="00A502F0">
            <w:pPr>
              <w:spacing w:line="240" w:lineRule="atLeast"/>
              <w:rPr>
                <w:sz w:val="28"/>
                <w:szCs w:val="28"/>
                <w:lang w:val="en-US" w:eastAsia="uk-UA"/>
              </w:rPr>
            </w:pPr>
            <w:r w:rsidRPr="00A502F0">
              <w:rPr>
                <w:sz w:val="28"/>
                <w:szCs w:val="28"/>
                <w:lang w:val="en-US" w:eastAsia="uk-UA"/>
              </w:rPr>
              <w:t>Exports of services</w:t>
            </w:r>
          </w:p>
        </w:tc>
        <w:tc>
          <w:tcPr>
            <w:tcW w:w="2500" w:type="pct"/>
            <w:tcMar>
              <w:top w:w="28" w:type="dxa"/>
              <w:bottom w:w="28" w:type="dxa"/>
            </w:tcMar>
            <w:vAlign w:val="center"/>
          </w:tcPr>
          <w:p w14:paraId="1615A16C"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30</w:t>
            </w:r>
          </w:p>
        </w:tc>
      </w:tr>
      <w:tr w:rsidR="003C51B1" w:rsidRPr="00A502F0" w14:paraId="1A8368F1" w14:textId="77777777" w:rsidTr="003C51B1">
        <w:tc>
          <w:tcPr>
            <w:tcW w:w="2500" w:type="pct"/>
            <w:tcMar>
              <w:top w:w="28" w:type="dxa"/>
              <w:bottom w:w="28" w:type="dxa"/>
            </w:tcMar>
            <w:vAlign w:val="center"/>
          </w:tcPr>
          <w:p w14:paraId="2BF95B91" w14:textId="77777777" w:rsidR="003C51B1" w:rsidRPr="00A502F0" w:rsidRDefault="003C51B1" w:rsidP="00A502F0">
            <w:pPr>
              <w:spacing w:line="240" w:lineRule="atLeast"/>
              <w:rPr>
                <w:sz w:val="28"/>
                <w:szCs w:val="28"/>
                <w:lang w:val="en-US" w:eastAsia="uk-UA"/>
              </w:rPr>
            </w:pPr>
            <w:r w:rsidRPr="00A502F0">
              <w:rPr>
                <w:sz w:val="28"/>
                <w:szCs w:val="28"/>
                <w:lang w:val="en-US" w:eastAsia="uk-UA"/>
              </w:rPr>
              <w:t>Imports of services</w:t>
            </w:r>
          </w:p>
        </w:tc>
        <w:tc>
          <w:tcPr>
            <w:tcW w:w="2500" w:type="pct"/>
            <w:tcMar>
              <w:top w:w="28" w:type="dxa"/>
              <w:bottom w:w="28" w:type="dxa"/>
            </w:tcMar>
            <w:vAlign w:val="center"/>
          </w:tcPr>
          <w:p w14:paraId="183A956E"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20</w:t>
            </w:r>
          </w:p>
        </w:tc>
      </w:tr>
      <w:tr w:rsidR="003C51B1" w:rsidRPr="00A502F0" w14:paraId="345FC018" w14:textId="77777777" w:rsidTr="003C51B1">
        <w:tc>
          <w:tcPr>
            <w:tcW w:w="2500" w:type="pct"/>
            <w:tcMar>
              <w:top w:w="28" w:type="dxa"/>
              <w:bottom w:w="28" w:type="dxa"/>
            </w:tcMar>
            <w:vAlign w:val="center"/>
          </w:tcPr>
          <w:p w14:paraId="3E5DA012" w14:textId="77777777" w:rsidR="003C51B1" w:rsidRPr="00A502F0" w:rsidRDefault="003C51B1" w:rsidP="00A502F0">
            <w:pPr>
              <w:spacing w:line="240" w:lineRule="atLeast"/>
              <w:rPr>
                <w:sz w:val="28"/>
                <w:szCs w:val="28"/>
                <w:lang w:val="en-US" w:eastAsia="uk-UA"/>
              </w:rPr>
            </w:pPr>
            <w:r w:rsidRPr="00A502F0">
              <w:rPr>
                <w:sz w:val="28"/>
                <w:szCs w:val="28"/>
                <w:lang w:val="en-US" w:eastAsia="uk-UA"/>
              </w:rPr>
              <w:t>Net primary income (credit)</w:t>
            </w:r>
          </w:p>
        </w:tc>
        <w:tc>
          <w:tcPr>
            <w:tcW w:w="2500" w:type="pct"/>
            <w:tcMar>
              <w:top w:w="28" w:type="dxa"/>
              <w:bottom w:w="28" w:type="dxa"/>
            </w:tcMar>
            <w:vAlign w:val="center"/>
          </w:tcPr>
          <w:p w14:paraId="28D2A70F"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10</w:t>
            </w:r>
          </w:p>
        </w:tc>
      </w:tr>
      <w:tr w:rsidR="003C51B1" w:rsidRPr="00A502F0" w14:paraId="35B255B1" w14:textId="77777777" w:rsidTr="003C51B1">
        <w:tc>
          <w:tcPr>
            <w:tcW w:w="2500" w:type="pct"/>
            <w:tcMar>
              <w:top w:w="28" w:type="dxa"/>
              <w:bottom w:w="28" w:type="dxa"/>
            </w:tcMar>
            <w:vAlign w:val="center"/>
          </w:tcPr>
          <w:p w14:paraId="585923CC" w14:textId="77777777" w:rsidR="003C51B1" w:rsidRPr="00A502F0" w:rsidRDefault="003C51B1" w:rsidP="00A502F0">
            <w:pPr>
              <w:spacing w:line="240" w:lineRule="atLeast"/>
              <w:rPr>
                <w:sz w:val="28"/>
                <w:szCs w:val="28"/>
                <w:lang w:val="en-US" w:eastAsia="uk-UA" w:bidi="ru-RU"/>
              </w:rPr>
            </w:pPr>
            <w:r w:rsidRPr="00A502F0">
              <w:rPr>
                <w:sz w:val="28"/>
                <w:szCs w:val="28"/>
                <w:lang w:val="en-US" w:eastAsia="uk-UA" w:bidi="ru-RU"/>
              </w:rPr>
              <w:t>Capital transfers inflows</w:t>
            </w:r>
          </w:p>
        </w:tc>
        <w:tc>
          <w:tcPr>
            <w:tcW w:w="2500" w:type="pct"/>
            <w:tcMar>
              <w:top w:w="28" w:type="dxa"/>
              <w:bottom w:w="28" w:type="dxa"/>
            </w:tcMar>
            <w:vAlign w:val="center"/>
          </w:tcPr>
          <w:p w14:paraId="6EBF2319"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55</w:t>
            </w:r>
          </w:p>
        </w:tc>
      </w:tr>
      <w:tr w:rsidR="003C51B1" w:rsidRPr="00A502F0" w14:paraId="1E914AD3" w14:textId="77777777" w:rsidTr="003C51B1">
        <w:tc>
          <w:tcPr>
            <w:tcW w:w="2500" w:type="pct"/>
            <w:tcMar>
              <w:top w:w="28" w:type="dxa"/>
              <w:bottom w:w="28" w:type="dxa"/>
            </w:tcMar>
            <w:vAlign w:val="center"/>
          </w:tcPr>
          <w:p w14:paraId="158E3873" w14:textId="77777777" w:rsidR="003C51B1" w:rsidRPr="00A502F0" w:rsidRDefault="003C51B1" w:rsidP="00A502F0">
            <w:pPr>
              <w:spacing w:line="240" w:lineRule="atLeast"/>
              <w:rPr>
                <w:sz w:val="28"/>
                <w:szCs w:val="28"/>
                <w:lang w:val="en-US" w:eastAsia="uk-UA"/>
              </w:rPr>
            </w:pPr>
            <w:r w:rsidRPr="00A502F0">
              <w:rPr>
                <w:sz w:val="28"/>
                <w:szCs w:val="28"/>
                <w:lang w:val="en-US" w:eastAsia="uk-UA" w:bidi="ru-RU"/>
              </w:rPr>
              <w:t>Capital transfers outflows</w:t>
            </w:r>
          </w:p>
        </w:tc>
        <w:tc>
          <w:tcPr>
            <w:tcW w:w="2500" w:type="pct"/>
            <w:tcMar>
              <w:top w:w="28" w:type="dxa"/>
              <w:bottom w:w="28" w:type="dxa"/>
            </w:tcMar>
            <w:vAlign w:val="center"/>
          </w:tcPr>
          <w:p w14:paraId="0C1862C1"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150</w:t>
            </w:r>
          </w:p>
        </w:tc>
      </w:tr>
      <w:tr w:rsidR="003C51B1" w:rsidRPr="00A502F0" w14:paraId="6606622F" w14:textId="77777777" w:rsidTr="003C51B1">
        <w:tc>
          <w:tcPr>
            <w:tcW w:w="2500" w:type="pct"/>
            <w:tcMar>
              <w:top w:w="28" w:type="dxa"/>
              <w:bottom w:w="28" w:type="dxa"/>
            </w:tcMar>
            <w:vAlign w:val="center"/>
          </w:tcPr>
          <w:p w14:paraId="46F049C8" w14:textId="77777777" w:rsidR="003C51B1" w:rsidRPr="00A502F0" w:rsidRDefault="003C51B1" w:rsidP="00A502F0">
            <w:pPr>
              <w:spacing w:line="240" w:lineRule="atLeast"/>
              <w:rPr>
                <w:sz w:val="28"/>
                <w:szCs w:val="28"/>
                <w:lang w:val="en-US" w:eastAsia="uk-UA"/>
              </w:rPr>
            </w:pPr>
            <w:r w:rsidRPr="00A502F0">
              <w:rPr>
                <w:sz w:val="28"/>
                <w:szCs w:val="28"/>
                <w:lang w:val="en-US" w:eastAsia="uk-UA" w:bidi="ru-RU"/>
              </w:rPr>
              <w:t>Reserve assets (net acquisition)</w:t>
            </w:r>
          </w:p>
        </w:tc>
        <w:tc>
          <w:tcPr>
            <w:tcW w:w="2500" w:type="pct"/>
            <w:tcMar>
              <w:top w:w="28" w:type="dxa"/>
              <w:bottom w:w="28" w:type="dxa"/>
            </w:tcMar>
            <w:vAlign w:val="center"/>
          </w:tcPr>
          <w:p w14:paraId="0B4B624A"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15</w:t>
            </w:r>
          </w:p>
        </w:tc>
      </w:tr>
      <w:tr w:rsidR="003C51B1" w:rsidRPr="00A502F0" w14:paraId="7AE3FB83" w14:textId="77777777" w:rsidTr="003C51B1">
        <w:tc>
          <w:tcPr>
            <w:tcW w:w="2500" w:type="pct"/>
            <w:tcMar>
              <w:top w:w="28" w:type="dxa"/>
              <w:bottom w:w="28" w:type="dxa"/>
            </w:tcMar>
            <w:vAlign w:val="center"/>
          </w:tcPr>
          <w:p w14:paraId="1DF192D9" w14:textId="77777777" w:rsidR="003C51B1" w:rsidRPr="00A502F0" w:rsidRDefault="003C51B1" w:rsidP="00A502F0">
            <w:pPr>
              <w:spacing w:line="240" w:lineRule="atLeast"/>
              <w:rPr>
                <w:sz w:val="28"/>
                <w:szCs w:val="28"/>
                <w:lang w:val="en-US" w:eastAsia="uk-UA"/>
              </w:rPr>
            </w:pPr>
            <w:r w:rsidRPr="00A502F0">
              <w:rPr>
                <w:sz w:val="28"/>
                <w:szCs w:val="28"/>
                <w:lang w:val="en-US" w:eastAsia="uk-UA"/>
              </w:rPr>
              <w:t>Direct investments abroad</w:t>
            </w:r>
          </w:p>
        </w:tc>
        <w:tc>
          <w:tcPr>
            <w:tcW w:w="2500" w:type="pct"/>
            <w:tcMar>
              <w:top w:w="28" w:type="dxa"/>
              <w:bottom w:w="28" w:type="dxa"/>
            </w:tcMar>
            <w:vAlign w:val="center"/>
          </w:tcPr>
          <w:p w14:paraId="579B4647"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20</w:t>
            </w:r>
          </w:p>
        </w:tc>
      </w:tr>
      <w:tr w:rsidR="003C51B1" w:rsidRPr="00A502F0" w14:paraId="566FD0C0" w14:textId="77777777" w:rsidTr="003C51B1">
        <w:tc>
          <w:tcPr>
            <w:tcW w:w="2500" w:type="pct"/>
            <w:tcMar>
              <w:top w:w="28" w:type="dxa"/>
              <w:bottom w:w="28" w:type="dxa"/>
            </w:tcMar>
            <w:vAlign w:val="center"/>
          </w:tcPr>
          <w:p w14:paraId="1734DC1C" w14:textId="77777777" w:rsidR="003C51B1" w:rsidRPr="00A502F0" w:rsidRDefault="003C51B1" w:rsidP="00A502F0">
            <w:pPr>
              <w:spacing w:line="240" w:lineRule="atLeast"/>
              <w:rPr>
                <w:sz w:val="28"/>
                <w:szCs w:val="28"/>
                <w:lang w:val="en-US" w:eastAsia="uk-UA"/>
              </w:rPr>
            </w:pPr>
            <w:r w:rsidRPr="00A502F0">
              <w:rPr>
                <w:sz w:val="28"/>
                <w:szCs w:val="28"/>
                <w:lang w:val="en-US" w:eastAsia="uk-UA" w:bidi="ru-RU"/>
              </w:rPr>
              <w:t>Net errors and omissions</w:t>
            </w:r>
          </w:p>
        </w:tc>
        <w:tc>
          <w:tcPr>
            <w:tcW w:w="2500" w:type="pct"/>
            <w:tcMar>
              <w:top w:w="28" w:type="dxa"/>
              <w:bottom w:w="28" w:type="dxa"/>
            </w:tcMar>
            <w:vAlign w:val="center"/>
          </w:tcPr>
          <w:p w14:paraId="61ECD9E3" w14:textId="77777777" w:rsidR="003C51B1" w:rsidRPr="00A502F0" w:rsidRDefault="003C51B1" w:rsidP="00A502F0">
            <w:pPr>
              <w:spacing w:line="240" w:lineRule="atLeast"/>
              <w:jc w:val="center"/>
              <w:rPr>
                <w:sz w:val="28"/>
                <w:szCs w:val="28"/>
                <w:lang w:val="en-US" w:eastAsia="uk-UA"/>
              </w:rPr>
            </w:pPr>
            <w:r w:rsidRPr="00A502F0">
              <w:rPr>
                <w:sz w:val="28"/>
                <w:szCs w:val="28"/>
                <w:lang w:val="en-US" w:eastAsia="uk-UA"/>
              </w:rPr>
              <w:t>?</w:t>
            </w:r>
          </w:p>
        </w:tc>
      </w:tr>
    </w:tbl>
    <w:p w14:paraId="1AA8362F" w14:textId="77777777" w:rsidR="007E1311" w:rsidRPr="007E1311" w:rsidRDefault="007E1311" w:rsidP="006F749C">
      <w:pPr>
        <w:pStyle w:val="ListParagraph"/>
        <w:numPr>
          <w:ilvl w:val="0"/>
          <w:numId w:val="230"/>
        </w:numPr>
        <w:spacing w:after="0" w:line="240" w:lineRule="atLeast"/>
        <w:ind w:left="426"/>
        <w:jc w:val="both"/>
        <w:rPr>
          <w:rFonts w:ascii="Garamond" w:hAnsi="Garamond"/>
          <w:szCs w:val="28"/>
          <w:lang w:val="en-GB"/>
        </w:rPr>
      </w:pPr>
      <w:r w:rsidRPr="007E1311">
        <w:rPr>
          <w:rFonts w:ascii="Garamond" w:hAnsi="Garamond"/>
          <w:szCs w:val="28"/>
          <w:lang w:val="en-GB"/>
        </w:rPr>
        <w:lastRenderedPageBreak/>
        <w:t>The balance of payments of the country is characterized by the following indicators:</w:t>
      </w:r>
    </w:p>
    <w:p w14:paraId="42337A26" w14:textId="77777777" w:rsidR="007E1311" w:rsidRPr="007E1311" w:rsidRDefault="00CA6A17" w:rsidP="007E1311">
      <w:pPr>
        <w:spacing w:line="240" w:lineRule="atLeast"/>
        <w:ind w:firstLine="357"/>
        <w:jc w:val="both"/>
        <w:rPr>
          <w:sz w:val="28"/>
          <w:szCs w:val="28"/>
          <w:lang w:val="en-US"/>
        </w:rPr>
      </w:pPr>
      <w:r>
        <w:rPr>
          <w:sz w:val="28"/>
          <w:szCs w:val="28"/>
          <w:lang w:val="en-US"/>
        </w:rPr>
        <w:t>a)</w:t>
      </w:r>
      <w:r>
        <w:rPr>
          <w:sz w:val="28"/>
          <w:szCs w:val="28"/>
          <w:lang w:val="en-US"/>
        </w:rPr>
        <w:tab/>
        <w:t>trade balance: -</w:t>
      </w:r>
      <w:r w:rsidR="007E1311" w:rsidRPr="007E1311">
        <w:rPr>
          <w:sz w:val="28"/>
          <w:szCs w:val="28"/>
          <w:lang w:val="en-US"/>
        </w:rPr>
        <w:t>45 million USD;</w:t>
      </w:r>
    </w:p>
    <w:p w14:paraId="4BE1CBCF" w14:textId="77777777" w:rsidR="007E1311" w:rsidRPr="007E1311" w:rsidRDefault="00CA6A17" w:rsidP="007E1311">
      <w:pPr>
        <w:spacing w:line="240" w:lineRule="atLeast"/>
        <w:ind w:firstLine="357"/>
        <w:jc w:val="both"/>
        <w:rPr>
          <w:sz w:val="28"/>
          <w:szCs w:val="28"/>
          <w:lang w:val="en-US"/>
        </w:rPr>
      </w:pPr>
      <w:r>
        <w:rPr>
          <w:sz w:val="28"/>
          <w:szCs w:val="28"/>
          <w:lang w:val="en-US"/>
        </w:rPr>
        <w:t>b)</w:t>
      </w:r>
      <w:r>
        <w:rPr>
          <w:sz w:val="28"/>
          <w:szCs w:val="28"/>
          <w:lang w:val="en-US"/>
        </w:rPr>
        <w:tab/>
        <w:t>current account balance: -</w:t>
      </w:r>
      <w:r w:rsidR="007E1311" w:rsidRPr="007E1311">
        <w:rPr>
          <w:sz w:val="28"/>
          <w:szCs w:val="28"/>
          <w:lang w:val="en-US"/>
        </w:rPr>
        <w:t>40 million USD;</w:t>
      </w:r>
    </w:p>
    <w:p w14:paraId="3054B365" w14:textId="77777777" w:rsidR="007E1311" w:rsidRPr="007E1311" w:rsidRDefault="007E1311" w:rsidP="007E1311">
      <w:pPr>
        <w:spacing w:line="240" w:lineRule="atLeast"/>
        <w:ind w:firstLine="357"/>
        <w:jc w:val="both"/>
        <w:rPr>
          <w:sz w:val="28"/>
          <w:szCs w:val="28"/>
          <w:lang w:val="en-US"/>
        </w:rPr>
      </w:pPr>
      <w:r w:rsidRPr="007E1311">
        <w:rPr>
          <w:sz w:val="28"/>
          <w:szCs w:val="28"/>
          <w:lang w:val="en-US"/>
        </w:rPr>
        <w:t>c)</w:t>
      </w:r>
      <w:r w:rsidRPr="007E1311">
        <w:rPr>
          <w:sz w:val="28"/>
          <w:szCs w:val="28"/>
          <w:lang w:val="en-US"/>
        </w:rPr>
        <w:tab/>
        <w:t>capital account balance: 10 million USD;</w:t>
      </w:r>
    </w:p>
    <w:p w14:paraId="3C72F273" w14:textId="77777777" w:rsidR="007E1311" w:rsidRPr="007E1311" w:rsidRDefault="007E1311" w:rsidP="007E1311">
      <w:pPr>
        <w:spacing w:line="240" w:lineRule="atLeast"/>
        <w:ind w:firstLine="357"/>
        <w:jc w:val="both"/>
        <w:rPr>
          <w:sz w:val="28"/>
          <w:szCs w:val="28"/>
          <w:lang w:val="en-US"/>
        </w:rPr>
      </w:pPr>
      <w:r w:rsidRPr="007E1311">
        <w:rPr>
          <w:sz w:val="28"/>
          <w:szCs w:val="28"/>
          <w:lang w:val="en-US"/>
        </w:rPr>
        <w:t>d)</w:t>
      </w:r>
      <w:r w:rsidRPr="007E1311">
        <w:rPr>
          <w:sz w:val="28"/>
          <w:szCs w:val="28"/>
          <w:lang w:val="en-US"/>
        </w:rPr>
        <w:tab/>
        <w:t>change in reserve assets: 5 million USD.</w:t>
      </w:r>
    </w:p>
    <w:p w14:paraId="20CBE791" w14:textId="77777777" w:rsidR="007E1311" w:rsidRPr="007E1311" w:rsidRDefault="007E1311" w:rsidP="007E1311">
      <w:pPr>
        <w:spacing w:line="240" w:lineRule="atLeast"/>
        <w:ind w:firstLine="357"/>
        <w:jc w:val="both"/>
        <w:rPr>
          <w:sz w:val="28"/>
          <w:szCs w:val="28"/>
          <w:lang w:val="en-US"/>
        </w:rPr>
      </w:pPr>
      <w:r w:rsidRPr="007E1311">
        <w:rPr>
          <w:sz w:val="28"/>
          <w:szCs w:val="28"/>
          <w:lang w:val="en-US"/>
        </w:rPr>
        <w:t xml:space="preserve">Is </w:t>
      </w:r>
      <w:r w:rsidR="00D003A0">
        <w:rPr>
          <w:sz w:val="28"/>
          <w:szCs w:val="28"/>
          <w:lang w:val="en-US"/>
        </w:rPr>
        <w:t>the following assertion</w:t>
      </w:r>
      <w:r w:rsidRPr="007E1311">
        <w:rPr>
          <w:sz w:val="28"/>
          <w:szCs w:val="28"/>
          <w:lang w:val="en-US"/>
        </w:rPr>
        <w:t xml:space="preserve"> true</w:t>
      </w:r>
      <w:r w:rsidR="00CA6A17">
        <w:rPr>
          <w:sz w:val="28"/>
          <w:szCs w:val="28"/>
          <w:lang w:val="en-US"/>
        </w:rPr>
        <w:t>?</w:t>
      </w:r>
    </w:p>
    <w:p w14:paraId="497F6B95" w14:textId="77777777" w:rsidR="007E1311" w:rsidRPr="007E1311" w:rsidRDefault="007E1311" w:rsidP="007E1311">
      <w:pPr>
        <w:spacing w:line="240" w:lineRule="atLeast"/>
        <w:ind w:firstLine="357"/>
        <w:jc w:val="both"/>
        <w:rPr>
          <w:sz w:val="28"/>
          <w:szCs w:val="28"/>
          <w:lang w:val="en-US"/>
        </w:rPr>
      </w:pPr>
      <w:r w:rsidRPr="007E1311">
        <w:rPr>
          <w:sz w:val="28"/>
          <w:szCs w:val="28"/>
          <w:lang w:val="en-US"/>
        </w:rPr>
        <w:t>a)</w:t>
      </w:r>
      <w:r w:rsidRPr="007E1311">
        <w:rPr>
          <w:sz w:val="28"/>
          <w:szCs w:val="28"/>
          <w:lang w:val="en-US"/>
        </w:rPr>
        <w:tab/>
        <w:t>financial account balan</w:t>
      </w:r>
      <w:r w:rsidR="00CA6A17">
        <w:rPr>
          <w:sz w:val="28"/>
          <w:szCs w:val="28"/>
          <w:lang w:val="en-US"/>
        </w:rPr>
        <w:t>ce of the country has a surplus;</w:t>
      </w:r>
    </w:p>
    <w:p w14:paraId="384F1F07" w14:textId="77777777" w:rsidR="007E1311" w:rsidRPr="007E1311" w:rsidRDefault="007E1311" w:rsidP="007E1311">
      <w:pPr>
        <w:spacing w:line="240" w:lineRule="atLeast"/>
        <w:ind w:firstLine="357"/>
        <w:jc w:val="both"/>
        <w:rPr>
          <w:sz w:val="28"/>
          <w:szCs w:val="28"/>
          <w:lang w:val="en-US"/>
        </w:rPr>
      </w:pPr>
      <w:r w:rsidRPr="007E1311">
        <w:rPr>
          <w:sz w:val="28"/>
          <w:szCs w:val="28"/>
          <w:lang w:val="en-US"/>
        </w:rPr>
        <w:t>b)</w:t>
      </w:r>
      <w:r w:rsidRPr="007E1311">
        <w:rPr>
          <w:sz w:val="28"/>
          <w:szCs w:val="28"/>
          <w:lang w:val="en-US"/>
        </w:rPr>
        <w:tab/>
        <w:t>primary and secondary</w:t>
      </w:r>
      <w:r w:rsidR="00CA6A17">
        <w:rPr>
          <w:sz w:val="28"/>
          <w:szCs w:val="28"/>
          <w:lang w:val="en-US"/>
        </w:rPr>
        <w:t xml:space="preserve"> income accounts have a surplus;</w:t>
      </w:r>
    </w:p>
    <w:p w14:paraId="4E661899" w14:textId="77777777" w:rsidR="007E1311" w:rsidRDefault="007E1311" w:rsidP="007E1311">
      <w:pPr>
        <w:spacing w:line="240" w:lineRule="atLeast"/>
        <w:ind w:firstLine="357"/>
        <w:jc w:val="both"/>
        <w:rPr>
          <w:sz w:val="28"/>
          <w:szCs w:val="28"/>
          <w:lang w:val="en-US"/>
        </w:rPr>
      </w:pPr>
      <w:r w:rsidRPr="007E1311">
        <w:rPr>
          <w:sz w:val="28"/>
          <w:szCs w:val="28"/>
          <w:lang w:val="en-US"/>
        </w:rPr>
        <w:t>c</w:t>
      </w:r>
      <w:r w:rsidR="00CA6A17">
        <w:rPr>
          <w:sz w:val="28"/>
          <w:szCs w:val="28"/>
          <w:lang w:val="en-US"/>
        </w:rPr>
        <w:t>)</w:t>
      </w:r>
      <w:r w:rsidR="00CA6A17">
        <w:rPr>
          <w:sz w:val="28"/>
          <w:szCs w:val="28"/>
          <w:lang w:val="en-US"/>
        </w:rPr>
        <w:tab/>
        <w:t>the country is a net borrower.</w:t>
      </w:r>
    </w:p>
    <w:p w14:paraId="3DCA833E" w14:textId="77777777" w:rsidR="007E1311" w:rsidRDefault="007E1311" w:rsidP="007E1311">
      <w:pPr>
        <w:spacing w:line="240" w:lineRule="atLeast"/>
        <w:ind w:firstLine="357"/>
        <w:jc w:val="both"/>
        <w:rPr>
          <w:sz w:val="28"/>
          <w:szCs w:val="28"/>
          <w:lang w:val="en-US"/>
        </w:rPr>
      </w:pPr>
    </w:p>
    <w:p w14:paraId="1D19BD50" w14:textId="77777777" w:rsidR="003C51B1" w:rsidRPr="007E1311" w:rsidRDefault="003C51B1" w:rsidP="006F749C">
      <w:pPr>
        <w:pStyle w:val="ListParagraph"/>
        <w:numPr>
          <w:ilvl w:val="0"/>
          <w:numId w:val="230"/>
        </w:numPr>
        <w:spacing w:after="0" w:line="240" w:lineRule="atLeast"/>
        <w:ind w:left="426"/>
        <w:jc w:val="both"/>
        <w:rPr>
          <w:rFonts w:ascii="Garamond" w:hAnsi="Garamond"/>
          <w:szCs w:val="28"/>
          <w:lang w:val="en-GB"/>
        </w:rPr>
      </w:pPr>
      <w:r w:rsidRPr="007E1311">
        <w:rPr>
          <w:rFonts w:ascii="Garamond" w:hAnsi="Garamond"/>
          <w:szCs w:val="28"/>
          <w:lang w:val="en-GB"/>
        </w:rPr>
        <w:t>Complete the current account of the country (</w:t>
      </w:r>
      <w:r w:rsidR="007E1311">
        <w:rPr>
          <w:rFonts w:ascii="Garamond" w:hAnsi="Garamond"/>
          <w:szCs w:val="28"/>
          <w:lang w:val="en-GB"/>
        </w:rPr>
        <w:t>see the box below</w:t>
      </w:r>
      <w:r w:rsidRPr="007E1311">
        <w:rPr>
          <w:rFonts w:ascii="Garamond" w:hAnsi="Garamond"/>
          <w:szCs w:val="28"/>
          <w:lang w:val="en-GB"/>
        </w:rPr>
        <w:t>), using the following data:</w:t>
      </w:r>
    </w:p>
    <w:p w14:paraId="7F806D17" w14:textId="77777777" w:rsidR="003C51B1" w:rsidRPr="00A502F0" w:rsidRDefault="003C51B1" w:rsidP="006F749C">
      <w:pPr>
        <w:numPr>
          <w:ilvl w:val="0"/>
          <w:numId w:val="86"/>
        </w:numPr>
        <w:spacing w:line="240" w:lineRule="atLeast"/>
        <w:contextualSpacing/>
        <w:jc w:val="both"/>
        <w:rPr>
          <w:sz w:val="28"/>
          <w:szCs w:val="28"/>
          <w:lang w:val="en-US"/>
        </w:rPr>
      </w:pPr>
      <w:r w:rsidRPr="00A502F0">
        <w:rPr>
          <w:sz w:val="28"/>
          <w:szCs w:val="28"/>
          <w:lang w:val="en-US"/>
        </w:rPr>
        <w:t>exports of goods – 304</w:t>
      </w:r>
      <w:r w:rsidR="00CA6A17">
        <w:rPr>
          <w:sz w:val="28"/>
          <w:szCs w:val="28"/>
          <w:lang w:val="en-US"/>
        </w:rPr>
        <w:t>.59</w:t>
      </w:r>
      <w:r w:rsidRPr="00A502F0">
        <w:rPr>
          <w:sz w:val="28"/>
          <w:szCs w:val="28"/>
          <w:lang w:val="en-US"/>
        </w:rPr>
        <w:t xml:space="preserve"> </w:t>
      </w:r>
      <w:r w:rsidR="00CA6A17">
        <w:rPr>
          <w:sz w:val="28"/>
          <w:szCs w:val="28"/>
          <w:lang w:val="en-US"/>
        </w:rPr>
        <w:t>b</w:t>
      </w:r>
      <w:r w:rsidRPr="00A502F0">
        <w:rPr>
          <w:sz w:val="28"/>
          <w:szCs w:val="28"/>
          <w:lang w:val="en-US"/>
        </w:rPr>
        <w:t>illion USD;</w:t>
      </w:r>
    </w:p>
    <w:p w14:paraId="7CE6130C" w14:textId="77777777" w:rsidR="003C51B1" w:rsidRPr="00A502F0" w:rsidRDefault="003C51B1" w:rsidP="006F749C">
      <w:pPr>
        <w:numPr>
          <w:ilvl w:val="0"/>
          <w:numId w:val="86"/>
        </w:numPr>
        <w:spacing w:line="240" w:lineRule="atLeast"/>
        <w:contextualSpacing/>
        <w:jc w:val="both"/>
        <w:rPr>
          <w:sz w:val="28"/>
          <w:szCs w:val="28"/>
          <w:lang w:val="en-US"/>
        </w:rPr>
      </w:pPr>
      <w:r w:rsidRPr="00A502F0">
        <w:rPr>
          <w:sz w:val="28"/>
          <w:szCs w:val="28"/>
          <w:lang w:val="en-US"/>
        </w:rPr>
        <w:t>exports of services – 206</w:t>
      </w:r>
      <w:r w:rsidR="00CA6A17">
        <w:rPr>
          <w:sz w:val="28"/>
          <w:szCs w:val="28"/>
          <w:lang w:val="en-US"/>
        </w:rPr>
        <w:t>.70</w:t>
      </w:r>
      <w:r w:rsidRPr="00A502F0">
        <w:rPr>
          <w:sz w:val="28"/>
          <w:szCs w:val="28"/>
          <w:lang w:val="en-US"/>
        </w:rPr>
        <w:t xml:space="preserve"> </w:t>
      </w:r>
      <w:r w:rsidR="00CA6A17">
        <w:rPr>
          <w:sz w:val="28"/>
          <w:szCs w:val="28"/>
          <w:lang w:val="en-US"/>
        </w:rPr>
        <w:t>b</w:t>
      </w:r>
      <w:r w:rsidRPr="00A502F0">
        <w:rPr>
          <w:sz w:val="28"/>
          <w:szCs w:val="28"/>
          <w:lang w:val="en-US"/>
        </w:rPr>
        <w:t>illion USD;</w:t>
      </w:r>
    </w:p>
    <w:p w14:paraId="2175B1C4" w14:textId="77777777" w:rsidR="003C51B1" w:rsidRPr="00A502F0" w:rsidRDefault="003C51B1" w:rsidP="006F749C">
      <w:pPr>
        <w:numPr>
          <w:ilvl w:val="0"/>
          <w:numId w:val="86"/>
        </w:numPr>
        <w:spacing w:line="240" w:lineRule="atLeast"/>
        <w:contextualSpacing/>
        <w:jc w:val="both"/>
        <w:rPr>
          <w:sz w:val="28"/>
          <w:szCs w:val="28"/>
          <w:lang w:val="en-US"/>
        </w:rPr>
      </w:pPr>
      <w:r w:rsidRPr="00A502F0">
        <w:rPr>
          <w:sz w:val="28"/>
          <w:szCs w:val="28"/>
          <w:lang w:val="en-US"/>
        </w:rPr>
        <w:t>imports of goods – 412</w:t>
      </w:r>
      <w:r w:rsidR="00CA6A17">
        <w:rPr>
          <w:sz w:val="28"/>
          <w:szCs w:val="28"/>
          <w:lang w:val="en-US"/>
        </w:rPr>
        <w:t>.05</w:t>
      </w:r>
      <w:r w:rsidRPr="00A502F0">
        <w:rPr>
          <w:sz w:val="28"/>
          <w:szCs w:val="28"/>
          <w:lang w:val="en-US"/>
        </w:rPr>
        <w:t xml:space="preserve"> </w:t>
      </w:r>
      <w:r w:rsidR="00CA6A17">
        <w:rPr>
          <w:sz w:val="28"/>
          <w:szCs w:val="28"/>
          <w:lang w:val="en-US"/>
        </w:rPr>
        <w:t>b</w:t>
      </w:r>
      <w:r w:rsidRPr="00A502F0">
        <w:rPr>
          <w:sz w:val="28"/>
          <w:szCs w:val="28"/>
          <w:lang w:val="en-US"/>
        </w:rPr>
        <w:t>illion USD;</w:t>
      </w:r>
    </w:p>
    <w:p w14:paraId="3B31702A" w14:textId="77777777" w:rsidR="003C51B1" w:rsidRPr="00A502F0" w:rsidRDefault="003C51B1" w:rsidP="006F749C">
      <w:pPr>
        <w:numPr>
          <w:ilvl w:val="0"/>
          <w:numId w:val="86"/>
        </w:numPr>
        <w:spacing w:line="240" w:lineRule="atLeast"/>
        <w:contextualSpacing/>
        <w:jc w:val="both"/>
        <w:rPr>
          <w:sz w:val="28"/>
          <w:szCs w:val="28"/>
          <w:lang w:val="en-US"/>
        </w:rPr>
      </w:pPr>
      <w:r w:rsidRPr="00A502F0">
        <w:rPr>
          <w:sz w:val="28"/>
          <w:szCs w:val="28"/>
          <w:lang w:val="en-US"/>
        </w:rPr>
        <w:t>imports of services – 121</w:t>
      </w:r>
      <w:r w:rsidR="00CA6A17">
        <w:rPr>
          <w:sz w:val="28"/>
          <w:szCs w:val="28"/>
          <w:lang w:val="en-US"/>
        </w:rPr>
        <w:t>.74</w:t>
      </w:r>
      <w:r w:rsidRPr="00A502F0">
        <w:rPr>
          <w:sz w:val="28"/>
          <w:szCs w:val="28"/>
          <w:lang w:val="en-US"/>
        </w:rPr>
        <w:t xml:space="preserve"> </w:t>
      </w:r>
      <w:r w:rsidR="00CA6A17">
        <w:rPr>
          <w:sz w:val="28"/>
          <w:szCs w:val="28"/>
          <w:lang w:val="en-US"/>
        </w:rPr>
        <w:t>b</w:t>
      </w:r>
      <w:r w:rsidRPr="00A502F0">
        <w:rPr>
          <w:sz w:val="28"/>
          <w:szCs w:val="28"/>
          <w:lang w:val="en-US"/>
        </w:rPr>
        <w:t>illion USD.</w:t>
      </w:r>
    </w:p>
    <w:p w14:paraId="72A8CB6E" w14:textId="77777777" w:rsidR="003C51B1" w:rsidRPr="00A502F0" w:rsidRDefault="003C51B1" w:rsidP="00A502F0">
      <w:pPr>
        <w:spacing w:line="240" w:lineRule="atLeast"/>
        <w:ind w:firstLine="357"/>
        <w:jc w:val="both"/>
        <w:rPr>
          <w:sz w:val="28"/>
          <w:szCs w:val="28"/>
          <w:lang w:val="en-US"/>
        </w:rPr>
      </w:pPr>
      <w:r w:rsidRPr="00A502F0">
        <w:rPr>
          <w:sz w:val="28"/>
          <w:szCs w:val="28"/>
          <w:lang w:val="en-US"/>
        </w:rPr>
        <w:t xml:space="preserve">Calculate the missing values. </w:t>
      </w:r>
    </w:p>
    <w:p w14:paraId="50912270" w14:textId="77777777" w:rsidR="007E1311" w:rsidRDefault="007E1311" w:rsidP="00A502F0">
      <w:pPr>
        <w:autoSpaceDE w:val="0"/>
        <w:autoSpaceDN w:val="0"/>
        <w:adjustRightInd w:val="0"/>
        <w:spacing w:line="240" w:lineRule="atLeast"/>
        <w:ind w:firstLine="357"/>
        <w:contextualSpacing/>
        <w:jc w:val="center"/>
        <w:rPr>
          <w:b/>
          <w:sz w:val="28"/>
          <w:szCs w:val="28"/>
          <w:lang w:val="en-US"/>
        </w:rPr>
      </w:pPr>
    </w:p>
    <w:p w14:paraId="6AE2F6AE" w14:textId="77777777" w:rsidR="003C51B1" w:rsidRPr="00A502F0" w:rsidRDefault="003C51B1" w:rsidP="00A502F0">
      <w:pPr>
        <w:autoSpaceDE w:val="0"/>
        <w:autoSpaceDN w:val="0"/>
        <w:adjustRightInd w:val="0"/>
        <w:spacing w:line="240" w:lineRule="atLeast"/>
        <w:ind w:firstLine="357"/>
        <w:contextualSpacing/>
        <w:jc w:val="center"/>
        <w:rPr>
          <w:b/>
          <w:sz w:val="28"/>
          <w:szCs w:val="28"/>
          <w:lang w:val="en-US"/>
        </w:rPr>
      </w:pPr>
      <w:r w:rsidRPr="00A502F0">
        <w:rPr>
          <w:b/>
          <w:sz w:val="28"/>
          <w:szCs w:val="28"/>
          <w:lang w:val="en-US"/>
        </w:rPr>
        <w:t xml:space="preserve">Current Account, </w:t>
      </w:r>
      <w:r w:rsidR="00CA6A17">
        <w:rPr>
          <w:b/>
          <w:sz w:val="28"/>
          <w:szCs w:val="28"/>
          <w:lang w:val="en-US"/>
        </w:rPr>
        <w:t>b</w:t>
      </w:r>
      <w:r w:rsidRPr="00A502F0">
        <w:rPr>
          <w:b/>
          <w:sz w:val="28"/>
          <w:szCs w:val="28"/>
          <w:lang w:val="en-US"/>
        </w:rPr>
        <w:t>illion USD</w:t>
      </w:r>
    </w:p>
    <w:tbl>
      <w:tblPr>
        <w:tblStyle w:val="40"/>
        <w:tblW w:w="5000" w:type="pct"/>
        <w:jc w:val="center"/>
        <w:tblLook w:val="04A0" w:firstRow="1" w:lastRow="0" w:firstColumn="1" w:lastColumn="0" w:noHBand="0" w:noVBand="1"/>
      </w:tblPr>
      <w:tblGrid>
        <w:gridCol w:w="3987"/>
        <w:gridCol w:w="2816"/>
        <w:gridCol w:w="2814"/>
      </w:tblGrid>
      <w:tr w:rsidR="003C51B1" w:rsidRPr="00A502F0" w14:paraId="2E9D2B22" w14:textId="77777777" w:rsidTr="007E1311">
        <w:trPr>
          <w:jc w:val="center"/>
        </w:trPr>
        <w:tc>
          <w:tcPr>
            <w:tcW w:w="2073" w:type="pct"/>
            <w:shd w:val="clear" w:color="auto" w:fill="D9D9D9" w:themeFill="background1" w:themeFillShade="D9"/>
            <w:tcMar>
              <w:top w:w="28" w:type="dxa"/>
              <w:bottom w:w="28" w:type="dxa"/>
            </w:tcMar>
            <w:vAlign w:val="center"/>
          </w:tcPr>
          <w:p w14:paraId="201E62CE" w14:textId="77777777" w:rsidR="003C51B1" w:rsidRPr="00A502F0" w:rsidRDefault="003C51B1" w:rsidP="00A502F0">
            <w:pPr>
              <w:spacing w:line="240" w:lineRule="atLeast"/>
              <w:jc w:val="center"/>
              <w:rPr>
                <w:sz w:val="28"/>
                <w:szCs w:val="28"/>
                <w:lang w:val="en-US"/>
              </w:rPr>
            </w:pPr>
            <w:r w:rsidRPr="00A502F0">
              <w:rPr>
                <w:sz w:val="28"/>
                <w:szCs w:val="28"/>
                <w:lang w:val="en-US"/>
              </w:rPr>
              <w:t>Indicator</w:t>
            </w:r>
          </w:p>
        </w:tc>
        <w:tc>
          <w:tcPr>
            <w:tcW w:w="1464" w:type="pct"/>
            <w:shd w:val="clear" w:color="auto" w:fill="D9D9D9" w:themeFill="background1" w:themeFillShade="D9"/>
            <w:tcMar>
              <w:top w:w="28" w:type="dxa"/>
              <w:bottom w:w="28" w:type="dxa"/>
            </w:tcMar>
          </w:tcPr>
          <w:p w14:paraId="48C13A66" w14:textId="77777777" w:rsidR="003C51B1" w:rsidRPr="00A502F0" w:rsidRDefault="003C51B1" w:rsidP="00A502F0">
            <w:pPr>
              <w:spacing w:line="240" w:lineRule="atLeast"/>
              <w:contextualSpacing/>
              <w:jc w:val="center"/>
              <w:rPr>
                <w:b/>
                <w:sz w:val="28"/>
                <w:szCs w:val="28"/>
                <w:lang w:val="en-US" w:bidi="ru-RU"/>
              </w:rPr>
            </w:pPr>
            <w:r w:rsidRPr="00A502F0">
              <w:rPr>
                <w:b/>
                <w:sz w:val="28"/>
                <w:szCs w:val="28"/>
                <w:lang w:val="en-US" w:bidi="ru-RU"/>
              </w:rPr>
              <w:t>Credits</w:t>
            </w:r>
          </w:p>
        </w:tc>
        <w:tc>
          <w:tcPr>
            <w:tcW w:w="1463" w:type="pct"/>
            <w:shd w:val="clear" w:color="auto" w:fill="D9D9D9" w:themeFill="background1" w:themeFillShade="D9"/>
            <w:tcMar>
              <w:top w:w="28" w:type="dxa"/>
              <w:bottom w:w="28" w:type="dxa"/>
            </w:tcMar>
          </w:tcPr>
          <w:p w14:paraId="37EA326C" w14:textId="77777777" w:rsidR="003C51B1" w:rsidRPr="00A502F0" w:rsidRDefault="003C51B1" w:rsidP="00A502F0">
            <w:pPr>
              <w:spacing w:line="240" w:lineRule="atLeast"/>
              <w:jc w:val="center"/>
              <w:rPr>
                <w:b/>
                <w:sz w:val="28"/>
                <w:szCs w:val="28"/>
                <w:lang w:val="en-US" w:bidi="ru-RU"/>
              </w:rPr>
            </w:pPr>
            <w:r w:rsidRPr="00A502F0">
              <w:rPr>
                <w:b/>
                <w:sz w:val="28"/>
                <w:szCs w:val="28"/>
                <w:lang w:val="en-US" w:bidi="ru-RU"/>
              </w:rPr>
              <w:t>Debits</w:t>
            </w:r>
          </w:p>
        </w:tc>
      </w:tr>
      <w:tr w:rsidR="003C51B1" w:rsidRPr="00A502F0" w14:paraId="637E7918" w14:textId="77777777" w:rsidTr="003C51B1">
        <w:trPr>
          <w:jc w:val="center"/>
        </w:trPr>
        <w:tc>
          <w:tcPr>
            <w:tcW w:w="2073" w:type="pct"/>
            <w:tcMar>
              <w:top w:w="28" w:type="dxa"/>
              <w:bottom w:w="28" w:type="dxa"/>
            </w:tcMar>
            <w:vAlign w:val="center"/>
          </w:tcPr>
          <w:p w14:paraId="5E8C7F48"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rFonts w:cs="StoneSans"/>
                <w:sz w:val="28"/>
                <w:szCs w:val="28"/>
                <w:lang w:val="en-US"/>
              </w:rPr>
              <w:t>Goods</w:t>
            </w:r>
          </w:p>
        </w:tc>
        <w:tc>
          <w:tcPr>
            <w:tcW w:w="1464" w:type="pct"/>
            <w:tcMar>
              <w:top w:w="28" w:type="dxa"/>
              <w:bottom w:w="28" w:type="dxa"/>
            </w:tcMar>
            <w:vAlign w:val="center"/>
          </w:tcPr>
          <w:p w14:paraId="4EFBD562" w14:textId="77777777" w:rsidR="003C51B1" w:rsidRPr="00A502F0" w:rsidRDefault="003C51B1" w:rsidP="00A502F0">
            <w:pPr>
              <w:autoSpaceDE w:val="0"/>
              <w:autoSpaceDN w:val="0"/>
              <w:adjustRightInd w:val="0"/>
              <w:spacing w:line="240" w:lineRule="atLeast"/>
              <w:contextualSpacing/>
              <w:jc w:val="center"/>
              <w:rPr>
                <w:sz w:val="28"/>
                <w:szCs w:val="28"/>
                <w:lang w:val="en-US"/>
              </w:rPr>
            </w:pPr>
          </w:p>
        </w:tc>
        <w:tc>
          <w:tcPr>
            <w:tcW w:w="1463" w:type="pct"/>
            <w:tcMar>
              <w:top w:w="28" w:type="dxa"/>
              <w:bottom w:w="28" w:type="dxa"/>
            </w:tcMar>
            <w:vAlign w:val="center"/>
          </w:tcPr>
          <w:p w14:paraId="2E35DD7B" w14:textId="77777777" w:rsidR="003C51B1" w:rsidRPr="00A502F0" w:rsidRDefault="003C51B1" w:rsidP="00A502F0">
            <w:pPr>
              <w:autoSpaceDE w:val="0"/>
              <w:autoSpaceDN w:val="0"/>
              <w:adjustRightInd w:val="0"/>
              <w:spacing w:line="240" w:lineRule="atLeast"/>
              <w:contextualSpacing/>
              <w:jc w:val="center"/>
              <w:rPr>
                <w:sz w:val="28"/>
                <w:szCs w:val="28"/>
                <w:lang w:val="en-US"/>
              </w:rPr>
            </w:pPr>
          </w:p>
        </w:tc>
      </w:tr>
      <w:tr w:rsidR="003C51B1" w:rsidRPr="00A502F0" w14:paraId="5A23C4CD" w14:textId="77777777" w:rsidTr="003C51B1">
        <w:trPr>
          <w:jc w:val="center"/>
        </w:trPr>
        <w:tc>
          <w:tcPr>
            <w:tcW w:w="2073" w:type="pct"/>
            <w:tcMar>
              <w:top w:w="28" w:type="dxa"/>
              <w:bottom w:w="28" w:type="dxa"/>
            </w:tcMar>
            <w:vAlign w:val="center"/>
          </w:tcPr>
          <w:p w14:paraId="05F87D84"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rFonts w:cs="StoneSans"/>
                <w:sz w:val="28"/>
                <w:szCs w:val="28"/>
                <w:lang w:val="en-US"/>
              </w:rPr>
              <w:t>Services</w:t>
            </w:r>
          </w:p>
        </w:tc>
        <w:tc>
          <w:tcPr>
            <w:tcW w:w="1464" w:type="pct"/>
            <w:tcMar>
              <w:top w:w="28" w:type="dxa"/>
              <w:bottom w:w="28" w:type="dxa"/>
            </w:tcMar>
            <w:vAlign w:val="center"/>
          </w:tcPr>
          <w:p w14:paraId="28F3E4BB" w14:textId="77777777" w:rsidR="003C51B1" w:rsidRPr="00A502F0" w:rsidRDefault="003C51B1" w:rsidP="00A502F0">
            <w:pPr>
              <w:autoSpaceDE w:val="0"/>
              <w:autoSpaceDN w:val="0"/>
              <w:adjustRightInd w:val="0"/>
              <w:spacing w:line="240" w:lineRule="atLeast"/>
              <w:contextualSpacing/>
              <w:jc w:val="center"/>
              <w:rPr>
                <w:sz w:val="28"/>
                <w:szCs w:val="28"/>
                <w:lang w:val="en-US"/>
              </w:rPr>
            </w:pPr>
          </w:p>
        </w:tc>
        <w:tc>
          <w:tcPr>
            <w:tcW w:w="1463" w:type="pct"/>
            <w:tcMar>
              <w:top w:w="28" w:type="dxa"/>
              <w:bottom w:w="28" w:type="dxa"/>
            </w:tcMar>
            <w:vAlign w:val="center"/>
          </w:tcPr>
          <w:p w14:paraId="2F9AA11E" w14:textId="77777777" w:rsidR="003C51B1" w:rsidRPr="00A502F0" w:rsidRDefault="003C51B1" w:rsidP="00A502F0">
            <w:pPr>
              <w:autoSpaceDE w:val="0"/>
              <w:autoSpaceDN w:val="0"/>
              <w:adjustRightInd w:val="0"/>
              <w:spacing w:line="240" w:lineRule="atLeast"/>
              <w:contextualSpacing/>
              <w:jc w:val="center"/>
              <w:rPr>
                <w:sz w:val="28"/>
                <w:szCs w:val="28"/>
                <w:lang w:val="en-US"/>
              </w:rPr>
            </w:pPr>
          </w:p>
        </w:tc>
      </w:tr>
      <w:tr w:rsidR="003C51B1" w:rsidRPr="00A502F0" w14:paraId="35444278" w14:textId="77777777" w:rsidTr="003C51B1">
        <w:trPr>
          <w:jc w:val="center"/>
        </w:trPr>
        <w:tc>
          <w:tcPr>
            <w:tcW w:w="2073" w:type="pct"/>
            <w:tcMar>
              <w:top w:w="28" w:type="dxa"/>
              <w:bottom w:w="28" w:type="dxa"/>
            </w:tcMar>
            <w:vAlign w:val="center"/>
          </w:tcPr>
          <w:p w14:paraId="2941E290" w14:textId="77777777" w:rsidR="003C51B1" w:rsidRPr="00A502F0" w:rsidRDefault="003C51B1" w:rsidP="00A502F0">
            <w:pPr>
              <w:autoSpaceDE w:val="0"/>
              <w:autoSpaceDN w:val="0"/>
              <w:adjustRightInd w:val="0"/>
              <w:spacing w:line="240" w:lineRule="atLeast"/>
              <w:jc w:val="right"/>
              <w:rPr>
                <w:rFonts w:cs="StoneSans"/>
                <w:b/>
                <w:sz w:val="28"/>
                <w:szCs w:val="28"/>
                <w:lang w:val="en-US"/>
              </w:rPr>
            </w:pPr>
            <w:r w:rsidRPr="00A502F0">
              <w:rPr>
                <w:rFonts w:cs="StoneSans"/>
                <w:b/>
                <w:sz w:val="28"/>
                <w:szCs w:val="28"/>
                <w:lang w:val="en-US"/>
              </w:rPr>
              <w:t>Total trade in goods and services</w:t>
            </w:r>
          </w:p>
        </w:tc>
        <w:tc>
          <w:tcPr>
            <w:tcW w:w="2927" w:type="pct"/>
            <w:gridSpan w:val="2"/>
            <w:tcMar>
              <w:top w:w="28" w:type="dxa"/>
              <w:bottom w:w="28" w:type="dxa"/>
            </w:tcMar>
            <w:vAlign w:val="center"/>
          </w:tcPr>
          <w:p w14:paraId="5F9D6BFA"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p>
        </w:tc>
      </w:tr>
      <w:tr w:rsidR="003C51B1" w:rsidRPr="00A502F0" w14:paraId="2D7F605D" w14:textId="77777777" w:rsidTr="003C51B1">
        <w:trPr>
          <w:jc w:val="center"/>
        </w:trPr>
        <w:tc>
          <w:tcPr>
            <w:tcW w:w="2073" w:type="pct"/>
            <w:tcMar>
              <w:top w:w="28" w:type="dxa"/>
              <w:bottom w:w="28" w:type="dxa"/>
            </w:tcMar>
            <w:vAlign w:val="center"/>
          </w:tcPr>
          <w:p w14:paraId="16B6B79C"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rFonts w:cs="StoneSans"/>
                <w:sz w:val="28"/>
                <w:szCs w:val="28"/>
                <w:lang w:val="en-US"/>
              </w:rPr>
              <w:t>Compensation of employees</w:t>
            </w:r>
          </w:p>
        </w:tc>
        <w:tc>
          <w:tcPr>
            <w:tcW w:w="1464" w:type="pct"/>
            <w:tcMar>
              <w:top w:w="28" w:type="dxa"/>
              <w:bottom w:w="28" w:type="dxa"/>
            </w:tcMar>
            <w:vAlign w:val="center"/>
          </w:tcPr>
          <w:p w14:paraId="7AAE901E"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1</w:t>
            </w:r>
            <w:r w:rsidR="00CA6A17">
              <w:rPr>
                <w:rFonts w:cs="StoneSans"/>
                <w:sz w:val="28"/>
                <w:szCs w:val="28"/>
                <w:lang w:val="en-US"/>
              </w:rPr>
              <w:t>.</w:t>
            </w:r>
            <w:r w:rsidRPr="00A502F0">
              <w:rPr>
                <w:rFonts w:cs="StoneSans"/>
                <w:sz w:val="28"/>
                <w:szCs w:val="28"/>
                <w:lang w:val="en-US"/>
              </w:rPr>
              <w:t>0</w:t>
            </w:r>
            <w:r w:rsidR="00CA6A17">
              <w:rPr>
                <w:rFonts w:cs="StoneSans"/>
                <w:sz w:val="28"/>
                <w:szCs w:val="28"/>
                <w:lang w:val="en-US"/>
              </w:rPr>
              <w:t>6</w:t>
            </w:r>
          </w:p>
        </w:tc>
        <w:tc>
          <w:tcPr>
            <w:tcW w:w="1463" w:type="pct"/>
            <w:tcMar>
              <w:top w:w="28" w:type="dxa"/>
              <w:bottom w:w="28" w:type="dxa"/>
            </w:tcMar>
            <w:vAlign w:val="center"/>
          </w:tcPr>
          <w:p w14:paraId="15DBD4CC"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1</w:t>
            </w:r>
            <w:r w:rsidR="00CA6A17">
              <w:rPr>
                <w:rFonts w:cs="StoneSans"/>
                <w:sz w:val="28"/>
                <w:szCs w:val="28"/>
                <w:lang w:val="en-US"/>
              </w:rPr>
              <w:t>.51</w:t>
            </w:r>
          </w:p>
        </w:tc>
      </w:tr>
      <w:tr w:rsidR="003C51B1" w:rsidRPr="00A502F0" w14:paraId="689A7C55" w14:textId="77777777" w:rsidTr="003C51B1">
        <w:trPr>
          <w:jc w:val="center"/>
        </w:trPr>
        <w:tc>
          <w:tcPr>
            <w:tcW w:w="2073" w:type="pct"/>
            <w:tcMar>
              <w:top w:w="28" w:type="dxa"/>
              <w:bottom w:w="28" w:type="dxa"/>
            </w:tcMar>
            <w:vAlign w:val="center"/>
          </w:tcPr>
          <w:p w14:paraId="0AA0A9DA"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sz w:val="28"/>
                <w:szCs w:val="28"/>
                <w:lang w:val="en-US"/>
              </w:rPr>
              <w:t>Investment income</w:t>
            </w:r>
          </w:p>
        </w:tc>
        <w:tc>
          <w:tcPr>
            <w:tcW w:w="1464" w:type="pct"/>
            <w:tcMar>
              <w:top w:w="28" w:type="dxa"/>
              <w:bottom w:w="28" w:type="dxa"/>
            </w:tcMar>
            <w:vAlign w:val="center"/>
          </w:tcPr>
          <w:p w14:paraId="50A0D068"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150</w:t>
            </w:r>
            <w:r w:rsidR="00CA6A17">
              <w:rPr>
                <w:rFonts w:cs="StoneSans"/>
                <w:sz w:val="28"/>
                <w:szCs w:val="28"/>
                <w:lang w:val="en-US"/>
              </w:rPr>
              <w:t>.40</w:t>
            </w:r>
          </w:p>
        </w:tc>
        <w:tc>
          <w:tcPr>
            <w:tcW w:w="1463" w:type="pct"/>
            <w:tcMar>
              <w:top w:w="28" w:type="dxa"/>
              <w:bottom w:w="28" w:type="dxa"/>
            </w:tcMar>
            <w:vAlign w:val="center"/>
          </w:tcPr>
          <w:p w14:paraId="4468192C"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170</w:t>
            </w:r>
            <w:r w:rsidR="00CA6A17">
              <w:rPr>
                <w:rFonts w:cs="StoneSans"/>
                <w:sz w:val="28"/>
                <w:szCs w:val="28"/>
                <w:lang w:val="en-US"/>
              </w:rPr>
              <w:t>.54</w:t>
            </w:r>
          </w:p>
        </w:tc>
      </w:tr>
      <w:tr w:rsidR="003C51B1" w:rsidRPr="00A502F0" w14:paraId="1EA57E4D" w14:textId="77777777" w:rsidTr="003C51B1">
        <w:trPr>
          <w:jc w:val="center"/>
        </w:trPr>
        <w:tc>
          <w:tcPr>
            <w:tcW w:w="2073" w:type="pct"/>
            <w:tcMar>
              <w:top w:w="28" w:type="dxa"/>
              <w:bottom w:w="28" w:type="dxa"/>
            </w:tcMar>
            <w:vAlign w:val="center"/>
          </w:tcPr>
          <w:p w14:paraId="09A0B06F"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sz w:val="28"/>
                <w:szCs w:val="28"/>
                <w:lang w:val="en-US"/>
              </w:rPr>
              <w:t>Other primary income</w:t>
            </w:r>
          </w:p>
        </w:tc>
        <w:tc>
          <w:tcPr>
            <w:tcW w:w="1464" w:type="pct"/>
            <w:tcMar>
              <w:top w:w="28" w:type="dxa"/>
              <w:bottom w:w="28" w:type="dxa"/>
            </w:tcMar>
            <w:vAlign w:val="center"/>
          </w:tcPr>
          <w:p w14:paraId="749D46D9"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2</w:t>
            </w:r>
            <w:r w:rsidR="00CA6A17">
              <w:rPr>
                <w:rFonts w:cs="StoneSans"/>
                <w:sz w:val="28"/>
                <w:szCs w:val="28"/>
                <w:lang w:val="en-US"/>
              </w:rPr>
              <w:t>.89</w:t>
            </w:r>
          </w:p>
        </w:tc>
        <w:tc>
          <w:tcPr>
            <w:tcW w:w="1463" w:type="pct"/>
            <w:tcMar>
              <w:top w:w="28" w:type="dxa"/>
              <w:bottom w:w="28" w:type="dxa"/>
            </w:tcMar>
            <w:vAlign w:val="center"/>
          </w:tcPr>
          <w:p w14:paraId="50B3D955"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2</w:t>
            </w:r>
            <w:r w:rsidR="00CA6A17">
              <w:rPr>
                <w:rFonts w:cs="StoneSans"/>
                <w:sz w:val="28"/>
                <w:szCs w:val="28"/>
                <w:lang w:val="en-US"/>
              </w:rPr>
              <w:t>.93</w:t>
            </w:r>
          </w:p>
        </w:tc>
      </w:tr>
      <w:tr w:rsidR="003C51B1" w:rsidRPr="00A502F0" w14:paraId="4625C87B" w14:textId="77777777" w:rsidTr="003C51B1">
        <w:trPr>
          <w:jc w:val="center"/>
        </w:trPr>
        <w:tc>
          <w:tcPr>
            <w:tcW w:w="2073" w:type="pct"/>
            <w:tcMar>
              <w:top w:w="28" w:type="dxa"/>
              <w:bottom w:w="28" w:type="dxa"/>
            </w:tcMar>
            <w:vAlign w:val="center"/>
          </w:tcPr>
          <w:p w14:paraId="4DEB2371" w14:textId="77777777" w:rsidR="003C51B1" w:rsidRPr="00A502F0" w:rsidRDefault="003C51B1" w:rsidP="00A502F0">
            <w:pPr>
              <w:autoSpaceDE w:val="0"/>
              <w:autoSpaceDN w:val="0"/>
              <w:adjustRightInd w:val="0"/>
              <w:spacing w:line="240" w:lineRule="atLeast"/>
              <w:jc w:val="right"/>
              <w:rPr>
                <w:rFonts w:cs="StoneSans"/>
                <w:b/>
                <w:sz w:val="28"/>
                <w:szCs w:val="28"/>
                <w:lang w:val="en-US"/>
              </w:rPr>
            </w:pPr>
            <w:r w:rsidRPr="00A502F0">
              <w:rPr>
                <w:rFonts w:cs="StoneSans"/>
                <w:b/>
                <w:sz w:val="28"/>
                <w:szCs w:val="28"/>
                <w:lang w:val="en-US"/>
              </w:rPr>
              <w:t>Total primary income</w:t>
            </w:r>
          </w:p>
        </w:tc>
        <w:tc>
          <w:tcPr>
            <w:tcW w:w="2927" w:type="pct"/>
            <w:gridSpan w:val="2"/>
            <w:tcMar>
              <w:top w:w="28" w:type="dxa"/>
              <w:bottom w:w="28" w:type="dxa"/>
            </w:tcMar>
            <w:vAlign w:val="center"/>
          </w:tcPr>
          <w:p w14:paraId="50BB8D3A"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p>
        </w:tc>
      </w:tr>
      <w:tr w:rsidR="003C51B1" w:rsidRPr="00A502F0" w14:paraId="74EF506D" w14:textId="77777777" w:rsidTr="003C51B1">
        <w:trPr>
          <w:jc w:val="center"/>
        </w:trPr>
        <w:tc>
          <w:tcPr>
            <w:tcW w:w="2073" w:type="pct"/>
            <w:tcMar>
              <w:top w:w="28" w:type="dxa"/>
              <w:bottom w:w="28" w:type="dxa"/>
            </w:tcMar>
            <w:vAlign w:val="center"/>
          </w:tcPr>
          <w:p w14:paraId="3288EB6E"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sz w:val="28"/>
                <w:szCs w:val="28"/>
                <w:lang w:val="en-US"/>
              </w:rPr>
              <w:t>General government</w:t>
            </w:r>
          </w:p>
        </w:tc>
        <w:tc>
          <w:tcPr>
            <w:tcW w:w="1464" w:type="pct"/>
            <w:tcMar>
              <w:top w:w="28" w:type="dxa"/>
              <w:bottom w:w="28" w:type="dxa"/>
            </w:tcMar>
            <w:vAlign w:val="center"/>
          </w:tcPr>
          <w:p w14:paraId="49BC9F25"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4</w:t>
            </w:r>
            <w:r w:rsidR="00CA6A17">
              <w:rPr>
                <w:rFonts w:cs="StoneSans"/>
                <w:sz w:val="28"/>
                <w:szCs w:val="28"/>
                <w:lang w:val="en-US"/>
              </w:rPr>
              <w:t>.35</w:t>
            </w:r>
          </w:p>
        </w:tc>
        <w:tc>
          <w:tcPr>
            <w:tcW w:w="1463" w:type="pct"/>
            <w:tcMar>
              <w:top w:w="28" w:type="dxa"/>
              <w:bottom w:w="28" w:type="dxa"/>
            </w:tcMar>
            <w:vAlign w:val="center"/>
          </w:tcPr>
          <w:p w14:paraId="64323385"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26</w:t>
            </w:r>
            <w:r w:rsidR="00CA6A17">
              <w:rPr>
                <w:rFonts w:cs="StoneSans"/>
                <w:sz w:val="28"/>
                <w:szCs w:val="28"/>
                <w:lang w:val="en-US"/>
              </w:rPr>
              <w:t>.72</w:t>
            </w:r>
          </w:p>
        </w:tc>
      </w:tr>
      <w:tr w:rsidR="003C51B1" w:rsidRPr="00A502F0" w14:paraId="7881BD84" w14:textId="77777777" w:rsidTr="003C51B1">
        <w:trPr>
          <w:jc w:val="center"/>
        </w:trPr>
        <w:tc>
          <w:tcPr>
            <w:tcW w:w="2073" w:type="pct"/>
            <w:tcMar>
              <w:top w:w="28" w:type="dxa"/>
              <w:bottom w:w="28" w:type="dxa"/>
            </w:tcMar>
            <w:vAlign w:val="center"/>
          </w:tcPr>
          <w:p w14:paraId="1BED6102" w14:textId="77777777" w:rsidR="003C51B1" w:rsidRPr="00A502F0" w:rsidRDefault="003C51B1" w:rsidP="00A502F0">
            <w:pPr>
              <w:autoSpaceDE w:val="0"/>
              <w:autoSpaceDN w:val="0"/>
              <w:adjustRightInd w:val="0"/>
              <w:spacing w:line="240" w:lineRule="atLeast"/>
              <w:rPr>
                <w:rFonts w:cs="StoneSans"/>
                <w:sz w:val="28"/>
                <w:szCs w:val="28"/>
                <w:lang w:val="en-US"/>
              </w:rPr>
            </w:pPr>
            <w:r w:rsidRPr="00A502F0">
              <w:rPr>
                <w:sz w:val="28"/>
                <w:szCs w:val="28"/>
                <w:lang w:val="en-US"/>
              </w:rPr>
              <w:t>Other sectors</w:t>
            </w:r>
          </w:p>
        </w:tc>
        <w:tc>
          <w:tcPr>
            <w:tcW w:w="1464" w:type="pct"/>
            <w:tcMar>
              <w:top w:w="28" w:type="dxa"/>
              <w:bottom w:w="28" w:type="dxa"/>
            </w:tcMar>
            <w:vAlign w:val="center"/>
          </w:tcPr>
          <w:p w14:paraId="7CAF437E"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13</w:t>
            </w:r>
            <w:r w:rsidR="00CA6A17">
              <w:rPr>
                <w:rFonts w:cs="StoneSans"/>
                <w:sz w:val="28"/>
                <w:szCs w:val="28"/>
                <w:lang w:val="en-US"/>
              </w:rPr>
              <w:t>.20</w:t>
            </w:r>
          </w:p>
        </w:tc>
        <w:tc>
          <w:tcPr>
            <w:tcW w:w="1463" w:type="pct"/>
            <w:tcMar>
              <w:top w:w="28" w:type="dxa"/>
              <w:bottom w:w="28" w:type="dxa"/>
            </w:tcMar>
            <w:vAlign w:val="center"/>
          </w:tcPr>
          <w:p w14:paraId="6ABD3AB2"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r w:rsidRPr="00A502F0">
              <w:rPr>
                <w:rFonts w:cs="StoneSans"/>
                <w:sz w:val="28"/>
                <w:szCs w:val="28"/>
                <w:lang w:val="en-US"/>
              </w:rPr>
              <w:t>16</w:t>
            </w:r>
            <w:r w:rsidR="00CA6A17">
              <w:rPr>
                <w:rFonts w:cs="StoneSans"/>
                <w:sz w:val="28"/>
                <w:szCs w:val="28"/>
                <w:lang w:val="en-US"/>
              </w:rPr>
              <w:t>.38</w:t>
            </w:r>
          </w:p>
        </w:tc>
      </w:tr>
      <w:tr w:rsidR="003C51B1" w:rsidRPr="00A502F0" w14:paraId="0B6FC24A" w14:textId="77777777" w:rsidTr="003C51B1">
        <w:trPr>
          <w:jc w:val="center"/>
        </w:trPr>
        <w:tc>
          <w:tcPr>
            <w:tcW w:w="2073" w:type="pct"/>
            <w:tcMar>
              <w:top w:w="28" w:type="dxa"/>
              <w:bottom w:w="28" w:type="dxa"/>
            </w:tcMar>
            <w:vAlign w:val="center"/>
          </w:tcPr>
          <w:p w14:paraId="24505EA6" w14:textId="77777777" w:rsidR="003C51B1" w:rsidRPr="00A502F0" w:rsidRDefault="003C51B1" w:rsidP="00A502F0">
            <w:pPr>
              <w:autoSpaceDE w:val="0"/>
              <w:autoSpaceDN w:val="0"/>
              <w:adjustRightInd w:val="0"/>
              <w:spacing w:line="240" w:lineRule="atLeast"/>
              <w:jc w:val="right"/>
              <w:rPr>
                <w:rFonts w:cs="StoneSans"/>
                <w:sz w:val="28"/>
                <w:szCs w:val="28"/>
                <w:lang w:val="en-US"/>
              </w:rPr>
            </w:pPr>
            <w:r w:rsidRPr="00A502F0">
              <w:rPr>
                <w:b/>
                <w:bCs/>
                <w:sz w:val="28"/>
                <w:szCs w:val="28"/>
                <w:lang w:val="en-US"/>
              </w:rPr>
              <w:t>Total secondary income</w:t>
            </w:r>
          </w:p>
        </w:tc>
        <w:tc>
          <w:tcPr>
            <w:tcW w:w="2927" w:type="pct"/>
            <w:gridSpan w:val="2"/>
            <w:tcMar>
              <w:top w:w="28" w:type="dxa"/>
              <w:bottom w:w="28" w:type="dxa"/>
            </w:tcMar>
            <w:vAlign w:val="center"/>
          </w:tcPr>
          <w:p w14:paraId="3A4BDD26"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p>
        </w:tc>
      </w:tr>
      <w:tr w:rsidR="003C51B1" w:rsidRPr="00A502F0" w14:paraId="45738925" w14:textId="77777777" w:rsidTr="003C51B1">
        <w:trPr>
          <w:jc w:val="center"/>
        </w:trPr>
        <w:tc>
          <w:tcPr>
            <w:tcW w:w="2073" w:type="pct"/>
            <w:tcMar>
              <w:top w:w="28" w:type="dxa"/>
              <w:bottom w:w="28" w:type="dxa"/>
            </w:tcMar>
            <w:vAlign w:val="center"/>
          </w:tcPr>
          <w:p w14:paraId="597D4F4C" w14:textId="77777777" w:rsidR="003C51B1" w:rsidRPr="00A502F0" w:rsidRDefault="003C51B1" w:rsidP="00CA6A17">
            <w:pPr>
              <w:autoSpaceDE w:val="0"/>
              <w:autoSpaceDN w:val="0"/>
              <w:adjustRightInd w:val="0"/>
              <w:spacing w:line="240" w:lineRule="atLeast"/>
              <w:jc w:val="right"/>
              <w:rPr>
                <w:rFonts w:cs="StoneSans"/>
                <w:b/>
                <w:sz w:val="28"/>
                <w:szCs w:val="28"/>
                <w:lang w:val="en-US"/>
              </w:rPr>
            </w:pPr>
            <w:r w:rsidRPr="00A502F0">
              <w:rPr>
                <w:b/>
                <w:sz w:val="28"/>
                <w:szCs w:val="28"/>
                <w:lang w:val="en-US"/>
              </w:rPr>
              <w:t>Total (</w:t>
            </w:r>
            <w:r w:rsidR="00CA6A17">
              <w:rPr>
                <w:b/>
                <w:sz w:val="28"/>
                <w:szCs w:val="28"/>
                <w:lang w:val="en-US"/>
              </w:rPr>
              <w:t>c</w:t>
            </w:r>
            <w:r w:rsidRPr="00A502F0">
              <w:rPr>
                <w:b/>
                <w:sz w:val="28"/>
                <w:szCs w:val="28"/>
                <w:lang w:val="en-US"/>
              </w:rPr>
              <w:t xml:space="preserve">urrent </w:t>
            </w:r>
            <w:r w:rsidR="00CA6A17">
              <w:rPr>
                <w:b/>
                <w:sz w:val="28"/>
                <w:szCs w:val="28"/>
                <w:lang w:val="en-US"/>
              </w:rPr>
              <w:t xml:space="preserve">account </w:t>
            </w:r>
            <w:r w:rsidRPr="00A502F0">
              <w:rPr>
                <w:b/>
                <w:sz w:val="28"/>
                <w:szCs w:val="28"/>
                <w:lang w:val="en-US"/>
              </w:rPr>
              <w:t>balance)</w:t>
            </w:r>
          </w:p>
        </w:tc>
        <w:tc>
          <w:tcPr>
            <w:tcW w:w="2927" w:type="pct"/>
            <w:gridSpan w:val="2"/>
            <w:tcMar>
              <w:top w:w="28" w:type="dxa"/>
              <w:bottom w:w="28" w:type="dxa"/>
            </w:tcMar>
            <w:vAlign w:val="center"/>
          </w:tcPr>
          <w:p w14:paraId="3757FC37" w14:textId="77777777" w:rsidR="003C51B1" w:rsidRPr="00A502F0" w:rsidRDefault="003C51B1" w:rsidP="00A502F0">
            <w:pPr>
              <w:autoSpaceDE w:val="0"/>
              <w:autoSpaceDN w:val="0"/>
              <w:adjustRightInd w:val="0"/>
              <w:spacing w:line="240" w:lineRule="atLeast"/>
              <w:contextualSpacing/>
              <w:jc w:val="center"/>
              <w:rPr>
                <w:rFonts w:cs="StoneSans"/>
                <w:sz w:val="28"/>
                <w:szCs w:val="28"/>
                <w:lang w:val="en-US"/>
              </w:rPr>
            </w:pPr>
          </w:p>
        </w:tc>
      </w:tr>
    </w:tbl>
    <w:p w14:paraId="7C612EFF" w14:textId="77777777" w:rsidR="003C51B1" w:rsidRPr="003C51B1" w:rsidRDefault="003C51B1" w:rsidP="003C51B1">
      <w:pPr>
        <w:spacing w:line="312" w:lineRule="auto"/>
        <w:ind w:firstLine="357"/>
        <w:jc w:val="both"/>
        <w:rPr>
          <w:lang w:val="en-US"/>
        </w:rPr>
      </w:pPr>
    </w:p>
    <w:p w14:paraId="3754F5AE" w14:textId="77777777" w:rsidR="003C51B1" w:rsidRPr="003C51B1" w:rsidRDefault="003C51B1" w:rsidP="003C51B1">
      <w:pPr>
        <w:spacing w:line="312" w:lineRule="auto"/>
        <w:ind w:firstLine="357"/>
        <w:jc w:val="both"/>
        <w:rPr>
          <w:lang w:val="en-US"/>
        </w:rPr>
      </w:pPr>
    </w:p>
    <w:p w14:paraId="5161F697" w14:textId="77777777" w:rsidR="003C51B1" w:rsidRPr="003C51B1" w:rsidRDefault="003C51B1" w:rsidP="003C51B1">
      <w:pPr>
        <w:pBdr>
          <w:top w:val="nil"/>
          <w:left w:val="nil"/>
          <w:bottom w:val="nil"/>
          <w:right w:val="nil"/>
          <w:between w:val="nil"/>
          <w:bar w:val="nil"/>
        </w:pBdr>
        <w:ind w:firstLine="357"/>
        <w:jc w:val="center"/>
        <w:rPr>
          <w:rFonts w:ascii="Calibri" w:eastAsia="Calibri" w:hAnsi="Calibri" w:cs="Calibri"/>
          <w:u w:color="000000"/>
          <w:bdr w:val="nil"/>
          <w:lang w:val="en-US"/>
        </w:rPr>
      </w:pPr>
      <w:r w:rsidRPr="003C51B1">
        <w:rPr>
          <w:rFonts w:eastAsia="Garamond"/>
          <w:b/>
          <w:bCs/>
          <w:caps/>
          <w:spacing w:val="20"/>
          <w:kern w:val="16"/>
          <w:u w:color="000000"/>
          <w:bdr w:val="nil"/>
          <w:lang w:val="en-US"/>
        </w:rPr>
        <w:br w:type="page"/>
      </w:r>
    </w:p>
    <w:p w14:paraId="363DEBA7" w14:textId="77777777" w:rsidR="00FB375D" w:rsidRPr="00FB375D" w:rsidRDefault="00FB375D" w:rsidP="007E1311">
      <w:pPr>
        <w:pStyle w:val="eng"/>
        <w:rPr>
          <w:rFonts w:eastAsia="Garamond" w:cs="Garamond"/>
          <w:szCs w:val="44"/>
          <w:u w:color="000000"/>
          <w:bdr w:val="nil"/>
          <w:lang w:val="en-US" w:eastAsia="en-US"/>
        </w:rPr>
      </w:pPr>
      <w:r w:rsidRPr="00FB375D">
        <w:rPr>
          <w:rFonts w:eastAsia="Arial Unicode MS" w:hAnsi="Arial Unicode MS" w:cs="Arial Unicode MS"/>
          <w:szCs w:val="44"/>
          <w:u w:color="000000"/>
          <w:bdr w:val="nil"/>
          <w:lang w:val="en-US" w:eastAsia="en-US"/>
        </w:rPr>
        <w:lastRenderedPageBreak/>
        <w:t>Chapter 12</w:t>
      </w:r>
      <w:r w:rsidR="00D003A0">
        <w:rPr>
          <w:rFonts w:eastAsia="Arial Unicode MS" w:hAnsi="Arial Unicode MS" w:cs="Arial Unicode MS"/>
          <w:szCs w:val="44"/>
          <w:u w:color="000000"/>
          <w:bdr w:val="nil"/>
          <w:lang w:val="en-US" w:eastAsia="en-US"/>
        </w:rPr>
        <w:t>:</w:t>
      </w:r>
      <w:r w:rsidRPr="00FB375D">
        <w:rPr>
          <w:rFonts w:eastAsia="Arial Unicode MS" w:hAnsi="Arial Unicode MS" w:cs="Arial Unicode MS"/>
          <w:szCs w:val="44"/>
          <w:u w:color="000000"/>
          <w:bdr w:val="nil"/>
          <w:lang w:val="en-US" w:eastAsia="en-US"/>
        </w:rPr>
        <w:t xml:space="preserve"> </w:t>
      </w:r>
    </w:p>
    <w:p w14:paraId="0086359F" w14:textId="77777777" w:rsidR="00FB375D" w:rsidRPr="00FB375D" w:rsidRDefault="00FB375D" w:rsidP="007E1311">
      <w:pPr>
        <w:pStyle w:val="eng"/>
        <w:rPr>
          <w:rFonts w:eastAsia="Garamond" w:cs="Garamond"/>
          <w:szCs w:val="44"/>
          <w:u w:color="000000"/>
          <w:bdr w:val="nil"/>
          <w:lang w:val="en-US" w:eastAsia="en-US"/>
        </w:rPr>
      </w:pPr>
      <w:r w:rsidRPr="00FB375D">
        <w:rPr>
          <w:rFonts w:eastAsia="Arial Unicode MS" w:hAnsi="Arial Unicode MS" w:cs="Arial Unicode MS"/>
          <w:szCs w:val="44"/>
          <w:u w:color="000000"/>
          <w:bdr w:val="nil"/>
          <w:lang w:val="en-US" w:eastAsia="en-US"/>
        </w:rPr>
        <w:t xml:space="preserve">finance of European union </w:t>
      </w:r>
    </w:p>
    <w:p w14:paraId="37C3C0F8" w14:textId="77777777" w:rsidR="00FB375D" w:rsidRPr="00FB375D" w:rsidRDefault="00FB375D" w:rsidP="007E1311">
      <w:pPr>
        <w:pStyle w:val="end2"/>
        <w:rPr>
          <w:rFonts w:eastAsia="Garamond" w:cs="Garamond"/>
          <w:u w:color="000000"/>
          <w:bdr w:val="nil"/>
          <w:lang w:eastAsia="en-US"/>
        </w:rPr>
      </w:pPr>
      <w:r w:rsidRPr="00FB375D">
        <w:rPr>
          <w:rFonts w:eastAsia="Arial Unicode MS"/>
          <w:u w:color="000000"/>
          <w:bdr w:val="nil"/>
          <w:lang w:eastAsia="en-US"/>
        </w:rPr>
        <w:t>summary</w:t>
      </w:r>
    </w:p>
    <w:p w14:paraId="6BCECA60" w14:textId="77777777" w:rsidR="00FB375D" w:rsidRPr="007E1311" w:rsidRDefault="00FB375D" w:rsidP="00137967">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Despite the problems and criticisms, the European Union is now the only one successful example of political and economic integration process in the world. The undeniable fact is that the EU – not only one of the most influential centers of the world economy but also an attractive socio-economic model of social order that allows to achieve a high level of human development and at the same time to preserve national identity and regional features of European nations. Although, it</w:t>
      </w:r>
      <w:r w:rsidR="00CA6A17">
        <w:rPr>
          <w:rFonts w:eastAsia="Arial Unicode MS" w:cs="Arial Unicode MS"/>
          <w:sz w:val="28"/>
          <w:szCs w:val="28"/>
          <w:u w:color="000000"/>
          <w:bdr w:val="nil"/>
          <w:lang w:val="en-US" w:eastAsia="en-US"/>
        </w:rPr>
        <w:t>s</w:t>
      </w:r>
      <w:r w:rsidRPr="007E1311">
        <w:rPr>
          <w:rFonts w:eastAsia="Arial Unicode MS" w:cs="Arial Unicode MS"/>
          <w:sz w:val="28"/>
          <w:szCs w:val="28"/>
          <w:u w:color="000000"/>
          <w:bdr w:val="nil"/>
          <w:lang w:val="en-US" w:eastAsia="en-US"/>
        </w:rPr>
        <w:t xml:space="preserve"> benefits from the integration process are not realized automatically and require very specific economic and legal action</w:t>
      </w:r>
      <w:r w:rsidR="00CA6A17">
        <w:rPr>
          <w:rFonts w:eastAsia="Arial Unicode MS" w:cs="Arial Unicode MS"/>
          <w:sz w:val="28"/>
          <w:szCs w:val="28"/>
          <w:u w:color="000000"/>
          <w:bdr w:val="nil"/>
          <w:lang w:val="en-US" w:eastAsia="en-US"/>
        </w:rPr>
        <w:t>s</w:t>
      </w:r>
      <w:r w:rsidRPr="007E1311">
        <w:rPr>
          <w:rFonts w:eastAsia="Arial Unicode MS" w:cs="Arial Unicode MS"/>
          <w:sz w:val="28"/>
          <w:szCs w:val="28"/>
          <w:u w:color="000000"/>
          <w:bdr w:val="nil"/>
          <w:lang w:val="en-US" w:eastAsia="en-US"/>
        </w:rPr>
        <w:t xml:space="preserve"> of participants. This view is also fully applied to the Association Agreement between Ukraine and the European Union, which fixed the intention of Ukraine’s move towards integration with the EU. However, the practical use of opportunities offered by Ukraine's active participation in European integration processes requires understanding the essence of European integration, the mechanism of its implementation and operation. Thus, in the context of our subject, it becomes especially important to analyze financial aspects of the European Union.</w:t>
      </w:r>
    </w:p>
    <w:p w14:paraId="7736B9D6" w14:textId="77777777" w:rsidR="00FB375D" w:rsidRPr="007E1311" w:rsidRDefault="00FB375D" w:rsidP="00137967">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 xml:space="preserve">First of all, we consider the nature of European integration, its background, and development. The term </w:t>
      </w:r>
      <w:r w:rsidRPr="007E1311">
        <w:rPr>
          <w:rFonts w:eastAsia="Arial Unicode MS" w:cs="Arial Unicode MS"/>
          <w:b/>
          <w:bCs/>
          <w:sz w:val="28"/>
          <w:szCs w:val="28"/>
          <w:u w:color="000000"/>
          <w:bdr w:val="nil"/>
          <w:lang w:val="en-US" w:eastAsia="en-US"/>
        </w:rPr>
        <w:t>European integration</w:t>
      </w:r>
      <w:r w:rsidRPr="007E1311">
        <w:rPr>
          <w:rFonts w:eastAsia="Arial Unicode MS" w:cs="Arial Unicode MS"/>
          <w:sz w:val="28"/>
          <w:szCs w:val="28"/>
          <w:u w:color="000000"/>
          <w:bdr w:val="nil"/>
          <w:lang w:val="en-US" w:eastAsia="en-US"/>
        </w:rPr>
        <w:t xml:space="preserve"> was introduced into international circulation after the Second World War and means the process of establishing a closer association, union</w:t>
      </w:r>
      <w:r w:rsidR="00CA6A17">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or even a federation of Western Europe countries. However, participation in the European Union does not contradict to the sovereignty of </w:t>
      </w:r>
      <w:r w:rsidR="00CA6A17">
        <w:rPr>
          <w:rFonts w:eastAsia="Arial Unicode MS" w:cs="Arial Unicode MS"/>
          <w:sz w:val="28"/>
          <w:szCs w:val="28"/>
          <w:u w:color="000000"/>
          <w:bdr w:val="nil"/>
          <w:lang w:val="en-US" w:eastAsia="en-US"/>
        </w:rPr>
        <w:t>the EU member s</w:t>
      </w:r>
      <w:r w:rsidRPr="007E1311">
        <w:rPr>
          <w:rFonts w:eastAsia="Arial Unicode MS" w:cs="Arial Unicode MS"/>
          <w:sz w:val="28"/>
          <w:szCs w:val="28"/>
          <w:u w:color="000000"/>
          <w:bdr w:val="nil"/>
          <w:lang w:val="en-US" w:eastAsia="en-US"/>
        </w:rPr>
        <w:t xml:space="preserve">tates. These states have the only limited exercise of their sovereignty in certain areas. The basis for the unification of European countries is economic relations in the form of </w:t>
      </w:r>
      <w:r w:rsidRPr="007E1311">
        <w:rPr>
          <w:rFonts w:eastAsia="Arial Unicode MS" w:cs="Arial Unicode MS"/>
          <w:b/>
          <w:bCs/>
          <w:sz w:val="28"/>
          <w:szCs w:val="28"/>
          <w:u w:color="000000"/>
          <w:bdr w:val="nil"/>
          <w:lang w:val="en-US" w:eastAsia="en-US"/>
        </w:rPr>
        <w:t>economic integration</w:t>
      </w:r>
      <w:r w:rsidRPr="007E1311">
        <w:rPr>
          <w:rFonts w:eastAsia="Arial Unicode MS" w:cs="Arial Unicode MS"/>
          <w:sz w:val="28"/>
          <w:szCs w:val="28"/>
          <w:u w:color="000000"/>
          <w:bdr w:val="nil"/>
          <w:lang w:val="en-US" w:eastAsia="en-US"/>
        </w:rPr>
        <w:t xml:space="preserve"> – a process of gradual and increasing integration of national economies, </w:t>
      </w:r>
      <w:r w:rsidR="00CA6A17">
        <w:rPr>
          <w:rFonts w:eastAsia="Arial Unicode MS" w:cs="Arial Unicode MS"/>
          <w:sz w:val="28"/>
          <w:szCs w:val="28"/>
          <w:u w:color="000000"/>
          <w:bdr w:val="nil"/>
          <w:lang w:val="en-US" w:eastAsia="en-US"/>
        </w:rPr>
        <w:t>w</w:t>
      </w:r>
      <w:r w:rsidRPr="007E1311">
        <w:rPr>
          <w:rFonts w:eastAsia="Arial Unicode MS" w:cs="Arial Unicode MS"/>
          <w:sz w:val="28"/>
          <w:szCs w:val="28"/>
          <w:u w:color="000000"/>
          <w:bdr w:val="nil"/>
          <w:lang w:val="en-US" w:eastAsia="en-US"/>
        </w:rPr>
        <w:t xml:space="preserve">hich </w:t>
      </w:r>
      <w:r w:rsidR="00CA6A17" w:rsidRPr="007E1311">
        <w:rPr>
          <w:rFonts w:eastAsia="Arial Unicode MS" w:cs="Arial Unicode MS"/>
          <w:sz w:val="28"/>
          <w:szCs w:val="28"/>
          <w:u w:color="000000"/>
          <w:bdr w:val="nil"/>
          <w:lang w:val="en-US" w:eastAsia="en-US"/>
        </w:rPr>
        <w:t>result</w:t>
      </w:r>
      <w:r w:rsidR="00CA6A17">
        <w:rPr>
          <w:rFonts w:eastAsia="Arial Unicode MS" w:cs="Arial Unicode MS"/>
          <w:sz w:val="28"/>
          <w:szCs w:val="28"/>
          <w:u w:color="000000"/>
          <w:bdr w:val="nil"/>
          <w:lang w:val="en-US" w:eastAsia="en-US"/>
        </w:rPr>
        <w:t>s</w:t>
      </w:r>
      <w:r w:rsidR="00CA6A17" w:rsidRPr="007E1311">
        <w:rPr>
          <w:rFonts w:eastAsia="Arial Unicode MS" w:cs="Arial Unicode MS"/>
          <w:sz w:val="28"/>
          <w:szCs w:val="28"/>
          <w:u w:color="000000"/>
          <w:bdr w:val="nil"/>
          <w:lang w:val="en-US" w:eastAsia="en-US"/>
        </w:rPr>
        <w:t xml:space="preserve"> </w:t>
      </w:r>
      <w:r w:rsidR="00CA6A17">
        <w:rPr>
          <w:rFonts w:eastAsia="Arial Unicode MS" w:cs="Arial Unicode MS"/>
          <w:sz w:val="28"/>
          <w:szCs w:val="28"/>
          <w:u w:color="000000"/>
          <w:bdr w:val="nil"/>
          <w:lang w:val="en-US" w:eastAsia="en-US"/>
        </w:rPr>
        <w:t>in</w:t>
      </w:r>
      <w:r w:rsidRPr="007E1311">
        <w:rPr>
          <w:rFonts w:eastAsia="Arial Unicode MS" w:cs="Arial Unicode MS"/>
          <w:sz w:val="28"/>
          <w:szCs w:val="28"/>
          <w:u w:color="000000"/>
          <w:bdr w:val="nil"/>
          <w:lang w:val="en-US" w:eastAsia="en-US"/>
        </w:rPr>
        <w:t xml:space="preserve"> form</w:t>
      </w:r>
      <w:r w:rsidR="00CA6A17">
        <w:rPr>
          <w:rFonts w:eastAsia="Arial Unicode MS" w:cs="Arial Unicode MS"/>
          <w:sz w:val="28"/>
          <w:szCs w:val="28"/>
          <w:u w:color="000000"/>
          <w:bdr w:val="nil"/>
          <w:lang w:val="en-US" w:eastAsia="en-US"/>
        </w:rPr>
        <w:t>ing</w:t>
      </w:r>
      <w:r w:rsidRPr="007E1311">
        <w:rPr>
          <w:rFonts w:eastAsia="Arial Unicode MS" w:cs="Arial Unicode MS"/>
          <w:sz w:val="28"/>
          <w:szCs w:val="28"/>
          <w:u w:color="000000"/>
          <w:bdr w:val="nil"/>
          <w:lang w:val="en-US" w:eastAsia="en-US"/>
        </w:rPr>
        <w:t xml:space="preserve"> a new meta-system within integration, economic</w:t>
      </w:r>
      <w:r w:rsidR="00CA6A17">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and international groups.</w:t>
      </w:r>
    </w:p>
    <w:p w14:paraId="0984356A" w14:textId="77777777" w:rsidR="00FB375D" w:rsidRPr="007E1311" w:rsidRDefault="00FB375D" w:rsidP="00137967">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 xml:space="preserve">According to the classical theoretical approach, the integration process often involves the gradual steps: free trade area, customs union, common market, </w:t>
      </w:r>
      <w:r w:rsidR="00CA6A17">
        <w:rPr>
          <w:rFonts w:eastAsia="Arial Unicode MS" w:cs="Arial Unicode MS"/>
          <w:sz w:val="28"/>
          <w:szCs w:val="28"/>
          <w:u w:color="000000"/>
          <w:bdr w:val="nil"/>
          <w:lang w:val="en-US" w:eastAsia="en-US"/>
        </w:rPr>
        <w:t xml:space="preserve">and </w:t>
      </w:r>
      <w:r w:rsidRPr="007E1311">
        <w:rPr>
          <w:rFonts w:eastAsia="Arial Unicode MS" w:cs="Arial Unicode MS"/>
          <w:sz w:val="28"/>
          <w:szCs w:val="28"/>
          <w:u w:color="000000"/>
          <w:bdr w:val="nil"/>
          <w:lang w:val="en-US" w:eastAsia="en-US"/>
        </w:rPr>
        <w:t>economic and currency union.</w:t>
      </w:r>
    </w:p>
    <w:p w14:paraId="3001E1ED" w14:textId="77777777" w:rsidR="00FB375D" w:rsidRPr="007E1311" w:rsidRDefault="00FB375D" w:rsidP="00137967">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b/>
          <w:bCs/>
          <w:sz w:val="28"/>
          <w:szCs w:val="28"/>
          <w:u w:color="000000"/>
          <w:bdr w:val="nil"/>
          <w:lang w:val="en-US" w:eastAsia="en-US"/>
        </w:rPr>
        <w:lastRenderedPageBreak/>
        <w:t>Free trade zone</w:t>
      </w:r>
      <w:r w:rsidRPr="007E1311">
        <w:rPr>
          <w:rFonts w:eastAsia="Arial Unicode MS" w:cs="Arial Unicode MS"/>
          <w:sz w:val="28"/>
          <w:szCs w:val="28"/>
          <w:u w:color="000000"/>
          <w:bdr w:val="nil"/>
          <w:lang w:val="en-US" w:eastAsia="en-US"/>
        </w:rPr>
        <w:t xml:space="preserve"> is created as a result of the abolition of price and other limitations (such as quantitative) in the exchange between the states taking part in it. At the same time, the countries preserve customs and trade autonomy in foreign relations with other states. The </w:t>
      </w:r>
      <w:r w:rsidRPr="007E1311">
        <w:rPr>
          <w:rFonts w:eastAsia="Arial Unicode MS" w:cs="Arial Unicode MS"/>
          <w:b/>
          <w:bCs/>
          <w:sz w:val="28"/>
          <w:szCs w:val="28"/>
          <w:u w:color="000000"/>
          <w:bdr w:val="nil"/>
          <w:lang w:val="en-US" w:eastAsia="en-US"/>
        </w:rPr>
        <w:t>Customs Union</w:t>
      </w:r>
      <w:r w:rsidRPr="007E1311">
        <w:rPr>
          <w:rFonts w:eastAsia="Arial Unicode MS" w:cs="Arial Unicode MS"/>
          <w:sz w:val="28"/>
          <w:szCs w:val="28"/>
          <w:u w:color="000000"/>
          <w:bdr w:val="nil"/>
          <w:lang w:val="en-US" w:eastAsia="en-US"/>
        </w:rPr>
        <w:t xml:space="preserve"> is formed with the introduction of common external customs tariff and a common trade policy between member states. </w:t>
      </w:r>
      <w:r w:rsidRPr="007E1311">
        <w:rPr>
          <w:rFonts w:eastAsia="Arial Unicode MS" w:cs="Arial Unicode MS"/>
          <w:b/>
          <w:bCs/>
          <w:sz w:val="28"/>
          <w:szCs w:val="28"/>
          <w:u w:color="000000"/>
          <w:bdr w:val="nil"/>
          <w:lang w:val="en-US" w:eastAsia="en-US"/>
        </w:rPr>
        <w:t>The common market</w:t>
      </w:r>
      <w:r w:rsidRPr="007E1311">
        <w:rPr>
          <w:rFonts w:eastAsia="Arial Unicode MS" w:cs="Arial Unicode MS"/>
          <w:sz w:val="28"/>
          <w:szCs w:val="28"/>
          <w:u w:color="000000"/>
          <w:bdr w:val="nil"/>
          <w:lang w:val="en-US" w:eastAsia="en-US"/>
        </w:rPr>
        <w:t xml:space="preserve"> provides the abolition of restrictions on movement between countries not only of goods but also of production factors (capital, labor,</w:t>
      </w:r>
      <w:r w:rsidR="00CA6A17">
        <w:rPr>
          <w:rFonts w:eastAsia="Arial Unicode MS" w:cs="Arial Unicode MS"/>
          <w:sz w:val="28"/>
          <w:szCs w:val="28"/>
          <w:u w:color="000000"/>
          <w:bdr w:val="nil"/>
          <w:lang w:val="en-US" w:eastAsia="en-US"/>
        </w:rPr>
        <w:t xml:space="preserve"> and</w:t>
      </w:r>
      <w:r w:rsidRPr="007E1311">
        <w:rPr>
          <w:rFonts w:eastAsia="Arial Unicode MS" w:cs="Arial Unicode MS"/>
          <w:sz w:val="28"/>
          <w:szCs w:val="28"/>
          <w:u w:color="000000"/>
          <w:bdr w:val="nil"/>
          <w:lang w:val="en-US" w:eastAsia="en-US"/>
        </w:rPr>
        <w:t xml:space="preserve"> services). </w:t>
      </w:r>
      <w:r w:rsidRPr="007E1311">
        <w:rPr>
          <w:rFonts w:eastAsia="Arial Unicode MS" w:cs="Arial Unicode MS"/>
          <w:b/>
          <w:bCs/>
          <w:sz w:val="28"/>
          <w:szCs w:val="28"/>
          <w:u w:color="000000"/>
          <w:bdr w:val="nil"/>
          <w:lang w:val="en-US" w:eastAsia="en-US"/>
        </w:rPr>
        <w:t xml:space="preserve">Economic and Monetary </w:t>
      </w:r>
      <w:r w:rsidR="00CA6A17">
        <w:rPr>
          <w:rFonts w:eastAsia="Arial Unicode MS" w:cs="Arial Unicode MS"/>
          <w:b/>
          <w:bCs/>
          <w:sz w:val="28"/>
          <w:szCs w:val="28"/>
          <w:u w:color="000000"/>
          <w:bdr w:val="nil"/>
          <w:lang w:val="en-US" w:eastAsia="en-US"/>
        </w:rPr>
        <w:t>U</w:t>
      </w:r>
      <w:r w:rsidRPr="007E1311">
        <w:rPr>
          <w:rFonts w:eastAsia="Arial Unicode MS" w:cs="Arial Unicode MS"/>
          <w:b/>
          <w:bCs/>
          <w:sz w:val="28"/>
          <w:szCs w:val="28"/>
          <w:u w:color="000000"/>
          <w:bdr w:val="nil"/>
          <w:lang w:val="en-US" w:eastAsia="en-US"/>
        </w:rPr>
        <w:t>nion</w:t>
      </w:r>
      <w:r w:rsidRPr="007E1311">
        <w:rPr>
          <w:rFonts w:eastAsia="Arial Unicode MS" w:cs="Arial Unicode MS"/>
          <w:sz w:val="28"/>
          <w:szCs w:val="28"/>
          <w:u w:color="000000"/>
          <w:bdr w:val="nil"/>
          <w:lang w:val="en-US" w:eastAsia="en-US"/>
        </w:rPr>
        <w:t xml:space="preserve"> lead</w:t>
      </w:r>
      <w:r w:rsidR="00CA6A17">
        <w:rPr>
          <w:rFonts w:eastAsia="Arial Unicode MS" w:cs="Arial Unicode MS"/>
          <w:sz w:val="28"/>
          <w:szCs w:val="28"/>
          <w:u w:color="000000"/>
          <w:bdr w:val="nil"/>
          <w:lang w:val="en-US" w:eastAsia="en-US"/>
        </w:rPr>
        <w:t>s</w:t>
      </w:r>
      <w:r w:rsidRPr="007E1311">
        <w:rPr>
          <w:rFonts w:eastAsia="Arial Unicode MS" w:cs="Arial Unicode MS"/>
          <w:sz w:val="28"/>
          <w:szCs w:val="28"/>
          <w:u w:color="000000"/>
          <w:bdr w:val="nil"/>
          <w:lang w:val="en-US" w:eastAsia="en-US"/>
        </w:rPr>
        <w:t xml:space="preserve"> to the unification of different areas of economic policy</w:t>
      </w:r>
      <w:r w:rsidR="002D0AC0">
        <w:rPr>
          <w:rFonts w:eastAsia="Arial Unicode MS" w:cs="Arial Unicode MS"/>
          <w:sz w:val="28"/>
          <w:szCs w:val="28"/>
          <w:u w:color="000000"/>
          <w:bdr w:val="nil"/>
          <w:lang w:val="en-US" w:eastAsia="en-US"/>
        </w:rPr>
        <w:t xml:space="preserve">, </w:t>
      </w:r>
      <w:r w:rsidRPr="007E1311">
        <w:rPr>
          <w:rFonts w:eastAsia="Arial Unicode MS" w:cs="Arial Unicode MS"/>
          <w:sz w:val="28"/>
          <w:szCs w:val="28"/>
          <w:u w:color="000000"/>
          <w:bdr w:val="nil"/>
          <w:lang w:val="en-US" w:eastAsia="en-US"/>
        </w:rPr>
        <w:t>conduct</w:t>
      </w:r>
      <w:r w:rsidR="002D0AC0">
        <w:rPr>
          <w:rFonts w:eastAsia="Arial Unicode MS" w:cs="Arial Unicode MS"/>
          <w:sz w:val="28"/>
          <w:szCs w:val="28"/>
          <w:u w:color="000000"/>
          <w:bdr w:val="nil"/>
          <w:lang w:val="en-US" w:eastAsia="en-US"/>
        </w:rPr>
        <w:t>ion of the</w:t>
      </w:r>
      <w:r w:rsidRPr="007E1311">
        <w:rPr>
          <w:rFonts w:eastAsia="Arial Unicode MS" w:cs="Arial Unicode MS"/>
          <w:sz w:val="28"/>
          <w:szCs w:val="28"/>
          <w:u w:color="000000"/>
          <w:bdr w:val="nil"/>
          <w:lang w:val="en-US" w:eastAsia="en-US"/>
        </w:rPr>
        <w:t xml:space="preserve"> common monetary policy, </w:t>
      </w:r>
      <w:r w:rsidR="002D0AC0">
        <w:rPr>
          <w:rFonts w:eastAsia="Arial Unicode MS" w:cs="Arial Unicode MS"/>
          <w:sz w:val="28"/>
          <w:szCs w:val="28"/>
          <w:u w:color="000000"/>
          <w:bdr w:val="nil"/>
          <w:lang w:val="en-US" w:eastAsia="en-US"/>
        </w:rPr>
        <w:t xml:space="preserve">and </w:t>
      </w:r>
      <w:r w:rsidRPr="007E1311">
        <w:rPr>
          <w:rFonts w:eastAsia="Arial Unicode MS" w:cs="Arial Unicode MS"/>
          <w:sz w:val="28"/>
          <w:szCs w:val="28"/>
          <w:u w:color="000000"/>
          <w:bdr w:val="nil"/>
          <w:lang w:val="en-US" w:eastAsia="en-US"/>
        </w:rPr>
        <w:t xml:space="preserve">the introduction of the single currency. Thus, the highest form of economic integration in the world has been achieved only in the European Union. </w:t>
      </w:r>
    </w:p>
    <w:p w14:paraId="53450056" w14:textId="77777777" w:rsidR="00FB375D" w:rsidRPr="007E1311" w:rsidRDefault="00FB375D" w:rsidP="00137967">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b/>
          <w:bCs/>
          <w:sz w:val="28"/>
          <w:szCs w:val="28"/>
          <w:u w:color="000000"/>
          <w:bdr w:val="nil"/>
          <w:lang w:val="en-US" w:eastAsia="en-US"/>
        </w:rPr>
        <w:t>The European Union (EU)</w:t>
      </w:r>
      <w:r w:rsidRPr="007E1311">
        <w:rPr>
          <w:rFonts w:eastAsia="Arial Unicode MS" w:cs="Arial Unicode MS"/>
          <w:sz w:val="28"/>
          <w:szCs w:val="28"/>
          <w:u w:color="000000"/>
          <w:bdr w:val="nil"/>
          <w:lang w:val="en-US" w:eastAsia="en-US"/>
        </w:rPr>
        <w:t xml:space="preserve"> is a political and economic partnership that represents a unique form of cooperation among 28 member states. Built through a series of treaties, it is the latest stage in a process of integration in Europe. It covers an area of 4,324,782 km</w:t>
      </w:r>
      <w:r w:rsidRPr="007E1311">
        <w:rPr>
          <w:rFonts w:eastAsia="Arial Unicode MS" w:cs="Arial Unicode MS"/>
          <w:sz w:val="28"/>
          <w:szCs w:val="28"/>
          <w:u w:color="000000"/>
          <w:bdr w:val="nil"/>
          <w:vertAlign w:val="superscript"/>
          <w:lang w:val="en-US" w:eastAsia="en-US"/>
        </w:rPr>
        <w:t>2</w:t>
      </w:r>
      <w:r w:rsidRPr="007E1311">
        <w:rPr>
          <w:rFonts w:eastAsia="Arial Unicode MS" w:cs="Arial Unicode MS"/>
          <w:sz w:val="28"/>
          <w:szCs w:val="28"/>
          <w:u w:color="000000"/>
          <w:bdr w:val="nil"/>
          <w:lang w:val="en-US" w:eastAsia="en-US"/>
        </w:rPr>
        <w:t>, with an estimated population of over 508 million. The EU in 2014 generated a nominal </w:t>
      </w:r>
      <w:hyperlink r:id="rId74" w:history="1">
        <w:r w:rsidRPr="007E1311">
          <w:rPr>
            <w:rFonts w:eastAsia="Garamond" w:cs="Garamond"/>
            <w:sz w:val="28"/>
            <w:szCs w:val="28"/>
            <w:u w:color="000000"/>
            <w:bdr w:val="nil"/>
            <w:lang w:val="en-US" w:eastAsia="en-US"/>
          </w:rPr>
          <w:t>gross domestic product</w:t>
        </w:r>
      </w:hyperlink>
      <w:r w:rsidRPr="007E1311">
        <w:rPr>
          <w:rFonts w:eastAsia="Arial Unicode MS" w:cs="Arial Unicode MS"/>
          <w:sz w:val="28"/>
          <w:szCs w:val="28"/>
          <w:u w:color="000000"/>
          <w:bdr w:val="nil"/>
          <w:lang w:val="en-US" w:eastAsia="en-US"/>
        </w:rPr>
        <w:t> (GDP) of 18.495 trillion US dollars, constituting approximately 24</w:t>
      </w:r>
      <w:r w:rsidR="002D0AC0">
        <w:rPr>
          <w:rFonts w:eastAsia="Arial Unicode MS" w:cs="Arial Unicode MS"/>
          <w:sz w:val="28"/>
          <w:szCs w:val="28"/>
          <w:u w:color="000000"/>
          <w:bdr w:val="nil"/>
          <w:lang w:val="en-US" w:eastAsia="en-US"/>
        </w:rPr>
        <w:t xml:space="preserve"> </w:t>
      </w:r>
      <w:r w:rsidRPr="007E1311">
        <w:rPr>
          <w:rFonts w:eastAsia="Arial Unicode MS" w:cs="Arial Unicode MS"/>
          <w:sz w:val="28"/>
          <w:szCs w:val="28"/>
          <w:u w:color="000000"/>
          <w:bdr w:val="nil"/>
          <w:lang w:val="en-US" w:eastAsia="en-US"/>
        </w:rPr>
        <w:t>% of global </w:t>
      </w:r>
      <w:hyperlink r:id="rId75" w:anchor="Nominal_GDP_and_adjustments_to_GDP" w:history="1">
        <w:r w:rsidRPr="007E1311">
          <w:rPr>
            <w:rFonts w:eastAsia="Garamond" w:cs="Garamond"/>
            <w:sz w:val="28"/>
            <w:szCs w:val="28"/>
            <w:u w:color="000000"/>
            <w:bdr w:val="nil"/>
            <w:lang w:val="en-US" w:eastAsia="en-US"/>
          </w:rPr>
          <w:t>nominal GDP</w:t>
        </w:r>
      </w:hyperlink>
      <w:r w:rsidRPr="007E1311">
        <w:rPr>
          <w:rFonts w:eastAsia="Arial Unicode MS" w:cs="Arial Unicode MS"/>
          <w:sz w:val="28"/>
          <w:szCs w:val="28"/>
          <w:u w:color="000000"/>
          <w:bdr w:val="nil"/>
          <w:lang w:val="en-US" w:eastAsia="en-US"/>
        </w:rPr>
        <w:t> . 26 out of 28 EU countries have a very high </w:t>
      </w:r>
      <w:hyperlink r:id="rId76" w:history="1">
        <w:r w:rsidRPr="007E1311">
          <w:rPr>
            <w:rFonts w:eastAsia="Garamond" w:cs="Garamond"/>
            <w:sz w:val="28"/>
            <w:szCs w:val="28"/>
            <w:u w:color="000000"/>
            <w:bdr w:val="nil"/>
            <w:lang w:val="en-US" w:eastAsia="en-US"/>
          </w:rPr>
          <w:t>Human Development Index</w:t>
        </w:r>
      </w:hyperlink>
      <w:r w:rsidRPr="007E1311">
        <w:rPr>
          <w:rFonts w:eastAsia="Arial Unicode MS" w:cs="Arial Unicode MS"/>
          <w:sz w:val="28"/>
          <w:szCs w:val="28"/>
          <w:u w:color="000000"/>
          <w:bdr w:val="nil"/>
          <w:lang w:val="en-US" w:eastAsia="en-US"/>
        </w:rPr>
        <w:t>. Since the 1950s, this European integration project has expanded to</w:t>
      </w:r>
      <w:r w:rsidR="002D0AC0">
        <w:rPr>
          <w:rFonts w:eastAsia="Arial Unicode MS" w:cs="Arial Unicode MS"/>
          <w:sz w:val="28"/>
          <w:szCs w:val="28"/>
          <w:u w:color="000000"/>
          <w:bdr w:val="nil"/>
          <w:lang w:val="en-US" w:eastAsia="en-US"/>
        </w:rPr>
        <w:t xml:space="preserve"> encompass all economic sectors,</w:t>
      </w:r>
      <w:r w:rsidRPr="007E1311">
        <w:rPr>
          <w:rFonts w:eastAsia="Arial Unicode MS" w:cs="Arial Unicode MS"/>
          <w:sz w:val="28"/>
          <w:szCs w:val="28"/>
          <w:u w:color="000000"/>
          <w:bdr w:val="nil"/>
          <w:lang w:val="en-US" w:eastAsia="en-US"/>
        </w:rPr>
        <w:t xml:space="preserve"> a customs union</w:t>
      </w:r>
      <w:r w:rsidR="002D0AC0">
        <w:rPr>
          <w:rFonts w:eastAsia="Arial Unicode MS" w:cs="Arial Unicode MS"/>
          <w:sz w:val="28"/>
          <w:szCs w:val="28"/>
          <w:u w:color="000000"/>
          <w:bdr w:val="nil"/>
          <w:lang w:val="en-US" w:eastAsia="en-US"/>
        </w:rPr>
        <w:t>, a single market,</w:t>
      </w:r>
      <w:r w:rsidRPr="007E1311">
        <w:rPr>
          <w:rFonts w:eastAsia="Arial Unicode MS" w:cs="Arial Unicode MS"/>
          <w:sz w:val="28"/>
          <w:szCs w:val="28"/>
          <w:u w:color="000000"/>
          <w:bdr w:val="nil"/>
          <w:lang w:val="en-US" w:eastAsia="en-US"/>
        </w:rPr>
        <w:t xml:space="preserve"> a common trade policy</w:t>
      </w:r>
      <w:r w:rsidR="002D0AC0">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a common agricultural policy</w:t>
      </w:r>
      <w:r w:rsidR="002D0AC0">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many aspects of </w:t>
      </w:r>
      <w:r w:rsidR="002D0AC0">
        <w:rPr>
          <w:rFonts w:eastAsia="Arial Unicode MS" w:cs="Arial Unicode MS"/>
          <w:sz w:val="28"/>
          <w:szCs w:val="28"/>
          <w:u w:color="000000"/>
          <w:bdr w:val="nil"/>
          <w:lang w:val="en-US" w:eastAsia="en-US"/>
        </w:rPr>
        <w:t>social and environmental policy,</w:t>
      </w:r>
      <w:r w:rsidRPr="007E1311">
        <w:rPr>
          <w:rFonts w:eastAsia="Arial Unicode MS" w:cs="Arial Unicode MS"/>
          <w:sz w:val="28"/>
          <w:szCs w:val="28"/>
          <w:u w:color="000000"/>
          <w:bdr w:val="nil"/>
          <w:lang w:val="en-US" w:eastAsia="en-US"/>
        </w:rPr>
        <w:t xml:space="preserve"> and a common currency that is used by 19 member states.</w:t>
      </w:r>
    </w:p>
    <w:p w14:paraId="192AC8C6" w14:textId="77777777" w:rsidR="00FB375D" w:rsidRPr="007E1311" w:rsidRDefault="00FB375D" w:rsidP="00FB375D">
      <w:pPr>
        <w:pBdr>
          <w:top w:val="nil"/>
          <w:left w:val="nil"/>
          <w:bottom w:val="nil"/>
          <w:right w:val="nil"/>
          <w:between w:val="nil"/>
          <w:bar w:val="nil"/>
        </w:pBdr>
        <w:shd w:val="clear" w:color="auto" w:fill="FFFFFF"/>
        <w:spacing w:line="312" w:lineRule="auto"/>
        <w:ind w:firstLine="357"/>
        <w:jc w:val="center"/>
        <w:rPr>
          <w:rFonts w:eastAsia="Garamond" w:cs="Garamond"/>
          <w:b/>
          <w:bCs/>
          <w:sz w:val="28"/>
          <w:szCs w:val="28"/>
          <w:u w:color="000000"/>
          <w:bdr w:val="nil"/>
          <w:lang w:val="en-US"/>
        </w:rPr>
      </w:pPr>
      <w:r w:rsidRPr="007E1311">
        <w:rPr>
          <w:rFonts w:eastAsia="Arial Unicode MS" w:cs="Arial Unicode MS"/>
          <w:b/>
          <w:bCs/>
          <w:sz w:val="28"/>
          <w:szCs w:val="28"/>
          <w:u w:color="000000"/>
          <w:bdr w:val="nil"/>
          <w:lang w:val="en-US"/>
        </w:rPr>
        <w:t>European Union: brief history</w:t>
      </w:r>
    </w:p>
    <w:tbl>
      <w:tblPr>
        <w:tblW w:w="9464"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59"/>
        <w:gridCol w:w="8505"/>
      </w:tblGrid>
      <w:tr w:rsidR="00FB375D" w:rsidRPr="007E1311" w14:paraId="0E8B34A5" w14:textId="77777777" w:rsidTr="00FB375D">
        <w:trPr>
          <w:trHeight w:val="598"/>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19650C21"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ru-RU"/>
              </w:rPr>
              <w:t>1951</w:t>
            </w:r>
          </w:p>
        </w:tc>
        <w:tc>
          <w:tcPr>
            <w:tcW w:w="8505" w:type="dxa"/>
            <w:tcBorders>
              <w:top w:val="nil"/>
              <w:left w:val="nil"/>
              <w:bottom w:val="nil"/>
              <w:right w:val="nil"/>
            </w:tcBorders>
            <w:shd w:val="clear" w:color="auto" w:fill="auto"/>
            <w:tcMar>
              <w:top w:w="80" w:type="dxa"/>
              <w:left w:w="80" w:type="dxa"/>
              <w:bottom w:w="80" w:type="dxa"/>
              <w:right w:w="80" w:type="dxa"/>
            </w:tcMar>
          </w:tcPr>
          <w:p w14:paraId="548F0A4E"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Germany, France, Italy, the Netherlands, Belgium and Luxembourg sign the Coal and Steel Treaty to manage heavy industries together.</w:t>
            </w:r>
          </w:p>
        </w:tc>
      </w:tr>
      <w:tr w:rsidR="00FB375D" w:rsidRPr="007E1311" w14:paraId="532EA764" w14:textId="77777777" w:rsidTr="00FB375D">
        <w:trPr>
          <w:trHeight w:val="605"/>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0D6F5D69"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1957</w:t>
            </w:r>
          </w:p>
        </w:tc>
        <w:tc>
          <w:tcPr>
            <w:tcW w:w="8505" w:type="dxa"/>
            <w:tcBorders>
              <w:top w:val="nil"/>
              <w:left w:val="nil"/>
              <w:bottom w:val="nil"/>
              <w:right w:val="nil"/>
            </w:tcBorders>
            <w:shd w:val="clear" w:color="auto" w:fill="auto"/>
            <w:tcMar>
              <w:top w:w="80" w:type="dxa"/>
              <w:left w:w="80" w:type="dxa"/>
              <w:bottom w:w="80" w:type="dxa"/>
              <w:right w:w="80" w:type="dxa"/>
            </w:tcMar>
          </w:tcPr>
          <w:p w14:paraId="045F32DB"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Coal and Steel Treaty members sign the Treaty of Rome, which leads to the creation of a Common market under the European Economic Community (EEC).</w:t>
            </w:r>
          </w:p>
        </w:tc>
      </w:tr>
      <w:tr w:rsidR="00FB375D" w:rsidRPr="007E1311" w14:paraId="4ED8BA18" w14:textId="77777777" w:rsidTr="00FB375D">
        <w:trPr>
          <w:trHeight w:val="598"/>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3FD88B22"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1965</w:t>
            </w:r>
          </w:p>
        </w:tc>
        <w:tc>
          <w:tcPr>
            <w:tcW w:w="8505" w:type="dxa"/>
            <w:tcBorders>
              <w:top w:val="nil"/>
              <w:left w:val="nil"/>
              <w:bottom w:val="nil"/>
              <w:right w:val="nil"/>
            </w:tcBorders>
            <w:shd w:val="clear" w:color="auto" w:fill="auto"/>
            <w:tcMar>
              <w:top w:w="80" w:type="dxa"/>
              <w:left w:w="80" w:type="dxa"/>
              <w:bottom w:w="80" w:type="dxa"/>
              <w:right w:w="80" w:type="dxa"/>
            </w:tcMar>
          </w:tcPr>
          <w:p w14:paraId="715E6F17"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The Brussels Treaty merges leadership positions within the three separate organizations into one large body known as the Council of Ministers.</w:t>
            </w:r>
          </w:p>
        </w:tc>
      </w:tr>
      <w:tr w:rsidR="00FB375D" w:rsidRPr="007E1311" w14:paraId="4B01E05F" w14:textId="77777777" w:rsidTr="00FB375D">
        <w:trPr>
          <w:trHeight w:val="598"/>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6B680468"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1973</w:t>
            </w:r>
          </w:p>
        </w:tc>
        <w:tc>
          <w:tcPr>
            <w:tcW w:w="8505" w:type="dxa"/>
            <w:tcBorders>
              <w:top w:val="nil"/>
              <w:left w:val="nil"/>
              <w:bottom w:val="nil"/>
              <w:right w:val="nil"/>
            </w:tcBorders>
            <w:shd w:val="clear" w:color="auto" w:fill="auto"/>
            <w:tcMar>
              <w:top w:w="80" w:type="dxa"/>
              <w:left w:w="80" w:type="dxa"/>
              <w:bottom w:w="80" w:type="dxa"/>
              <w:right w:w="80" w:type="dxa"/>
            </w:tcMar>
          </w:tcPr>
          <w:p w14:paraId="107DF3E2"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The first enlargement of the EU took place with the addition of Denmark, Ireland, and the United Kingdom.</w:t>
            </w:r>
          </w:p>
        </w:tc>
      </w:tr>
      <w:tr w:rsidR="00FB375D" w:rsidRPr="007E1311" w14:paraId="0766AB95" w14:textId="77777777" w:rsidTr="00FB375D">
        <w:trPr>
          <w:trHeight w:val="598"/>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220969FD"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1974</w:t>
            </w:r>
          </w:p>
        </w:tc>
        <w:tc>
          <w:tcPr>
            <w:tcW w:w="8505" w:type="dxa"/>
            <w:tcBorders>
              <w:top w:val="nil"/>
              <w:left w:val="nil"/>
              <w:bottom w:val="nil"/>
              <w:right w:val="nil"/>
            </w:tcBorders>
            <w:shd w:val="clear" w:color="auto" w:fill="auto"/>
            <w:tcMar>
              <w:top w:w="80" w:type="dxa"/>
              <w:left w:w="80" w:type="dxa"/>
              <w:bottom w:w="80" w:type="dxa"/>
              <w:right w:w="80" w:type="dxa"/>
            </w:tcMar>
          </w:tcPr>
          <w:p w14:paraId="5E33E1B4"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The European Council is established to specifically set long-term agendas for political and economic integration</w:t>
            </w:r>
          </w:p>
        </w:tc>
      </w:tr>
      <w:tr w:rsidR="00FB375D" w:rsidRPr="007E1311" w14:paraId="744B7EC2" w14:textId="77777777" w:rsidTr="00FB375D">
        <w:trPr>
          <w:trHeight w:val="260"/>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08D129E8"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lastRenderedPageBreak/>
              <w:t>1979</w:t>
            </w:r>
          </w:p>
        </w:tc>
        <w:tc>
          <w:tcPr>
            <w:tcW w:w="8505" w:type="dxa"/>
            <w:tcBorders>
              <w:top w:val="nil"/>
              <w:left w:val="nil"/>
              <w:bottom w:val="nil"/>
              <w:right w:val="nil"/>
            </w:tcBorders>
            <w:shd w:val="clear" w:color="auto" w:fill="auto"/>
            <w:tcMar>
              <w:top w:w="80" w:type="dxa"/>
              <w:left w:w="80" w:type="dxa"/>
              <w:bottom w:w="80" w:type="dxa"/>
              <w:right w:w="80" w:type="dxa"/>
            </w:tcMar>
          </w:tcPr>
          <w:p w14:paraId="5B41544A"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Europeans elect European Parliament members for the first time.</w:t>
            </w:r>
          </w:p>
        </w:tc>
      </w:tr>
      <w:tr w:rsidR="00FB375D" w:rsidRPr="007E1311" w14:paraId="29440663" w14:textId="77777777" w:rsidTr="00FB375D">
        <w:trPr>
          <w:trHeight w:val="321"/>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0F4ADD8D"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1987</w:t>
            </w:r>
          </w:p>
        </w:tc>
        <w:tc>
          <w:tcPr>
            <w:tcW w:w="8505" w:type="dxa"/>
            <w:tcBorders>
              <w:top w:val="nil"/>
              <w:left w:val="nil"/>
              <w:bottom w:val="nil"/>
              <w:right w:val="nil"/>
            </w:tcBorders>
            <w:shd w:val="clear" w:color="auto" w:fill="auto"/>
            <w:tcMar>
              <w:top w:w="80" w:type="dxa"/>
              <w:left w:w="80" w:type="dxa"/>
              <w:bottom w:w="80" w:type="dxa"/>
              <w:right w:w="80" w:type="dxa"/>
            </w:tcMar>
          </w:tcPr>
          <w:p w14:paraId="4622347A"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Single European Act comes into enforcement, expanding common market flexibility.</w:t>
            </w:r>
          </w:p>
        </w:tc>
      </w:tr>
      <w:tr w:rsidR="00FB375D" w:rsidRPr="007E1311" w14:paraId="53015302" w14:textId="77777777" w:rsidTr="00FB375D">
        <w:trPr>
          <w:trHeight w:val="936"/>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31B5C42E"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1992</w:t>
            </w:r>
          </w:p>
        </w:tc>
        <w:tc>
          <w:tcPr>
            <w:tcW w:w="8505" w:type="dxa"/>
            <w:tcBorders>
              <w:top w:val="nil"/>
              <w:left w:val="nil"/>
              <w:bottom w:val="nil"/>
              <w:right w:val="nil"/>
            </w:tcBorders>
            <w:shd w:val="clear" w:color="auto" w:fill="auto"/>
            <w:tcMar>
              <w:top w:w="80" w:type="dxa"/>
              <w:left w:w="80" w:type="dxa"/>
              <w:bottom w:w="80" w:type="dxa"/>
              <w:right w:w="80" w:type="dxa"/>
            </w:tcMar>
          </w:tcPr>
          <w:p w14:paraId="2533E5BD"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The Maastricht Treaty is signed, which established rules of the common currency in addition to providing further coordination for foreign and security policy. The European Community formally changes its name to the European Union.</w:t>
            </w:r>
          </w:p>
        </w:tc>
      </w:tr>
      <w:tr w:rsidR="00FB375D" w:rsidRPr="007E1311" w14:paraId="490432CA" w14:textId="77777777" w:rsidTr="00FB375D">
        <w:trPr>
          <w:trHeight w:val="606"/>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74DA5B46"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1998</w:t>
            </w:r>
          </w:p>
        </w:tc>
        <w:tc>
          <w:tcPr>
            <w:tcW w:w="8505" w:type="dxa"/>
            <w:tcBorders>
              <w:top w:val="nil"/>
              <w:left w:val="nil"/>
              <w:bottom w:val="nil"/>
              <w:right w:val="nil"/>
            </w:tcBorders>
            <w:shd w:val="clear" w:color="auto" w:fill="auto"/>
            <w:tcMar>
              <w:top w:w="80" w:type="dxa"/>
              <w:left w:w="80" w:type="dxa"/>
              <w:bottom w:w="80" w:type="dxa"/>
              <w:right w:w="80" w:type="dxa"/>
            </w:tcMar>
          </w:tcPr>
          <w:p w14:paraId="77EC8DAE"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A new currency, the euro, was launched in world money markets. It became the unit of exchange for all of the EU states except the United Kingdom, Sweden, and Denmark.</w:t>
            </w:r>
          </w:p>
        </w:tc>
      </w:tr>
      <w:tr w:rsidR="00FB375D" w:rsidRPr="007E1311" w14:paraId="18A6CE38" w14:textId="77777777" w:rsidTr="00FB375D">
        <w:trPr>
          <w:trHeight w:val="598"/>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411D3C7C"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2003</w:t>
            </w:r>
          </w:p>
        </w:tc>
        <w:tc>
          <w:tcPr>
            <w:tcW w:w="8505" w:type="dxa"/>
            <w:tcBorders>
              <w:top w:val="nil"/>
              <w:left w:val="nil"/>
              <w:bottom w:val="nil"/>
              <w:right w:val="nil"/>
            </w:tcBorders>
            <w:shd w:val="clear" w:color="auto" w:fill="auto"/>
            <w:tcMar>
              <w:top w:w="80" w:type="dxa"/>
              <w:left w:w="80" w:type="dxa"/>
              <w:bottom w:w="80" w:type="dxa"/>
              <w:right w:w="80" w:type="dxa"/>
            </w:tcMar>
          </w:tcPr>
          <w:p w14:paraId="19A6375E"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Treaty of Nice entered into force to set forth rules streamlining the size and procedures of EU institutions.</w:t>
            </w:r>
          </w:p>
        </w:tc>
      </w:tr>
      <w:tr w:rsidR="00FB375D" w:rsidRPr="007E1311" w14:paraId="51142CAE" w14:textId="77777777" w:rsidTr="00FB375D">
        <w:trPr>
          <w:trHeight w:val="598"/>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5241EF3E"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2004</w:t>
            </w:r>
          </w:p>
        </w:tc>
        <w:tc>
          <w:tcPr>
            <w:tcW w:w="8505" w:type="dxa"/>
            <w:tcBorders>
              <w:top w:val="nil"/>
              <w:left w:val="nil"/>
              <w:bottom w:val="nil"/>
              <w:right w:val="nil"/>
            </w:tcBorders>
            <w:shd w:val="clear" w:color="auto" w:fill="auto"/>
            <w:tcMar>
              <w:top w:w="80" w:type="dxa"/>
              <w:left w:w="80" w:type="dxa"/>
              <w:bottom w:w="80" w:type="dxa"/>
              <w:right w:w="80" w:type="dxa"/>
            </w:tcMar>
          </w:tcPr>
          <w:p w14:paraId="46840081"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Ten new countries joined the EU</w:t>
            </w:r>
            <w:r w:rsidR="002D0AC0">
              <w:rPr>
                <w:rFonts w:eastAsia="Arial Unicode MS" w:cs="Arial Unicode MS"/>
                <w:sz w:val="28"/>
                <w:szCs w:val="28"/>
                <w:u w:color="000000"/>
                <w:bdr w:val="nil"/>
                <w:lang w:val="en-US"/>
              </w:rPr>
              <w:t>,</w:t>
            </w:r>
            <w:r w:rsidRPr="007E1311">
              <w:rPr>
                <w:rFonts w:eastAsia="Arial Unicode MS" w:cs="Arial Unicode MS"/>
                <w:sz w:val="28"/>
                <w:szCs w:val="28"/>
                <w:u w:color="000000"/>
                <w:bdr w:val="nil"/>
                <w:lang w:val="en-US"/>
              </w:rPr>
              <w:t xml:space="preserve"> and the European constitution is signed by all 25 EU countries. Ratification failed in 2005.</w:t>
            </w:r>
          </w:p>
        </w:tc>
      </w:tr>
      <w:tr w:rsidR="00FB375D" w:rsidRPr="007E1311" w14:paraId="455E4FA4" w14:textId="77777777" w:rsidTr="00FB375D">
        <w:trPr>
          <w:trHeight w:val="260"/>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0E02E48F"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2007</w:t>
            </w:r>
          </w:p>
        </w:tc>
        <w:tc>
          <w:tcPr>
            <w:tcW w:w="8505" w:type="dxa"/>
            <w:tcBorders>
              <w:top w:val="nil"/>
              <w:left w:val="nil"/>
              <w:bottom w:val="nil"/>
              <w:right w:val="nil"/>
            </w:tcBorders>
            <w:shd w:val="clear" w:color="auto" w:fill="auto"/>
            <w:tcMar>
              <w:top w:w="80" w:type="dxa"/>
              <w:left w:w="80" w:type="dxa"/>
              <w:bottom w:w="80" w:type="dxa"/>
              <w:right w:w="80" w:type="dxa"/>
            </w:tcMar>
          </w:tcPr>
          <w:p w14:paraId="2006F128"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Bulgaria and Romania join the EU, bringing membership to 27 countries.</w:t>
            </w:r>
          </w:p>
        </w:tc>
      </w:tr>
      <w:tr w:rsidR="00FB375D" w:rsidRPr="007E1311" w14:paraId="351193A8" w14:textId="77777777" w:rsidTr="00FB375D">
        <w:trPr>
          <w:trHeight w:val="598"/>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4E2224B0"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2009</w:t>
            </w:r>
          </w:p>
        </w:tc>
        <w:tc>
          <w:tcPr>
            <w:tcW w:w="8505" w:type="dxa"/>
            <w:tcBorders>
              <w:top w:val="nil"/>
              <w:left w:val="nil"/>
              <w:bottom w:val="nil"/>
              <w:right w:val="nil"/>
            </w:tcBorders>
            <w:shd w:val="clear" w:color="auto" w:fill="auto"/>
            <w:tcMar>
              <w:top w:w="80" w:type="dxa"/>
              <w:left w:w="80" w:type="dxa"/>
              <w:bottom w:w="80" w:type="dxa"/>
              <w:right w:w="80" w:type="dxa"/>
            </w:tcMar>
          </w:tcPr>
          <w:p w14:paraId="0EE6532D" w14:textId="77777777" w:rsidR="00FB375D" w:rsidRPr="007E1311" w:rsidRDefault="00FB375D" w:rsidP="00B54F41">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 xml:space="preserve">Treaty of Lisbon entered into force to provide </w:t>
            </w:r>
            <w:r w:rsidR="002D0AC0">
              <w:rPr>
                <w:rFonts w:eastAsia="Arial Unicode MS" w:cs="Arial Unicode MS"/>
                <w:sz w:val="28"/>
                <w:szCs w:val="28"/>
                <w:u w:color="000000"/>
                <w:bdr w:val="nil"/>
                <w:lang w:val="en-US"/>
              </w:rPr>
              <w:t xml:space="preserve">the </w:t>
            </w:r>
            <w:r w:rsidRPr="007E1311">
              <w:rPr>
                <w:rFonts w:eastAsia="Arial Unicode MS" w:cs="Arial Unicode MS"/>
                <w:sz w:val="28"/>
                <w:szCs w:val="28"/>
                <w:u w:color="000000"/>
                <w:bdr w:val="nil"/>
                <w:lang w:val="en-US"/>
              </w:rPr>
              <w:t>EU with modern institutions to address issues</w:t>
            </w:r>
            <w:r w:rsidR="002D0AC0">
              <w:rPr>
                <w:rFonts w:eastAsia="Arial Unicode MS" w:cs="Arial Unicode MS"/>
                <w:sz w:val="28"/>
                <w:szCs w:val="28"/>
                <w:u w:color="000000"/>
                <w:bdr w:val="nil"/>
                <w:lang w:val="en-US"/>
              </w:rPr>
              <w:t>,</w:t>
            </w:r>
            <w:r w:rsidRPr="007E1311">
              <w:rPr>
                <w:rFonts w:eastAsia="Arial Unicode MS" w:cs="Arial Unicode MS"/>
                <w:sz w:val="28"/>
                <w:szCs w:val="28"/>
                <w:u w:color="000000"/>
                <w:bdr w:val="nil"/>
                <w:lang w:val="en-US"/>
              </w:rPr>
              <w:t xml:space="preserve"> such as globalization, climate change, security, and energy.</w:t>
            </w:r>
          </w:p>
        </w:tc>
      </w:tr>
      <w:tr w:rsidR="00FB375D" w:rsidRPr="007E1311" w14:paraId="154171BC" w14:textId="77777777" w:rsidTr="00FB375D">
        <w:trPr>
          <w:trHeight w:val="936"/>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7E5A513F"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2010</w:t>
            </w:r>
          </w:p>
        </w:tc>
        <w:tc>
          <w:tcPr>
            <w:tcW w:w="8505" w:type="dxa"/>
            <w:tcBorders>
              <w:top w:val="nil"/>
              <w:left w:val="nil"/>
              <w:bottom w:val="nil"/>
              <w:right w:val="nil"/>
            </w:tcBorders>
            <w:shd w:val="clear" w:color="auto" w:fill="auto"/>
            <w:tcMar>
              <w:top w:w="80" w:type="dxa"/>
              <w:left w:w="80" w:type="dxa"/>
              <w:bottom w:w="80" w:type="dxa"/>
              <w:right w:w="80" w:type="dxa"/>
            </w:tcMar>
          </w:tcPr>
          <w:p w14:paraId="69EBC715" w14:textId="77777777" w:rsidR="00FB375D" w:rsidRPr="007E1311" w:rsidRDefault="00FB375D" w:rsidP="002D0AC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At a European Council meeting in Brussels</w:t>
            </w:r>
            <w:r w:rsidR="002D0AC0">
              <w:rPr>
                <w:rFonts w:eastAsia="Arial Unicode MS" w:cs="Arial Unicode MS"/>
                <w:sz w:val="28"/>
                <w:szCs w:val="28"/>
                <w:u w:color="000000"/>
                <w:bdr w:val="nil"/>
                <w:lang w:val="en-US"/>
              </w:rPr>
              <w:t xml:space="preserve">, the </w:t>
            </w:r>
            <w:r w:rsidRPr="007E1311">
              <w:rPr>
                <w:rFonts w:eastAsia="Arial Unicode MS" w:cs="Arial Unicode MS"/>
                <w:sz w:val="28"/>
                <w:szCs w:val="28"/>
                <w:u w:color="000000"/>
                <w:bdr w:val="nil"/>
                <w:lang w:val="en-US"/>
              </w:rPr>
              <w:t>EU leaders adopt a 10-year strategy for smart, sustainable and inclusive growth: Europe 2020. They also decide to open accession negotiations with Iceland.</w:t>
            </w:r>
          </w:p>
        </w:tc>
      </w:tr>
      <w:tr w:rsidR="00FB375D" w:rsidRPr="007E1311" w14:paraId="03BD9A33" w14:textId="77777777" w:rsidTr="00FB375D">
        <w:trPr>
          <w:trHeight w:val="260"/>
          <w:jc w:val="center"/>
        </w:trPr>
        <w:tc>
          <w:tcPr>
            <w:tcW w:w="959" w:type="dxa"/>
            <w:tcBorders>
              <w:top w:val="nil"/>
              <w:left w:val="nil"/>
              <w:bottom w:val="nil"/>
              <w:right w:val="nil"/>
            </w:tcBorders>
            <w:shd w:val="clear" w:color="auto" w:fill="auto"/>
            <w:tcMar>
              <w:top w:w="80" w:type="dxa"/>
              <w:left w:w="80" w:type="dxa"/>
              <w:bottom w:w="80" w:type="dxa"/>
              <w:right w:w="80" w:type="dxa"/>
            </w:tcMar>
          </w:tcPr>
          <w:p w14:paraId="0AB4EB81" w14:textId="77777777" w:rsidR="00FB375D" w:rsidRPr="007E1311" w:rsidRDefault="00FB375D" w:rsidP="00B54F41">
            <w:pPr>
              <w:pBdr>
                <w:top w:val="nil"/>
                <w:left w:val="nil"/>
                <w:bottom w:val="nil"/>
                <w:right w:val="nil"/>
                <w:between w:val="nil"/>
                <w:bar w:val="nil"/>
              </w:pBdr>
              <w:spacing w:line="240" w:lineRule="atLeast"/>
              <w:ind w:firstLine="142"/>
              <w:jc w:val="center"/>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2013</w:t>
            </w:r>
          </w:p>
        </w:tc>
        <w:tc>
          <w:tcPr>
            <w:tcW w:w="8505" w:type="dxa"/>
            <w:tcBorders>
              <w:top w:val="nil"/>
              <w:left w:val="nil"/>
              <w:bottom w:val="nil"/>
              <w:right w:val="nil"/>
            </w:tcBorders>
            <w:shd w:val="clear" w:color="auto" w:fill="auto"/>
            <w:tcMar>
              <w:top w:w="80" w:type="dxa"/>
              <w:left w:w="80" w:type="dxa"/>
              <w:bottom w:w="80" w:type="dxa"/>
              <w:right w:w="80" w:type="dxa"/>
            </w:tcMar>
          </w:tcPr>
          <w:p w14:paraId="59BB5BCC" w14:textId="77777777" w:rsidR="00FB375D" w:rsidRPr="007E1311" w:rsidRDefault="00FB375D" w:rsidP="00B54F41">
            <w:pPr>
              <w:pBdr>
                <w:top w:val="nil"/>
                <w:left w:val="nil"/>
                <w:bottom w:val="nil"/>
                <w:right w:val="nil"/>
                <w:between w:val="nil"/>
                <w:bar w:val="nil"/>
              </w:pBdr>
              <w:tabs>
                <w:tab w:val="left" w:pos="1088"/>
              </w:tabs>
              <w:spacing w:line="240" w:lineRule="atLeast"/>
              <w:jc w:val="both"/>
              <w:rPr>
                <w:rFonts w:eastAsia="Arial Unicode MS" w:cs="Arial Unicode MS"/>
                <w:sz w:val="28"/>
                <w:szCs w:val="28"/>
                <w:u w:color="000000"/>
                <w:bdr w:val="nil"/>
                <w:lang w:val="en-US"/>
              </w:rPr>
            </w:pPr>
            <w:r w:rsidRPr="007E1311">
              <w:rPr>
                <w:rFonts w:eastAsia="Arial Unicode MS" w:cs="Arial Unicode MS"/>
                <w:sz w:val="28"/>
                <w:szCs w:val="28"/>
                <w:u w:color="000000"/>
                <w:bdr w:val="nil"/>
                <w:lang w:val="en-US"/>
              </w:rPr>
              <w:t>Croatia becomes the 28th country to join the European Union.</w:t>
            </w:r>
          </w:p>
        </w:tc>
      </w:tr>
    </w:tbl>
    <w:p w14:paraId="1BD13806" w14:textId="77777777" w:rsidR="00FB375D" w:rsidRPr="007E1311" w:rsidRDefault="00FB375D" w:rsidP="00FB375D">
      <w:pPr>
        <w:pBdr>
          <w:top w:val="nil"/>
          <w:left w:val="nil"/>
          <w:bottom w:val="nil"/>
          <w:right w:val="nil"/>
          <w:between w:val="nil"/>
          <w:bar w:val="nil"/>
        </w:pBdr>
        <w:shd w:val="clear" w:color="auto" w:fill="FFFFFF"/>
        <w:ind w:firstLine="357"/>
        <w:jc w:val="center"/>
        <w:rPr>
          <w:rFonts w:eastAsia="Garamond" w:cs="Garamond"/>
          <w:b/>
          <w:bCs/>
          <w:sz w:val="28"/>
          <w:szCs w:val="28"/>
          <w:u w:color="000000"/>
          <w:bdr w:val="nil"/>
          <w:lang w:val="en-US"/>
        </w:rPr>
      </w:pPr>
    </w:p>
    <w:p w14:paraId="445EF913" w14:textId="77777777" w:rsidR="00FB375D" w:rsidRPr="007E1311" w:rsidRDefault="002D0AC0" w:rsidP="00137967">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Pr>
          <w:rFonts w:eastAsia="Arial Unicode MS" w:cs="Arial Unicode MS"/>
          <w:sz w:val="28"/>
          <w:szCs w:val="28"/>
          <w:u w:color="000000"/>
          <w:bdr w:val="nil"/>
          <w:lang w:val="en-US" w:eastAsia="en-US"/>
        </w:rPr>
        <w:t xml:space="preserve">The </w:t>
      </w:r>
      <w:r w:rsidR="00FB375D" w:rsidRPr="007E1311">
        <w:rPr>
          <w:rFonts w:eastAsia="Arial Unicode MS" w:cs="Arial Unicode MS"/>
          <w:sz w:val="28"/>
          <w:szCs w:val="28"/>
          <w:u w:color="000000"/>
          <w:bdr w:val="nil"/>
          <w:lang w:val="en-US" w:eastAsia="en-US"/>
        </w:rPr>
        <w:t xml:space="preserve">EU member states work together through </w:t>
      </w:r>
      <w:r w:rsidR="00FB375D" w:rsidRPr="007E1311">
        <w:rPr>
          <w:rFonts w:eastAsia="Arial Unicode MS" w:cs="Arial Unicode MS"/>
          <w:b/>
          <w:bCs/>
          <w:sz w:val="28"/>
          <w:szCs w:val="28"/>
          <w:u w:color="000000"/>
          <w:bdr w:val="nil"/>
          <w:lang w:val="en-US" w:eastAsia="en-US"/>
        </w:rPr>
        <w:t>common institutions</w:t>
      </w:r>
      <w:r w:rsidR="00FB375D" w:rsidRPr="007E1311">
        <w:rPr>
          <w:rFonts w:eastAsia="Arial Unicode MS" w:cs="Arial Unicode MS"/>
          <w:sz w:val="28"/>
          <w:szCs w:val="28"/>
          <w:u w:color="000000"/>
          <w:bdr w:val="nil"/>
          <w:lang w:val="en-US" w:eastAsia="en-US"/>
        </w:rPr>
        <w:t xml:space="preserve"> to set policy and promote their collective interests. </w:t>
      </w:r>
      <w:r>
        <w:rPr>
          <w:rFonts w:eastAsia="Arial Unicode MS" w:cs="Arial Unicode MS"/>
          <w:sz w:val="28"/>
          <w:szCs w:val="28"/>
          <w:u w:color="000000"/>
          <w:bdr w:val="nil"/>
          <w:lang w:val="en-US" w:eastAsia="en-US"/>
        </w:rPr>
        <w:t xml:space="preserve">The </w:t>
      </w:r>
      <w:r w:rsidR="00FB375D" w:rsidRPr="007E1311">
        <w:rPr>
          <w:rFonts w:eastAsia="Arial Unicode MS" w:cs="Arial Unicode MS"/>
          <w:sz w:val="28"/>
          <w:szCs w:val="28"/>
          <w:u w:color="000000"/>
          <w:bdr w:val="nil"/>
          <w:lang w:val="en-US" w:eastAsia="en-US"/>
        </w:rPr>
        <w:t xml:space="preserve">EU is governed by several institutions. They do not correspond exactly to the traditional branches of government or division of power in representative democracies. Rather, they embody the EU’s dual supranational </w:t>
      </w:r>
      <w:r w:rsidR="00B54F41">
        <w:rPr>
          <w:rFonts w:eastAsia="Arial Unicode MS" w:cs="Arial Unicode MS"/>
          <w:sz w:val="28"/>
          <w:szCs w:val="28"/>
          <w:u w:color="000000"/>
          <w:bdr w:val="nil"/>
          <w:lang w:val="en-US" w:eastAsia="en-US"/>
        </w:rPr>
        <w:t>and intergovernmental character.</w:t>
      </w:r>
    </w:p>
    <w:p w14:paraId="0A861EE7" w14:textId="77777777" w:rsidR="00FB375D" w:rsidRPr="00B54F41" w:rsidRDefault="00FB375D" w:rsidP="00137967">
      <w:pPr>
        <w:pBdr>
          <w:top w:val="nil"/>
          <w:left w:val="nil"/>
          <w:bottom w:val="nil"/>
          <w:right w:val="nil"/>
          <w:between w:val="nil"/>
          <w:bar w:val="nil"/>
        </w:pBdr>
        <w:spacing w:line="312" w:lineRule="auto"/>
        <w:ind w:firstLine="709"/>
        <w:jc w:val="both"/>
        <w:rPr>
          <w:rFonts w:eastAsia="Arial Unicode MS" w:cs="Arial Unicode MS"/>
          <w:sz w:val="28"/>
          <w:szCs w:val="28"/>
          <w:u w:color="000000"/>
          <w:bdr w:val="nil"/>
          <w:lang w:val="en-US" w:eastAsia="en-US"/>
        </w:rPr>
      </w:pPr>
      <w:r w:rsidRPr="00B54F41">
        <w:rPr>
          <w:rFonts w:eastAsia="Arial Unicode MS" w:cs="Arial Unicode MS"/>
          <w:sz w:val="28"/>
          <w:szCs w:val="28"/>
          <w:u w:color="000000"/>
          <w:bdr w:val="nil"/>
          <w:lang w:val="en-US" w:eastAsia="en-US"/>
        </w:rPr>
        <w:t xml:space="preserve">The </w:t>
      </w:r>
      <w:r w:rsidRPr="00B54F41">
        <w:rPr>
          <w:rFonts w:eastAsia="Arial Unicode MS" w:cs="Arial Unicode MS"/>
          <w:b/>
          <w:sz w:val="28"/>
          <w:szCs w:val="28"/>
          <w:u w:color="000000"/>
          <w:bdr w:val="nil"/>
          <w:lang w:val="en-US" w:eastAsia="en-US"/>
        </w:rPr>
        <w:t>European Council</w:t>
      </w:r>
      <w:r w:rsidRPr="007E1311">
        <w:rPr>
          <w:rFonts w:eastAsia="Arial Unicode MS" w:cs="Arial Unicode MS"/>
          <w:sz w:val="28"/>
          <w:szCs w:val="28"/>
          <w:u w:color="000000"/>
          <w:bdr w:val="nil"/>
          <w:lang w:val="en-US" w:eastAsia="en-US"/>
        </w:rPr>
        <w:t xml:space="preserve"> acts as the strategic guide for EU policy. It is composed of the Heads of State or Government of the EU’s member states and the President of the European Commission; it meets several times a year on “EU summits”. The European Council is headed by a President, appointed by the member states to organize the Council’s work and facilitate consensus.</w:t>
      </w:r>
    </w:p>
    <w:p w14:paraId="565C44F4" w14:textId="77777777" w:rsidR="00FB375D" w:rsidRPr="00B54F41" w:rsidRDefault="00FB375D" w:rsidP="00137967">
      <w:pPr>
        <w:pBdr>
          <w:top w:val="nil"/>
          <w:left w:val="nil"/>
          <w:bottom w:val="nil"/>
          <w:right w:val="nil"/>
          <w:between w:val="nil"/>
          <w:bar w:val="nil"/>
        </w:pBdr>
        <w:spacing w:line="312" w:lineRule="auto"/>
        <w:ind w:firstLine="709"/>
        <w:jc w:val="both"/>
        <w:rPr>
          <w:rFonts w:eastAsia="Arial Unicode MS" w:cs="Arial Unicode MS"/>
          <w:sz w:val="28"/>
          <w:szCs w:val="28"/>
          <w:u w:color="000000"/>
          <w:bdr w:val="nil"/>
          <w:lang w:val="en-US" w:eastAsia="en-US"/>
        </w:rPr>
      </w:pPr>
      <w:r w:rsidRPr="00B54F41">
        <w:rPr>
          <w:rFonts w:eastAsia="Arial Unicode MS" w:cs="Arial Unicode MS"/>
          <w:sz w:val="28"/>
          <w:szCs w:val="28"/>
          <w:u w:color="000000"/>
          <w:bdr w:val="nil"/>
          <w:lang w:val="en-US" w:eastAsia="en-US"/>
        </w:rPr>
        <w:t xml:space="preserve">The </w:t>
      </w:r>
      <w:r w:rsidRPr="00B54F41">
        <w:rPr>
          <w:rFonts w:eastAsia="Arial Unicode MS" w:cs="Arial Unicode MS"/>
          <w:b/>
          <w:sz w:val="28"/>
          <w:szCs w:val="28"/>
          <w:u w:color="000000"/>
          <w:bdr w:val="nil"/>
          <w:lang w:val="en-US" w:eastAsia="en-US"/>
        </w:rPr>
        <w:t>European Commission</w:t>
      </w:r>
      <w:r w:rsidRPr="007E1311">
        <w:rPr>
          <w:rFonts w:eastAsia="Arial Unicode MS" w:cs="Arial Unicode MS"/>
          <w:sz w:val="28"/>
          <w:szCs w:val="28"/>
          <w:u w:color="000000"/>
          <w:bdr w:val="nil"/>
          <w:lang w:val="en-US" w:eastAsia="en-US"/>
        </w:rPr>
        <w:t xml:space="preserve"> is </w:t>
      </w:r>
      <w:r w:rsidR="00B54F41">
        <w:rPr>
          <w:rFonts w:eastAsia="Arial Unicode MS" w:cs="Arial Unicode MS"/>
          <w:sz w:val="28"/>
          <w:szCs w:val="28"/>
          <w:u w:color="000000"/>
          <w:bdr w:val="nil"/>
          <w:lang w:val="en-US" w:eastAsia="en-US"/>
        </w:rPr>
        <w:t>essential</w:t>
      </w:r>
      <w:r w:rsidRPr="007E1311">
        <w:rPr>
          <w:rFonts w:eastAsia="Arial Unicode MS" w:cs="Arial Unicode MS"/>
          <w:sz w:val="28"/>
          <w:szCs w:val="28"/>
          <w:u w:color="000000"/>
          <w:bdr w:val="nil"/>
          <w:lang w:val="en-US" w:eastAsia="en-US"/>
        </w:rPr>
        <w:t xml:space="preserve">ly the EU’s executive body and upholds the common interest of the EU. It implements and manages EU decisions </w:t>
      </w:r>
      <w:r w:rsidRPr="007E1311">
        <w:rPr>
          <w:rFonts w:eastAsia="Arial Unicode MS" w:cs="Arial Unicode MS"/>
          <w:sz w:val="28"/>
          <w:szCs w:val="28"/>
          <w:u w:color="000000"/>
          <w:bdr w:val="nil"/>
          <w:lang w:val="en-US" w:eastAsia="en-US"/>
        </w:rPr>
        <w:lastRenderedPageBreak/>
        <w:t xml:space="preserve">and common policies, ensures that the provisions of the EU’s treaties are carried out properly, and has the sole right of legislative initiative in most policy areas. It is composed of 28 Commissioners, one from each country, who are approved by the European Parliament. </w:t>
      </w:r>
    </w:p>
    <w:p w14:paraId="2CCE37F5" w14:textId="77777777" w:rsidR="00FB375D" w:rsidRPr="00B54F41" w:rsidRDefault="00FB375D" w:rsidP="00137967">
      <w:pPr>
        <w:pBdr>
          <w:top w:val="nil"/>
          <w:left w:val="nil"/>
          <w:bottom w:val="nil"/>
          <w:right w:val="nil"/>
          <w:between w:val="nil"/>
          <w:bar w:val="nil"/>
        </w:pBdr>
        <w:tabs>
          <w:tab w:val="num" w:pos="352"/>
        </w:tabs>
        <w:spacing w:line="312" w:lineRule="auto"/>
        <w:ind w:firstLine="709"/>
        <w:jc w:val="both"/>
        <w:rPr>
          <w:rFonts w:eastAsia="Arial Unicode MS" w:cs="Arial Unicode MS"/>
          <w:sz w:val="28"/>
          <w:szCs w:val="28"/>
          <w:u w:color="000000"/>
          <w:bdr w:val="nil"/>
          <w:lang w:val="en-US" w:eastAsia="en-US"/>
        </w:rPr>
      </w:pPr>
      <w:r w:rsidRPr="00B54F41">
        <w:rPr>
          <w:rFonts w:eastAsia="Arial Unicode MS" w:cs="Arial Unicode MS"/>
          <w:sz w:val="28"/>
          <w:szCs w:val="28"/>
          <w:u w:color="000000"/>
          <w:bdr w:val="nil"/>
          <w:lang w:val="en-US" w:eastAsia="en-US"/>
        </w:rPr>
        <w:t xml:space="preserve">The </w:t>
      </w:r>
      <w:r w:rsidRPr="00B54F41">
        <w:rPr>
          <w:rFonts w:eastAsia="Arial Unicode MS" w:cs="Arial Unicode MS"/>
          <w:b/>
          <w:sz w:val="28"/>
          <w:szCs w:val="28"/>
          <w:u w:color="000000"/>
          <w:bdr w:val="nil"/>
          <w:lang w:val="en-US" w:eastAsia="en-US"/>
        </w:rPr>
        <w:t>Council of the European Union</w:t>
      </w:r>
      <w:r w:rsidRPr="007E1311">
        <w:rPr>
          <w:rFonts w:eastAsia="Arial Unicode MS" w:cs="Arial Unicode MS"/>
          <w:sz w:val="28"/>
          <w:szCs w:val="28"/>
          <w:u w:color="000000"/>
          <w:bdr w:val="nil"/>
          <w:lang w:val="en-US" w:eastAsia="en-US"/>
        </w:rPr>
        <w:t xml:space="preserve"> (also </w:t>
      </w:r>
      <w:r w:rsidR="00B54F41">
        <w:rPr>
          <w:rFonts w:eastAsia="Arial Unicode MS" w:cs="Arial Unicode MS"/>
          <w:sz w:val="28"/>
          <w:szCs w:val="28"/>
          <w:u w:color="000000"/>
          <w:bdr w:val="nil"/>
          <w:lang w:val="en-US" w:eastAsia="en-US"/>
        </w:rPr>
        <w:t xml:space="preserve">referred to as </w:t>
      </w:r>
      <w:r w:rsidRPr="007E1311">
        <w:rPr>
          <w:rFonts w:eastAsia="Arial Unicode MS" w:cs="Arial Unicode MS"/>
          <w:sz w:val="28"/>
          <w:szCs w:val="28"/>
          <w:u w:color="000000"/>
          <w:bdr w:val="nil"/>
          <w:lang w:val="en-US" w:eastAsia="en-US"/>
        </w:rPr>
        <w:t xml:space="preserve">the </w:t>
      </w:r>
      <w:r w:rsidRPr="00B54F41">
        <w:rPr>
          <w:rFonts w:eastAsia="Arial Unicode MS" w:cs="Arial Unicode MS"/>
          <w:b/>
          <w:sz w:val="28"/>
          <w:szCs w:val="28"/>
          <w:u w:color="000000"/>
          <w:bdr w:val="nil"/>
          <w:lang w:val="en-US" w:eastAsia="en-US"/>
        </w:rPr>
        <w:t>Council of Ministers</w:t>
      </w:r>
      <w:r w:rsidRPr="007E1311">
        <w:rPr>
          <w:rFonts w:eastAsia="Arial Unicode MS" w:cs="Arial Unicode MS"/>
          <w:sz w:val="28"/>
          <w:szCs w:val="28"/>
          <w:u w:color="000000"/>
          <w:bdr w:val="nil"/>
          <w:lang w:val="en-US" w:eastAsia="en-US"/>
        </w:rPr>
        <w:t xml:space="preserve">) represents the 28 national governments. The Council enacts legislation, usually based on proposals put forward by the Commission. Different ministers from each country participate in meetings depending on the subject under consideration (foreign affairs, agriculture, and production). </w:t>
      </w:r>
    </w:p>
    <w:p w14:paraId="7E457A62" w14:textId="77777777" w:rsidR="00FB375D" w:rsidRPr="00B54F41" w:rsidRDefault="00FB375D" w:rsidP="00137967">
      <w:pPr>
        <w:pBdr>
          <w:top w:val="nil"/>
          <w:left w:val="nil"/>
          <w:bottom w:val="nil"/>
          <w:right w:val="nil"/>
          <w:between w:val="nil"/>
          <w:bar w:val="nil"/>
        </w:pBdr>
        <w:spacing w:line="312" w:lineRule="auto"/>
        <w:ind w:firstLine="709"/>
        <w:jc w:val="both"/>
        <w:rPr>
          <w:rFonts w:eastAsia="Arial Unicode MS" w:cs="Arial Unicode MS"/>
          <w:sz w:val="28"/>
          <w:szCs w:val="28"/>
          <w:u w:color="000000"/>
          <w:bdr w:val="nil"/>
          <w:lang w:val="en-US" w:eastAsia="en-US"/>
        </w:rPr>
      </w:pPr>
      <w:r w:rsidRPr="00B54F41">
        <w:rPr>
          <w:rFonts w:eastAsia="Arial Unicode MS" w:cs="Arial Unicode MS"/>
          <w:sz w:val="28"/>
          <w:szCs w:val="28"/>
          <w:u w:color="000000"/>
          <w:bdr w:val="nil"/>
          <w:lang w:val="en-US" w:eastAsia="en-US"/>
        </w:rPr>
        <w:t xml:space="preserve">The </w:t>
      </w:r>
      <w:r w:rsidRPr="00B54F41">
        <w:rPr>
          <w:rFonts w:eastAsia="Arial Unicode MS" w:cs="Arial Unicode MS"/>
          <w:b/>
          <w:sz w:val="28"/>
          <w:szCs w:val="28"/>
          <w:u w:color="000000"/>
          <w:bdr w:val="nil"/>
          <w:lang w:val="en-US" w:eastAsia="en-US"/>
        </w:rPr>
        <w:t>European Parliament</w:t>
      </w:r>
      <w:r w:rsidRPr="007E1311">
        <w:rPr>
          <w:rFonts w:eastAsia="Arial Unicode MS" w:cs="Arial Unicode MS"/>
          <w:sz w:val="28"/>
          <w:szCs w:val="28"/>
          <w:u w:color="000000"/>
          <w:bdr w:val="nil"/>
          <w:lang w:val="en-US" w:eastAsia="en-US"/>
        </w:rPr>
        <w:t xml:space="preserve"> represents the citizens of the EU. It consists of 751 members, who are directly elected for five-year terms. Each EU country has a number of seats roughly proportional to the size of its population. Although the Parliament cannot initiate legislation, it shares legislative power with the Council of Ministers in many policy areas, giving it the right to accept, amend, or reject the majority of proposed EU legislation. The Parliament also decides on the allocation of the EU’s budget jointly with the Council. Members of the European Parliament are presented in eight political groups and a number of non-attached members.</w:t>
      </w:r>
    </w:p>
    <w:p w14:paraId="4A74ED46" w14:textId="77777777" w:rsidR="00FB375D" w:rsidRPr="00B54F41" w:rsidRDefault="00FB375D" w:rsidP="00137967">
      <w:pPr>
        <w:pBdr>
          <w:top w:val="nil"/>
          <w:left w:val="nil"/>
          <w:bottom w:val="nil"/>
          <w:right w:val="nil"/>
          <w:between w:val="nil"/>
          <w:bar w:val="nil"/>
        </w:pBdr>
        <w:spacing w:line="312" w:lineRule="auto"/>
        <w:ind w:firstLine="709"/>
        <w:jc w:val="both"/>
        <w:rPr>
          <w:rFonts w:eastAsia="Arial Unicode MS" w:cs="Arial Unicode MS"/>
          <w:sz w:val="28"/>
          <w:szCs w:val="28"/>
          <w:u w:color="000000"/>
          <w:bdr w:val="nil"/>
          <w:lang w:val="en-US" w:eastAsia="en-US"/>
        </w:rPr>
      </w:pPr>
      <w:r w:rsidRPr="00B54F41">
        <w:rPr>
          <w:rFonts w:eastAsia="Arial Unicode MS" w:cs="Arial Unicode MS"/>
          <w:b/>
          <w:sz w:val="28"/>
          <w:szCs w:val="28"/>
          <w:u w:color="000000"/>
          <w:bdr w:val="nil"/>
          <w:lang w:val="en-US" w:eastAsia="en-US"/>
        </w:rPr>
        <w:t>Other institutions</w:t>
      </w:r>
      <w:r w:rsidRPr="007E1311">
        <w:rPr>
          <w:rFonts w:eastAsia="Arial Unicode MS" w:cs="Arial Unicode MS"/>
          <w:sz w:val="28"/>
          <w:szCs w:val="28"/>
          <w:u w:color="000000"/>
          <w:bdr w:val="nil"/>
          <w:lang w:val="en-US" w:eastAsia="en-US"/>
        </w:rPr>
        <w:t>. The Court of Justice interprets EU laws; a Court of Auditors monitors financial management; the European Central Bank manages the euro and EU monetary policy; and advisory committees represent economic, social, and regional interests.</w:t>
      </w:r>
    </w:p>
    <w:p w14:paraId="02BF7106" w14:textId="77777777" w:rsidR="00FB375D" w:rsidRPr="007E1311" w:rsidRDefault="00FB375D" w:rsidP="00137967">
      <w:pPr>
        <w:pBdr>
          <w:top w:val="nil"/>
          <w:left w:val="nil"/>
          <w:bottom w:val="nil"/>
          <w:right w:val="nil"/>
          <w:between w:val="nil"/>
          <w:bar w:val="nil"/>
        </w:pBdr>
        <w:shd w:val="clear" w:color="auto" w:fill="FFFFFF"/>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 xml:space="preserve">In order to be sure that </w:t>
      </w:r>
      <w:r w:rsidR="002D0AC0">
        <w:rPr>
          <w:rFonts w:eastAsia="Arial Unicode MS" w:cs="Arial Unicode MS"/>
          <w:sz w:val="28"/>
          <w:szCs w:val="28"/>
          <w:u w:color="000000"/>
          <w:bdr w:val="nil"/>
          <w:lang w:val="en-US" w:eastAsia="en-US"/>
        </w:rPr>
        <w:t xml:space="preserve">a </w:t>
      </w:r>
      <w:r w:rsidRPr="007E1311">
        <w:rPr>
          <w:rFonts w:eastAsia="Arial Unicode MS" w:cs="Arial Unicode MS"/>
          <w:sz w:val="28"/>
          <w:szCs w:val="28"/>
          <w:u w:color="000000"/>
          <w:bdr w:val="nil"/>
          <w:lang w:val="en-US" w:eastAsia="en-US"/>
        </w:rPr>
        <w:t>state is adequate to be a member of EU in 1993, there were adopted specific economic criteria</w:t>
      </w:r>
      <w:r w:rsidR="00B54F41">
        <w:rPr>
          <w:rFonts w:eastAsia="Arial Unicode MS" w:cs="Arial Unicode MS"/>
          <w:sz w:val="28"/>
          <w:szCs w:val="28"/>
          <w:u w:color="000000"/>
          <w:bdr w:val="nil"/>
          <w:lang w:val="en-US" w:eastAsia="en-US"/>
        </w:rPr>
        <w:t xml:space="preserve"> (</w:t>
      </w:r>
      <w:r w:rsidR="00B54F41" w:rsidRPr="00B54F41">
        <w:rPr>
          <w:rFonts w:eastAsia="Arial Unicode MS" w:cs="Arial Unicode MS"/>
          <w:b/>
          <w:sz w:val="28"/>
          <w:szCs w:val="28"/>
          <w:u w:color="000000"/>
          <w:bdr w:val="nil"/>
          <w:lang w:val="en-US" w:eastAsia="en-US"/>
        </w:rPr>
        <w:t>Maastricht Criteria</w:t>
      </w:r>
      <w:r w:rsidR="00B54F41">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These five criteria also must be met by European countries if they wish to adopt the European Union’s single currency:</w:t>
      </w:r>
    </w:p>
    <w:p w14:paraId="055F9773" w14:textId="77777777" w:rsidR="00FB375D" w:rsidRPr="007E1311" w:rsidRDefault="00000000" w:rsidP="00137967">
      <w:pPr>
        <w:numPr>
          <w:ilvl w:val="0"/>
          <w:numId w:val="232"/>
        </w:numPr>
        <w:pBdr>
          <w:top w:val="nil"/>
          <w:left w:val="nil"/>
          <w:bottom w:val="nil"/>
          <w:right w:val="nil"/>
          <w:between w:val="nil"/>
          <w:bar w:val="nil"/>
        </w:pBdr>
        <w:shd w:val="clear" w:color="auto" w:fill="FFFFFF"/>
        <w:spacing w:line="312" w:lineRule="auto"/>
        <w:ind w:left="993" w:hanging="284"/>
        <w:jc w:val="both"/>
        <w:rPr>
          <w:rFonts w:eastAsia="Garamond" w:cs="Garamond"/>
          <w:sz w:val="28"/>
          <w:szCs w:val="28"/>
          <w:u w:color="000000"/>
          <w:bdr w:val="nil"/>
          <w:lang w:val="en-US"/>
        </w:rPr>
      </w:pPr>
      <w:hyperlink r:id="rId77" w:history="1">
        <w:r w:rsidR="002D0AC0">
          <w:rPr>
            <w:rFonts w:eastAsia="Garamond" w:cs="Garamond"/>
            <w:sz w:val="28"/>
            <w:szCs w:val="28"/>
            <w:u w:color="000000"/>
            <w:bdr w:val="nil"/>
            <w:lang w:val="en-US"/>
          </w:rPr>
          <w:t>I</w:t>
        </w:r>
        <w:r w:rsidR="00FB375D" w:rsidRPr="007E1311">
          <w:rPr>
            <w:rFonts w:eastAsia="Garamond" w:cs="Garamond"/>
            <w:sz w:val="28"/>
            <w:szCs w:val="28"/>
            <w:u w:color="000000"/>
            <w:bdr w:val="nil"/>
            <w:lang w:val="en-US"/>
          </w:rPr>
          <w:t>nflation</w:t>
        </w:r>
      </w:hyperlink>
      <w:r w:rsidR="00FB375D" w:rsidRPr="007E1311">
        <w:rPr>
          <w:rFonts w:eastAsia="Arial Unicode MS" w:cs="Arial Unicode MS"/>
          <w:sz w:val="28"/>
          <w:szCs w:val="28"/>
          <w:u w:color="000000"/>
          <w:bdr w:val="nil"/>
          <w:lang w:val="en-US"/>
        </w:rPr>
        <w:t> of no more than 1.5 percentage points above the average rate of the three </w:t>
      </w:r>
      <w:hyperlink r:id="rId78" w:history="1">
        <w:r w:rsidR="00FB375D" w:rsidRPr="007E1311">
          <w:rPr>
            <w:rFonts w:eastAsia="Garamond" w:cs="Garamond"/>
            <w:sz w:val="28"/>
            <w:szCs w:val="28"/>
            <w:u w:color="000000"/>
            <w:bdr w:val="nil"/>
            <w:lang w:val="en-US"/>
          </w:rPr>
          <w:t>EU</w:t>
        </w:r>
      </w:hyperlink>
      <w:r w:rsidR="00FB375D" w:rsidRPr="007E1311">
        <w:rPr>
          <w:rFonts w:eastAsia="Arial Unicode MS" w:cs="Arial Unicode MS"/>
          <w:sz w:val="28"/>
          <w:szCs w:val="28"/>
          <w:u w:color="000000"/>
          <w:bdr w:val="nil"/>
          <w:lang w:val="en-US"/>
        </w:rPr>
        <w:t> member states with the lowest inflation over the previous year.</w:t>
      </w:r>
    </w:p>
    <w:p w14:paraId="3F41C6F5" w14:textId="77777777" w:rsidR="00FB375D" w:rsidRPr="007E1311" w:rsidRDefault="002D0AC0" w:rsidP="00137967">
      <w:pPr>
        <w:numPr>
          <w:ilvl w:val="0"/>
          <w:numId w:val="232"/>
        </w:numPr>
        <w:pBdr>
          <w:top w:val="nil"/>
          <w:left w:val="nil"/>
          <w:bottom w:val="nil"/>
          <w:right w:val="nil"/>
          <w:between w:val="nil"/>
          <w:bar w:val="nil"/>
        </w:pBdr>
        <w:shd w:val="clear" w:color="auto" w:fill="FFFFFF"/>
        <w:spacing w:line="312" w:lineRule="auto"/>
        <w:ind w:left="993" w:hanging="284"/>
        <w:jc w:val="both"/>
        <w:rPr>
          <w:rFonts w:eastAsia="Garamond" w:cs="Garamond"/>
          <w:sz w:val="28"/>
          <w:szCs w:val="28"/>
          <w:u w:color="000000"/>
          <w:bdr w:val="nil"/>
          <w:lang w:val="en-US"/>
        </w:rPr>
      </w:pPr>
      <w:r>
        <w:rPr>
          <w:rFonts w:eastAsia="Arial Unicode MS" w:cs="Arial Unicode MS"/>
          <w:sz w:val="28"/>
          <w:szCs w:val="28"/>
          <w:u w:color="000000"/>
          <w:bdr w:val="nil"/>
          <w:lang w:val="en-US"/>
        </w:rPr>
        <w:t>N</w:t>
      </w:r>
      <w:r w:rsidR="00FB375D" w:rsidRPr="007E1311">
        <w:rPr>
          <w:rFonts w:eastAsia="Arial Unicode MS" w:cs="Arial Unicode MS"/>
          <w:sz w:val="28"/>
          <w:szCs w:val="28"/>
          <w:u w:color="000000"/>
          <w:bdr w:val="nil"/>
          <w:lang w:val="en-US"/>
        </w:rPr>
        <w:t>ational </w:t>
      </w:r>
      <w:hyperlink r:id="rId79" w:history="1">
        <w:r w:rsidR="00FB375D" w:rsidRPr="007E1311">
          <w:rPr>
            <w:rFonts w:eastAsia="Garamond" w:cs="Garamond"/>
            <w:sz w:val="28"/>
            <w:szCs w:val="28"/>
            <w:u w:color="000000"/>
            <w:bdr w:val="nil"/>
            <w:lang w:val="en-US"/>
          </w:rPr>
          <w:t>budget deficit</w:t>
        </w:r>
      </w:hyperlink>
      <w:r w:rsidR="00FB375D" w:rsidRPr="007E1311">
        <w:rPr>
          <w:rFonts w:eastAsia="Arial Unicode MS" w:cs="Arial Unicode MS"/>
          <w:sz w:val="28"/>
          <w:szCs w:val="28"/>
          <w:u w:color="000000"/>
          <w:bdr w:val="nil"/>
          <w:lang w:val="en-US"/>
        </w:rPr>
        <w:t> at or below 3 percent of gross domestic product (</w:t>
      </w:r>
      <w:hyperlink r:id="rId80" w:history="1">
        <w:r w:rsidR="00FB375D" w:rsidRPr="007E1311">
          <w:rPr>
            <w:rFonts w:eastAsia="Garamond" w:cs="Garamond"/>
            <w:sz w:val="28"/>
            <w:szCs w:val="28"/>
            <w:u w:color="000000"/>
            <w:bdr w:val="nil"/>
            <w:lang w:val="en-US"/>
          </w:rPr>
          <w:t>GDP</w:t>
        </w:r>
      </w:hyperlink>
      <w:r>
        <w:rPr>
          <w:rFonts w:eastAsia="Arial Unicode MS" w:cs="Arial Unicode MS"/>
          <w:sz w:val="28"/>
          <w:szCs w:val="28"/>
          <w:u w:color="000000"/>
          <w:bdr w:val="nil"/>
          <w:lang w:val="en-US"/>
        </w:rPr>
        <w:t>).</w:t>
      </w:r>
    </w:p>
    <w:p w14:paraId="597A8DF9" w14:textId="77777777" w:rsidR="002D0AC0" w:rsidRPr="002D0AC0" w:rsidRDefault="002D0AC0" w:rsidP="00137967">
      <w:pPr>
        <w:numPr>
          <w:ilvl w:val="0"/>
          <w:numId w:val="232"/>
        </w:numPr>
        <w:pBdr>
          <w:top w:val="nil"/>
          <w:left w:val="nil"/>
          <w:bottom w:val="nil"/>
          <w:right w:val="nil"/>
          <w:between w:val="nil"/>
          <w:bar w:val="nil"/>
        </w:pBdr>
        <w:shd w:val="clear" w:color="auto" w:fill="FFFFFF"/>
        <w:spacing w:line="312" w:lineRule="auto"/>
        <w:ind w:left="993" w:hanging="284"/>
        <w:jc w:val="both"/>
        <w:rPr>
          <w:rFonts w:eastAsia="Garamond" w:cs="Garamond"/>
          <w:sz w:val="28"/>
          <w:szCs w:val="28"/>
          <w:u w:color="000000"/>
          <w:bdr w:val="nil"/>
          <w:lang w:val="en-US"/>
        </w:rPr>
      </w:pPr>
      <w:r w:rsidRPr="002D0AC0">
        <w:rPr>
          <w:rFonts w:eastAsia="Arial Unicode MS" w:cs="Arial Unicode MS"/>
          <w:sz w:val="28"/>
          <w:szCs w:val="28"/>
          <w:u w:color="000000"/>
          <w:bdr w:val="nil"/>
          <w:lang w:val="en-US"/>
        </w:rPr>
        <w:t>T</w:t>
      </w:r>
      <w:r w:rsidR="00FB375D" w:rsidRPr="002D0AC0">
        <w:rPr>
          <w:rFonts w:eastAsia="Arial Unicode MS" w:cs="Arial Unicode MS"/>
          <w:sz w:val="28"/>
          <w:szCs w:val="28"/>
          <w:u w:color="000000"/>
          <w:bdr w:val="nil"/>
          <w:lang w:val="en-US"/>
        </w:rPr>
        <w:t>he national public </w:t>
      </w:r>
      <w:hyperlink r:id="rId81" w:history="1">
        <w:r w:rsidR="00FB375D" w:rsidRPr="002D0AC0">
          <w:rPr>
            <w:rFonts w:eastAsia="Garamond" w:cs="Garamond"/>
            <w:sz w:val="28"/>
            <w:szCs w:val="28"/>
            <w:u w:color="000000"/>
            <w:bdr w:val="nil"/>
            <w:lang w:val="en-US"/>
          </w:rPr>
          <w:t>debt</w:t>
        </w:r>
      </w:hyperlink>
      <w:r w:rsidR="00FB375D" w:rsidRPr="002D0AC0">
        <w:rPr>
          <w:rFonts w:eastAsia="Arial Unicode MS" w:cs="Arial Unicode MS"/>
          <w:sz w:val="28"/>
          <w:szCs w:val="28"/>
          <w:u w:color="000000"/>
          <w:bdr w:val="nil"/>
          <w:lang w:val="en-US"/>
        </w:rPr>
        <w:t> is not exceeding 60 percent of the gross domestic product. A country with a higher level of debt can still adopt the euro provided its debt level is falling steadily</w:t>
      </w:r>
      <w:r>
        <w:rPr>
          <w:rFonts w:eastAsia="Arial Unicode MS" w:cs="Arial Unicode MS"/>
          <w:sz w:val="28"/>
          <w:szCs w:val="28"/>
          <w:u w:color="000000"/>
          <w:bdr w:val="nil"/>
          <w:lang w:val="en-US"/>
        </w:rPr>
        <w:t>.</w:t>
      </w:r>
    </w:p>
    <w:p w14:paraId="4DA56E03" w14:textId="77777777" w:rsidR="00FB375D" w:rsidRPr="002D0AC0" w:rsidRDefault="00D003A0" w:rsidP="00137967">
      <w:pPr>
        <w:numPr>
          <w:ilvl w:val="0"/>
          <w:numId w:val="232"/>
        </w:numPr>
        <w:pBdr>
          <w:top w:val="nil"/>
          <w:left w:val="nil"/>
          <w:bottom w:val="nil"/>
          <w:right w:val="nil"/>
          <w:between w:val="nil"/>
          <w:bar w:val="nil"/>
        </w:pBdr>
        <w:shd w:val="clear" w:color="auto" w:fill="FFFFFF"/>
        <w:spacing w:line="312" w:lineRule="auto"/>
        <w:ind w:left="993" w:hanging="284"/>
        <w:jc w:val="both"/>
        <w:rPr>
          <w:rFonts w:eastAsia="Garamond" w:cs="Garamond"/>
          <w:sz w:val="28"/>
          <w:szCs w:val="28"/>
          <w:u w:color="000000"/>
          <w:bdr w:val="nil"/>
          <w:lang w:val="en-US"/>
        </w:rPr>
      </w:pPr>
      <w:r>
        <w:rPr>
          <w:rFonts w:eastAsia="Arial Unicode MS" w:cs="Arial Unicode MS"/>
          <w:sz w:val="28"/>
          <w:szCs w:val="28"/>
          <w:u w:color="000000"/>
          <w:bdr w:val="nil"/>
          <w:lang w:val="en-US"/>
        </w:rPr>
        <w:lastRenderedPageBreak/>
        <w:t xml:space="preserve"> </w:t>
      </w:r>
      <w:r w:rsidR="002D0AC0">
        <w:rPr>
          <w:rFonts w:eastAsia="Arial Unicode MS" w:cs="Arial Unicode MS"/>
          <w:sz w:val="28"/>
          <w:szCs w:val="28"/>
          <w:u w:color="000000"/>
          <w:bdr w:val="nil"/>
          <w:lang w:val="en-US"/>
        </w:rPr>
        <w:t>Lo</w:t>
      </w:r>
      <w:r w:rsidR="00FB375D" w:rsidRPr="002D0AC0">
        <w:rPr>
          <w:rFonts w:eastAsia="Arial Unicode MS" w:cs="Arial Unicode MS"/>
          <w:sz w:val="28"/>
          <w:szCs w:val="28"/>
          <w:u w:color="000000"/>
          <w:bdr w:val="nil"/>
          <w:lang w:val="en-US"/>
        </w:rPr>
        <w:t>ng-term interest rates should be no more than two percentage points above the rate in the three EU countries with the lowest in</w:t>
      </w:r>
      <w:r w:rsidR="002D0AC0">
        <w:rPr>
          <w:rFonts w:eastAsia="Arial Unicode MS" w:cs="Arial Unicode MS"/>
          <w:sz w:val="28"/>
          <w:szCs w:val="28"/>
          <w:u w:color="000000"/>
          <w:bdr w:val="nil"/>
          <w:lang w:val="en-US"/>
        </w:rPr>
        <w:t>flation over the previous year.</w:t>
      </w:r>
    </w:p>
    <w:p w14:paraId="5E7A39C9" w14:textId="77777777" w:rsidR="00FB375D" w:rsidRPr="007E1311" w:rsidRDefault="002D0AC0" w:rsidP="00137967">
      <w:pPr>
        <w:numPr>
          <w:ilvl w:val="0"/>
          <w:numId w:val="232"/>
        </w:numPr>
        <w:pBdr>
          <w:top w:val="nil"/>
          <w:left w:val="nil"/>
          <w:bottom w:val="nil"/>
          <w:right w:val="nil"/>
          <w:between w:val="nil"/>
          <w:bar w:val="nil"/>
        </w:pBdr>
        <w:shd w:val="clear" w:color="auto" w:fill="FFFFFF"/>
        <w:tabs>
          <w:tab w:val="num" w:pos="352"/>
        </w:tabs>
        <w:spacing w:line="312" w:lineRule="auto"/>
        <w:ind w:left="993" w:hanging="284"/>
        <w:jc w:val="both"/>
        <w:rPr>
          <w:rFonts w:eastAsia="Garamond" w:cs="Garamond"/>
          <w:sz w:val="28"/>
          <w:szCs w:val="28"/>
          <w:u w:color="000000"/>
          <w:bdr w:val="nil"/>
          <w:lang w:val="en-US"/>
        </w:rPr>
      </w:pPr>
      <w:r>
        <w:rPr>
          <w:rFonts w:eastAsia="Arial Unicode MS" w:cs="Arial Unicode MS"/>
          <w:sz w:val="28"/>
          <w:szCs w:val="28"/>
          <w:u w:color="000000"/>
          <w:bdr w:val="nil"/>
          <w:lang w:val="en-US"/>
        </w:rPr>
        <w:t>T</w:t>
      </w:r>
      <w:r w:rsidR="00FB375D" w:rsidRPr="007E1311">
        <w:rPr>
          <w:rFonts w:eastAsia="Arial Unicode MS" w:cs="Arial Unicode MS"/>
          <w:sz w:val="28"/>
          <w:szCs w:val="28"/>
          <w:u w:color="000000"/>
          <w:bdr w:val="nil"/>
          <w:lang w:val="en-US"/>
        </w:rPr>
        <w:t>he national currency is required to enter the </w:t>
      </w:r>
      <w:hyperlink r:id="rId82" w:history="1">
        <w:r w:rsidR="00FB375D" w:rsidRPr="007E1311">
          <w:rPr>
            <w:rFonts w:eastAsia="Garamond" w:cs="Garamond"/>
            <w:sz w:val="28"/>
            <w:szCs w:val="28"/>
            <w:u w:color="000000"/>
            <w:bdr w:val="nil"/>
            <w:lang w:val="en-US"/>
          </w:rPr>
          <w:t>ERM</w:t>
        </w:r>
      </w:hyperlink>
      <w:r w:rsidR="00FB375D" w:rsidRPr="007E1311">
        <w:rPr>
          <w:rFonts w:eastAsia="Arial Unicode MS" w:cs="Arial Unicode MS"/>
          <w:sz w:val="28"/>
          <w:szCs w:val="28"/>
          <w:u w:color="000000"/>
          <w:bdr w:val="nil"/>
          <w:lang w:val="en-US"/>
        </w:rPr>
        <w:t> 2 exchange rate mechanism two years prior.</w:t>
      </w:r>
    </w:p>
    <w:p w14:paraId="1207C5EA" w14:textId="77777777" w:rsidR="00FB375D" w:rsidRPr="007E1311" w:rsidRDefault="00FB375D" w:rsidP="00137967">
      <w:pPr>
        <w:pBdr>
          <w:top w:val="nil"/>
          <w:left w:val="nil"/>
          <w:bottom w:val="nil"/>
          <w:right w:val="nil"/>
          <w:between w:val="nil"/>
          <w:bar w:val="nil"/>
        </w:pBdr>
        <w:shd w:val="clear" w:color="auto" w:fill="FFFFFF"/>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color w:val="191919"/>
          <w:sz w:val="28"/>
          <w:szCs w:val="28"/>
          <w:u w:color="191919"/>
          <w:bdr w:val="nil"/>
          <w:lang w:val="en-US" w:eastAsia="en-US"/>
        </w:rPr>
        <w:t xml:space="preserve">The circulation of finance and monetary funds within the EU is provided by the </w:t>
      </w:r>
      <w:r w:rsidRPr="007E1311">
        <w:rPr>
          <w:rFonts w:eastAsia="Arial Unicode MS" w:cs="Arial Unicode MS"/>
          <w:b/>
          <w:bCs/>
          <w:color w:val="191919"/>
          <w:sz w:val="28"/>
          <w:szCs w:val="28"/>
          <w:u w:color="191919"/>
          <w:bdr w:val="nil"/>
          <w:lang w:val="en-US" w:eastAsia="en-US"/>
        </w:rPr>
        <w:t>European Central Bank</w:t>
      </w:r>
      <w:r w:rsidRPr="007E1311">
        <w:rPr>
          <w:rFonts w:eastAsia="Arial Unicode MS" w:cs="Arial Unicode MS"/>
          <w:color w:val="191919"/>
          <w:sz w:val="28"/>
          <w:szCs w:val="28"/>
          <w:u w:color="191919"/>
          <w:bdr w:val="nil"/>
          <w:lang w:val="en-US" w:eastAsia="en-US"/>
        </w:rPr>
        <w:t xml:space="preserve">, that together with the national central banks constitute the European economic and monetary system (Eurosystem). The main objective of the Eurosystem is to maintain price stability: safeguarding the value of the euro. The European Central Bank is responsible for the prudential supervision of credit institutions located in the euro area and </w:t>
      </w:r>
      <w:r w:rsidR="002D0AC0" w:rsidRPr="007E1311">
        <w:rPr>
          <w:rFonts w:eastAsia="Arial Unicode MS" w:cs="Arial Unicode MS"/>
          <w:color w:val="191919"/>
          <w:sz w:val="28"/>
          <w:szCs w:val="28"/>
          <w:u w:color="191919"/>
          <w:bdr w:val="nil"/>
          <w:lang w:val="en-US" w:eastAsia="en-US"/>
        </w:rPr>
        <w:t xml:space="preserve">non-euro area </w:t>
      </w:r>
      <w:r w:rsidRPr="007E1311">
        <w:rPr>
          <w:rFonts w:eastAsia="Arial Unicode MS" w:cs="Arial Unicode MS"/>
          <w:color w:val="191919"/>
          <w:sz w:val="28"/>
          <w:szCs w:val="28"/>
          <w:u w:color="191919"/>
          <w:bdr w:val="nil"/>
          <w:lang w:val="en-US" w:eastAsia="en-US"/>
        </w:rPr>
        <w:t xml:space="preserve">participating member states, within the Single Supervisory Mechanism, which also comprises the national competent authorities. It thereby contributes to the safety and soundness of the banking system and the stability of the financial system within the EU and each participating member state. </w:t>
      </w:r>
      <w:r w:rsidRPr="007E1311">
        <w:rPr>
          <w:rFonts w:eastAsia="Arial Unicode MS" w:cs="Arial Unicode MS"/>
          <w:sz w:val="28"/>
          <w:szCs w:val="28"/>
          <w:u w:color="000000"/>
          <w:bdr w:val="nil"/>
          <w:lang w:val="en-US" w:eastAsia="en-US"/>
        </w:rPr>
        <w:t xml:space="preserve">The capital of the ECB comes from the national central banks (NCBs) of all EU </w:t>
      </w:r>
      <w:r w:rsidR="002D0AC0">
        <w:rPr>
          <w:rFonts w:eastAsia="Arial Unicode MS" w:cs="Arial Unicode MS"/>
          <w:sz w:val="28"/>
          <w:szCs w:val="28"/>
          <w:u w:color="000000"/>
          <w:bdr w:val="nil"/>
          <w:lang w:val="en-US" w:eastAsia="en-US"/>
        </w:rPr>
        <w:t>member states and amounts to 10.</w:t>
      </w:r>
      <w:r w:rsidRPr="007E1311">
        <w:rPr>
          <w:rFonts w:eastAsia="Arial Unicode MS" w:cs="Arial Unicode MS"/>
          <w:sz w:val="28"/>
          <w:szCs w:val="28"/>
          <w:u w:color="000000"/>
          <w:bdr w:val="nil"/>
          <w:lang w:val="en-US" w:eastAsia="en-US"/>
        </w:rPr>
        <w:t>8 billion euros. The NCBs’ shares in this capital are calculated using a key which reflects the respective country’s share in the total population and gross domestic product of the EU.</w:t>
      </w:r>
    </w:p>
    <w:p w14:paraId="4F405914" w14:textId="77777777" w:rsidR="00FB375D" w:rsidRPr="007E1311" w:rsidRDefault="00FB375D" w:rsidP="00137967">
      <w:pPr>
        <w:pBdr>
          <w:top w:val="nil"/>
          <w:left w:val="nil"/>
          <w:bottom w:val="nil"/>
          <w:right w:val="nil"/>
          <w:between w:val="nil"/>
          <w:bar w:val="nil"/>
        </w:pBdr>
        <w:tabs>
          <w:tab w:val="num" w:pos="709"/>
        </w:tabs>
        <w:spacing w:line="312" w:lineRule="auto"/>
        <w:ind w:firstLine="709"/>
        <w:jc w:val="both"/>
        <w:rPr>
          <w:rFonts w:eastAsia="Garamond" w:cs="Garamond"/>
          <w:sz w:val="28"/>
          <w:szCs w:val="28"/>
          <w:u w:color="000000"/>
          <w:bdr w:val="nil"/>
          <w:lang w:val="en-US"/>
        </w:rPr>
      </w:pPr>
      <w:r w:rsidRPr="007E1311">
        <w:rPr>
          <w:rFonts w:eastAsia="Arial Unicode MS" w:cs="Arial Unicode MS"/>
          <w:sz w:val="28"/>
          <w:szCs w:val="28"/>
          <w:u w:color="000000"/>
          <w:bdr w:val="nil"/>
          <w:lang w:val="en-US" w:eastAsia="en-US"/>
        </w:rPr>
        <w:t xml:space="preserve">Basic tasks to be carried out through the </w:t>
      </w:r>
      <w:r w:rsidR="00137967">
        <w:rPr>
          <w:rFonts w:eastAsia="Arial Unicode MS" w:cs="Arial Unicode MS"/>
          <w:sz w:val="28"/>
          <w:szCs w:val="28"/>
          <w:u w:color="000000"/>
          <w:bdr w:val="nil"/>
          <w:lang w:val="en-US" w:eastAsia="en-US"/>
        </w:rPr>
        <w:t>Euro</w:t>
      </w:r>
      <w:r w:rsidR="00B54F41" w:rsidRPr="007E1311">
        <w:rPr>
          <w:rFonts w:eastAsia="Arial Unicode MS" w:cs="Arial Unicode MS"/>
          <w:sz w:val="28"/>
          <w:szCs w:val="28"/>
          <w:u w:color="000000"/>
          <w:bdr w:val="nil"/>
          <w:lang w:val="en-US" w:eastAsia="en-US"/>
        </w:rPr>
        <w:t>system</w:t>
      </w:r>
      <w:r w:rsidRPr="007E1311">
        <w:rPr>
          <w:rFonts w:eastAsia="Arial Unicode MS" w:cs="Arial Unicode MS"/>
          <w:sz w:val="28"/>
          <w:szCs w:val="28"/>
          <w:u w:color="000000"/>
          <w:bdr w:val="nil"/>
          <w:lang w:val="en-US" w:eastAsia="en-US"/>
        </w:rPr>
        <w:t xml:space="preserve"> by the ECB are:</w:t>
      </w:r>
      <w:r w:rsidR="00B54F41">
        <w:rPr>
          <w:rFonts w:eastAsia="Arial Unicode MS" w:cs="Arial Unicode MS"/>
          <w:sz w:val="28"/>
          <w:szCs w:val="28"/>
          <w:u w:color="000000"/>
          <w:bdr w:val="nil"/>
          <w:lang w:val="en-US" w:eastAsia="en-US"/>
        </w:rPr>
        <w:t xml:space="preserve"> (i) </w:t>
      </w:r>
      <w:r w:rsidRPr="007E1311">
        <w:rPr>
          <w:rFonts w:eastAsia="Arial Unicode MS" w:cs="Arial Unicode MS"/>
          <w:sz w:val="28"/>
          <w:szCs w:val="28"/>
          <w:u w:color="000000"/>
          <w:bdr w:val="nil"/>
          <w:lang w:val="en-US"/>
        </w:rPr>
        <w:t>the definition and implementation of monetary policy for the euro area;</w:t>
      </w:r>
      <w:r w:rsidR="00B54F41">
        <w:rPr>
          <w:rFonts w:eastAsia="Arial Unicode MS" w:cs="Arial Unicode MS"/>
          <w:sz w:val="28"/>
          <w:szCs w:val="28"/>
          <w:u w:color="000000"/>
          <w:bdr w:val="nil"/>
          <w:lang w:val="en-US"/>
        </w:rPr>
        <w:t xml:space="preserve"> (ii) </w:t>
      </w:r>
      <w:r w:rsidRPr="007E1311">
        <w:rPr>
          <w:rFonts w:eastAsia="Arial Unicode MS" w:cs="Arial Unicode MS"/>
          <w:sz w:val="28"/>
          <w:szCs w:val="28"/>
          <w:u w:color="000000"/>
          <w:bdr w:val="nil"/>
          <w:lang w:val="en-US"/>
        </w:rPr>
        <w:t>the conduct of foreign exchange operations;</w:t>
      </w:r>
      <w:r w:rsidR="00B54F41">
        <w:rPr>
          <w:rFonts w:eastAsia="Arial Unicode MS" w:cs="Arial Unicode MS"/>
          <w:sz w:val="28"/>
          <w:szCs w:val="28"/>
          <w:u w:color="000000"/>
          <w:bdr w:val="nil"/>
          <w:lang w:val="en-US"/>
        </w:rPr>
        <w:t xml:space="preserve"> (iii) </w:t>
      </w:r>
      <w:r w:rsidRPr="007E1311">
        <w:rPr>
          <w:rFonts w:eastAsia="Arial Unicode MS" w:cs="Arial Unicode MS"/>
          <w:sz w:val="28"/>
          <w:szCs w:val="28"/>
          <w:u w:color="000000"/>
          <w:bdr w:val="nil"/>
          <w:lang w:val="en-US"/>
        </w:rPr>
        <w:t>the holding and management of the official foreign reserves of the euro area countries;</w:t>
      </w:r>
      <w:r w:rsidR="00B54F41">
        <w:rPr>
          <w:rFonts w:eastAsia="Arial Unicode MS" w:cs="Arial Unicode MS"/>
          <w:sz w:val="28"/>
          <w:szCs w:val="28"/>
          <w:u w:color="000000"/>
          <w:bdr w:val="nil"/>
          <w:lang w:val="en-US"/>
        </w:rPr>
        <w:t xml:space="preserve"> (iv) </w:t>
      </w:r>
      <w:r w:rsidRPr="007E1311">
        <w:rPr>
          <w:rFonts w:eastAsia="Arial Unicode MS" w:cs="Arial Unicode MS"/>
          <w:sz w:val="28"/>
          <w:szCs w:val="28"/>
          <w:u w:color="000000"/>
          <w:bdr w:val="nil"/>
          <w:lang w:val="en-US"/>
        </w:rPr>
        <w:t>the promotion of the smooth operation of payment systems.</w:t>
      </w:r>
    </w:p>
    <w:p w14:paraId="72A64182" w14:textId="77777777" w:rsidR="00FB375D" w:rsidRPr="007E1311" w:rsidRDefault="00FB375D" w:rsidP="00137967">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 xml:space="preserve">Among the most important EU financial institutions, second place belongs to the </w:t>
      </w:r>
      <w:r w:rsidRPr="007E1311">
        <w:rPr>
          <w:rFonts w:eastAsia="Arial Unicode MS" w:cs="Arial Unicode MS"/>
          <w:b/>
          <w:bCs/>
          <w:sz w:val="28"/>
          <w:szCs w:val="28"/>
          <w:u w:color="000000"/>
          <w:bdr w:val="nil"/>
          <w:lang w:val="en-US" w:eastAsia="en-US"/>
        </w:rPr>
        <w:t>European Investment Bank (EIB)</w:t>
      </w:r>
      <w:r w:rsidRPr="007E1311">
        <w:rPr>
          <w:rFonts w:eastAsia="Arial Unicode MS" w:cs="Arial Unicode MS"/>
          <w:sz w:val="28"/>
          <w:szCs w:val="28"/>
          <w:u w:color="000000"/>
          <w:bdr w:val="nil"/>
          <w:lang w:val="en-US" w:eastAsia="en-US"/>
        </w:rPr>
        <w:t>, which was founded in 19</w:t>
      </w:r>
      <w:r w:rsidR="00FC0F5F">
        <w:rPr>
          <w:rFonts w:eastAsia="Arial Unicode MS" w:cs="Arial Unicode MS"/>
          <w:sz w:val="28"/>
          <w:szCs w:val="28"/>
          <w:u w:color="000000"/>
          <w:bdr w:val="nil"/>
          <w:lang w:val="en-US" w:eastAsia="en-US"/>
        </w:rPr>
        <w:t>5</w:t>
      </w:r>
      <w:r w:rsidRPr="007E1311">
        <w:rPr>
          <w:rFonts w:eastAsia="Arial Unicode MS" w:cs="Arial Unicode MS"/>
          <w:sz w:val="28"/>
          <w:szCs w:val="28"/>
          <w:u w:color="000000"/>
          <w:bdr w:val="nil"/>
          <w:lang w:val="en-US" w:eastAsia="en-US"/>
        </w:rPr>
        <w:t xml:space="preserve">8 to provide funding for pan-European projects (construction of railways, highways, airports, </w:t>
      </w:r>
      <w:r w:rsidR="00B54F41">
        <w:rPr>
          <w:rFonts w:eastAsia="Arial Unicode MS" w:cs="Arial Unicode MS"/>
          <w:sz w:val="28"/>
          <w:szCs w:val="28"/>
          <w:u w:color="000000"/>
          <w:bdr w:val="nil"/>
          <w:lang w:val="en-US" w:eastAsia="en-US"/>
        </w:rPr>
        <w:t>etc.</w:t>
      </w:r>
      <w:r w:rsidRPr="007E1311">
        <w:rPr>
          <w:rFonts w:eastAsia="Arial Unicode MS" w:cs="Arial Unicode MS"/>
          <w:sz w:val="28"/>
          <w:szCs w:val="28"/>
          <w:u w:color="000000"/>
          <w:bdr w:val="nil"/>
          <w:lang w:val="en-US" w:eastAsia="en-US"/>
        </w:rPr>
        <w:t xml:space="preserve">) and small business lending. EIB does not receive money from the EU budget. It is funded by shareholders (EU) and through borrowing on the financial markets. It has the highest credit rating (AAA) on the money markets, which gives it the opportunity to receive a significant competitive capital that can then be invested in European projects. EIB operates as an autonomous institution that decides on loans, evaluating the benefits of the project and the financial capacity of the market. </w:t>
      </w:r>
    </w:p>
    <w:p w14:paraId="6F2C11FC" w14:textId="77777777" w:rsidR="00FB375D" w:rsidRPr="007E1311" w:rsidRDefault="00FB375D" w:rsidP="00137967">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To institutions that play an important role in the financial system of the EU</w:t>
      </w:r>
      <w:r w:rsidR="002D0AC0">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also, </w:t>
      </w:r>
      <w:r w:rsidR="00B54F41">
        <w:rPr>
          <w:rFonts w:eastAsia="Arial Unicode MS" w:cs="Arial Unicode MS"/>
          <w:sz w:val="28"/>
          <w:szCs w:val="28"/>
          <w:u w:color="000000"/>
          <w:bdr w:val="nil"/>
          <w:lang w:val="en-US" w:eastAsia="en-US"/>
        </w:rPr>
        <w:t>could be</w:t>
      </w:r>
      <w:r w:rsidRPr="007E1311">
        <w:rPr>
          <w:rFonts w:eastAsia="Arial Unicode MS" w:cs="Arial Unicode MS"/>
          <w:sz w:val="28"/>
          <w:szCs w:val="28"/>
          <w:u w:color="000000"/>
          <w:bdr w:val="nil"/>
          <w:lang w:val="en-US" w:eastAsia="en-US"/>
        </w:rPr>
        <w:t xml:space="preserve"> include</w:t>
      </w:r>
      <w:r w:rsidR="00B54F41">
        <w:rPr>
          <w:rFonts w:eastAsia="Arial Unicode MS" w:cs="Arial Unicode MS"/>
          <w:sz w:val="28"/>
          <w:szCs w:val="28"/>
          <w:u w:color="000000"/>
          <w:bdr w:val="nil"/>
          <w:lang w:val="en-US" w:eastAsia="en-US"/>
        </w:rPr>
        <w:t>d</w:t>
      </w:r>
      <w:r w:rsidRPr="007E1311">
        <w:rPr>
          <w:rFonts w:eastAsia="Arial Unicode MS" w:cs="Arial Unicode MS"/>
          <w:sz w:val="28"/>
          <w:szCs w:val="28"/>
          <w:u w:color="000000"/>
          <w:bdr w:val="nil"/>
          <w:lang w:val="en-US" w:eastAsia="en-US"/>
        </w:rPr>
        <w:t xml:space="preserve"> the </w:t>
      </w:r>
      <w:r w:rsidRPr="007E1311">
        <w:rPr>
          <w:rFonts w:eastAsia="Arial Unicode MS" w:cs="Arial Unicode MS"/>
          <w:b/>
          <w:bCs/>
          <w:sz w:val="28"/>
          <w:szCs w:val="28"/>
          <w:u w:color="000000"/>
          <w:bdr w:val="nil"/>
          <w:lang w:val="en-US" w:eastAsia="en-US"/>
        </w:rPr>
        <w:t xml:space="preserve">European Bank for Reconstruction and Development </w:t>
      </w:r>
      <w:r w:rsidRPr="007E1311">
        <w:rPr>
          <w:rFonts w:eastAsia="Arial Unicode MS" w:cs="Arial Unicode MS"/>
          <w:b/>
          <w:bCs/>
          <w:sz w:val="28"/>
          <w:szCs w:val="28"/>
          <w:u w:color="000000"/>
          <w:bdr w:val="nil"/>
          <w:lang w:val="en-US" w:eastAsia="en-US"/>
        </w:rPr>
        <w:lastRenderedPageBreak/>
        <w:t>(EBRD)</w:t>
      </w:r>
      <w:r w:rsidRPr="007E1311">
        <w:rPr>
          <w:rFonts w:eastAsia="Arial Unicode MS" w:cs="Arial Unicode MS"/>
          <w:sz w:val="28"/>
          <w:szCs w:val="28"/>
          <w:u w:color="000000"/>
          <w:bdr w:val="nil"/>
          <w:lang w:val="en-US" w:eastAsia="en-US"/>
        </w:rPr>
        <w:t xml:space="preserve">, established in 1991. The main task of </w:t>
      </w:r>
      <w:r w:rsidR="00B54F41">
        <w:rPr>
          <w:rFonts w:eastAsia="Arial Unicode MS" w:cs="Arial Unicode MS"/>
          <w:sz w:val="28"/>
          <w:szCs w:val="28"/>
          <w:u w:color="000000"/>
          <w:bdr w:val="nil"/>
          <w:lang w:val="en-US" w:eastAsia="en-US"/>
        </w:rPr>
        <w:t>which</w:t>
      </w:r>
      <w:r w:rsidRPr="007E1311">
        <w:rPr>
          <w:rFonts w:eastAsia="Arial Unicode MS" w:cs="Arial Unicode MS"/>
          <w:sz w:val="28"/>
          <w:szCs w:val="28"/>
          <w:u w:color="000000"/>
          <w:bdr w:val="nil"/>
          <w:lang w:val="en-US" w:eastAsia="en-US"/>
        </w:rPr>
        <w:t xml:space="preserve"> is to provide financial support for the Central and Eastern Europe countries’ economic transition. This bank was created by the European Economic Community, the </w:t>
      </w:r>
      <w:r w:rsidR="00B54F41">
        <w:rPr>
          <w:rFonts w:eastAsia="Arial Unicode MS" w:cs="Arial Unicode MS"/>
          <w:sz w:val="28"/>
          <w:szCs w:val="28"/>
          <w:u w:color="000000"/>
          <w:bdr w:val="nil"/>
          <w:lang w:val="en-US" w:eastAsia="en-US"/>
        </w:rPr>
        <w:t>EIB</w:t>
      </w:r>
      <w:r w:rsidRPr="007E1311">
        <w:rPr>
          <w:rFonts w:eastAsia="Arial Unicode MS" w:cs="Arial Unicode MS"/>
          <w:sz w:val="28"/>
          <w:szCs w:val="28"/>
          <w:u w:color="000000"/>
          <w:bdr w:val="nil"/>
          <w:lang w:val="en-US" w:eastAsia="en-US"/>
        </w:rPr>
        <w:t>, and 39 countries, including significant shareholders from the USA, Japan, and others. The Bank has an extensive authorized fund (20 billion euros), so it can freely obtain loans from international financial markets. The EBRD offers a wide range of financial instruments and takes a flexible approach to structuring its financial products. The principal forms of direct financing that the EBRD may offer are loans, equity, and guarantees.</w:t>
      </w:r>
    </w:p>
    <w:p w14:paraId="08BAD0D5" w14:textId="77777777" w:rsidR="00137967" w:rsidRDefault="00FB375D" w:rsidP="00137967">
      <w:pPr>
        <w:pBdr>
          <w:top w:val="nil"/>
          <w:left w:val="nil"/>
          <w:bottom w:val="nil"/>
          <w:right w:val="nil"/>
          <w:between w:val="nil"/>
          <w:bar w:val="nil"/>
        </w:pBdr>
        <w:spacing w:line="312" w:lineRule="auto"/>
        <w:ind w:firstLine="709"/>
        <w:jc w:val="both"/>
        <w:rPr>
          <w:rFonts w:eastAsia="Arial Unicode MS" w:cs="Arial Unicode MS"/>
          <w:sz w:val="28"/>
          <w:szCs w:val="28"/>
          <w:u w:color="000000"/>
          <w:bdr w:val="nil"/>
          <w:lang w:val="en-US" w:eastAsia="en-US"/>
        </w:rPr>
      </w:pPr>
      <w:r w:rsidRPr="007E1311">
        <w:rPr>
          <w:rFonts w:eastAsia="Arial Unicode MS" w:cs="Arial Unicode MS"/>
          <w:sz w:val="28"/>
          <w:szCs w:val="28"/>
          <w:u w:color="000000"/>
          <w:bdr w:val="nil"/>
          <w:lang w:val="en-US" w:eastAsia="en-US"/>
        </w:rPr>
        <w:t>EBRD is a strategic creditor of Ukrainian business. To the end of 2015, it realized 346 EBRD-finan</w:t>
      </w:r>
      <w:r w:rsidR="002D0AC0">
        <w:rPr>
          <w:rFonts w:eastAsia="Arial Unicode MS" w:cs="Arial Unicode MS"/>
          <w:sz w:val="28"/>
          <w:szCs w:val="28"/>
          <w:u w:color="000000"/>
          <w:bdr w:val="nil"/>
          <w:lang w:val="en-US" w:eastAsia="en-US"/>
        </w:rPr>
        <w:t>ced projects on the amount of 7.</w:t>
      </w:r>
      <w:r w:rsidRPr="007E1311">
        <w:rPr>
          <w:rFonts w:eastAsia="Arial Unicode MS" w:cs="Arial Unicode MS"/>
          <w:sz w:val="28"/>
          <w:szCs w:val="28"/>
          <w:u w:color="000000"/>
          <w:bdr w:val="nil"/>
          <w:lang w:val="en-US" w:eastAsia="en-US"/>
        </w:rPr>
        <w:t>4 b</w:t>
      </w:r>
      <w:r w:rsidR="002D0AC0">
        <w:rPr>
          <w:rFonts w:eastAsia="Arial Unicode MS" w:cs="Arial Unicode MS"/>
          <w:sz w:val="28"/>
          <w:szCs w:val="28"/>
          <w:u w:color="000000"/>
          <w:bdr w:val="nil"/>
          <w:lang w:val="en-US" w:eastAsia="en-US"/>
        </w:rPr>
        <w:t>il</w:t>
      </w:r>
      <w:r w:rsidRPr="007E1311">
        <w:rPr>
          <w:rFonts w:eastAsia="Arial Unicode MS" w:cs="Arial Unicode MS"/>
          <w:sz w:val="28"/>
          <w:szCs w:val="28"/>
          <w:u w:color="000000"/>
          <w:bdr w:val="nil"/>
          <w:lang w:val="en-US" w:eastAsia="en-US"/>
        </w:rPr>
        <w:t>l</w:t>
      </w:r>
      <w:r w:rsidR="002D0AC0">
        <w:rPr>
          <w:rFonts w:eastAsia="Arial Unicode MS" w:cs="Arial Unicode MS"/>
          <w:sz w:val="28"/>
          <w:szCs w:val="28"/>
          <w:u w:color="000000"/>
          <w:bdr w:val="nil"/>
          <w:lang w:val="en-US" w:eastAsia="en-US"/>
        </w:rPr>
        <w:t>ion e</w:t>
      </w:r>
      <w:r w:rsidRPr="007E1311">
        <w:rPr>
          <w:rFonts w:eastAsia="Arial Unicode MS" w:cs="Arial Unicode MS"/>
          <w:sz w:val="28"/>
          <w:szCs w:val="28"/>
          <w:u w:color="000000"/>
          <w:bdr w:val="nil"/>
          <w:lang w:val="en-US" w:eastAsia="en-US"/>
        </w:rPr>
        <w:t>ur</w:t>
      </w:r>
      <w:r w:rsidR="002D0AC0">
        <w:rPr>
          <w:rFonts w:eastAsia="Arial Unicode MS" w:cs="Arial Unicode MS"/>
          <w:sz w:val="28"/>
          <w:szCs w:val="28"/>
          <w:u w:color="000000"/>
          <w:bdr w:val="nil"/>
          <w:lang w:val="en-US" w:eastAsia="en-US"/>
        </w:rPr>
        <w:t>o</w:t>
      </w:r>
      <w:r w:rsidRPr="007E1311">
        <w:rPr>
          <w:rFonts w:eastAsia="Arial Unicode MS" w:cs="Arial Unicode MS"/>
          <w:sz w:val="28"/>
          <w:szCs w:val="28"/>
          <w:u w:color="000000"/>
          <w:bdr w:val="nil"/>
          <w:lang w:val="en-US" w:eastAsia="en-US"/>
        </w:rPr>
        <w:t>. So, EBRD took 58 % of private sector share of cumulative investment. The spheres of investments are energy (24 % of EBRD current portfol</w:t>
      </w:r>
      <w:r w:rsidR="00D003A0">
        <w:rPr>
          <w:rFonts w:eastAsia="Arial Unicode MS" w:cs="Arial Unicode MS"/>
          <w:sz w:val="28"/>
          <w:szCs w:val="28"/>
          <w:u w:color="000000"/>
          <w:bdr w:val="nil"/>
          <w:lang w:val="en-US" w:eastAsia="en-US"/>
        </w:rPr>
        <w:t>io), financial institutions (23 </w:t>
      </w:r>
      <w:r w:rsidRPr="007E1311">
        <w:rPr>
          <w:rFonts w:eastAsia="Arial Unicode MS" w:cs="Arial Unicode MS"/>
          <w:sz w:val="28"/>
          <w:szCs w:val="28"/>
          <w:u w:color="000000"/>
          <w:bdr w:val="nil"/>
          <w:lang w:val="en-US" w:eastAsia="en-US"/>
        </w:rPr>
        <w:t xml:space="preserve">%), industry, commerce and agribusiness (27 %), </w:t>
      </w:r>
      <w:r w:rsidR="002D0AC0">
        <w:rPr>
          <w:rFonts w:eastAsia="Arial Unicode MS" w:cs="Arial Unicode MS"/>
          <w:sz w:val="28"/>
          <w:szCs w:val="28"/>
          <w:u w:color="000000"/>
          <w:bdr w:val="nil"/>
          <w:lang w:val="en-US" w:eastAsia="en-US"/>
        </w:rPr>
        <w:t xml:space="preserve">and </w:t>
      </w:r>
      <w:r w:rsidRPr="007E1311">
        <w:rPr>
          <w:rFonts w:eastAsia="Arial Unicode MS" w:cs="Arial Unicode MS"/>
          <w:sz w:val="28"/>
          <w:szCs w:val="28"/>
          <w:u w:color="000000"/>
          <w:bdr w:val="nil"/>
          <w:lang w:val="en-US" w:eastAsia="en-US"/>
        </w:rPr>
        <w:t>infrastructure (26 %). The examples of EBRD investment projec</w:t>
      </w:r>
      <w:r w:rsidR="002D0AC0">
        <w:rPr>
          <w:rFonts w:eastAsia="Arial Unicode MS" w:cs="Arial Unicode MS"/>
          <w:sz w:val="28"/>
          <w:szCs w:val="28"/>
          <w:u w:color="000000"/>
          <w:bdr w:val="nil"/>
          <w:lang w:val="en-US" w:eastAsia="en-US"/>
        </w:rPr>
        <w:t>ts in Ukraine are presented in T</w:t>
      </w:r>
      <w:r w:rsidRPr="007E1311">
        <w:rPr>
          <w:rFonts w:eastAsia="Arial Unicode MS" w:cs="Arial Unicode MS"/>
          <w:sz w:val="28"/>
          <w:szCs w:val="28"/>
          <w:u w:color="000000"/>
          <w:bdr w:val="nil"/>
          <w:lang w:val="en-US" w:eastAsia="en-US"/>
        </w:rPr>
        <w:t>able 12.1.</w:t>
      </w:r>
    </w:p>
    <w:p w14:paraId="01EA3E98" w14:textId="77777777" w:rsidR="00FB375D" w:rsidRPr="007E1311" w:rsidRDefault="00FB375D" w:rsidP="00B95883">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 xml:space="preserve">Effective functioning of any integration association cannot be without own financial resources for its development. The European Union is not an exception. Since its launch in the form of Coal and Steel Union, </w:t>
      </w:r>
      <w:r w:rsidR="002356AB">
        <w:rPr>
          <w:rFonts w:eastAsia="Arial Unicode MS" w:cs="Arial Unicode MS"/>
          <w:sz w:val="28"/>
          <w:szCs w:val="28"/>
          <w:u w:color="000000"/>
          <w:bdr w:val="nil"/>
          <w:lang w:val="en-US" w:eastAsia="en-US"/>
        </w:rPr>
        <w:t xml:space="preserve">the </w:t>
      </w:r>
      <w:r w:rsidRPr="007E1311">
        <w:rPr>
          <w:rFonts w:eastAsia="Arial Unicode MS" w:cs="Arial Unicode MS"/>
          <w:sz w:val="28"/>
          <w:szCs w:val="28"/>
          <w:u w:color="000000"/>
          <w:bdr w:val="nil"/>
          <w:lang w:val="en-US" w:eastAsia="en-US"/>
        </w:rPr>
        <w:t>EU</w:t>
      </w:r>
      <w:r w:rsidR="002356AB">
        <w:rPr>
          <w:rFonts w:eastAsia="Arial Unicode MS" w:cs="Arial Unicode MS"/>
          <w:sz w:val="28"/>
          <w:szCs w:val="28"/>
          <w:u w:color="000000"/>
          <w:bdr w:val="nil"/>
          <w:lang w:val="en-US" w:eastAsia="en-US"/>
        </w:rPr>
        <w:t xml:space="preserve"> carried out</w:t>
      </w:r>
      <w:r w:rsidRPr="007E1311">
        <w:rPr>
          <w:rFonts w:eastAsia="Arial Unicode MS" w:cs="Arial Unicode MS"/>
          <w:sz w:val="28"/>
          <w:szCs w:val="28"/>
          <w:u w:color="000000"/>
          <w:bdr w:val="nil"/>
          <w:lang w:val="en-US" w:eastAsia="en-US"/>
        </w:rPr>
        <w:t xml:space="preserve"> its activities through contributions </w:t>
      </w:r>
      <w:r w:rsidR="002356AB">
        <w:rPr>
          <w:rFonts w:eastAsia="Arial Unicode MS" w:cs="Arial Unicode MS"/>
          <w:sz w:val="28"/>
          <w:szCs w:val="28"/>
          <w:u w:color="000000"/>
          <w:bdr w:val="nil"/>
          <w:lang w:val="en-US" w:eastAsia="en-US"/>
        </w:rPr>
        <w:t>from member states</w:t>
      </w:r>
      <w:r w:rsidRPr="007E1311">
        <w:rPr>
          <w:rFonts w:eastAsia="Arial Unicode MS" w:cs="Arial Unicode MS"/>
          <w:sz w:val="28"/>
          <w:szCs w:val="28"/>
          <w:u w:color="000000"/>
          <w:bdr w:val="nil"/>
          <w:lang w:val="en-US" w:eastAsia="en-US"/>
        </w:rPr>
        <w:t xml:space="preserve"> and later went on to form its own system of a single budget. The system of their own financial resources in the form of </w:t>
      </w:r>
      <w:r w:rsidR="002356AB">
        <w:rPr>
          <w:rFonts w:eastAsia="Arial Unicode MS" w:cs="Arial Unicode MS"/>
          <w:sz w:val="28"/>
          <w:szCs w:val="28"/>
          <w:u w:color="000000"/>
          <w:bdr w:val="nil"/>
          <w:lang w:val="en-US" w:eastAsia="en-US"/>
        </w:rPr>
        <w:t>the</w:t>
      </w:r>
      <w:r w:rsidRPr="007E1311">
        <w:rPr>
          <w:rFonts w:eastAsia="Arial Unicode MS" w:cs="Arial Unicode MS"/>
          <w:sz w:val="28"/>
          <w:szCs w:val="28"/>
          <w:u w:color="000000"/>
          <w:bdr w:val="nil"/>
          <w:lang w:val="en-US" w:eastAsia="en-US"/>
        </w:rPr>
        <w:t xml:space="preserve"> EU budget, which is administered by supranational institutions, </w:t>
      </w:r>
      <w:r w:rsidR="002356AB">
        <w:rPr>
          <w:rFonts w:eastAsia="Arial Unicode MS" w:cs="Arial Unicode MS"/>
          <w:sz w:val="28"/>
          <w:szCs w:val="28"/>
          <w:u w:color="000000"/>
          <w:bdr w:val="nil"/>
          <w:lang w:val="en-US" w:eastAsia="en-US"/>
        </w:rPr>
        <w:t>makes the</w:t>
      </w:r>
      <w:r w:rsidRPr="007E1311">
        <w:rPr>
          <w:rFonts w:eastAsia="Arial Unicode MS" w:cs="Arial Unicode MS"/>
          <w:sz w:val="28"/>
          <w:szCs w:val="28"/>
          <w:u w:color="000000"/>
          <w:bdr w:val="nil"/>
          <w:lang w:val="en-US" w:eastAsia="en-US"/>
        </w:rPr>
        <w:t xml:space="preserve"> EU significant</w:t>
      </w:r>
      <w:r w:rsidR="002356AB">
        <w:rPr>
          <w:rFonts w:eastAsia="Arial Unicode MS" w:cs="Arial Unicode MS"/>
          <w:sz w:val="28"/>
          <w:szCs w:val="28"/>
          <w:u w:color="000000"/>
          <w:bdr w:val="nil"/>
          <w:lang w:val="en-US" w:eastAsia="en-US"/>
        </w:rPr>
        <w:t>ly different</w:t>
      </w:r>
      <w:r w:rsidRPr="007E1311">
        <w:rPr>
          <w:rFonts w:eastAsia="Arial Unicode MS" w:cs="Arial Unicode MS"/>
          <w:sz w:val="28"/>
          <w:szCs w:val="28"/>
          <w:u w:color="000000"/>
          <w:bdr w:val="nil"/>
          <w:lang w:val="en-US" w:eastAsia="en-US"/>
        </w:rPr>
        <w:t xml:space="preserve"> from other international organizations and associations.</w:t>
      </w:r>
    </w:p>
    <w:p w14:paraId="126FFE13" w14:textId="77777777" w:rsidR="00FB375D" w:rsidRDefault="00FB375D" w:rsidP="00B95883">
      <w:pPr>
        <w:pBdr>
          <w:top w:val="nil"/>
          <w:left w:val="nil"/>
          <w:bottom w:val="nil"/>
          <w:right w:val="nil"/>
          <w:between w:val="nil"/>
          <w:bar w:val="nil"/>
        </w:pBdr>
        <w:spacing w:line="312" w:lineRule="auto"/>
        <w:ind w:firstLine="709"/>
        <w:jc w:val="both"/>
        <w:rPr>
          <w:rFonts w:eastAsia="Arial Unicode MS" w:cs="Arial Unicode MS"/>
          <w:sz w:val="28"/>
          <w:szCs w:val="28"/>
          <w:u w:color="000000"/>
          <w:bdr w:val="nil"/>
          <w:lang w:val="en-US" w:eastAsia="en-US"/>
        </w:rPr>
      </w:pPr>
      <w:r w:rsidRPr="007E1311">
        <w:rPr>
          <w:rFonts w:eastAsia="Arial Unicode MS" w:cs="Arial Unicode MS"/>
          <w:sz w:val="28"/>
          <w:szCs w:val="28"/>
          <w:u w:color="000000"/>
          <w:bdr w:val="nil"/>
          <w:lang w:val="en-US" w:eastAsia="en-US"/>
        </w:rPr>
        <w:t xml:space="preserve">Thus, the </w:t>
      </w:r>
      <w:r w:rsidRPr="007E1311">
        <w:rPr>
          <w:rFonts w:eastAsia="Arial Unicode MS" w:cs="Arial Unicode MS"/>
          <w:b/>
          <w:bCs/>
          <w:sz w:val="28"/>
          <w:szCs w:val="28"/>
          <w:u w:color="000000"/>
          <w:bdr w:val="nil"/>
          <w:lang w:val="en-US" w:eastAsia="en-US"/>
        </w:rPr>
        <w:t>EU budget</w:t>
      </w:r>
      <w:r w:rsidR="002356AB">
        <w:rPr>
          <w:rFonts w:eastAsia="Arial Unicode MS" w:cs="Arial Unicode MS"/>
          <w:sz w:val="28"/>
          <w:szCs w:val="28"/>
          <w:u w:color="000000"/>
          <w:bdr w:val="nil"/>
          <w:lang w:val="en-US" w:eastAsia="en-US"/>
        </w:rPr>
        <w:t xml:space="preserve"> </w:t>
      </w:r>
      <w:r w:rsidRPr="007E1311">
        <w:rPr>
          <w:rFonts w:eastAsia="Arial Unicode MS" w:cs="Arial Unicode MS"/>
          <w:sz w:val="28"/>
          <w:szCs w:val="28"/>
          <w:u w:color="000000"/>
          <w:bdr w:val="nil"/>
          <w:lang w:val="en-US" w:eastAsia="en-US"/>
        </w:rPr>
        <w:t xml:space="preserve">is the main financial document and </w:t>
      </w:r>
      <w:r w:rsidR="002356AB">
        <w:rPr>
          <w:rFonts w:eastAsia="Arial Unicode MS" w:cs="Arial Unicode MS"/>
          <w:sz w:val="28"/>
          <w:szCs w:val="28"/>
          <w:u w:color="000000"/>
          <w:bdr w:val="nil"/>
          <w:lang w:val="en-US" w:eastAsia="en-US"/>
        </w:rPr>
        <w:t>annual financial plan of the EU</w:t>
      </w:r>
      <w:r w:rsidRPr="007E1311">
        <w:rPr>
          <w:rFonts w:eastAsia="Arial Unicode MS" w:cs="Arial Unicode MS"/>
          <w:sz w:val="28"/>
          <w:szCs w:val="28"/>
          <w:u w:color="000000"/>
          <w:bdr w:val="nil"/>
          <w:lang w:val="en-US" w:eastAsia="en-US"/>
        </w:rPr>
        <w:t xml:space="preserve"> which captures all items of revenue and expenditure of the EU. It is adopted in accordance with the specific budget principles and approved in accordance with special procedures of the EU institutions. The joint budget is the financial instrument of integration processes regulation, which implies equalization of income and financial situation of member states and supranational economic regulation. The distribution of funds is determined not according to member state’s specific contribution to a common budget, but according to the role of appropriate program for socio-economic development in the EU.</w:t>
      </w:r>
    </w:p>
    <w:p w14:paraId="6D72E2DD" w14:textId="77777777" w:rsidR="00B95883" w:rsidRDefault="00B95883" w:rsidP="00B95883">
      <w:pPr>
        <w:pBdr>
          <w:top w:val="nil"/>
          <w:left w:val="nil"/>
          <w:bottom w:val="nil"/>
          <w:right w:val="nil"/>
          <w:between w:val="nil"/>
          <w:bar w:val="nil"/>
        </w:pBdr>
        <w:spacing w:line="312" w:lineRule="auto"/>
        <w:ind w:firstLine="709"/>
        <w:jc w:val="both"/>
        <w:rPr>
          <w:rFonts w:eastAsia="Arial Unicode MS" w:cs="Arial Unicode MS"/>
          <w:sz w:val="28"/>
          <w:szCs w:val="28"/>
          <w:u w:color="000000"/>
          <w:bdr w:val="nil"/>
          <w:lang w:val="en-US" w:eastAsia="en-US"/>
        </w:rPr>
      </w:pPr>
    </w:p>
    <w:p w14:paraId="6B761F76" w14:textId="77777777" w:rsidR="00B95883" w:rsidRDefault="00B95883" w:rsidP="00B95883">
      <w:pPr>
        <w:pBdr>
          <w:top w:val="nil"/>
          <w:left w:val="nil"/>
          <w:bottom w:val="nil"/>
          <w:right w:val="nil"/>
          <w:between w:val="nil"/>
          <w:bar w:val="nil"/>
        </w:pBdr>
        <w:spacing w:line="312" w:lineRule="auto"/>
        <w:ind w:firstLine="709"/>
        <w:jc w:val="both"/>
        <w:rPr>
          <w:rFonts w:eastAsia="Arial Unicode MS" w:cs="Arial Unicode MS"/>
          <w:sz w:val="28"/>
          <w:szCs w:val="28"/>
          <w:u w:color="000000"/>
          <w:bdr w:val="nil"/>
          <w:lang w:val="en-US" w:eastAsia="en-US"/>
        </w:rPr>
      </w:pPr>
    </w:p>
    <w:p w14:paraId="2DA1D05A" w14:textId="77777777" w:rsidR="00B95883" w:rsidRDefault="00B95883" w:rsidP="00B95883">
      <w:pPr>
        <w:pBdr>
          <w:top w:val="nil"/>
          <w:left w:val="nil"/>
          <w:bottom w:val="nil"/>
          <w:right w:val="nil"/>
          <w:between w:val="nil"/>
          <w:bar w:val="nil"/>
        </w:pBdr>
        <w:spacing w:line="312" w:lineRule="auto"/>
        <w:ind w:firstLine="709"/>
        <w:jc w:val="both"/>
        <w:rPr>
          <w:rFonts w:eastAsia="Arial Unicode MS" w:cs="Arial Unicode MS"/>
          <w:sz w:val="28"/>
          <w:szCs w:val="28"/>
          <w:u w:color="000000"/>
          <w:bdr w:val="nil"/>
          <w:lang w:val="en-US" w:eastAsia="en-US"/>
        </w:rPr>
      </w:pPr>
    </w:p>
    <w:p w14:paraId="33C2E87C" w14:textId="77777777" w:rsidR="00B95883" w:rsidRPr="007E1311" w:rsidRDefault="00B95883" w:rsidP="00B95883">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p>
    <w:p w14:paraId="575DA414" w14:textId="77777777" w:rsidR="00B95883" w:rsidRPr="007E1311" w:rsidRDefault="00B95883" w:rsidP="00D003A0">
      <w:pPr>
        <w:pBdr>
          <w:top w:val="nil"/>
          <w:left w:val="nil"/>
          <w:bottom w:val="nil"/>
          <w:right w:val="nil"/>
          <w:between w:val="nil"/>
          <w:bar w:val="nil"/>
        </w:pBdr>
        <w:spacing w:line="312" w:lineRule="auto"/>
        <w:jc w:val="both"/>
        <w:rPr>
          <w:rFonts w:eastAsia="Garamond" w:cs="Garamond"/>
          <w:b/>
          <w:bCs/>
          <w:sz w:val="28"/>
          <w:szCs w:val="28"/>
          <w:u w:color="000000"/>
          <w:bdr w:val="nil"/>
          <w:lang w:val="en-US" w:eastAsia="en-US"/>
        </w:rPr>
      </w:pPr>
      <w:r w:rsidRPr="007E1311">
        <w:rPr>
          <w:rFonts w:eastAsia="Arial Unicode MS" w:cs="Arial Unicode MS"/>
          <w:b/>
          <w:bCs/>
          <w:sz w:val="28"/>
          <w:szCs w:val="28"/>
          <w:u w:color="000000"/>
          <w:bdr w:val="nil"/>
          <w:lang w:val="en-US" w:eastAsia="en-US"/>
        </w:rPr>
        <w:lastRenderedPageBreak/>
        <w:t>Table 12.1</w:t>
      </w:r>
      <w:r>
        <w:rPr>
          <w:rFonts w:eastAsia="Arial Unicode MS" w:cs="Arial Unicode MS"/>
          <w:b/>
          <w:bCs/>
          <w:sz w:val="28"/>
          <w:szCs w:val="28"/>
          <w:u w:color="000000"/>
          <w:bdr w:val="nil"/>
          <w:lang w:val="en-US" w:eastAsia="en-US"/>
        </w:rPr>
        <w:t xml:space="preserve"> </w:t>
      </w:r>
      <w:r w:rsidRPr="00305E02">
        <w:rPr>
          <w:rFonts w:cs="Garamond"/>
          <w:color w:val="auto"/>
          <w:sz w:val="28"/>
          <w:lang w:val="en-US" w:eastAsia="ru-RU" w:bidi="ru-RU"/>
        </w:rPr>
        <w:t>–</w:t>
      </w:r>
      <w:r>
        <w:rPr>
          <w:rFonts w:cs="Garamond"/>
          <w:color w:val="auto"/>
          <w:sz w:val="28"/>
          <w:lang w:val="en-US" w:eastAsia="ru-RU" w:bidi="ru-RU"/>
        </w:rPr>
        <w:t xml:space="preserve"> </w:t>
      </w:r>
      <w:r w:rsidRPr="007E1311">
        <w:rPr>
          <w:rFonts w:eastAsia="Arial Unicode MS" w:cs="Arial Unicode MS"/>
          <w:b/>
          <w:bCs/>
          <w:sz w:val="28"/>
          <w:szCs w:val="28"/>
          <w:u w:color="000000"/>
          <w:bdr w:val="nil"/>
          <w:lang w:val="en-US" w:eastAsia="en-US"/>
        </w:rPr>
        <w:t>The examples of EBRD investment projects in Ukraine</w:t>
      </w:r>
    </w:p>
    <w:tbl>
      <w:tblPr>
        <w:tblW w:w="9747"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975"/>
        <w:gridCol w:w="1701"/>
        <w:gridCol w:w="1418"/>
        <w:gridCol w:w="4653"/>
      </w:tblGrid>
      <w:tr w:rsidR="00B95883" w:rsidRPr="00137967" w14:paraId="06735FA5" w14:textId="77777777" w:rsidTr="00514EC7">
        <w:trPr>
          <w:trHeight w:val="790"/>
          <w:jc w:val="center"/>
        </w:trPr>
        <w:tc>
          <w:tcPr>
            <w:tcW w:w="197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28" w:type="dxa"/>
              <w:bottom w:w="0" w:type="dxa"/>
              <w:right w:w="28" w:type="dxa"/>
            </w:tcMar>
          </w:tcPr>
          <w:p w14:paraId="3E6C7499"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Project title</w:t>
            </w:r>
          </w:p>
        </w:tc>
        <w:tc>
          <w:tcPr>
            <w:tcW w:w="170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28" w:type="dxa"/>
              <w:bottom w:w="0" w:type="dxa"/>
              <w:right w:w="28" w:type="dxa"/>
            </w:tcMar>
          </w:tcPr>
          <w:p w14:paraId="61C1E98C"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 xml:space="preserve">Business sector </w:t>
            </w:r>
          </w:p>
        </w:tc>
        <w:tc>
          <w:tcPr>
            <w:tcW w:w="141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28" w:type="dxa"/>
              <w:bottom w:w="0" w:type="dxa"/>
              <w:right w:w="28" w:type="dxa"/>
            </w:tcMar>
          </w:tcPr>
          <w:p w14:paraId="67298323"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EBRD investments, million euro</w:t>
            </w:r>
          </w:p>
        </w:tc>
        <w:tc>
          <w:tcPr>
            <w:tcW w:w="465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28" w:type="dxa"/>
              <w:bottom w:w="0" w:type="dxa"/>
              <w:right w:w="28" w:type="dxa"/>
            </w:tcMar>
          </w:tcPr>
          <w:p w14:paraId="3E98C968"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Project objectives</w:t>
            </w:r>
          </w:p>
        </w:tc>
      </w:tr>
      <w:tr w:rsidR="00B95883" w:rsidRPr="00137967" w14:paraId="131C8267" w14:textId="77777777" w:rsidTr="00514EC7">
        <w:trPr>
          <w:trHeight w:val="422"/>
          <w:jc w:val="center"/>
        </w:trPr>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328EDA6" w14:textId="77777777" w:rsidR="00B95883" w:rsidRPr="00137967" w:rsidRDefault="00B95883" w:rsidP="00514EC7">
            <w:pPr>
              <w:pBdr>
                <w:top w:val="nil"/>
                <w:left w:val="nil"/>
                <w:bottom w:val="nil"/>
                <w:right w:val="nil"/>
                <w:between w:val="nil"/>
                <w:bar w:val="nil"/>
              </w:pBdr>
              <w:spacing w:line="240" w:lineRule="atLeast"/>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 xml:space="preserve">Kronospan UA </w:t>
            </w:r>
            <w:r w:rsidR="00D1006D">
              <w:rPr>
                <w:rFonts w:eastAsia="Arial Unicode MS" w:cs="Arial Unicode MS"/>
                <w:sz w:val="26"/>
                <w:szCs w:val="26"/>
                <w:u w:color="000000"/>
                <w:bdr w:val="nil"/>
                <w:lang w:val="en-US" w:eastAsia="en-US"/>
              </w:rPr>
              <w:t>modernization</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431AF54"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Manufacturing and services</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12001EF"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40</w:t>
            </w:r>
          </w:p>
        </w:tc>
        <w:tc>
          <w:tcPr>
            <w:tcW w:w="465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3F6EE30" w14:textId="77777777" w:rsidR="00B95883" w:rsidRPr="00137967" w:rsidRDefault="00B95883" w:rsidP="00514EC7">
            <w:pPr>
              <w:pBdr>
                <w:top w:val="nil"/>
                <w:left w:val="nil"/>
                <w:bottom w:val="nil"/>
                <w:right w:val="nil"/>
                <w:between w:val="nil"/>
                <w:bar w:val="nil"/>
              </w:pBdr>
              <w:spacing w:line="240" w:lineRule="atLeast"/>
              <w:jc w:val="both"/>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Replacement of a multi-daylight press with a continuous particleboard press</w:t>
            </w:r>
          </w:p>
        </w:tc>
      </w:tr>
      <w:tr w:rsidR="00B95883" w:rsidRPr="00137967" w14:paraId="20EFB355" w14:textId="77777777" w:rsidTr="00514EC7">
        <w:trPr>
          <w:trHeight w:val="790"/>
          <w:jc w:val="center"/>
        </w:trPr>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7C37086" w14:textId="77777777" w:rsidR="00B95883" w:rsidRPr="00137967" w:rsidRDefault="00B95883" w:rsidP="00514EC7">
            <w:pPr>
              <w:pBdr>
                <w:top w:val="nil"/>
                <w:left w:val="nil"/>
                <w:bottom w:val="nil"/>
                <w:right w:val="nil"/>
                <w:between w:val="nil"/>
                <w:bar w:val="nil"/>
              </w:pBdr>
              <w:spacing w:line="240" w:lineRule="atLeast"/>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Yuzhny Grain Terminal</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FC0ACFB"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Transport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DB8ED08"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37</w:t>
            </w:r>
          </w:p>
        </w:tc>
        <w:tc>
          <w:tcPr>
            <w:tcW w:w="465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A6A0934" w14:textId="77777777" w:rsidR="00B95883" w:rsidRPr="00137967" w:rsidRDefault="00B95883" w:rsidP="00514EC7">
            <w:pPr>
              <w:pBdr>
                <w:top w:val="nil"/>
                <w:left w:val="nil"/>
                <w:bottom w:val="nil"/>
                <w:right w:val="nil"/>
                <w:between w:val="nil"/>
                <w:bar w:val="nil"/>
              </w:pBdr>
              <w:spacing w:line="240" w:lineRule="atLeast"/>
              <w:jc w:val="both"/>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Greenfield development of a new grain terminal with annual throughput capacity of up to 5.0 million tons of grain</w:t>
            </w:r>
          </w:p>
        </w:tc>
      </w:tr>
      <w:tr w:rsidR="00B95883" w:rsidRPr="00137967" w14:paraId="1134ED21" w14:textId="77777777" w:rsidTr="00514EC7">
        <w:trPr>
          <w:trHeight w:val="603"/>
          <w:jc w:val="center"/>
        </w:trPr>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6BF9A7F" w14:textId="77777777" w:rsidR="00B95883" w:rsidRPr="00137967" w:rsidRDefault="00B95883" w:rsidP="00514EC7">
            <w:pPr>
              <w:pBdr>
                <w:top w:val="nil"/>
                <w:left w:val="nil"/>
                <w:bottom w:val="nil"/>
                <w:right w:val="nil"/>
                <w:between w:val="nil"/>
                <w:bar w:val="nil"/>
              </w:pBdr>
              <w:spacing w:line="240" w:lineRule="atLeast"/>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UCSF: Nibulon</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F96D314"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Agribusiness</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82C710A"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26</w:t>
            </w:r>
          </w:p>
        </w:tc>
        <w:tc>
          <w:tcPr>
            <w:tcW w:w="465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BF99779" w14:textId="77777777" w:rsidR="00B95883" w:rsidRPr="00137967" w:rsidRDefault="00B95883" w:rsidP="00514EC7">
            <w:pPr>
              <w:pBdr>
                <w:top w:val="nil"/>
                <w:left w:val="nil"/>
                <w:bottom w:val="nil"/>
                <w:right w:val="nil"/>
                <w:between w:val="nil"/>
                <w:bar w:val="nil"/>
              </w:pBdr>
              <w:spacing w:line="240" w:lineRule="atLeast"/>
              <w:jc w:val="both"/>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Nibulon’s working capital finance needs to be associated with agri-commodity trading operations</w:t>
            </w:r>
          </w:p>
        </w:tc>
      </w:tr>
      <w:tr w:rsidR="00B95883" w:rsidRPr="00137967" w14:paraId="2AB681FC" w14:textId="77777777" w:rsidTr="00514EC7">
        <w:trPr>
          <w:trHeight w:val="790"/>
          <w:jc w:val="center"/>
        </w:trPr>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679BB3E" w14:textId="77777777" w:rsidR="00B95883" w:rsidRPr="00137967" w:rsidRDefault="00B95883" w:rsidP="00514EC7">
            <w:pPr>
              <w:pBdr>
                <w:top w:val="nil"/>
                <w:left w:val="nil"/>
                <w:bottom w:val="nil"/>
                <w:right w:val="nil"/>
                <w:between w:val="nil"/>
                <w:bar w:val="nil"/>
              </w:pBdr>
              <w:spacing w:line="240" w:lineRule="atLeast"/>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Unicredit Leasing Ukraine</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7111276"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Finance lease</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4FE2A02"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19.6</w:t>
            </w:r>
          </w:p>
        </w:tc>
        <w:tc>
          <w:tcPr>
            <w:tcW w:w="465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59E7336" w14:textId="77777777" w:rsidR="00B95883" w:rsidRPr="00137967" w:rsidRDefault="00B95883" w:rsidP="00514EC7">
            <w:pPr>
              <w:pBdr>
                <w:top w:val="nil"/>
                <w:left w:val="nil"/>
                <w:bottom w:val="nil"/>
                <w:right w:val="nil"/>
                <w:between w:val="nil"/>
                <w:bar w:val="nil"/>
              </w:pBdr>
              <w:spacing w:line="240" w:lineRule="atLeast"/>
              <w:jc w:val="both"/>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Provision with medium and long-term debt financing through Unicredit subsidiaries to support SMEs, lease finance and energy efficiency projects</w:t>
            </w:r>
          </w:p>
        </w:tc>
      </w:tr>
      <w:tr w:rsidR="00B95883" w:rsidRPr="00137967" w14:paraId="1218A457" w14:textId="77777777" w:rsidTr="00514EC7">
        <w:trPr>
          <w:trHeight w:val="790"/>
          <w:jc w:val="center"/>
        </w:trPr>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6A57032" w14:textId="77777777" w:rsidR="00B95883" w:rsidRPr="00137967" w:rsidRDefault="00B95883" w:rsidP="00514EC7">
            <w:pPr>
              <w:pBdr>
                <w:top w:val="nil"/>
                <w:left w:val="nil"/>
                <w:bottom w:val="nil"/>
                <w:right w:val="nil"/>
                <w:between w:val="nil"/>
                <w:bar w:val="nil"/>
              </w:pBdr>
              <w:spacing w:line="240" w:lineRule="atLeast"/>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Karpatskyi Wind Farm</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3CE0B3B"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Power and energy</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2917A7A"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7.6</w:t>
            </w:r>
          </w:p>
        </w:tc>
        <w:tc>
          <w:tcPr>
            <w:tcW w:w="465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2145BF4" w14:textId="77777777" w:rsidR="00B95883" w:rsidRPr="00137967" w:rsidRDefault="00B95883" w:rsidP="00514EC7">
            <w:pPr>
              <w:pBdr>
                <w:top w:val="nil"/>
                <w:left w:val="nil"/>
                <w:bottom w:val="nil"/>
                <w:right w:val="nil"/>
                <w:between w:val="nil"/>
                <w:bar w:val="nil"/>
              </w:pBdr>
              <w:spacing w:line="240" w:lineRule="atLeast"/>
              <w:jc w:val="both"/>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 xml:space="preserve">Development, construction and operation of a 9.9MW wind farm near the town of Staryi Sambir in Lviv region </w:t>
            </w:r>
          </w:p>
        </w:tc>
      </w:tr>
      <w:tr w:rsidR="00B95883" w:rsidRPr="00137967" w14:paraId="2EF315BB" w14:textId="77777777" w:rsidTr="00514EC7">
        <w:trPr>
          <w:trHeight w:val="274"/>
          <w:jc w:val="center"/>
        </w:trPr>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6656B74" w14:textId="77777777" w:rsidR="00B95883" w:rsidRPr="00137967" w:rsidRDefault="00B95883" w:rsidP="00514EC7">
            <w:pPr>
              <w:pBdr>
                <w:top w:val="nil"/>
                <w:left w:val="nil"/>
                <w:bottom w:val="nil"/>
                <w:right w:val="nil"/>
                <w:between w:val="nil"/>
                <w:bar w:val="nil"/>
              </w:pBdr>
              <w:spacing w:line="240" w:lineRule="atLeast"/>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Chernivtsi District Heating Project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BD836C8"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Municipal and environmental infrastructure</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0BA50E1"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7</w:t>
            </w:r>
          </w:p>
        </w:tc>
        <w:tc>
          <w:tcPr>
            <w:tcW w:w="465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6BD8063" w14:textId="77777777" w:rsidR="00B95883" w:rsidRPr="00137967" w:rsidRDefault="00B95883" w:rsidP="00514EC7">
            <w:pPr>
              <w:pBdr>
                <w:top w:val="nil"/>
                <w:left w:val="nil"/>
                <w:bottom w:val="nil"/>
                <w:right w:val="nil"/>
                <w:between w:val="nil"/>
                <w:bar w:val="nil"/>
              </w:pBdr>
              <w:spacing w:line="240" w:lineRule="atLeast"/>
              <w:jc w:val="both"/>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Loaning the district heating utility “Municipal Communal Enterprise” to finance the installation of individual heating sub-stations, biofuel boilers, and modernization of boilers</w:t>
            </w:r>
          </w:p>
        </w:tc>
      </w:tr>
      <w:tr w:rsidR="00B95883" w:rsidRPr="00137967" w14:paraId="7D2FE36F" w14:textId="77777777" w:rsidTr="00514EC7">
        <w:trPr>
          <w:trHeight w:val="274"/>
          <w:jc w:val="center"/>
        </w:trPr>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E957C04" w14:textId="77777777" w:rsidR="00B95883" w:rsidRPr="00137967" w:rsidRDefault="00B95883" w:rsidP="00514EC7">
            <w:pPr>
              <w:pBdr>
                <w:top w:val="nil"/>
                <w:left w:val="nil"/>
                <w:bottom w:val="nil"/>
                <w:right w:val="nil"/>
                <w:between w:val="nil"/>
                <w:bar w:val="nil"/>
              </w:pBdr>
              <w:spacing w:line="240" w:lineRule="atLeast"/>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Odessa IT Centre</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7C375D1"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Property and tourism</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08B9250" w14:textId="77777777" w:rsidR="00B95883" w:rsidRPr="00137967" w:rsidRDefault="00B95883" w:rsidP="00514EC7">
            <w:pPr>
              <w:pBdr>
                <w:top w:val="nil"/>
                <w:left w:val="nil"/>
                <w:bottom w:val="nil"/>
                <w:right w:val="nil"/>
                <w:between w:val="nil"/>
                <w:bar w:val="nil"/>
              </w:pBdr>
              <w:spacing w:line="240" w:lineRule="atLeast"/>
              <w:jc w:val="center"/>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4.9</w:t>
            </w:r>
          </w:p>
        </w:tc>
        <w:tc>
          <w:tcPr>
            <w:tcW w:w="465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578FA87" w14:textId="77777777" w:rsidR="00B95883" w:rsidRPr="00137967" w:rsidRDefault="00B95883" w:rsidP="00514EC7">
            <w:pPr>
              <w:pBdr>
                <w:top w:val="nil"/>
                <w:left w:val="nil"/>
                <w:bottom w:val="nil"/>
                <w:right w:val="nil"/>
                <w:between w:val="nil"/>
                <w:bar w:val="nil"/>
              </w:pBdr>
              <w:spacing w:line="240" w:lineRule="atLeast"/>
              <w:jc w:val="both"/>
              <w:rPr>
                <w:rFonts w:eastAsia="Arial Unicode MS" w:cs="Arial Unicode MS"/>
                <w:sz w:val="26"/>
                <w:szCs w:val="26"/>
                <w:u w:color="000000"/>
                <w:bdr w:val="nil"/>
                <w:lang w:val="en-US" w:eastAsia="en-US"/>
              </w:rPr>
            </w:pPr>
            <w:r w:rsidRPr="00137967">
              <w:rPr>
                <w:rFonts w:eastAsia="Arial Unicode MS" w:cs="Arial Unicode MS"/>
                <w:sz w:val="26"/>
                <w:szCs w:val="26"/>
                <w:u w:color="000000"/>
                <w:bdr w:val="nil"/>
                <w:lang w:val="en-US" w:eastAsia="en-US"/>
              </w:rPr>
              <w:t>Refurbishment of an office building in Odessa for leasing a facility to local and international IT companies</w:t>
            </w:r>
          </w:p>
        </w:tc>
      </w:tr>
    </w:tbl>
    <w:p w14:paraId="313503B9" w14:textId="77777777" w:rsidR="00B95883" w:rsidRPr="00B95883" w:rsidRDefault="00B95883" w:rsidP="00B95883">
      <w:pPr>
        <w:pBdr>
          <w:top w:val="nil"/>
          <w:left w:val="nil"/>
          <w:bottom w:val="nil"/>
          <w:right w:val="nil"/>
          <w:between w:val="nil"/>
          <w:bar w:val="nil"/>
        </w:pBdr>
        <w:spacing w:line="312" w:lineRule="auto"/>
        <w:ind w:firstLine="709"/>
        <w:jc w:val="both"/>
        <w:rPr>
          <w:rFonts w:eastAsia="Garamond" w:cs="Garamond"/>
          <w:sz w:val="28"/>
          <w:szCs w:val="28"/>
          <w:u w:color="000000"/>
          <w:bdr w:val="nil"/>
          <w:lang w:eastAsia="en-US"/>
        </w:rPr>
      </w:pPr>
    </w:p>
    <w:p w14:paraId="59DCA759" w14:textId="77777777" w:rsidR="00FB375D" w:rsidRPr="007E1311" w:rsidRDefault="00FB375D" w:rsidP="00B95883">
      <w:pPr>
        <w:pBdr>
          <w:top w:val="nil"/>
          <w:left w:val="nil"/>
          <w:bottom w:val="nil"/>
          <w:right w:val="nil"/>
          <w:between w:val="nil"/>
          <w:bar w:val="nil"/>
        </w:pBdr>
        <w:shd w:val="clear" w:color="auto" w:fill="FFFFFF"/>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 xml:space="preserve">Community budgetary law obeys </w:t>
      </w:r>
      <w:r w:rsidRPr="007E1311">
        <w:rPr>
          <w:rFonts w:eastAsia="Arial Unicode MS" w:cs="Arial Unicode MS"/>
          <w:b/>
          <w:bCs/>
          <w:sz w:val="28"/>
          <w:szCs w:val="28"/>
          <w:u w:color="000000"/>
          <w:bdr w:val="nil"/>
          <w:lang w:val="en-US" w:eastAsia="en-US"/>
        </w:rPr>
        <w:t>general principles</w:t>
      </w:r>
      <w:r w:rsidRPr="007E1311">
        <w:rPr>
          <w:rFonts w:eastAsia="Arial Unicode MS" w:cs="Arial Unicode MS"/>
          <w:sz w:val="28"/>
          <w:szCs w:val="28"/>
          <w:u w:color="000000"/>
          <w:bdr w:val="nil"/>
          <w:lang w:val="en-US" w:eastAsia="en-US"/>
        </w:rPr>
        <w:t xml:space="preserve"> like in national budgetary law:</w:t>
      </w:r>
    </w:p>
    <w:p w14:paraId="010CE4B1" w14:textId="77777777" w:rsidR="00FB375D" w:rsidRPr="00B54F41" w:rsidRDefault="00FB375D" w:rsidP="00137967">
      <w:pPr>
        <w:pStyle w:val="ListParagraph"/>
        <w:numPr>
          <w:ilvl w:val="0"/>
          <w:numId w:val="233"/>
        </w:numPr>
        <w:pBdr>
          <w:top w:val="nil"/>
          <w:left w:val="nil"/>
          <w:bottom w:val="nil"/>
          <w:right w:val="nil"/>
          <w:between w:val="nil"/>
          <w:bar w:val="nil"/>
        </w:pBdr>
        <w:shd w:val="clear" w:color="auto" w:fill="FFFFFF"/>
        <w:tabs>
          <w:tab w:val="num" w:pos="851"/>
        </w:tabs>
        <w:spacing w:line="312" w:lineRule="auto"/>
        <w:ind w:left="993" w:hanging="284"/>
        <w:jc w:val="both"/>
        <w:rPr>
          <w:rFonts w:ascii="Garamond" w:eastAsia="Garamond" w:hAnsi="Garamond" w:cs="Garamond"/>
          <w:szCs w:val="28"/>
          <w:u w:color="000000"/>
          <w:bdr w:val="nil"/>
          <w:lang w:val="en-US"/>
        </w:rPr>
      </w:pPr>
      <w:r w:rsidRPr="00B54F41">
        <w:rPr>
          <w:rFonts w:ascii="Garamond" w:eastAsia="Arial Unicode MS" w:hAnsi="Garamond" w:cs="Arial Unicode MS"/>
          <w:b/>
          <w:bCs/>
          <w:szCs w:val="28"/>
          <w:u w:color="000000"/>
          <w:bdr w:val="nil"/>
          <w:lang w:val="en-US"/>
        </w:rPr>
        <w:t xml:space="preserve">The principle of unity and budget accuracy </w:t>
      </w:r>
      <w:r w:rsidRPr="00B54F41">
        <w:rPr>
          <w:rFonts w:ascii="Garamond" w:eastAsia="Arial Unicode MS" w:hAnsi="Garamond" w:cs="Arial Unicode MS"/>
          <w:szCs w:val="28"/>
          <w:u w:color="000000"/>
          <w:bdr w:val="nil"/>
          <w:lang w:val="en-US"/>
        </w:rPr>
        <w:t>means that, for every financial year, all revenue and expenditure chargeable to the budget must be entered in a single document: the budget.</w:t>
      </w:r>
    </w:p>
    <w:p w14:paraId="66AE083B" w14:textId="77777777" w:rsidR="00B54F41" w:rsidRPr="00B54F41" w:rsidRDefault="00FB375D" w:rsidP="00137967">
      <w:pPr>
        <w:pStyle w:val="ListParagraph"/>
        <w:numPr>
          <w:ilvl w:val="0"/>
          <w:numId w:val="233"/>
        </w:numPr>
        <w:pBdr>
          <w:top w:val="nil"/>
          <w:left w:val="nil"/>
          <w:bottom w:val="nil"/>
          <w:right w:val="nil"/>
          <w:between w:val="nil"/>
          <w:bar w:val="nil"/>
        </w:pBdr>
        <w:shd w:val="clear" w:color="auto" w:fill="FFFFFF"/>
        <w:tabs>
          <w:tab w:val="num" w:pos="851"/>
        </w:tabs>
        <w:spacing w:line="312" w:lineRule="auto"/>
        <w:ind w:left="993" w:hanging="284"/>
        <w:jc w:val="both"/>
        <w:rPr>
          <w:rFonts w:ascii="Garamond" w:eastAsia="Garamond" w:hAnsi="Garamond" w:cs="Garamond"/>
          <w:szCs w:val="28"/>
          <w:u w:color="000000"/>
          <w:bdr w:val="nil"/>
          <w:lang w:val="en-US"/>
        </w:rPr>
      </w:pPr>
      <w:r w:rsidRPr="00B54F41">
        <w:rPr>
          <w:rFonts w:ascii="Garamond" w:eastAsia="Arial Unicode MS" w:hAnsi="Garamond" w:cs="Arial Unicode MS"/>
          <w:b/>
          <w:bCs/>
          <w:szCs w:val="28"/>
          <w:u w:color="000000"/>
          <w:bdr w:val="nil"/>
          <w:lang w:val="en-US"/>
        </w:rPr>
        <w:t>The principle of universality</w:t>
      </w:r>
      <w:r w:rsidRPr="00B54F41">
        <w:rPr>
          <w:rFonts w:ascii="Garamond" w:eastAsia="Arial Unicode MS" w:hAnsi="Garamond" w:cs="Arial Unicode MS"/>
          <w:szCs w:val="28"/>
          <w:u w:color="000000"/>
          <w:bdr w:val="nil"/>
          <w:lang w:val="en-US"/>
        </w:rPr>
        <w:t xml:space="preserve"> means that the total revenue in the budget must cover the total expenditure without distinction.</w:t>
      </w:r>
    </w:p>
    <w:p w14:paraId="3D7EA689" w14:textId="77777777" w:rsidR="00FB375D" w:rsidRPr="00B54F41" w:rsidRDefault="00FB375D" w:rsidP="00137967">
      <w:pPr>
        <w:pStyle w:val="ListParagraph"/>
        <w:numPr>
          <w:ilvl w:val="0"/>
          <w:numId w:val="233"/>
        </w:numPr>
        <w:pBdr>
          <w:top w:val="nil"/>
          <w:left w:val="nil"/>
          <w:bottom w:val="nil"/>
          <w:right w:val="nil"/>
          <w:between w:val="nil"/>
          <w:bar w:val="nil"/>
        </w:pBdr>
        <w:shd w:val="clear" w:color="auto" w:fill="FFFFFF"/>
        <w:tabs>
          <w:tab w:val="num" w:pos="851"/>
        </w:tabs>
        <w:spacing w:line="312" w:lineRule="auto"/>
        <w:ind w:left="993" w:hanging="284"/>
        <w:jc w:val="both"/>
        <w:rPr>
          <w:rFonts w:ascii="Garamond" w:eastAsia="Garamond" w:hAnsi="Garamond" w:cs="Garamond"/>
          <w:szCs w:val="28"/>
          <w:u w:color="000000"/>
          <w:bdr w:val="nil"/>
          <w:lang w:val="en-US"/>
        </w:rPr>
      </w:pPr>
      <w:r w:rsidRPr="00B54F41">
        <w:rPr>
          <w:rFonts w:ascii="Garamond" w:eastAsia="Arial Unicode MS" w:hAnsi="Garamond" w:cs="Arial Unicode MS"/>
          <w:b/>
          <w:bCs/>
          <w:szCs w:val="28"/>
          <w:u w:color="000000"/>
          <w:bdr w:val="nil"/>
          <w:lang w:val="en-US"/>
        </w:rPr>
        <w:t>The gross budget principle</w:t>
      </w:r>
      <w:r w:rsidRPr="00B54F41">
        <w:rPr>
          <w:rFonts w:ascii="Garamond" w:eastAsia="Arial Unicode MS" w:hAnsi="Garamond" w:cs="Arial Unicode MS"/>
          <w:szCs w:val="28"/>
          <w:u w:color="000000"/>
          <w:bdr w:val="nil"/>
          <w:lang w:val="en-US"/>
        </w:rPr>
        <w:t xml:space="preserve"> also allows a few exceptions, but these are mainly technical and are designed to simplify procedures.</w:t>
      </w:r>
    </w:p>
    <w:p w14:paraId="3EC7B8AD" w14:textId="77777777" w:rsidR="00FB375D" w:rsidRPr="00B54F41" w:rsidRDefault="00FB375D" w:rsidP="00137967">
      <w:pPr>
        <w:pStyle w:val="ListParagraph"/>
        <w:numPr>
          <w:ilvl w:val="0"/>
          <w:numId w:val="233"/>
        </w:numPr>
        <w:pBdr>
          <w:top w:val="nil"/>
          <w:left w:val="nil"/>
          <w:bottom w:val="nil"/>
          <w:right w:val="nil"/>
          <w:between w:val="nil"/>
          <w:bar w:val="nil"/>
        </w:pBdr>
        <w:shd w:val="clear" w:color="auto" w:fill="FFFFFF"/>
        <w:tabs>
          <w:tab w:val="num" w:pos="851"/>
        </w:tabs>
        <w:spacing w:line="312" w:lineRule="auto"/>
        <w:ind w:left="993" w:hanging="284"/>
        <w:jc w:val="both"/>
        <w:rPr>
          <w:rFonts w:ascii="Garamond" w:eastAsia="Garamond" w:hAnsi="Garamond" w:cs="Garamond"/>
          <w:szCs w:val="28"/>
          <w:u w:color="000000"/>
          <w:bdr w:val="nil"/>
          <w:lang w:val="en-US"/>
        </w:rPr>
      </w:pPr>
      <w:r w:rsidRPr="00B54F41">
        <w:rPr>
          <w:rFonts w:ascii="Garamond" w:eastAsia="Arial Unicode MS" w:hAnsi="Garamond" w:cs="Arial Unicode MS"/>
          <w:b/>
          <w:bCs/>
          <w:szCs w:val="28"/>
          <w:u w:color="000000"/>
          <w:bdr w:val="nil"/>
          <w:lang w:val="en-US"/>
        </w:rPr>
        <w:t>The principle of annuality</w:t>
      </w:r>
      <w:r w:rsidRPr="00B54F41">
        <w:rPr>
          <w:rFonts w:ascii="Garamond" w:eastAsia="Arial Unicode MS" w:hAnsi="Garamond" w:cs="Arial Unicode MS"/>
          <w:szCs w:val="28"/>
          <w:u w:color="000000"/>
          <w:bdr w:val="nil"/>
          <w:lang w:val="en-US"/>
        </w:rPr>
        <w:t xml:space="preserve"> means that the Community’s revenue and expenditure are estimated for each financial year, and the implementation of expenditure is authorized for one financial year.</w:t>
      </w:r>
    </w:p>
    <w:p w14:paraId="0F0495B3" w14:textId="77777777" w:rsidR="00FB375D" w:rsidRPr="00B54F41" w:rsidRDefault="00FB375D" w:rsidP="00137967">
      <w:pPr>
        <w:pStyle w:val="ListParagraph"/>
        <w:numPr>
          <w:ilvl w:val="0"/>
          <w:numId w:val="233"/>
        </w:numPr>
        <w:pBdr>
          <w:top w:val="nil"/>
          <w:left w:val="nil"/>
          <w:bottom w:val="nil"/>
          <w:right w:val="nil"/>
          <w:between w:val="nil"/>
          <w:bar w:val="nil"/>
        </w:pBdr>
        <w:shd w:val="clear" w:color="auto" w:fill="FFFFFF"/>
        <w:tabs>
          <w:tab w:val="num" w:pos="851"/>
        </w:tabs>
        <w:spacing w:line="312" w:lineRule="auto"/>
        <w:ind w:left="993" w:hanging="284"/>
        <w:jc w:val="both"/>
        <w:rPr>
          <w:rFonts w:ascii="Garamond" w:eastAsia="Garamond" w:hAnsi="Garamond" w:cs="Garamond"/>
          <w:szCs w:val="28"/>
          <w:u w:color="000000"/>
          <w:bdr w:val="nil"/>
          <w:lang w:val="en-US"/>
        </w:rPr>
      </w:pPr>
      <w:r w:rsidRPr="00B54F41">
        <w:rPr>
          <w:rFonts w:ascii="Garamond" w:eastAsia="Arial Unicode MS" w:hAnsi="Garamond" w:cs="Arial Unicode MS"/>
          <w:szCs w:val="28"/>
          <w:u w:color="000000"/>
          <w:bdr w:val="nil"/>
          <w:lang w:val="en-US"/>
        </w:rPr>
        <w:t xml:space="preserve">Under </w:t>
      </w:r>
      <w:r w:rsidRPr="00B54F41">
        <w:rPr>
          <w:rFonts w:ascii="Garamond" w:eastAsia="Arial Unicode MS" w:hAnsi="Garamond" w:cs="Arial Unicode MS"/>
          <w:b/>
          <w:bCs/>
          <w:szCs w:val="28"/>
          <w:u w:color="000000"/>
          <w:bdr w:val="nil"/>
          <w:lang w:val="en-US"/>
        </w:rPr>
        <w:t>the principle of specification</w:t>
      </w:r>
      <w:r w:rsidRPr="00B54F41">
        <w:rPr>
          <w:rFonts w:ascii="Garamond" w:eastAsia="Arial Unicode MS" w:hAnsi="Garamond" w:cs="Arial Unicode MS"/>
          <w:szCs w:val="28"/>
          <w:u w:color="000000"/>
          <w:bdr w:val="nil"/>
          <w:lang w:val="en-US"/>
        </w:rPr>
        <w:t xml:space="preserve">, each appropriation must have a particular intended use and be earmarked for a specific purpose. The budget </w:t>
      </w:r>
      <w:r w:rsidRPr="00B54F41">
        <w:rPr>
          <w:rFonts w:ascii="Garamond" w:eastAsia="Arial Unicode MS" w:hAnsi="Garamond" w:cs="Arial Unicode MS"/>
          <w:szCs w:val="28"/>
          <w:u w:color="000000"/>
          <w:bdr w:val="nil"/>
          <w:lang w:val="en-US"/>
        </w:rPr>
        <w:lastRenderedPageBreak/>
        <w:t>is structured: horizontal structure (separates the general statement of revenue and expenditure from the sections) and vertical structure (separate</w:t>
      </w:r>
      <w:r w:rsidR="002356AB">
        <w:rPr>
          <w:rFonts w:ascii="Garamond" w:eastAsia="Arial Unicode MS" w:hAnsi="Garamond" w:cs="Arial Unicode MS"/>
          <w:szCs w:val="28"/>
          <w:u w:color="000000"/>
          <w:bdr w:val="nil"/>
          <w:lang w:val="en-US"/>
        </w:rPr>
        <w:t>s</w:t>
      </w:r>
      <w:r w:rsidRPr="00B54F41">
        <w:rPr>
          <w:rFonts w:ascii="Garamond" w:eastAsia="Arial Unicode MS" w:hAnsi="Garamond" w:cs="Arial Unicode MS"/>
          <w:szCs w:val="28"/>
          <w:u w:color="000000"/>
          <w:bdr w:val="nil"/>
          <w:lang w:val="en-US"/>
        </w:rPr>
        <w:t xml:space="preserve"> by the type or purpose of the appropriations into sections, titles, chapters, articles, and items).</w:t>
      </w:r>
    </w:p>
    <w:p w14:paraId="3DEFA721" w14:textId="77777777" w:rsidR="00FB375D" w:rsidRPr="00B54F41" w:rsidRDefault="00FB375D" w:rsidP="00137967">
      <w:pPr>
        <w:pStyle w:val="ListParagraph"/>
        <w:numPr>
          <w:ilvl w:val="0"/>
          <w:numId w:val="233"/>
        </w:numPr>
        <w:pBdr>
          <w:top w:val="nil"/>
          <w:left w:val="nil"/>
          <w:bottom w:val="nil"/>
          <w:right w:val="nil"/>
          <w:between w:val="nil"/>
          <w:bar w:val="nil"/>
        </w:pBdr>
        <w:shd w:val="clear" w:color="auto" w:fill="FFFFFF"/>
        <w:tabs>
          <w:tab w:val="num" w:pos="851"/>
        </w:tabs>
        <w:spacing w:line="312" w:lineRule="auto"/>
        <w:ind w:left="993" w:hanging="284"/>
        <w:jc w:val="both"/>
        <w:rPr>
          <w:rFonts w:ascii="Garamond" w:eastAsia="Garamond" w:hAnsi="Garamond" w:cs="Garamond"/>
          <w:szCs w:val="28"/>
          <w:u w:color="000000"/>
          <w:bdr w:val="nil"/>
          <w:lang w:val="en-US"/>
        </w:rPr>
      </w:pPr>
      <w:r w:rsidRPr="00B54F41">
        <w:rPr>
          <w:rFonts w:ascii="Garamond" w:eastAsia="Arial Unicode MS" w:hAnsi="Garamond" w:cs="Arial Unicode MS"/>
          <w:b/>
          <w:bCs/>
          <w:szCs w:val="28"/>
          <w:u w:color="000000"/>
          <w:bdr w:val="nil"/>
          <w:lang w:val="en-US"/>
        </w:rPr>
        <w:t>The principle of equilibrium</w:t>
      </w:r>
      <w:r w:rsidRPr="00B54F41">
        <w:rPr>
          <w:rFonts w:ascii="Garamond" w:eastAsia="Arial Unicode MS" w:hAnsi="Garamond" w:cs="Arial Unicode MS"/>
          <w:szCs w:val="28"/>
          <w:u w:color="000000"/>
          <w:bdr w:val="nil"/>
          <w:lang w:val="en-US"/>
        </w:rPr>
        <w:t xml:space="preserve"> means that the budget must include the same amount of revenue and expenditure.</w:t>
      </w:r>
    </w:p>
    <w:p w14:paraId="2DEB722F" w14:textId="77777777" w:rsidR="00FB375D" w:rsidRPr="00B54F41" w:rsidRDefault="00FB375D" w:rsidP="00137967">
      <w:pPr>
        <w:pStyle w:val="ListParagraph"/>
        <w:numPr>
          <w:ilvl w:val="0"/>
          <w:numId w:val="233"/>
        </w:numPr>
        <w:pBdr>
          <w:top w:val="nil"/>
          <w:left w:val="nil"/>
          <w:bottom w:val="nil"/>
          <w:right w:val="nil"/>
          <w:between w:val="nil"/>
          <w:bar w:val="nil"/>
        </w:pBdr>
        <w:shd w:val="clear" w:color="auto" w:fill="FFFFFF"/>
        <w:tabs>
          <w:tab w:val="num" w:pos="851"/>
        </w:tabs>
        <w:spacing w:line="312" w:lineRule="auto"/>
        <w:ind w:left="993" w:hanging="284"/>
        <w:jc w:val="both"/>
        <w:rPr>
          <w:rFonts w:ascii="Garamond" w:eastAsia="Garamond" w:hAnsi="Garamond" w:cs="Garamond"/>
          <w:szCs w:val="28"/>
          <w:u w:color="000000"/>
          <w:bdr w:val="nil"/>
          <w:lang w:val="en-US"/>
        </w:rPr>
      </w:pPr>
      <w:r w:rsidRPr="00B54F41">
        <w:rPr>
          <w:rFonts w:ascii="Garamond" w:eastAsia="Arial Unicode MS" w:hAnsi="Garamond" w:cs="Arial Unicode MS"/>
          <w:b/>
          <w:bCs/>
          <w:szCs w:val="28"/>
          <w:u w:color="000000"/>
          <w:bdr w:val="nil"/>
          <w:lang w:val="en-US"/>
        </w:rPr>
        <w:t xml:space="preserve">The principle of a unit of account </w:t>
      </w:r>
      <w:r w:rsidRPr="00B54F41">
        <w:rPr>
          <w:rFonts w:ascii="Garamond" w:eastAsia="Arial Unicode MS" w:hAnsi="Garamond" w:cs="Arial Unicode MS"/>
          <w:szCs w:val="28"/>
          <w:u w:color="000000"/>
          <w:bdr w:val="nil"/>
          <w:lang w:val="en-US"/>
        </w:rPr>
        <w:t>means that</w:t>
      </w:r>
      <w:r w:rsidRPr="00B54F41">
        <w:rPr>
          <w:rFonts w:ascii="Garamond" w:eastAsia="Arial Unicode MS" w:hAnsi="Garamond" w:cs="Arial Unicode MS"/>
          <w:b/>
          <w:bCs/>
          <w:szCs w:val="28"/>
          <w:u w:color="000000"/>
          <w:bdr w:val="nil"/>
          <w:lang w:val="en-US"/>
        </w:rPr>
        <w:t xml:space="preserve"> </w:t>
      </w:r>
      <w:r w:rsidRPr="00B54F41">
        <w:rPr>
          <w:rFonts w:ascii="Garamond" w:eastAsia="Arial Unicode MS" w:hAnsi="Garamond" w:cs="Arial Unicode MS"/>
          <w:szCs w:val="28"/>
          <w:u w:color="000000"/>
          <w:bdr w:val="nil"/>
          <w:lang w:val="en-US"/>
        </w:rPr>
        <w:t>general budget is to be expressed in units of account (since 1999, the euro has been the single currency as the unit of account for the general budget).</w:t>
      </w:r>
    </w:p>
    <w:p w14:paraId="3C883CB5" w14:textId="77777777" w:rsidR="00FB375D" w:rsidRPr="00B54F41" w:rsidRDefault="00FB375D" w:rsidP="00137967">
      <w:pPr>
        <w:pStyle w:val="ListParagraph"/>
        <w:numPr>
          <w:ilvl w:val="0"/>
          <w:numId w:val="233"/>
        </w:numPr>
        <w:pBdr>
          <w:top w:val="nil"/>
          <w:left w:val="nil"/>
          <w:bottom w:val="nil"/>
          <w:right w:val="nil"/>
          <w:between w:val="nil"/>
          <w:bar w:val="nil"/>
        </w:pBdr>
        <w:shd w:val="clear" w:color="auto" w:fill="FFFFFF"/>
        <w:tabs>
          <w:tab w:val="num" w:pos="851"/>
        </w:tabs>
        <w:spacing w:after="0" w:line="312" w:lineRule="auto"/>
        <w:ind w:left="993" w:hanging="284"/>
        <w:jc w:val="both"/>
        <w:rPr>
          <w:rFonts w:ascii="Garamond" w:eastAsia="Garamond" w:hAnsi="Garamond" w:cs="Garamond"/>
          <w:szCs w:val="28"/>
          <w:u w:color="000000"/>
          <w:bdr w:val="nil"/>
          <w:lang w:val="en-US"/>
        </w:rPr>
      </w:pPr>
      <w:r w:rsidRPr="00B54F41">
        <w:rPr>
          <w:rFonts w:ascii="Garamond" w:eastAsia="Arial Unicode MS" w:hAnsi="Garamond" w:cs="Arial Unicode MS"/>
          <w:b/>
          <w:bCs/>
          <w:szCs w:val="28"/>
          <w:u w:color="000000"/>
          <w:bdr w:val="nil"/>
          <w:lang w:val="en-US"/>
        </w:rPr>
        <w:t>The principle of sound financial management</w:t>
      </w:r>
      <w:r w:rsidRPr="00B54F41">
        <w:rPr>
          <w:rFonts w:ascii="Garamond" w:eastAsia="Arial Unicode MS" w:hAnsi="Garamond" w:cs="Arial Unicode MS"/>
          <w:szCs w:val="28"/>
          <w:u w:color="000000"/>
          <w:bdr w:val="nil"/>
          <w:lang w:val="en-US"/>
        </w:rPr>
        <w:t xml:space="preserve"> requires budget appropriations to be used in accordance with the principles of economy (the resources used by the institution for the pursuit of its activities should be made available in due time, in appropriate quantity and quality</w:t>
      </w:r>
      <w:r w:rsidR="002356AB">
        <w:rPr>
          <w:rFonts w:ascii="Garamond" w:eastAsia="Arial Unicode MS" w:hAnsi="Garamond" w:cs="Arial Unicode MS"/>
          <w:szCs w:val="28"/>
          <w:u w:color="000000"/>
          <w:bdr w:val="nil"/>
          <w:lang w:val="en-US"/>
        </w:rPr>
        <w:t>,</w:t>
      </w:r>
      <w:r w:rsidRPr="00B54F41">
        <w:rPr>
          <w:rFonts w:ascii="Garamond" w:eastAsia="Arial Unicode MS" w:hAnsi="Garamond" w:cs="Arial Unicode MS"/>
          <w:szCs w:val="28"/>
          <w:u w:color="000000"/>
          <w:bdr w:val="nil"/>
          <w:lang w:val="en-US"/>
        </w:rPr>
        <w:t xml:space="preserve"> and at the best price), efficiency (the optimum relationship between resources employed and results achieved)</w:t>
      </w:r>
      <w:r w:rsidR="002356AB">
        <w:rPr>
          <w:rFonts w:ascii="Garamond" w:eastAsia="Arial Unicode MS" w:hAnsi="Garamond" w:cs="Arial Unicode MS"/>
          <w:szCs w:val="28"/>
          <w:u w:color="000000"/>
          <w:bdr w:val="nil"/>
          <w:lang w:val="en-US"/>
        </w:rPr>
        <w:t>,</w:t>
      </w:r>
      <w:r w:rsidRPr="00B54F41">
        <w:rPr>
          <w:rFonts w:ascii="Garamond" w:eastAsia="Arial Unicode MS" w:hAnsi="Garamond" w:cs="Arial Unicode MS"/>
          <w:szCs w:val="28"/>
          <w:u w:color="000000"/>
          <w:bdr w:val="nil"/>
          <w:lang w:val="en-US"/>
        </w:rPr>
        <w:t xml:space="preserve"> and effectiveness (attaining the specific objectives set and achieving the intended results).</w:t>
      </w:r>
    </w:p>
    <w:p w14:paraId="518DB81B" w14:textId="77777777" w:rsidR="00FB375D" w:rsidRPr="00B54F41" w:rsidRDefault="00FB375D" w:rsidP="00137967">
      <w:pPr>
        <w:pStyle w:val="ListParagraph"/>
        <w:numPr>
          <w:ilvl w:val="0"/>
          <w:numId w:val="233"/>
        </w:numPr>
        <w:pBdr>
          <w:top w:val="nil"/>
          <w:left w:val="nil"/>
          <w:bottom w:val="nil"/>
          <w:right w:val="nil"/>
          <w:between w:val="nil"/>
          <w:bar w:val="nil"/>
        </w:pBdr>
        <w:shd w:val="clear" w:color="auto" w:fill="FFFFFF"/>
        <w:tabs>
          <w:tab w:val="num" w:pos="851"/>
        </w:tabs>
        <w:spacing w:after="0" w:line="312" w:lineRule="auto"/>
        <w:ind w:left="993" w:hanging="284"/>
        <w:jc w:val="both"/>
        <w:rPr>
          <w:rFonts w:ascii="Garamond" w:eastAsia="Garamond" w:hAnsi="Garamond" w:cs="Garamond"/>
          <w:szCs w:val="28"/>
          <w:u w:color="000000"/>
          <w:bdr w:val="nil"/>
          <w:lang w:val="en-US"/>
        </w:rPr>
      </w:pPr>
      <w:r w:rsidRPr="00B54F41">
        <w:rPr>
          <w:rFonts w:ascii="Garamond" w:eastAsia="Arial Unicode MS" w:hAnsi="Garamond" w:cs="Arial Unicode MS"/>
          <w:b/>
          <w:bCs/>
          <w:szCs w:val="28"/>
          <w:u w:color="000000"/>
          <w:bdr w:val="nil"/>
          <w:lang w:val="en-US"/>
        </w:rPr>
        <w:t>The principle of transparency</w:t>
      </w:r>
      <w:r w:rsidRPr="00B54F41">
        <w:rPr>
          <w:rFonts w:ascii="Garamond" w:eastAsia="Arial Unicode MS" w:hAnsi="Garamond" w:cs="Arial Unicode MS"/>
          <w:szCs w:val="28"/>
          <w:u w:color="000000"/>
          <w:bdr w:val="nil"/>
          <w:lang w:val="en-US"/>
        </w:rPr>
        <w:t xml:space="preserve"> must be respected at every stage of the budgetary cycle, from its establishment and implementation to the presentation of accounts (the budget, the financial statements and the financial management reports are all published in the Official Journal of the European Union</w:t>
      </w:r>
      <w:r w:rsidR="002356AB">
        <w:rPr>
          <w:rFonts w:ascii="Garamond" w:eastAsia="Arial Unicode MS" w:hAnsi="Garamond" w:cs="Arial Unicode MS"/>
          <w:szCs w:val="28"/>
          <w:u w:color="000000"/>
          <w:bdr w:val="nil"/>
          <w:lang w:val="en-US"/>
        </w:rPr>
        <w:t>)</w:t>
      </w:r>
      <w:r w:rsidRPr="00B54F41">
        <w:rPr>
          <w:rFonts w:ascii="Garamond" w:eastAsia="Arial Unicode MS" w:hAnsi="Garamond" w:cs="Arial Unicode MS"/>
          <w:szCs w:val="28"/>
          <w:u w:color="000000"/>
          <w:bdr w:val="nil"/>
          <w:lang w:val="en-US"/>
        </w:rPr>
        <w:t>.</w:t>
      </w:r>
    </w:p>
    <w:p w14:paraId="44DCC12B" w14:textId="77777777" w:rsidR="00FB375D" w:rsidRPr="007E1311" w:rsidRDefault="00FB375D" w:rsidP="00137967">
      <w:pPr>
        <w:pBdr>
          <w:top w:val="nil"/>
          <w:left w:val="nil"/>
          <w:bottom w:val="nil"/>
          <w:right w:val="nil"/>
          <w:between w:val="nil"/>
          <w:bar w:val="nil"/>
        </w:pBdr>
        <w:shd w:val="clear" w:color="auto" w:fill="FFFFFF"/>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 xml:space="preserve">Annual budgets are formed on the basis of the </w:t>
      </w:r>
      <w:r w:rsidRPr="007E1311">
        <w:rPr>
          <w:rFonts w:eastAsia="Arial Unicode MS" w:cs="Arial Unicode MS"/>
          <w:b/>
          <w:bCs/>
          <w:sz w:val="28"/>
          <w:szCs w:val="28"/>
          <w:u w:color="000000"/>
          <w:bdr w:val="nil"/>
          <w:lang w:val="en-US" w:eastAsia="en-US"/>
        </w:rPr>
        <w:t xml:space="preserve">EU Multiannual financial framework </w:t>
      </w:r>
      <w:r w:rsidR="002356AB">
        <w:rPr>
          <w:rFonts w:eastAsia="Arial Unicode MS" w:cs="Arial Unicode MS"/>
          <w:sz w:val="28"/>
          <w:szCs w:val="28"/>
          <w:u w:color="000000"/>
          <w:bdr w:val="nil"/>
          <w:lang w:val="en-US" w:eastAsia="en-US"/>
        </w:rPr>
        <w:t>(Long-term financial plan)</w:t>
      </w:r>
      <w:r w:rsidRPr="007E1311">
        <w:rPr>
          <w:rFonts w:eastAsia="Arial Unicode MS" w:cs="Arial Unicode MS"/>
          <w:sz w:val="28"/>
          <w:szCs w:val="28"/>
          <w:u w:color="000000"/>
          <w:bdr w:val="nil"/>
          <w:lang w:val="en-US" w:eastAsia="en-US"/>
        </w:rPr>
        <w:t xml:space="preserve"> that is approved by the agreement between the European Parliament, the Council</w:t>
      </w:r>
      <w:r w:rsidR="002356AB">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and the European Commission. </w:t>
      </w:r>
      <w:r w:rsidRPr="007E1311">
        <w:rPr>
          <w:rFonts w:eastAsia="Arial Unicode MS" w:cs="Arial Unicode MS"/>
          <w:b/>
          <w:bCs/>
          <w:sz w:val="28"/>
          <w:szCs w:val="28"/>
          <w:u w:color="000000"/>
          <w:bdr w:val="nil"/>
          <w:lang w:val="en-US" w:eastAsia="en-US"/>
        </w:rPr>
        <w:t>The multiannual financial framework</w:t>
      </w:r>
      <w:r w:rsidRPr="007E1311">
        <w:rPr>
          <w:rFonts w:eastAsia="Arial Unicode MS" w:cs="Arial Unicode MS"/>
          <w:sz w:val="28"/>
          <w:szCs w:val="28"/>
          <w:u w:color="000000"/>
          <w:bdr w:val="nil"/>
          <w:lang w:val="en-US" w:eastAsia="en-US"/>
        </w:rPr>
        <w:t xml:space="preserve"> is adopted once for 7 years and includes the annual and total volume of appropriations from the budget for priorities and expenditure items. This mechanism ensures effective planning and financial forecasting the development of the EU, compliance with budgetary discipline</w:t>
      </w:r>
      <w:r w:rsidR="002356AB">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and balance expenditures and revenues. </w:t>
      </w:r>
    </w:p>
    <w:p w14:paraId="63EB74E5" w14:textId="77777777" w:rsidR="00FB375D" w:rsidRPr="007E1311" w:rsidRDefault="00FB375D" w:rsidP="00137967">
      <w:pPr>
        <w:pBdr>
          <w:top w:val="nil"/>
          <w:left w:val="nil"/>
          <w:bottom w:val="nil"/>
          <w:right w:val="nil"/>
          <w:between w:val="nil"/>
          <w:bar w:val="nil"/>
        </w:pBdr>
        <w:shd w:val="clear" w:color="auto" w:fill="FFFFFF"/>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The European Union has its “own resources” to finance its expenditure.  Legally, these resources belong to the Union. Member states collect them on behalf of the EU and transfer them to the EU budget. Own resources are of three kinds:</w:t>
      </w:r>
    </w:p>
    <w:p w14:paraId="5AF07312" w14:textId="77777777" w:rsidR="00FB375D" w:rsidRPr="007A5D10" w:rsidRDefault="00FB375D" w:rsidP="00137967">
      <w:pPr>
        <w:pStyle w:val="ListParagraph"/>
        <w:numPr>
          <w:ilvl w:val="0"/>
          <w:numId w:val="234"/>
        </w:numPr>
        <w:pBdr>
          <w:top w:val="nil"/>
          <w:left w:val="nil"/>
          <w:bottom w:val="nil"/>
          <w:right w:val="nil"/>
          <w:between w:val="nil"/>
          <w:bar w:val="nil"/>
        </w:pBdr>
        <w:shd w:val="clear" w:color="auto" w:fill="FFFFFF"/>
        <w:tabs>
          <w:tab w:val="num" w:pos="1134"/>
        </w:tabs>
        <w:spacing w:after="0" w:line="312" w:lineRule="auto"/>
        <w:ind w:left="1134" w:hanging="425"/>
        <w:jc w:val="both"/>
        <w:rPr>
          <w:rFonts w:ascii="Garamond" w:eastAsia="Garamond" w:hAnsi="Garamond" w:cs="Garamond"/>
          <w:szCs w:val="28"/>
          <w:u w:color="000000"/>
          <w:bdr w:val="nil"/>
          <w:lang w:val="en-US"/>
        </w:rPr>
      </w:pPr>
      <w:r w:rsidRPr="007A5D10">
        <w:rPr>
          <w:rFonts w:ascii="Garamond" w:eastAsia="Arial Unicode MS" w:hAnsi="Garamond" w:cs="Arial Unicode MS"/>
          <w:b/>
          <w:bCs/>
          <w:szCs w:val="28"/>
          <w:u w:color="000000"/>
          <w:bdr w:val="nil"/>
          <w:lang w:val="en-US"/>
        </w:rPr>
        <w:t>Traditional own resources</w:t>
      </w:r>
      <w:r w:rsidRPr="007A5D10">
        <w:rPr>
          <w:rFonts w:ascii="Garamond" w:eastAsia="Arial Unicode MS" w:hAnsi="Garamond" w:cs="Arial Unicode MS"/>
          <w:szCs w:val="28"/>
          <w:u w:color="000000"/>
          <w:bdr w:val="nil"/>
          <w:lang w:val="en-US"/>
        </w:rPr>
        <w:t xml:space="preserve"> (TOR) – these mainly consist of duties.</w:t>
      </w:r>
    </w:p>
    <w:p w14:paraId="557B595F" w14:textId="77777777" w:rsidR="00FB375D" w:rsidRPr="007A5D10" w:rsidRDefault="00FB375D" w:rsidP="00137967">
      <w:pPr>
        <w:pStyle w:val="ListParagraph"/>
        <w:numPr>
          <w:ilvl w:val="0"/>
          <w:numId w:val="235"/>
        </w:numPr>
        <w:pBdr>
          <w:top w:val="nil"/>
          <w:left w:val="nil"/>
          <w:bottom w:val="nil"/>
          <w:right w:val="nil"/>
          <w:between w:val="nil"/>
          <w:bar w:val="nil"/>
        </w:pBdr>
        <w:shd w:val="clear" w:color="auto" w:fill="FFFFFF"/>
        <w:tabs>
          <w:tab w:val="num" w:pos="898"/>
        </w:tabs>
        <w:spacing w:line="312" w:lineRule="auto"/>
        <w:ind w:left="1418" w:hanging="284"/>
        <w:jc w:val="both"/>
        <w:rPr>
          <w:rFonts w:ascii="Garamond" w:eastAsia="Garamond" w:hAnsi="Garamond" w:cs="Garamond"/>
          <w:szCs w:val="28"/>
          <w:u w:color="000000"/>
          <w:bdr w:val="nil"/>
          <w:lang w:val="en-US"/>
        </w:rPr>
      </w:pPr>
      <w:r w:rsidRPr="007A5D10">
        <w:rPr>
          <w:rFonts w:ascii="Garamond" w:eastAsia="Arial Unicode MS" w:hAnsi="Garamond" w:cs="Arial Unicode MS"/>
          <w:szCs w:val="28"/>
          <w:u w:color="000000"/>
          <w:bdr w:val="nil"/>
          <w:lang w:val="en-US"/>
        </w:rPr>
        <w:lastRenderedPageBreak/>
        <w:t>Customs duties that are gained according to the common customs tariff on import of goods into the customs territory of the EU. These duties are used for non-member states</w:t>
      </w:r>
      <w:r w:rsidR="007A5D10" w:rsidRPr="007A5D10">
        <w:rPr>
          <w:rFonts w:ascii="Garamond" w:eastAsia="Arial Unicode MS" w:hAnsi="Garamond" w:cs="Arial Unicode MS"/>
          <w:szCs w:val="28"/>
          <w:u w:color="000000"/>
          <w:bdr w:val="nil"/>
          <w:lang w:val="en-US"/>
        </w:rPr>
        <w:t>.</w:t>
      </w:r>
    </w:p>
    <w:p w14:paraId="78207790" w14:textId="77777777" w:rsidR="00FB375D" w:rsidRPr="007A5D10" w:rsidRDefault="00FB375D" w:rsidP="00137967">
      <w:pPr>
        <w:pStyle w:val="ListParagraph"/>
        <w:numPr>
          <w:ilvl w:val="0"/>
          <w:numId w:val="235"/>
        </w:numPr>
        <w:pBdr>
          <w:top w:val="nil"/>
          <w:left w:val="nil"/>
          <w:bottom w:val="nil"/>
          <w:right w:val="nil"/>
          <w:between w:val="nil"/>
          <w:bar w:val="nil"/>
        </w:pBdr>
        <w:shd w:val="clear" w:color="auto" w:fill="FFFFFF"/>
        <w:tabs>
          <w:tab w:val="num" w:pos="898"/>
        </w:tabs>
        <w:spacing w:line="312" w:lineRule="auto"/>
        <w:ind w:left="1418" w:hanging="284"/>
        <w:jc w:val="both"/>
        <w:rPr>
          <w:rFonts w:ascii="Garamond" w:eastAsia="Garamond" w:hAnsi="Garamond" w:cs="Garamond"/>
          <w:szCs w:val="28"/>
          <w:u w:color="000000"/>
          <w:bdr w:val="nil"/>
          <w:lang w:val="en-US"/>
        </w:rPr>
      </w:pPr>
      <w:r w:rsidRPr="007A5D10">
        <w:rPr>
          <w:rFonts w:ascii="Garamond" w:eastAsia="Arial Unicode MS" w:hAnsi="Garamond" w:cs="Arial Unicode MS"/>
          <w:szCs w:val="28"/>
          <w:u w:color="000000"/>
          <w:bdr w:val="nil"/>
          <w:lang w:val="en-US"/>
        </w:rPr>
        <w:t xml:space="preserve">Agricultural duties are paid from agricultural products’ </w:t>
      </w:r>
      <w:r w:rsidR="007A5D10" w:rsidRPr="007A5D10">
        <w:rPr>
          <w:rFonts w:ascii="Garamond" w:eastAsia="Arial Unicode MS" w:hAnsi="Garamond" w:cs="Arial Unicode MS"/>
          <w:szCs w:val="28"/>
          <w:u w:color="000000"/>
          <w:bdr w:val="nil"/>
          <w:lang w:val="en-US"/>
        </w:rPr>
        <w:t>import of non-member states.</w:t>
      </w:r>
    </w:p>
    <w:p w14:paraId="1097B84A" w14:textId="77777777" w:rsidR="007A5D10" w:rsidRPr="007A5D10" w:rsidRDefault="00FB375D" w:rsidP="00137967">
      <w:pPr>
        <w:pStyle w:val="ListParagraph"/>
        <w:numPr>
          <w:ilvl w:val="0"/>
          <w:numId w:val="235"/>
        </w:numPr>
        <w:pBdr>
          <w:top w:val="nil"/>
          <w:left w:val="nil"/>
          <w:bottom w:val="nil"/>
          <w:right w:val="nil"/>
          <w:between w:val="nil"/>
          <w:bar w:val="nil"/>
        </w:pBdr>
        <w:shd w:val="clear" w:color="auto" w:fill="FFFFFF"/>
        <w:tabs>
          <w:tab w:val="num" w:pos="898"/>
        </w:tabs>
        <w:spacing w:line="312" w:lineRule="auto"/>
        <w:ind w:left="1418" w:hanging="284"/>
        <w:jc w:val="both"/>
        <w:rPr>
          <w:rFonts w:ascii="Garamond" w:eastAsia="Garamond" w:hAnsi="Garamond" w:cs="Garamond"/>
          <w:szCs w:val="28"/>
          <w:u w:color="000000"/>
          <w:bdr w:val="nil"/>
          <w:lang w:val="en-US"/>
        </w:rPr>
      </w:pPr>
      <w:r w:rsidRPr="007A5D10">
        <w:rPr>
          <w:rFonts w:ascii="Garamond" w:eastAsia="Arial Unicode MS" w:hAnsi="Garamond" w:cs="Arial Unicode MS"/>
          <w:szCs w:val="28"/>
          <w:u w:color="000000"/>
          <w:bdr w:val="nil"/>
          <w:lang w:val="en-US"/>
        </w:rPr>
        <w:t>Sugar levies are paid by member states for the storage of sugar production according to the common policy of the E</w:t>
      </w:r>
      <w:r w:rsidR="007A5D10" w:rsidRPr="007A5D10">
        <w:rPr>
          <w:rFonts w:ascii="Garamond" w:eastAsia="Arial Unicode MS" w:hAnsi="Garamond" w:cs="Arial Unicode MS"/>
          <w:szCs w:val="28"/>
          <w:u w:color="000000"/>
          <w:bdr w:val="nil"/>
          <w:lang w:val="en-US"/>
        </w:rPr>
        <w:t>uropean sugar market regulation.</w:t>
      </w:r>
    </w:p>
    <w:p w14:paraId="2785B4CB" w14:textId="77777777" w:rsidR="00FB375D" w:rsidRPr="007A5D10" w:rsidRDefault="00FB375D" w:rsidP="00137967">
      <w:pPr>
        <w:pStyle w:val="ListParagraph"/>
        <w:numPr>
          <w:ilvl w:val="0"/>
          <w:numId w:val="234"/>
        </w:numPr>
        <w:pBdr>
          <w:top w:val="nil"/>
          <w:left w:val="nil"/>
          <w:bottom w:val="nil"/>
          <w:right w:val="nil"/>
          <w:between w:val="nil"/>
          <w:bar w:val="nil"/>
        </w:pBdr>
        <w:shd w:val="clear" w:color="auto" w:fill="FFFFFF"/>
        <w:tabs>
          <w:tab w:val="num" w:pos="1134"/>
        </w:tabs>
        <w:spacing w:after="0" w:line="312" w:lineRule="auto"/>
        <w:ind w:left="1134" w:hanging="425"/>
        <w:jc w:val="both"/>
        <w:rPr>
          <w:rFonts w:ascii="Garamond" w:eastAsia="Arial Unicode MS" w:hAnsi="Garamond" w:cs="Arial Unicode MS"/>
          <w:bCs/>
          <w:szCs w:val="28"/>
          <w:u w:color="000000"/>
          <w:bdr w:val="nil"/>
          <w:lang w:val="en-US"/>
        </w:rPr>
      </w:pPr>
      <w:r w:rsidRPr="007A5D10">
        <w:rPr>
          <w:rFonts w:ascii="Garamond" w:eastAsia="Arial Unicode MS" w:hAnsi="Garamond" w:cs="Arial Unicode MS"/>
          <w:b/>
          <w:bCs/>
          <w:szCs w:val="28"/>
          <w:u w:color="000000"/>
          <w:bdr w:val="nil"/>
          <w:lang w:val="en-US"/>
        </w:rPr>
        <w:t>The</w:t>
      </w:r>
      <w:r w:rsidRPr="007A5D10">
        <w:rPr>
          <w:rFonts w:ascii="Garamond" w:eastAsia="Arial Unicode MS" w:hAnsi="Garamond" w:cs="Arial Unicode MS"/>
          <w:b/>
          <w:bCs/>
          <w:szCs w:val="28"/>
          <w:u w:color="000000"/>
          <w:bdr w:val="nil"/>
          <w:lang w:val="en-US"/>
        </w:rPr>
        <w:tab/>
        <w:t>resource</w:t>
      </w:r>
      <w:r w:rsidRPr="007A5D10">
        <w:rPr>
          <w:rFonts w:ascii="Garamond" w:eastAsia="Arial Unicode MS" w:hAnsi="Garamond" w:cs="Arial Unicode MS"/>
          <w:b/>
          <w:bCs/>
          <w:szCs w:val="28"/>
          <w:u w:color="000000"/>
          <w:bdr w:val="nil"/>
          <w:lang w:val="en-US"/>
        </w:rPr>
        <w:tab/>
        <w:t>based</w:t>
      </w:r>
      <w:r w:rsidRPr="007A5D10">
        <w:rPr>
          <w:rFonts w:ascii="Garamond" w:eastAsia="Arial Unicode MS" w:hAnsi="Garamond" w:cs="Arial Unicode MS"/>
          <w:b/>
          <w:bCs/>
          <w:szCs w:val="28"/>
          <w:u w:color="000000"/>
          <w:bdr w:val="nil"/>
          <w:lang w:val="en-US"/>
        </w:rPr>
        <w:tab/>
        <w:t>on</w:t>
      </w:r>
      <w:r w:rsidRPr="007A5D10">
        <w:rPr>
          <w:rFonts w:ascii="Garamond" w:eastAsia="Arial Unicode MS" w:hAnsi="Garamond" w:cs="Arial Unicode MS"/>
          <w:b/>
          <w:bCs/>
          <w:szCs w:val="28"/>
          <w:u w:color="000000"/>
          <w:bdr w:val="nil"/>
          <w:lang w:val="en-US"/>
        </w:rPr>
        <w:tab/>
        <w:t xml:space="preserve">value added tax (VAT). </w:t>
      </w:r>
      <w:r w:rsidRPr="007A5D10">
        <w:rPr>
          <w:rFonts w:ascii="Garamond" w:eastAsia="Arial Unicode MS" w:hAnsi="Garamond" w:cs="Arial Unicode MS"/>
          <w:bCs/>
          <w:szCs w:val="28"/>
          <w:u w:color="000000"/>
          <w:bdr w:val="nil"/>
          <w:lang w:val="en-US"/>
        </w:rPr>
        <w:t>It is a uniform percentage rate that is applied to each member state VAT revenue. The tax base is calculated by the uniform and standardized method, according to which “VAT own resource” is paid at a flat rate of 0</w:t>
      </w:r>
      <w:r w:rsidR="002356AB">
        <w:rPr>
          <w:rFonts w:ascii="Garamond" w:eastAsia="Arial Unicode MS" w:hAnsi="Garamond" w:cs="Arial Unicode MS"/>
          <w:bCs/>
          <w:szCs w:val="28"/>
          <w:u w:color="000000"/>
          <w:bdr w:val="nil"/>
          <w:lang w:val="en-US"/>
        </w:rPr>
        <w:t>.</w:t>
      </w:r>
      <w:r w:rsidRPr="007A5D10">
        <w:rPr>
          <w:rFonts w:ascii="Garamond" w:eastAsia="Arial Unicode MS" w:hAnsi="Garamond" w:cs="Arial Unicode MS"/>
          <w:bCs/>
          <w:szCs w:val="28"/>
          <w:u w:color="000000"/>
          <w:bdr w:val="nil"/>
          <w:lang w:val="en-US"/>
        </w:rPr>
        <w:t>3</w:t>
      </w:r>
      <w:r w:rsidR="002356AB">
        <w:rPr>
          <w:rFonts w:ascii="Garamond" w:eastAsia="Arial Unicode MS" w:hAnsi="Garamond" w:cs="Arial Unicode MS"/>
          <w:bCs/>
          <w:szCs w:val="28"/>
          <w:u w:color="000000"/>
          <w:bdr w:val="nil"/>
          <w:lang w:val="en-US"/>
        </w:rPr>
        <w:t xml:space="preserve"> </w:t>
      </w:r>
      <w:r w:rsidRPr="007A5D10">
        <w:rPr>
          <w:rFonts w:ascii="Garamond" w:eastAsia="Arial Unicode MS" w:hAnsi="Garamond" w:cs="Arial Unicode MS"/>
          <w:bCs/>
          <w:szCs w:val="28"/>
          <w:u w:color="000000"/>
          <w:bdr w:val="nil"/>
          <w:lang w:val="en-US"/>
        </w:rPr>
        <w:t>% of the VAT tax base of each EU state.</w:t>
      </w:r>
    </w:p>
    <w:p w14:paraId="4F759547" w14:textId="77777777" w:rsidR="00FB375D" w:rsidRPr="007A5D10" w:rsidRDefault="00FB375D" w:rsidP="00137967">
      <w:pPr>
        <w:pStyle w:val="ListParagraph"/>
        <w:numPr>
          <w:ilvl w:val="0"/>
          <w:numId w:val="234"/>
        </w:numPr>
        <w:pBdr>
          <w:top w:val="nil"/>
          <w:left w:val="nil"/>
          <w:bottom w:val="nil"/>
          <w:right w:val="nil"/>
          <w:between w:val="nil"/>
          <w:bar w:val="nil"/>
        </w:pBdr>
        <w:shd w:val="clear" w:color="auto" w:fill="FFFFFF"/>
        <w:tabs>
          <w:tab w:val="num" w:pos="1134"/>
        </w:tabs>
        <w:spacing w:after="0" w:line="312" w:lineRule="auto"/>
        <w:ind w:left="1134" w:hanging="425"/>
        <w:jc w:val="both"/>
        <w:rPr>
          <w:rFonts w:ascii="Garamond" w:eastAsia="Arial Unicode MS" w:hAnsi="Garamond" w:cs="Arial Unicode MS"/>
          <w:bCs/>
          <w:szCs w:val="28"/>
          <w:u w:color="000000"/>
          <w:bdr w:val="nil"/>
          <w:lang w:val="en-US"/>
        </w:rPr>
      </w:pPr>
      <w:r w:rsidRPr="007E1311">
        <w:rPr>
          <w:rFonts w:ascii="Garamond" w:eastAsia="Arial Unicode MS" w:hAnsi="Garamond" w:cs="Arial Unicode MS"/>
          <w:b/>
          <w:bCs/>
          <w:szCs w:val="28"/>
          <w:u w:color="000000"/>
          <w:bdr w:val="nil"/>
          <w:lang w:val="en-US"/>
        </w:rPr>
        <w:t>The</w:t>
      </w:r>
      <w:r w:rsidRPr="007E1311">
        <w:rPr>
          <w:rFonts w:ascii="Garamond" w:eastAsia="Arial Unicode MS" w:hAnsi="Garamond" w:cs="Arial Unicode MS"/>
          <w:b/>
          <w:bCs/>
          <w:szCs w:val="28"/>
          <w:u w:color="000000"/>
          <w:bdr w:val="nil"/>
          <w:lang w:val="en-US"/>
        </w:rPr>
        <w:tab/>
        <w:t>resource</w:t>
      </w:r>
      <w:r w:rsidRPr="007E1311">
        <w:rPr>
          <w:rFonts w:ascii="Garamond" w:eastAsia="Arial Unicode MS" w:hAnsi="Garamond" w:cs="Arial Unicode MS"/>
          <w:b/>
          <w:bCs/>
          <w:szCs w:val="28"/>
          <w:u w:color="000000"/>
          <w:bdr w:val="nil"/>
          <w:lang w:val="en-US"/>
        </w:rPr>
        <w:tab/>
        <w:t>based</w:t>
      </w:r>
      <w:r w:rsidRPr="007E1311">
        <w:rPr>
          <w:rFonts w:ascii="Garamond" w:eastAsia="Arial Unicode MS" w:hAnsi="Garamond" w:cs="Arial Unicode MS"/>
          <w:b/>
          <w:bCs/>
          <w:szCs w:val="28"/>
          <w:u w:color="000000"/>
          <w:bdr w:val="nil"/>
          <w:lang w:val="en-US"/>
        </w:rPr>
        <w:tab/>
        <w:t>on gross national income</w:t>
      </w:r>
      <w:r w:rsidRPr="007A5D10">
        <w:rPr>
          <w:rFonts w:ascii="Garamond" w:eastAsia="Arial Unicode MS" w:hAnsi="Garamond" w:cs="Arial Unicode MS"/>
          <w:b/>
          <w:bCs/>
          <w:szCs w:val="28"/>
          <w:u w:color="000000"/>
          <w:bdr w:val="nil"/>
          <w:lang w:val="en-US"/>
        </w:rPr>
        <w:t xml:space="preserve"> (GNI). </w:t>
      </w:r>
      <w:r w:rsidRPr="007A5D10">
        <w:rPr>
          <w:rFonts w:ascii="Garamond" w:eastAsia="Arial Unicode MS" w:hAnsi="Garamond" w:cs="Arial Unicode MS"/>
          <w:bCs/>
          <w:szCs w:val="28"/>
          <w:u w:color="000000"/>
          <w:bdr w:val="nil"/>
          <w:lang w:val="en-US"/>
        </w:rPr>
        <w:t xml:space="preserve">It is formed of volume of GNI </w:t>
      </w:r>
      <w:r w:rsidR="002356AB" w:rsidRPr="007A5D10">
        <w:rPr>
          <w:rFonts w:ascii="Garamond" w:eastAsia="Arial Unicode MS" w:hAnsi="Garamond" w:cs="Arial Unicode MS"/>
          <w:bCs/>
          <w:szCs w:val="28"/>
          <w:u w:color="000000"/>
          <w:bdr w:val="nil"/>
          <w:lang w:val="en-US"/>
        </w:rPr>
        <w:t xml:space="preserve">contributions from each state of the EU </w:t>
      </w:r>
      <w:r w:rsidRPr="007A5D10">
        <w:rPr>
          <w:rFonts w:ascii="Garamond" w:eastAsia="Arial Unicode MS" w:hAnsi="Garamond" w:cs="Arial Unicode MS"/>
          <w:bCs/>
          <w:szCs w:val="28"/>
          <w:u w:color="000000"/>
          <w:bdr w:val="nil"/>
          <w:lang w:val="en-US"/>
        </w:rPr>
        <w:t>according to the uniform interest rate, which is reviewed annually and is calculated using the same methodology. The “GNI own resources” is the main source of the budget balancing, because according to the budgetary procedure for the planned year</w:t>
      </w:r>
      <w:r w:rsidR="002356AB">
        <w:rPr>
          <w:rFonts w:ascii="Garamond" w:eastAsia="Arial Unicode MS" w:hAnsi="Garamond" w:cs="Arial Unicode MS"/>
          <w:bCs/>
          <w:szCs w:val="28"/>
          <w:u w:color="000000"/>
          <w:bdr w:val="nil"/>
          <w:lang w:val="en-US"/>
        </w:rPr>
        <w:t>,</w:t>
      </w:r>
      <w:r w:rsidRPr="007A5D10">
        <w:rPr>
          <w:rFonts w:ascii="Garamond" w:eastAsia="Arial Unicode MS" w:hAnsi="Garamond" w:cs="Arial Unicode MS"/>
          <w:bCs/>
          <w:szCs w:val="28"/>
          <w:u w:color="000000"/>
          <w:bdr w:val="nil"/>
          <w:lang w:val="en-US"/>
        </w:rPr>
        <w:t xml:space="preserve"> firstly</w:t>
      </w:r>
      <w:r w:rsidR="002356AB">
        <w:rPr>
          <w:rFonts w:ascii="Garamond" w:eastAsia="Arial Unicode MS" w:hAnsi="Garamond" w:cs="Arial Unicode MS"/>
          <w:bCs/>
          <w:szCs w:val="28"/>
          <w:u w:color="000000"/>
          <w:bdr w:val="nil"/>
          <w:lang w:val="en-US"/>
        </w:rPr>
        <w:t>,</w:t>
      </w:r>
      <w:r w:rsidRPr="007A5D10">
        <w:rPr>
          <w:rFonts w:ascii="Garamond" w:eastAsia="Arial Unicode MS" w:hAnsi="Garamond" w:cs="Arial Unicode MS"/>
          <w:bCs/>
          <w:szCs w:val="28"/>
          <w:u w:color="000000"/>
          <w:bdr w:val="nil"/>
          <w:lang w:val="en-US"/>
        </w:rPr>
        <w:t xml:space="preserve"> determined </w:t>
      </w:r>
      <w:r w:rsidR="002356AB" w:rsidRPr="007A5D10">
        <w:rPr>
          <w:rFonts w:ascii="Garamond" w:eastAsia="Arial Unicode MS" w:hAnsi="Garamond" w:cs="Arial Unicode MS"/>
          <w:bCs/>
          <w:szCs w:val="28"/>
          <w:u w:color="000000"/>
          <w:bdr w:val="nil"/>
          <w:lang w:val="en-US"/>
        </w:rPr>
        <w:t xml:space="preserve">is </w:t>
      </w:r>
      <w:r w:rsidRPr="007A5D10">
        <w:rPr>
          <w:rFonts w:ascii="Garamond" w:eastAsia="Arial Unicode MS" w:hAnsi="Garamond" w:cs="Arial Unicode MS"/>
          <w:bCs/>
          <w:szCs w:val="28"/>
          <w:u w:color="000000"/>
          <w:bdr w:val="nil"/>
          <w:lang w:val="en-US"/>
        </w:rPr>
        <w:t>the volume of expenditures, and then</w:t>
      </w:r>
      <w:r w:rsidR="002356AB">
        <w:rPr>
          <w:rFonts w:ascii="Garamond" w:eastAsia="Arial Unicode MS" w:hAnsi="Garamond" w:cs="Arial Unicode MS"/>
          <w:bCs/>
          <w:szCs w:val="28"/>
          <w:u w:color="000000"/>
          <w:bdr w:val="nil"/>
          <w:lang w:val="en-US"/>
        </w:rPr>
        <w:t>,</w:t>
      </w:r>
      <w:r w:rsidRPr="007A5D10">
        <w:rPr>
          <w:rFonts w:ascii="Garamond" w:eastAsia="Arial Unicode MS" w:hAnsi="Garamond" w:cs="Arial Unicode MS"/>
          <w:bCs/>
          <w:szCs w:val="28"/>
          <w:u w:color="000000"/>
          <w:bdr w:val="nil"/>
          <w:lang w:val="en-US"/>
        </w:rPr>
        <w:t xml:space="preserve"> calculated </w:t>
      </w:r>
      <w:r w:rsidR="002356AB" w:rsidRPr="007A5D10">
        <w:rPr>
          <w:rFonts w:ascii="Garamond" w:eastAsia="Arial Unicode MS" w:hAnsi="Garamond" w:cs="Arial Unicode MS"/>
          <w:bCs/>
          <w:szCs w:val="28"/>
          <w:u w:color="000000"/>
          <w:bdr w:val="nil"/>
          <w:lang w:val="en-US"/>
        </w:rPr>
        <w:t xml:space="preserve">is </w:t>
      </w:r>
      <w:r w:rsidRPr="007A5D10">
        <w:rPr>
          <w:rFonts w:ascii="Garamond" w:eastAsia="Arial Unicode MS" w:hAnsi="Garamond" w:cs="Arial Unicode MS"/>
          <w:bCs/>
          <w:szCs w:val="28"/>
          <w:u w:color="000000"/>
          <w:bdr w:val="nil"/>
          <w:lang w:val="en-US"/>
        </w:rPr>
        <w:t>the amount of revenue needed to finance them. It is a balancing item. However, the total amount of own resources</w:t>
      </w:r>
      <w:r w:rsidR="00EC27BC">
        <w:rPr>
          <w:rFonts w:ascii="Garamond" w:eastAsia="Arial Unicode MS" w:hAnsi="Garamond" w:cs="Arial Unicode MS"/>
          <w:bCs/>
          <w:szCs w:val="28"/>
          <w:u w:color="000000"/>
          <w:bdr w:val="nil"/>
          <w:lang w:val="en-US"/>
        </w:rPr>
        <w:t>,</w:t>
      </w:r>
      <w:r w:rsidRPr="007A5D10">
        <w:rPr>
          <w:rFonts w:ascii="Garamond" w:eastAsia="Arial Unicode MS" w:hAnsi="Garamond" w:cs="Arial Unicode MS"/>
          <w:bCs/>
          <w:szCs w:val="28"/>
          <w:u w:color="000000"/>
          <w:bdr w:val="nil"/>
          <w:lang w:val="en-US"/>
        </w:rPr>
        <w:t xml:space="preserve"> which are used to cover annual appropriations</w:t>
      </w:r>
      <w:r w:rsidR="00EC27BC">
        <w:rPr>
          <w:rFonts w:ascii="Garamond" w:eastAsia="Arial Unicode MS" w:hAnsi="Garamond" w:cs="Arial Unicode MS"/>
          <w:bCs/>
          <w:szCs w:val="28"/>
          <w:u w:color="000000"/>
          <w:bdr w:val="nil"/>
          <w:lang w:val="en-US"/>
        </w:rPr>
        <w:t>,</w:t>
      </w:r>
      <w:r w:rsidRPr="007A5D10">
        <w:rPr>
          <w:rFonts w:ascii="Garamond" w:eastAsia="Arial Unicode MS" w:hAnsi="Garamond" w:cs="Arial Unicode MS"/>
          <w:bCs/>
          <w:szCs w:val="28"/>
          <w:u w:color="000000"/>
          <w:bdr w:val="nil"/>
          <w:lang w:val="en-US"/>
        </w:rPr>
        <w:t xml:space="preserve"> can’t exceed 1.24</w:t>
      </w:r>
      <w:r w:rsidR="002356AB">
        <w:rPr>
          <w:rFonts w:ascii="Garamond" w:eastAsia="Arial Unicode MS" w:hAnsi="Garamond" w:cs="Arial Unicode MS"/>
          <w:bCs/>
          <w:szCs w:val="28"/>
          <w:u w:color="000000"/>
          <w:bdr w:val="nil"/>
          <w:lang w:val="en-US"/>
        </w:rPr>
        <w:t xml:space="preserve"> </w:t>
      </w:r>
      <w:r w:rsidRPr="007A5D10">
        <w:rPr>
          <w:rFonts w:ascii="Garamond" w:eastAsia="Arial Unicode MS" w:hAnsi="Garamond" w:cs="Arial Unicode MS"/>
          <w:bCs/>
          <w:szCs w:val="28"/>
          <w:u w:color="000000"/>
          <w:bdr w:val="nil"/>
          <w:lang w:val="en-US"/>
        </w:rPr>
        <w:t xml:space="preserve">% of the GNI of all of </w:t>
      </w:r>
      <w:r w:rsidR="00EC27BC">
        <w:rPr>
          <w:rFonts w:ascii="Garamond" w:eastAsia="Arial Unicode MS" w:hAnsi="Garamond" w:cs="Arial Unicode MS"/>
          <w:bCs/>
          <w:szCs w:val="28"/>
          <w:u w:color="000000"/>
          <w:bdr w:val="nil"/>
          <w:lang w:val="en-US"/>
        </w:rPr>
        <w:t xml:space="preserve">the </w:t>
      </w:r>
      <w:r w:rsidRPr="007A5D10">
        <w:rPr>
          <w:rFonts w:ascii="Garamond" w:eastAsia="Arial Unicode MS" w:hAnsi="Garamond" w:cs="Arial Unicode MS"/>
          <w:bCs/>
          <w:szCs w:val="28"/>
          <w:u w:color="000000"/>
          <w:bdr w:val="nil"/>
          <w:lang w:val="en-US"/>
        </w:rPr>
        <w:t xml:space="preserve">EU member states. </w:t>
      </w:r>
    </w:p>
    <w:p w14:paraId="6CECB435" w14:textId="77777777" w:rsidR="00FB375D" w:rsidRPr="007E1311" w:rsidRDefault="00FB375D" w:rsidP="00137967">
      <w:pPr>
        <w:pBdr>
          <w:top w:val="nil"/>
          <w:left w:val="nil"/>
          <w:bottom w:val="nil"/>
          <w:right w:val="nil"/>
          <w:between w:val="nil"/>
          <w:bar w:val="nil"/>
        </w:pBdr>
        <w:shd w:val="clear" w:color="auto" w:fill="FFFFFF"/>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The  budget  also  receives  other  revenue,  such  as  taxes paid  by the EU  staff  on  their  salaries,  contributions from non-EU countries to certain EU programs</w:t>
      </w:r>
      <w:r w:rsidR="002C78DC">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and fines on  companies  that  breach  competition. These miscellaneous resources add up to around 1 % of the budget.</w:t>
      </w:r>
    </w:p>
    <w:p w14:paraId="4FCA5947" w14:textId="77777777" w:rsidR="00FB375D" w:rsidRPr="005479DD" w:rsidRDefault="00FB375D" w:rsidP="00137967">
      <w:pPr>
        <w:pBdr>
          <w:top w:val="nil"/>
          <w:left w:val="nil"/>
          <w:bottom w:val="nil"/>
          <w:right w:val="nil"/>
          <w:between w:val="nil"/>
          <w:bar w:val="nil"/>
        </w:pBdr>
        <w:spacing w:line="312" w:lineRule="auto"/>
        <w:ind w:firstLine="709"/>
        <w:jc w:val="both"/>
        <w:rPr>
          <w:rFonts w:eastAsia="Arial Unicode MS" w:cs="Arial Unicode MS"/>
          <w:color w:val="151515"/>
          <w:sz w:val="28"/>
          <w:szCs w:val="28"/>
          <w:u w:color="151515"/>
          <w:bdr w:val="nil"/>
          <w:shd w:val="clear" w:color="auto" w:fill="FFFFFF"/>
          <w:lang w:val="en-US" w:eastAsia="en-US"/>
        </w:rPr>
      </w:pPr>
      <w:r w:rsidRPr="007E1311">
        <w:rPr>
          <w:rFonts w:eastAsia="Garamond" w:cs="Garamond"/>
          <w:sz w:val="28"/>
          <w:szCs w:val="28"/>
          <w:u w:color="000000"/>
          <w:bdr w:val="nil"/>
          <w:lang w:val="en-US"/>
        </w:rPr>
        <w:tab/>
        <w:t xml:space="preserve">The EU budget expenditures are formed according to the priorities of European </w:t>
      </w:r>
      <w:r w:rsidRPr="005479DD">
        <w:rPr>
          <w:rFonts w:eastAsia="Arial Unicode MS" w:cs="Arial Unicode MS"/>
          <w:color w:val="151515"/>
          <w:sz w:val="28"/>
          <w:szCs w:val="28"/>
          <w:u w:color="151515"/>
          <w:bdr w:val="nil"/>
          <w:shd w:val="clear" w:color="auto" w:fill="FFFFFF"/>
          <w:lang w:val="en-US" w:eastAsia="en-US"/>
        </w:rPr>
        <w:t>Community development</w:t>
      </w:r>
      <w:r w:rsidRPr="007E1311">
        <w:rPr>
          <w:rFonts w:eastAsia="Arial Unicode MS" w:cs="Arial Unicode MS"/>
          <w:color w:val="151515"/>
          <w:sz w:val="28"/>
          <w:szCs w:val="28"/>
          <w:u w:color="151515"/>
          <w:bdr w:val="nil"/>
          <w:shd w:val="clear" w:color="auto" w:fill="FFFFFF"/>
          <w:lang w:val="en-US" w:eastAsia="en-US"/>
        </w:rPr>
        <w:t>:</w:t>
      </w:r>
    </w:p>
    <w:p w14:paraId="20CFD495" w14:textId="77777777" w:rsidR="00FB375D" w:rsidRPr="005479DD" w:rsidRDefault="00FB375D" w:rsidP="00137967">
      <w:pPr>
        <w:pStyle w:val="ListParagraph"/>
        <w:numPr>
          <w:ilvl w:val="0"/>
          <w:numId w:val="236"/>
        </w:numPr>
        <w:pBdr>
          <w:top w:val="nil"/>
          <w:left w:val="nil"/>
          <w:bottom w:val="nil"/>
          <w:right w:val="nil"/>
          <w:between w:val="nil"/>
          <w:bar w:val="nil"/>
        </w:pBdr>
        <w:spacing w:after="0" w:line="312" w:lineRule="auto"/>
        <w:ind w:left="1134" w:hanging="425"/>
        <w:jc w:val="both"/>
        <w:rPr>
          <w:rFonts w:ascii="Garamond" w:eastAsia="Arial Unicode MS" w:hAnsi="Garamond" w:cs="Arial Unicode MS"/>
          <w:color w:val="151515"/>
          <w:szCs w:val="28"/>
          <w:u w:color="151515"/>
          <w:bdr w:val="nil"/>
          <w:shd w:val="clear" w:color="auto" w:fill="FFFFFF"/>
          <w:lang w:val="en-US"/>
        </w:rPr>
      </w:pPr>
      <w:r w:rsidRPr="005479DD">
        <w:rPr>
          <w:rFonts w:ascii="Garamond" w:eastAsia="Arial Unicode MS" w:hAnsi="Garamond" w:cs="Arial Unicode MS"/>
          <w:color w:val="151515"/>
          <w:szCs w:val="28"/>
          <w:u w:color="151515"/>
          <w:bdr w:val="nil"/>
          <w:shd w:val="clear" w:color="auto" w:fill="FFFFFF"/>
          <w:lang w:val="en-US"/>
        </w:rPr>
        <w:t>harnessing Eur</w:t>
      </w:r>
      <w:r w:rsidR="002C78DC">
        <w:rPr>
          <w:rFonts w:ascii="Garamond" w:eastAsia="Arial Unicode MS" w:hAnsi="Garamond" w:cs="Arial Unicode MS"/>
          <w:color w:val="151515"/>
          <w:szCs w:val="28"/>
          <w:u w:color="151515"/>
          <w:bdr w:val="nil"/>
          <w:shd w:val="clear" w:color="auto" w:fill="FFFFFF"/>
          <w:lang w:val="en-US"/>
        </w:rPr>
        <w:t>opean economic integration (</w:t>
      </w:r>
      <w:r w:rsidRPr="005479DD">
        <w:rPr>
          <w:rFonts w:ascii="Garamond" w:eastAsia="Arial Unicode MS" w:hAnsi="Garamond" w:cs="Arial Unicode MS"/>
          <w:color w:val="151515"/>
          <w:szCs w:val="28"/>
          <w:u w:color="151515"/>
          <w:bdr w:val="nil"/>
          <w:shd w:val="clear" w:color="auto" w:fill="FFFFFF"/>
          <w:lang w:val="en-US"/>
        </w:rPr>
        <w:t>“single market”) to the broader goal of sustainable growth, by mobilizing economic, social, and environmental policies;</w:t>
      </w:r>
    </w:p>
    <w:p w14:paraId="601B1F29" w14:textId="77777777" w:rsidR="00FB375D" w:rsidRPr="005479DD" w:rsidRDefault="00FB375D" w:rsidP="00137967">
      <w:pPr>
        <w:pStyle w:val="ListParagraph"/>
        <w:numPr>
          <w:ilvl w:val="0"/>
          <w:numId w:val="236"/>
        </w:numPr>
        <w:pBdr>
          <w:top w:val="nil"/>
          <w:left w:val="nil"/>
          <w:bottom w:val="nil"/>
          <w:right w:val="nil"/>
          <w:between w:val="nil"/>
          <w:bar w:val="nil"/>
        </w:pBdr>
        <w:tabs>
          <w:tab w:val="num" w:pos="788"/>
        </w:tabs>
        <w:spacing w:after="0" w:line="312" w:lineRule="auto"/>
        <w:ind w:left="1134" w:hanging="425"/>
        <w:jc w:val="both"/>
        <w:rPr>
          <w:rFonts w:ascii="Garamond" w:eastAsia="Arial Unicode MS" w:hAnsi="Garamond" w:cs="Arial Unicode MS"/>
          <w:color w:val="151515"/>
          <w:szCs w:val="28"/>
          <w:u w:color="151515"/>
          <w:bdr w:val="nil"/>
          <w:shd w:val="clear" w:color="auto" w:fill="FFFFFF"/>
          <w:lang w:val="en-US"/>
        </w:rPr>
      </w:pPr>
      <w:r w:rsidRPr="005479DD">
        <w:rPr>
          <w:rFonts w:ascii="Garamond" w:eastAsia="Arial Unicode MS" w:hAnsi="Garamond" w:cs="Arial Unicode MS"/>
          <w:color w:val="151515"/>
          <w:szCs w:val="28"/>
          <w:u w:color="151515"/>
          <w:bdr w:val="nil"/>
          <w:shd w:val="clear" w:color="auto" w:fill="FFFFFF"/>
          <w:lang w:val="en-US"/>
        </w:rPr>
        <w:t>strengthening the concept of European citizenship by creating an area of freedom, justice, security</w:t>
      </w:r>
      <w:r w:rsidR="002C78DC">
        <w:rPr>
          <w:rFonts w:ascii="Garamond" w:eastAsia="Arial Unicode MS" w:hAnsi="Garamond" w:cs="Arial Unicode MS"/>
          <w:color w:val="151515"/>
          <w:szCs w:val="28"/>
          <w:u w:color="151515"/>
          <w:bdr w:val="nil"/>
          <w:shd w:val="clear" w:color="auto" w:fill="FFFFFF"/>
          <w:lang w:val="en-US"/>
        </w:rPr>
        <w:t>,</w:t>
      </w:r>
      <w:r w:rsidRPr="005479DD">
        <w:rPr>
          <w:rFonts w:ascii="Garamond" w:eastAsia="Arial Unicode MS" w:hAnsi="Garamond" w:cs="Arial Unicode MS"/>
          <w:color w:val="151515"/>
          <w:szCs w:val="28"/>
          <w:u w:color="151515"/>
          <w:bdr w:val="nil"/>
          <w:shd w:val="clear" w:color="auto" w:fill="FFFFFF"/>
          <w:lang w:val="en-US"/>
        </w:rPr>
        <w:t> and access to basic public goods and services;</w:t>
      </w:r>
    </w:p>
    <w:p w14:paraId="0B87493B" w14:textId="77777777" w:rsidR="00FB375D" w:rsidRPr="005479DD" w:rsidRDefault="00FB375D" w:rsidP="00137967">
      <w:pPr>
        <w:pStyle w:val="ListParagraph"/>
        <w:numPr>
          <w:ilvl w:val="0"/>
          <w:numId w:val="236"/>
        </w:numPr>
        <w:pBdr>
          <w:top w:val="nil"/>
          <w:left w:val="nil"/>
          <w:bottom w:val="nil"/>
          <w:right w:val="nil"/>
          <w:between w:val="nil"/>
          <w:bar w:val="nil"/>
        </w:pBdr>
        <w:spacing w:after="0" w:line="312" w:lineRule="auto"/>
        <w:ind w:left="1134" w:hanging="425"/>
        <w:jc w:val="both"/>
        <w:rPr>
          <w:rFonts w:ascii="Garamond" w:eastAsia="Garamond" w:hAnsi="Garamond" w:cs="Garamond"/>
          <w:color w:val="151515"/>
          <w:szCs w:val="28"/>
          <w:u w:color="151515"/>
          <w:bdr w:val="nil"/>
          <w:shd w:val="clear" w:color="auto" w:fill="FFFFFF"/>
          <w:lang w:val="en-US"/>
        </w:rPr>
      </w:pPr>
      <w:r w:rsidRPr="005479DD">
        <w:rPr>
          <w:rFonts w:ascii="Garamond" w:eastAsia="Arial Unicode MS" w:hAnsi="Garamond" w:cs="Arial Unicode MS"/>
          <w:color w:val="151515"/>
          <w:szCs w:val="28"/>
          <w:u w:color="151515"/>
          <w:bdr w:val="nil"/>
          <w:shd w:val="clear" w:color="auto" w:fill="FFFFFF"/>
          <w:lang w:val="en-US"/>
        </w:rPr>
        <w:lastRenderedPageBreak/>
        <w:t>establishing a coherent role for Europe on the global stage – inspired by its core values – in the way it assumes its regional responsibilities, promotes sustainable development</w:t>
      </w:r>
      <w:r w:rsidR="002C78DC">
        <w:rPr>
          <w:rFonts w:ascii="Garamond" w:eastAsia="Arial Unicode MS" w:hAnsi="Garamond" w:cs="Arial Unicode MS"/>
          <w:color w:val="151515"/>
          <w:szCs w:val="28"/>
          <w:u w:color="151515"/>
          <w:bdr w:val="nil"/>
          <w:shd w:val="clear" w:color="auto" w:fill="FFFFFF"/>
          <w:lang w:val="en-US"/>
        </w:rPr>
        <w:t>,</w:t>
      </w:r>
      <w:r w:rsidRPr="005479DD">
        <w:rPr>
          <w:rFonts w:ascii="Garamond" w:eastAsia="Arial Unicode MS" w:hAnsi="Garamond" w:cs="Arial Unicode MS"/>
          <w:color w:val="151515"/>
          <w:szCs w:val="28"/>
          <w:u w:color="151515"/>
          <w:bdr w:val="nil"/>
          <w:shd w:val="clear" w:color="auto" w:fill="FFFFFF"/>
          <w:lang w:val="en-US"/>
        </w:rPr>
        <w:t xml:space="preserve"> and contributes to civilian and strategic security.</w:t>
      </w:r>
    </w:p>
    <w:p w14:paraId="60110E09" w14:textId="77777777" w:rsidR="00FB375D" w:rsidRPr="007E1311" w:rsidRDefault="00FB375D" w:rsidP="00137967">
      <w:pPr>
        <w:pBdr>
          <w:top w:val="nil"/>
          <w:left w:val="nil"/>
          <w:bottom w:val="nil"/>
          <w:right w:val="nil"/>
          <w:between w:val="nil"/>
          <w:bar w:val="nil"/>
        </w:pBdr>
        <w:shd w:val="clear" w:color="auto" w:fill="FFFFFF"/>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t xml:space="preserve">Priorities are gathered in the form of </w:t>
      </w:r>
      <w:r w:rsidRPr="007E1311">
        <w:rPr>
          <w:rFonts w:eastAsia="Arial Unicode MS" w:cs="Arial Unicode MS"/>
          <w:b/>
          <w:bCs/>
          <w:sz w:val="28"/>
          <w:szCs w:val="28"/>
          <w:u w:color="000000"/>
          <w:bdr w:val="nil"/>
          <w:lang w:val="en-US" w:eastAsia="en-US"/>
        </w:rPr>
        <w:t>Headings</w:t>
      </w:r>
      <w:r w:rsidRPr="007E1311">
        <w:rPr>
          <w:rFonts w:eastAsia="Arial Unicode MS" w:cs="Arial Unicode MS"/>
          <w:sz w:val="28"/>
          <w:szCs w:val="28"/>
          <w:u w:color="000000"/>
          <w:bdr w:val="nil"/>
          <w:lang w:val="en-US" w:eastAsia="en-US"/>
        </w:rPr>
        <w:t>. Talking about 2014</w:t>
      </w:r>
      <w:r w:rsidR="002C78DC" w:rsidRPr="005479DD">
        <w:rPr>
          <w:rFonts w:eastAsia="Arial Unicode MS" w:cs="Arial Unicode MS"/>
          <w:color w:val="151515"/>
          <w:szCs w:val="28"/>
          <w:u w:color="151515"/>
          <w:bdr w:val="nil"/>
          <w:shd w:val="clear" w:color="auto" w:fill="FFFFFF"/>
          <w:lang w:val="en-US"/>
        </w:rPr>
        <w:t>–</w:t>
      </w:r>
      <w:r w:rsidRPr="007E1311">
        <w:rPr>
          <w:rFonts w:eastAsia="Arial Unicode MS" w:cs="Arial Unicode MS"/>
          <w:sz w:val="28"/>
          <w:szCs w:val="28"/>
          <w:u w:color="000000"/>
          <w:bdr w:val="nil"/>
          <w:lang w:val="en-US" w:eastAsia="en-US"/>
        </w:rPr>
        <w:t>2020 multiannual financial framework</w:t>
      </w:r>
      <w:r w:rsidR="002C78DC">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the budget expenditures are divided into 6 headings:</w:t>
      </w:r>
    </w:p>
    <w:p w14:paraId="0954528E" w14:textId="77777777" w:rsidR="00FB375D" w:rsidRPr="005479DD" w:rsidRDefault="002C78DC" w:rsidP="00137967">
      <w:pPr>
        <w:numPr>
          <w:ilvl w:val="0"/>
          <w:numId w:val="97"/>
        </w:numPr>
        <w:pBdr>
          <w:top w:val="nil"/>
          <w:left w:val="nil"/>
          <w:bottom w:val="nil"/>
          <w:right w:val="nil"/>
          <w:between w:val="nil"/>
          <w:bar w:val="nil"/>
        </w:pBdr>
        <w:shd w:val="clear" w:color="auto" w:fill="FFFFFF"/>
        <w:tabs>
          <w:tab w:val="clear" w:pos="142"/>
          <w:tab w:val="num" w:pos="0"/>
        </w:tabs>
        <w:spacing w:line="312" w:lineRule="auto"/>
        <w:ind w:left="993" w:hanging="284"/>
        <w:jc w:val="both"/>
        <w:rPr>
          <w:rFonts w:eastAsia="Garamond" w:cs="Garamond"/>
          <w:bCs/>
          <w:sz w:val="28"/>
          <w:szCs w:val="28"/>
          <w:u w:color="000000"/>
          <w:bdr w:val="nil"/>
          <w:lang w:val="en-US"/>
        </w:rPr>
      </w:pPr>
      <w:r>
        <w:rPr>
          <w:rFonts w:eastAsia="Arial Unicode MS" w:cs="Arial Unicode MS"/>
          <w:bCs/>
          <w:sz w:val="28"/>
          <w:szCs w:val="28"/>
          <w:u w:color="000000"/>
          <w:bdr w:val="nil"/>
          <w:lang w:val="en-US"/>
        </w:rPr>
        <w:t>Smart and inclusive growth:</w:t>
      </w:r>
    </w:p>
    <w:p w14:paraId="02EFB88D" w14:textId="77777777" w:rsidR="00FB375D" w:rsidRPr="005479DD" w:rsidRDefault="00FB375D" w:rsidP="00137967">
      <w:pPr>
        <w:pStyle w:val="ListParagraph"/>
        <w:numPr>
          <w:ilvl w:val="0"/>
          <w:numId w:val="237"/>
        </w:numPr>
        <w:pBdr>
          <w:top w:val="nil"/>
          <w:left w:val="nil"/>
          <w:bottom w:val="nil"/>
          <w:right w:val="nil"/>
          <w:between w:val="nil"/>
          <w:bar w:val="nil"/>
        </w:pBdr>
        <w:spacing w:after="0" w:line="312" w:lineRule="auto"/>
        <w:ind w:left="1276" w:hanging="284"/>
        <w:jc w:val="both"/>
        <w:rPr>
          <w:rFonts w:ascii="Garamond" w:eastAsia="Arial Unicode MS" w:hAnsi="Garamond" w:cs="Arial Unicode MS"/>
          <w:color w:val="151515"/>
          <w:szCs w:val="28"/>
          <w:u w:color="151515"/>
          <w:bdr w:val="nil"/>
          <w:shd w:val="clear" w:color="auto" w:fill="FFFFFF"/>
          <w:lang w:val="en-US"/>
        </w:rPr>
      </w:pPr>
      <w:r w:rsidRPr="005479DD">
        <w:rPr>
          <w:rFonts w:ascii="Garamond" w:eastAsia="Arial Unicode MS" w:hAnsi="Garamond" w:cs="Arial Unicode MS"/>
          <w:color w:val="151515"/>
          <w:szCs w:val="28"/>
          <w:u w:color="151515"/>
          <w:bdr w:val="nil"/>
          <w:shd w:val="clear" w:color="auto" w:fill="FFFFFF"/>
          <w:lang w:val="en-US"/>
        </w:rPr>
        <w:t>Competitiveness for growth and jobs. It consists of research and innovation, education and tra</w:t>
      </w:r>
      <w:r w:rsidR="005479DD" w:rsidRPr="005479DD">
        <w:rPr>
          <w:rFonts w:ascii="Garamond" w:eastAsia="Arial Unicode MS" w:hAnsi="Garamond" w:cs="Arial Unicode MS"/>
          <w:color w:val="151515"/>
          <w:szCs w:val="28"/>
          <w:u w:color="151515"/>
          <w:bdr w:val="nil"/>
          <w:shd w:val="clear" w:color="auto" w:fill="FFFFFF"/>
          <w:lang w:val="en-US"/>
        </w:rPr>
        <w:t xml:space="preserve">ining, trans-European networks, social policy, </w:t>
      </w:r>
      <w:r w:rsidR="002C78DC">
        <w:rPr>
          <w:rFonts w:ascii="Garamond" w:eastAsia="Arial Unicode MS" w:hAnsi="Garamond" w:cs="Arial Unicode MS"/>
          <w:color w:val="151515"/>
          <w:szCs w:val="28"/>
          <w:u w:color="151515"/>
          <w:bdr w:val="nil"/>
          <w:shd w:val="clear" w:color="auto" w:fill="FFFFFF"/>
          <w:lang w:val="en-US"/>
        </w:rPr>
        <w:t xml:space="preserve">and </w:t>
      </w:r>
      <w:r w:rsidR="005479DD" w:rsidRPr="005479DD">
        <w:rPr>
          <w:rFonts w:ascii="Garamond" w:eastAsia="Arial Unicode MS" w:hAnsi="Garamond" w:cs="Arial Unicode MS"/>
          <w:color w:val="151515"/>
          <w:szCs w:val="28"/>
          <w:u w:color="151515"/>
          <w:bdr w:val="nil"/>
          <w:shd w:val="clear" w:color="auto" w:fill="FFFFFF"/>
          <w:lang w:val="en-US"/>
        </w:rPr>
        <w:t>economic integration policies.</w:t>
      </w:r>
    </w:p>
    <w:p w14:paraId="4187BE15" w14:textId="77777777" w:rsidR="00FB375D" w:rsidRPr="005479DD" w:rsidRDefault="00FB375D" w:rsidP="00137967">
      <w:pPr>
        <w:pStyle w:val="ListParagraph"/>
        <w:numPr>
          <w:ilvl w:val="0"/>
          <w:numId w:val="237"/>
        </w:numPr>
        <w:pBdr>
          <w:top w:val="nil"/>
          <w:left w:val="nil"/>
          <w:bottom w:val="nil"/>
          <w:right w:val="nil"/>
          <w:between w:val="nil"/>
          <w:bar w:val="nil"/>
        </w:pBdr>
        <w:spacing w:after="0" w:line="312" w:lineRule="auto"/>
        <w:ind w:left="1276" w:hanging="284"/>
        <w:jc w:val="both"/>
        <w:rPr>
          <w:rFonts w:ascii="Garamond" w:eastAsia="Arial Unicode MS" w:hAnsi="Garamond" w:cs="Arial Unicode MS"/>
          <w:color w:val="151515"/>
          <w:szCs w:val="28"/>
          <w:u w:color="151515"/>
          <w:bdr w:val="nil"/>
          <w:shd w:val="clear" w:color="auto" w:fill="FFFFFF"/>
          <w:lang w:val="en-US"/>
        </w:rPr>
      </w:pPr>
      <w:r w:rsidRPr="005479DD">
        <w:rPr>
          <w:rFonts w:ascii="Garamond" w:eastAsia="Arial Unicode MS" w:hAnsi="Garamond" w:cs="Arial Unicode MS"/>
          <w:color w:val="151515"/>
          <w:szCs w:val="28"/>
          <w:u w:color="151515"/>
          <w:bdr w:val="nil"/>
          <w:shd w:val="clear" w:color="auto" w:fill="FFFFFF"/>
          <w:lang w:val="en-US"/>
        </w:rPr>
        <w:t>Economic, social and territorial cohesion.</w:t>
      </w:r>
      <w:r w:rsidR="005479DD" w:rsidRPr="005479DD">
        <w:rPr>
          <w:rFonts w:ascii="Garamond" w:eastAsia="Arial Unicode MS" w:hAnsi="Garamond" w:cs="Arial Unicode MS"/>
          <w:color w:val="151515"/>
          <w:szCs w:val="28"/>
          <w:u w:color="151515"/>
          <w:bdr w:val="nil"/>
          <w:shd w:val="clear" w:color="auto" w:fill="FFFFFF"/>
          <w:lang w:val="en-US"/>
        </w:rPr>
        <w:t xml:space="preserve"> It consists of convergence of the least developed </w:t>
      </w:r>
      <w:r w:rsidR="005479DD">
        <w:rPr>
          <w:rFonts w:ascii="Garamond" w:eastAsia="Arial Unicode MS" w:hAnsi="Garamond" w:cs="Arial Unicode MS"/>
          <w:color w:val="151515"/>
          <w:szCs w:val="28"/>
          <w:u w:color="151515"/>
          <w:bdr w:val="nil"/>
          <w:shd w:val="clear" w:color="auto" w:fill="FFFFFF"/>
          <w:lang w:val="en-US"/>
        </w:rPr>
        <w:t>EU</w:t>
      </w:r>
      <w:r w:rsidR="005479DD" w:rsidRPr="005479DD">
        <w:rPr>
          <w:rFonts w:ascii="Garamond" w:eastAsia="Arial Unicode MS" w:hAnsi="Garamond" w:cs="Arial Unicode MS"/>
          <w:color w:val="151515"/>
          <w:szCs w:val="28"/>
          <w:u w:color="151515"/>
          <w:bdr w:val="nil"/>
          <w:shd w:val="clear" w:color="auto" w:fill="FFFFFF"/>
          <w:lang w:val="en-US"/>
        </w:rPr>
        <w:t xml:space="preserve"> countries, </w:t>
      </w:r>
      <w:r w:rsidR="005479DD">
        <w:rPr>
          <w:rFonts w:ascii="Garamond" w:eastAsia="Arial Unicode MS" w:hAnsi="Garamond" w:cs="Arial Unicode MS"/>
          <w:color w:val="151515"/>
          <w:szCs w:val="28"/>
          <w:u w:color="151515"/>
          <w:bdr w:val="nil"/>
          <w:shd w:val="clear" w:color="auto" w:fill="FFFFFF"/>
          <w:lang w:val="en-US"/>
        </w:rPr>
        <w:t>EU</w:t>
      </w:r>
      <w:r w:rsidR="005479DD" w:rsidRPr="005479DD">
        <w:rPr>
          <w:rFonts w:ascii="Garamond" w:eastAsia="Arial Unicode MS" w:hAnsi="Garamond" w:cs="Arial Unicode MS"/>
          <w:color w:val="151515"/>
          <w:szCs w:val="28"/>
          <w:u w:color="151515"/>
          <w:bdr w:val="nil"/>
          <w:shd w:val="clear" w:color="auto" w:fill="FFFFFF"/>
          <w:lang w:val="en-US"/>
        </w:rPr>
        <w:t xml:space="preserve"> strategy for sustainable development outside the least prosperous re</w:t>
      </w:r>
      <w:r w:rsidRPr="005479DD">
        <w:rPr>
          <w:rFonts w:ascii="Garamond" w:eastAsia="Arial Unicode MS" w:hAnsi="Garamond" w:cs="Arial Unicode MS"/>
          <w:color w:val="151515"/>
          <w:szCs w:val="28"/>
          <w:u w:color="151515"/>
          <w:bdr w:val="nil"/>
          <w:shd w:val="clear" w:color="auto" w:fill="FFFFFF"/>
          <w:lang w:val="en-US"/>
        </w:rPr>
        <w:t>gions, inter-regional cooperation, technical assistance</w:t>
      </w:r>
      <w:r w:rsidR="002C78DC">
        <w:rPr>
          <w:rFonts w:ascii="Garamond" w:eastAsia="Arial Unicode MS" w:hAnsi="Garamond" w:cs="Arial Unicode MS"/>
          <w:color w:val="151515"/>
          <w:szCs w:val="28"/>
          <w:u w:color="151515"/>
          <w:bdr w:val="nil"/>
          <w:shd w:val="clear" w:color="auto" w:fill="FFFFFF"/>
          <w:lang w:val="en-US"/>
        </w:rPr>
        <w:t>,</w:t>
      </w:r>
      <w:r w:rsidRPr="005479DD">
        <w:rPr>
          <w:rFonts w:ascii="Garamond" w:eastAsia="Arial Unicode MS" w:hAnsi="Garamond" w:cs="Arial Unicode MS"/>
          <w:color w:val="151515"/>
          <w:szCs w:val="28"/>
          <w:u w:color="151515"/>
          <w:bdr w:val="nil"/>
          <w:shd w:val="clear" w:color="auto" w:fill="FFFFFF"/>
          <w:lang w:val="en-US"/>
        </w:rPr>
        <w:t xml:space="preserve"> and innovative actions.</w:t>
      </w:r>
    </w:p>
    <w:p w14:paraId="0F9402B4" w14:textId="77777777" w:rsidR="00FB375D" w:rsidRPr="005479DD" w:rsidRDefault="005479DD" w:rsidP="00137967">
      <w:pPr>
        <w:numPr>
          <w:ilvl w:val="0"/>
          <w:numId w:val="97"/>
        </w:numPr>
        <w:pBdr>
          <w:top w:val="nil"/>
          <w:left w:val="nil"/>
          <w:bottom w:val="nil"/>
          <w:right w:val="nil"/>
          <w:between w:val="nil"/>
          <w:bar w:val="nil"/>
        </w:pBdr>
        <w:shd w:val="clear" w:color="auto" w:fill="FFFFFF"/>
        <w:tabs>
          <w:tab w:val="clear" w:pos="142"/>
          <w:tab w:val="num" w:pos="0"/>
        </w:tabs>
        <w:spacing w:line="312" w:lineRule="auto"/>
        <w:ind w:left="993" w:hanging="284"/>
        <w:jc w:val="both"/>
        <w:rPr>
          <w:rFonts w:eastAsia="Arial Unicode MS" w:cs="Arial Unicode MS"/>
          <w:bCs/>
          <w:sz w:val="28"/>
          <w:szCs w:val="28"/>
          <w:u w:color="000000"/>
          <w:bdr w:val="nil"/>
          <w:lang w:val="en-US"/>
        </w:rPr>
      </w:pPr>
      <w:r w:rsidRPr="005479DD">
        <w:rPr>
          <w:rFonts w:eastAsia="Arial Unicode MS" w:cs="Arial Unicode MS"/>
          <w:bCs/>
          <w:sz w:val="28"/>
          <w:szCs w:val="28"/>
          <w:u w:color="000000"/>
          <w:bdr w:val="nil"/>
          <w:lang w:val="en-US"/>
        </w:rPr>
        <w:t xml:space="preserve">Sustainable growth: natural resources. </w:t>
      </w:r>
      <w:r w:rsidR="002C78DC">
        <w:rPr>
          <w:rFonts w:eastAsia="Arial Unicode MS" w:cs="Arial Unicode MS"/>
          <w:bCs/>
          <w:sz w:val="28"/>
          <w:szCs w:val="28"/>
          <w:u w:color="000000"/>
          <w:bdr w:val="nil"/>
          <w:lang w:val="en-US"/>
        </w:rPr>
        <w:t>It i</w:t>
      </w:r>
      <w:r w:rsidR="00FB375D" w:rsidRPr="005479DD">
        <w:rPr>
          <w:rFonts w:eastAsia="Arial Unicode MS" w:cs="Arial Unicode MS"/>
          <w:bCs/>
          <w:sz w:val="28"/>
          <w:szCs w:val="28"/>
          <w:u w:color="000000"/>
          <w:bdr w:val="nil"/>
          <w:lang w:val="en-US"/>
        </w:rPr>
        <w:t>ncludes the common agricultural policy, common fisheries policy, rural development</w:t>
      </w:r>
      <w:r w:rsidR="002C78DC">
        <w:rPr>
          <w:rFonts w:eastAsia="Arial Unicode MS" w:cs="Arial Unicode MS"/>
          <w:bCs/>
          <w:sz w:val="28"/>
          <w:szCs w:val="28"/>
          <w:u w:color="000000"/>
          <w:bdr w:val="nil"/>
          <w:lang w:val="en-US"/>
        </w:rPr>
        <w:t>,</w:t>
      </w:r>
      <w:r w:rsidR="00FB375D" w:rsidRPr="005479DD">
        <w:rPr>
          <w:rFonts w:eastAsia="Arial Unicode MS" w:cs="Arial Unicode MS"/>
          <w:bCs/>
          <w:sz w:val="28"/>
          <w:szCs w:val="28"/>
          <w:u w:color="000000"/>
          <w:bdr w:val="nil"/>
          <w:lang w:val="en-US"/>
        </w:rPr>
        <w:t xml:space="preserve"> and environmental measures.</w:t>
      </w:r>
    </w:p>
    <w:p w14:paraId="3C385A0E" w14:textId="77777777" w:rsidR="00FB375D" w:rsidRPr="005479DD" w:rsidRDefault="005479DD" w:rsidP="00137967">
      <w:pPr>
        <w:numPr>
          <w:ilvl w:val="0"/>
          <w:numId w:val="97"/>
        </w:numPr>
        <w:pBdr>
          <w:top w:val="nil"/>
          <w:left w:val="nil"/>
          <w:bottom w:val="nil"/>
          <w:right w:val="nil"/>
          <w:between w:val="nil"/>
          <w:bar w:val="nil"/>
        </w:pBdr>
        <w:shd w:val="clear" w:color="auto" w:fill="FFFFFF"/>
        <w:tabs>
          <w:tab w:val="clear" w:pos="142"/>
          <w:tab w:val="num" w:pos="0"/>
        </w:tabs>
        <w:spacing w:line="312" w:lineRule="auto"/>
        <w:ind w:left="993" w:hanging="284"/>
        <w:jc w:val="both"/>
        <w:rPr>
          <w:rFonts w:eastAsia="Arial Unicode MS" w:cs="Arial Unicode MS"/>
          <w:bCs/>
          <w:sz w:val="28"/>
          <w:szCs w:val="28"/>
          <w:u w:color="000000"/>
          <w:bdr w:val="nil"/>
          <w:lang w:val="en-US"/>
        </w:rPr>
      </w:pPr>
      <w:r w:rsidRPr="005479DD">
        <w:rPr>
          <w:rFonts w:eastAsia="Arial Unicode MS" w:cs="Arial Unicode MS"/>
          <w:bCs/>
          <w:sz w:val="28"/>
          <w:szCs w:val="28"/>
          <w:u w:color="000000"/>
          <w:bdr w:val="nil"/>
          <w:lang w:val="en-US"/>
        </w:rPr>
        <w:t>Security and citizenship.</w:t>
      </w:r>
      <w:r w:rsidR="00FB375D" w:rsidRPr="005479DD">
        <w:rPr>
          <w:rFonts w:eastAsia="Arial Unicode MS" w:cs="Arial Unicode MS"/>
          <w:bCs/>
          <w:sz w:val="28"/>
          <w:szCs w:val="28"/>
          <w:u w:color="000000"/>
          <w:bdr w:val="nil"/>
          <w:lang w:val="en-US"/>
        </w:rPr>
        <w:t xml:space="preserve"> It includes justice and home affairs,</w:t>
      </w:r>
      <w:r w:rsidR="002C78DC">
        <w:rPr>
          <w:rFonts w:eastAsia="Arial Unicode MS" w:cs="Arial Unicode MS"/>
          <w:bCs/>
          <w:sz w:val="28"/>
          <w:szCs w:val="28"/>
          <w:u w:color="000000"/>
          <w:bdr w:val="nil"/>
          <w:lang w:val="en-US"/>
        </w:rPr>
        <w:t xml:space="preserve"> border protection, immigration</w:t>
      </w:r>
      <w:r w:rsidR="00D003A0">
        <w:rPr>
          <w:rFonts w:eastAsia="Arial Unicode MS" w:cs="Arial Unicode MS"/>
          <w:bCs/>
          <w:sz w:val="28"/>
          <w:szCs w:val="28"/>
          <w:u w:color="000000"/>
          <w:bdr w:val="nil"/>
          <w:lang w:val="en-US"/>
        </w:rPr>
        <w:t>,</w:t>
      </w:r>
      <w:r w:rsidR="00FB375D" w:rsidRPr="005479DD">
        <w:rPr>
          <w:rFonts w:eastAsia="Arial Unicode MS" w:cs="Arial Unicode MS"/>
          <w:bCs/>
          <w:sz w:val="28"/>
          <w:szCs w:val="28"/>
          <w:u w:color="000000"/>
          <w:bdr w:val="nil"/>
          <w:lang w:val="en-US"/>
        </w:rPr>
        <w:t xml:space="preserve"> and asylum policy, public health, consumer protection, culture, youth, information and dialogue with citizens.</w:t>
      </w:r>
    </w:p>
    <w:p w14:paraId="58E39A6F" w14:textId="77777777" w:rsidR="00FB375D" w:rsidRPr="005479DD" w:rsidRDefault="005479DD" w:rsidP="00137967">
      <w:pPr>
        <w:numPr>
          <w:ilvl w:val="0"/>
          <w:numId w:val="97"/>
        </w:numPr>
        <w:pBdr>
          <w:top w:val="nil"/>
          <w:left w:val="nil"/>
          <w:bottom w:val="nil"/>
          <w:right w:val="nil"/>
          <w:between w:val="nil"/>
          <w:bar w:val="nil"/>
        </w:pBdr>
        <w:shd w:val="clear" w:color="auto" w:fill="FFFFFF"/>
        <w:tabs>
          <w:tab w:val="clear" w:pos="142"/>
          <w:tab w:val="num" w:pos="0"/>
        </w:tabs>
        <w:spacing w:line="312" w:lineRule="auto"/>
        <w:ind w:left="993" w:hanging="284"/>
        <w:jc w:val="both"/>
        <w:rPr>
          <w:rFonts w:eastAsia="Arial Unicode MS" w:cs="Arial Unicode MS"/>
          <w:bCs/>
          <w:sz w:val="28"/>
          <w:szCs w:val="28"/>
          <w:u w:color="000000"/>
          <w:bdr w:val="nil"/>
          <w:lang w:val="en-US"/>
        </w:rPr>
      </w:pPr>
      <w:r w:rsidRPr="005479DD">
        <w:rPr>
          <w:rFonts w:eastAsia="Arial Unicode MS" w:cs="Arial Unicode MS"/>
          <w:bCs/>
          <w:sz w:val="28"/>
          <w:szCs w:val="28"/>
          <w:u w:color="000000"/>
          <w:bdr w:val="nil"/>
          <w:lang w:val="en-US"/>
        </w:rPr>
        <w:t xml:space="preserve">The </w:t>
      </w:r>
      <w:r>
        <w:rPr>
          <w:rFonts w:eastAsia="Arial Unicode MS" w:cs="Arial Unicode MS"/>
          <w:bCs/>
          <w:sz w:val="28"/>
          <w:szCs w:val="28"/>
          <w:u w:color="000000"/>
          <w:bdr w:val="nil"/>
          <w:lang w:val="en-US"/>
        </w:rPr>
        <w:t>EU</w:t>
      </w:r>
      <w:r w:rsidR="002C78DC">
        <w:rPr>
          <w:rFonts w:eastAsia="Arial Unicode MS" w:cs="Arial Unicode MS"/>
          <w:bCs/>
          <w:sz w:val="28"/>
          <w:szCs w:val="28"/>
          <w:u w:color="000000"/>
          <w:bdr w:val="nil"/>
          <w:lang w:val="en-US"/>
        </w:rPr>
        <w:t xml:space="preserve"> as a global partner</w:t>
      </w:r>
      <w:r w:rsidRPr="005479DD">
        <w:rPr>
          <w:rFonts w:eastAsia="Arial Unicode MS" w:cs="Arial Unicode MS"/>
          <w:bCs/>
          <w:sz w:val="28"/>
          <w:szCs w:val="28"/>
          <w:u w:color="000000"/>
          <w:bdr w:val="nil"/>
          <w:lang w:val="en-US"/>
        </w:rPr>
        <w:t xml:space="preserve"> </w:t>
      </w:r>
      <w:r w:rsidR="002C78DC">
        <w:rPr>
          <w:rFonts w:eastAsia="Arial Unicode MS" w:cs="Arial Unicode MS"/>
          <w:bCs/>
          <w:sz w:val="28"/>
          <w:szCs w:val="28"/>
          <w:u w:color="000000"/>
          <w:bdr w:val="nil"/>
          <w:lang w:val="en-US"/>
        </w:rPr>
        <w:t>c</w:t>
      </w:r>
      <w:r w:rsidR="00FB375D" w:rsidRPr="005479DD">
        <w:rPr>
          <w:rFonts w:eastAsia="Arial Unicode MS" w:cs="Arial Unicode MS"/>
          <w:bCs/>
          <w:sz w:val="28"/>
          <w:szCs w:val="28"/>
          <w:u w:color="000000"/>
          <w:bdr w:val="nil"/>
          <w:lang w:val="en-US"/>
        </w:rPr>
        <w:t>overs all external action</w:t>
      </w:r>
      <w:r w:rsidR="002C78DC">
        <w:rPr>
          <w:rFonts w:eastAsia="Arial Unicode MS" w:cs="Arial Unicode MS"/>
          <w:bCs/>
          <w:sz w:val="28"/>
          <w:szCs w:val="28"/>
          <w:u w:color="000000"/>
          <w:bdr w:val="nil"/>
          <w:lang w:val="en-US"/>
        </w:rPr>
        <w:t>s</w:t>
      </w:r>
      <w:r w:rsidR="00FB375D" w:rsidRPr="005479DD">
        <w:rPr>
          <w:rFonts w:eastAsia="Arial Unicode MS" w:cs="Arial Unicode MS"/>
          <w:bCs/>
          <w:sz w:val="28"/>
          <w:szCs w:val="28"/>
          <w:u w:color="000000"/>
          <w:bdr w:val="nil"/>
          <w:lang w:val="en-US"/>
        </w:rPr>
        <w:t xml:space="preserve"> (“foreign policy”)</w:t>
      </w:r>
      <w:r w:rsidRPr="005479DD">
        <w:rPr>
          <w:rFonts w:eastAsia="Arial Unicode MS" w:cs="Arial Unicode MS"/>
          <w:bCs/>
          <w:sz w:val="28"/>
          <w:szCs w:val="28"/>
          <w:u w:color="000000"/>
          <w:bdr w:val="nil"/>
          <w:lang w:val="en-US"/>
        </w:rPr>
        <w:t xml:space="preserve"> by the </w:t>
      </w:r>
      <w:r>
        <w:rPr>
          <w:rFonts w:eastAsia="Arial Unicode MS" w:cs="Arial Unicode MS"/>
          <w:bCs/>
          <w:sz w:val="28"/>
          <w:szCs w:val="28"/>
          <w:u w:color="000000"/>
          <w:bdr w:val="nil"/>
          <w:lang w:val="en-US"/>
        </w:rPr>
        <w:t>EU</w:t>
      </w:r>
      <w:r w:rsidRPr="005479DD">
        <w:rPr>
          <w:rFonts w:eastAsia="Arial Unicode MS" w:cs="Arial Unicode MS"/>
          <w:bCs/>
          <w:sz w:val="28"/>
          <w:szCs w:val="28"/>
          <w:u w:color="000000"/>
          <w:bdr w:val="nil"/>
          <w:lang w:val="en-US"/>
        </w:rPr>
        <w:t xml:space="preserve">. </w:t>
      </w:r>
      <w:r w:rsidR="002C78DC">
        <w:rPr>
          <w:rFonts w:eastAsia="Arial Unicode MS" w:cs="Arial Unicode MS"/>
          <w:bCs/>
          <w:sz w:val="28"/>
          <w:szCs w:val="28"/>
          <w:u w:color="000000"/>
          <w:bdr w:val="nil"/>
          <w:lang w:val="en-US"/>
        </w:rPr>
        <w:t>It d</w:t>
      </w:r>
      <w:r w:rsidRPr="005479DD">
        <w:rPr>
          <w:rFonts w:eastAsia="Arial Unicode MS" w:cs="Arial Unicode MS"/>
          <w:bCs/>
          <w:sz w:val="28"/>
          <w:szCs w:val="28"/>
          <w:u w:color="000000"/>
          <w:bdr w:val="nil"/>
          <w:lang w:val="en-US"/>
        </w:rPr>
        <w:t>oes not include the European development fund.</w:t>
      </w:r>
    </w:p>
    <w:p w14:paraId="2EA87BE0" w14:textId="77777777" w:rsidR="00FB375D" w:rsidRPr="005479DD" w:rsidRDefault="005479DD" w:rsidP="00137967">
      <w:pPr>
        <w:numPr>
          <w:ilvl w:val="0"/>
          <w:numId w:val="97"/>
        </w:numPr>
        <w:pBdr>
          <w:top w:val="nil"/>
          <w:left w:val="nil"/>
          <w:bottom w:val="nil"/>
          <w:right w:val="nil"/>
          <w:between w:val="nil"/>
          <w:bar w:val="nil"/>
        </w:pBdr>
        <w:shd w:val="clear" w:color="auto" w:fill="FFFFFF"/>
        <w:tabs>
          <w:tab w:val="clear" w:pos="142"/>
          <w:tab w:val="num" w:pos="0"/>
        </w:tabs>
        <w:spacing w:line="312" w:lineRule="auto"/>
        <w:ind w:left="993" w:hanging="284"/>
        <w:jc w:val="both"/>
        <w:rPr>
          <w:rFonts w:eastAsia="Arial Unicode MS" w:cs="Arial Unicode MS"/>
          <w:bCs/>
          <w:sz w:val="28"/>
          <w:szCs w:val="28"/>
          <w:u w:color="000000"/>
          <w:bdr w:val="nil"/>
          <w:lang w:val="en-US"/>
        </w:rPr>
      </w:pPr>
      <w:r w:rsidRPr="005479DD">
        <w:rPr>
          <w:rFonts w:eastAsia="Arial Unicode MS" w:cs="Arial Unicode MS"/>
          <w:bCs/>
          <w:sz w:val="28"/>
          <w:szCs w:val="28"/>
          <w:u w:color="000000"/>
          <w:bdr w:val="nil"/>
          <w:lang w:val="en-US"/>
        </w:rPr>
        <w:t xml:space="preserve">Administration. </w:t>
      </w:r>
      <w:r w:rsidR="002C78DC">
        <w:rPr>
          <w:rFonts w:eastAsia="Arial Unicode MS" w:cs="Arial Unicode MS"/>
          <w:bCs/>
          <w:sz w:val="28"/>
          <w:szCs w:val="28"/>
          <w:u w:color="000000"/>
          <w:bdr w:val="nil"/>
          <w:lang w:val="en-US"/>
        </w:rPr>
        <w:t>It c</w:t>
      </w:r>
      <w:r w:rsidR="00FB375D" w:rsidRPr="005479DD">
        <w:rPr>
          <w:rFonts w:eastAsia="Arial Unicode MS" w:cs="Arial Unicode MS"/>
          <w:bCs/>
          <w:sz w:val="28"/>
          <w:szCs w:val="28"/>
          <w:u w:color="000000"/>
          <w:bdr w:val="nil"/>
          <w:lang w:val="en-US"/>
        </w:rPr>
        <w:t>overs</w:t>
      </w:r>
      <w:r w:rsidRPr="005479DD">
        <w:rPr>
          <w:rFonts w:eastAsia="Arial Unicode MS" w:cs="Arial Unicode MS"/>
          <w:bCs/>
          <w:sz w:val="28"/>
          <w:szCs w:val="28"/>
          <w:u w:color="000000"/>
          <w:bdr w:val="nil"/>
          <w:lang w:val="en-US"/>
        </w:rPr>
        <w:t xml:space="preserve"> the administrative expenditure</w:t>
      </w:r>
      <w:r w:rsidR="002C78DC">
        <w:rPr>
          <w:rFonts w:eastAsia="Arial Unicode MS" w:cs="Arial Unicode MS"/>
          <w:bCs/>
          <w:sz w:val="28"/>
          <w:szCs w:val="28"/>
          <w:u w:color="000000"/>
          <w:bdr w:val="nil"/>
          <w:lang w:val="en-US"/>
        </w:rPr>
        <w:t>s</w:t>
      </w:r>
      <w:r w:rsidRPr="005479DD">
        <w:rPr>
          <w:rFonts w:eastAsia="Arial Unicode MS" w:cs="Arial Unicode MS"/>
          <w:bCs/>
          <w:sz w:val="28"/>
          <w:szCs w:val="28"/>
          <w:u w:color="000000"/>
          <w:bdr w:val="nil"/>
          <w:lang w:val="en-US"/>
        </w:rPr>
        <w:t xml:space="preserve"> of all the European institutions, pensions and </w:t>
      </w:r>
      <w:r>
        <w:rPr>
          <w:rFonts w:eastAsia="Arial Unicode MS" w:cs="Arial Unicode MS"/>
          <w:bCs/>
          <w:sz w:val="28"/>
          <w:szCs w:val="28"/>
          <w:u w:color="000000"/>
          <w:bdr w:val="nil"/>
          <w:lang w:val="en-US"/>
        </w:rPr>
        <w:t>EU</w:t>
      </w:r>
      <w:r w:rsidRPr="005479DD">
        <w:rPr>
          <w:rFonts w:eastAsia="Arial Unicode MS" w:cs="Arial Unicode MS"/>
          <w:bCs/>
          <w:sz w:val="28"/>
          <w:szCs w:val="28"/>
          <w:u w:color="000000"/>
          <w:bdr w:val="nil"/>
          <w:lang w:val="en-US"/>
        </w:rPr>
        <w:t>-run schools for staff members</w:t>
      </w:r>
      <w:r w:rsidR="00FB375D" w:rsidRPr="005479DD">
        <w:rPr>
          <w:rFonts w:eastAsia="Arial Unicode MS" w:cs="Arial Unicode MS"/>
          <w:bCs/>
          <w:sz w:val="28"/>
          <w:szCs w:val="28"/>
          <w:u w:color="000000"/>
          <w:bdr w:val="nil"/>
          <w:lang w:val="en-US"/>
        </w:rPr>
        <w:t>’ children (“</w:t>
      </w:r>
      <w:r w:rsidRPr="005479DD">
        <w:rPr>
          <w:rFonts w:eastAsia="Arial Unicode MS" w:cs="Arial Unicode MS"/>
          <w:bCs/>
          <w:sz w:val="28"/>
          <w:szCs w:val="28"/>
          <w:u w:color="000000"/>
          <w:bdr w:val="nil"/>
          <w:lang w:val="en-US"/>
        </w:rPr>
        <w:t>European schools</w:t>
      </w:r>
      <w:r w:rsidR="00FB375D" w:rsidRPr="005479DD">
        <w:rPr>
          <w:rFonts w:eastAsia="Arial Unicode MS" w:cs="Arial Unicode MS"/>
          <w:bCs/>
          <w:sz w:val="28"/>
          <w:szCs w:val="28"/>
          <w:u w:color="000000"/>
          <w:bdr w:val="nil"/>
          <w:lang w:val="en-US"/>
        </w:rPr>
        <w:t>”).</w:t>
      </w:r>
    </w:p>
    <w:p w14:paraId="10A51B44" w14:textId="77777777" w:rsidR="00FB375D" w:rsidRPr="005479DD" w:rsidRDefault="005479DD" w:rsidP="00137967">
      <w:pPr>
        <w:numPr>
          <w:ilvl w:val="0"/>
          <w:numId w:val="97"/>
        </w:numPr>
        <w:pBdr>
          <w:top w:val="nil"/>
          <w:left w:val="nil"/>
          <w:bottom w:val="nil"/>
          <w:right w:val="nil"/>
          <w:between w:val="nil"/>
          <w:bar w:val="nil"/>
        </w:pBdr>
        <w:shd w:val="clear" w:color="auto" w:fill="FFFFFF"/>
        <w:tabs>
          <w:tab w:val="clear" w:pos="142"/>
          <w:tab w:val="num" w:pos="0"/>
        </w:tabs>
        <w:spacing w:line="312" w:lineRule="auto"/>
        <w:ind w:left="993" w:hanging="284"/>
        <w:jc w:val="both"/>
        <w:rPr>
          <w:rFonts w:eastAsia="Arial Unicode MS" w:cs="Arial Unicode MS"/>
          <w:bCs/>
          <w:sz w:val="28"/>
          <w:szCs w:val="28"/>
          <w:u w:color="000000"/>
          <w:bdr w:val="nil"/>
          <w:lang w:val="en-US"/>
        </w:rPr>
      </w:pPr>
      <w:r w:rsidRPr="005479DD">
        <w:rPr>
          <w:rFonts w:eastAsia="Arial Unicode MS" w:cs="Arial Unicode MS"/>
          <w:bCs/>
          <w:sz w:val="28"/>
          <w:szCs w:val="28"/>
          <w:u w:color="000000"/>
          <w:bdr w:val="nil"/>
          <w:lang w:val="en-US"/>
        </w:rPr>
        <w:t xml:space="preserve">Compensations. </w:t>
      </w:r>
      <w:r w:rsidR="00FB375D" w:rsidRPr="005479DD">
        <w:rPr>
          <w:rFonts w:eastAsia="Arial Unicode MS" w:cs="Arial Unicode MS"/>
          <w:bCs/>
          <w:sz w:val="28"/>
          <w:szCs w:val="28"/>
          <w:u w:color="000000"/>
          <w:bdr w:val="nil"/>
          <w:lang w:val="en-US"/>
        </w:rPr>
        <w:t>The temporary h</w:t>
      </w:r>
      <w:r w:rsidRPr="005479DD">
        <w:rPr>
          <w:rFonts w:eastAsia="Arial Unicode MS" w:cs="Arial Unicode MS"/>
          <w:bCs/>
          <w:sz w:val="28"/>
          <w:szCs w:val="28"/>
          <w:u w:color="000000"/>
          <w:bdr w:val="nil"/>
          <w:lang w:val="en-US"/>
        </w:rPr>
        <w:t xml:space="preserve">eading which includes compensatory payments relating to the latest expansion of the </w:t>
      </w:r>
      <w:r>
        <w:rPr>
          <w:rFonts w:eastAsia="Arial Unicode MS" w:cs="Arial Unicode MS"/>
          <w:bCs/>
          <w:sz w:val="28"/>
          <w:szCs w:val="28"/>
          <w:u w:color="000000"/>
          <w:bdr w:val="nil"/>
          <w:lang w:val="en-US"/>
        </w:rPr>
        <w:t>EU</w:t>
      </w:r>
      <w:r w:rsidRPr="005479DD">
        <w:rPr>
          <w:rFonts w:eastAsia="Arial Unicode MS" w:cs="Arial Unicode MS"/>
          <w:bCs/>
          <w:sz w:val="28"/>
          <w:szCs w:val="28"/>
          <w:u w:color="000000"/>
          <w:bdr w:val="nil"/>
          <w:lang w:val="en-US"/>
        </w:rPr>
        <w:t>.</w:t>
      </w:r>
    </w:p>
    <w:p w14:paraId="2913BFD8" w14:textId="77777777" w:rsidR="00FB375D" w:rsidRPr="005479DD" w:rsidRDefault="005479DD" w:rsidP="00137967">
      <w:pPr>
        <w:numPr>
          <w:ilvl w:val="0"/>
          <w:numId w:val="97"/>
        </w:numPr>
        <w:pBdr>
          <w:top w:val="nil"/>
          <w:left w:val="nil"/>
          <w:bottom w:val="nil"/>
          <w:right w:val="nil"/>
          <w:between w:val="nil"/>
          <w:bar w:val="nil"/>
        </w:pBdr>
        <w:shd w:val="clear" w:color="auto" w:fill="FFFFFF"/>
        <w:tabs>
          <w:tab w:val="clear" w:pos="142"/>
          <w:tab w:val="num" w:pos="0"/>
        </w:tabs>
        <w:spacing w:line="312" w:lineRule="auto"/>
        <w:ind w:left="993" w:hanging="284"/>
        <w:jc w:val="both"/>
        <w:rPr>
          <w:rFonts w:eastAsia="Arial Unicode MS" w:cs="Arial Unicode MS"/>
          <w:bCs/>
          <w:sz w:val="28"/>
          <w:szCs w:val="28"/>
          <w:u w:color="000000"/>
          <w:bdr w:val="nil"/>
          <w:lang w:val="en-US"/>
        </w:rPr>
      </w:pPr>
      <w:r w:rsidRPr="005479DD">
        <w:rPr>
          <w:rFonts w:eastAsia="Arial Unicode MS" w:cs="Arial Unicode MS"/>
          <w:bCs/>
          <w:sz w:val="28"/>
          <w:szCs w:val="28"/>
          <w:u w:color="000000"/>
          <w:bdr w:val="nil"/>
          <w:lang w:val="en-US"/>
        </w:rPr>
        <w:t>Negative reserve</w:t>
      </w:r>
      <w:r>
        <w:rPr>
          <w:rFonts w:eastAsia="Arial Unicode MS" w:cs="Arial Unicode MS"/>
          <w:bCs/>
          <w:sz w:val="28"/>
          <w:szCs w:val="28"/>
          <w:u w:color="000000"/>
          <w:bdr w:val="nil"/>
          <w:lang w:val="en-US"/>
        </w:rPr>
        <w:t>.</w:t>
      </w:r>
    </w:p>
    <w:p w14:paraId="75B38786" w14:textId="77777777" w:rsidR="00FB375D" w:rsidRPr="005479DD" w:rsidRDefault="005479DD" w:rsidP="00137967">
      <w:pPr>
        <w:numPr>
          <w:ilvl w:val="0"/>
          <w:numId w:val="97"/>
        </w:numPr>
        <w:pBdr>
          <w:top w:val="nil"/>
          <w:left w:val="nil"/>
          <w:bottom w:val="nil"/>
          <w:right w:val="nil"/>
          <w:between w:val="nil"/>
          <w:bar w:val="nil"/>
        </w:pBdr>
        <w:shd w:val="clear" w:color="auto" w:fill="FFFFFF"/>
        <w:tabs>
          <w:tab w:val="clear" w:pos="142"/>
          <w:tab w:val="num" w:pos="0"/>
        </w:tabs>
        <w:spacing w:line="312" w:lineRule="auto"/>
        <w:ind w:left="993" w:hanging="284"/>
        <w:jc w:val="both"/>
        <w:rPr>
          <w:rFonts w:eastAsia="Arial Unicode MS" w:cs="Arial Unicode MS"/>
          <w:bCs/>
          <w:sz w:val="28"/>
          <w:szCs w:val="28"/>
          <w:u w:color="000000"/>
          <w:bdr w:val="nil"/>
          <w:lang w:val="en-US"/>
        </w:rPr>
      </w:pPr>
      <w:r w:rsidRPr="005479DD">
        <w:rPr>
          <w:rFonts w:eastAsia="Arial Unicode MS" w:cs="Arial Unicode MS"/>
          <w:bCs/>
          <w:sz w:val="28"/>
          <w:szCs w:val="28"/>
          <w:u w:color="000000"/>
          <w:bdr w:val="nil"/>
          <w:lang w:val="en-US"/>
        </w:rPr>
        <w:t>Special instruments</w:t>
      </w:r>
      <w:r>
        <w:rPr>
          <w:rFonts w:eastAsia="Arial Unicode MS" w:cs="Arial Unicode MS"/>
          <w:bCs/>
          <w:sz w:val="28"/>
          <w:szCs w:val="28"/>
          <w:u w:color="000000"/>
          <w:bdr w:val="nil"/>
          <w:lang w:val="en-US"/>
        </w:rPr>
        <w:t>.</w:t>
      </w:r>
    </w:p>
    <w:p w14:paraId="03631984" w14:textId="77777777" w:rsidR="00FB375D" w:rsidRPr="005479DD" w:rsidRDefault="00FB375D" w:rsidP="00137967">
      <w:pPr>
        <w:pBdr>
          <w:top w:val="nil"/>
          <w:left w:val="nil"/>
          <w:bottom w:val="nil"/>
          <w:right w:val="nil"/>
          <w:between w:val="nil"/>
          <w:bar w:val="nil"/>
        </w:pBdr>
        <w:tabs>
          <w:tab w:val="num" w:pos="851"/>
        </w:tabs>
        <w:spacing w:line="312" w:lineRule="auto"/>
        <w:ind w:firstLine="709"/>
        <w:jc w:val="both"/>
        <w:rPr>
          <w:rFonts w:eastAsia="Garamond" w:cs="Garamond"/>
          <w:sz w:val="28"/>
          <w:szCs w:val="28"/>
          <w:u w:color="000000"/>
          <w:bdr w:val="nil"/>
          <w:lang w:val="en-US"/>
        </w:rPr>
      </w:pPr>
      <w:r w:rsidRPr="005479DD">
        <w:rPr>
          <w:rFonts w:eastAsia="Arial Unicode MS" w:cs="Arial Unicode MS"/>
          <w:sz w:val="28"/>
          <w:szCs w:val="28"/>
          <w:u w:color="000000"/>
          <w:bdr w:val="nil"/>
          <w:lang w:val="en-US" w:eastAsia="en-US"/>
        </w:rPr>
        <w:t>The headings are realized in the form of programs and projects. For example, within the framework</w:t>
      </w:r>
      <w:r w:rsidR="002C78DC">
        <w:rPr>
          <w:rFonts w:eastAsia="Arial Unicode MS" w:cs="Arial Unicode MS"/>
          <w:sz w:val="28"/>
          <w:szCs w:val="28"/>
          <w:u w:color="000000"/>
          <w:bdr w:val="nil"/>
          <w:lang w:val="en-US" w:eastAsia="en-US"/>
        </w:rPr>
        <w:t xml:space="preserve"> of</w:t>
      </w:r>
      <w:r w:rsidRPr="005479DD">
        <w:rPr>
          <w:rFonts w:eastAsia="Arial Unicode MS" w:cs="Arial Unicode MS"/>
          <w:sz w:val="28"/>
          <w:szCs w:val="28"/>
          <w:u w:color="000000"/>
          <w:bdr w:val="nil"/>
          <w:lang w:val="en-US" w:eastAsia="en-US"/>
        </w:rPr>
        <w:t xml:space="preserve"> </w:t>
      </w:r>
      <w:r w:rsidR="005479DD" w:rsidRPr="005479DD">
        <w:rPr>
          <w:rFonts w:eastAsia="Arial Unicode MS" w:cs="Arial Unicode MS"/>
          <w:b/>
          <w:bCs/>
          <w:sz w:val="28"/>
          <w:szCs w:val="28"/>
          <w:u w:color="000000"/>
          <w:bdr w:val="nil"/>
          <w:lang w:val="en-US" w:eastAsia="en-US"/>
        </w:rPr>
        <w:t>smart and inclusive growth</w:t>
      </w:r>
      <w:r w:rsidR="002C78DC">
        <w:rPr>
          <w:rFonts w:eastAsia="Arial Unicode MS" w:cs="Arial Unicode MS"/>
          <w:sz w:val="28"/>
          <w:szCs w:val="28"/>
          <w:u w:color="000000"/>
          <w:bdr w:val="nil"/>
          <w:lang w:val="en-US" w:eastAsia="en-US"/>
        </w:rPr>
        <w:t xml:space="preserve">, </w:t>
      </w:r>
      <w:r w:rsidRPr="005479DD">
        <w:rPr>
          <w:rFonts w:eastAsia="Arial Unicode MS" w:cs="Arial Unicode MS"/>
          <w:sz w:val="28"/>
          <w:szCs w:val="28"/>
          <w:u w:color="000000"/>
          <w:bdr w:val="nil"/>
          <w:lang w:val="en-US" w:eastAsia="en-US"/>
        </w:rPr>
        <w:t>such programs and projects</w:t>
      </w:r>
      <w:r w:rsidR="002C78DC">
        <w:rPr>
          <w:rFonts w:eastAsia="Arial Unicode MS" w:cs="Arial Unicode MS"/>
          <w:sz w:val="28"/>
          <w:szCs w:val="28"/>
          <w:u w:color="000000"/>
          <w:bdr w:val="nil"/>
          <w:lang w:val="en-US" w:eastAsia="en-US"/>
        </w:rPr>
        <w:t xml:space="preserve"> are financed</w:t>
      </w:r>
      <w:r w:rsidRPr="005479DD">
        <w:rPr>
          <w:rFonts w:eastAsia="Arial Unicode MS" w:cs="Arial Unicode MS"/>
          <w:sz w:val="28"/>
          <w:szCs w:val="28"/>
          <w:u w:color="000000"/>
          <w:bdr w:val="nil"/>
          <w:lang w:val="en-US" w:eastAsia="en-US"/>
        </w:rPr>
        <w:t>:</w:t>
      </w:r>
      <w:r w:rsidR="007C76DD">
        <w:rPr>
          <w:rFonts w:eastAsia="Arial Unicode MS" w:cs="Arial Unicode MS"/>
          <w:sz w:val="28"/>
          <w:szCs w:val="28"/>
          <w:u w:color="000000"/>
          <w:bdr w:val="nil"/>
          <w:lang w:val="en-US" w:eastAsia="en-US"/>
        </w:rPr>
        <w:t xml:space="preserve"> </w:t>
      </w:r>
      <w:r w:rsidR="005479DD">
        <w:rPr>
          <w:rFonts w:eastAsia="Arial Unicode MS" w:cs="Arial Unicode MS"/>
          <w:sz w:val="28"/>
          <w:szCs w:val="28"/>
          <w:u w:color="000000"/>
          <w:bdr w:val="nil"/>
          <w:lang w:val="en-US" w:eastAsia="en-US"/>
        </w:rPr>
        <w:t>(i)</w:t>
      </w:r>
      <w:r w:rsidR="007C76DD">
        <w:rPr>
          <w:rFonts w:eastAsia="Arial Unicode MS" w:cs="Arial Unicode MS"/>
          <w:sz w:val="28"/>
          <w:szCs w:val="28"/>
          <w:u w:color="000000"/>
          <w:bdr w:val="nil"/>
          <w:lang w:val="en-US" w:eastAsia="en-US"/>
        </w:rPr>
        <w:t xml:space="preserve"> </w:t>
      </w:r>
      <w:r w:rsidRPr="005479DD">
        <w:rPr>
          <w:rFonts w:eastAsia="Arial Unicode MS" w:cs="Arial Unicode MS"/>
          <w:sz w:val="28"/>
          <w:szCs w:val="28"/>
          <w:u w:color="000000"/>
          <w:bdr w:val="nil"/>
          <w:lang w:val="en-US"/>
        </w:rPr>
        <w:t>Large infrastructure projects (</w:t>
      </w:r>
      <w:r w:rsidRPr="005479DD">
        <w:rPr>
          <w:rFonts w:eastAsia="Arial Unicode MS" w:cs="Arial Unicode MS"/>
          <w:iCs/>
          <w:sz w:val="28"/>
          <w:szCs w:val="28"/>
          <w:u w:color="000000"/>
          <w:bdr w:val="nil"/>
          <w:lang w:val="en-US"/>
        </w:rPr>
        <w:t>European satellite navigation systems (EGNOS and GALILEO), International Thermonuclear Experimental Reactor (ITER), European Earth Observation Programme (Copernicus)</w:t>
      </w:r>
      <w:r w:rsidRPr="005479DD">
        <w:rPr>
          <w:rFonts w:eastAsia="Arial Unicode MS" w:cs="Arial Unicode MS"/>
          <w:sz w:val="28"/>
          <w:szCs w:val="28"/>
          <w:u w:color="000000"/>
          <w:bdr w:val="nil"/>
          <w:lang w:val="en-US"/>
        </w:rPr>
        <w:t>);</w:t>
      </w:r>
      <w:r w:rsidR="005479DD" w:rsidRPr="005479DD">
        <w:rPr>
          <w:rFonts w:eastAsia="Arial Unicode MS" w:cs="Arial Unicode MS"/>
          <w:sz w:val="28"/>
          <w:szCs w:val="28"/>
          <w:u w:color="000000"/>
          <w:bdr w:val="nil"/>
          <w:lang w:val="en-US"/>
        </w:rPr>
        <w:t xml:space="preserve"> (ii) </w:t>
      </w:r>
      <w:r w:rsidRPr="005479DD">
        <w:rPr>
          <w:rFonts w:eastAsia="Arial Unicode MS" w:cs="Arial Unicode MS"/>
          <w:sz w:val="28"/>
          <w:szCs w:val="28"/>
          <w:u w:color="000000"/>
          <w:bdr w:val="nil"/>
          <w:lang w:val="en-US"/>
        </w:rPr>
        <w:t xml:space="preserve">Nuclear Safety and Decommissioning, </w:t>
      </w:r>
      <w:r w:rsidR="005479DD">
        <w:rPr>
          <w:rFonts w:eastAsia="Arial Unicode MS" w:cs="Arial Unicode MS"/>
          <w:sz w:val="28"/>
          <w:szCs w:val="28"/>
          <w:u w:color="000000"/>
          <w:bdr w:val="nil"/>
          <w:lang w:val="en-US"/>
        </w:rPr>
        <w:t xml:space="preserve">(iii) </w:t>
      </w:r>
      <w:r w:rsidRPr="005479DD">
        <w:rPr>
          <w:rFonts w:eastAsia="Arial Unicode MS" w:cs="Arial Unicode MS"/>
          <w:sz w:val="28"/>
          <w:szCs w:val="28"/>
          <w:u w:color="000000"/>
          <w:bdr w:val="nil"/>
          <w:lang w:val="en-US"/>
        </w:rPr>
        <w:t>Competitiveness of enterprises and small and medium-</w:t>
      </w:r>
      <w:r w:rsidRPr="005479DD">
        <w:rPr>
          <w:rFonts w:eastAsia="Arial Unicode MS" w:cs="Arial Unicode MS"/>
          <w:sz w:val="28"/>
          <w:szCs w:val="28"/>
          <w:u w:color="000000"/>
          <w:bdr w:val="nil"/>
          <w:lang w:val="en-US"/>
        </w:rPr>
        <w:lastRenderedPageBreak/>
        <w:t xml:space="preserve">sized enterprises (COSME), </w:t>
      </w:r>
      <w:r w:rsidR="005479DD">
        <w:rPr>
          <w:rFonts w:eastAsia="Arial Unicode MS" w:cs="Arial Unicode MS"/>
          <w:sz w:val="28"/>
          <w:szCs w:val="28"/>
          <w:u w:color="000000"/>
          <w:bdr w:val="nil"/>
          <w:lang w:val="en-US"/>
        </w:rPr>
        <w:t xml:space="preserve">(iv) </w:t>
      </w:r>
      <w:r w:rsidRPr="005479DD">
        <w:rPr>
          <w:rFonts w:eastAsia="Arial Unicode MS" w:cs="Arial Unicode MS"/>
          <w:sz w:val="28"/>
          <w:szCs w:val="28"/>
          <w:u w:color="000000"/>
          <w:bdr w:val="nil"/>
          <w:lang w:val="en-US"/>
        </w:rPr>
        <w:t xml:space="preserve">Social Change and Innovation; </w:t>
      </w:r>
      <w:r w:rsidR="005479DD">
        <w:rPr>
          <w:rFonts w:eastAsia="Arial Unicode MS" w:cs="Arial Unicode MS"/>
          <w:sz w:val="28"/>
          <w:szCs w:val="28"/>
          <w:u w:color="000000"/>
          <w:bdr w:val="nil"/>
          <w:lang w:val="en-US"/>
        </w:rPr>
        <w:t xml:space="preserve">(v) </w:t>
      </w:r>
      <w:r w:rsidRPr="005479DD">
        <w:rPr>
          <w:rFonts w:eastAsia="Arial Unicode MS" w:cs="Arial Unicode MS"/>
          <w:sz w:val="28"/>
          <w:szCs w:val="28"/>
          <w:u w:color="000000"/>
          <w:bdr w:val="nil"/>
          <w:lang w:val="en-US"/>
        </w:rPr>
        <w:t>Connecting Europe Facility (</w:t>
      </w:r>
      <w:r w:rsidR="002C78DC" w:rsidRPr="005479DD">
        <w:rPr>
          <w:rFonts w:eastAsia="Arial Unicode MS" w:cs="Arial Unicode MS"/>
          <w:iCs/>
          <w:sz w:val="28"/>
          <w:szCs w:val="28"/>
          <w:u w:color="000000"/>
          <w:bdr w:val="nil"/>
          <w:lang w:val="en-US"/>
        </w:rPr>
        <w:t xml:space="preserve">energy, transport, information and communications technology </w:t>
      </w:r>
      <w:r w:rsidRPr="005479DD">
        <w:rPr>
          <w:rFonts w:eastAsia="Arial Unicode MS" w:cs="Arial Unicode MS"/>
          <w:iCs/>
          <w:sz w:val="28"/>
          <w:szCs w:val="28"/>
          <w:u w:color="000000"/>
          <w:bdr w:val="nil"/>
          <w:lang w:val="en-US"/>
        </w:rPr>
        <w:t>(ICT)</w:t>
      </w:r>
      <w:r w:rsidRPr="005479DD">
        <w:rPr>
          <w:rFonts w:eastAsia="Arial Unicode MS" w:cs="Arial Unicode MS"/>
          <w:sz w:val="28"/>
          <w:szCs w:val="28"/>
          <w:u w:color="000000"/>
          <w:bdr w:val="nil"/>
          <w:lang w:val="en-US"/>
        </w:rPr>
        <w:t>);</w:t>
      </w:r>
      <w:r w:rsidR="005479DD">
        <w:rPr>
          <w:rFonts w:eastAsia="Arial Unicode MS" w:cs="Arial Unicode MS"/>
          <w:sz w:val="28"/>
          <w:szCs w:val="28"/>
          <w:u w:color="000000"/>
          <w:bdr w:val="nil"/>
          <w:lang w:val="en-US"/>
        </w:rPr>
        <w:t xml:space="preserve"> (vi) </w:t>
      </w:r>
      <w:r w:rsidRPr="005479DD">
        <w:rPr>
          <w:rFonts w:eastAsia="Arial Unicode MS" w:cs="Arial Unicode MS"/>
          <w:sz w:val="28"/>
          <w:szCs w:val="28"/>
          <w:u w:color="000000"/>
          <w:bdr w:val="nil"/>
          <w:lang w:val="en-US"/>
        </w:rPr>
        <w:t>Investment for growth and jobs (</w:t>
      </w:r>
      <w:r w:rsidR="002C78DC" w:rsidRPr="005479DD">
        <w:rPr>
          <w:rFonts w:eastAsia="Arial Unicode MS" w:cs="Arial Unicode MS"/>
          <w:iCs/>
          <w:sz w:val="28"/>
          <w:szCs w:val="28"/>
          <w:u w:color="000000"/>
          <w:bdr w:val="nil"/>
          <w:lang w:val="en-US"/>
        </w:rPr>
        <w:t>regional convergence of less developed regions, transition regions, competitiveness of more developed regions, outermost, and sparsely populated regions</w:t>
      </w:r>
      <w:r w:rsidRPr="005479DD">
        <w:rPr>
          <w:rFonts w:eastAsia="Arial Unicode MS" w:cs="Arial Unicode MS"/>
          <w:sz w:val="28"/>
          <w:szCs w:val="28"/>
          <w:u w:color="000000"/>
          <w:bdr w:val="nil"/>
          <w:lang w:val="en-US"/>
        </w:rPr>
        <w:t>).</w:t>
      </w:r>
    </w:p>
    <w:p w14:paraId="0BD69DC5" w14:textId="77777777" w:rsidR="005479DD" w:rsidRDefault="00FB375D" w:rsidP="00137967">
      <w:pPr>
        <w:pBdr>
          <w:top w:val="nil"/>
          <w:left w:val="nil"/>
          <w:bottom w:val="nil"/>
          <w:right w:val="nil"/>
          <w:between w:val="nil"/>
          <w:bar w:val="nil"/>
        </w:pBdr>
        <w:spacing w:line="312" w:lineRule="auto"/>
        <w:ind w:firstLine="709"/>
        <w:jc w:val="both"/>
        <w:rPr>
          <w:rFonts w:eastAsia="Arial Unicode MS" w:cs="Arial Unicode MS"/>
          <w:spacing w:val="-2"/>
          <w:sz w:val="28"/>
          <w:szCs w:val="28"/>
          <w:u w:color="000000"/>
          <w:bdr w:val="nil"/>
          <w:lang w:val="en-US" w:eastAsia="en-US"/>
        </w:rPr>
      </w:pPr>
      <w:r w:rsidRPr="007E1311">
        <w:rPr>
          <w:rFonts w:eastAsia="Garamond" w:cs="Garamond"/>
          <w:sz w:val="28"/>
          <w:szCs w:val="28"/>
          <w:u w:color="000000"/>
          <w:bdr w:val="nil"/>
          <w:lang w:val="en-US" w:eastAsia="en-US"/>
        </w:rPr>
        <w:tab/>
      </w:r>
      <w:r w:rsidRPr="007E1311">
        <w:rPr>
          <w:rFonts w:eastAsia="Arial Unicode MS" w:cs="Arial Unicode MS"/>
          <w:spacing w:val="-2"/>
          <w:sz w:val="28"/>
          <w:szCs w:val="28"/>
          <w:u w:color="000000"/>
          <w:bdr w:val="nil"/>
          <w:lang w:val="en-US" w:eastAsia="en-US"/>
        </w:rPr>
        <w:t>Taking into account the s</w:t>
      </w:r>
      <w:r w:rsidR="002C78DC">
        <w:rPr>
          <w:rFonts w:eastAsia="Arial Unicode MS" w:cs="Arial Unicode MS"/>
          <w:spacing w:val="-2"/>
          <w:sz w:val="28"/>
          <w:szCs w:val="28"/>
          <w:u w:color="000000"/>
          <w:bdr w:val="nil"/>
          <w:lang w:val="en-US" w:eastAsia="en-US"/>
        </w:rPr>
        <w:t>tructure of the EU budget (see T</w:t>
      </w:r>
      <w:r w:rsidRPr="007E1311">
        <w:rPr>
          <w:rFonts w:eastAsia="Arial Unicode MS" w:cs="Arial Unicode MS"/>
          <w:spacing w:val="-2"/>
          <w:sz w:val="28"/>
          <w:szCs w:val="28"/>
          <w:u w:color="000000"/>
          <w:bdr w:val="nil"/>
          <w:lang w:val="en-US" w:eastAsia="en-US"/>
        </w:rPr>
        <w:t>able 12.2), we can see that it is quite well balanced – total revenues are higher than total expenditures. Programs and projects that stimula</w:t>
      </w:r>
      <w:r w:rsidR="002C78DC">
        <w:rPr>
          <w:rFonts w:eastAsia="Arial Unicode MS" w:cs="Arial Unicode MS"/>
          <w:spacing w:val="-2"/>
          <w:sz w:val="28"/>
          <w:szCs w:val="28"/>
          <w:u w:color="000000"/>
          <w:bdr w:val="nil"/>
          <w:lang w:val="en-US" w:eastAsia="en-US"/>
        </w:rPr>
        <w:t xml:space="preserve">te economic growth of the EU </w:t>
      </w:r>
      <w:r w:rsidRPr="007E1311">
        <w:rPr>
          <w:rFonts w:eastAsia="Arial Unicode MS" w:cs="Arial Unicode MS"/>
          <w:spacing w:val="-2"/>
          <w:sz w:val="28"/>
          <w:szCs w:val="28"/>
          <w:u w:color="000000"/>
          <w:bdr w:val="nil"/>
          <w:lang w:val="en-US" w:eastAsia="en-US"/>
        </w:rPr>
        <w:t>take the biggest</w:t>
      </w:r>
      <w:r w:rsidR="002C78DC">
        <w:rPr>
          <w:rFonts w:eastAsia="Arial Unicode MS" w:cs="Arial Unicode MS"/>
          <w:spacing w:val="-2"/>
          <w:sz w:val="28"/>
          <w:szCs w:val="28"/>
          <w:u w:color="000000"/>
          <w:bdr w:val="nil"/>
          <w:lang w:val="en-US" w:eastAsia="en-US"/>
        </w:rPr>
        <w:t xml:space="preserve"> part of expenses (more than 87.</w:t>
      </w:r>
      <w:r w:rsidRPr="007E1311">
        <w:rPr>
          <w:rFonts w:eastAsia="Arial Unicode MS" w:cs="Arial Unicode MS"/>
          <w:spacing w:val="-2"/>
          <w:sz w:val="28"/>
          <w:szCs w:val="28"/>
          <w:u w:color="000000"/>
          <w:bdr w:val="nil"/>
          <w:lang w:val="en-US" w:eastAsia="en-US"/>
        </w:rPr>
        <w:t xml:space="preserve">2 %). </w:t>
      </w:r>
      <w:r w:rsidR="002C78DC">
        <w:rPr>
          <w:rFonts w:eastAsia="Arial Unicode MS" w:cs="Arial Unicode MS"/>
          <w:spacing w:val="-2"/>
          <w:sz w:val="28"/>
          <w:szCs w:val="28"/>
          <w:u w:color="000000"/>
          <w:bdr w:val="nil"/>
          <w:lang w:val="en-US" w:eastAsia="en-US"/>
        </w:rPr>
        <w:t>Six percent</w:t>
      </w:r>
      <w:r w:rsidRPr="007E1311">
        <w:rPr>
          <w:rFonts w:eastAsia="Arial Unicode MS" w:cs="Arial Unicode MS"/>
          <w:spacing w:val="-2"/>
          <w:sz w:val="28"/>
          <w:szCs w:val="28"/>
          <w:u w:color="000000"/>
          <w:bdr w:val="nil"/>
          <w:lang w:val="en-US" w:eastAsia="en-US"/>
        </w:rPr>
        <w:t xml:space="preserve"> of expenses go to administration</w:t>
      </w:r>
      <w:r w:rsidR="002C78DC">
        <w:rPr>
          <w:rFonts w:eastAsia="Arial Unicode MS" w:cs="Arial Unicode MS"/>
          <w:spacing w:val="-2"/>
          <w:sz w:val="28"/>
          <w:szCs w:val="28"/>
          <w:u w:color="000000"/>
          <w:bdr w:val="nil"/>
          <w:lang w:val="en-US" w:eastAsia="en-US"/>
        </w:rPr>
        <w:t>,</w:t>
      </w:r>
      <w:r w:rsidRPr="007E1311">
        <w:rPr>
          <w:rFonts w:eastAsia="Arial Unicode MS" w:cs="Arial Unicode MS"/>
          <w:spacing w:val="-2"/>
          <w:sz w:val="28"/>
          <w:szCs w:val="28"/>
          <w:u w:color="000000"/>
          <w:bdr w:val="nil"/>
          <w:lang w:val="en-US" w:eastAsia="en-US"/>
        </w:rPr>
        <w:t xml:space="preserve"> and 5</w:t>
      </w:r>
      <w:r w:rsidR="002C78DC">
        <w:rPr>
          <w:rFonts w:eastAsia="Arial Unicode MS" w:cs="Arial Unicode MS"/>
          <w:spacing w:val="-2"/>
          <w:sz w:val="28"/>
          <w:szCs w:val="28"/>
          <w:u w:color="000000"/>
          <w:bdr w:val="nil"/>
          <w:lang w:val="en-US" w:eastAsia="en-US"/>
        </w:rPr>
        <w:t xml:space="preserve"> </w:t>
      </w:r>
      <w:r w:rsidRPr="007E1311">
        <w:rPr>
          <w:rFonts w:eastAsia="Arial Unicode MS" w:cs="Arial Unicode MS"/>
          <w:spacing w:val="-2"/>
          <w:sz w:val="28"/>
          <w:szCs w:val="28"/>
          <w:u w:color="000000"/>
          <w:bdr w:val="nil"/>
          <w:lang w:val="en-US" w:eastAsia="en-US"/>
        </w:rPr>
        <w:t>% are used for international relations. According to the revenues’ st</w:t>
      </w:r>
      <w:r w:rsidR="002C78DC">
        <w:rPr>
          <w:rFonts w:eastAsia="Arial Unicode MS" w:cs="Arial Unicode MS"/>
          <w:spacing w:val="-2"/>
          <w:sz w:val="28"/>
          <w:szCs w:val="28"/>
          <w:u w:color="000000"/>
          <w:bdr w:val="nil"/>
          <w:lang w:val="en-US" w:eastAsia="en-US"/>
        </w:rPr>
        <w:t>ructure, the biggest source is the GNI-based own resourc</w:t>
      </w:r>
      <w:r w:rsidR="00D003A0">
        <w:rPr>
          <w:rFonts w:eastAsia="Arial Unicode MS" w:cs="Arial Unicode MS"/>
          <w:spacing w:val="-2"/>
          <w:sz w:val="28"/>
          <w:szCs w:val="28"/>
          <w:u w:color="000000"/>
          <w:bdr w:val="nil"/>
          <w:lang w:val="en-US" w:eastAsia="en-US"/>
        </w:rPr>
        <w:t>e</w:t>
      </w:r>
      <w:r w:rsidRPr="007E1311">
        <w:rPr>
          <w:rFonts w:eastAsia="Arial Unicode MS" w:cs="Arial Unicode MS"/>
          <w:spacing w:val="-2"/>
          <w:sz w:val="28"/>
          <w:szCs w:val="28"/>
          <w:u w:color="000000"/>
          <w:bdr w:val="nil"/>
          <w:lang w:val="en-US" w:eastAsia="en-US"/>
        </w:rPr>
        <w:t>”. It takes more than 68 % of revenues</w:t>
      </w:r>
      <w:r w:rsidR="002C78DC">
        <w:rPr>
          <w:rFonts w:eastAsia="Arial Unicode MS" w:cs="Arial Unicode MS"/>
          <w:spacing w:val="-2"/>
          <w:sz w:val="28"/>
          <w:szCs w:val="28"/>
          <w:u w:color="000000"/>
          <w:bdr w:val="nil"/>
          <w:lang w:val="en-US" w:eastAsia="en-US"/>
        </w:rPr>
        <w:t>,</w:t>
      </w:r>
      <w:r w:rsidRPr="007E1311">
        <w:rPr>
          <w:rFonts w:eastAsia="Arial Unicode MS" w:cs="Arial Unicode MS"/>
          <w:spacing w:val="-2"/>
          <w:sz w:val="28"/>
          <w:szCs w:val="28"/>
          <w:u w:color="000000"/>
          <w:bdr w:val="nil"/>
          <w:lang w:val="en-US" w:eastAsia="en-US"/>
        </w:rPr>
        <w:t xml:space="preserve"> and its level depends on the economic development of EU member</w:t>
      </w:r>
      <w:r w:rsidR="002C78DC">
        <w:rPr>
          <w:rFonts w:eastAsia="Arial Unicode MS" w:cs="Arial Unicode MS"/>
          <w:spacing w:val="-2"/>
          <w:sz w:val="28"/>
          <w:szCs w:val="28"/>
          <w:u w:color="000000"/>
          <w:bdr w:val="nil"/>
          <w:lang w:val="en-US" w:eastAsia="en-US"/>
        </w:rPr>
        <w:t xml:space="preserve"> </w:t>
      </w:r>
      <w:r w:rsidRPr="007E1311">
        <w:rPr>
          <w:rFonts w:eastAsia="Arial Unicode MS" w:cs="Arial Unicode MS"/>
          <w:spacing w:val="-2"/>
          <w:sz w:val="28"/>
          <w:szCs w:val="28"/>
          <w:u w:color="000000"/>
          <w:bdr w:val="nil"/>
          <w:lang w:val="en-US" w:eastAsia="en-US"/>
        </w:rPr>
        <w:t>states. Almost equal contributions t</w:t>
      </w:r>
      <w:r w:rsidR="002C78DC">
        <w:rPr>
          <w:rFonts w:eastAsia="Arial Unicode MS" w:cs="Arial Unicode MS"/>
          <w:spacing w:val="-2"/>
          <w:sz w:val="28"/>
          <w:szCs w:val="28"/>
          <w:u w:color="000000"/>
          <w:bdr w:val="nil"/>
          <w:lang w:val="en-US" w:eastAsia="en-US"/>
        </w:rPr>
        <w:t>o the budget are gathered from the VAT-based own resource</w:t>
      </w:r>
      <w:r w:rsidR="00194CAB">
        <w:rPr>
          <w:rFonts w:eastAsia="Arial Unicode MS" w:cs="Arial Unicode MS"/>
          <w:spacing w:val="-2"/>
          <w:sz w:val="28"/>
          <w:szCs w:val="28"/>
          <w:u w:color="000000"/>
          <w:bdr w:val="nil"/>
          <w:lang w:val="en-US" w:eastAsia="en-US"/>
        </w:rPr>
        <w:t xml:space="preserve"> (12.3 %) and t</w:t>
      </w:r>
      <w:r w:rsidRPr="007E1311">
        <w:rPr>
          <w:rFonts w:eastAsia="Arial Unicode MS" w:cs="Arial Unicode MS"/>
          <w:spacing w:val="-2"/>
          <w:sz w:val="28"/>
          <w:szCs w:val="28"/>
          <w:u w:color="000000"/>
          <w:bdr w:val="nil"/>
          <w:lang w:val="en-US" w:eastAsia="en-US"/>
        </w:rPr>
        <w:t>raditional own resources (11</w:t>
      </w:r>
      <w:r w:rsidR="00194CAB">
        <w:rPr>
          <w:rFonts w:eastAsia="Arial Unicode MS" w:cs="Arial Unicode MS"/>
          <w:spacing w:val="-2"/>
          <w:sz w:val="28"/>
          <w:szCs w:val="28"/>
          <w:u w:color="000000"/>
          <w:bdr w:val="nil"/>
          <w:lang w:val="en-US" w:eastAsia="en-US"/>
        </w:rPr>
        <w:t>.</w:t>
      </w:r>
      <w:r w:rsidRPr="007E1311">
        <w:rPr>
          <w:rFonts w:eastAsia="Arial Unicode MS" w:cs="Arial Unicode MS"/>
          <w:spacing w:val="-2"/>
          <w:sz w:val="28"/>
          <w:szCs w:val="28"/>
          <w:u w:color="000000"/>
          <w:bdr w:val="nil"/>
          <w:lang w:val="en-US" w:eastAsia="en-US"/>
        </w:rPr>
        <w:t xml:space="preserve">5 %). </w:t>
      </w:r>
    </w:p>
    <w:p w14:paraId="436F469D" w14:textId="77777777" w:rsidR="00FB375D" w:rsidRPr="007E1311" w:rsidRDefault="00FB375D" w:rsidP="00137967">
      <w:pPr>
        <w:pBdr>
          <w:top w:val="nil"/>
          <w:left w:val="nil"/>
          <w:bottom w:val="nil"/>
          <w:right w:val="nil"/>
          <w:between w:val="nil"/>
          <w:bar w:val="nil"/>
        </w:pBdr>
        <w:spacing w:line="312" w:lineRule="auto"/>
        <w:ind w:firstLine="709"/>
        <w:jc w:val="both"/>
        <w:rPr>
          <w:rFonts w:eastAsia="Garamond" w:cs="Garamond"/>
          <w:spacing w:val="-2"/>
          <w:sz w:val="28"/>
          <w:szCs w:val="28"/>
          <w:u w:color="000000"/>
          <w:bdr w:val="nil"/>
          <w:lang w:val="en-US" w:eastAsia="en-US"/>
        </w:rPr>
      </w:pPr>
    </w:p>
    <w:p w14:paraId="1EF4C9C8" w14:textId="77777777" w:rsidR="00FB375D" w:rsidRPr="007E1311" w:rsidRDefault="00FB375D" w:rsidP="00D003A0">
      <w:pPr>
        <w:pBdr>
          <w:top w:val="nil"/>
          <w:left w:val="nil"/>
          <w:bottom w:val="nil"/>
          <w:right w:val="nil"/>
          <w:between w:val="nil"/>
          <w:bar w:val="nil"/>
        </w:pBdr>
        <w:spacing w:line="312" w:lineRule="auto"/>
        <w:jc w:val="both"/>
        <w:rPr>
          <w:rFonts w:eastAsia="Garamond" w:cs="Garamond"/>
          <w:b/>
          <w:bCs/>
          <w:sz w:val="28"/>
          <w:szCs w:val="28"/>
          <w:u w:color="000000"/>
          <w:bdr w:val="nil"/>
          <w:lang w:val="en-US" w:eastAsia="en-US"/>
        </w:rPr>
      </w:pPr>
      <w:r w:rsidRPr="007E1311">
        <w:rPr>
          <w:rFonts w:eastAsia="Arial Unicode MS" w:cs="Arial Unicode MS"/>
          <w:b/>
          <w:bCs/>
          <w:sz w:val="28"/>
          <w:szCs w:val="28"/>
          <w:u w:color="000000"/>
          <w:bdr w:val="nil"/>
          <w:lang w:val="en-US" w:eastAsia="en-US"/>
        </w:rPr>
        <w:t>Table 12.2</w:t>
      </w:r>
      <w:r w:rsidR="00137967">
        <w:rPr>
          <w:rFonts w:eastAsia="Arial Unicode MS" w:cs="Arial Unicode MS"/>
          <w:b/>
          <w:bCs/>
          <w:sz w:val="28"/>
          <w:szCs w:val="28"/>
          <w:u w:color="000000"/>
          <w:bdr w:val="nil"/>
          <w:lang w:val="en-US" w:eastAsia="en-US"/>
        </w:rPr>
        <w:t xml:space="preserve"> </w:t>
      </w:r>
      <w:r w:rsidR="00137967" w:rsidRPr="00305E02">
        <w:rPr>
          <w:rFonts w:cs="Garamond"/>
          <w:color w:val="auto"/>
          <w:sz w:val="28"/>
          <w:lang w:val="en-US" w:eastAsia="ru-RU" w:bidi="ru-RU"/>
        </w:rPr>
        <w:t>–</w:t>
      </w:r>
      <w:r w:rsidR="00137967">
        <w:rPr>
          <w:rFonts w:cs="Garamond"/>
          <w:color w:val="auto"/>
          <w:sz w:val="28"/>
          <w:lang w:val="en-US" w:eastAsia="ru-RU" w:bidi="ru-RU"/>
        </w:rPr>
        <w:t xml:space="preserve"> </w:t>
      </w:r>
      <w:r w:rsidRPr="007E1311">
        <w:rPr>
          <w:rFonts w:eastAsia="Arial Unicode MS" w:cs="Arial Unicode MS"/>
          <w:b/>
          <w:bCs/>
          <w:sz w:val="28"/>
          <w:szCs w:val="28"/>
          <w:u w:color="000000"/>
          <w:bdr w:val="nil"/>
          <w:lang w:val="en-US" w:eastAsia="en-US"/>
        </w:rPr>
        <w:t>Comparison of EU budget’s expenditures and revenues in 2014</w:t>
      </w:r>
    </w:p>
    <w:tbl>
      <w:tblPr>
        <w:tblW w:w="9747"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02"/>
        <w:gridCol w:w="1134"/>
        <w:gridCol w:w="992"/>
        <w:gridCol w:w="2693"/>
        <w:gridCol w:w="1134"/>
        <w:gridCol w:w="992"/>
      </w:tblGrid>
      <w:tr w:rsidR="00FB375D" w:rsidRPr="007E1311" w14:paraId="54EEF830" w14:textId="77777777" w:rsidTr="005479DD">
        <w:trPr>
          <w:trHeight w:val="270"/>
          <w:jc w:val="center"/>
        </w:trPr>
        <w:tc>
          <w:tcPr>
            <w:tcW w:w="4928"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tcPr>
          <w:p w14:paraId="2FEDC1D8" w14:textId="77777777" w:rsidR="00FB375D" w:rsidRPr="007E1311"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7E1311">
              <w:rPr>
                <w:rFonts w:eastAsia="Arial Unicode MS" w:cs="Arial Unicode MS"/>
                <w:sz w:val="28"/>
                <w:szCs w:val="28"/>
                <w:u w:color="000000"/>
                <w:bdr w:val="nil"/>
                <w:lang w:val="en-US" w:eastAsia="en-US"/>
              </w:rPr>
              <w:t>Expenditures</w:t>
            </w:r>
          </w:p>
        </w:tc>
        <w:tc>
          <w:tcPr>
            <w:tcW w:w="4819"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tcPr>
          <w:p w14:paraId="4F323A2F" w14:textId="77777777" w:rsidR="00FB375D" w:rsidRPr="007E1311"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7E1311">
              <w:rPr>
                <w:rFonts w:eastAsia="Arial Unicode MS" w:cs="Arial Unicode MS"/>
                <w:sz w:val="28"/>
                <w:szCs w:val="28"/>
                <w:u w:color="000000"/>
                <w:bdr w:val="nil"/>
                <w:lang w:val="en-US" w:eastAsia="en-US"/>
              </w:rPr>
              <w:t>Revenues</w:t>
            </w:r>
          </w:p>
        </w:tc>
      </w:tr>
      <w:tr w:rsidR="00FB375D" w:rsidRPr="007E1311" w14:paraId="7AC7204A" w14:textId="77777777" w:rsidTr="005479DD">
        <w:trPr>
          <w:trHeight w:val="53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EB41E7B"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Heading</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F0234BF" w14:textId="77777777" w:rsidR="00FB375D" w:rsidRPr="005479DD" w:rsidRDefault="00FB375D" w:rsidP="00194CAB">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Euro</w:t>
            </w:r>
            <w:r w:rsidR="00194CAB">
              <w:rPr>
                <w:rFonts w:eastAsia="Arial Unicode MS" w:cs="Arial Unicode MS"/>
                <w:sz w:val="28"/>
                <w:szCs w:val="28"/>
                <w:u w:color="000000"/>
                <w:bdr w:val="nil"/>
                <w:lang w:val="en-US" w:eastAsia="en-US"/>
              </w:rPr>
              <w:t>,</w:t>
            </w:r>
            <w:r w:rsidRPr="005479DD">
              <w:rPr>
                <w:rFonts w:eastAsia="Arial Unicode MS" w:cs="Arial Unicode MS"/>
                <w:sz w:val="28"/>
                <w:szCs w:val="28"/>
                <w:u w:color="000000"/>
                <w:bdr w:val="nil"/>
                <w:lang w:val="en-US" w:eastAsia="en-US"/>
              </w:rPr>
              <w:t xml:space="preserve"> mln</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2AE319E"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FB25702"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Form of revenue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7C0D50D"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Euro</w:t>
            </w:r>
            <w:r w:rsidR="00194CAB">
              <w:rPr>
                <w:rFonts w:eastAsia="Arial Unicode MS" w:cs="Arial Unicode MS"/>
                <w:sz w:val="28"/>
                <w:szCs w:val="28"/>
                <w:u w:color="000000"/>
                <w:bdr w:val="nil"/>
                <w:lang w:val="en-US" w:eastAsia="en-US"/>
              </w:rPr>
              <w:t>, mln</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BBA07BA"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w:t>
            </w:r>
          </w:p>
        </w:tc>
      </w:tr>
      <w:tr w:rsidR="00FB375D" w:rsidRPr="007E1311" w14:paraId="1FD41462" w14:textId="77777777" w:rsidTr="005479DD">
        <w:trPr>
          <w:trHeight w:val="27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42EC027"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Smart and inclusive growth</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508E6904"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67683</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25F97EC" w14:textId="77777777" w:rsidR="00FB375D" w:rsidRPr="005479DD" w:rsidRDefault="00194CAB"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Pr>
                <w:rFonts w:eastAsia="Arial Unicode MS" w:cs="Arial Unicode MS"/>
                <w:sz w:val="28"/>
                <w:szCs w:val="28"/>
                <w:u w:color="000000"/>
                <w:bdr w:val="nil"/>
                <w:lang w:val="en-US" w:eastAsia="en-US"/>
              </w:rPr>
              <w:t>47.</w:t>
            </w:r>
            <w:r w:rsidR="00FB375D" w:rsidRPr="005479DD">
              <w:rPr>
                <w:rFonts w:eastAsia="Arial Unicode MS" w:cs="Arial Unicode MS"/>
                <w:sz w:val="28"/>
                <w:szCs w:val="28"/>
                <w:u w:color="000000"/>
                <w:bdr w:val="nil"/>
                <w:lang w:val="en-US" w:eastAsia="en-US"/>
              </w:rPr>
              <w:t>5</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2853E791"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Traditional own resources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35E76D4F"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16430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A59530F" w14:textId="77777777" w:rsidR="00FB375D" w:rsidRPr="005479DD" w:rsidRDefault="00194CAB"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Pr>
                <w:rFonts w:eastAsia="Arial Unicode MS" w:cs="Arial Unicode MS"/>
                <w:sz w:val="28"/>
                <w:szCs w:val="28"/>
                <w:u w:color="000000"/>
                <w:bdr w:val="nil"/>
                <w:lang w:val="en-US" w:eastAsia="en-US"/>
              </w:rPr>
              <w:t>11.</w:t>
            </w:r>
            <w:r w:rsidR="00FB375D" w:rsidRPr="005479DD">
              <w:rPr>
                <w:rFonts w:eastAsia="Arial Unicode MS" w:cs="Arial Unicode MS"/>
                <w:sz w:val="28"/>
                <w:szCs w:val="28"/>
                <w:u w:color="000000"/>
                <w:bdr w:val="nil"/>
                <w:lang w:val="en-US" w:eastAsia="en-US"/>
              </w:rPr>
              <w:t>5</w:t>
            </w:r>
          </w:p>
        </w:tc>
      </w:tr>
      <w:tr w:rsidR="00FB375D" w:rsidRPr="007E1311" w14:paraId="61C250EA" w14:textId="77777777" w:rsidTr="005479DD">
        <w:trPr>
          <w:trHeight w:val="53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261EB457"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Sustainable growth: natural resources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2F9450D"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56585</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2FDAB63A" w14:textId="77777777" w:rsidR="00FB375D" w:rsidRPr="005479DD" w:rsidRDefault="00FB375D" w:rsidP="00194CAB">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39</w:t>
            </w:r>
            <w:r w:rsidR="00194CAB">
              <w:rPr>
                <w:rFonts w:eastAsia="Arial Unicode MS" w:cs="Arial Unicode MS"/>
                <w:sz w:val="28"/>
                <w:szCs w:val="28"/>
                <w:u w:color="000000"/>
                <w:bdr w:val="nil"/>
                <w:lang w:val="en-US" w:eastAsia="en-US"/>
              </w:rPr>
              <w:t>.</w:t>
            </w:r>
            <w:r w:rsidRPr="005479DD">
              <w:rPr>
                <w:rFonts w:eastAsia="Arial Unicode MS" w:cs="Arial Unicode MS"/>
                <w:sz w:val="28"/>
                <w:szCs w:val="28"/>
                <w:u w:color="000000"/>
                <w:bdr w:val="nil"/>
                <w:lang w:val="en-US" w:eastAsia="en-US"/>
              </w:rPr>
              <w:t>7</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748D92E1"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VAT-based own resource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7648C157"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17664</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02E0D55" w14:textId="77777777" w:rsidR="00FB375D" w:rsidRPr="005479DD" w:rsidRDefault="00194CAB"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Pr>
                <w:rFonts w:eastAsia="Arial Unicode MS" w:cs="Arial Unicode MS"/>
                <w:sz w:val="28"/>
                <w:szCs w:val="28"/>
                <w:u w:color="000000"/>
                <w:bdr w:val="nil"/>
                <w:lang w:val="en-US" w:eastAsia="en-US"/>
              </w:rPr>
              <w:t>12.</w:t>
            </w:r>
            <w:r w:rsidR="00FB375D" w:rsidRPr="005479DD">
              <w:rPr>
                <w:rFonts w:eastAsia="Arial Unicode MS" w:cs="Arial Unicode MS"/>
                <w:sz w:val="28"/>
                <w:szCs w:val="28"/>
                <w:u w:color="000000"/>
                <w:bdr w:val="nil"/>
                <w:lang w:val="en-US" w:eastAsia="en-US"/>
              </w:rPr>
              <w:t>3</w:t>
            </w:r>
          </w:p>
        </w:tc>
      </w:tr>
      <w:tr w:rsidR="00FB375D" w:rsidRPr="007E1311" w14:paraId="1F872226" w14:textId="77777777" w:rsidTr="005479DD">
        <w:trPr>
          <w:trHeight w:val="27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76A71572"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Security and citizenship</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2EE9A99"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1711</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6AD8D84" w14:textId="77777777" w:rsidR="00FB375D" w:rsidRPr="005479DD" w:rsidRDefault="00FB375D" w:rsidP="00194CAB">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1</w:t>
            </w:r>
            <w:r w:rsidR="00194CAB">
              <w:rPr>
                <w:rFonts w:eastAsia="Arial Unicode MS" w:cs="Arial Unicode MS"/>
                <w:sz w:val="28"/>
                <w:szCs w:val="28"/>
                <w:u w:color="000000"/>
                <w:bdr w:val="nil"/>
                <w:lang w:val="en-US" w:eastAsia="en-US"/>
              </w:rPr>
              <w:t>.</w:t>
            </w:r>
            <w:r w:rsidRPr="005479DD">
              <w:rPr>
                <w:rFonts w:eastAsia="Arial Unicode MS" w:cs="Arial Unicode MS"/>
                <w:sz w:val="28"/>
                <w:szCs w:val="28"/>
                <w:u w:color="000000"/>
                <w:bdr w:val="nil"/>
                <w:lang w:val="en-US" w:eastAsia="en-US"/>
              </w:rPr>
              <w:t>2</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B1AC1B2"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GNI-based own resource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C8591BE"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99075</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5B351C2F" w14:textId="77777777" w:rsidR="00FB375D" w:rsidRPr="005479DD" w:rsidRDefault="00194CAB"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Pr>
                <w:rFonts w:eastAsia="Arial Unicode MS" w:cs="Arial Unicode MS"/>
                <w:sz w:val="28"/>
                <w:szCs w:val="28"/>
                <w:u w:color="000000"/>
                <w:bdr w:val="nil"/>
                <w:lang w:val="en-US" w:eastAsia="en-US"/>
              </w:rPr>
              <w:t>68.</w:t>
            </w:r>
            <w:r w:rsidR="00FB375D" w:rsidRPr="005479DD">
              <w:rPr>
                <w:rFonts w:eastAsia="Arial Unicode MS" w:cs="Arial Unicode MS"/>
                <w:sz w:val="28"/>
                <w:szCs w:val="28"/>
                <w:u w:color="000000"/>
                <w:bdr w:val="nil"/>
                <w:lang w:val="en-US" w:eastAsia="en-US"/>
              </w:rPr>
              <w:t>4</w:t>
            </w:r>
          </w:p>
        </w:tc>
      </w:tr>
      <w:tr w:rsidR="00FB375D" w:rsidRPr="007E1311" w14:paraId="7D5222E9" w14:textId="77777777" w:rsidTr="005479DD">
        <w:trPr>
          <w:trHeight w:val="27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E35D4F0"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The EU as a global partner</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236B975"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7205</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58756ECE" w14:textId="77777777" w:rsidR="00FB375D" w:rsidRPr="005479DD" w:rsidRDefault="00FB375D" w:rsidP="00194CAB">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5</w:t>
            </w:r>
            <w:r w:rsidR="00194CAB">
              <w:rPr>
                <w:rFonts w:eastAsia="Arial Unicode MS" w:cs="Arial Unicode MS"/>
                <w:sz w:val="28"/>
                <w:szCs w:val="28"/>
                <w:u w:color="000000"/>
                <w:bdr w:val="nil"/>
                <w:lang w:val="en-US" w:eastAsia="en-US"/>
              </w:rPr>
              <w:t>.</w:t>
            </w:r>
            <w:r w:rsidRPr="005479DD">
              <w:rPr>
                <w:rFonts w:eastAsia="Arial Unicode MS" w:cs="Arial Unicode MS"/>
                <w:sz w:val="28"/>
                <w:szCs w:val="28"/>
                <w:u w:color="000000"/>
                <w:bdr w:val="nil"/>
                <w:lang w:val="en-US" w:eastAsia="en-US"/>
              </w:rPr>
              <w:t>1</w:t>
            </w:r>
          </w:p>
        </w:tc>
        <w:tc>
          <w:tcPr>
            <w:tcW w:w="269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2C28C29B"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UK correction</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32BE921F"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-209</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53F8729F" w14:textId="77777777" w:rsidR="00FB375D" w:rsidRPr="005479DD" w:rsidRDefault="00194CAB"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Pr>
                <w:rFonts w:eastAsia="Arial Unicode MS" w:cs="Arial Unicode MS"/>
                <w:sz w:val="28"/>
                <w:szCs w:val="28"/>
                <w:u w:color="000000"/>
                <w:bdr w:val="nil"/>
                <w:lang w:val="en-US" w:eastAsia="en-US"/>
              </w:rPr>
              <w:t>0.</w:t>
            </w:r>
            <w:r w:rsidR="00FB375D" w:rsidRPr="005479DD">
              <w:rPr>
                <w:rFonts w:eastAsia="Arial Unicode MS" w:cs="Arial Unicode MS"/>
                <w:sz w:val="28"/>
                <w:szCs w:val="28"/>
                <w:u w:color="000000"/>
                <w:bdr w:val="nil"/>
                <w:lang w:val="en-US" w:eastAsia="en-US"/>
              </w:rPr>
              <w:t>2</w:t>
            </w:r>
          </w:p>
        </w:tc>
      </w:tr>
      <w:tr w:rsidR="00FB375D" w:rsidRPr="007E1311" w14:paraId="239F6F28" w14:textId="77777777" w:rsidTr="005479DD">
        <w:trPr>
          <w:trHeight w:val="27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53124D17"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Administration</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0243C5B"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8819</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92C301A" w14:textId="77777777" w:rsidR="00FB375D" w:rsidRPr="005479DD" w:rsidRDefault="00194CAB"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Pr>
                <w:rFonts w:eastAsia="Arial Unicode MS" w:cs="Arial Unicode MS"/>
                <w:sz w:val="28"/>
                <w:szCs w:val="28"/>
                <w:u w:color="000000"/>
                <w:bdr w:val="nil"/>
                <w:lang w:val="en-US" w:eastAsia="en-US"/>
              </w:rPr>
              <w:t>6.</w:t>
            </w:r>
            <w:r w:rsidR="00FB375D" w:rsidRPr="005479DD">
              <w:rPr>
                <w:rFonts w:eastAsia="Arial Unicode MS" w:cs="Arial Unicode MS"/>
                <w:sz w:val="28"/>
                <w:szCs w:val="28"/>
                <w:u w:color="000000"/>
                <w:bdr w:val="nil"/>
                <w:lang w:val="en-US" w:eastAsia="en-US"/>
              </w:rPr>
              <w:t>2</w:t>
            </w:r>
          </w:p>
        </w:tc>
        <w:tc>
          <w:tcPr>
            <w:tcW w:w="2693" w:type="dxa"/>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7F3DFC08" w14:textId="77777777" w:rsidR="00FB375D" w:rsidRPr="005479DD" w:rsidRDefault="00FB375D" w:rsidP="005479DD">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07FABC08" w14:textId="77777777" w:rsidR="00FB375D" w:rsidRPr="005479DD" w:rsidRDefault="00FB375D" w:rsidP="005479DD">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390C3023" w14:textId="77777777" w:rsidR="00FB375D" w:rsidRPr="005479DD" w:rsidRDefault="00FB375D" w:rsidP="005479DD">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FB375D" w:rsidRPr="007E1311" w14:paraId="23DAAE7F" w14:textId="77777777" w:rsidTr="005479DD">
        <w:trPr>
          <w:trHeight w:val="27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36780D1A"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Compensations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369B616F"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29</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1F5A1A4"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0</w:t>
            </w:r>
          </w:p>
        </w:tc>
        <w:tc>
          <w:tcPr>
            <w:tcW w:w="269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746BA8A"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Surplus from previous year</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7F6F0F2E"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1005</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2A660C1" w14:textId="77777777" w:rsidR="00FB375D" w:rsidRPr="005479DD" w:rsidRDefault="00194CAB"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Pr>
                <w:rFonts w:eastAsia="Arial Unicode MS" w:cs="Arial Unicode MS"/>
                <w:sz w:val="28"/>
                <w:szCs w:val="28"/>
                <w:u w:color="000000"/>
                <w:bdr w:val="nil"/>
                <w:lang w:val="en-US" w:eastAsia="en-US"/>
              </w:rPr>
              <w:t>0.</w:t>
            </w:r>
            <w:r w:rsidR="00FB375D" w:rsidRPr="005479DD">
              <w:rPr>
                <w:rFonts w:eastAsia="Arial Unicode MS" w:cs="Arial Unicode MS"/>
                <w:sz w:val="28"/>
                <w:szCs w:val="28"/>
                <w:u w:color="000000"/>
                <w:bdr w:val="nil"/>
                <w:lang w:val="en-US" w:eastAsia="en-US"/>
              </w:rPr>
              <w:t>7</w:t>
            </w:r>
          </w:p>
        </w:tc>
      </w:tr>
      <w:tr w:rsidR="00FB375D" w:rsidRPr="007E1311" w14:paraId="3F1117A8" w14:textId="77777777" w:rsidTr="005479DD">
        <w:trPr>
          <w:trHeight w:val="27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7650492"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Negative reserve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96D24FD"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0.0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B30D07C"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0</w:t>
            </w:r>
          </w:p>
        </w:tc>
        <w:tc>
          <w:tcPr>
            <w:tcW w:w="2693" w:type="dxa"/>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6ABADEF7" w14:textId="77777777" w:rsidR="00FB375D" w:rsidRPr="005479DD" w:rsidRDefault="00FB375D" w:rsidP="005479DD">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1E08933B" w14:textId="77777777" w:rsidR="00FB375D" w:rsidRPr="005479DD" w:rsidRDefault="00FB375D" w:rsidP="005479DD">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tcMar>
              <w:left w:w="28" w:type="dxa"/>
              <w:right w:w="28" w:type="dxa"/>
            </w:tcMar>
          </w:tcPr>
          <w:p w14:paraId="4A050EAE" w14:textId="77777777" w:rsidR="00FB375D" w:rsidRPr="005479DD" w:rsidRDefault="00FB375D" w:rsidP="005479DD">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FB375D" w:rsidRPr="007E1311" w14:paraId="039D3254" w14:textId="77777777" w:rsidTr="005479DD">
        <w:trPr>
          <w:trHeight w:val="27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DC557D5"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Special instruments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6C74B03"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465</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06959A9E" w14:textId="77777777" w:rsidR="00FB375D" w:rsidRPr="005479DD" w:rsidRDefault="00194CAB"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Pr>
                <w:rFonts w:eastAsia="Arial Unicode MS" w:cs="Arial Unicode MS"/>
                <w:sz w:val="28"/>
                <w:szCs w:val="28"/>
                <w:u w:color="000000"/>
                <w:bdr w:val="nil"/>
                <w:lang w:val="en-US" w:eastAsia="en-US"/>
              </w:rPr>
              <w:t>0.</w:t>
            </w:r>
            <w:r w:rsidR="00FB375D" w:rsidRPr="005479DD">
              <w:rPr>
                <w:rFonts w:eastAsia="Arial Unicode MS" w:cs="Arial Unicode MS"/>
                <w:sz w:val="28"/>
                <w:szCs w:val="28"/>
                <w:u w:color="000000"/>
                <w:bdr w:val="nil"/>
                <w:lang w:val="en-US" w:eastAsia="en-US"/>
              </w:rPr>
              <w:t>3</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345961C9"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Other revenue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409334F"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9973</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50024EFD" w14:textId="77777777" w:rsidR="00FB375D" w:rsidRPr="005479DD" w:rsidRDefault="00194CAB"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Pr>
                <w:rFonts w:eastAsia="Arial Unicode MS" w:cs="Arial Unicode MS"/>
                <w:sz w:val="28"/>
                <w:szCs w:val="28"/>
                <w:u w:color="000000"/>
                <w:bdr w:val="nil"/>
                <w:lang w:val="en-US" w:eastAsia="en-US"/>
              </w:rPr>
              <w:t>6.</w:t>
            </w:r>
            <w:r w:rsidR="00FB375D" w:rsidRPr="005479DD">
              <w:rPr>
                <w:rFonts w:eastAsia="Arial Unicode MS" w:cs="Arial Unicode MS"/>
                <w:sz w:val="28"/>
                <w:szCs w:val="28"/>
                <w:u w:color="000000"/>
                <w:bdr w:val="nil"/>
                <w:lang w:val="en-US" w:eastAsia="en-US"/>
              </w:rPr>
              <w:t>9</w:t>
            </w:r>
          </w:p>
        </w:tc>
      </w:tr>
      <w:tr w:rsidR="00FB375D" w:rsidRPr="007E1311" w14:paraId="6CDB18EE" w14:textId="77777777" w:rsidTr="005479DD">
        <w:trPr>
          <w:trHeight w:val="270"/>
          <w:jc w:val="center"/>
        </w:trPr>
        <w:tc>
          <w:tcPr>
            <w:tcW w:w="280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40A08201"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Total expenditure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68A830C2"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142497</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7637EDC"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100</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5F06857A" w14:textId="77777777" w:rsidR="00FB375D" w:rsidRPr="005479DD" w:rsidRDefault="00FB375D" w:rsidP="005479DD">
            <w:pPr>
              <w:pBdr>
                <w:top w:val="nil"/>
                <w:left w:val="nil"/>
                <w:bottom w:val="nil"/>
                <w:right w:val="nil"/>
                <w:between w:val="nil"/>
                <w:bar w:val="nil"/>
              </w:pBdr>
              <w:spacing w:line="240" w:lineRule="atLeast"/>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Total revenue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183B8512"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143940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28" w:type="dxa"/>
              <w:bottom w:w="80" w:type="dxa"/>
              <w:right w:w="28" w:type="dxa"/>
            </w:tcMar>
            <w:vAlign w:val="center"/>
          </w:tcPr>
          <w:p w14:paraId="3E6CBEA8" w14:textId="77777777" w:rsidR="00FB375D" w:rsidRPr="005479DD" w:rsidRDefault="00FB375D" w:rsidP="005479DD">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5479DD">
              <w:rPr>
                <w:rFonts w:eastAsia="Arial Unicode MS" w:cs="Arial Unicode MS"/>
                <w:sz w:val="28"/>
                <w:szCs w:val="28"/>
                <w:u w:color="000000"/>
                <w:bdr w:val="nil"/>
                <w:lang w:val="en-US" w:eastAsia="en-US"/>
              </w:rPr>
              <w:t>100</w:t>
            </w:r>
          </w:p>
        </w:tc>
      </w:tr>
    </w:tbl>
    <w:p w14:paraId="2C5863DD" w14:textId="77777777" w:rsidR="00FB375D" w:rsidRPr="007E1311" w:rsidRDefault="00FB375D" w:rsidP="001A5DA6">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sidRPr="007E1311">
        <w:rPr>
          <w:rFonts w:eastAsia="Arial Unicode MS" w:cs="Arial Unicode MS"/>
          <w:sz w:val="28"/>
          <w:szCs w:val="28"/>
          <w:u w:color="000000"/>
          <w:bdr w:val="nil"/>
          <w:lang w:val="en-US" w:eastAsia="en-US"/>
        </w:rPr>
        <w:lastRenderedPageBreak/>
        <w:t>The EU budget is approved by the European institutions in accordance with the budgetary procedure, which includes the planning, approval</w:t>
      </w:r>
      <w:r w:rsidR="00194CAB">
        <w:rPr>
          <w:rFonts w:eastAsia="Arial Unicode MS" w:cs="Arial Unicode MS"/>
          <w:sz w:val="28"/>
          <w:szCs w:val="28"/>
          <w:u w:color="000000"/>
          <w:bdr w:val="nil"/>
          <w:lang w:val="en-US" w:eastAsia="en-US"/>
        </w:rPr>
        <w:t>,</w:t>
      </w:r>
      <w:r w:rsidRPr="007E1311">
        <w:rPr>
          <w:rFonts w:eastAsia="Arial Unicode MS" w:cs="Arial Unicode MS"/>
          <w:sz w:val="28"/>
          <w:szCs w:val="28"/>
          <w:u w:color="000000"/>
          <w:bdr w:val="nil"/>
          <w:lang w:val="en-US" w:eastAsia="en-US"/>
        </w:rPr>
        <w:t xml:space="preserve"> and implementation of the budget</w:t>
      </w:r>
      <w:r w:rsidRPr="00194CAB">
        <w:rPr>
          <w:rFonts w:eastAsia="Arial Unicode MS" w:cs="Arial Unicode MS"/>
          <w:sz w:val="28"/>
          <w:szCs w:val="28"/>
          <w:u w:color="000000"/>
          <w:bdr w:val="nil"/>
          <w:lang w:val="en-US" w:eastAsia="en-US"/>
        </w:rPr>
        <w:t xml:space="preserve">. This procedure begins by September </w:t>
      </w:r>
      <w:r w:rsidR="00194CAB" w:rsidRPr="00194CAB">
        <w:rPr>
          <w:rFonts w:eastAsia="Arial Unicode MS" w:cs="Arial Unicode MS"/>
          <w:sz w:val="28"/>
          <w:szCs w:val="28"/>
          <w:u w:color="000000"/>
          <w:bdr w:val="nil"/>
          <w:lang w:val="en-US" w:eastAsia="en-US"/>
        </w:rPr>
        <w:t xml:space="preserve">1 </w:t>
      </w:r>
      <w:r w:rsidRPr="00194CAB">
        <w:rPr>
          <w:rFonts w:eastAsia="Arial Unicode MS" w:cs="Arial Unicode MS"/>
          <w:sz w:val="28"/>
          <w:szCs w:val="28"/>
          <w:u w:color="000000"/>
          <w:bdr w:val="nil"/>
          <w:lang w:val="en-US" w:eastAsia="en-US"/>
        </w:rPr>
        <w:t xml:space="preserve">of the year proceeding the budget year. The </w:t>
      </w:r>
      <w:r w:rsidR="00194CAB" w:rsidRPr="00194CAB">
        <w:rPr>
          <w:rFonts w:eastAsia="Arial Unicode MS" w:cs="Arial Unicode MS"/>
          <w:sz w:val="28"/>
          <w:szCs w:val="28"/>
          <w:u w:color="000000"/>
          <w:bdr w:val="nil"/>
          <w:lang w:val="en-US" w:eastAsia="en-US"/>
        </w:rPr>
        <w:t>budget</w:t>
      </w:r>
      <w:r w:rsidRPr="00194CAB">
        <w:rPr>
          <w:rFonts w:eastAsia="Arial Unicode MS" w:cs="Arial Unicode MS"/>
          <w:sz w:val="28"/>
          <w:szCs w:val="28"/>
          <w:u w:color="000000"/>
          <w:bdr w:val="nil"/>
          <w:lang w:val="en-US" w:eastAsia="en-US"/>
        </w:rPr>
        <w:t xml:space="preserve"> </w:t>
      </w:r>
      <w:r w:rsidRPr="007E1311">
        <w:rPr>
          <w:rFonts w:eastAsia="Arial Unicode MS" w:cs="Arial Unicode MS"/>
          <w:sz w:val="28"/>
          <w:szCs w:val="28"/>
          <w:u w:color="000000"/>
          <w:bdr w:val="nil"/>
          <w:lang w:val="en-US" w:eastAsia="en-US"/>
        </w:rPr>
        <w:t xml:space="preserve">adoption </w:t>
      </w:r>
      <w:r w:rsidR="00194CAB">
        <w:rPr>
          <w:rFonts w:eastAsia="Arial Unicode MS" w:cs="Arial Unicode MS"/>
          <w:sz w:val="28"/>
          <w:szCs w:val="28"/>
          <w:u w:color="000000"/>
          <w:bdr w:val="nil"/>
          <w:lang w:val="en-US" w:eastAsia="en-US"/>
        </w:rPr>
        <w:t>involves five major steps</w:t>
      </w:r>
      <w:r w:rsidRPr="007E1311">
        <w:rPr>
          <w:rFonts w:eastAsia="Arial Unicode MS" w:cs="Arial Unicode MS"/>
          <w:sz w:val="28"/>
          <w:szCs w:val="28"/>
          <w:u w:color="000000"/>
          <w:bdr w:val="nil"/>
          <w:lang w:val="en-US" w:eastAsia="en-US"/>
        </w:rPr>
        <w:t>:</w:t>
      </w:r>
    </w:p>
    <w:p w14:paraId="55FBE36F" w14:textId="77777777" w:rsidR="00FB375D" w:rsidRPr="007E1311" w:rsidRDefault="00FB375D" w:rsidP="001A5DA6">
      <w:pPr>
        <w:numPr>
          <w:ilvl w:val="0"/>
          <w:numId w:val="238"/>
        </w:numPr>
        <w:pBdr>
          <w:top w:val="nil"/>
          <w:left w:val="nil"/>
          <w:bottom w:val="nil"/>
          <w:right w:val="nil"/>
          <w:between w:val="nil"/>
          <w:bar w:val="nil"/>
        </w:pBdr>
        <w:tabs>
          <w:tab w:val="clear" w:pos="1070"/>
          <w:tab w:val="num" w:pos="1276"/>
        </w:tabs>
        <w:spacing w:line="312" w:lineRule="auto"/>
        <w:ind w:left="993" w:hanging="284"/>
        <w:jc w:val="both"/>
        <w:rPr>
          <w:rFonts w:eastAsia="Garamond" w:cs="Garamond"/>
          <w:sz w:val="28"/>
          <w:szCs w:val="28"/>
          <w:u w:color="000000"/>
          <w:bdr w:val="nil"/>
          <w:lang w:val="en-US"/>
        </w:rPr>
      </w:pPr>
      <w:r w:rsidRPr="007E1311">
        <w:rPr>
          <w:rFonts w:eastAsia="Arial Unicode MS" w:cs="Arial Unicode MS"/>
          <w:sz w:val="28"/>
          <w:szCs w:val="28"/>
          <w:u w:color="000000"/>
          <w:bdr w:val="nil"/>
          <w:lang w:val="en-US"/>
        </w:rPr>
        <w:t>Presentation of the draft budget by the European Commission to the EU Council.</w:t>
      </w:r>
    </w:p>
    <w:p w14:paraId="3B510479" w14:textId="77777777" w:rsidR="00FB375D" w:rsidRPr="007E1311" w:rsidRDefault="00FB375D" w:rsidP="001A5DA6">
      <w:pPr>
        <w:numPr>
          <w:ilvl w:val="0"/>
          <w:numId w:val="238"/>
        </w:numPr>
        <w:pBdr>
          <w:top w:val="nil"/>
          <w:left w:val="nil"/>
          <w:bottom w:val="nil"/>
          <w:right w:val="nil"/>
          <w:between w:val="nil"/>
          <w:bar w:val="nil"/>
        </w:pBdr>
        <w:tabs>
          <w:tab w:val="clear" w:pos="1070"/>
          <w:tab w:val="num" w:pos="1276"/>
        </w:tabs>
        <w:spacing w:line="312" w:lineRule="auto"/>
        <w:ind w:left="993" w:hanging="284"/>
        <w:jc w:val="both"/>
        <w:rPr>
          <w:rFonts w:eastAsia="Garamond" w:cs="Garamond"/>
          <w:sz w:val="28"/>
          <w:szCs w:val="28"/>
          <w:u w:color="000000"/>
          <w:bdr w:val="nil"/>
          <w:lang w:val="en-US"/>
        </w:rPr>
      </w:pPr>
      <w:r w:rsidRPr="007E1311">
        <w:rPr>
          <w:rFonts w:eastAsia="Arial Unicode MS" w:cs="Arial Unicode MS"/>
          <w:sz w:val="28"/>
          <w:szCs w:val="28"/>
          <w:u w:color="000000"/>
          <w:bdr w:val="nil"/>
          <w:lang w:val="en-US"/>
        </w:rPr>
        <w:t>Adoption of the preliminary draft budget by the qualified majority of the EU Council. Transferring the project to the European Parliament not later than  October</w:t>
      </w:r>
      <w:r w:rsidR="00194CAB">
        <w:rPr>
          <w:rFonts w:eastAsia="Arial Unicode MS" w:cs="Arial Unicode MS"/>
          <w:sz w:val="28"/>
          <w:szCs w:val="28"/>
          <w:u w:color="000000"/>
          <w:bdr w:val="nil"/>
          <w:lang w:val="en-US"/>
        </w:rPr>
        <w:t xml:space="preserve"> </w:t>
      </w:r>
      <w:r w:rsidR="00194CAB" w:rsidRPr="007E1311">
        <w:rPr>
          <w:rFonts w:eastAsia="Arial Unicode MS" w:cs="Arial Unicode MS"/>
          <w:sz w:val="28"/>
          <w:szCs w:val="28"/>
          <w:u w:color="000000"/>
          <w:bdr w:val="nil"/>
          <w:lang w:val="en-US"/>
        </w:rPr>
        <w:t>5</w:t>
      </w:r>
      <w:r w:rsidRPr="007E1311">
        <w:rPr>
          <w:rFonts w:eastAsia="Arial Unicode MS" w:cs="Arial Unicode MS"/>
          <w:sz w:val="28"/>
          <w:szCs w:val="28"/>
          <w:u w:color="000000"/>
          <w:bdr w:val="nil"/>
          <w:lang w:val="en-US"/>
        </w:rPr>
        <w:t>.</w:t>
      </w:r>
    </w:p>
    <w:p w14:paraId="2E25660F" w14:textId="77777777" w:rsidR="00FB375D" w:rsidRPr="007E1311" w:rsidRDefault="00FB375D" w:rsidP="001A5DA6">
      <w:pPr>
        <w:numPr>
          <w:ilvl w:val="0"/>
          <w:numId w:val="238"/>
        </w:numPr>
        <w:pBdr>
          <w:top w:val="nil"/>
          <w:left w:val="nil"/>
          <w:bottom w:val="nil"/>
          <w:right w:val="nil"/>
          <w:between w:val="nil"/>
          <w:bar w:val="nil"/>
        </w:pBdr>
        <w:tabs>
          <w:tab w:val="clear" w:pos="1070"/>
          <w:tab w:val="num" w:pos="1276"/>
        </w:tabs>
        <w:spacing w:line="312" w:lineRule="auto"/>
        <w:ind w:left="993" w:hanging="284"/>
        <w:jc w:val="both"/>
        <w:rPr>
          <w:rFonts w:eastAsia="Garamond" w:cs="Garamond"/>
          <w:sz w:val="28"/>
          <w:szCs w:val="28"/>
          <w:u w:color="000000"/>
          <w:bdr w:val="nil"/>
          <w:lang w:val="en-US"/>
        </w:rPr>
      </w:pPr>
      <w:r w:rsidRPr="007E1311">
        <w:rPr>
          <w:rFonts w:eastAsia="Arial Unicode MS" w:cs="Arial Unicode MS"/>
          <w:sz w:val="28"/>
          <w:szCs w:val="28"/>
          <w:u w:color="000000"/>
          <w:bdr w:val="nil"/>
          <w:lang w:val="en-US"/>
        </w:rPr>
        <w:t>The first reading of the draft budget by the European Parliament. If there are no budget amendments</w:t>
      </w:r>
      <w:r w:rsidR="00194CAB">
        <w:rPr>
          <w:rFonts w:eastAsia="Arial Unicode MS" w:cs="Arial Unicode MS"/>
          <w:sz w:val="28"/>
          <w:szCs w:val="28"/>
          <w:u w:color="000000"/>
          <w:bdr w:val="nil"/>
          <w:lang w:val="en-US"/>
        </w:rPr>
        <w:t>,</w:t>
      </w:r>
      <w:r w:rsidRPr="007E1311">
        <w:rPr>
          <w:rFonts w:eastAsia="Arial Unicode MS" w:cs="Arial Unicode MS"/>
          <w:sz w:val="28"/>
          <w:szCs w:val="28"/>
          <w:u w:color="000000"/>
          <w:bdr w:val="nil"/>
          <w:lang w:val="en-US"/>
        </w:rPr>
        <w:t xml:space="preserve"> it is finally adopted.</w:t>
      </w:r>
    </w:p>
    <w:p w14:paraId="6BC90797" w14:textId="77777777" w:rsidR="00FB375D" w:rsidRPr="007E1311" w:rsidRDefault="00FB375D" w:rsidP="001A5DA6">
      <w:pPr>
        <w:numPr>
          <w:ilvl w:val="0"/>
          <w:numId w:val="238"/>
        </w:numPr>
        <w:pBdr>
          <w:top w:val="nil"/>
          <w:left w:val="nil"/>
          <w:bottom w:val="nil"/>
          <w:right w:val="nil"/>
          <w:between w:val="nil"/>
          <w:bar w:val="nil"/>
        </w:pBdr>
        <w:tabs>
          <w:tab w:val="clear" w:pos="1070"/>
          <w:tab w:val="num" w:pos="1276"/>
        </w:tabs>
        <w:spacing w:line="312" w:lineRule="auto"/>
        <w:ind w:left="993" w:hanging="284"/>
        <w:jc w:val="both"/>
        <w:rPr>
          <w:rFonts w:eastAsia="Garamond" w:cs="Garamond"/>
          <w:sz w:val="28"/>
          <w:szCs w:val="28"/>
          <w:u w:color="000000"/>
          <w:bdr w:val="nil"/>
          <w:lang w:val="en-US"/>
        </w:rPr>
      </w:pPr>
      <w:r w:rsidRPr="007E1311">
        <w:rPr>
          <w:rFonts w:eastAsia="Arial Unicode MS" w:cs="Arial Unicode MS"/>
          <w:sz w:val="28"/>
          <w:szCs w:val="28"/>
          <w:u w:color="000000"/>
          <w:bdr w:val="nil"/>
          <w:lang w:val="en-US"/>
        </w:rPr>
        <w:t xml:space="preserve">If the Parliament amends the draft budget, there is a second reading by the European Council. If the Council approves the amendments, the budget is considered adopted. If </w:t>
      </w:r>
      <w:r w:rsidR="00194CAB">
        <w:rPr>
          <w:rFonts w:eastAsia="Arial Unicode MS" w:cs="Arial Unicode MS"/>
          <w:sz w:val="28"/>
          <w:szCs w:val="28"/>
          <w:u w:color="000000"/>
          <w:bdr w:val="nil"/>
          <w:lang w:val="en-US"/>
        </w:rPr>
        <w:t>it doesn’t approve</w:t>
      </w:r>
      <w:r w:rsidRPr="007E1311">
        <w:rPr>
          <w:rFonts w:eastAsia="Arial Unicode MS" w:cs="Arial Unicode MS"/>
          <w:sz w:val="28"/>
          <w:szCs w:val="28"/>
          <w:u w:color="000000"/>
          <w:bdr w:val="nil"/>
          <w:lang w:val="en-US"/>
        </w:rPr>
        <w:t>, it makes its own amendments and transfers the project to the European Parliament.</w:t>
      </w:r>
    </w:p>
    <w:p w14:paraId="1A352A43" w14:textId="77777777" w:rsidR="00FB375D" w:rsidRPr="007E1311" w:rsidRDefault="00FB375D" w:rsidP="001A5DA6">
      <w:pPr>
        <w:numPr>
          <w:ilvl w:val="0"/>
          <w:numId w:val="238"/>
        </w:numPr>
        <w:pBdr>
          <w:top w:val="nil"/>
          <w:left w:val="nil"/>
          <w:bottom w:val="nil"/>
          <w:right w:val="nil"/>
          <w:between w:val="nil"/>
          <w:bar w:val="nil"/>
        </w:pBdr>
        <w:tabs>
          <w:tab w:val="clear" w:pos="1070"/>
          <w:tab w:val="num" w:pos="1276"/>
        </w:tabs>
        <w:spacing w:line="312" w:lineRule="auto"/>
        <w:ind w:left="993" w:hanging="284"/>
        <w:jc w:val="both"/>
        <w:rPr>
          <w:rFonts w:eastAsia="Garamond" w:cs="Garamond"/>
          <w:sz w:val="28"/>
          <w:szCs w:val="28"/>
          <w:u w:color="000000"/>
          <w:bdr w:val="nil"/>
          <w:lang w:val="en-US"/>
        </w:rPr>
      </w:pPr>
      <w:r w:rsidRPr="007E1311">
        <w:rPr>
          <w:rFonts w:eastAsia="Arial Unicode MS" w:cs="Arial Unicode MS"/>
          <w:sz w:val="28"/>
          <w:szCs w:val="28"/>
          <w:u w:color="000000"/>
          <w:bdr w:val="nil"/>
          <w:lang w:val="en-US"/>
        </w:rPr>
        <w:t xml:space="preserve">Within 15 days of the draft budget </w:t>
      </w:r>
      <w:r w:rsidR="00194CAB">
        <w:rPr>
          <w:rFonts w:eastAsia="Arial Unicode MS" w:cs="Arial Unicode MS"/>
          <w:sz w:val="28"/>
          <w:szCs w:val="28"/>
          <w:u w:color="000000"/>
          <w:bdr w:val="nil"/>
          <w:lang w:val="en-US"/>
        </w:rPr>
        <w:t>being placed before</w:t>
      </w:r>
      <w:r w:rsidRPr="007E1311">
        <w:rPr>
          <w:rFonts w:eastAsia="Arial Unicode MS" w:cs="Arial Unicode MS"/>
          <w:sz w:val="28"/>
          <w:szCs w:val="28"/>
          <w:u w:color="000000"/>
          <w:bdr w:val="nil"/>
          <w:lang w:val="en-US"/>
        </w:rPr>
        <w:t xml:space="preserve"> to the European Parliament, it approves the budget, or may reject</w:t>
      </w:r>
      <w:r w:rsidR="00194CAB">
        <w:rPr>
          <w:rFonts w:eastAsia="Arial Unicode MS" w:cs="Arial Unicode MS"/>
          <w:sz w:val="28"/>
          <w:szCs w:val="28"/>
          <w:u w:color="000000"/>
          <w:bdr w:val="nil"/>
          <w:lang w:val="en-US"/>
        </w:rPr>
        <w:t xml:space="preserve"> or</w:t>
      </w:r>
      <w:r w:rsidRPr="007E1311">
        <w:rPr>
          <w:rFonts w:eastAsia="Arial Unicode MS" w:cs="Arial Unicode MS"/>
          <w:sz w:val="28"/>
          <w:szCs w:val="28"/>
          <w:u w:color="000000"/>
          <w:bdr w:val="nil"/>
          <w:lang w:val="en-US"/>
        </w:rPr>
        <w:t xml:space="preserve"> modify the amendments using a majority of votes. The head of the European Parliament makes final approval of the budget.</w:t>
      </w:r>
    </w:p>
    <w:p w14:paraId="04A3104E" w14:textId="77777777" w:rsidR="00FB375D" w:rsidRPr="007E1311" w:rsidRDefault="00194CAB" w:rsidP="001A5DA6">
      <w:pPr>
        <w:pBdr>
          <w:top w:val="nil"/>
          <w:left w:val="nil"/>
          <w:bottom w:val="nil"/>
          <w:right w:val="nil"/>
          <w:between w:val="nil"/>
          <w:bar w:val="nil"/>
        </w:pBdr>
        <w:spacing w:line="312" w:lineRule="auto"/>
        <w:ind w:firstLine="709"/>
        <w:jc w:val="both"/>
        <w:rPr>
          <w:rFonts w:eastAsia="Garamond" w:cs="Garamond"/>
          <w:sz w:val="28"/>
          <w:szCs w:val="28"/>
          <w:u w:color="000000"/>
          <w:bdr w:val="nil"/>
          <w:lang w:val="en-US" w:eastAsia="en-US"/>
        </w:rPr>
      </w:pPr>
      <w:r>
        <w:rPr>
          <w:rFonts w:eastAsia="Arial Unicode MS" w:cs="Arial Unicode MS"/>
          <w:sz w:val="28"/>
          <w:szCs w:val="28"/>
          <w:u w:color="000000"/>
          <w:bdr w:val="nil"/>
          <w:lang w:val="en-US" w:eastAsia="en-US"/>
        </w:rPr>
        <w:t>According to the Treaties</w:t>
      </w:r>
      <w:r w:rsidR="00FB375D" w:rsidRPr="007E1311">
        <w:rPr>
          <w:rFonts w:eastAsia="Arial Unicode MS" w:cs="Arial Unicode MS"/>
          <w:sz w:val="28"/>
          <w:szCs w:val="28"/>
          <w:u w:color="000000"/>
          <w:bdr w:val="nil"/>
          <w:lang w:val="en-US" w:eastAsia="en-US"/>
        </w:rPr>
        <w:t xml:space="preserve"> of </w:t>
      </w:r>
      <w:r>
        <w:rPr>
          <w:rFonts w:eastAsia="Arial Unicode MS" w:cs="Arial Unicode MS"/>
          <w:sz w:val="28"/>
          <w:szCs w:val="28"/>
          <w:u w:color="000000"/>
          <w:bdr w:val="nil"/>
          <w:lang w:val="en-US" w:eastAsia="en-US"/>
        </w:rPr>
        <w:t xml:space="preserve">the </w:t>
      </w:r>
      <w:r w:rsidR="00FB375D" w:rsidRPr="007E1311">
        <w:rPr>
          <w:rFonts w:eastAsia="Arial Unicode MS" w:cs="Arial Unicode MS"/>
          <w:sz w:val="28"/>
          <w:szCs w:val="28"/>
          <w:u w:color="000000"/>
          <w:bdr w:val="nil"/>
          <w:lang w:val="en-US" w:eastAsia="en-US"/>
        </w:rPr>
        <w:t>European Union, the European Commission carries out the budget under its own responsibility and within the designated funds.</w:t>
      </w:r>
    </w:p>
    <w:p w14:paraId="7EB52A24" w14:textId="77777777" w:rsidR="00FB375D" w:rsidRPr="007E1311" w:rsidRDefault="007557BC" w:rsidP="000F1D00">
      <w:pPr>
        <w:pStyle w:val="end2"/>
        <w:rPr>
          <w:rFonts w:eastAsia="Garamond" w:cs="Garamond"/>
          <w:u w:color="000000"/>
          <w:bdr w:val="nil"/>
          <w:lang w:eastAsia="en-US"/>
        </w:rPr>
      </w:pPr>
      <w:r w:rsidRPr="007E1311">
        <w:rPr>
          <w:rFonts w:eastAsia="Arial Unicode MS"/>
          <w:u w:color="000000"/>
          <w:bdr w:val="nil"/>
          <w:lang w:eastAsia="en-US"/>
        </w:rPr>
        <w:t>RECOMMENDED</w:t>
      </w:r>
      <w:r w:rsidR="00FB375D" w:rsidRPr="007E1311">
        <w:rPr>
          <w:rFonts w:eastAsia="Arial Unicode MS"/>
          <w:u w:color="000000"/>
          <w:bdr w:val="nil"/>
          <w:lang w:eastAsia="en-US"/>
        </w:rPr>
        <w:t xml:space="preserve"> reading </w:t>
      </w:r>
    </w:p>
    <w:p w14:paraId="071EB4EC" w14:textId="77777777" w:rsidR="0072591B" w:rsidRPr="001A5DA6" w:rsidRDefault="00D003A0" w:rsidP="001A5DA6">
      <w:pPr>
        <w:pStyle w:val="ListParagraph"/>
        <w:numPr>
          <w:ilvl w:val="1"/>
          <w:numId w:val="238"/>
        </w:numPr>
        <w:tabs>
          <w:tab w:val="clear" w:pos="1790"/>
        </w:tabs>
        <w:spacing w:line="240" w:lineRule="atLeast"/>
        <w:ind w:left="426"/>
        <w:jc w:val="both"/>
        <w:rPr>
          <w:rFonts w:ascii="Garamond" w:eastAsia="Arial Unicode MS" w:hAnsi="Garamond" w:cs="Arial Unicode MS"/>
          <w:szCs w:val="28"/>
          <w:bdr w:val="none" w:sz="0" w:space="0" w:color="auto" w:frame="1"/>
          <w:lang w:val="en-US"/>
        </w:rPr>
      </w:pPr>
      <w:r w:rsidRPr="001A5DA6">
        <w:rPr>
          <w:rFonts w:ascii="Garamond" w:eastAsia="Arial Unicode MS" w:hAnsi="Garamond" w:cs="Arial Unicode MS"/>
          <w:szCs w:val="28"/>
          <w:bdr w:val="none" w:sz="0" w:space="0" w:color="auto" w:frame="1"/>
          <w:lang w:val="en-US"/>
        </w:rPr>
        <w:t>European Commission. Publications Office of the European Union</w:t>
      </w:r>
      <w:r>
        <w:rPr>
          <w:rFonts w:ascii="Garamond" w:eastAsia="Arial Unicode MS" w:hAnsi="Garamond" w:cs="Arial Unicode MS"/>
          <w:szCs w:val="28"/>
          <w:bdr w:val="none" w:sz="0" w:space="0" w:color="auto" w:frame="1"/>
          <w:lang w:val="en-US"/>
        </w:rPr>
        <w:t>,</w:t>
      </w:r>
      <w:r w:rsidRPr="001A5DA6">
        <w:rPr>
          <w:rFonts w:ascii="Garamond" w:eastAsia="Arial Unicode MS" w:hAnsi="Garamond" w:cs="Arial Unicode MS"/>
          <w:i/>
          <w:szCs w:val="28"/>
          <w:bdr w:val="none" w:sz="0" w:space="0" w:color="auto" w:frame="1"/>
          <w:lang w:val="en-US"/>
        </w:rPr>
        <w:t xml:space="preserve"> </w:t>
      </w:r>
      <w:r>
        <w:rPr>
          <w:rFonts w:ascii="Garamond" w:eastAsia="Arial Unicode MS" w:hAnsi="Garamond" w:cs="Arial Unicode MS"/>
          <w:szCs w:val="28"/>
          <w:bdr w:val="none" w:sz="0" w:space="0" w:color="auto" w:frame="1"/>
          <w:lang w:val="en-US"/>
        </w:rPr>
        <w:t xml:space="preserve">2010, </w:t>
      </w:r>
      <w:r w:rsidR="0072591B" w:rsidRPr="001A5DA6">
        <w:rPr>
          <w:rFonts w:ascii="Garamond" w:eastAsia="Arial Unicode MS" w:hAnsi="Garamond" w:cs="Arial Unicode MS"/>
          <w:i/>
          <w:szCs w:val="28"/>
          <w:bdr w:val="none" w:sz="0" w:space="0" w:color="auto" w:frame="1"/>
          <w:lang w:val="en-US"/>
        </w:rPr>
        <w:t>The Euro</w:t>
      </w:r>
      <w:r w:rsidR="001A5DA6" w:rsidRPr="001A5DA6">
        <w:rPr>
          <w:rFonts w:ascii="Garamond" w:eastAsia="Arial Unicode MS" w:hAnsi="Garamond" w:cs="Arial Unicode MS"/>
          <w:i/>
          <w:szCs w:val="28"/>
          <w:bdr w:val="none" w:sz="0" w:space="0" w:color="auto" w:frame="1"/>
          <w:lang w:val="en-US"/>
        </w:rPr>
        <w:t>pean Union budget at a glance</w:t>
      </w:r>
      <w:r w:rsidR="001A5DA6">
        <w:rPr>
          <w:rFonts w:ascii="Garamond" w:eastAsia="Arial Unicode MS" w:hAnsi="Garamond" w:cs="Arial Unicode MS"/>
          <w:szCs w:val="28"/>
          <w:bdr w:val="none" w:sz="0" w:space="0" w:color="auto" w:frame="1"/>
          <w:lang w:val="en-US"/>
        </w:rPr>
        <w:t xml:space="preserve">, </w:t>
      </w:r>
      <w:r>
        <w:rPr>
          <w:rFonts w:ascii="Garamond" w:eastAsia="Arial Unicode MS" w:hAnsi="Garamond" w:cs="Arial Unicode MS"/>
          <w:szCs w:val="28"/>
          <w:bdr w:val="none" w:sz="0" w:space="0" w:color="auto" w:frame="1"/>
          <w:lang w:val="en-US"/>
        </w:rPr>
        <w:t>Luxembourg.</w:t>
      </w:r>
      <w:r w:rsidR="0072591B" w:rsidRPr="001A5DA6">
        <w:rPr>
          <w:rFonts w:ascii="Garamond" w:eastAsia="Arial Unicode MS" w:hAnsi="Garamond" w:cs="Arial Unicode MS"/>
          <w:szCs w:val="28"/>
          <w:bdr w:val="none" w:sz="0" w:space="0" w:color="auto" w:frame="1"/>
          <w:lang w:val="en-US"/>
        </w:rPr>
        <w:t xml:space="preserve"> </w:t>
      </w:r>
    </w:p>
    <w:p w14:paraId="400F6F5E" w14:textId="77777777" w:rsidR="0072591B" w:rsidRPr="001A5DA6" w:rsidRDefault="00D003A0" w:rsidP="001A5DA6">
      <w:pPr>
        <w:pStyle w:val="ListParagraph"/>
        <w:numPr>
          <w:ilvl w:val="1"/>
          <w:numId w:val="238"/>
        </w:numPr>
        <w:tabs>
          <w:tab w:val="clear" w:pos="1790"/>
        </w:tabs>
        <w:spacing w:line="240" w:lineRule="atLeast"/>
        <w:ind w:left="426"/>
        <w:jc w:val="both"/>
        <w:rPr>
          <w:rFonts w:ascii="Garamond" w:eastAsia="Arial Unicode MS" w:hAnsi="Garamond" w:cs="Arial Unicode MS"/>
          <w:szCs w:val="28"/>
          <w:bdr w:val="none" w:sz="0" w:space="0" w:color="auto" w:frame="1"/>
          <w:lang w:val="en-US"/>
        </w:rPr>
      </w:pPr>
      <w:r w:rsidRPr="001A5DA6">
        <w:rPr>
          <w:rFonts w:ascii="Garamond" w:eastAsia="Arial Unicode MS" w:hAnsi="Garamond" w:cs="Arial Unicode MS"/>
          <w:szCs w:val="28"/>
          <w:bdr w:val="none" w:sz="0" w:space="0" w:color="auto" w:frame="1"/>
          <w:lang w:val="en-US"/>
        </w:rPr>
        <w:t>European Commission</w:t>
      </w:r>
      <w:r>
        <w:rPr>
          <w:rFonts w:ascii="Garamond" w:eastAsia="Arial Unicode MS" w:hAnsi="Garamond" w:cs="Arial Unicode MS"/>
          <w:szCs w:val="28"/>
          <w:bdr w:val="none" w:sz="0" w:space="0" w:color="auto" w:frame="1"/>
          <w:lang w:val="en-US"/>
        </w:rPr>
        <w:t>,</w:t>
      </w:r>
      <w:r w:rsidRPr="001A5DA6">
        <w:rPr>
          <w:rFonts w:ascii="Garamond" w:eastAsia="Arial Unicode MS" w:hAnsi="Garamond" w:cs="Arial Unicode MS"/>
          <w:szCs w:val="28"/>
          <w:bdr w:val="none" w:sz="0" w:space="0" w:color="auto" w:frame="1"/>
          <w:lang w:val="en-US"/>
        </w:rPr>
        <w:t xml:space="preserve"> Publications Office of the European Union</w:t>
      </w:r>
      <w:r>
        <w:rPr>
          <w:rFonts w:ascii="Garamond" w:eastAsia="Arial Unicode MS" w:hAnsi="Garamond" w:cs="Arial Unicode MS"/>
          <w:szCs w:val="28"/>
          <w:bdr w:val="none" w:sz="0" w:space="0" w:color="auto" w:frame="1"/>
          <w:lang w:val="en-US"/>
        </w:rPr>
        <w:t>,</w:t>
      </w:r>
      <w:r w:rsidRPr="001A5DA6">
        <w:rPr>
          <w:rFonts w:ascii="Garamond" w:eastAsia="Arial Unicode MS" w:hAnsi="Garamond" w:cs="Arial Unicode MS"/>
          <w:i/>
          <w:szCs w:val="28"/>
          <w:bdr w:val="none" w:sz="0" w:space="0" w:color="auto" w:frame="1"/>
          <w:lang w:val="en-US"/>
        </w:rPr>
        <w:t xml:space="preserve"> </w:t>
      </w:r>
      <w:r w:rsidRPr="001A5DA6">
        <w:rPr>
          <w:rFonts w:ascii="Garamond" w:eastAsia="Arial Unicode MS" w:hAnsi="Garamond" w:cs="Arial Unicode MS"/>
          <w:szCs w:val="28"/>
          <w:bdr w:val="none" w:sz="0" w:space="0" w:color="auto" w:frame="1"/>
          <w:lang w:val="en-US"/>
        </w:rPr>
        <w:t>2013</w:t>
      </w:r>
      <w:r>
        <w:rPr>
          <w:rFonts w:ascii="Garamond" w:eastAsia="Arial Unicode MS" w:hAnsi="Garamond" w:cs="Arial Unicode MS"/>
          <w:szCs w:val="28"/>
          <w:bdr w:val="none" w:sz="0" w:space="0" w:color="auto" w:frame="1"/>
          <w:lang w:val="en-US"/>
        </w:rPr>
        <w:t>,</w:t>
      </w:r>
      <w:r w:rsidRPr="001A5DA6">
        <w:rPr>
          <w:rFonts w:ascii="Garamond" w:eastAsia="Arial Unicode MS" w:hAnsi="Garamond" w:cs="Arial Unicode MS"/>
          <w:szCs w:val="28"/>
          <w:bdr w:val="none" w:sz="0" w:space="0" w:color="auto" w:frame="1"/>
          <w:lang w:val="en-US"/>
        </w:rPr>
        <w:t xml:space="preserve"> </w:t>
      </w:r>
      <w:r w:rsidR="0072591B" w:rsidRPr="001A5DA6">
        <w:rPr>
          <w:rFonts w:ascii="Garamond" w:eastAsia="Arial Unicode MS" w:hAnsi="Garamond" w:cs="Arial Unicode MS"/>
          <w:i/>
          <w:szCs w:val="28"/>
          <w:bdr w:val="none" w:sz="0" w:space="0" w:color="auto" w:frame="1"/>
          <w:lang w:val="en-US"/>
        </w:rPr>
        <w:t xml:space="preserve">Multiannual financial framework 2014–2020 and EU budget 2014 – The </w:t>
      </w:r>
      <w:r w:rsidR="00613E76" w:rsidRPr="001A5DA6">
        <w:rPr>
          <w:rFonts w:ascii="Garamond" w:eastAsia="Arial Unicode MS" w:hAnsi="Garamond" w:cs="Arial Unicode MS"/>
          <w:i/>
          <w:szCs w:val="28"/>
          <w:bdr w:val="none" w:sz="0" w:space="0" w:color="auto" w:frame="1"/>
          <w:lang w:val="en-US"/>
        </w:rPr>
        <w:t>Figure</w:t>
      </w:r>
      <w:r w:rsidR="001A5DA6" w:rsidRPr="001A5DA6">
        <w:rPr>
          <w:rFonts w:ascii="Garamond" w:eastAsia="Arial Unicode MS" w:hAnsi="Garamond" w:cs="Arial Unicode MS"/>
          <w:i/>
          <w:szCs w:val="28"/>
          <w:bdr w:val="none" w:sz="0" w:space="0" w:color="auto" w:frame="1"/>
          <w:lang w:val="en-US"/>
        </w:rPr>
        <w:t>s</w:t>
      </w:r>
      <w:r w:rsidR="001A5DA6">
        <w:rPr>
          <w:rFonts w:ascii="Garamond" w:eastAsia="Arial Unicode MS" w:hAnsi="Garamond" w:cs="Arial Unicode MS"/>
          <w:szCs w:val="28"/>
          <w:bdr w:val="none" w:sz="0" w:space="0" w:color="auto" w:frame="1"/>
          <w:lang w:val="en-US"/>
        </w:rPr>
        <w:t>,</w:t>
      </w:r>
      <w:r w:rsidR="0072591B" w:rsidRPr="001A5DA6">
        <w:rPr>
          <w:rFonts w:ascii="Garamond" w:eastAsia="Arial Unicode MS" w:hAnsi="Garamond" w:cs="Arial Unicode MS"/>
          <w:szCs w:val="28"/>
          <w:bdr w:val="none" w:sz="0" w:space="0" w:color="auto" w:frame="1"/>
          <w:lang w:val="en-US"/>
        </w:rPr>
        <w:t xml:space="preserve"> Luxembourg</w:t>
      </w:r>
      <w:r w:rsidR="001A5DA6">
        <w:rPr>
          <w:rFonts w:ascii="Garamond" w:eastAsia="Arial Unicode MS" w:hAnsi="Garamond" w:cs="Arial Unicode MS"/>
          <w:szCs w:val="28"/>
          <w:bdr w:val="none" w:sz="0" w:space="0" w:color="auto" w:frame="1"/>
          <w:lang w:val="en-US"/>
        </w:rPr>
        <w:t>,</w:t>
      </w:r>
      <w:r w:rsidR="0072591B" w:rsidRPr="001A5DA6">
        <w:rPr>
          <w:rFonts w:ascii="Garamond" w:eastAsia="Arial Unicode MS" w:hAnsi="Garamond" w:cs="Arial Unicode MS"/>
          <w:szCs w:val="28"/>
          <w:bdr w:val="none" w:sz="0" w:space="0" w:color="auto" w:frame="1"/>
          <w:lang w:val="en-US"/>
        </w:rPr>
        <w:t>.</w:t>
      </w:r>
    </w:p>
    <w:p w14:paraId="2B303461" w14:textId="77777777" w:rsidR="000F1D00" w:rsidRPr="001A5DA6" w:rsidRDefault="000F1D00" w:rsidP="0072591B">
      <w:pPr>
        <w:pBdr>
          <w:top w:val="nil"/>
          <w:left w:val="nil"/>
          <w:bottom w:val="nil"/>
          <w:right w:val="nil"/>
          <w:between w:val="nil"/>
          <w:bar w:val="nil"/>
        </w:pBdr>
        <w:spacing w:line="240" w:lineRule="atLeast"/>
        <w:ind w:firstLine="357"/>
        <w:jc w:val="both"/>
        <w:rPr>
          <w:rFonts w:eastAsia="Arial Unicode MS" w:cs="Arial Unicode MS"/>
          <w:b/>
          <w:sz w:val="28"/>
          <w:szCs w:val="28"/>
          <w:u w:color="000000"/>
          <w:bdr w:val="nil"/>
          <w:lang w:val="en-US" w:eastAsia="en-US"/>
        </w:rPr>
      </w:pPr>
      <w:r w:rsidRPr="001A5DA6">
        <w:rPr>
          <w:rFonts w:eastAsia="Arial Unicode MS" w:cs="Arial Unicode MS"/>
          <w:b/>
          <w:sz w:val="28"/>
          <w:szCs w:val="28"/>
          <w:u w:color="000000"/>
          <w:bdr w:val="nil"/>
          <w:lang w:val="en-US" w:eastAsia="en-US"/>
        </w:rPr>
        <w:t>Relevant websites</w:t>
      </w:r>
    </w:p>
    <w:p w14:paraId="73562ECC" w14:textId="77777777" w:rsidR="0072591B" w:rsidRPr="001A5DA6" w:rsidRDefault="0072591B" w:rsidP="001A5DA6">
      <w:pPr>
        <w:pStyle w:val="ListParagraph"/>
        <w:numPr>
          <w:ilvl w:val="2"/>
          <w:numId w:val="238"/>
        </w:numPr>
        <w:tabs>
          <w:tab w:val="clear" w:pos="2510"/>
          <w:tab w:val="num" w:pos="2410"/>
        </w:tabs>
        <w:spacing w:line="240" w:lineRule="atLeast"/>
        <w:ind w:left="426"/>
        <w:jc w:val="both"/>
        <w:rPr>
          <w:rFonts w:ascii="Garamond" w:eastAsia="Arial Unicode MS" w:hAnsi="Garamond" w:cs="Arial Unicode MS"/>
          <w:szCs w:val="28"/>
          <w:bdr w:val="none" w:sz="0" w:space="0" w:color="auto" w:frame="1"/>
          <w:lang w:val="en-US"/>
        </w:rPr>
      </w:pPr>
      <w:r w:rsidRPr="001A5DA6">
        <w:rPr>
          <w:rFonts w:ascii="Garamond" w:eastAsia="Arial Unicode MS" w:hAnsi="Garamond" w:cs="Arial Unicode MS"/>
          <w:szCs w:val="28"/>
          <w:bdr w:val="none" w:sz="0" w:space="0" w:color="auto" w:frame="1"/>
          <w:lang w:val="en-US"/>
        </w:rPr>
        <w:t>Centre of European Innov</w:t>
      </w:r>
      <w:r w:rsidR="00D003A0">
        <w:rPr>
          <w:rFonts w:ascii="Garamond" w:eastAsia="Arial Unicode MS" w:hAnsi="Garamond" w:cs="Arial Unicode MS"/>
          <w:szCs w:val="28"/>
          <w:bdr w:val="none" w:sz="0" w:space="0" w:color="auto" w:frame="1"/>
          <w:lang w:val="en-US"/>
        </w:rPr>
        <w:t xml:space="preserve">ative Studies, </w:t>
      </w:r>
      <w:r w:rsidRPr="00D003A0">
        <w:rPr>
          <w:rFonts w:ascii="Garamond" w:eastAsia="Arial Unicode MS" w:hAnsi="Garamond" w:cs="Arial Unicode MS"/>
          <w:i/>
          <w:szCs w:val="28"/>
          <w:bdr w:val="none" w:sz="0" w:space="0" w:color="auto" w:frame="1"/>
          <w:lang w:val="en-US"/>
        </w:rPr>
        <w:t>Budgetary principles</w:t>
      </w:r>
      <w:r w:rsidR="00D003A0">
        <w:rPr>
          <w:rFonts w:ascii="Garamond" w:eastAsia="Arial Unicode MS" w:hAnsi="Garamond" w:cs="Arial Unicode MS"/>
          <w:i/>
          <w:szCs w:val="28"/>
          <w:bdr w:val="none" w:sz="0" w:space="0" w:color="auto" w:frame="1"/>
          <w:lang w:val="en-US"/>
        </w:rPr>
        <w:t>,</w:t>
      </w:r>
      <w:r w:rsidRPr="001A5DA6">
        <w:rPr>
          <w:rFonts w:ascii="Garamond" w:eastAsia="Arial Unicode MS" w:hAnsi="Garamond" w:cs="Arial Unicode MS"/>
          <w:szCs w:val="28"/>
          <w:bdr w:val="none" w:sz="0" w:space="0" w:color="auto" w:frame="1"/>
          <w:lang w:val="en-US"/>
        </w:rPr>
        <w:t xml:space="preserve"> Available </w:t>
      </w:r>
      <w:r w:rsidR="00D003A0">
        <w:rPr>
          <w:rFonts w:ascii="Garamond" w:eastAsia="Arial Unicode MS" w:hAnsi="Garamond" w:cs="Arial Unicode MS"/>
          <w:szCs w:val="28"/>
          <w:bdr w:val="none" w:sz="0" w:space="0" w:color="auto" w:frame="1"/>
          <w:lang w:val="en-US"/>
        </w:rPr>
        <w:t>at</w:t>
      </w:r>
      <w:r w:rsidRPr="001A5DA6">
        <w:rPr>
          <w:rFonts w:ascii="Garamond" w:eastAsia="Arial Unicode MS" w:hAnsi="Garamond" w:cs="Arial Unicode MS"/>
          <w:szCs w:val="28"/>
          <w:bdr w:val="none" w:sz="0" w:space="0" w:color="auto" w:frame="1"/>
          <w:lang w:val="en-US"/>
        </w:rPr>
        <w:t xml:space="preserve"> </w:t>
      </w:r>
      <w:r w:rsidR="006907A5">
        <w:rPr>
          <w:rFonts w:ascii="Garamond" w:eastAsia="Arial Unicode MS" w:hAnsi="Garamond" w:cs="Arial Unicode MS"/>
          <w:szCs w:val="28"/>
          <w:bdr w:val="none" w:sz="0" w:space="0" w:color="auto" w:frame="1"/>
          <w:lang w:val="en-US"/>
        </w:rPr>
        <w:t>http://</w:t>
      </w:r>
      <w:r w:rsidRPr="001A5DA6">
        <w:rPr>
          <w:rFonts w:ascii="Garamond" w:eastAsia="Arial Unicode MS" w:hAnsi="Garamond" w:cs="Arial Unicode MS"/>
          <w:szCs w:val="28"/>
          <w:bdr w:val="none" w:sz="0" w:space="0" w:color="auto" w:frame="1"/>
          <w:lang w:val="en-US"/>
        </w:rPr>
        <w:t>www.cvce.eu/obj/les_principes_budgetaires-fr-3f6aa90a-486a-40c7-9a50-76ea3decdabb.html.</w:t>
      </w:r>
    </w:p>
    <w:p w14:paraId="4C4E45D7" w14:textId="77777777" w:rsidR="0072591B" w:rsidRPr="001A5DA6" w:rsidRDefault="00D003A0" w:rsidP="001A5DA6">
      <w:pPr>
        <w:pStyle w:val="ListParagraph"/>
        <w:numPr>
          <w:ilvl w:val="2"/>
          <w:numId w:val="238"/>
        </w:numPr>
        <w:tabs>
          <w:tab w:val="clear" w:pos="2510"/>
          <w:tab w:val="num" w:pos="2410"/>
        </w:tabs>
        <w:spacing w:line="240" w:lineRule="atLeast"/>
        <w:ind w:left="426"/>
        <w:jc w:val="both"/>
        <w:rPr>
          <w:rFonts w:ascii="Garamond" w:eastAsia="Arial Unicode MS" w:hAnsi="Garamond" w:cs="Arial Unicode MS"/>
          <w:szCs w:val="28"/>
          <w:bdr w:val="none" w:sz="0" w:space="0" w:color="auto" w:frame="1"/>
          <w:lang w:val="en-US"/>
        </w:rPr>
      </w:pPr>
      <w:r>
        <w:rPr>
          <w:rFonts w:ascii="Garamond" w:eastAsia="Arial Unicode MS" w:hAnsi="Garamond" w:cs="Arial Unicode MS"/>
          <w:szCs w:val="28"/>
          <w:bdr w:val="none" w:sz="0" w:space="0" w:color="auto" w:frame="1"/>
          <w:lang w:val="en-US"/>
        </w:rPr>
        <w:t>European Central B</w:t>
      </w:r>
      <w:r w:rsidR="0072591B" w:rsidRPr="001A5DA6">
        <w:rPr>
          <w:rFonts w:ascii="Garamond" w:eastAsia="Arial Unicode MS" w:hAnsi="Garamond" w:cs="Arial Unicode MS"/>
          <w:szCs w:val="28"/>
          <w:bdr w:val="none" w:sz="0" w:space="0" w:color="auto" w:frame="1"/>
          <w:lang w:val="en-US"/>
        </w:rPr>
        <w:t xml:space="preserve">ank. Official web site. Available </w:t>
      </w:r>
      <w:r>
        <w:rPr>
          <w:rFonts w:ascii="Garamond" w:eastAsia="Arial Unicode MS" w:hAnsi="Garamond" w:cs="Arial Unicode MS"/>
          <w:szCs w:val="28"/>
          <w:bdr w:val="none" w:sz="0" w:space="0" w:color="auto" w:frame="1"/>
          <w:lang w:val="en-US"/>
        </w:rPr>
        <w:t xml:space="preserve">at </w:t>
      </w:r>
      <w:r w:rsidR="006907A5">
        <w:rPr>
          <w:rFonts w:ascii="Garamond" w:eastAsia="Arial Unicode MS" w:hAnsi="Garamond" w:cs="Arial Unicode MS"/>
          <w:szCs w:val="28"/>
          <w:bdr w:val="none" w:sz="0" w:space="0" w:color="auto" w:frame="1"/>
          <w:lang w:val="en-US"/>
        </w:rPr>
        <w:t>http://</w:t>
      </w:r>
      <w:r w:rsidR="0072591B" w:rsidRPr="001A5DA6">
        <w:rPr>
          <w:rFonts w:ascii="Garamond" w:eastAsia="Arial Unicode MS" w:hAnsi="Garamond" w:cs="Arial Unicode MS"/>
          <w:szCs w:val="28"/>
          <w:bdr w:val="none" w:sz="0" w:space="0" w:color="auto" w:frame="1"/>
          <w:lang w:val="en-US"/>
        </w:rPr>
        <w:t>www.ecb.europa.eu/ecb/tasks/ html/index.en.html</w:t>
      </w:r>
    </w:p>
    <w:p w14:paraId="71DA1B00" w14:textId="77777777" w:rsidR="0072591B" w:rsidRPr="001A5DA6" w:rsidRDefault="0072591B" w:rsidP="001A5DA6">
      <w:pPr>
        <w:pStyle w:val="ListParagraph"/>
        <w:numPr>
          <w:ilvl w:val="2"/>
          <w:numId w:val="238"/>
        </w:numPr>
        <w:tabs>
          <w:tab w:val="clear" w:pos="2510"/>
          <w:tab w:val="num" w:pos="2410"/>
        </w:tabs>
        <w:spacing w:line="240" w:lineRule="atLeast"/>
        <w:ind w:left="426"/>
        <w:jc w:val="both"/>
        <w:rPr>
          <w:rFonts w:ascii="Garamond" w:eastAsia="Arial Unicode MS" w:hAnsi="Garamond" w:cs="Arial Unicode MS"/>
          <w:szCs w:val="28"/>
          <w:bdr w:val="none" w:sz="0" w:space="0" w:color="auto" w:frame="1"/>
          <w:lang w:val="en-US"/>
        </w:rPr>
      </w:pPr>
      <w:r w:rsidRPr="001A5DA6">
        <w:rPr>
          <w:rFonts w:ascii="Garamond" w:eastAsia="Arial Unicode MS" w:hAnsi="Garamond" w:cs="Arial Unicode MS"/>
          <w:szCs w:val="28"/>
          <w:bdr w:val="none" w:sz="0" w:space="0" w:color="auto" w:frame="1"/>
          <w:lang w:val="en-US"/>
        </w:rPr>
        <w:lastRenderedPageBreak/>
        <w:t>Europea</w:t>
      </w:r>
      <w:r w:rsidR="00D003A0">
        <w:rPr>
          <w:rFonts w:ascii="Garamond" w:eastAsia="Arial Unicode MS" w:hAnsi="Garamond" w:cs="Arial Unicode MS"/>
          <w:szCs w:val="28"/>
          <w:bdr w:val="none" w:sz="0" w:space="0" w:color="auto" w:frame="1"/>
          <w:lang w:val="en-US"/>
        </w:rPr>
        <w:t xml:space="preserve">n Commission, </w:t>
      </w:r>
      <w:r w:rsidRPr="00D003A0">
        <w:rPr>
          <w:rFonts w:ascii="Garamond" w:eastAsia="Arial Unicode MS" w:hAnsi="Garamond" w:cs="Arial Unicode MS"/>
          <w:i/>
          <w:szCs w:val="28"/>
          <w:bdr w:val="none" w:sz="0" w:space="0" w:color="auto" w:frame="1"/>
          <w:lang w:val="en-US"/>
        </w:rPr>
        <w:t>Budgetary system</w:t>
      </w:r>
      <w:r w:rsidR="00D003A0">
        <w:rPr>
          <w:rFonts w:ascii="Garamond" w:eastAsia="Arial Unicode MS" w:hAnsi="Garamond" w:cs="Arial Unicode MS"/>
          <w:i/>
          <w:szCs w:val="28"/>
          <w:bdr w:val="none" w:sz="0" w:space="0" w:color="auto" w:frame="1"/>
          <w:lang w:val="en-US"/>
        </w:rPr>
        <w:t>,</w:t>
      </w:r>
      <w:r w:rsidRPr="001A5DA6">
        <w:rPr>
          <w:rFonts w:ascii="Garamond" w:eastAsia="Arial Unicode MS" w:hAnsi="Garamond" w:cs="Arial Unicode MS"/>
          <w:szCs w:val="28"/>
          <w:bdr w:val="none" w:sz="0" w:space="0" w:color="auto" w:frame="1"/>
          <w:lang w:val="en-US"/>
        </w:rPr>
        <w:t xml:space="preserve"> Available </w:t>
      </w:r>
      <w:r w:rsidR="00D003A0">
        <w:rPr>
          <w:rFonts w:ascii="Garamond" w:eastAsia="Arial Unicode MS" w:hAnsi="Garamond" w:cs="Arial Unicode MS"/>
          <w:szCs w:val="28"/>
          <w:bdr w:val="none" w:sz="0" w:space="0" w:color="auto" w:frame="1"/>
          <w:lang w:val="en-US"/>
        </w:rPr>
        <w:t>at</w:t>
      </w:r>
      <w:r w:rsidRPr="001A5DA6">
        <w:rPr>
          <w:rFonts w:ascii="Garamond" w:eastAsia="Arial Unicode MS" w:hAnsi="Garamond" w:cs="Arial Unicode MS"/>
          <w:szCs w:val="28"/>
          <w:bdr w:val="none" w:sz="0" w:space="0" w:color="auto" w:frame="1"/>
          <w:lang w:val="en-US"/>
        </w:rPr>
        <w:t xml:space="preserve"> </w:t>
      </w:r>
      <w:r w:rsidR="006907A5">
        <w:rPr>
          <w:rFonts w:ascii="Garamond" w:eastAsia="Arial Unicode MS" w:hAnsi="Garamond" w:cs="Arial Unicode MS"/>
          <w:szCs w:val="28"/>
          <w:bdr w:val="none" w:sz="0" w:space="0" w:color="auto" w:frame="1"/>
          <w:lang w:val="en-US"/>
        </w:rPr>
        <w:t>http://</w:t>
      </w:r>
      <w:r w:rsidRPr="001A5DA6">
        <w:rPr>
          <w:rFonts w:ascii="Garamond" w:eastAsia="Arial Unicode MS" w:hAnsi="Garamond" w:cs="Arial Unicode MS"/>
          <w:szCs w:val="28"/>
          <w:bdr w:val="none" w:sz="0" w:space="0" w:color="auto" w:frame="1"/>
          <w:lang w:val="en-US"/>
        </w:rPr>
        <w:t>ec.europa.eu/budget/ explained/budg_system/index_en.cfm.</w:t>
      </w:r>
    </w:p>
    <w:p w14:paraId="574ABD4B" w14:textId="77777777" w:rsidR="0072591B" w:rsidRPr="001A5DA6" w:rsidRDefault="00D003A0" w:rsidP="001A5DA6">
      <w:pPr>
        <w:pStyle w:val="ListParagraph"/>
        <w:numPr>
          <w:ilvl w:val="2"/>
          <w:numId w:val="238"/>
        </w:numPr>
        <w:tabs>
          <w:tab w:val="clear" w:pos="2510"/>
          <w:tab w:val="num" w:pos="2410"/>
        </w:tabs>
        <w:spacing w:line="240" w:lineRule="atLeast"/>
        <w:ind w:left="426"/>
        <w:jc w:val="both"/>
        <w:rPr>
          <w:rFonts w:ascii="Garamond" w:eastAsia="Arial Unicode MS" w:hAnsi="Garamond" w:cs="Arial Unicode MS"/>
          <w:szCs w:val="28"/>
          <w:bdr w:val="none" w:sz="0" w:space="0" w:color="auto" w:frame="1"/>
          <w:lang w:val="en-US"/>
        </w:rPr>
      </w:pPr>
      <w:r>
        <w:rPr>
          <w:rFonts w:ascii="Garamond" w:eastAsia="Arial Unicode MS" w:hAnsi="Garamond" w:cs="Arial Unicode MS"/>
          <w:szCs w:val="28"/>
          <w:bdr w:val="none" w:sz="0" w:space="0" w:color="auto" w:frame="1"/>
          <w:lang w:val="en-US"/>
        </w:rPr>
        <w:t>Reuters, Financila Glossary,</w:t>
      </w:r>
      <w:r w:rsidR="0072591B" w:rsidRPr="001A5DA6">
        <w:rPr>
          <w:rFonts w:ascii="Garamond" w:eastAsia="Arial Unicode MS" w:hAnsi="Garamond" w:cs="Arial Unicode MS"/>
          <w:szCs w:val="28"/>
          <w:bdr w:val="none" w:sz="0" w:space="0" w:color="auto" w:frame="1"/>
          <w:lang w:val="en-US"/>
        </w:rPr>
        <w:t xml:space="preserve"> </w:t>
      </w:r>
      <w:r w:rsidR="0072591B" w:rsidRPr="00D003A0">
        <w:rPr>
          <w:rFonts w:ascii="Garamond" w:eastAsia="Arial Unicode MS" w:hAnsi="Garamond" w:cs="Arial Unicode MS"/>
          <w:i/>
          <w:szCs w:val="28"/>
          <w:bdr w:val="none" w:sz="0" w:space="0" w:color="auto" w:frame="1"/>
          <w:lang w:val="en-US"/>
        </w:rPr>
        <w:t>Maastricht Criteria</w:t>
      </w:r>
      <w:r>
        <w:rPr>
          <w:rFonts w:ascii="Garamond" w:eastAsia="Arial Unicode MS" w:hAnsi="Garamond" w:cs="Arial Unicode MS"/>
          <w:i/>
          <w:szCs w:val="28"/>
          <w:bdr w:val="none" w:sz="0" w:space="0" w:color="auto" w:frame="1"/>
          <w:lang w:val="en-US"/>
        </w:rPr>
        <w:t>,</w:t>
      </w:r>
      <w:r w:rsidR="0072591B" w:rsidRPr="001A5DA6">
        <w:rPr>
          <w:rFonts w:ascii="Garamond" w:eastAsia="Arial Unicode MS" w:hAnsi="Garamond" w:cs="Arial Unicode MS"/>
          <w:szCs w:val="28"/>
          <w:bdr w:val="none" w:sz="0" w:space="0" w:color="auto" w:frame="1"/>
          <w:lang w:val="en-US"/>
        </w:rPr>
        <w:t xml:space="preserve"> Available </w:t>
      </w:r>
      <w:r>
        <w:rPr>
          <w:rFonts w:ascii="Garamond" w:eastAsia="Arial Unicode MS" w:hAnsi="Garamond" w:cs="Arial Unicode MS"/>
          <w:szCs w:val="28"/>
          <w:bdr w:val="none" w:sz="0" w:space="0" w:color="auto" w:frame="1"/>
          <w:lang w:val="en-US"/>
        </w:rPr>
        <w:t>at</w:t>
      </w:r>
      <w:r w:rsidR="0072591B" w:rsidRPr="001A5DA6">
        <w:rPr>
          <w:rFonts w:ascii="Garamond" w:eastAsia="Arial Unicode MS" w:hAnsi="Garamond" w:cs="Arial Unicode MS"/>
          <w:szCs w:val="28"/>
          <w:bdr w:val="none" w:sz="0" w:space="0" w:color="auto" w:frame="1"/>
          <w:lang w:val="en-US"/>
        </w:rPr>
        <w:t xml:space="preserve"> </w:t>
      </w:r>
      <w:hyperlink r:id="rId83" w:history="1">
        <w:r w:rsidR="0072591B" w:rsidRPr="001A5DA6">
          <w:rPr>
            <w:rFonts w:ascii="Garamond" w:eastAsia="Arial Unicode MS" w:hAnsi="Garamond" w:cs="Arial Unicode MS"/>
            <w:szCs w:val="28"/>
            <w:bdr w:val="none" w:sz="0" w:space="0" w:color="auto" w:frame="1"/>
            <w:lang w:val="en-US"/>
          </w:rPr>
          <w:t>http://glossary</w:t>
        </w:r>
      </w:hyperlink>
      <w:r w:rsidR="0072591B" w:rsidRPr="001A5DA6">
        <w:rPr>
          <w:rFonts w:ascii="Garamond" w:eastAsia="Arial Unicode MS" w:hAnsi="Garamond" w:cs="Arial Unicode MS"/>
          <w:szCs w:val="28"/>
          <w:bdr w:val="none" w:sz="0" w:space="0" w:color="auto" w:frame="1"/>
          <w:lang w:val="en-US"/>
        </w:rPr>
        <w:t>. reuters.com/?title=Maastricht_Criteria.</w:t>
      </w:r>
    </w:p>
    <w:p w14:paraId="694CCE78" w14:textId="77777777" w:rsidR="00FB375D" w:rsidRPr="00FB375D" w:rsidRDefault="00FB375D" w:rsidP="000F1D00">
      <w:pPr>
        <w:pStyle w:val="end2"/>
        <w:rPr>
          <w:rFonts w:eastAsia="Garamond" w:cs="Garamond"/>
          <w:u w:color="000000"/>
          <w:bdr w:val="nil"/>
          <w:lang w:eastAsia="en-US"/>
        </w:rPr>
      </w:pPr>
      <w:r w:rsidRPr="007E1311">
        <w:rPr>
          <w:rFonts w:eastAsia="Arial Unicode MS"/>
          <w:u w:color="000000"/>
          <w:bdr w:val="nil"/>
          <w:lang w:eastAsia="en-US"/>
        </w:rPr>
        <w:t>Key terms</w:t>
      </w:r>
    </w:p>
    <w:tbl>
      <w:tblPr>
        <w:tblW w:w="9747"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668"/>
        <w:gridCol w:w="8079"/>
      </w:tblGrid>
      <w:tr w:rsidR="00FB375D" w:rsidRPr="000F1D00" w14:paraId="2E1C52F6" w14:textId="77777777" w:rsidTr="00FB375D">
        <w:trPr>
          <w:trHeight w:val="144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4299C4D5"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EU treaty </w:t>
            </w:r>
          </w:p>
        </w:tc>
        <w:tc>
          <w:tcPr>
            <w:tcW w:w="8079" w:type="dxa"/>
            <w:tcBorders>
              <w:top w:val="nil"/>
              <w:left w:val="nil"/>
              <w:bottom w:val="nil"/>
              <w:right w:val="nil"/>
            </w:tcBorders>
            <w:shd w:val="clear" w:color="auto" w:fill="auto"/>
            <w:tcMar>
              <w:top w:w="80" w:type="dxa"/>
              <w:left w:w="80" w:type="dxa"/>
              <w:bottom w:w="80" w:type="dxa"/>
              <w:right w:w="80" w:type="dxa"/>
            </w:tcMar>
          </w:tcPr>
          <w:p w14:paraId="20210728"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a binding agreement between EU member countries. It sets out EU objectives, rules for EU institutions, how decisions are made and the relationship between the EU and its member states. Treaties are amended to make the EU more efficient and transparent, to prepare for new member states and to introduce new areas of cooperation – such as the single currency. Under the treaties, EU institutions can adopt legislation, which the member states then implement.</w:t>
            </w:r>
          </w:p>
        </w:tc>
      </w:tr>
      <w:tr w:rsidR="00FB375D" w:rsidRPr="000F1D00" w14:paraId="7361C80C" w14:textId="77777777" w:rsidTr="00FB375D">
        <w:trPr>
          <w:trHeight w:val="264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0FA78182"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Economic and Monetary Union </w:t>
            </w:r>
            <w:r w:rsidR="00194CAB">
              <w:rPr>
                <w:rFonts w:eastAsia="Arial Unicode MS" w:cs="Arial Unicode MS"/>
                <w:b/>
                <w:u w:color="000000"/>
                <w:bdr w:val="nil"/>
                <w:lang w:val="en-US" w:eastAsia="en-US"/>
              </w:rPr>
              <w:t xml:space="preserve"> </w:t>
            </w:r>
          </w:p>
        </w:tc>
        <w:tc>
          <w:tcPr>
            <w:tcW w:w="8079" w:type="dxa"/>
            <w:tcBorders>
              <w:top w:val="nil"/>
              <w:left w:val="nil"/>
              <w:bottom w:val="nil"/>
              <w:right w:val="nil"/>
            </w:tcBorders>
            <w:shd w:val="clear" w:color="auto" w:fill="auto"/>
            <w:tcMar>
              <w:top w:w="80" w:type="dxa"/>
              <w:left w:w="80" w:type="dxa"/>
              <w:bottom w:w="80" w:type="dxa"/>
              <w:right w:w="80" w:type="dxa"/>
            </w:tcMar>
          </w:tcPr>
          <w:p w14:paraId="28201F69"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 xml:space="preserve">is the process by which participating member states of the European Union adopted a single currency and a single monetary system. It consists of three stages. Stage One, which began in 1990, removed all restrictions on the movement of capital between member states. Stage Two, which began in 1994, set up the European Monetary Institution which coordinated efforts to create a unified monetary policy and a unified central bank. It also set up the Stability and Growth Pact on budgetary discipline, conducted preliminary work on euro notes and coins, launched the European Central Bank (ECB) in 1998 and conducted the preparations for the setting of the conversion rates at which member states’ currencies would join the euro. Stage Three, which began in 1999, was the fixing of currency conversion rates and the launch of the euro as the EU’s unit of account. Euro notes and coins were introduced in 2002. </w:t>
            </w:r>
          </w:p>
        </w:tc>
      </w:tr>
      <w:tr w:rsidR="00FB375D" w:rsidRPr="000F1D00" w14:paraId="46F08AB2" w14:textId="77777777" w:rsidTr="00FB375D">
        <w:trPr>
          <w:trHeight w:val="144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09446A73"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multiannual financial framework </w:t>
            </w:r>
          </w:p>
        </w:tc>
        <w:tc>
          <w:tcPr>
            <w:tcW w:w="8079" w:type="dxa"/>
            <w:tcBorders>
              <w:top w:val="nil"/>
              <w:left w:val="nil"/>
              <w:bottom w:val="nil"/>
              <w:right w:val="nil"/>
            </w:tcBorders>
            <w:shd w:val="clear" w:color="auto" w:fill="auto"/>
            <w:tcMar>
              <w:top w:w="80" w:type="dxa"/>
              <w:left w:w="80" w:type="dxa"/>
              <w:bottom w:w="80" w:type="dxa"/>
              <w:right w:w="80" w:type="dxa"/>
            </w:tcMar>
          </w:tcPr>
          <w:p w14:paraId="20B47B72"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a seven-year framework regulating its annual budget. It is laid down in a unanimously adopted Council Regulation with the consent of the European Parliament. The financial framework sets the maximum amount of spending in the EU budget each year for broad policy areas and fixes an overall annual ceiling on payment and commitment appropriations It is agreed by the European Parliament, the Council of Ministers</w:t>
            </w:r>
            <w:r w:rsidR="00194CAB">
              <w:rPr>
                <w:rFonts w:eastAsia="Arial Unicode MS" w:cs="Arial Unicode MS"/>
                <w:u w:color="000000"/>
                <w:bdr w:val="nil"/>
                <w:lang w:val="en-US" w:eastAsia="en-US"/>
              </w:rPr>
              <w:t>,</w:t>
            </w:r>
            <w:r w:rsidRPr="000F1D00">
              <w:rPr>
                <w:rFonts w:eastAsia="Arial Unicode MS" w:cs="Arial Unicode MS"/>
                <w:u w:color="000000"/>
                <w:bdr w:val="nil"/>
                <w:lang w:val="en-US" w:eastAsia="en-US"/>
              </w:rPr>
              <w:t xml:space="preserve"> and the European Commission.</w:t>
            </w:r>
          </w:p>
        </w:tc>
      </w:tr>
      <w:tr w:rsidR="00FB375D" w:rsidRPr="000F1D00" w14:paraId="534855F2" w14:textId="77777777" w:rsidTr="00FB375D">
        <w:trPr>
          <w:trHeight w:val="5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1505B70B"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EU budget headings </w:t>
            </w:r>
          </w:p>
        </w:tc>
        <w:tc>
          <w:tcPr>
            <w:tcW w:w="8079" w:type="dxa"/>
            <w:tcBorders>
              <w:top w:val="nil"/>
              <w:left w:val="nil"/>
              <w:bottom w:val="nil"/>
              <w:right w:val="nil"/>
            </w:tcBorders>
            <w:shd w:val="clear" w:color="auto" w:fill="auto"/>
            <w:tcMar>
              <w:top w:w="80" w:type="dxa"/>
              <w:left w:w="80" w:type="dxa"/>
              <w:bottom w:w="80" w:type="dxa"/>
              <w:right w:w="80" w:type="dxa"/>
            </w:tcMar>
          </w:tcPr>
          <w:p w14:paraId="174BD573"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are the priorities and different social, economic</w:t>
            </w:r>
            <w:r w:rsidR="00194CAB">
              <w:rPr>
                <w:rFonts w:eastAsia="Arial Unicode MS" w:cs="Arial Unicode MS"/>
                <w:u w:color="000000"/>
                <w:bdr w:val="nil"/>
                <w:lang w:val="en-US" w:eastAsia="en-US"/>
              </w:rPr>
              <w:t>,</w:t>
            </w:r>
            <w:r w:rsidRPr="000F1D00">
              <w:rPr>
                <w:rFonts w:eastAsia="Arial Unicode MS" w:cs="Arial Unicode MS"/>
                <w:u w:color="000000"/>
                <w:bdr w:val="nil"/>
                <w:lang w:val="en-US" w:eastAsia="en-US"/>
              </w:rPr>
              <w:t xml:space="preserve"> and political fields of budget expenditures. They are adopted in Multiannual financial framework document.</w:t>
            </w:r>
          </w:p>
        </w:tc>
      </w:tr>
      <w:tr w:rsidR="00FB375D" w:rsidRPr="000F1D00" w14:paraId="21846448" w14:textId="77777777" w:rsidTr="00FB375D">
        <w:trPr>
          <w:trHeight w:val="19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19161576"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annual ceiling on payment  </w:t>
            </w:r>
          </w:p>
        </w:tc>
        <w:tc>
          <w:tcPr>
            <w:tcW w:w="8079" w:type="dxa"/>
            <w:tcBorders>
              <w:top w:val="nil"/>
              <w:left w:val="nil"/>
              <w:bottom w:val="nil"/>
              <w:right w:val="nil"/>
            </w:tcBorders>
            <w:shd w:val="clear" w:color="auto" w:fill="auto"/>
            <w:tcMar>
              <w:top w:w="80" w:type="dxa"/>
              <w:left w:w="80" w:type="dxa"/>
              <w:bottom w:w="80" w:type="dxa"/>
              <w:right w:w="80" w:type="dxa"/>
            </w:tcMar>
          </w:tcPr>
          <w:p w14:paraId="7F41FC99"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the maximum level permissible in a financial transaction. Ceiling refers to the highest price, the maximum interest rate, or the largest of some other factor involved in a transaction. For example, the interest rate ceiling on a credit card is the highest interest rate that could be charged for purchases. In addition for EU budget procedure, it is a limit of expenditure or revenue fixed by law or by agreement, such as in the own resources decision or in the multiannual financial framework. The latter defines an annual ceiling for each expenditure heading in commitment appropriations and an annual global ceiling for payment appropriations.</w:t>
            </w:r>
          </w:p>
        </w:tc>
      </w:tr>
      <w:tr w:rsidR="00FB375D" w:rsidRPr="000F1D00" w14:paraId="09DFD08D" w14:textId="77777777" w:rsidTr="00FB375D">
        <w:trPr>
          <w:trHeight w:val="7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6F07EACE"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EU draft budget </w:t>
            </w:r>
          </w:p>
        </w:tc>
        <w:tc>
          <w:tcPr>
            <w:tcW w:w="8079" w:type="dxa"/>
            <w:tcBorders>
              <w:top w:val="nil"/>
              <w:left w:val="nil"/>
              <w:bottom w:val="nil"/>
              <w:right w:val="nil"/>
            </w:tcBorders>
            <w:shd w:val="clear" w:color="auto" w:fill="auto"/>
            <w:tcMar>
              <w:top w:w="80" w:type="dxa"/>
              <w:left w:w="80" w:type="dxa"/>
              <w:bottom w:w="80" w:type="dxa"/>
              <w:right w:w="80" w:type="dxa"/>
            </w:tcMar>
          </w:tcPr>
          <w:p w14:paraId="1DC7DA13" w14:textId="77777777" w:rsidR="00FB375D" w:rsidRDefault="00FB375D" w:rsidP="00681394">
            <w:pPr>
              <w:pBdr>
                <w:top w:val="nil"/>
                <w:left w:val="nil"/>
                <w:bottom w:val="nil"/>
                <w:right w:val="nil"/>
                <w:between w:val="nil"/>
                <w:bar w:val="nil"/>
              </w:pBdr>
              <w:spacing w:line="240" w:lineRule="atLeast"/>
              <w:ind w:firstLine="33"/>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a document (preliminary version of the budget) prepared by the European Commission consolidating requests from all EU institutions and submitted to the European Parliament and the European Council no later than September</w:t>
            </w:r>
            <w:r w:rsidR="00681394">
              <w:rPr>
                <w:rFonts w:eastAsia="Arial Unicode MS" w:cs="Arial Unicode MS"/>
                <w:u w:color="000000"/>
                <w:bdr w:val="nil"/>
                <w:lang w:val="en-US" w:eastAsia="en-US"/>
              </w:rPr>
              <w:t xml:space="preserve"> </w:t>
            </w:r>
            <w:r w:rsidR="00681394" w:rsidRPr="000F1D00">
              <w:rPr>
                <w:rFonts w:eastAsia="Arial Unicode MS" w:cs="Arial Unicode MS"/>
                <w:u w:color="000000"/>
                <w:bdr w:val="nil"/>
                <w:lang w:val="en-US" w:eastAsia="en-US"/>
              </w:rPr>
              <w:t>1</w:t>
            </w:r>
            <w:r w:rsidRPr="000F1D00">
              <w:rPr>
                <w:rFonts w:eastAsia="Arial Unicode MS" w:cs="Arial Unicode MS"/>
                <w:u w:color="000000"/>
                <w:bdr w:val="nil"/>
                <w:lang w:val="en-US" w:eastAsia="en-US"/>
              </w:rPr>
              <w:t xml:space="preserve">. </w:t>
            </w:r>
          </w:p>
          <w:p w14:paraId="1705BA56" w14:textId="77777777" w:rsidR="00B95883" w:rsidRDefault="00B95883" w:rsidP="00681394">
            <w:pPr>
              <w:pBdr>
                <w:top w:val="nil"/>
                <w:left w:val="nil"/>
                <w:bottom w:val="nil"/>
                <w:right w:val="nil"/>
                <w:between w:val="nil"/>
                <w:bar w:val="nil"/>
              </w:pBdr>
              <w:spacing w:line="240" w:lineRule="atLeast"/>
              <w:ind w:firstLine="33"/>
              <w:jc w:val="both"/>
              <w:rPr>
                <w:rFonts w:eastAsia="Arial Unicode MS" w:cs="Arial Unicode MS"/>
                <w:u w:color="000000"/>
                <w:bdr w:val="nil"/>
                <w:lang w:val="en-US" w:eastAsia="en-US"/>
              </w:rPr>
            </w:pPr>
          </w:p>
          <w:p w14:paraId="51CA27E5" w14:textId="77777777" w:rsidR="00B95883" w:rsidRDefault="00B95883" w:rsidP="00681394">
            <w:pPr>
              <w:pBdr>
                <w:top w:val="nil"/>
                <w:left w:val="nil"/>
                <w:bottom w:val="nil"/>
                <w:right w:val="nil"/>
                <w:between w:val="nil"/>
                <w:bar w:val="nil"/>
              </w:pBdr>
              <w:spacing w:line="240" w:lineRule="atLeast"/>
              <w:ind w:firstLine="33"/>
              <w:jc w:val="both"/>
              <w:rPr>
                <w:rFonts w:eastAsia="Arial Unicode MS" w:cs="Arial Unicode MS"/>
                <w:u w:color="000000"/>
                <w:bdr w:val="nil"/>
                <w:lang w:val="en-US" w:eastAsia="en-US"/>
              </w:rPr>
            </w:pPr>
          </w:p>
          <w:p w14:paraId="53694DF0" w14:textId="77777777" w:rsidR="00B95883" w:rsidRPr="000F1D00" w:rsidRDefault="00B95883" w:rsidP="00681394">
            <w:pPr>
              <w:pBdr>
                <w:top w:val="nil"/>
                <w:left w:val="nil"/>
                <w:bottom w:val="nil"/>
                <w:right w:val="nil"/>
                <w:between w:val="nil"/>
                <w:bar w:val="nil"/>
              </w:pBdr>
              <w:spacing w:line="240" w:lineRule="atLeast"/>
              <w:ind w:firstLine="33"/>
              <w:jc w:val="both"/>
              <w:rPr>
                <w:rFonts w:eastAsia="Arial Unicode MS" w:cs="Arial Unicode MS"/>
                <w:u w:color="000000"/>
                <w:bdr w:val="nil"/>
                <w:lang w:val="en-US" w:eastAsia="en-US"/>
              </w:rPr>
            </w:pPr>
          </w:p>
        </w:tc>
      </w:tr>
      <w:tr w:rsidR="00FB375D" w:rsidRPr="000F1D00" w14:paraId="5415E760" w14:textId="77777777" w:rsidTr="00FB375D">
        <w:trPr>
          <w:trHeight w:val="96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6A5054F6"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lastRenderedPageBreak/>
              <w:t xml:space="preserve">discharge </w:t>
            </w:r>
          </w:p>
        </w:tc>
        <w:tc>
          <w:tcPr>
            <w:tcW w:w="8079" w:type="dxa"/>
            <w:tcBorders>
              <w:top w:val="nil"/>
              <w:left w:val="nil"/>
              <w:bottom w:val="nil"/>
              <w:right w:val="nil"/>
            </w:tcBorders>
            <w:shd w:val="clear" w:color="auto" w:fill="auto"/>
            <w:tcMar>
              <w:top w:w="80" w:type="dxa"/>
              <w:left w:w="80" w:type="dxa"/>
              <w:bottom w:w="80" w:type="dxa"/>
              <w:right w:w="80" w:type="dxa"/>
            </w:tcMar>
          </w:tcPr>
          <w:p w14:paraId="26D853DC" w14:textId="77777777" w:rsidR="00FB375D" w:rsidRPr="000F1D00" w:rsidRDefault="00FB375D" w:rsidP="000F1D00">
            <w:pPr>
              <w:pBdr>
                <w:top w:val="nil"/>
                <w:left w:val="nil"/>
                <w:bottom w:val="nil"/>
                <w:right w:val="nil"/>
                <w:between w:val="nil"/>
                <w:bar w:val="nil"/>
              </w:pBdr>
              <w:spacing w:line="240" w:lineRule="atLeast"/>
              <w:ind w:firstLine="33"/>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a decision by which the European Parliament closes an annual budget exercise, on the basis of a recommendation from the Council and a declaration of assurance from the Court of Auditors. It covers the accounts of all the Communities’ revenue and expenditure, the resulting balance, and assets and liabilities, as shown in the balance sheet.</w:t>
            </w:r>
          </w:p>
        </w:tc>
      </w:tr>
      <w:tr w:rsidR="00FB375D" w:rsidRPr="000F1D00" w14:paraId="5483C05E" w14:textId="77777777" w:rsidTr="00FB375D">
        <w:trPr>
          <w:trHeight w:val="120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675A4083"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macro</w:t>
            </w:r>
            <w:r w:rsidR="00D003A0">
              <w:rPr>
                <w:rFonts w:eastAsia="Arial Unicode MS" w:cs="Arial Unicode MS"/>
                <w:b/>
                <w:u w:color="000000"/>
                <w:bdr w:val="nil"/>
                <w:lang w:val="en-US" w:eastAsia="en-US"/>
              </w:rPr>
              <w:t>-</w:t>
            </w:r>
            <w:r w:rsidRPr="000F1D00">
              <w:rPr>
                <w:rFonts w:eastAsia="Arial Unicode MS" w:cs="Arial Unicode MS"/>
                <w:b/>
                <w:u w:color="000000"/>
                <w:bdr w:val="nil"/>
                <w:lang w:val="en-US" w:eastAsia="en-US"/>
              </w:rPr>
              <w:t xml:space="preserve">financial assistance </w:t>
            </w:r>
          </w:p>
        </w:tc>
        <w:tc>
          <w:tcPr>
            <w:tcW w:w="8079" w:type="dxa"/>
            <w:tcBorders>
              <w:top w:val="nil"/>
              <w:left w:val="nil"/>
              <w:bottom w:val="nil"/>
              <w:right w:val="nil"/>
            </w:tcBorders>
            <w:shd w:val="clear" w:color="auto" w:fill="auto"/>
            <w:tcMar>
              <w:top w:w="80" w:type="dxa"/>
              <w:left w:w="80" w:type="dxa"/>
              <w:bottom w:w="80" w:type="dxa"/>
              <w:right w:w="80" w:type="dxa"/>
            </w:tcMar>
          </w:tcPr>
          <w:p w14:paraId="0C69DE59"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a form of financial support to neighboring regions, which is mobilized on a case-by-case basis with a view to helping the beneficiary countries in dealing with serious but generally short-term balance-of-payments or budget difficulties. It takes the form of medium-/long-term loans or grants (or an appropriate combination thereof) and generally complements financing provided in the context of an International Monetary Fund’s reform programme.</w:t>
            </w:r>
          </w:p>
        </w:tc>
      </w:tr>
      <w:tr w:rsidR="00FB375D" w:rsidRPr="000F1D00" w14:paraId="52979F74" w14:textId="77777777" w:rsidTr="00FB375D">
        <w:trPr>
          <w:trHeight w:val="7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5D77AD4A"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outturn  </w:t>
            </w:r>
          </w:p>
        </w:tc>
        <w:tc>
          <w:tcPr>
            <w:tcW w:w="8079" w:type="dxa"/>
            <w:tcBorders>
              <w:top w:val="nil"/>
              <w:left w:val="nil"/>
              <w:bottom w:val="nil"/>
              <w:right w:val="nil"/>
            </w:tcBorders>
            <w:shd w:val="clear" w:color="auto" w:fill="auto"/>
            <w:tcMar>
              <w:top w:w="80" w:type="dxa"/>
              <w:left w:w="80" w:type="dxa"/>
              <w:bottom w:w="80" w:type="dxa"/>
              <w:right w:w="80" w:type="dxa"/>
            </w:tcMar>
          </w:tcPr>
          <w:p w14:paraId="533FD33D"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any of the three possible outcomes of the budget resulting from the difference between revenue and expenditure: a positive difference (surplus), a negative difference (deficit)</w:t>
            </w:r>
            <w:r w:rsidR="00681394">
              <w:rPr>
                <w:rFonts w:eastAsia="Arial Unicode MS" w:cs="Arial Unicode MS"/>
                <w:u w:color="000000"/>
                <w:bdr w:val="nil"/>
                <w:lang w:val="en-US" w:eastAsia="en-US"/>
              </w:rPr>
              <w:t>,</w:t>
            </w:r>
            <w:r w:rsidRPr="000F1D00">
              <w:rPr>
                <w:rFonts w:eastAsia="Arial Unicode MS" w:cs="Arial Unicode MS"/>
                <w:u w:color="000000"/>
                <w:bdr w:val="nil"/>
                <w:lang w:val="en-US" w:eastAsia="en-US"/>
              </w:rPr>
              <w:t xml:space="preserve"> and no difference (i.</w:t>
            </w:r>
            <w:r w:rsidR="00D003A0">
              <w:rPr>
                <w:rFonts w:eastAsia="Arial Unicode MS" w:cs="Arial Unicode MS"/>
                <w:u w:color="000000"/>
                <w:bdr w:val="nil"/>
                <w:lang w:val="en-US" w:eastAsia="en-US"/>
              </w:rPr>
              <w:t xml:space="preserve"> </w:t>
            </w:r>
            <w:r w:rsidRPr="000F1D00">
              <w:rPr>
                <w:rFonts w:eastAsia="Arial Unicode MS" w:cs="Arial Unicode MS"/>
                <w:u w:color="000000"/>
                <w:bdr w:val="nil"/>
                <w:lang w:val="en-US" w:eastAsia="en-US"/>
              </w:rPr>
              <w:t>e.</w:t>
            </w:r>
            <w:r w:rsidR="00681394">
              <w:rPr>
                <w:rFonts w:eastAsia="Arial Unicode MS" w:cs="Arial Unicode MS"/>
                <w:u w:color="000000"/>
                <w:bdr w:val="nil"/>
                <w:lang w:val="en-US" w:eastAsia="en-US"/>
              </w:rPr>
              <w:t>,</w:t>
            </w:r>
            <w:r w:rsidRPr="000F1D00">
              <w:rPr>
                <w:rFonts w:eastAsia="Arial Unicode MS" w:cs="Arial Unicode MS"/>
                <w:u w:color="000000"/>
                <w:bdr w:val="nil"/>
                <w:lang w:val="en-US" w:eastAsia="en-US"/>
              </w:rPr>
              <w:t xml:space="preserve"> zero, or perfect balance between revenue and expenditure).</w:t>
            </w:r>
          </w:p>
        </w:tc>
      </w:tr>
      <w:tr w:rsidR="00FB375D" w:rsidRPr="000F1D00" w14:paraId="4706C264" w14:textId="77777777" w:rsidTr="00FB375D">
        <w:trPr>
          <w:trHeight w:val="7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1DCD0C3F" w14:textId="77777777" w:rsidR="00FB375D" w:rsidRPr="000F1D00" w:rsidRDefault="00FB375D" w:rsidP="000F1D00">
            <w:pPr>
              <w:pBdr>
                <w:top w:val="nil"/>
                <w:left w:val="nil"/>
                <w:bottom w:val="nil"/>
                <w:right w:val="nil"/>
                <w:between w:val="nil"/>
                <w:bar w:val="nil"/>
              </w:pBdr>
              <w:spacing w:line="240" w:lineRule="atLeast"/>
              <w:rPr>
                <w:rFonts w:eastAsia="Garamond" w:cs="Garamond"/>
                <w:b/>
                <w:u w:color="000000"/>
                <w:bdr w:val="nil"/>
                <w:lang w:val="en-US" w:eastAsia="en-US"/>
              </w:rPr>
            </w:pPr>
            <w:r w:rsidRPr="000F1D00">
              <w:rPr>
                <w:rFonts w:eastAsia="Arial Unicode MS" w:cs="Arial Unicode MS"/>
                <w:b/>
                <w:u w:color="000000"/>
                <w:bdr w:val="nil"/>
                <w:lang w:val="en-US" w:eastAsia="en-US"/>
              </w:rPr>
              <w:t xml:space="preserve">own </w:t>
            </w:r>
          </w:p>
          <w:p w14:paraId="5E5B7DF7"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resources </w:t>
            </w:r>
          </w:p>
        </w:tc>
        <w:tc>
          <w:tcPr>
            <w:tcW w:w="8079" w:type="dxa"/>
            <w:tcBorders>
              <w:top w:val="nil"/>
              <w:left w:val="nil"/>
              <w:bottom w:val="nil"/>
              <w:right w:val="nil"/>
            </w:tcBorders>
            <w:shd w:val="clear" w:color="auto" w:fill="auto"/>
            <w:tcMar>
              <w:top w:w="80" w:type="dxa"/>
              <w:left w:w="80" w:type="dxa"/>
              <w:bottom w:w="80" w:type="dxa"/>
              <w:right w:w="80" w:type="dxa"/>
            </w:tcMar>
          </w:tcPr>
          <w:p w14:paraId="76FC4598"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a revenue flowing automatically to the European Union budget, pursuant to the treaties and implementing legislation, without the need for any subsequent decision by national authorities.</w:t>
            </w:r>
          </w:p>
        </w:tc>
      </w:tr>
      <w:tr w:rsidR="00FB375D" w:rsidRPr="000F1D00" w14:paraId="280A23FD" w14:textId="77777777" w:rsidTr="00FB375D">
        <w:trPr>
          <w:trHeight w:val="7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695C5F00"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EU programme </w:t>
            </w:r>
          </w:p>
        </w:tc>
        <w:tc>
          <w:tcPr>
            <w:tcW w:w="8079" w:type="dxa"/>
            <w:tcBorders>
              <w:top w:val="nil"/>
              <w:left w:val="nil"/>
              <w:bottom w:val="nil"/>
              <w:right w:val="nil"/>
            </w:tcBorders>
            <w:shd w:val="clear" w:color="auto" w:fill="auto"/>
            <w:tcMar>
              <w:top w:w="80" w:type="dxa"/>
              <w:left w:w="80" w:type="dxa"/>
              <w:bottom w:w="80" w:type="dxa"/>
              <w:right w:w="80" w:type="dxa"/>
            </w:tcMar>
          </w:tcPr>
          <w:p w14:paraId="17B579B0"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EU policies implemented through a wide range of programs and funds providing financial support to hundreds of thousands of beneficiaries – farmers, students, scientists, NGOs, businesses, towns, regions, etc.</w:t>
            </w:r>
          </w:p>
        </w:tc>
      </w:tr>
      <w:tr w:rsidR="00FB375D" w:rsidRPr="000F1D00" w14:paraId="135D6B08" w14:textId="77777777" w:rsidTr="00FB375D">
        <w:trPr>
          <w:trHeight w:val="7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28136C97" w14:textId="77777777" w:rsidR="00FB375D" w:rsidRPr="000F1D00" w:rsidRDefault="00FB375D" w:rsidP="000F1D00">
            <w:pPr>
              <w:pBdr>
                <w:top w:val="nil"/>
                <w:left w:val="nil"/>
                <w:bottom w:val="nil"/>
                <w:right w:val="nil"/>
                <w:between w:val="nil"/>
                <w:bar w:val="nil"/>
              </w:pBdr>
              <w:spacing w:line="240" w:lineRule="atLeast"/>
              <w:rPr>
                <w:rFonts w:eastAsia="Garamond" w:cs="Garamond"/>
                <w:b/>
                <w:u w:color="000000"/>
                <w:bdr w:val="nil"/>
                <w:lang w:val="en-US" w:eastAsia="en-US"/>
              </w:rPr>
            </w:pPr>
            <w:r w:rsidRPr="000F1D00">
              <w:rPr>
                <w:rFonts w:eastAsia="Arial Unicode MS" w:cs="Arial Unicode MS"/>
                <w:b/>
                <w:u w:color="000000"/>
                <w:bdr w:val="nil"/>
                <w:lang w:val="en-US" w:eastAsia="en-US"/>
              </w:rPr>
              <w:t xml:space="preserve">UK </w:t>
            </w:r>
          </w:p>
          <w:p w14:paraId="0C39A1DE"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correction </w:t>
            </w:r>
          </w:p>
        </w:tc>
        <w:tc>
          <w:tcPr>
            <w:tcW w:w="8079" w:type="dxa"/>
            <w:tcBorders>
              <w:top w:val="nil"/>
              <w:left w:val="nil"/>
              <w:bottom w:val="nil"/>
              <w:right w:val="nil"/>
            </w:tcBorders>
            <w:shd w:val="clear" w:color="auto" w:fill="auto"/>
            <w:tcMar>
              <w:top w:w="80" w:type="dxa"/>
              <w:left w:w="80" w:type="dxa"/>
              <w:bottom w:w="80" w:type="dxa"/>
              <w:right w:w="80" w:type="dxa"/>
            </w:tcMar>
          </w:tcPr>
          <w:p w14:paraId="1A03804B"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an agreement between member states (1984, Germany, Belgium, Denmark, France, Greece, Ireland, Italy, Luxembourg, the Netherlands</w:t>
            </w:r>
            <w:r w:rsidR="00681394">
              <w:rPr>
                <w:rFonts w:eastAsia="Arial Unicode MS" w:cs="Arial Unicode MS"/>
                <w:u w:color="000000"/>
                <w:bdr w:val="nil"/>
                <w:lang w:val="en-US" w:eastAsia="en-US"/>
              </w:rPr>
              <w:t>,</w:t>
            </w:r>
            <w:r w:rsidRPr="000F1D00">
              <w:rPr>
                <w:rFonts w:eastAsia="Arial Unicode MS" w:cs="Arial Unicode MS"/>
                <w:u w:color="000000"/>
                <w:bdr w:val="nil"/>
                <w:lang w:val="en-US" w:eastAsia="en-US"/>
              </w:rPr>
              <w:t xml:space="preserve"> and the UK) on the rebate to be granted to the UK to reduce its contribution to the EU budget.</w:t>
            </w:r>
          </w:p>
        </w:tc>
      </w:tr>
      <w:tr w:rsidR="00FB375D" w:rsidRPr="00681394" w14:paraId="50E427CE" w14:textId="77777777" w:rsidTr="00FB375D">
        <w:trPr>
          <w:trHeight w:val="7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01DFC4B6"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territorial cohesion </w:t>
            </w:r>
          </w:p>
        </w:tc>
        <w:tc>
          <w:tcPr>
            <w:tcW w:w="8079" w:type="dxa"/>
            <w:tcBorders>
              <w:top w:val="nil"/>
              <w:left w:val="nil"/>
              <w:bottom w:val="nil"/>
              <w:right w:val="nil"/>
            </w:tcBorders>
            <w:shd w:val="clear" w:color="auto" w:fill="auto"/>
            <w:tcMar>
              <w:top w:w="80" w:type="dxa"/>
              <w:left w:w="80" w:type="dxa"/>
              <w:bottom w:w="80" w:type="dxa"/>
              <w:right w:w="80" w:type="dxa"/>
            </w:tcMar>
          </w:tcPr>
          <w:p w14:paraId="008A3371"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a European Union concept which the main idea is to contribute to European sustainable development and competitiveness. It is intended to strengthen the European regions, promote territorial integration</w:t>
            </w:r>
            <w:r w:rsidR="00681394">
              <w:rPr>
                <w:rFonts w:eastAsia="Arial Unicode MS" w:cs="Arial Unicode MS"/>
                <w:u w:color="000000"/>
                <w:bdr w:val="nil"/>
                <w:lang w:val="en-US" w:eastAsia="en-US"/>
              </w:rPr>
              <w:t>,</w:t>
            </w:r>
            <w:r w:rsidRPr="000F1D00">
              <w:rPr>
                <w:rFonts w:eastAsia="Arial Unicode MS" w:cs="Arial Unicode MS"/>
                <w:u w:color="000000"/>
                <w:bdr w:val="nil"/>
                <w:lang w:val="en-US" w:eastAsia="en-US"/>
              </w:rPr>
              <w:t xml:space="preserve"> and produce coherence of</w:t>
            </w:r>
            <w:r w:rsidR="00681394">
              <w:rPr>
                <w:rFonts w:eastAsia="Arial Unicode MS" w:cs="Arial Unicode MS"/>
                <w:u w:color="000000"/>
                <w:bdr w:val="nil"/>
                <w:lang w:val="en-US" w:eastAsia="en-US"/>
              </w:rPr>
              <w:t xml:space="preserve"> the</w:t>
            </w:r>
            <w:r w:rsidRPr="000F1D00">
              <w:rPr>
                <w:rFonts w:eastAsia="Arial Unicode MS" w:cs="Arial Unicode MS"/>
                <w:u w:color="000000"/>
                <w:bdr w:val="nil"/>
                <w:lang w:val="en-US" w:eastAsia="en-US"/>
              </w:rPr>
              <w:t xml:space="preserve"> European Union (EU).</w:t>
            </w:r>
          </w:p>
        </w:tc>
      </w:tr>
      <w:tr w:rsidR="00FB375D" w:rsidRPr="000F1D00" w14:paraId="23518E34" w14:textId="77777777" w:rsidTr="00FB375D">
        <w:trPr>
          <w:trHeight w:val="1920"/>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5BD7EBAF"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European Court of Auditors </w:t>
            </w:r>
          </w:p>
        </w:tc>
        <w:tc>
          <w:tcPr>
            <w:tcW w:w="8079" w:type="dxa"/>
            <w:tcBorders>
              <w:top w:val="nil"/>
              <w:left w:val="nil"/>
              <w:bottom w:val="nil"/>
              <w:right w:val="nil"/>
            </w:tcBorders>
            <w:shd w:val="clear" w:color="auto" w:fill="auto"/>
            <w:tcMar>
              <w:top w:w="80" w:type="dxa"/>
              <w:left w:w="80" w:type="dxa"/>
              <w:bottom w:w="80" w:type="dxa"/>
              <w:right w:w="80" w:type="dxa"/>
            </w:tcMar>
          </w:tcPr>
          <w:p w14:paraId="05798E37"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is the EU’s independent external auditor. It looks after the interests of EU taxpayers. It does not have legal powers but works to improve the European Commission’s management of the EU budget and reports on the EU finances. It audits EU revenue and expenditure, checks</w:t>
            </w:r>
            <w:r w:rsidR="00681394">
              <w:rPr>
                <w:rFonts w:eastAsia="Arial Unicode MS" w:cs="Arial Unicode MS"/>
                <w:u w:color="000000"/>
                <w:bdr w:val="nil"/>
                <w:lang w:val="en-US" w:eastAsia="en-US"/>
              </w:rPr>
              <w:t xml:space="preserve"> that EU funds are correctly raised and</w:t>
            </w:r>
            <w:r w:rsidRPr="000F1D00">
              <w:rPr>
                <w:rFonts w:eastAsia="Arial Unicode MS" w:cs="Arial Unicode MS"/>
                <w:u w:color="000000"/>
                <w:bdr w:val="nil"/>
                <w:lang w:val="en-US" w:eastAsia="en-US"/>
              </w:rPr>
              <w:t xml:space="preserve"> spent; checks any person or organization handling EU funds; writes up findings and recommendations in audit reports for the European Commission and national governments; gives its expert opinion to </w:t>
            </w:r>
            <w:r w:rsidR="00681394">
              <w:rPr>
                <w:rFonts w:eastAsia="Arial Unicode MS" w:cs="Arial Unicode MS"/>
                <w:u w:color="000000"/>
                <w:bdr w:val="nil"/>
                <w:lang w:val="en-US" w:eastAsia="en-US"/>
              </w:rPr>
              <w:t xml:space="preserve">the </w:t>
            </w:r>
            <w:r w:rsidRPr="000F1D00">
              <w:rPr>
                <w:rFonts w:eastAsia="Arial Unicode MS" w:cs="Arial Unicode MS"/>
                <w:u w:color="000000"/>
                <w:bdr w:val="nil"/>
                <w:lang w:val="en-US" w:eastAsia="en-US"/>
              </w:rPr>
              <w:t>EU policy</w:t>
            </w:r>
            <w:r w:rsidR="00681394">
              <w:rPr>
                <w:rFonts w:eastAsia="Arial Unicode MS" w:cs="Arial Unicode MS"/>
                <w:u w:color="000000"/>
                <w:bdr w:val="nil"/>
                <w:lang w:val="en-US" w:eastAsia="en-US"/>
              </w:rPr>
              <w:t>-</w:t>
            </w:r>
            <w:r w:rsidRPr="000F1D00">
              <w:rPr>
                <w:rFonts w:eastAsia="Arial Unicode MS" w:cs="Arial Unicode MS"/>
                <w:u w:color="000000"/>
                <w:bdr w:val="nil"/>
                <w:lang w:val="en-US" w:eastAsia="en-US"/>
              </w:rPr>
              <w:t>makers on how EU finances could be better managed and made more accountable to citizens.</w:t>
            </w:r>
          </w:p>
        </w:tc>
      </w:tr>
      <w:tr w:rsidR="00FB375D" w:rsidRPr="000F1D00" w14:paraId="02DB7B23" w14:textId="77777777" w:rsidTr="00FB375D">
        <w:trPr>
          <w:trHeight w:val="1568"/>
          <w:jc w:val="center"/>
        </w:trPr>
        <w:tc>
          <w:tcPr>
            <w:tcW w:w="1668" w:type="dxa"/>
            <w:tcBorders>
              <w:top w:val="nil"/>
              <w:left w:val="nil"/>
              <w:bottom w:val="nil"/>
              <w:right w:val="nil"/>
            </w:tcBorders>
            <w:shd w:val="clear" w:color="auto" w:fill="auto"/>
            <w:tcMar>
              <w:top w:w="80" w:type="dxa"/>
              <w:left w:w="80" w:type="dxa"/>
              <w:bottom w:w="80" w:type="dxa"/>
              <w:right w:w="80" w:type="dxa"/>
            </w:tcMar>
          </w:tcPr>
          <w:p w14:paraId="0AC9198A" w14:textId="77777777" w:rsidR="00FB375D" w:rsidRPr="000F1D00" w:rsidRDefault="00FB375D" w:rsidP="000F1D00">
            <w:pPr>
              <w:pBdr>
                <w:top w:val="nil"/>
                <w:left w:val="nil"/>
                <w:bottom w:val="nil"/>
                <w:right w:val="nil"/>
                <w:between w:val="nil"/>
                <w:bar w:val="nil"/>
              </w:pBdr>
              <w:spacing w:line="240" w:lineRule="atLeast"/>
              <w:rPr>
                <w:rFonts w:eastAsia="Arial Unicode MS" w:cs="Arial Unicode MS"/>
                <w:b/>
                <w:u w:color="000000"/>
                <w:bdr w:val="nil"/>
                <w:lang w:val="en-US" w:eastAsia="en-US"/>
              </w:rPr>
            </w:pPr>
            <w:r w:rsidRPr="000F1D00">
              <w:rPr>
                <w:rFonts w:eastAsia="Arial Unicode MS" w:cs="Arial Unicode MS"/>
                <w:b/>
                <w:u w:color="000000"/>
                <w:bdr w:val="nil"/>
                <w:lang w:val="en-US" w:eastAsia="en-US"/>
              </w:rPr>
              <w:t xml:space="preserve">Erasmus+ </w:t>
            </w:r>
          </w:p>
        </w:tc>
        <w:tc>
          <w:tcPr>
            <w:tcW w:w="8079" w:type="dxa"/>
            <w:tcBorders>
              <w:top w:val="nil"/>
              <w:left w:val="nil"/>
              <w:bottom w:val="nil"/>
              <w:right w:val="nil"/>
            </w:tcBorders>
            <w:shd w:val="clear" w:color="auto" w:fill="auto"/>
            <w:tcMar>
              <w:top w:w="80" w:type="dxa"/>
              <w:left w:w="80" w:type="dxa"/>
              <w:bottom w:w="80" w:type="dxa"/>
              <w:right w:w="80" w:type="dxa"/>
            </w:tcMar>
          </w:tcPr>
          <w:p w14:paraId="5FE582E5"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u w:color="000000"/>
                <w:bdr w:val="nil"/>
                <w:lang w:val="en-US" w:eastAsia="en-US"/>
              </w:rPr>
            </w:pPr>
            <w:r w:rsidRPr="000F1D00">
              <w:rPr>
                <w:rFonts w:eastAsia="Arial Unicode MS" w:cs="Arial Unicode MS"/>
                <w:u w:color="000000"/>
                <w:bdr w:val="nil"/>
                <w:lang w:val="en-US" w:eastAsia="en-US"/>
              </w:rPr>
              <w:t xml:space="preserve">is an EU program for </w:t>
            </w:r>
            <w:r w:rsidR="00681394" w:rsidRPr="000F1D00">
              <w:rPr>
                <w:rFonts w:eastAsia="Arial Unicode MS" w:cs="Arial Unicode MS"/>
                <w:u w:color="000000"/>
                <w:bdr w:val="nil"/>
                <w:lang w:val="en-US" w:eastAsia="en-US"/>
              </w:rPr>
              <w:t>education, training, youth, and s</w:t>
            </w:r>
            <w:r w:rsidRPr="000F1D00">
              <w:rPr>
                <w:rFonts w:eastAsia="Arial Unicode MS" w:cs="Arial Unicode MS"/>
                <w:u w:color="000000"/>
                <w:bdr w:val="nil"/>
                <w:lang w:val="en-US" w:eastAsia="en-US"/>
              </w:rPr>
              <w:t>port  for 2014</w:t>
            </w:r>
            <w:r w:rsidR="00681394">
              <w:rPr>
                <w:rFonts w:eastAsia="Arial Unicode MS" w:cs="Arial Unicode MS"/>
                <w:u w:color="000000"/>
                <w:bdr w:val="nil"/>
                <w:lang w:val="en-US" w:eastAsia="en-US"/>
              </w:rPr>
              <w:t>–</w:t>
            </w:r>
            <w:r w:rsidRPr="000F1D00">
              <w:rPr>
                <w:rFonts w:eastAsia="Arial Unicode MS" w:cs="Arial Unicode MS"/>
                <w:u w:color="000000"/>
                <w:bdr w:val="nil"/>
                <w:lang w:val="en-US" w:eastAsia="en-US"/>
              </w:rPr>
              <w:t xml:space="preserve">2020. The Erasmus+ program aims to boost skills and employability, as well as modernizing </w:t>
            </w:r>
            <w:r w:rsidR="00681394" w:rsidRPr="000F1D00">
              <w:rPr>
                <w:rFonts w:eastAsia="Arial Unicode MS" w:cs="Arial Unicode MS"/>
                <w:u w:color="000000"/>
                <w:bdr w:val="nil"/>
                <w:lang w:val="en-US" w:eastAsia="en-US"/>
              </w:rPr>
              <w:t xml:space="preserve">education, training, and youth </w:t>
            </w:r>
            <w:r w:rsidRPr="000F1D00">
              <w:rPr>
                <w:rFonts w:eastAsia="Arial Unicode MS" w:cs="Arial Unicode MS"/>
                <w:u w:color="000000"/>
                <w:bdr w:val="nil"/>
                <w:lang w:val="en-US" w:eastAsia="en-US"/>
              </w:rPr>
              <w:t xml:space="preserve">work. It has a budget of 14.7 billion euros. It supports transnational partnerships </w:t>
            </w:r>
            <w:r w:rsidR="00681394" w:rsidRPr="000F1D00">
              <w:rPr>
                <w:rFonts w:eastAsia="Arial Unicode MS" w:cs="Arial Unicode MS"/>
                <w:u w:color="000000"/>
                <w:bdr w:val="nil"/>
                <w:lang w:val="en-US" w:eastAsia="en-US"/>
              </w:rPr>
              <w:t xml:space="preserve">among education, training, and youth institutions and organizations to foster cooperation and bridge the worlds of education </w:t>
            </w:r>
            <w:r w:rsidRPr="000F1D00">
              <w:rPr>
                <w:rFonts w:eastAsia="Arial Unicode MS" w:cs="Arial Unicode MS"/>
                <w:u w:color="000000"/>
                <w:bdr w:val="nil"/>
                <w:lang w:val="en-US" w:eastAsia="en-US"/>
              </w:rPr>
              <w:t xml:space="preserve">and work in order to tackle the skills gaps we are facing in Europe. </w:t>
            </w:r>
          </w:p>
        </w:tc>
      </w:tr>
    </w:tbl>
    <w:p w14:paraId="390FAF6D" w14:textId="77777777" w:rsidR="00FB375D" w:rsidRPr="00FB375D" w:rsidRDefault="00FB375D" w:rsidP="000F1D00">
      <w:pPr>
        <w:pStyle w:val="end2"/>
        <w:rPr>
          <w:rFonts w:eastAsia="Garamond" w:cs="Garamond"/>
          <w:u w:color="000000"/>
          <w:bdr w:val="nil"/>
          <w:lang w:eastAsia="en-US"/>
        </w:rPr>
      </w:pPr>
      <w:r w:rsidRPr="00FB375D">
        <w:rPr>
          <w:rFonts w:eastAsia="Arial Unicode MS"/>
          <w:u w:color="000000"/>
          <w:bdr w:val="nil"/>
          <w:lang w:eastAsia="en-US"/>
        </w:rPr>
        <w:lastRenderedPageBreak/>
        <w:t>Review questions</w:t>
      </w:r>
    </w:p>
    <w:p w14:paraId="29C9CDE8"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Describe the nature of integration. Define the main stages of integration in Europe. </w:t>
      </w:r>
    </w:p>
    <w:p w14:paraId="3DECF793"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Define the historical and economic conditions of the EU formation. Identify the main stages.</w:t>
      </w:r>
    </w:p>
    <w:p w14:paraId="46E2A861"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Give a brief characteristic of the main EU institutions. Determine their role and importance in the management of the EU.</w:t>
      </w:r>
    </w:p>
    <w:p w14:paraId="00627340"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What are the main differences in the functioning of state’s public finances and EU finance?</w:t>
      </w:r>
    </w:p>
    <w:p w14:paraId="5BEC01D7"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Specify the basic principles of the EU budget and describe them.</w:t>
      </w:r>
    </w:p>
    <w:p w14:paraId="080F79AA"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Define the essence of “financial framework of the EU”. Who designs and approves it? What are its basic principles?</w:t>
      </w:r>
    </w:p>
    <w:p w14:paraId="54BB277A"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Describe the main stages of the EU budget process. Characterize the budget year and the system of control over the implementation of the EU budget.</w:t>
      </w:r>
    </w:p>
    <w:p w14:paraId="2AE6606B"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Describe the major powers of the EU institutions (European Commission, EU Council of Ministers, and the European Parliament) in the budget process.</w:t>
      </w:r>
    </w:p>
    <w:p w14:paraId="630DAE54"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Identify the main items of </w:t>
      </w:r>
      <w:r w:rsidR="00681394">
        <w:rPr>
          <w:rFonts w:eastAsia="Arial Unicode MS" w:cs="Arial Unicode MS"/>
          <w:sz w:val="28"/>
          <w:szCs w:val="28"/>
          <w:u w:color="000000"/>
          <w:bdr w:val="nil"/>
          <w:lang w:val="en-US"/>
        </w:rPr>
        <w:t xml:space="preserve">the </w:t>
      </w:r>
      <w:r w:rsidRPr="000F1D00">
        <w:rPr>
          <w:rFonts w:eastAsia="Arial Unicode MS" w:cs="Arial Unicode MS"/>
          <w:sz w:val="28"/>
          <w:szCs w:val="28"/>
          <w:u w:color="000000"/>
          <w:bdr w:val="nil"/>
          <w:lang w:val="en-US"/>
        </w:rPr>
        <w:t>EU budget revenues. Give examples and analysis of the revenue structure of the EU budget in recent years. What is the threshold amount of the EU budget? What is its purpose</w:t>
      </w:r>
      <w:r w:rsidR="00681394">
        <w:rPr>
          <w:rFonts w:eastAsia="Arial Unicode MS" w:cs="Arial Unicode MS"/>
          <w:sz w:val="28"/>
          <w:szCs w:val="28"/>
          <w:u w:color="000000"/>
          <w:bdr w:val="nil"/>
          <w:lang w:val="en-US"/>
        </w:rPr>
        <w:t>,</w:t>
      </w:r>
      <w:r w:rsidRPr="000F1D00">
        <w:rPr>
          <w:rFonts w:eastAsia="Arial Unicode MS" w:cs="Arial Unicode MS"/>
          <w:sz w:val="28"/>
          <w:szCs w:val="28"/>
          <w:u w:color="000000"/>
          <w:bdr w:val="nil"/>
          <w:lang w:val="en-US"/>
        </w:rPr>
        <w:t xml:space="preserve"> and how is it regulated?</w:t>
      </w:r>
    </w:p>
    <w:p w14:paraId="1EE5B4F8"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Identify the main items of the EU budget expenditures. Give examples of expenditures in the economic sphere, protection, and management of natural resources, financing of external programs.</w:t>
      </w:r>
    </w:p>
    <w:p w14:paraId="6D5C4982"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Analyze the EU budget spending system. Who are the manager and recipient of the budget? Can be the EU budget adopted with a deficit?</w:t>
      </w:r>
    </w:p>
    <w:p w14:paraId="087D0202"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Determine the nature of the EU budget strategy. What are its basic principles?</w:t>
      </w:r>
    </w:p>
    <w:p w14:paraId="3EC2AAEB"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Describe the process of </w:t>
      </w:r>
      <w:r w:rsidR="00681394">
        <w:rPr>
          <w:rFonts w:eastAsia="Arial Unicode MS" w:cs="Arial Unicode MS"/>
          <w:sz w:val="28"/>
          <w:szCs w:val="28"/>
          <w:u w:color="000000"/>
          <w:bdr w:val="nil"/>
          <w:lang w:val="en-US"/>
        </w:rPr>
        <w:t xml:space="preserve">the </w:t>
      </w:r>
      <w:r w:rsidRPr="000F1D00">
        <w:rPr>
          <w:rFonts w:eastAsia="Arial Unicode MS" w:cs="Arial Unicode MS"/>
          <w:sz w:val="28"/>
          <w:szCs w:val="28"/>
          <w:u w:color="000000"/>
          <w:bdr w:val="nil"/>
          <w:lang w:val="en-US"/>
        </w:rPr>
        <w:t>E</w:t>
      </w:r>
      <w:r w:rsidR="00681394">
        <w:rPr>
          <w:rFonts w:eastAsia="Arial Unicode MS" w:cs="Arial Unicode MS"/>
          <w:sz w:val="28"/>
          <w:szCs w:val="28"/>
          <w:u w:color="000000"/>
          <w:bdr w:val="nil"/>
          <w:lang w:val="en-US"/>
        </w:rPr>
        <w:t>conomic and</w:t>
      </w:r>
      <w:r w:rsidRPr="000F1D00">
        <w:rPr>
          <w:rFonts w:eastAsia="Arial Unicode MS" w:cs="Arial Unicode MS"/>
          <w:sz w:val="28"/>
          <w:szCs w:val="28"/>
          <w:u w:color="000000"/>
          <w:bdr w:val="nil"/>
          <w:lang w:val="en-US"/>
        </w:rPr>
        <w:t xml:space="preserve"> </w:t>
      </w:r>
      <w:r w:rsidR="00681394">
        <w:rPr>
          <w:rFonts w:eastAsia="Arial Unicode MS" w:cs="Arial Unicode MS"/>
          <w:sz w:val="28"/>
          <w:szCs w:val="28"/>
          <w:u w:color="000000"/>
          <w:bdr w:val="nil"/>
          <w:lang w:val="en-US"/>
        </w:rPr>
        <w:t>M</w:t>
      </w:r>
      <w:r w:rsidRPr="000F1D00">
        <w:rPr>
          <w:rFonts w:eastAsia="Arial Unicode MS" w:cs="Arial Unicode MS"/>
          <w:sz w:val="28"/>
          <w:szCs w:val="28"/>
          <w:u w:color="000000"/>
          <w:bdr w:val="nil"/>
          <w:lang w:val="en-US"/>
        </w:rPr>
        <w:t xml:space="preserve">onetary </w:t>
      </w:r>
      <w:r w:rsidR="00681394">
        <w:rPr>
          <w:rFonts w:eastAsia="Arial Unicode MS" w:cs="Arial Unicode MS"/>
          <w:sz w:val="28"/>
          <w:szCs w:val="28"/>
          <w:u w:color="000000"/>
          <w:bdr w:val="nil"/>
          <w:lang w:val="en-US"/>
        </w:rPr>
        <w:t>U</w:t>
      </w:r>
      <w:r w:rsidRPr="000F1D00">
        <w:rPr>
          <w:rFonts w:eastAsia="Arial Unicode MS" w:cs="Arial Unicode MS"/>
          <w:sz w:val="28"/>
          <w:szCs w:val="28"/>
          <w:u w:color="000000"/>
          <w:bdr w:val="nil"/>
          <w:lang w:val="en-US"/>
        </w:rPr>
        <w:t>nion</w:t>
      </w:r>
      <w:r w:rsidR="00681394">
        <w:rPr>
          <w:rFonts w:eastAsia="Arial Unicode MS" w:cs="Arial Unicode MS"/>
          <w:sz w:val="28"/>
          <w:szCs w:val="28"/>
          <w:u w:color="000000"/>
          <w:bdr w:val="nil"/>
          <w:lang w:val="en-US"/>
        </w:rPr>
        <w:t xml:space="preserve"> (EMU)</w:t>
      </w:r>
      <w:r w:rsidRPr="000F1D00">
        <w:rPr>
          <w:rFonts w:eastAsia="Arial Unicode MS" w:cs="Arial Unicode MS"/>
          <w:sz w:val="28"/>
          <w:szCs w:val="28"/>
          <w:u w:color="000000"/>
          <w:bdr w:val="nil"/>
          <w:lang w:val="en-US"/>
        </w:rPr>
        <w:t xml:space="preserve"> formation. What is Eurosystem?</w:t>
      </w:r>
    </w:p>
    <w:p w14:paraId="4D23C8F2"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Describe the functions, principles, and objectives of the European Central Bank. Expand its role in ensuring the stability of the EU single currency.</w:t>
      </w:r>
    </w:p>
    <w:p w14:paraId="70E0C201" w14:textId="77777777" w:rsidR="00FB375D" w:rsidRPr="000F1D00" w:rsidRDefault="00FB375D" w:rsidP="006F749C">
      <w:pPr>
        <w:numPr>
          <w:ilvl w:val="0"/>
          <w:numId w:val="239"/>
        </w:numPr>
        <w:pBdr>
          <w:top w:val="nil"/>
          <w:left w:val="nil"/>
          <w:bottom w:val="nil"/>
          <w:right w:val="nil"/>
          <w:between w:val="nil"/>
          <w:bar w:val="nil"/>
        </w:pBdr>
        <w:tabs>
          <w:tab w:val="clear" w:pos="210"/>
          <w:tab w:val="num" w:pos="426"/>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ind w:left="426" w:hanging="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Analyze and explain “convergence criteria”. What is their importance in ensuring </w:t>
      </w:r>
      <w:r w:rsidR="00681394">
        <w:rPr>
          <w:rFonts w:eastAsia="Arial Unicode MS" w:cs="Arial Unicode MS"/>
          <w:sz w:val="28"/>
          <w:szCs w:val="28"/>
          <w:u w:color="000000"/>
          <w:bdr w:val="nil"/>
          <w:lang w:val="en-US"/>
        </w:rPr>
        <w:t>the European</w:t>
      </w:r>
      <w:r w:rsidRPr="000F1D00">
        <w:rPr>
          <w:rFonts w:eastAsia="Arial Unicode MS" w:cs="Arial Unicode MS"/>
          <w:sz w:val="28"/>
          <w:szCs w:val="28"/>
          <w:u w:color="000000"/>
          <w:bdr w:val="nil"/>
          <w:lang w:val="en-US"/>
        </w:rPr>
        <w:t xml:space="preserve"> financial stability?</w:t>
      </w:r>
    </w:p>
    <w:p w14:paraId="797F9540" w14:textId="77777777" w:rsidR="00FB375D" w:rsidRPr="000F1D00" w:rsidRDefault="00FB375D" w:rsidP="000F1D00">
      <w:pPr>
        <w:pStyle w:val="end2"/>
        <w:rPr>
          <w:rFonts w:eastAsia="Garamond"/>
        </w:rPr>
      </w:pPr>
      <w:r w:rsidRPr="000F1D00">
        <w:rPr>
          <w:rFonts w:eastAsia="Arial Unicode MS"/>
        </w:rPr>
        <w:lastRenderedPageBreak/>
        <w:t>Multiple</w:t>
      </w:r>
      <w:r w:rsidR="001A5DA6">
        <w:rPr>
          <w:rFonts w:eastAsia="Arial Unicode MS"/>
        </w:rPr>
        <w:t xml:space="preserve"> </w:t>
      </w:r>
      <w:r w:rsidRPr="000F1D00">
        <w:rPr>
          <w:rFonts w:eastAsia="Arial Unicode MS"/>
        </w:rPr>
        <w:t xml:space="preserve">choice questions </w:t>
      </w:r>
    </w:p>
    <w:p w14:paraId="2E8D9FE1"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357"/>
        <w:jc w:val="both"/>
        <w:rPr>
          <w:rFonts w:eastAsia="Garamond" w:cs="Garamond"/>
          <w:sz w:val="28"/>
          <w:szCs w:val="28"/>
          <w:u w:color="000000"/>
          <w:bdr w:val="nil"/>
          <w:lang w:val="en-US" w:eastAsia="en-US"/>
        </w:rPr>
      </w:pPr>
      <w:r w:rsidRPr="000F1D00">
        <w:rPr>
          <w:rFonts w:eastAsia="Arial Unicode MS" w:cs="Arial Unicode MS"/>
          <w:sz w:val="28"/>
          <w:szCs w:val="28"/>
          <w:u w:color="000000"/>
          <w:bdr w:val="nil"/>
          <w:lang w:val="en-US" w:eastAsia="en-US"/>
        </w:rPr>
        <w:t>Choose the one alternative that best completes the statement or answers the question.</w:t>
      </w:r>
    </w:p>
    <w:tbl>
      <w:tblPr>
        <w:tblW w:w="9498" w:type="dxa"/>
        <w:tblInd w:w="8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498"/>
      </w:tblGrid>
      <w:tr w:rsidR="000F1D00" w:rsidRPr="000F1D00" w14:paraId="379C5BD2" w14:textId="77777777" w:rsidTr="000F1D00">
        <w:trPr>
          <w:trHeight w:val="771"/>
        </w:trPr>
        <w:tc>
          <w:tcPr>
            <w:tcW w:w="9498" w:type="dxa"/>
            <w:tcBorders>
              <w:top w:val="nil"/>
              <w:left w:val="nil"/>
              <w:bottom w:val="nil"/>
              <w:right w:val="nil"/>
            </w:tcBorders>
            <w:shd w:val="clear" w:color="auto" w:fill="auto"/>
            <w:tcMar>
              <w:top w:w="80" w:type="dxa"/>
              <w:left w:w="80" w:type="dxa"/>
              <w:bottom w:w="80" w:type="dxa"/>
              <w:right w:w="80" w:type="dxa"/>
            </w:tcMar>
          </w:tcPr>
          <w:p w14:paraId="0A3B364F" w14:textId="77777777" w:rsidR="000F1D00" w:rsidRPr="000F1D00" w:rsidRDefault="000F1D00" w:rsidP="006F749C">
            <w:pPr>
              <w:numPr>
                <w:ilvl w:val="0"/>
                <w:numId w:val="240"/>
              </w:numPr>
              <w:pBdr>
                <w:top w:val="nil"/>
                <w:left w:val="nil"/>
                <w:bottom w:val="nil"/>
                <w:right w:val="nil"/>
                <w:between w:val="nil"/>
                <w:bar w:val="nil"/>
              </w:pBdr>
              <w:tabs>
                <w:tab w:val="clear" w:pos="210"/>
                <w:tab w:val="num" w:pos="487"/>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What gradual steps does the integration process often involve?</w:t>
            </w:r>
          </w:p>
          <w:p w14:paraId="1C9F37B0" w14:textId="77777777" w:rsidR="000F1D00" w:rsidRPr="000F1D00" w:rsidRDefault="000F1D00" w:rsidP="006F749C">
            <w:pPr>
              <w:numPr>
                <w:ilvl w:val="0"/>
                <w:numId w:val="241"/>
              </w:numPr>
              <w:pBdr>
                <w:top w:val="nil"/>
                <w:left w:val="nil"/>
                <w:bottom w:val="nil"/>
                <w:right w:val="nil"/>
                <w:between w:val="nil"/>
                <w:bar w:val="nil"/>
              </w:pBdr>
              <w:shd w:val="clear" w:color="auto" w:fill="FFFFFF"/>
              <w:tabs>
                <w:tab w:val="clear" w:pos="788"/>
              </w:tabs>
              <w:spacing w:line="240" w:lineRule="atLeast"/>
              <w:textAlignment w:val="baseline"/>
              <w:rPr>
                <w:sz w:val="28"/>
                <w:szCs w:val="28"/>
                <w:lang w:val="en-US"/>
              </w:rPr>
            </w:pPr>
            <w:r w:rsidRPr="000F1D00">
              <w:rPr>
                <w:sz w:val="28"/>
                <w:szCs w:val="28"/>
                <w:lang w:val="en-US"/>
              </w:rPr>
              <w:t xml:space="preserve">free export, customs union, common market, </w:t>
            </w:r>
            <w:r w:rsidR="00681394">
              <w:rPr>
                <w:sz w:val="28"/>
                <w:szCs w:val="28"/>
                <w:lang w:val="en-US"/>
              </w:rPr>
              <w:t xml:space="preserve">and </w:t>
            </w:r>
            <w:r w:rsidRPr="000F1D00">
              <w:rPr>
                <w:sz w:val="28"/>
                <w:szCs w:val="28"/>
                <w:lang w:val="en-US"/>
              </w:rPr>
              <w:t>financial union;</w:t>
            </w:r>
          </w:p>
          <w:p w14:paraId="23281D40" w14:textId="77777777" w:rsidR="000F1D00" w:rsidRPr="000F1D00" w:rsidRDefault="000F1D00" w:rsidP="006F749C">
            <w:pPr>
              <w:numPr>
                <w:ilvl w:val="0"/>
                <w:numId w:val="241"/>
              </w:numPr>
              <w:pBdr>
                <w:top w:val="nil"/>
                <w:left w:val="nil"/>
                <w:bottom w:val="nil"/>
                <w:right w:val="nil"/>
                <w:between w:val="nil"/>
                <w:bar w:val="nil"/>
              </w:pBdr>
              <w:shd w:val="clear" w:color="auto" w:fill="FFFFFF"/>
              <w:tabs>
                <w:tab w:val="clear" w:pos="788"/>
              </w:tabs>
              <w:spacing w:line="240" w:lineRule="atLeast"/>
              <w:textAlignment w:val="baseline"/>
              <w:rPr>
                <w:sz w:val="28"/>
                <w:szCs w:val="28"/>
                <w:lang w:val="en-US"/>
              </w:rPr>
            </w:pPr>
            <w:r w:rsidRPr="000F1D00">
              <w:rPr>
                <w:sz w:val="28"/>
                <w:szCs w:val="28"/>
                <w:lang w:val="en-US"/>
              </w:rPr>
              <w:t>cooperation area, customs union, common territo</w:t>
            </w:r>
            <w:r>
              <w:rPr>
                <w:sz w:val="28"/>
                <w:szCs w:val="28"/>
                <w:lang w:val="en-US"/>
              </w:rPr>
              <w:t>ry,</w:t>
            </w:r>
            <w:r w:rsidR="00D003A0">
              <w:rPr>
                <w:sz w:val="28"/>
                <w:szCs w:val="28"/>
                <w:lang w:val="en-US"/>
              </w:rPr>
              <w:t xml:space="preserve"> and</w:t>
            </w:r>
            <w:r>
              <w:rPr>
                <w:sz w:val="28"/>
                <w:szCs w:val="28"/>
                <w:lang w:val="en-US"/>
              </w:rPr>
              <w:t xml:space="preserve"> economic and currency union</w:t>
            </w:r>
            <w:r w:rsidRPr="000F1D00">
              <w:rPr>
                <w:sz w:val="28"/>
                <w:szCs w:val="28"/>
                <w:lang w:val="en-US"/>
              </w:rPr>
              <w:t>;</w:t>
            </w:r>
          </w:p>
          <w:p w14:paraId="54F6F092" w14:textId="77777777" w:rsidR="000F1D00" w:rsidRPr="000F1D00" w:rsidRDefault="000F1D00" w:rsidP="006F749C">
            <w:pPr>
              <w:numPr>
                <w:ilvl w:val="0"/>
                <w:numId w:val="241"/>
              </w:numPr>
              <w:pBdr>
                <w:top w:val="nil"/>
                <w:left w:val="nil"/>
                <w:bottom w:val="nil"/>
                <w:right w:val="nil"/>
                <w:between w:val="nil"/>
                <w:bar w:val="nil"/>
              </w:pBdr>
              <w:shd w:val="clear" w:color="auto" w:fill="FFFFFF"/>
              <w:tabs>
                <w:tab w:val="clear" w:pos="788"/>
              </w:tabs>
              <w:spacing w:line="240" w:lineRule="atLeast"/>
              <w:textAlignment w:val="baseline"/>
              <w:rPr>
                <w:sz w:val="28"/>
                <w:szCs w:val="28"/>
                <w:lang w:val="en-US"/>
              </w:rPr>
            </w:pPr>
            <w:r w:rsidRPr="000F1D00">
              <w:rPr>
                <w:sz w:val="28"/>
                <w:szCs w:val="28"/>
                <w:lang w:val="en-US"/>
              </w:rPr>
              <w:t xml:space="preserve">free trade area, customs union, common market, </w:t>
            </w:r>
            <w:r w:rsidR="009A2C18">
              <w:rPr>
                <w:sz w:val="28"/>
                <w:szCs w:val="28"/>
                <w:lang w:val="en-US"/>
              </w:rPr>
              <w:t xml:space="preserve">and </w:t>
            </w:r>
            <w:r w:rsidRPr="000F1D00">
              <w:rPr>
                <w:sz w:val="28"/>
                <w:szCs w:val="28"/>
                <w:lang w:val="en-US"/>
              </w:rPr>
              <w:t>economic and currency union;</w:t>
            </w:r>
          </w:p>
          <w:p w14:paraId="20780674" w14:textId="77777777" w:rsidR="000F1D00" w:rsidRPr="000F1D00" w:rsidRDefault="000F1D00" w:rsidP="006F749C">
            <w:pPr>
              <w:numPr>
                <w:ilvl w:val="0"/>
                <w:numId w:val="241"/>
              </w:numPr>
              <w:pBdr>
                <w:top w:val="nil"/>
                <w:left w:val="nil"/>
                <w:bottom w:val="nil"/>
                <w:right w:val="nil"/>
                <w:between w:val="nil"/>
                <w:bar w:val="nil"/>
              </w:pBdr>
              <w:shd w:val="clear" w:color="auto" w:fill="FFFFFF"/>
              <w:tabs>
                <w:tab w:val="clear" w:pos="788"/>
              </w:tabs>
              <w:spacing w:line="240" w:lineRule="atLeast"/>
              <w:textAlignment w:val="baseline"/>
              <w:rPr>
                <w:rFonts w:eastAsia="Garamond" w:cs="Garamond"/>
                <w:sz w:val="28"/>
                <w:szCs w:val="28"/>
                <w:u w:color="000000"/>
                <w:bdr w:val="nil"/>
                <w:lang w:val="en-US" w:eastAsia="en-US"/>
              </w:rPr>
            </w:pPr>
            <w:r w:rsidRPr="000F1D00">
              <w:rPr>
                <w:sz w:val="28"/>
                <w:szCs w:val="28"/>
                <w:lang w:val="en-US"/>
              </w:rPr>
              <w:t xml:space="preserve">free import, customs union, commonplace, </w:t>
            </w:r>
            <w:r w:rsidR="009A2C18">
              <w:rPr>
                <w:sz w:val="28"/>
                <w:szCs w:val="28"/>
                <w:lang w:val="en-US"/>
              </w:rPr>
              <w:t xml:space="preserve">and </w:t>
            </w:r>
            <w:r w:rsidRPr="000F1D00">
              <w:rPr>
                <w:sz w:val="28"/>
                <w:szCs w:val="28"/>
                <w:lang w:val="en-US"/>
              </w:rPr>
              <w:t>financial union.</w:t>
            </w:r>
          </w:p>
        </w:tc>
      </w:tr>
      <w:tr w:rsidR="000F1D00" w:rsidRPr="000F1D00" w14:paraId="654A7490" w14:textId="77777777" w:rsidTr="000F1D00">
        <w:trPr>
          <w:trHeight w:val="1603"/>
        </w:trPr>
        <w:tc>
          <w:tcPr>
            <w:tcW w:w="9498" w:type="dxa"/>
            <w:tcBorders>
              <w:top w:val="nil"/>
              <w:left w:val="nil"/>
              <w:bottom w:val="nil"/>
              <w:right w:val="nil"/>
            </w:tcBorders>
            <w:shd w:val="clear" w:color="auto" w:fill="auto"/>
            <w:tcMar>
              <w:top w:w="80" w:type="dxa"/>
              <w:left w:w="80" w:type="dxa"/>
              <w:bottom w:w="80" w:type="dxa"/>
              <w:right w:w="80" w:type="dxa"/>
            </w:tcMar>
          </w:tcPr>
          <w:p w14:paraId="047B4C4D" w14:textId="77777777" w:rsidR="000F1D00" w:rsidRPr="000F1D00" w:rsidRDefault="009A2C18" w:rsidP="006F749C">
            <w:pPr>
              <w:numPr>
                <w:ilvl w:val="0"/>
                <w:numId w:val="240"/>
              </w:numPr>
              <w:pBdr>
                <w:top w:val="nil"/>
                <w:left w:val="nil"/>
                <w:bottom w:val="nil"/>
                <w:right w:val="nil"/>
                <w:between w:val="nil"/>
                <w:bar w:val="nil"/>
              </w:pBdr>
              <w:tabs>
                <w:tab w:val="clear" w:pos="210"/>
                <w:tab w:val="num" w:pos="473"/>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Arial Unicode MS" w:cs="Arial Unicode MS"/>
                <w:sz w:val="28"/>
                <w:szCs w:val="28"/>
                <w:u w:color="000000"/>
                <w:bdr w:val="nil"/>
                <w:lang w:val="en-US"/>
              </w:rPr>
            </w:pPr>
            <w:r>
              <w:rPr>
                <w:rFonts w:eastAsia="Arial Unicode MS" w:cs="Arial Unicode MS"/>
                <w:sz w:val="28"/>
                <w:szCs w:val="28"/>
                <w:u w:color="000000"/>
                <w:bdr w:val="nil"/>
                <w:lang w:val="en-US"/>
              </w:rPr>
              <w:t>When did</w:t>
            </w:r>
            <w:r w:rsidR="000F1D00" w:rsidRPr="000F1D00">
              <w:rPr>
                <w:rFonts w:eastAsia="Arial Unicode MS" w:cs="Arial Unicode MS"/>
                <w:sz w:val="28"/>
                <w:szCs w:val="28"/>
                <w:u w:color="000000"/>
                <w:bdr w:val="nil"/>
                <w:lang w:val="en-US"/>
              </w:rPr>
              <w:t xml:space="preserve"> the European Community formally change its name to the European Union?</w:t>
            </w:r>
          </w:p>
          <w:p w14:paraId="092AE49E" w14:textId="77777777" w:rsidR="000F1D00" w:rsidRPr="000F1D00" w:rsidRDefault="000F1D00" w:rsidP="006F749C">
            <w:pPr>
              <w:numPr>
                <w:ilvl w:val="0"/>
                <w:numId w:val="242"/>
              </w:numPr>
              <w:pBdr>
                <w:top w:val="nil"/>
                <w:left w:val="nil"/>
                <w:bottom w:val="nil"/>
                <w:right w:val="nil"/>
                <w:between w:val="nil"/>
                <w:bar w:val="nil"/>
              </w:pBdr>
              <w:shd w:val="clear" w:color="auto" w:fill="FFFFFF"/>
              <w:spacing w:line="240" w:lineRule="atLeast"/>
              <w:textAlignment w:val="baseline"/>
              <w:rPr>
                <w:sz w:val="28"/>
                <w:szCs w:val="28"/>
                <w:lang w:val="en-US"/>
              </w:rPr>
            </w:pPr>
            <w:r w:rsidRPr="000F1D00">
              <w:rPr>
                <w:sz w:val="28"/>
                <w:szCs w:val="28"/>
                <w:lang w:val="en-US"/>
              </w:rPr>
              <w:t>in 1971;</w:t>
            </w:r>
          </w:p>
          <w:p w14:paraId="4D912F2E" w14:textId="77777777" w:rsidR="000F1D00" w:rsidRPr="000F1D00" w:rsidRDefault="000F1D00" w:rsidP="006F749C">
            <w:pPr>
              <w:numPr>
                <w:ilvl w:val="0"/>
                <w:numId w:val="242"/>
              </w:numPr>
              <w:pBdr>
                <w:top w:val="nil"/>
                <w:left w:val="nil"/>
                <w:bottom w:val="nil"/>
                <w:right w:val="nil"/>
                <w:between w:val="nil"/>
                <w:bar w:val="nil"/>
              </w:pBdr>
              <w:shd w:val="clear" w:color="auto" w:fill="FFFFFF"/>
              <w:tabs>
                <w:tab w:val="clear" w:pos="788"/>
              </w:tabs>
              <w:spacing w:line="240" w:lineRule="atLeast"/>
              <w:textAlignment w:val="baseline"/>
              <w:rPr>
                <w:sz w:val="28"/>
                <w:szCs w:val="28"/>
                <w:lang w:val="en-US"/>
              </w:rPr>
            </w:pPr>
            <w:r w:rsidRPr="000F1D00">
              <w:rPr>
                <w:sz w:val="28"/>
                <w:szCs w:val="28"/>
                <w:lang w:val="en-US"/>
              </w:rPr>
              <w:t>in 1951;</w:t>
            </w:r>
          </w:p>
          <w:p w14:paraId="55CBD0E0" w14:textId="77777777" w:rsidR="000F1D00" w:rsidRPr="000F1D00" w:rsidRDefault="000F1D00" w:rsidP="006F749C">
            <w:pPr>
              <w:numPr>
                <w:ilvl w:val="0"/>
                <w:numId w:val="242"/>
              </w:numPr>
              <w:pBdr>
                <w:top w:val="nil"/>
                <w:left w:val="nil"/>
                <w:bottom w:val="nil"/>
                <w:right w:val="nil"/>
                <w:between w:val="nil"/>
                <w:bar w:val="nil"/>
              </w:pBdr>
              <w:shd w:val="clear" w:color="auto" w:fill="FFFFFF"/>
              <w:tabs>
                <w:tab w:val="clear" w:pos="788"/>
              </w:tabs>
              <w:spacing w:line="240" w:lineRule="atLeast"/>
              <w:textAlignment w:val="baseline"/>
              <w:rPr>
                <w:sz w:val="28"/>
                <w:szCs w:val="28"/>
                <w:lang w:val="en-US"/>
              </w:rPr>
            </w:pPr>
            <w:r w:rsidRPr="000F1D00">
              <w:rPr>
                <w:sz w:val="28"/>
                <w:szCs w:val="28"/>
                <w:lang w:val="en-US"/>
              </w:rPr>
              <w:t>in 2002;</w:t>
            </w:r>
          </w:p>
          <w:p w14:paraId="07190110" w14:textId="77777777" w:rsidR="000F1D00" w:rsidRPr="009A2C18" w:rsidRDefault="000F1D00" w:rsidP="006F749C">
            <w:pPr>
              <w:numPr>
                <w:ilvl w:val="0"/>
                <w:numId w:val="242"/>
              </w:numPr>
              <w:pBdr>
                <w:top w:val="nil"/>
                <w:left w:val="nil"/>
                <w:bottom w:val="nil"/>
                <w:right w:val="nil"/>
                <w:between w:val="nil"/>
                <w:bar w:val="nil"/>
              </w:pBdr>
              <w:shd w:val="clear" w:color="auto" w:fill="FFFFFF"/>
              <w:tabs>
                <w:tab w:val="clear" w:pos="788"/>
              </w:tabs>
              <w:spacing w:after="120" w:line="240" w:lineRule="atLeast"/>
              <w:ind w:left="782" w:hanging="357"/>
              <w:textAlignment w:val="baseline"/>
              <w:rPr>
                <w:rFonts w:eastAsia="Garamond" w:cs="Garamond"/>
                <w:sz w:val="28"/>
                <w:szCs w:val="28"/>
                <w:u w:color="000000"/>
                <w:bdr w:val="nil"/>
                <w:lang w:val="en-US" w:eastAsia="en-US"/>
              </w:rPr>
            </w:pPr>
            <w:r w:rsidRPr="000F1D00">
              <w:rPr>
                <w:sz w:val="28"/>
                <w:szCs w:val="28"/>
                <w:lang w:val="en-US"/>
              </w:rPr>
              <w:t>in 1992.</w:t>
            </w:r>
          </w:p>
        </w:tc>
      </w:tr>
      <w:tr w:rsidR="000F1D00" w:rsidRPr="000F1D00" w14:paraId="6DC971EB" w14:textId="77777777" w:rsidTr="000F1D00">
        <w:trPr>
          <w:trHeight w:val="1672"/>
        </w:trPr>
        <w:tc>
          <w:tcPr>
            <w:tcW w:w="9498" w:type="dxa"/>
            <w:tcBorders>
              <w:top w:val="nil"/>
              <w:left w:val="nil"/>
              <w:bottom w:val="nil"/>
              <w:right w:val="nil"/>
            </w:tcBorders>
            <w:shd w:val="clear" w:color="auto" w:fill="auto"/>
            <w:tcMar>
              <w:top w:w="80" w:type="dxa"/>
              <w:left w:w="80" w:type="dxa"/>
              <w:bottom w:w="80" w:type="dxa"/>
              <w:right w:w="80" w:type="dxa"/>
            </w:tcMar>
          </w:tcPr>
          <w:p w14:paraId="7466A987" w14:textId="77777777" w:rsidR="000F1D00" w:rsidRPr="000F1D00" w:rsidRDefault="000F1D00" w:rsidP="006F749C">
            <w:pPr>
              <w:numPr>
                <w:ilvl w:val="0"/>
                <w:numId w:val="240"/>
              </w:numPr>
              <w:pBdr>
                <w:top w:val="nil"/>
                <w:left w:val="nil"/>
                <w:bottom w:val="nil"/>
                <w:right w:val="nil"/>
                <w:between w:val="nil"/>
                <w:bar w:val="nil"/>
              </w:pBdr>
              <w:tabs>
                <w:tab w:val="clear" w:pos="210"/>
                <w:tab w:val="num" w:pos="473"/>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What institution is an executive body and implements </w:t>
            </w:r>
            <w:r w:rsidR="009A2C18">
              <w:rPr>
                <w:rFonts w:eastAsia="Arial Unicode MS" w:cs="Arial Unicode MS"/>
                <w:sz w:val="28"/>
                <w:szCs w:val="28"/>
                <w:u w:color="000000"/>
                <w:bdr w:val="nil"/>
                <w:lang w:val="en-US"/>
              </w:rPr>
              <w:t>the EU decisions and</w:t>
            </w:r>
            <w:r w:rsidRPr="000F1D00">
              <w:rPr>
                <w:rFonts w:eastAsia="Arial Unicode MS" w:cs="Arial Unicode MS"/>
                <w:sz w:val="28"/>
                <w:szCs w:val="28"/>
                <w:u w:color="000000"/>
                <w:bdr w:val="nil"/>
                <w:lang w:val="en-US"/>
              </w:rPr>
              <w:t xml:space="preserve"> common policies?</w:t>
            </w:r>
          </w:p>
          <w:p w14:paraId="21828B7E" w14:textId="77777777" w:rsidR="000F1D00" w:rsidRPr="00B65769" w:rsidRDefault="000F1D00" w:rsidP="006F749C">
            <w:pPr>
              <w:numPr>
                <w:ilvl w:val="0"/>
                <w:numId w:val="243"/>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European Council;</w:t>
            </w:r>
          </w:p>
          <w:p w14:paraId="282E2662" w14:textId="77777777" w:rsidR="000F1D00" w:rsidRPr="00B65769" w:rsidRDefault="000F1D00" w:rsidP="006F749C">
            <w:pPr>
              <w:numPr>
                <w:ilvl w:val="0"/>
                <w:numId w:val="243"/>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European Commission;</w:t>
            </w:r>
          </w:p>
          <w:p w14:paraId="0D834DA1" w14:textId="77777777" w:rsidR="000F1D00" w:rsidRPr="00B65769" w:rsidRDefault="000F1D00" w:rsidP="006F749C">
            <w:pPr>
              <w:numPr>
                <w:ilvl w:val="0"/>
                <w:numId w:val="243"/>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European Parliament;</w:t>
            </w:r>
          </w:p>
          <w:p w14:paraId="0145CCAB" w14:textId="77777777" w:rsidR="000F1D00" w:rsidRPr="000F1D00" w:rsidRDefault="000F1D00" w:rsidP="006F749C">
            <w:pPr>
              <w:numPr>
                <w:ilvl w:val="0"/>
                <w:numId w:val="243"/>
              </w:numPr>
              <w:pBdr>
                <w:top w:val="nil"/>
                <w:left w:val="nil"/>
                <w:bottom w:val="nil"/>
                <w:right w:val="nil"/>
                <w:between w:val="nil"/>
                <w:bar w:val="nil"/>
              </w:pBdr>
              <w:shd w:val="clear" w:color="auto" w:fill="FFFFFF"/>
              <w:spacing w:after="120" w:line="240" w:lineRule="atLeast"/>
              <w:ind w:left="782" w:hanging="357"/>
              <w:textAlignment w:val="baseline"/>
              <w:rPr>
                <w:rFonts w:eastAsia="Garamond" w:cs="Garamond"/>
                <w:sz w:val="28"/>
                <w:szCs w:val="28"/>
                <w:u w:color="000000"/>
                <w:bdr w:val="nil"/>
                <w:lang w:val="en-US" w:eastAsia="en-US"/>
              </w:rPr>
            </w:pPr>
            <w:r w:rsidRPr="00B65769">
              <w:rPr>
                <w:sz w:val="28"/>
                <w:szCs w:val="28"/>
                <w:lang w:val="en-US"/>
              </w:rPr>
              <w:t>the Council of Ministers.</w:t>
            </w:r>
          </w:p>
        </w:tc>
      </w:tr>
      <w:tr w:rsidR="000F1D00" w:rsidRPr="000F1D00" w14:paraId="534C3A6E" w14:textId="77777777" w:rsidTr="000F1D00">
        <w:trPr>
          <w:trHeight w:val="2340"/>
        </w:trPr>
        <w:tc>
          <w:tcPr>
            <w:tcW w:w="9498" w:type="dxa"/>
            <w:tcBorders>
              <w:top w:val="nil"/>
              <w:left w:val="nil"/>
              <w:bottom w:val="nil"/>
              <w:right w:val="nil"/>
            </w:tcBorders>
            <w:shd w:val="clear" w:color="auto" w:fill="auto"/>
            <w:tcMar>
              <w:top w:w="80" w:type="dxa"/>
              <w:left w:w="80" w:type="dxa"/>
              <w:bottom w:w="80" w:type="dxa"/>
              <w:right w:w="80" w:type="dxa"/>
            </w:tcMar>
          </w:tcPr>
          <w:p w14:paraId="64242E3E" w14:textId="77777777" w:rsidR="000F1D00" w:rsidRPr="000F1D00" w:rsidRDefault="000F1D00" w:rsidP="006F749C">
            <w:pPr>
              <w:numPr>
                <w:ilvl w:val="0"/>
                <w:numId w:val="240"/>
              </w:numPr>
              <w:pBdr>
                <w:top w:val="nil"/>
                <w:left w:val="nil"/>
                <w:bottom w:val="nil"/>
                <w:right w:val="nil"/>
                <w:between w:val="nil"/>
                <w:bar w:val="nil"/>
              </w:pBdr>
              <w:tabs>
                <w:tab w:val="clear" w:pos="210"/>
                <w:tab w:val="num" w:pos="473"/>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What criteria </w:t>
            </w:r>
            <w:r w:rsidR="009A2C18">
              <w:rPr>
                <w:rFonts w:eastAsia="Arial Unicode MS" w:cs="Arial Unicode MS"/>
                <w:sz w:val="28"/>
                <w:szCs w:val="28"/>
                <w:u w:color="000000"/>
                <w:bdr w:val="nil"/>
                <w:lang w:val="en-US"/>
              </w:rPr>
              <w:t>must</w:t>
            </w:r>
            <w:r w:rsidRPr="000F1D00">
              <w:rPr>
                <w:rFonts w:eastAsia="Arial Unicode MS" w:cs="Arial Unicode MS"/>
                <w:sz w:val="28"/>
                <w:szCs w:val="28"/>
                <w:u w:color="000000"/>
                <w:bdr w:val="nil"/>
                <w:lang w:val="en-US"/>
              </w:rPr>
              <w:t xml:space="preserve"> European countries meet if they wish to adopt the European Union’s single currency? </w:t>
            </w:r>
            <w:r w:rsidRPr="000F1D00">
              <w:rPr>
                <w:rFonts w:eastAsia="Arial Unicode MS" w:cs="Arial Unicode MS"/>
                <w:sz w:val="28"/>
                <w:szCs w:val="28"/>
                <w:u w:color="000000"/>
                <w:bdr w:val="nil"/>
                <w:lang w:val="en-US"/>
              </w:rPr>
              <w:tab/>
            </w:r>
          </w:p>
          <w:p w14:paraId="5B0EFF13" w14:textId="77777777" w:rsidR="000F1D00" w:rsidRPr="00B65769" w:rsidRDefault="000F1D00" w:rsidP="006F749C">
            <w:pPr>
              <w:numPr>
                <w:ilvl w:val="0"/>
                <w:numId w:val="244"/>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national </w:t>
            </w:r>
            <w:hyperlink r:id="rId84" w:history="1">
              <w:r w:rsidRPr="00B65769">
                <w:rPr>
                  <w:sz w:val="28"/>
                  <w:szCs w:val="28"/>
                  <w:lang w:val="en-US"/>
                </w:rPr>
                <w:t>budget deficit</w:t>
              </w:r>
            </w:hyperlink>
            <w:r w:rsidRPr="00B65769">
              <w:rPr>
                <w:sz w:val="28"/>
                <w:szCs w:val="28"/>
                <w:lang w:val="en-US"/>
              </w:rPr>
              <w:t> at or below 3 percent of gross domestic product (</w:t>
            </w:r>
            <w:hyperlink r:id="rId85" w:history="1">
              <w:r w:rsidRPr="00B65769">
                <w:rPr>
                  <w:sz w:val="28"/>
                  <w:szCs w:val="28"/>
                  <w:lang w:val="en-US"/>
                </w:rPr>
                <w:t>GDP</w:t>
              </w:r>
            </w:hyperlink>
            <w:r w:rsidRPr="00B65769">
              <w:rPr>
                <w:sz w:val="28"/>
                <w:szCs w:val="28"/>
                <w:lang w:val="en-US"/>
              </w:rPr>
              <w:t>);</w:t>
            </w:r>
          </w:p>
          <w:p w14:paraId="695C7416" w14:textId="77777777" w:rsidR="000F1D00" w:rsidRPr="00B65769" w:rsidRDefault="000F1D00" w:rsidP="006F749C">
            <w:pPr>
              <w:numPr>
                <w:ilvl w:val="0"/>
                <w:numId w:val="244"/>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national public </w:t>
            </w:r>
            <w:hyperlink r:id="rId86" w:history="1">
              <w:r w:rsidRPr="00B65769">
                <w:rPr>
                  <w:sz w:val="28"/>
                  <w:szCs w:val="28"/>
                  <w:lang w:val="en-US"/>
                </w:rPr>
                <w:t>debt</w:t>
              </w:r>
            </w:hyperlink>
            <w:r w:rsidRPr="00B65769">
              <w:rPr>
                <w:sz w:val="28"/>
                <w:szCs w:val="28"/>
                <w:lang w:val="en-US"/>
              </w:rPr>
              <w:t> not exceeding 60 percent of gross domestic product;</w:t>
            </w:r>
          </w:p>
          <w:p w14:paraId="1ADE5752" w14:textId="77777777" w:rsidR="000F1D00" w:rsidRPr="00B65769" w:rsidRDefault="00000000" w:rsidP="006F749C">
            <w:pPr>
              <w:numPr>
                <w:ilvl w:val="0"/>
                <w:numId w:val="244"/>
              </w:numPr>
              <w:pBdr>
                <w:top w:val="nil"/>
                <w:left w:val="nil"/>
                <w:bottom w:val="nil"/>
                <w:right w:val="nil"/>
                <w:between w:val="nil"/>
                <w:bar w:val="nil"/>
              </w:pBdr>
              <w:shd w:val="clear" w:color="auto" w:fill="FFFFFF"/>
              <w:spacing w:line="240" w:lineRule="atLeast"/>
              <w:textAlignment w:val="baseline"/>
              <w:rPr>
                <w:sz w:val="28"/>
                <w:szCs w:val="28"/>
                <w:lang w:val="en-US"/>
              </w:rPr>
            </w:pPr>
            <w:hyperlink r:id="rId87" w:history="1">
              <w:r w:rsidR="000F1D00" w:rsidRPr="00B65769">
                <w:rPr>
                  <w:sz w:val="28"/>
                  <w:szCs w:val="28"/>
                  <w:lang w:val="en-US"/>
                </w:rPr>
                <w:t>inflation</w:t>
              </w:r>
            </w:hyperlink>
            <w:r w:rsidR="000F1D00" w:rsidRPr="00B65769">
              <w:rPr>
                <w:sz w:val="28"/>
                <w:szCs w:val="28"/>
                <w:lang w:val="en-US"/>
              </w:rPr>
              <w:t> of no more than 1.5 percentage points above the average rate of the three </w:t>
            </w:r>
            <w:hyperlink r:id="rId88" w:history="1">
              <w:r w:rsidR="000F1D00" w:rsidRPr="00B65769">
                <w:rPr>
                  <w:sz w:val="28"/>
                  <w:szCs w:val="28"/>
                  <w:lang w:val="en-US"/>
                </w:rPr>
                <w:t>EU</w:t>
              </w:r>
            </w:hyperlink>
            <w:r w:rsidR="000F1D00" w:rsidRPr="00B65769">
              <w:rPr>
                <w:sz w:val="28"/>
                <w:szCs w:val="28"/>
                <w:lang w:val="en-US"/>
              </w:rPr>
              <w:t> member states with the lowest inflation over the previous year;</w:t>
            </w:r>
          </w:p>
          <w:p w14:paraId="5EC8AAC5" w14:textId="77777777" w:rsidR="000F1D00" w:rsidRPr="000F1D00" w:rsidRDefault="000F1D00" w:rsidP="006F749C">
            <w:pPr>
              <w:numPr>
                <w:ilvl w:val="0"/>
                <w:numId w:val="244"/>
              </w:numPr>
              <w:pBdr>
                <w:top w:val="nil"/>
                <w:left w:val="nil"/>
                <w:bottom w:val="nil"/>
                <w:right w:val="nil"/>
                <w:between w:val="nil"/>
                <w:bar w:val="nil"/>
              </w:pBdr>
              <w:shd w:val="clear" w:color="auto" w:fill="FFFFFF"/>
              <w:spacing w:after="120" w:line="240" w:lineRule="atLeast"/>
              <w:ind w:left="782" w:hanging="357"/>
              <w:textAlignment w:val="baseline"/>
              <w:rPr>
                <w:rFonts w:eastAsia="Garamond" w:cs="Garamond"/>
                <w:sz w:val="28"/>
                <w:szCs w:val="28"/>
                <w:u w:color="000000"/>
                <w:bdr w:val="nil"/>
                <w:lang w:val="en-US" w:eastAsia="en-US"/>
              </w:rPr>
            </w:pPr>
            <w:r w:rsidRPr="00B65769">
              <w:rPr>
                <w:sz w:val="28"/>
                <w:szCs w:val="28"/>
                <w:lang w:val="en-US"/>
              </w:rPr>
              <w:t>all these criteria.</w:t>
            </w:r>
          </w:p>
        </w:tc>
      </w:tr>
      <w:tr w:rsidR="000F1D00" w:rsidRPr="000F1D00" w14:paraId="79817EFD" w14:textId="77777777" w:rsidTr="000F1D00">
        <w:trPr>
          <w:trHeight w:val="1387"/>
        </w:trPr>
        <w:tc>
          <w:tcPr>
            <w:tcW w:w="9498" w:type="dxa"/>
            <w:tcBorders>
              <w:top w:val="nil"/>
              <w:left w:val="nil"/>
              <w:bottom w:val="nil"/>
              <w:right w:val="nil"/>
            </w:tcBorders>
            <w:shd w:val="clear" w:color="auto" w:fill="auto"/>
            <w:tcMar>
              <w:top w:w="80" w:type="dxa"/>
              <w:left w:w="80" w:type="dxa"/>
              <w:bottom w:w="80" w:type="dxa"/>
              <w:right w:w="80" w:type="dxa"/>
            </w:tcMar>
          </w:tcPr>
          <w:p w14:paraId="2E6A7942" w14:textId="77777777" w:rsidR="000F1D00" w:rsidRPr="000F1D00" w:rsidRDefault="000F1D00" w:rsidP="006F749C">
            <w:pPr>
              <w:numPr>
                <w:ilvl w:val="0"/>
                <w:numId w:val="240"/>
              </w:numPr>
              <w:pBdr>
                <w:top w:val="nil"/>
                <w:left w:val="nil"/>
                <w:bottom w:val="nil"/>
                <w:right w:val="nil"/>
                <w:between w:val="nil"/>
                <w:bar w:val="nil"/>
              </w:pBdr>
              <w:tabs>
                <w:tab w:val="clear" w:pos="210"/>
                <w:tab w:val="num" w:pos="473"/>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Garamond" w:cs="Garamond"/>
                <w:sz w:val="28"/>
                <w:szCs w:val="28"/>
                <w:u w:color="000000"/>
                <w:bdr w:val="nil"/>
                <w:lang w:val="en-US" w:eastAsia="en-US"/>
              </w:rPr>
            </w:pPr>
            <w:r w:rsidRPr="000F1D00">
              <w:rPr>
                <w:rFonts w:eastAsia="Arial Unicode MS" w:cs="Arial Unicode MS"/>
                <w:sz w:val="28"/>
                <w:szCs w:val="28"/>
                <w:u w:color="000000"/>
                <w:bdr w:val="nil"/>
                <w:lang w:val="en-US"/>
              </w:rPr>
              <w:t>What is the main objective of the European Central Bank?</w:t>
            </w:r>
          </w:p>
          <w:p w14:paraId="45BAB703" w14:textId="77777777" w:rsidR="000F1D00" w:rsidRPr="00B65769" w:rsidRDefault="000F1D00" w:rsidP="006F749C">
            <w:pPr>
              <w:numPr>
                <w:ilvl w:val="0"/>
                <w:numId w:val="245"/>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to maintain price stability;</w:t>
            </w:r>
          </w:p>
          <w:p w14:paraId="270BC65B" w14:textId="77777777" w:rsidR="000F1D00" w:rsidRPr="00B65769" w:rsidRDefault="000F1D00" w:rsidP="006F749C">
            <w:pPr>
              <w:numPr>
                <w:ilvl w:val="0"/>
                <w:numId w:val="245"/>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to stimulate economic growth;</w:t>
            </w:r>
          </w:p>
          <w:p w14:paraId="09C569DA" w14:textId="77777777" w:rsidR="000F1D00" w:rsidRPr="00B65769" w:rsidRDefault="000F1D00" w:rsidP="006F749C">
            <w:pPr>
              <w:numPr>
                <w:ilvl w:val="0"/>
                <w:numId w:val="245"/>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to print euros;</w:t>
            </w:r>
          </w:p>
          <w:p w14:paraId="757A8D09" w14:textId="77777777" w:rsidR="000F1D00" w:rsidRPr="000F1D00" w:rsidRDefault="000F1D00" w:rsidP="006F749C">
            <w:pPr>
              <w:numPr>
                <w:ilvl w:val="0"/>
                <w:numId w:val="245"/>
              </w:numPr>
              <w:pBdr>
                <w:top w:val="nil"/>
                <w:left w:val="nil"/>
                <w:bottom w:val="nil"/>
                <w:right w:val="nil"/>
                <w:between w:val="nil"/>
                <w:bar w:val="nil"/>
              </w:pBdr>
              <w:shd w:val="clear" w:color="auto" w:fill="FFFFFF"/>
              <w:spacing w:after="120" w:line="240" w:lineRule="atLeast"/>
              <w:ind w:left="782" w:hanging="357"/>
              <w:textAlignment w:val="baseline"/>
              <w:rPr>
                <w:rFonts w:eastAsia="Garamond" w:cs="Garamond"/>
                <w:sz w:val="28"/>
                <w:szCs w:val="28"/>
                <w:u w:color="000000"/>
                <w:bdr w:val="nil"/>
                <w:lang w:val="en-US" w:eastAsia="en-US"/>
              </w:rPr>
            </w:pPr>
            <w:r w:rsidRPr="00B65769">
              <w:rPr>
                <w:sz w:val="28"/>
                <w:szCs w:val="28"/>
                <w:lang w:val="en-US"/>
              </w:rPr>
              <w:t>to collect taxes.</w:t>
            </w:r>
          </w:p>
        </w:tc>
      </w:tr>
      <w:tr w:rsidR="000F1D00" w:rsidRPr="000F1D00" w14:paraId="2699E862" w14:textId="77777777" w:rsidTr="000F1D00">
        <w:trPr>
          <w:trHeight w:val="1672"/>
        </w:trPr>
        <w:tc>
          <w:tcPr>
            <w:tcW w:w="9498" w:type="dxa"/>
            <w:tcBorders>
              <w:top w:val="nil"/>
              <w:left w:val="nil"/>
              <w:bottom w:val="nil"/>
              <w:right w:val="nil"/>
            </w:tcBorders>
            <w:shd w:val="clear" w:color="auto" w:fill="auto"/>
            <w:tcMar>
              <w:top w:w="80" w:type="dxa"/>
              <w:left w:w="80" w:type="dxa"/>
              <w:bottom w:w="80" w:type="dxa"/>
              <w:right w:w="80" w:type="dxa"/>
            </w:tcMar>
          </w:tcPr>
          <w:p w14:paraId="77F19F53" w14:textId="77777777" w:rsidR="000F1D00" w:rsidRPr="000F1D00" w:rsidRDefault="00E15825" w:rsidP="006F749C">
            <w:pPr>
              <w:numPr>
                <w:ilvl w:val="0"/>
                <w:numId w:val="240"/>
              </w:numPr>
              <w:pBdr>
                <w:top w:val="nil"/>
                <w:left w:val="nil"/>
                <w:bottom w:val="nil"/>
                <w:right w:val="nil"/>
                <w:between w:val="nil"/>
                <w:bar w:val="nil"/>
              </w:pBdr>
              <w:tabs>
                <w:tab w:val="clear" w:pos="210"/>
                <w:tab w:val="num" w:pos="473"/>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Arial Unicode MS" w:cs="Arial Unicode MS"/>
                <w:sz w:val="28"/>
                <w:szCs w:val="28"/>
                <w:u w:color="000000"/>
                <w:bdr w:val="nil"/>
                <w:lang w:val="en-US"/>
              </w:rPr>
            </w:pPr>
            <w:r>
              <w:rPr>
                <w:rFonts w:eastAsia="Arial Unicode MS" w:cs="Arial Unicode MS"/>
                <w:sz w:val="28"/>
                <w:szCs w:val="28"/>
                <w:u w:color="000000"/>
                <w:bdr w:val="nil"/>
                <w:lang w:val="en-US"/>
              </w:rPr>
              <w:lastRenderedPageBreak/>
              <w:t>Name the</w:t>
            </w:r>
            <w:r w:rsidR="000F1D00" w:rsidRPr="000F1D00">
              <w:rPr>
                <w:rFonts w:eastAsia="Arial Unicode MS" w:cs="Arial Unicode MS"/>
                <w:sz w:val="28"/>
                <w:szCs w:val="28"/>
                <w:u w:color="000000"/>
                <w:bdr w:val="nil"/>
                <w:lang w:val="en-US"/>
              </w:rPr>
              <w:t xml:space="preserve"> institution that provides funding for pan-European projects and small business lending without receiving money from the EU budget:</w:t>
            </w:r>
          </w:p>
          <w:p w14:paraId="0B7A3741" w14:textId="77777777" w:rsidR="000F1D00" w:rsidRPr="00B65769" w:rsidRDefault="000F1D00" w:rsidP="006F749C">
            <w:pPr>
              <w:numPr>
                <w:ilvl w:val="0"/>
                <w:numId w:val="246"/>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European Bank for Reconstruction and Development;</w:t>
            </w:r>
          </w:p>
          <w:p w14:paraId="6AA67514" w14:textId="77777777" w:rsidR="000F1D00" w:rsidRPr="00B65769" w:rsidRDefault="000F1D00" w:rsidP="006F749C">
            <w:pPr>
              <w:numPr>
                <w:ilvl w:val="0"/>
                <w:numId w:val="246"/>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European Investment Bank;</w:t>
            </w:r>
          </w:p>
          <w:p w14:paraId="0EE67083" w14:textId="77777777" w:rsidR="000F1D00" w:rsidRPr="00B65769" w:rsidRDefault="000F1D00" w:rsidP="006F749C">
            <w:pPr>
              <w:numPr>
                <w:ilvl w:val="0"/>
                <w:numId w:val="246"/>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European Central Bank;</w:t>
            </w:r>
          </w:p>
          <w:p w14:paraId="397708D0" w14:textId="77777777" w:rsidR="000F1D00" w:rsidRPr="000F1D00" w:rsidRDefault="000F1D00" w:rsidP="006F749C">
            <w:pPr>
              <w:numPr>
                <w:ilvl w:val="0"/>
                <w:numId w:val="246"/>
              </w:numPr>
              <w:pBdr>
                <w:top w:val="nil"/>
                <w:left w:val="nil"/>
                <w:bottom w:val="nil"/>
                <w:right w:val="nil"/>
                <w:between w:val="nil"/>
                <w:bar w:val="nil"/>
              </w:pBdr>
              <w:shd w:val="clear" w:color="auto" w:fill="FFFFFF"/>
              <w:spacing w:after="120" w:line="240" w:lineRule="atLeast"/>
              <w:ind w:left="782" w:hanging="357"/>
              <w:textAlignment w:val="baseline"/>
              <w:rPr>
                <w:rFonts w:eastAsia="Garamond" w:cs="Garamond"/>
                <w:sz w:val="28"/>
                <w:szCs w:val="28"/>
                <w:u w:color="000000"/>
                <w:bdr w:val="nil"/>
                <w:lang w:val="en-US" w:eastAsia="en-US"/>
              </w:rPr>
            </w:pPr>
            <w:r w:rsidRPr="00B65769">
              <w:rPr>
                <w:sz w:val="28"/>
                <w:szCs w:val="28"/>
                <w:lang w:val="en-US"/>
              </w:rPr>
              <w:t>the Economic Parliament Committee.</w:t>
            </w:r>
          </w:p>
        </w:tc>
      </w:tr>
      <w:tr w:rsidR="000F1D00" w:rsidRPr="000F1D00" w14:paraId="35D39CF5" w14:textId="77777777" w:rsidTr="00B65769">
        <w:trPr>
          <w:trHeight w:val="204"/>
        </w:trPr>
        <w:tc>
          <w:tcPr>
            <w:tcW w:w="9498" w:type="dxa"/>
            <w:tcBorders>
              <w:top w:val="nil"/>
              <w:left w:val="nil"/>
              <w:bottom w:val="nil"/>
              <w:right w:val="nil"/>
            </w:tcBorders>
            <w:shd w:val="clear" w:color="auto" w:fill="auto"/>
            <w:tcMar>
              <w:top w:w="80" w:type="dxa"/>
              <w:left w:w="80" w:type="dxa"/>
              <w:bottom w:w="80" w:type="dxa"/>
              <w:right w:w="80" w:type="dxa"/>
            </w:tcMar>
          </w:tcPr>
          <w:p w14:paraId="7974C2C0" w14:textId="77777777" w:rsidR="000F1D00" w:rsidRPr="000F1D00" w:rsidRDefault="00E15825" w:rsidP="006F749C">
            <w:pPr>
              <w:numPr>
                <w:ilvl w:val="0"/>
                <w:numId w:val="240"/>
              </w:numPr>
              <w:pBdr>
                <w:top w:val="nil"/>
                <w:left w:val="nil"/>
                <w:bottom w:val="nil"/>
                <w:right w:val="nil"/>
                <w:between w:val="nil"/>
                <w:bar w:val="nil"/>
              </w:pBdr>
              <w:tabs>
                <w:tab w:val="clear" w:pos="210"/>
                <w:tab w:val="num" w:pos="473"/>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Arial Unicode MS" w:cs="Arial Unicode MS"/>
                <w:sz w:val="28"/>
                <w:szCs w:val="28"/>
                <w:u w:color="000000"/>
                <w:bdr w:val="nil"/>
                <w:lang w:val="en-US"/>
              </w:rPr>
            </w:pPr>
            <w:r>
              <w:rPr>
                <w:rFonts w:eastAsia="Arial Unicode MS" w:cs="Arial Unicode MS"/>
                <w:sz w:val="28"/>
                <w:szCs w:val="28"/>
                <w:u w:color="000000"/>
                <w:bdr w:val="nil"/>
                <w:lang w:val="en-US"/>
              </w:rPr>
              <w:t>Name the</w:t>
            </w:r>
            <w:r w:rsidR="000F1D00" w:rsidRPr="000F1D00">
              <w:rPr>
                <w:rFonts w:eastAsia="Arial Unicode MS" w:cs="Arial Unicode MS"/>
                <w:sz w:val="28"/>
                <w:szCs w:val="28"/>
                <w:u w:color="000000"/>
                <w:bdr w:val="nil"/>
                <w:lang w:val="en-US"/>
              </w:rPr>
              <w:t xml:space="preserve"> institution that provides funding for Ukrainian business</w:t>
            </w:r>
            <w:r>
              <w:rPr>
                <w:rFonts w:eastAsia="Arial Unicode MS" w:cs="Arial Unicode MS"/>
                <w:sz w:val="28"/>
                <w:szCs w:val="28"/>
                <w:u w:color="000000"/>
                <w:bdr w:val="nil"/>
                <w:lang w:val="en-US"/>
              </w:rPr>
              <w:t>,</w:t>
            </w:r>
            <w:r w:rsidR="000F1D00" w:rsidRPr="000F1D00">
              <w:rPr>
                <w:rFonts w:eastAsia="Arial Unicode MS" w:cs="Arial Unicode MS"/>
                <w:sz w:val="28"/>
                <w:szCs w:val="28"/>
                <w:u w:color="000000"/>
                <w:bdr w:val="nil"/>
                <w:lang w:val="en-US"/>
              </w:rPr>
              <w:t xml:space="preserve"> lending money for economic transition:</w:t>
            </w:r>
          </w:p>
          <w:p w14:paraId="0F604713" w14:textId="77777777" w:rsidR="000F1D00" w:rsidRPr="00B65769" w:rsidRDefault="000F1D00" w:rsidP="006F749C">
            <w:pPr>
              <w:numPr>
                <w:ilvl w:val="0"/>
                <w:numId w:val="247"/>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European Bank for Reconstruction and Development;</w:t>
            </w:r>
          </w:p>
          <w:p w14:paraId="7B935906" w14:textId="77777777" w:rsidR="000F1D00" w:rsidRPr="00B65769" w:rsidRDefault="000F1D00" w:rsidP="006F749C">
            <w:pPr>
              <w:numPr>
                <w:ilvl w:val="0"/>
                <w:numId w:val="247"/>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 xml:space="preserve">the European Investment Bank; </w:t>
            </w:r>
          </w:p>
          <w:p w14:paraId="5ECB3310" w14:textId="77777777" w:rsidR="000F1D00" w:rsidRPr="00B65769" w:rsidRDefault="000F1D00" w:rsidP="006F749C">
            <w:pPr>
              <w:numPr>
                <w:ilvl w:val="0"/>
                <w:numId w:val="247"/>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European Central Bank;</w:t>
            </w:r>
          </w:p>
          <w:p w14:paraId="3472DEA1" w14:textId="77777777" w:rsidR="000F1D00" w:rsidRPr="000F1D00" w:rsidRDefault="000F1D00" w:rsidP="006F749C">
            <w:pPr>
              <w:numPr>
                <w:ilvl w:val="0"/>
                <w:numId w:val="247"/>
              </w:numPr>
              <w:pBdr>
                <w:top w:val="nil"/>
                <w:left w:val="nil"/>
                <w:bottom w:val="nil"/>
                <w:right w:val="nil"/>
                <w:between w:val="nil"/>
                <w:bar w:val="nil"/>
              </w:pBdr>
              <w:shd w:val="clear" w:color="auto" w:fill="FFFFFF"/>
              <w:spacing w:after="120" w:line="240" w:lineRule="atLeast"/>
              <w:ind w:left="782" w:hanging="357"/>
              <w:textAlignment w:val="baseline"/>
              <w:rPr>
                <w:rFonts w:eastAsia="Garamond" w:cs="Garamond"/>
                <w:sz w:val="28"/>
                <w:szCs w:val="28"/>
                <w:u w:color="000000"/>
                <w:bdr w:val="nil"/>
                <w:lang w:val="en-US" w:eastAsia="en-US"/>
              </w:rPr>
            </w:pPr>
            <w:r w:rsidRPr="00B65769">
              <w:rPr>
                <w:sz w:val="28"/>
                <w:szCs w:val="28"/>
                <w:lang w:val="en-US"/>
              </w:rPr>
              <w:t>the Economic Parliament Committee.</w:t>
            </w:r>
          </w:p>
        </w:tc>
      </w:tr>
      <w:tr w:rsidR="000F1D00" w:rsidRPr="000F1D00" w14:paraId="78C0297F" w14:textId="77777777" w:rsidTr="000F1D00">
        <w:trPr>
          <w:trHeight w:val="1391"/>
        </w:trPr>
        <w:tc>
          <w:tcPr>
            <w:tcW w:w="9498" w:type="dxa"/>
            <w:tcBorders>
              <w:top w:val="nil"/>
              <w:left w:val="nil"/>
              <w:bottom w:val="nil"/>
              <w:right w:val="nil"/>
            </w:tcBorders>
            <w:shd w:val="clear" w:color="auto" w:fill="auto"/>
            <w:tcMar>
              <w:top w:w="80" w:type="dxa"/>
              <w:left w:w="80" w:type="dxa"/>
              <w:bottom w:w="80" w:type="dxa"/>
              <w:right w:w="80" w:type="dxa"/>
            </w:tcMar>
          </w:tcPr>
          <w:p w14:paraId="12392E03" w14:textId="77777777" w:rsidR="000F1D00" w:rsidRPr="000F1D00" w:rsidRDefault="000F1D00" w:rsidP="006F749C">
            <w:pPr>
              <w:numPr>
                <w:ilvl w:val="0"/>
                <w:numId w:val="240"/>
              </w:numPr>
              <w:pBdr>
                <w:top w:val="nil"/>
                <w:left w:val="nil"/>
                <w:bottom w:val="nil"/>
                <w:right w:val="nil"/>
                <w:between w:val="nil"/>
                <w:bar w:val="nil"/>
              </w:pBdr>
              <w:tabs>
                <w:tab w:val="clear" w:pos="210"/>
                <w:tab w:val="num" w:pos="473"/>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EU budgetary law does not obey this general principle:</w:t>
            </w:r>
          </w:p>
          <w:p w14:paraId="36A6D5BF" w14:textId="77777777" w:rsidR="000F1D00" w:rsidRPr="00B65769" w:rsidRDefault="000F1D00" w:rsidP="006F749C">
            <w:pPr>
              <w:numPr>
                <w:ilvl w:val="0"/>
                <w:numId w:val="248"/>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principle of universality;</w:t>
            </w:r>
          </w:p>
          <w:p w14:paraId="3962E41E" w14:textId="77777777" w:rsidR="000F1D00" w:rsidRPr="00B65769" w:rsidRDefault="000F1D00" w:rsidP="006F749C">
            <w:pPr>
              <w:numPr>
                <w:ilvl w:val="0"/>
                <w:numId w:val="248"/>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principle of specification;</w:t>
            </w:r>
          </w:p>
          <w:p w14:paraId="21D623AC" w14:textId="77777777" w:rsidR="000F1D00" w:rsidRPr="00B65769" w:rsidRDefault="000F1D00" w:rsidP="006F749C">
            <w:pPr>
              <w:numPr>
                <w:ilvl w:val="0"/>
                <w:numId w:val="248"/>
              </w:numPr>
              <w:pBdr>
                <w:top w:val="nil"/>
                <w:left w:val="nil"/>
                <w:bottom w:val="nil"/>
                <w:right w:val="nil"/>
                <w:between w:val="nil"/>
                <w:bar w:val="nil"/>
              </w:pBdr>
              <w:shd w:val="clear" w:color="auto" w:fill="FFFFFF"/>
              <w:spacing w:line="240" w:lineRule="atLeast"/>
              <w:textAlignment w:val="baseline"/>
              <w:rPr>
                <w:sz w:val="28"/>
                <w:szCs w:val="28"/>
                <w:lang w:val="en-US"/>
              </w:rPr>
            </w:pPr>
            <w:r w:rsidRPr="00B65769">
              <w:rPr>
                <w:sz w:val="28"/>
                <w:szCs w:val="28"/>
                <w:lang w:val="en-US"/>
              </w:rPr>
              <w:t>the principle of equilibrium;</w:t>
            </w:r>
          </w:p>
          <w:p w14:paraId="2F234FFB" w14:textId="77777777" w:rsidR="000F1D00" w:rsidRPr="000F1D00" w:rsidRDefault="000F1D00" w:rsidP="006F749C">
            <w:pPr>
              <w:numPr>
                <w:ilvl w:val="0"/>
                <w:numId w:val="248"/>
              </w:numPr>
              <w:pBdr>
                <w:top w:val="nil"/>
                <w:left w:val="nil"/>
                <w:bottom w:val="nil"/>
                <w:right w:val="nil"/>
                <w:between w:val="nil"/>
                <w:bar w:val="nil"/>
              </w:pBdr>
              <w:shd w:val="clear" w:color="auto" w:fill="FFFFFF"/>
              <w:spacing w:after="120" w:line="240" w:lineRule="atLeast"/>
              <w:ind w:left="782" w:hanging="357"/>
              <w:textAlignment w:val="baseline"/>
              <w:rPr>
                <w:rFonts w:eastAsia="Garamond" w:cs="Garamond"/>
                <w:sz w:val="28"/>
                <w:szCs w:val="28"/>
                <w:u w:color="000000"/>
                <w:bdr w:val="nil"/>
                <w:lang w:val="en-US" w:eastAsia="en-US"/>
              </w:rPr>
            </w:pPr>
            <w:r w:rsidRPr="00B65769">
              <w:rPr>
                <w:sz w:val="28"/>
                <w:szCs w:val="28"/>
                <w:lang w:val="en-US"/>
              </w:rPr>
              <w:t>the principle of solvency.</w:t>
            </w:r>
            <w:r w:rsidRPr="000F1D00">
              <w:rPr>
                <w:rFonts w:eastAsia="Arial Unicode MS" w:cs="Arial Unicode MS"/>
                <w:sz w:val="28"/>
                <w:szCs w:val="28"/>
                <w:u w:color="000000"/>
                <w:bdr w:val="nil"/>
                <w:lang w:val="en-US" w:eastAsia="en-US"/>
              </w:rPr>
              <w:t xml:space="preserve"> </w:t>
            </w:r>
            <w:r w:rsidRPr="000F1D00">
              <w:rPr>
                <w:rFonts w:eastAsia="Arial Unicode MS" w:cs="Arial Unicode MS"/>
                <w:sz w:val="28"/>
                <w:szCs w:val="28"/>
                <w:u w:color="000000"/>
                <w:bdr w:val="nil"/>
                <w:lang w:val="en-US" w:eastAsia="en-US"/>
              </w:rPr>
              <w:tab/>
            </w:r>
          </w:p>
        </w:tc>
      </w:tr>
      <w:tr w:rsidR="00B65769" w:rsidRPr="000F1D00" w14:paraId="507C5336" w14:textId="77777777" w:rsidTr="000F1D00">
        <w:trPr>
          <w:trHeight w:val="1391"/>
        </w:trPr>
        <w:tc>
          <w:tcPr>
            <w:tcW w:w="9498" w:type="dxa"/>
            <w:tcBorders>
              <w:top w:val="nil"/>
              <w:left w:val="nil"/>
              <w:bottom w:val="nil"/>
              <w:right w:val="nil"/>
            </w:tcBorders>
            <w:shd w:val="clear" w:color="auto" w:fill="auto"/>
            <w:tcMar>
              <w:top w:w="80" w:type="dxa"/>
              <w:left w:w="80" w:type="dxa"/>
              <w:bottom w:w="80" w:type="dxa"/>
              <w:right w:w="80" w:type="dxa"/>
            </w:tcMar>
          </w:tcPr>
          <w:p w14:paraId="7F04DAC1" w14:textId="77777777" w:rsidR="00B65769" w:rsidRPr="00B65769" w:rsidRDefault="00B65769" w:rsidP="006F749C">
            <w:pPr>
              <w:numPr>
                <w:ilvl w:val="0"/>
                <w:numId w:val="240"/>
              </w:numPr>
              <w:tabs>
                <w:tab w:val="clear" w:pos="210"/>
                <w:tab w:val="num" w:pos="473"/>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Arial Unicode MS" w:cs="Arial Unicode MS"/>
                <w:sz w:val="28"/>
                <w:szCs w:val="28"/>
                <w:u w:color="000000"/>
                <w:bdr w:val="nil"/>
                <w:lang w:val="en-US"/>
              </w:rPr>
            </w:pPr>
            <w:r w:rsidRPr="00B65769">
              <w:rPr>
                <w:rFonts w:eastAsia="Arial Unicode MS" w:cs="Arial Unicode MS"/>
                <w:sz w:val="28"/>
                <w:szCs w:val="28"/>
                <w:u w:color="000000"/>
                <w:bdr w:val="nil"/>
                <w:lang w:val="en-US"/>
              </w:rPr>
              <w:t xml:space="preserve">The EU budget own resources are of </w:t>
            </w:r>
            <w:r w:rsidR="00E15825">
              <w:rPr>
                <w:rFonts w:eastAsia="Arial Unicode MS" w:cs="Arial Unicode MS"/>
                <w:sz w:val="28"/>
                <w:szCs w:val="28"/>
                <w:u w:color="000000"/>
                <w:bdr w:val="nil"/>
                <w:lang w:val="en-US"/>
              </w:rPr>
              <w:t>the following</w:t>
            </w:r>
            <w:r w:rsidRPr="00B65769">
              <w:rPr>
                <w:rFonts w:eastAsia="Arial Unicode MS" w:cs="Arial Unicode MS"/>
                <w:sz w:val="28"/>
                <w:szCs w:val="28"/>
                <w:u w:color="000000"/>
                <w:bdr w:val="nil"/>
                <w:lang w:val="en-US"/>
              </w:rPr>
              <w:t xml:space="preserve"> kinds:</w:t>
            </w:r>
          </w:p>
          <w:p w14:paraId="7849146C" w14:textId="77777777" w:rsidR="00B65769" w:rsidRPr="00B65769" w:rsidRDefault="00B65769" w:rsidP="006F749C">
            <w:pPr>
              <w:numPr>
                <w:ilvl w:val="0"/>
                <w:numId w:val="249"/>
              </w:numPr>
              <w:shd w:val="clear" w:color="auto" w:fill="FFFFFF"/>
              <w:spacing w:line="240" w:lineRule="atLeast"/>
              <w:textAlignment w:val="baseline"/>
              <w:rPr>
                <w:sz w:val="28"/>
                <w:szCs w:val="28"/>
                <w:lang w:val="en-US"/>
              </w:rPr>
            </w:pPr>
            <w:r w:rsidRPr="00B65769">
              <w:rPr>
                <w:sz w:val="28"/>
                <w:szCs w:val="28"/>
                <w:lang w:val="en-US"/>
              </w:rPr>
              <w:t>traditional own resources, VAT own resources, GNI own resources;</w:t>
            </w:r>
          </w:p>
          <w:p w14:paraId="26A16C3F" w14:textId="77777777" w:rsidR="00B65769" w:rsidRPr="00B65769" w:rsidRDefault="00B65769" w:rsidP="006F749C">
            <w:pPr>
              <w:numPr>
                <w:ilvl w:val="0"/>
                <w:numId w:val="249"/>
              </w:numPr>
              <w:shd w:val="clear" w:color="auto" w:fill="FFFFFF"/>
              <w:spacing w:line="240" w:lineRule="atLeast"/>
              <w:textAlignment w:val="baseline"/>
              <w:rPr>
                <w:sz w:val="28"/>
                <w:szCs w:val="28"/>
                <w:lang w:val="en-US"/>
              </w:rPr>
            </w:pPr>
            <w:r w:rsidRPr="00B65769">
              <w:rPr>
                <w:sz w:val="28"/>
                <w:szCs w:val="28"/>
                <w:lang w:val="en-US"/>
              </w:rPr>
              <w:t>traditional own resources, agricultural duties, income taxes;</w:t>
            </w:r>
          </w:p>
          <w:p w14:paraId="19C26DDA" w14:textId="77777777" w:rsidR="00B65769" w:rsidRPr="00B65769" w:rsidRDefault="00B65769" w:rsidP="006F749C">
            <w:pPr>
              <w:numPr>
                <w:ilvl w:val="0"/>
                <w:numId w:val="249"/>
              </w:numPr>
              <w:shd w:val="clear" w:color="auto" w:fill="FFFFFF"/>
              <w:spacing w:line="240" w:lineRule="atLeast"/>
              <w:textAlignment w:val="baseline"/>
              <w:rPr>
                <w:sz w:val="28"/>
                <w:szCs w:val="28"/>
                <w:lang w:val="en-US"/>
              </w:rPr>
            </w:pPr>
            <w:r w:rsidRPr="00B65769">
              <w:rPr>
                <w:sz w:val="28"/>
                <w:szCs w:val="28"/>
                <w:lang w:val="en-US"/>
              </w:rPr>
              <w:t>traditional own resources, customs duties, GNI own resources;</w:t>
            </w:r>
          </w:p>
          <w:p w14:paraId="52FD0A2D" w14:textId="77777777" w:rsidR="00B65769" w:rsidRPr="0031526E" w:rsidRDefault="00B65769" w:rsidP="006F749C">
            <w:pPr>
              <w:numPr>
                <w:ilvl w:val="0"/>
                <w:numId w:val="249"/>
              </w:numPr>
              <w:shd w:val="clear" w:color="auto" w:fill="FFFFFF"/>
              <w:spacing w:after="120" w:line="240" w:lineRule="atLeast"/>
              <w:ind w:left="782" w:hanging="357"/>
              <w:textAlignment w:val="baseline"/>
              <w:rPr>
                <w:b/>
                <w:lang w:val="en-US"/>
              </w:rPr>
            </w:pPr>
            <w:r w:rsidRPr="00B65769">
              <w:rPr>
                <w:sz w:val="28"/>
                <w:szCs w:val="28"/>
                <w:lang w:val="en-US"/>
              </w:rPr>
              <w:t>traditional own resources, agricultural duties, taxes paid on salary.</w:t>
            </w:r>
          </w:p>
        </w:tc>
      </w:tr>
      <w:tr w:rsidR="00B65769" w:rsidRPr="000F1D00" w14:paraId="07414A65" w14:textId="77777777" w:rsidTr="000F1D00">
        <w:trPr>
          <w:trHeight w:val="1391"/>
        </w:trPr>
        <w:tc>
          <w:tcPr>
            <w:tcW w:w="9498" w:type="dxa"/>
            <w:tcBorders>
              <w:top w:val="nil"/>
              <w:left w:val="nil"/>
              <w:bottom w:val="nil"/>
              <w:right w:val="nil"/>
            </w:tcBorders>
            <w:shd w:val="clear" w:color="auto" w:fill="auto"/>
            <w:tcMar>
              <w:top w:w="80" w:type="dxa"/>
              <w:left w:w="80" w:type="dxa"/>
              <w:bottom w:w="80" w:type="dxa"/>
              <w:right w:w="80" w:type="dxa"/>
            </w:tcMar>
          </w:tcPr>
          <w:p w14:paraId="4C9129EA" w14:textId="77777777" w:rsidR="00B65769" w:rsidRPr="00B65769" w:rsidRDefault="00B65769" w:rsidP="006F749C">
            <w:pPr>
              <w:numPr>
                <w:ilvl w:val="0"/>
                <w:numId w:val="240"/>
              </w:numPr>
              <w:tabs>
                <w:tab w:val="clear" w:pos="210"/>
                <w:tab w:val="num" w:pos="473"/>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346" w:hanging="346"/>
              <w:jc w:val="both"/>
              <w:rPr>
                <w:rFonts w:eastAsia="Arial Unicode MS" w:cs="Arial Unicode MS"/>
                <w:sz w:val="28"/>
                <w:szCs w:val="28"/>
                <w:u w:color="000000"/>
                <w:bdr w:val="nil"/>
                <w:lang w:val="en-US"/>
              </w:rPr>
            </w:pPr>
            <w:r w:rsidRPr="00B65769">
              <w:rPr>
                <w:rFonts w:eastAsia="Arial Unicode MS" w:cs="Arial Unicode MS"/>
                <w:sz w:val="28"/>
                <w:szCs w:val="28"/>
                <w:u w:color="000000"/>
                <w:bdr w:val="nil"/>
                <w:lang w:val="en-US"/>
              </w:rPr>
              <w:t xml:space="preserve">The EU budget expenditures are formed </w:t>
            </w:r>
            <w:r w:rsidR="00E15825">
              <w:rPr>
                <w:rFonts w:eastAsia="Arial Unicode MS" w:cs="Arial Unicode MS"/>
                <w:sz w:val="28"/>
                <w:szCs w:val="28"/>
                <w:u w:color="000000"/>
                <w:bdr w:val="nil"/>
                <w:lang w:val="en-US"/>
              </w:rPr>
              <w:t>as follows</w:t>
            </w:r>
            <w:r w:rsidRPr="00B65769">
              <w:rPr>
                <w:rFonts w:eastAsia="Arial Unicode MS" w:cs="Arial Unicode MS"/>
                <w:sz w:val="28"/>
                <w:szCs w:val="28"/>
                <w:u w:color="000000"/>
                <w:bdr w:val="nil"/>
                <w:lang w:val="en-US"/>
              </w:rPr>
              <w:t>:</w:t>
            </w:r>
          </w:p>
          <w:p w14:paraId="7801D40A" w14:textId="77777777" w:rsidR="00B65769" w:rsidRPr="00B65769" w:rsidRDefault="00B65769" w:rsidP="006F749C">
            <w:pPr>
              <w:numPr>
                <w:ilvl w:val="0"/>
                <w:numId w:val="250"/>
              </w:numPr>
              <w:shd w:val="clear" w:color="auto" w:fill="FFFFFF"/>
              <w:spacing w:line="240" w:lineRule="atLeast"/>
              <w:textAlignment w:val="baseline"/>
              <w:rPr>
                <w:sz w:val="28"/>
                <w:szCs w:val="28"/>
                <w:lang w:val="en-US"/>
              </w:rPr>
            </w:pPr>
            <w:r w:rsidRPr="00B65769">
              <w:rPr>
                <w:sz w:val="28"/>
                <w:szCs w:val="28"/>
                <w:lang w:val="en-US"/>
              </w:rPr>
              <w:t>economic conditions;</w:t>
            </w:r>
          </w:p>
          <w:p w14:paraId="79308242" w14:textId="77777777" w:rsidR="00B65769" w:rsidRPr="00B65769" w:rsidRDefault="00B65769" w:rsidP="006F749C">
            <w:pPr>
              <w:numPr>
                <w:ilvl w:val="0"/>
                <w:numId w:val="250"/>
              </w:numPr>
              <w:shd w:val="clear" w:color="auto" w:fill="FFFFFF"/>
              <w:spacing w:line="240" w:lineRule="atLeast"/>
              <w:textAlignment w:val="baseline"/>
              <w:rPr>
                <w:sz w:val="28"/>
                <w:szCs w:val="28"/>
                <w:lang w:val="en-US"/>
              </w:rPr>
            </w:pPr>
            <w:r w:rsidRPr="00B65769">
              <w:rPr>
                <w:sz w:val="28"/>
                <w:szCs w:val="28"/>
                <w:lang w:val="en-US"/>
              </w:rPr>
              <w:t>headings;</w:t>
            </w:r>
          </w:p>
          <w:p w14:paraId="55021D21" w14:textId="77777777" w:rsidR="00B65769" w:rsidRPr="00B65769" w:rsidRDefault="00B65769" w:rsidP="006F749C">
            <w:pPr>
              <w:numPr>
                <w:ilvl w:val="0"/>
                <w:numId w:val="250"/>
              </w:numPr>
              <w:shd w:val="clear" w:color="auto" w:fill="FFFFFF"/>
              <w:spacing w:line="240" w:lineRule="atLeast"/>
              <w:textAlignment w:val="baseline"/>
              <w:rPr>
                <w:sz w:val="28"/>
                <w:szCs w:val="28"/>
                <w:lang w:val="en-US"/>
              </w:rPr>
            </w:pPr>
            <w:r w:rsidRPr="00B65769">
              <w:rPr>
                <w:sz w:val="28"/>
                <w:szCs w:val="28"/>
                <w:lang w:val="en-US"/>
              </w:rPr>
              <w:t>cohesion strategy;</w:t>
            </w:r>
          </w:p>
          <w:p w14:paraId="4D245E45" w14:textId="77777777" w:rsidR="00B65769" w:rsidRPr="0031526E" w:rsidRDefault="00B65769" w:rsidP="006F749C">
            <w:pPr>
              <w:numPr>
                <w:ilvl w:val="0"/>
                <w:numId w:val="250"/>
              </w:numPr>
              <w:shd w:val="clear" w:color="auto" w:fill="FFFFFF"/>
              <w:spacing w:after="120" w:line="240" w:lineRule="atLeast"/>
              <w:ind w:left="782" w:hanging="357"/>
              <w:textAlignment w:val="baseline"/>
              <w:rPr>
                <w:b/>
                <w:lang w:val="en-US"/>
              </w:rPr>
            </w:pPr>
            <w:r w:rsidRPr="00B65769">
              <w:rPr>
                <w:sz w:val="28"/>
                <w:szCs w:val="28"/>
                <w:lang w:val="en-US"/>
              </w:rPr>
              <w:t>ceiling.</w:t>
            </w:r>
          </w:p>
        </w:tc>
      </w:tr>
    </w:tbl>
    <w:p w14:paraId="6ECFC98C" w14:textId="77777777" w:rsidR="00FB375D" w:rsidRPr="000F1D00" w:rsidRDefault="00FB375D" w:rsidP="00B65769">
      <w:pPr>
        <w:pStyle w:val="end2"/>
        <w:rPr>
          <w:rFonts w:eastAsia="Garamond" w:cs="Garamond"/>
          <w:u w:color="000000"/>
          <w:bdr w:val="nil"/>
          <w:lang w:eastAsia="en-US"/>
        </w:rPr>
      </w:pPr>
      <w:r w:rsidRPr="000F1D00">
        <w:rPr>
          <w:rFonts w:eastAsia="Arial Unicode MS"/>
          <w:u w:color="000000"/>
          <w:bdr w:val="nil"/>
          <w:lang w:eastAsia="en-US"/>
        </w:rPr>
        <w:t>Short answer questions</w:t>
      </w:r>
    </w:p>
    <w:p w14:paraId="3473FD4A" w14:textId="77777777" w:rsidR="00FB375D" w:rsidRPr="000F1D00" w:rsidRDefault="00FB375D" w:rsidP="00B65769">
      <w:pPr>
        <w:pStyle w:val="eng3"/>
        <w:rPr>
          <w:rFonts w:eastAsia="Garamond" w:cs="Garamond"/>
          <w:u w:color="000000"/>
          <w:bdr w:val="nil"/>
          <w:lang w:eastAsia="en-US"/>
        </w:rPr>
      </w:pPr>
      <w:r w:rsidRPr="000F1D00">
        <w:rPr>
          <w:rFonts w:eastAsia="Arial Unicode MS"/>
          <w:u w:color="000000"/>
          <w:bdr w:val="nil"/>
          <w:lang w:eastAsia="en-US"/>
        </w:rPr>
        <w:t>Missing</w:t>
      </w:r>
      <w:r w:rsidR="001A5DA6">
        <w:rPr>
          <w:rFonts w:eastAsia="Arial Unicode MS"/>
          <w:u w:color="000000"/>
          <w:bdr w:val="nil"/>
          <w:lang w:eastAsia="en-US"/>
        </w:rPr>
        <w:t xml:space="preserve"> </w:t>
      </w:r>
      <w:r w:rsidRPr="000F1D00">
        <w:rPr>
          <w:rFonts w:eastAsia="Arial Unicode MS"/>
          <w:u w:color="000000"/>
          <w:bdr w:val="nil"/>
          <w:lang w:eastAsia="en-US"/>
        </w:rPr>
        <w:t>word questions</w:t>
      </w:r>
    </w:p>
    <w:p w14:paraId="60C8DC45" w14:textId="77777777" w:rsidR="00FB375D" w:rsidRPr="000F1D00"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360"/>
        <w:jc w:val="both"/>
        <w:rPr>
          <w:rFonts w:eastAsia="Garamond" w:cs="Garamond"/>
          <w:sz w:val="28"/>
          <w:szCs w:val="28"/>
          <w:u w:color="000000"/>
          <w:bdr w:val="nil"/>
          <w:lang w:val="en-US" w:eastAsia="en-US"/>
        </w:rPr>
      </w:pPr>
      <w:r w:rsidRPr="000F1D00">
        <w:rPr>
          <w:rFonts w:eastAsia="Arial Unicode MS" w:cs="Arial Unicode MS"/>
          <w:sz w:val="28"/>
          <w:szCs w:val="28"/>
          <w:u w:color="000000"/>
          <w:bdr w:val="nil"/>
          <w:lang w:val="en-US" w:eastAsia="en-US"/>
        </w:rPr>
        <w:t>Choose the correct word to complete each sentence.</w:t>
      </w:r>
    </w:p>
    <w:p w14:paraId="14B71B7C" w14:textId="77777777" w:rsidR="00FB375D" w:rsidRPr="000F1D00"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360"/>
        <w:jc w:val="both"/>
        <w:rPr>
          <w:rFonts w:eastAsia="Garamond" w:cs="Garamond"/>
          <w:sz w:val="28"/>
          <w:szCs w:val="28"/>
          <w:u w:color="000000"/>
          <w:bdr w:val="nil"/>
          <w:lang w:val="en-US" w:eastAsia="en-US"/>
        </w:rPr>
      </w:pPr>
    </w:p>
    <w:p w14:paraId="4FA62469" w14:textId="77777777" w:rsidR="00B65769" w:rsidRDefault="00FB375D" w:rsidP="006F749C">
      <w:pPr>
        <w:numPr>
          <w:ilvl w:val="0"/>
          <w:numId w:val="251"/>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The term </w:t>
      </w:r>
      <w:r w:rsidRPr="000F1D00">
        <w:rPr>
          <w:rFonts w:eastAsia="Arial Unicode MS" w:cs="Arial Unicode MS"/>
          <w:b/>
          <w:bCs/>
          <w:sz w:val="28"/>
          <w:szCs w:val="28"/>
          <w:u w:color="000000"/>
          <w:bdr w:val="nil"/>
          <w:lang w:val="en-US"/>
        </w:rPr>
        <w:t>___________________</w:t>
      </w:r>
      <w:r w:rsidRPr="000F1D00">
        <w:rPr>
          <w:rFonts w:eastAsia="Arial Unicode MS" w:cs="Arial Unicode MS"/>
          <w:sz w:val="28"/>
          <w:szCs w:val="28"/>
          <w:u w:color="000000"/>
          <w:bdr w:val="nil"/>
          <w:lang w:val="en-US"/>
        </w:rPr>
        <w:t xml:space="preserve"> was introduced into international circulation after the Second World War and means the process of establishing a closer association, union</w:t>
      </w:r>
      <w:r w:rsidR="00E15825">
        <w:rPr>
          <w:rFonts w:eastAsia="Arial Unicode MS" w:cs="Arial Unicode MS"/>
          <w:sz w:val="28"/>
          <w:szCs w:val="28"/>
          <w:u w:color="000000"/>
          <w:bdr w:val="nil"/>
          <w:lang w:val="en-US"/>
        </w:rPr>
        <w:t>,</w:t>
      </w:r>
      <w:r w:rsidRPr="000F1D00">
        <w:rPr>
          <w:rFonts w:eastAsia="Arial Unicode MS" w:cs="Arial Unicode MS"/>
          <w:sz w:val="28"/>
          <w:szCs w:val="28"/>
          <w:u w:color="000000"/>
          <w:bdr w:val="nil"/>
          <w:lang w:val="en-US"/>
        </w:rPr>
        <w:t xml:space="preserve"> or even a federation of Western Europe countries.</w:t>
      </w:r>
    </w:p>
    <w:p w14:paraId="33CFAB1C" w14:textId="77777777" w:rsidR="00FB375D" w:rsidRPr="000F1D00" w:rsidRDefault="00FB375D"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40E41847" w14:textId="77777777" w:rsidR="00FB375D" w:rsidRDefault="00FB375D" w:rsidP="006F749C">
      <w:pPr>
        <w:numPr>
          <w:ilvl w:val="0"/>
          <w:numId w:val="251"/>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hanging="260"/>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lastRenderedPageBreak/>
        <w:t>The ____________________ is signed, which established rules of common currency in addition to providing further coordination for foreign and security policy. The European Community formally changes its name to the _________________________.</w:t>
      </w:r>
    </w:p>
    <w:p w14:paraId="09844419" w14:textId="77777777" w:rsidR="00B65769" w:rsidRPr="000F1D00" w:rsidRDefault="00B65769"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jc w:val="both"/>
        <w:rPr>
          <w:rFonts w:eastAsia="Arial Unicode MS" w:cs="Arial Unicode MS"/>
          <w:sz w:val="28"/>
          <w:szCs w:val="28"/>
          <w:u w:color="000000"/>
          <w:bdr w:val="nil"/>
          <w:lang w:val="en-US"/>
        </w:rPr>
      </w:pPr>
    </w:p>
    <w:p w14:paraId="32352091" w14:textId="77777777" w:rsidR="00FB375D" w:rsidRDefault="00FB375D" w:rsidP="006F749C">
      <w:pPr>
        <w:numPr>
          <w:ilvl w:val="0"/>
          <w:numId w:val="251"/>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hanging="260"/>
        <w:jc w:val="both"/>
        <w:rPr>
          <w:rFonts w:eastAsia="Arial Unicode MS" w:cs="Arial Unicode MS"/>
          <w:sz w:val="28"/>
          <w:szCs w:val="28"/>
          <w:u w:color="000000"/>
          <w:bdr w:val="nil"/>
          <w:lang w:val="en-US"/>
        </w:rPr>
      </w:pPr>
      <w:r w:rsidRPr="000F1D00">
        <w:rPr>
          <w:rFonts w:eastAsia="Arial Unicode MS" w:cs="Arial Unicode MS"/>
          <w:color w:val="191919"/>
          <w:sz w:val="28"/>
          <w:szCs w:val="28"/>
          <w:u w:color="191919"/>
          <w:bdr w:val="nil"/>
          <w:lang w:val="en-US"/>
        </w:rPr>
        <w:t xml:space="preserve">The circulation of finance and monetary funds within the EU is provided by the </w:t>
      </w:r>
      <w:r w:rsidRPr="000F1D00">
        <w:rPr>
          <w:rFonts w:eastAsia="Arial Unicode MS" w:cs="Arial Unicode MS"/>
          <w:b/>
          <w:bCs/>
          <w:color w:val="191919"/>
          <w:sz w:val="28"/>
          <w:szCs w:val="28"/>
          <w:u w:color="191919"/>
          <w:bdr w:val="nil"/>
          <w:lang w:val="en-US"/>
        </w:rPr>
        <w:t>_______________________</w:t>
      </w:r>
      <w:r w:rsidRPr="000F1D00">
        <w:rPr>
          <w:rFonts w:eastAsia="Arial Unicode MS" w:cs="Arial Unicode MS"/>
          <w:color w:val="191919"/>
          <w:sz w:val="28"/>
          <w:szCs w:val="28"/>
          <w:u w:color="191919"/>
          <w:bdr w:val="nil"/>
          <w:lang w:val="en-US"/>
        </w:rPr>
        <w:t xml:space="preserve"> that together with the national central banks constitute the European economic and monetary system</w:t>
      </w:r>
      <w:r w:rsidRPr="000F1D00">
        <w:rPr>
          <w:rFonts w:eastAsia="Arial Unicode MS" w:cs="Arial Unicode MS"/>
          <w:sz w:val="28"/>
          <w:szCs w:val="28"/>
          <w:u w:color="000000"/>
          <w:bdr w:val="nil"/>
          <w:lang w:val="en-US"/>
        </w:rPr>
        <w:t>.</w:t>
      </w:r>
    </w:p>
    <w:p w14:paraId="3B2F17F8" w14:textId="77777777" w:rsidR="00B65769" w:rsidRPr="000F1D00" w:rsidRDefault="00B65769"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jc w:val="both"/>
        <w:rPr>
          <w:rFonts w:eastAsia="Arial Unicode MS" w:cs="Arial Unicode MS"/>
          <w:sz w:val="28"/>
          <w:szCs w:val="28"/>
          <w:u w:color="000000"/>
          <w:bdr w:val="nil"/>
          <w:lang w:val="en-US"/>
        </w:rPr>
      </w:pPr>
    </w:p>
    <w:p w14:paraId="18B74EE7" w14:textId="77777777" w:rsidR="00FB375D" w:rsidRDefault="00FB375D" w:rsidP="006F749C">
      <w:pPr>
        <w:numPr>
          <w:ilvl w:val="0"/>
          <w:numId w:val="251"/>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hanging="260"/>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Annual </w:t>
      </w:r>
      <w:r w:rsidRPr="00B65769">
        <w:rPr>
          <w:rFonts w:eastAsia="Arial Unicode MS" w:cs="Arial Unicode MS"/>
          <w:sz w:val="28"/>
          <w:szCs w:val="28"/>
          <w:u w:color="000000"/>
          <w:bdr w:val="nil"/>
          <w:lang w:val="en-US"/>
        </w:rPr>
        <w:t xml:space="preserve">budgets are formed on the basis of the </w:t>
      </w:r>
      <w:r w:rsidRPr="00B65769">
        <w:rPr>
          <w:rFonts w:eastAsia="Arial Unicode MS" w:cs="Arial Unicode MS"/>
          <w:bCs/>
          <w:sz w:val="28"/>
          <w:szCs w:val="28"/>
          <w:u w:color="000000"/>
          <w:bdr w:val="nil"/>
          <w:lang w:val="en-US"/>
        </w:rPr>
        <w:t>_______________________ (</w:t>
      </w:r>
      <w:r w:rsidR="00D52F97">
        <w:rPr>
          <w:rFonts w:eastAsia="Arial Unicode MS" w:cs="Arial Unicode MS"/>
          <w:bCs/>
          <w:sz w:val="28"/>
          <w:szCs w:val="28"/>
          <w:u w:color="000000"/>
          <w:bdr w:val="nil"/>
          <w:lang w:val="en-US"/>
        </w:rPr>
        <w:t>l</w:t>
      </w:r>
      <w:r w:rsidRPr="00B65769">
        <w:rPr>
          <w:rFonts w:eastAsia="Arial Unicode MS" w:cs="Arial Unicode MS"/>
          <w:sz w:val="28"/>
          <w:szCs w:val="28"/>
          <w:u w:color="000000"/>
          <w:bdr w:val="nil"/>
          <w:lang w:val="en-US"/>
        </w:rPr>
        <w:t>ong-term financial plan</w:t>
      </w:r>
      <w:r w:rsidRPr="00B65769">
        <w:rPr>
          <w:rFonts w:eastAsia="Arial Unicode MS" w:cs="Arial Unicode MS"/>
          <w:bCs/>
          <w:sz w:val="28"/>
          <w:szCs w:val="28"/>
          <w:u w:color="000000"/>
          <w:bdr w:val="nil"/>
          <w:lang w:val="en-US"/>
        </w:rPr>
        <w:t>)</w:t>
      </w:r>
      <w:r w:rsidRPr="000F1D00">
        <w:rPr>
          <w:rFonts w:eastAsia="Arial Unicode MS" w:cs="Arial Unicode MS"/>
          <w:sz w:val="28"/>
          <w:szCs w:val="28"/>
          <w:u w:color="000000"/>
          <w:bdr w:val="nil"/>
          <w:lang w:val="en-US"/>
        </w:rPr>
        <w:t xml:space="preserve"> that is approved by the agreement between the _______________, the Council</w:t>
      </w:r>
      <w:r w:rsidR="00E15825">
        <w:rPr>
          <w:rFonts w:eastAsia="Arial Unicode MS" w:cs="Arial Unicode MS"/>
          <w:sz w:val="28"/>
          <w:szCs w:val="28"/>
          <w:u w:color="000000"/>
          <w:bdr w:val="nil"/>
          <w:lang w:val="en-US"/>
        </w:rPr>
        <w:t>,</w:t>
      </w:r>
      <w:r w:rsidRPr="000F1D00">
        <w:rPr>
          <w:rFonts w:eastAsia="Arial Unicode MS" w:cs="Arial Unicode MS"/>
          <w:sz w:val="28"/>
          <w:szCs w:val="28"/>
          <w:u w:color="000000"/>
          <w:bdr w:val="nil"/>
          <w:lang w:val="en-US"/>
        </w:rPr>
        <w:t xml:space="preserve"> and the _____________________.</w:t>
      </w:r>
    </w:p>
    <w:p w14:paraId="4B5AA42C" w14:textId="77777777" w:rsidR="00B65769" w:rsidRPr="000F1D00" w:rsidRDefault="00B65769"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jc w:val="both"/>
        <w:rPr>
          <w:rFonts w:eastAsia="Arial Unicode MS" w:cs="Arial Unicode MS"/>
          <w:sz w:val="28"/>
          <w:szCs w:val="28"/>
          <w:u w:color="000000"/>
          <w:bdr w:val="nil"/>
          <w:lang w:val="en-US"/>
        </w:rPr>
      </w:pPr>
    </w:p>
    <w:p w14:paraId="6F5904EC" w14:textId="77777777" w:rsidR="00FB375D" w:rsidRPr="000F1D00" w:rsidRDefault="00FB375D" w:rsidP="006F749C">
      <w:pPr>
        <w:numPr>
          <w:ilvl w:val="0"/>
          <w:numId w:val="251"/>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hanging="260"/>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Priorities are gathered in form of </w:t>
      </w:r>
      <w:r w:rsidRPr="000F1D00">
        <w:rPr>
          <w:rFonts w:eastAsia="Arial Unicode MS" w:cs="Arial Unicode MS"/>
          <w:b/>
          <w:bCs/>
          <w:sz w:val="28"/>
          <w:szCs w:val="28"/>
          <w:u w:color="000000"/>
          <w:bdr w:val="nil"/>
          <w:lang w:val="en-US"/>
        </w:rPr>
        <w:t>_______________</w:t>
      </w:r>
      <w:r w:rsidR="00E15825">
        <w:rPr>
          <w:rFonts w:eastAsia="Arial Unicode MS" w:cs="Arial Unicode MS"/>
          <w:sz w:val="28"/>
          <w:szCs w:val="28"/>
          <w:u w:color="000000"/>
          <w:bdr w:val="nil"/>
          <w:lang w:val="en-US"/>
        </w:rPr>
        <w:t>. Talking about 2014–</w:t>
      </w:r>
      <w:r w:rsidRPr="000F1D00">
        <w:rPr>
          <w:rFonts w:eastAsia="Arial Unicode MS" w:cs="Arial Unicode MS"/>
          <w:sz w:val="28"/>
          <w:szCs w:val="28"/>
          <w:u w:color="000000"/>
          <w:bdr w:val="nil"/>
          <w:lang w:val="en-US"/>
        </w:rPr>
        <w:t>2020 multiannual financial framework budget</w:t>
      </w:r>
      <w:r w:rsidR="00E15825">
        <w:rPr>
          <w:rFonts w:eastAsia="Arial Unicode MS" w:cs="Arial Unicode MS"/>
          <w:sz w:val="28"/>
          <w:szCs w:val="28"/>
          <w:u w:color="000000"/>
          <w:bdr w:val="nil"/>
          <w:lang w:val="en-US"/>
        </w:rPr>
        <w:t>,</w:t>
      </w:r>
      <w:r w:rsidRPr="000F1D00">
        <w:rPr>
          <w:rFonts w:eastAsia="Arial Unicode MS" w:cs="Arial Unicode MS"/>
          <w:sz w:val="28"/>
          <w:szCs w:val="28"/>
          <w:u w:color="000000"/>
          <w:bdr w:val="nil"/>
          <w:lang w:val="en-US"/>
        </w:rPr>
        <w:t xml:space="preserve"> ______________ are</w:t>
      </w:r>
      <w:r w:rsidR="00B65769">
        <w:rPr>
          <w:rFonts w:eastAsia="Arial Unicode MS" w:cs="Arial Unicode MS"/>
          <w:sz w:val="28"/>
          <w:szCs w:val="28"/>
          <w:u w:color="000000"/>
          <w:bdr w:val="nil"/>
          <w:lang w:val="en-US"/>
        </w:rPr>
        <w:t xml:space="preserve"> divided into 6 _______________.</w:t>
      </w:r>
    </w:p>
    <w:p w14:paraId="451EC2E0" w14:textId="77777777" w:rsidR="00FB375D" w:rsidRPr="000F1D00" w:rsidRDefault="00FB375D" w:rsidP="000F1D00">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1066" w:hanging="357"/>
        <w:jc w:val="both"/>
        <w:rPr>
          <w:rFonts w:eastAsia="Arial Unicode MS" w:cs="Arial Unicode MS"/>
          <w:sz w:val="28"/>
          <w:szCs w:val="28"/>
          <w:u w:color="000000"/>
          <w:bdr w:val="nil"/>
          <w:lang w:val="en-US"/>
        </w:rPr>
      </w:pPr>
    </w:p>
    <w:p w14:paraId="4826EFDB" w14:textId="77777777" w:rsidR="00FB375D" w:rsidRPr="000F1D00" w:rsidRDefault="00FB375D" w:rsidP="00B65769">
      <w:pPr>
        <w:pStyle w:val="eng3"/>
        <w:rPr>
          <w:rFonts w:eastAsia="Garamond" w:cs="Garamond"/>
          <w:u w:color="000000"/>
          <w:bdr w:val="nil"/>
          <w:lang w:eastAsia="en-US"/>
        </w:rPr>
      </w:pPr>
      <w:r w:rsidRPr="000F1D00">
        <w:rPr>
          <w:rFonts w:eastAsia="Arial Unicode MS"/>
          <w:u w:color="000000"/>
          <w:bdr w:val="nil"/>
          <w:lang w:eastAsia="en-US"/>
        </w:rPr>
        <w:t>True/False/Uncertain questions</w:t>
      </w:r>
    </w:p>
    <w:p w14:paraId="18CC6E4A" w14:textId="77777777" w:rsidR="00FB375D" w:rsidRPr="000F1D00"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360"/>
        <w:jc w:val="both"/>
        <w:rPr>
          <w:rFonts w:eastAsia="Garamond" w:cs="Garamond"/>
          <w:sz w:val="28"/>
          <w:szCs w:val="28"/>
          <w:u w:color="000000"/>
          <w:bdr w:val="nil"/>
          <w:lang w:val="en-US" w:eastAsia="en-US"/>
        </w:rPr>
      </w:pPr>
      <w:r w:rsidRPr="000F1D00">
        <w:rPr>
          <w:rFonts w:eastAsia="Arial Unicode MS" w:cs="Arial Unicode MS"/>
          <w:sz w:val="28"/>
          <w:szCs w:val="28"/>
          <w:u w:color="000000"/>
          <w:bdr w:val="nil"/>
          <w:lang w:val="en-US" w:eastAsia="en-US"/>
        </w:rPr>
        <w:t>Decide whether the following statements are True, False, or Uncertain. Explain your reasoning. Your score will be based not just on whether you get the True, False, Uncertain part right but also</w:t>
      </w:r>
      <w:r w:rsidR="00E15825">
        <w:rPr>
          <w:rFonts w:eastAsia="Arial Unicode MS" w:cs="Arial Unicode MS"/>
          <w:sz w:val="28"/>
          <w:szCs w:val="28"/>
          <w:u w:color="000000"/>
          <w:bdr w:val="nil"/>
          <w:lang w:val="en-US" w:eastAsia="en-US"/>
        </w:rPr>
        <w:t>, to a larger extent,</w:t>
      </w:r>
      <w:r w:rsidRPr="000F1D00">
        <w:rPr>
          <w:rFonts w:eastAsia="Arial Unicode MS" w:cs="Arial Unicode MS"/>
          <w:sz w:val="28"/>
          <w:szCs w:val="28"/>
          <w:u w:color="000000"/>
          <w:bdr w:val="nil"/>
          <w:lang w:val="en-US" w:eastAsia="en-US"/>
        </w:rPr>
        <w:t xml:space="preserve"> on the quality of your explanation.</w:t>
      </w:r>
    </w:p>
    <w:p w14:paraId="75AFDC87" w14:textId="77777777" w:rsidR="00FB375D" w:rsidRPr="000F1D00"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Garamond" w:cs="Garamond"/>
          <w:sz w:val="28"/>
          <w:szCs w:val="28"/>
          <w:u w:color="000000"/>
          <w:bdr w:val="nil"/>
          <w:lang w:val="en-US" w:eastAsia="en-US"/>
        </w:rPr>
      </w:pPr>
    </w:p>
    <w:p w14:paraId="76AC2A77" w14:textId="77777777" w:rsidR="00FB375D" w:rsidRDefault="00FB375D" w:rsidP="006F749C">
      <w:pPr>
        <w:numPr>
          <w:ilvl w:val="0"/>
          <w:numId w:val="25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Free trade zone provides the abolition of restrictions on movement between countries not only of goods but also of production factors (capital, labor, </w:t>
      </w:r>
      <w:r w:rsidR="00E15825">
        <w:rPr>
          <w:rFonts w:eastAsia="Arial Unicode MS" w:cs="Arial Unicode MS"/>
          <w:sz w:val="28"/>
          <w:szCs w:val="28"/>
          <w:u w:color="000000"/>
          <w:bdr w:val="nil"/>
          <w:lang w:val="en-US"/>
        </w:rPr>
        <w:t xml:space="preserve">and </w:t>
      </w:r>
      <w:r w:rsidRPr="000F1D00">
        <w:rPr>
          <w:rFonts w:eastAsia="Arial Unicode MS" w:cs="Arial Unicode MS"/>
          <w:sz w:val="28"/>
          <w:szCs w:val="28"/>
          <w:u w:color="000000"/>
          <w:bdr w:val="nil"/>
          <w:lang w:val="en-US"/>
        </w:rPr>
        <w:t>services).</w:t>
      </w:r>
    </w:p>
    <w:p w14:paraId="45E607FF" w14:textId="77777777" w:rsidR="00B65769" w:rsidRPr="00B65769" w:rsidRDefault="00B65769"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jc w:val="both"/>
        <w:rPr>
          <w:rFonts w:eastAsia="Arial Unicode MS" w:cs="Arial Unicode MS"/>
          <w:sz w:val="28"/>
          <w:szCs w:val="28"/>
          <w:u w:color="000000"/>
          <w:bdr w:val="nil"/>
          <w:lang w:val="en-US"/>
        </w:rPr>
      </w:pPr>
    </w:p>
    <w:p w14:paraId="24CDA9B7" w14:textId="77777777" w:rsidR="00FB375D" w:rsidRDefault="00FB375D" w:rsidP="006F749C">
      <w:pPr>
        <w:numPr>
          <w:ilvl w:val="0"/>
          <w:numId w:val="25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hanging="260"/>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The Council of the European Union</w:t>
      </w:r>
      <w:r w:rsidRPr="00B65769">
        <w:rPr>
          <w:rFonts w:eastAsia="Arial Unicode MS" w:cs="Arial Unicode MS"/>
          <w:sz w:val="28"/>
          <w:szCs w:val="28"/>
          <w:u w:color="000000"/>
          <w:bdr w:val="nil"/>
          <w:lang w:val="en-US"/>
        </w:rPr>
        <w:t xml:space="preserve"> </w:t>
      </w:r>
      <w:r w:rsidRPr="000F1D00">
        <w:rPr>
          <w:rFonts w:eastAsia="Arial Unicode MS" w:cs="Arial Unicode MS"/>
          <w:sz w:val="28"/>
          <w:szCs w:val="28"/>
          <w:u w:color="000000"/>
          <w:bdr w:val="nil"/>
          <w:lang w:val="en-US"/>
        </w:rPr>
        <w:t>represents the citizens of the EU. It consists of 751 members who are directly elected for five-year terms.</w:t>
      </w:r>
    </w:p>
    <w:p w14:paraId="00F4906D" w14:textId="77777777" w:rsidR="00B65769" w:rsidRPr="00B65769" w:rsidRDefault="00B65769"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jc w:val="both"/>
        <w:rPr>
          <w:rFonts w:eastAsia="Arial Unicode MS" w:cs="Arial Unicode MS"/>
          <w:sz w:val="28"/>
          <w:szCs w:val="28"/>
          <w:u w:color="000000"/>
          <w:bdr w:val="nil"/>
          <w:lang w:val="en-US"/>
        </w:rPr>
      </w:pPr>
    </w:p>
    <w:p w14:paraId="415548E4" w14:textId="77777777" w:rsidR="00FB375D" w:rsidRDefault="00FB375D" w:rsidP="006F749C">
      <w:pPr>
        <w:numPr>
          <w:ilvl w:val="0"/>
          <w:numId w:val="25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hanging="260"/>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 xml:space="preserve">Five criteria must be met by European countries if they wish to adopt the European Union’s single currency. They are devoted to the inflation, national budget deficit, national public debt, long-term interest, </w:t>
      </w:r>
      <w:r w:rsidR="00E15825">
        <w:rPr>
          <w:rFonts w:eastAsia="Arial Unicode MS" w:cs="Arial Unicode MS"/>
          <w:sz w:val="28"/>
          <w:szCs w:val="28"/>
          <w:u w:color="000000"/>
          <w:bdr w:val="nil"/>
          <w:lang w:val="en-US"/>
        </w:rPr>
        <w:t xml:space="preserve">and </w:t>
      </w:r>
      <w:r w:rsidRPr="000F1D00">
        <w:rPr>
          <w:rFonts w:eastAsia="Arial Unicode MS" w:cs="Arial Unicode MS"/>
          <w:sz w:val="28"/>
          <w:szCs w:val="28"/>
          <w:u w:color="000000"/>
          <w:bdr w:val="nil"/>
          <w:lang w:val="en-US"/>
        </w:rPr>
        <w:t xml:space="preserve">national currency exchange rate.  </w:t>
      </w:r>
    </w:p>
    <w:p w14:paraId="7FDA1B82" w14:textId="77777777" w:rsidR="00B65769" w:rsidRPr="00B65769" w:rsidRDefault="00B65769"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jc w:val="both"/>
        <w:rPr>
          <w:rFonts w:eastAsia="Arial Unicode MS" w:cs="Arial Unicode MS"/>
          <w:sz w:val="28"/>
          <w:szCs w:val="28"/>
          <w:u w:color="000000"/>
          <w:bdr w:val="nil"/>
          <w:lang w:val="en-US"/>
        </w:rPr>
      </w:pPr>
    </w:p>
    <w:p w14:paraId="6D5E36DF" w14:textId="77777777" w:rsidR="00FB375D" w:rsidRDefault="00FB375D" w:rsidP="006F749C">
      <w:pPr>
        <w:numPr>
          <w:ilvl w:val="0"/>
          <w:numId w:val="25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hanging="260"/>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The main task of the European Bank for Reconstruction and Development (EBRD) is to provide financial support for the Central and Eastern Europe countries’ economic transition. This institution doesn’t work in Ukraine.</w:t>
      </w:r>
    </w:p>
    <w:p w14:paraId="526BF163" w14:textId="77777777" w:rsidR="00B65769" w:rsidRPr="00B65769" w:rsidRDefault="00B65769"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jc w:val="both"/>
        <w:rPr>
          <w:rFonts w:eastAsia="Arial Unicode MS" w:cs="Arial Unicode MS"/>
          <w:sz w:val="28"/>
          <w:szCs w:val="28"/>
          <w:u w:color="000000"/>
          <w:bdr w:val="nil"/>
          <w:lang w:val="en-US"/>
        </w:rPr>
      </w:pPr>
    </w:p>
    <w:p w14:paraId="12183DDB" w14:textId="77777777" w:rsidR="00FB375D" w:rsidRPr="00B65769" w:rsidRDefault="00FB375D" w:rsidP="006F749C">
      <w:pPr>
        <w:numPr>
          <w:ilvl w:val="0"/>
          <w:numId w:val="252"/>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60" w:hanging="260"/>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According to the Treaty of European Union establishment, the European Parliament carries out the budget under its own responsibility and within the designated funds.</w:t>
      </w:r>
    </w:p>
    <w:p w14:paraId="4709BAB2" w14:textId="77777777" w:rsidR="00FB375D" w:rsidRPr="000F1D00" w:rsidRDefault="00FB375D" w:rsidP="00B65769">
      <w:pPr>
        <w:pStyle w:val="end2"/>
        <w:rPr>
          <w:rFonts w:eastAsia="Garamond" w:cs="Garamond"/>
          <w:u w:color="000000"/>
          <w:bdr w:val="nil"/>
          <w:lang w:eastAsia="en-US"/>
        </w:rPr>
      </w:pPr>
      <w:r w:rsidRPr="000F1D00">
        <w:rPr>
          <w:rFonts w:eastAsia="Arial Unicode MS"/>
          <w:u w:color="000000"/>
          <w:bdr w:val="nil"/>
          <w:lang w:eastAsia="en-US"/>
        </w:rPr>
        <w:lastRenderedPageBreak/>
        <w:t>Computation problems</w:t>
      </w:r>
    </w:p>
    <w:p w14:paraId="5B4C2B15" w14:textId="77777777" w:rsidR="00FB375D" w:rsidRPr="00B65769" w:rsidRDefault="00FB375D" w:rsidP="006F749C">
      <w:pPr>
        <w:numPr>
          <w:ilvl w:val="0"/>
          <w:numId w:val="253"/>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B65769">
        <w:rPr>
          <w:rFonts w:eastAsia="Arial Unicode MS" w:cs="Arial Unicode MS"/>
          <w:sz w:val="28"/>
          <w:szCs w:val="28"/>
          <w:u w:color="000000"/>
          <w:bdr w:val="nil"/>
          <w:lang w:val="en-US"/>
        </w:rPr>
        <w:t xml:space="preserve">Please, describe the main stages of the integration process in the EU. Expand the essence of the major integration associations and their corresponding forms of integration (free trade area, customs union, common market, economic and monetary union) in Europe, </w:t>
      </w:r>
      <w:r w:rsidR="00D52F97">
        <w:rPr>
          <w:rFonts w:eastAsia="Arial Unicode MS" w:cs="Arial Unicode MS"/>
          <w:sz w:val="28"/>
          <w:szCs w:val="28"/>
          <w:u w:color="000000"/>
          <w:bdr w:val="nil"/>
          <w:lang w:val="en-US"/>
        </w:rPr>
        <w:t xml:space="preserve">and </w:t>
      </w:r>
      <w:r w:rsidRPr="00B65769">
        <w:rPr>
          <w:rFonts w:eastAsia="Arial Unicode MS" w:cs="Arial Unicode MS"/>
          <w:sz w:val="28"/>
          <w:szCs w:val="28"/>
          <w:u w:color="000000"/>
          <w:bdr w:val="nil"/>
          <w:lang w:val="en-US"/>
        </w:rPr>
        <w:t>the purpose of their creation. Make conclusions.</w:t>
      </w:r>
    </w:p>
    <w:p w14:paraId="141DBE77" w14:textId="77777777" w:rsidR="00B65769" w:rsidRDefault="00B65769"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426"/>
        <w:jc w:val="both"/>
        <w:rPr>
          <w:rFonts w:eastAsia="Arial Unicode MS" w:cs="Arial Unicode MS"/>
          <w:sz w:val="28"/>
          <w:szCs w:val="28"/>
          <w:u w:color="000000"/>
          <w:bdr w:val="nil"/>
          <w:lang w:val="en-US"/>
        </w:rPr>
      </w:pPr>
    </w:p>
    <w:p w14:paraId="54209C0B" w14:textId="77777777" w:rsidR="00FB375D" w:rsidRDefault="00FB375D" w:rsidP="004C5C0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426"/>
        <w:jc w:val="both"/>
        <w:rPr>
          <w:rFonts w:eastAsia="Arial Unicode MS" w:cs="Arial Unicode MS"/>
          <w:sz w:val="28"/>
          <w:szCs w:val="28"/>
          <w:u w:color="000000"/>
          <w:bdr w:val="nil"/>
          <w:lang w:val="en-US"/>
        </w:rPr>
      </w:pPr>
      <w:r w:rsidRPr="000F1D00">
        <w:rPr>
          <w:rFonts w:eastAsia="Arial Unicode MS" w:cs="Arial Unicode MS"/>
          <w:sz w:val="28"/>
          <w:szCs w:val="28"/>
          <w:u w:color="000000"/>
          <w:bdr w:val="nil"/>
          <w:lang w:val="en-US"/>
        </w:rPr>
        <w:t>The results of this task should be represented as a matrix table</w:t>
      </w:r>
      <w:r w:rsidR="004C5C08">
        <w:rPr>
          <w:rFonts w:eastAsia="Arial Unicode MS" w:cs="Arial Unicode MS"/>
          <w:sz w:val="28"/>
          <w:szCs w:val="28"/>
          <w:u w:color="000000"/>
          <w:bdr w:val="nil"/>
          <w:lang w:val="en-US"/>
        </w:rPr>
        <w:t xml:space="preserve"> shown below</w:t>
      </w:r>
      <w:r w:rsidRPr="000F1D00">
        <w:rPr>
          <w:rFonts w:eastAsia="Arial Unicode MS" w:cs="Arial Unicode MS"/>
          <w:sz w:val="28"/>
          <w:szCs w:val="28"/>
          <w:u w:color="000000"/>
          <w:bdr w:val="nil"/>
          <w:lang w:val="en-US"/>
        </w:rPr>
        <w:t>, where vertically are presented forms of associations’ integration and horizontally – the characteristics of their operation activity (</w:t>
      </w:r>
      <w:r w:rsidR="00B65769">
        <w:rPr>
          <w:rFonts w:eastAsia="Arial Unicode MS" w:cs="Arial Unicode MS"/>
          <w:sz w:val="28"/>
          <w:szCs w:val="28"/>
          <w:u w:color="000000"/>
          <w:bdr w:val="nil"/>
          <w:lang w:val="en-US"/>
        </w:rPr>
        <w:t>see the box below</w:t>
      </w:r>
      <w:r w:rsidR="00A86578">
        <w:rPr>
          <w:rFonts w:eastAsia="Arial Unicode MS" w:cs="Arial Unicode MS"/>
          <w:sz w:val="28"/>
          <w:szCs w:val="28"/>
          <w:u w:color="000000"/>
          <w:bdr w:val="nil"/>
          <w:lang w:val="en-US"/>
        </w:rPr>
        <w:t>). T</w:t>
      </w:r>
      <w:r w:rsidRPr="000F1D00">
        <w:rPr>
          <w:rFonts w:eastAsia="Arial Unicode MS" w:cs="Arial Unicode MS"/>
          <w:sz w:val="28"/>
          <w:szCs w:val="28"/>
          <w:u w:color="000000"/>
          <w:bdr w:val="nil"/>
          <w:lang w:val="en-US"/>
        </w:rPr>
        <w:t xml:space="preserve">he evidence of the appropriate form of associations’ integration </w:t>
      </w:r>
      <w:r w:rsidR="00A86578" w:rsidRPr="000F1D00">
        <w:rPr>
          <w:rFonts w:eastAsia="Arial Unicode MS" w:cs="Arial Unicode MS"/>
          <w:sz w:val="28"/>
          <w:szCs w:val="28"/>
          <w:u w:color="000000"/>
          <w:bdr w:val="nil"/>
          <w:lang w:val="en-US"/>
        </w:rPr>
        <w:t xml:space="preserve">should be noted (+/-) </w:t>
      </w:r>
      <w:r w:rsidRPr="000F1D00">
        <w:rPr>
          <w:rFonts w:eastAsia="Arial Unicode MS" w:cs="Arial Unicode MS"/>
          <w:sz w:val="28"/>
          <w:szCs w:val="28"/>
          <w:u w:color="000000"/>
          <w:bdr w:val="nil"/>
          <w:lang w:val="en-US"/>
        </w:rPr>
        <w:t>in quadrants.</w:t>
      </w:r>
    </w:p>
    <w:p w14:paraId="020F3069" w14:textId="77777777" w:rsidR="004C5C08" w:rsidRDefault="004C5C08" w:rsidP="004C5C0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426"/>
        <w:jc w:val="both"/>
        <w:rPr>
          <w:rFonts w:eastAsia="Arial Unicode MS" w:cs="Arial Unicode MS"/>
          <w:sz w:val="28"/>
          <w:szCs w:val="28"/>
          <w:u w:color="000000"/>
          <w:bdr w:val="nil"/>
          <w:lang w:val="en-US"/>
        </w:rPr>
      </w:pPr>
    </w:p>
    <w:p w14:paraId="1BC0DA87"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center"/>
        <w:rPr>
          <w:rFonts w:eastAsia="Garamond" w:cs="Garamond"/>
          <w:sz w:val="28"/>
          <w:szCs w:val="28"/>
          <w:u w:color="000000"/>
          <w:bdr w:val="nil"/>
          <w:lang w:val="en-US" w:eastAsia="en-US"/>
        </w:rPr>
      </w:pPr>
      <w:r w:rsidRPr="000F1D00">
        <w:rPr>
          <w:rFonts w:eastAsia="Arial Unicode MS" w:cs="Arial Unicode MS"/>
          <w:b/>
          <w:bCs/>
          <w:sz w:val="28"/>
          <w:szCs w:val="28"/>
          <w:u w:color="000000"/>
          <w:bdr w:val="nil"/>
          <w:lang w:val="en-US" w:eastAsia="en-US"/>
        </w:rPr>
        <w:t>The characteristic of EU economic integration forms</w:t>
      </w:r>
    </w:p>
    <w:tbl>
      <w:tblPr>
        <w:tblW w:w="9654"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971"/>
        <w:gridCol w:w="1559"/>
        <w:gridCol w:w="1365"/>
        <w:gridCol w:w="1754"/>
        <w:gridCol w:w="1843"/>
        <w:gridCol w:w="1162"/>
      </w:tblGrid>
      <w:tr w:rsidR="00FB375D" w:rsidRPr="004C5C08" w14:paraId="7D1EB208" w14:textId="77777777" w:rsidTr="004C5C08">
        <w:trPr>
          <w:trHeight w:val="1374"/>
          <w:jc w:val="center"/>
        </w:trPr>
        <w:tc>
          <w:tcPr>
            <w:tcW w:w="1971"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508C313B" w14:textId="77777777" w:rsidR="00FB375D" w:rsidRPr="004C5C08" w:rsidRDefault="00FB375D" w:rsidP="00B65769">
            <w:pPr>
              <w:pBdr>
                <w:top w:val="nil"/>
                <w:left w:val="nil"/>
                <w:bottom w:val="nil"/>
                <w:right w:val="nil"/>
                <w:between w:val="nil"/>
                <w:bar w:val="nil"/>
              </w:pBdr>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 xml:space="preserve">Form of </w:t>
            </w:r>
          </w:p>
          <w:p w14:paraId="2D497A27" w14:textId="77777777" w:rsidR="00FB375D" w:rsidRPr="004C5C08" w:rsidRDefault="00FB375D" w:rsidP="00B65769">
            <w:pPr>
              <w:pBdr>
                <w:top w:val="nil"/>
                <w:left w:val="nil"/>
                <w:bottom w:val="nil"/>
                <w:right w:val="nil"/>
                <w:between w:val="nil"/>
                <w:bar w:val="nil"/>
              </w:pBdr>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economic</w:t>
            </w:r>
          </w:p>
          <w:p w14:paraId="76DFFC36" w14:textId="77777777" w:rsidR="00FB375D" w:rsidRPr="004C5C08" w:rsidRDefault="00FB375D" w:rsidP="00B65769">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4C5C08">
              <w:rPr>
                <w:rFonts w:eastAsia="Arial Unicode MS" w:cs="Arial Unicode MS"/>
                <w:bCs/>
                <w:sz w:val="28"/>
                <w:szCs w:val="28"/>
                <w:u w:color="000000"/>
                <w:bdr w:val="nil"/>
                <w:lang w:val="en-US" w:eastAsia="en-US"/>
              </w:rPr>
              <w:t>integration</w:t>
            </w:r>
          </w:p>
        </w:tc>
        <w:tc>
          <w:tcPr>
            <w:tcW w:w="155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09DB9FDA"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s>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Abolition</w:t>
            </w:r>
          </w:p>
          <w:p w14:paraId="499027D1"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s>
              <w:spacing w:line="240" w:lineRule="atLeast"/>
              <w:jc w:val="center"/>
              <w:rPr>
                <w:rFonts w:eastAsia="Arial Unicode MS" w:cs="Arial Unicode MS"/>
                <w:sz w:val="28"/>
                <w:szCs w:val="28"/>
                <w:u w:color="000000"/>
                <w:bdr w:val="nil"/>
                <w:lang w:val="en-US" w:eastAsia="en-US"/>
              </w:rPr>
            </w:pPr>
            <w:r w:rsidRPr="004C5C08">
              <w:rPr>
                <w:rFonts w:eastAsia="Arial Unicode MS" w:cs="Arial Unicode MS"/>
                <w:bCs/>
                <w:sz w:val="28"/>
                <w:szCs w:val="28"/>
                <w:u w:color="000000"/>
                <w:bdr w:val="nil"/>
                <w:lang w:val="en-US" w:eastAsia="en-US"/>
              </w:rPr>
              <w:t>of tariffs and quotas between the countries</w:t>
            </w:r>
          </w:p>
        </w:tc>
        <w:tc>
          <w:tcPr>
            <w:tcW w:w="136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3A544A8D"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s>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The common</w:t>
            </w:r>
          </w:p>
          <w:p w14:paraId="4EBCE3F4"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s>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trade</w:t>
            </w:r>
          </w:p>
          <w:p w14:paraId="3F81F496"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s>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policy with</w:t>
            </w:r>
          </w:p>
          <w:p w14:paraId="7790FC60"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s>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third</w:t>
            </w:r>
          </w:p>
          <w:p w14:paraId="102EDF92"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s>
              <w:spacing w:line="240" w:lineRule="atLeast"/>
              <w:jc w:val="center"/>
              <w:rPr>
                <w:rFonts w:eastAsia="Arial Unicode MS" w:cs="Arial Unicode MS"/>
                <w:sz w:val="28"/>
                <w:szCs w:val="28"/>
                <w:u w:color="000000"/>
                <w:bdr w:val="nil"/>
                <w:lang w:val="en-US" w:eastAsia="en-US"/>
              </w:rPr>
            </w:pPr>
            <w:r w:rsidRPr="004C5C08">
              <w:rPr>
                <w:rFonts w:eastAsia="Arial Unicode MS" w:cs="Arial Unicode MS"/>
                <w:bCs/>
                <w:sz w:val="28"/>
                <w:szCs w:val="28"/>
                <w:u w:color="000000"/>
                <w:bdr w:val="nil"/>
                <w:lang w:val="en-US" w:eastAsia="en-US"/>
              </w:rPr>
              <w:t>countries</w:t>
            </w:r>
          </w:p>
        </w:tc>
        <w:tc>
          <w:tcPr>
            <w:tcW w:w="1754"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71439EB5"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s>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Abolition</w:t>
            </w:r>
          </w:p>
          <w:p w14:paraId="4A2C6836"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s>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of restrictions according to</w:t>
            </w:r>
            <w:r w:rsidR="00A86578" w:rsidRPr="004C5C08">
              <w:rPr>
                <w:rFonts w:eastAsia="Arial Unicode MS" w:cs="Arial Unicode MS"/>
                <w:bCs/>
                <w:sz w:val="28"/>
                <w:szCs w:val="28"/>
                <w:u w:color="000000"/>
                <w:bdr w:val="nil"/>
                <w:lang w:val="en-US" w:eastAsia="en-US"/>
              </w:rPr>
              <w:t xml:space="preserve"> </w:t>
            </w:r>
          </w:p>
          <w:p w14:paraId="24A6AD05" w14:textId="77777777" w:rsidR="00FB375D" w:rsidRPr="004C5C08" w:rsidRDefault="00FB375D" w:rsidP="00A8657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s>
              <w:spacing w:line="240" w:lineRule="atLeast"/>
              <w:jc w:val="center"/>
              <w:rPr>
                <w:rFonts w:eastAsia="Arial Unicode MS" w:cs="Arial Unicode MS"/>
                <w:sz w:val="28"/>
                <w:szCs w:val="28"/>
                <w:u w:color="000000"/>
                <w:bdr w:val="nil"/>
                <w:lang w:val="en-US" w:eastAsia="en-US"/>
              </w:rPr>
            </w:pPr>
            <w:r w:rsidRPr="004C5C08">
              <w:rPr>
                <w:rFonts w:eastAsia="Arial Unicode MS" w:cs="Arial Unicode MS"/>
                <w:bCs/>
                <w:sz w:val="28"/>
                <w:szCs w:val="28"/>
                <w:u w:color="000000"/>
                <w:bdr w:val="nil"/>
                <w:lang w:val="en-US" w:eastAsia="en-US"/>
              </w:rPr>
              <w:t xml:space="preserve">the </w:t>
            </w:r>
            <w:r w:rsidR="00A86578" w:rsidRPr="004C5C08">
              <w:rPr>
                <w:rFonts w:eastAsia="Arial Unicode MS" w:cs="Arial Unicode MS"/>
                <w:bCs/>
                <w:sz w:val="28"/>
                <w:szCs w:val="28"/>
                <w:u w:color="000000"/>
                <w:bdr w:val="nil"/>
                <w:lang w:val="en-US" w:eastAsia="en-US"/>
              </w:rPr>
              <w:t>movement</w:t>
            </w:r>
            <w:r w:rsidR="00A86578">
              <w:rPr>
                <w:rFonts w:eastAsia="Arial Unicode MS" w:cs="Arial Unicode MS"/>
                <w:bCs/>
                <w:sz w:val="28"/>
                <w:szCs w:val="28"/>
                <w:u w:color="000000"/>
                <w:bdr w:val="nil"/>
                <w:lang w:val="en-US" w:eastAsia="en-US"/>
              </w:rPr>
              <w:t xml:space="preserve"> of</w:t>
            </w:r>
            <w:r w:rsidR="00A86578" w:rsidRPr="004C5C08">
              <w:rPr>
                <w:rFonts w:eastAsia="Arial Unicode MS" w:cs="Arial Unicode MS"/>
                <w:bCs/>
                <w:sz w:val="28"/>
                <w:szCs w:val="28"/>
                <w:u w:color="000000"/>
                <w:bdr w:val="nil"/>
                <w:lang w:val="en-US" w:eastAsia="en-US"/>
              </w:rPr>
              <w:t xml:space="preserve"> </w:t>
            </w:r>
            <w:r w:rsidRPr="004C5C08">
              <w:rPr>
                <w:rFonts w:eastAsia="Arial Unicode MS" w:cs="Arial Unicode MS"/>
                <w:bCs/>
                <w:sz w:val="28"/>
                <w:szCs w:val="28"/>
                <w:u w:color="000000"/>
                <w:bdr w:val="nil"/>
                <w:lang w:val="en-US" w:eastAsia="en-US"/>
              </w:rPr>
              <w:t xml:space="preserve">production factors </w:t>
            </w:r>
          </w:p>
        </w:tc>
        <w:tc>
          <w:tcPr>
            <w:tcW w:w="1843"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294864A5" w14:textId="77777777" w:rsidR="00FB375D" w:rsidRPr="004C5C08" w:rsidRDefault="00FB375D" w:rsidP="00B65769">
            <w:pPr>
              <w:pBdr>
                <w:top w:val="nil"/>
                <w:left w:val="nil"/>
                <w:bottom w:val="nil"/>
                <w:right w:val="nil"/>
                <w:between w:val="nil"/>
                <w:bar w:val="nil"/>
              </w:pBdr>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Harmonization</w:t>
            </w:r>
            <w:r w:rsidRPr="004C5C08">
              <w:rPr>
                <w:rFonts w:eastAsia="Arial Unicode MS" w:cs="Arial Unicode MS"/>
                <w:sz w:val="28"/>
                <w:szCs w:val="28"/>
                <w:u w:color="000000"/>
                <w:bdr w:val="nil"/>
                <w:lang w:val="en-US" w:eastAsia="en-US"/>
              </w:rPr>
              <w:t> </w:t>
            </w:r>
            <w:r w:rsidRPr="004C5C08">
              <w:rPr>
                <w:rFonts w:eastAsia="Garamond" w:cs="Garamond"/>
                <w:bCs/>
                <w:sz w:val="28"/>
                <w:szCs w:val="28"/>
                <w:u w:color="000000"/>
                <w:bdr w:val="nil"/>
                <w:lang w:val="en-US" w:eastAsia="en-US"/>
              </w:rPr>
              <w:br/>
            </w:r>
            <w:r w:rsidRPr="004C5C08">
              <w:rPr>
                <w:rFonts w:eastAsia="Arial Unicode MS" w:cs="Arial Unicode MS"/>
                <w:bCs/>
                <w:sz w:val="28"/>
                <w:szCs w:val="28"/>
                <w:u w:color="000000"/>
                <w:bdr w:val="nil"/>
                <w:lang w:val="en-US" w:eastAsia="en-US"/>
              </w:rPr>
              <w:t>of economic</w:t>
            </w:r>
          </w:p>
          <w:p w14:paraId="5949E0E3" w14:textId="77777777" w:rsidR="00FB375D" w:rsidRPr="004C5C08" w:rsidRDefault="00FB375D" w:rsidP="00B65769">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4C5C08">
              <w:rPr>
                <w:rFonts w:eastAsia="Arial Unicode MS" w:cs="Arial Unicode MS"/>
                <w:bCs/>
                <w:sz w:val="28"/>
                <w:szCs w:val="28"/>
                <w:u w:color="000000"/>
                <w:bdr w:val="nil"/>
                <w:lang w:val="en-US" w:eastAsia="en-US"/>
              </w:rPr>
              <w:t>policy and</w:t>
            </w:r>
            <w:r w:rsidRPr="004C5C08">
              <w:rPr>
                <w:rFonts w:eastAsia="Arial Unicode MS" w:cs="Arial Unicode MS"/>
                <w:sz w:val="28"/>
                <w:szCs w:val="28"/>
                <w:u w:color="000000"/>
                <w:bdr w:val="nil"/>
                <w:lang w:val="en-US" w:eastAsia="en-US"/>
              </w:rPr>
              <w:t> </w:t>
            </w:r>
            <w:r w:rsidRPr="004C5C08">
              <w:rPr>
                <w:rFonts w:eastAsia="Garamond" w:cs="Garamond"/>
                <w:bCs/>
                <w:sz w:val="28"/>
                <w:szCs w:val="28"/>
                <w:u w:color="000000"/>
                <w:bdr w:val="nil"/>
                <w:lang w:val="en-US" w:eastAsia="en-US"/>
              </w:rPr>
              <w:br/>
            </w:r>
            <w:r w:rsidRPr="004C5C08">
              <w:rPr>
                <w:rFonts w:eastAsia="Arial Unicode MS" w:cs="Arial Unicode MS"/>
                <w:bCs/>
                <w:sz w:val="28"/>
                <w:szCs w:val="28"/>
                <w:u w:color="000000"/>
                <w:bdr w:val="nil"/>
                <w:lang w:val="en-US" w:eastAsia="en-US"/>
              </w:rPr>
              <w:t>institutions</w:t>
            </w:r>
          </w:p>
        </w:tc>
        <w:tc>
          <w:tcPr>
            <w:tcW w:w="1162"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28" w:type="dxa"/>
              <w:bottom w:w="0" w:type="dxa"/>
              <w:right w:w="28" w:type="dxa"/>
            </w:tcMar>
            <w:vAlign w:val="center"/>
          </w:tcPr>
          <w:p w14:paraId="0245413B"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s>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The single</w:t>
            </w:r>
          </w:p>
          <w:p w14:paraId="35E422F7"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s>
              <w:spacing w:line="240" w:lineRule="atLeast"/>
              <w:jc w:val="center"/>
              <w:rPr>
                <w:rFonts w:eastAsia="Garamond" w:cs="Garamond"/>
                <w:sz w:val="28"/>
                <w:szCs w:val="28"/>
                <w:u w:color="000000"/>
                <w:bdr w:val="nil"/>
                <w:lang w:val="en-US" w:eastAsia="en-US"/>
              </w:rPr>
            </w:pPr>
            <w:r w:rsidRPr="004C5C08">
              <w:rPr>
                <w:rFonts w:eastAsia="Arial Unicode MS" w:cs="Arial Unicode MS"/>
                <w:bCs/>
                <w:sz w:val="28"/>
                <w:szCs w:val="28"/>
                <w:u w:color="000000"/>
                <w:bdr w:val="nil"/>
                <w:lang w:val="en-US" w:eastAsia="en-US"/>
              </w:rPr>
              <w:t>currency,</w:t>
            </w:r>
          </w:p>
          <w:p w14:paraId="0C1E2FDC" w14:textId="77777777" w:rsidR="00FB375D" w:rsidRPr="004C5C08"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s>
              <w:spacing w:line="240" w:lineRule="atLeast"/>
              <w:jc w:val="center"/>
              <w:rPr>
                <w:rFonts w:eastAsia="Arial Unicode MS" w:cs="Arial Unicode MS"/>
                <w:sz w:val="28"/>
                <w:szCs w:val="28"/>
                <w:u w:color="000000"/>
                <w:bdr w:val="nil"/>
                <w:lang w:val="en-US" w:eastAsia="en-US"/>
              </w:rPr>
            </w:pPr>
            <w:r w:rsidRPr="004C5C08">
              <w:rPr>
                <w:rFonts w:eastAsia="Arial Unicode MS" w:cs="Arial Unicode MS"/>
                <w:bCs/>
                <w:sz w:val="28"/>
                <w:szCs w:val="28"/>
                <w:u w:color="000000"/>
                <w:bdr w:val="nil"/>
                <w:lang w:val="en-US" w:eastAsia="en-US"/>
              </w:rPr>
              <w:t>single monetary policy</w:t>
            </w:r>
          </w:p>
        </w:tc>
      </w:tr>
      <w:tr w:rsidR="00FB375D" w:rsidRPr="004C5C08" w14:paraId="0A831472" w14:textId="77777777" w:rsidTr="004C5C08">
        <w:trPr>
          <w:trHeight w:val="280"/>
          <w:jc w:val="center"/>
        </w:trPr>
        <w:tc>
          <w:tcPr>
            <w:tcW w:w="1971"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tcPr>
          <w:p w14:paraId="1DA0D611" w14:textId="77777777" w:rsidR="00FB375D" w:rsidRPr="004C5C08" w:rsidRDefault="00FB375D" w:rsidP="00A86578">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r w:rsidRPr="004C5C08">
              <w:rPr>
                <w:rFonts w:eastAsia="Arial Unicode MS" w:cs="Arial Unicode MS"/>
                <w:sz w:val="28"/>
                <w:szCs w:val="28"/>
                <w:u w:color="000000"/>
                <w:bdr w:val="nil"/>
                <w:lang w:val="en-US" w:eastAsia="en-US"/>
              </w:rPr>
              <w:t xml:space="preserve">Free </w:t>
            </w:r>
            <w:r w:rsidR="00A86578">
              <w:rPr>
                <w:rFonts w:eastAsia="Arial Unicode MS" w:cs="Arial Unicode MS"/>
                <w:sz w:val="28"/>
                <w:szCs w:val="28"/>
                <w:u w:color="000000"/>
                <w:bdr w:val="nil"/>
                <w:lang w:val="en-US" w:eastAsia="en-US"/>
              </w:rPr>
              <w:t>T</w:t>
            </w:r>
            <w:r w:rsidRPr="004C5C08">
              <w:rPr>
                <w:rFonts w:eastAsia="Arial Unicode MS" w:cs="Arial Unicode MS"/>
                <w:sz w:val="28"/>
                <w:szCs w:val="28"/>
                <w:u w:color="000000"/>
                <w:bdr w:val="nil"/>
                <w:lang w:val="en-US" w:eastAsia="en-US"/>
              </w:rPr>
              <w:t xml:space="preserve">rade </w:t>
            </w:r>
            <w:r w:rsidR="00A86578">
              <w:rPr>
                <w:rFonts w:eastAsia="Arial Unicode MS" w:cs="Arial Unicode MS"/>
                <w:sz w:val="28"/>
                <w:szCs w:val="28"/>
                <w:u w:color="000000"/>
                <w:bdr w:val="nil"/>
                <w:lang w:val="en-US" w:eastAsia="en-US"/>
              </w:rPr>
              <w:t>Z</w:t>
            </w:r>
            <w:r w:rsidRPr="004C5C08">
              <w:rPr>
                <w:rFonts w:eastAsia="Arial Unicode MS" w:cs="Arial Unicode MS"/>
                <w:sz w:val="28"/>
                <w:szCs w:val="28"/>
                <w:u w:color="000000"/>
                <w:bdr w:val="nil"/>
                <w:lang w:val="en-US" w:eastAsia="en-US"/>
              </w:rPr>
              <w:t>one</w:t>
            </w:r>
          </w:p>
        </w:tc>
        <w:tc>
          <w:tcPr>
            <w:tcW w:w="1559"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3E411913"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365"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626BD201"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54"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5D6463FA"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843"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6F5C5212"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62"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43C57E17"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FB375D" w:rsidRPr="004C5C08" w14:paraId="10245D34" w14:textId="77777777" w:rsidTr="004C5C08">
        <w:trPr>
          <w:trHeight w:val="280"/>
          <w:jc w:val="center"/>
        </w:trPr>
        <w:tc>
          <w:tcPr>
            <w:tcW w:w="1971"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tcPr>
          <w:p w14:paraId="61B415F4"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r w:rsidRPr="004C5C08">
              <w:rPr>
                <w:rFonts w:eastAsia="Arial Unicode MS" w:cs="Arial Unicode MS"/>
                <w:sz w:val="28"/>
                <w:szCs w:val="28"/>
                <w:u w:color="000000"/>
                <w:bdr w:val="nil"/>
                <w:lang w:val="en-US" w:eastAsia="en-US"/>
              </w:rPr>
              <w:t>Custom Union</w:t>
            </w:r>
          </w:p>
        </w:tc>
        <w:tc>
          <w:tcPr>
            <w:tcW w:w="1559"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54BB28DA"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365"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2B1B0CA9"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54"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47C18496"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843"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66085C7C"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62"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69D0F3C3"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FB375D" w:rsidRPr="004C5C08" w14:paraId="617910FE" w14:textId="77777777" w:rsidTr="004C5C08">
        <w:trPr>
          <w:trHeight w:val="115"/>
          <w:jc w:val="center"/>
        </w:trPr>
        <w:tc>
          <w:tcPr>
            <w:tcW w:w="1971"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tcPr>
          <w:p w14:paraId="5E1853CE" w14:textId="77777777" w:rsidR="00FB375D" w:rsidRPr="004C5C08" w:rsidRDefault="00FB375D" w:rsidP="00A86578">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r w:rsidRPr="004C5C08">
              <w:rPr>
                <w:rFonts w:eastAsia="Arial Unicode MS" w:cs="Arial Unicode MS"/>
                <w:sz w:val="28"/>
                <w:szCs w:val="28"/>
                <w:u w:color="000000"/>
                <w:bdr w:val="nil"/>
                <w:lang w:val="en-US" w:eastAsia="en-US"/>
              </w:rPr>
              <w:t xml:space="preserve">Common </w:t>
            </w:r>
            <w:r w:rsidR="00A86578">
              <w:rPr>
                <w:rFonts w:eastAsia="Arial Unicode MS" w:cs="Arial Unicode MS"/>
                <w:sz w:val="28"/>
                <w:szCs w:val="28"/>
                <w:u w:color="000000"/>
                <w:bdr w:val="nil"/>
                <w:lang w:val="en-US" w:eastAsia="en-US"/>
              </w:rPr>
              <w:t>M</w:t>
            </w:r>
            <w:r w:rsidRPr="004C5C08">
              <w:rPr>
                <w:rFonts w:eastAsia="Arial Unicode MS" w:cs="Arial Unicode MS"/>
                <w:sz w:val="28"/>
                <w:szCs w:val="28"/>
                <w:u w:color="000000"/>
                <w:bdr w:val="nil"/>
                <w:lang w:val="en-US" w:eastAsia="en-US"/>
              </w:rPr>
              <w:t>arket</w:t>
            </w:r>
          </w:p>
        </w:tc>
        <w:tc>
          <w:tcPr>
            <w:tcW w:w="1559"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6653DD5A"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365"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3A5FA587"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54"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025E1219"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843"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6DE90BB1"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62"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20727180"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FB375D" w:rsidRPr="004C5C08" w14:paraId="5608705F" w14:textId="77777777" w:rsidTr="004C5C08">
        <w:trPr>
          <w:trHeight w:val="105"/>
          <w:jc w:val="center"/>
        </w:trPr>
        <w:tc>
          <w:tcPr>
            <w:tcW w:w="1971"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tcPr>
          <w:p w14:paraId="7C8DC3C6"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r w:rsidRPr="004C5C08">
              <w:rPr>
                <w:rFonts w:eastAsia="Arial Unicode MS" w:cs="Arial Unicode MS"/>
                <w:sz w:val="28"/>
                <w:szCs w:val="28"/>
                <w:u w:color="000000"/>
                <w:bdr w:val="nil"/>
                <w:lang w:val="en-US" w:eastAsia="en-US"/>
              </w:rPr>
              <w:t>Economic Union</w:t>
            </w:r>
          </w:p>
        </w:tc>
        <w:tc>
          <w:tcPr>
            <w:tcW w:w="1559"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659C8B86"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365"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41A1729D"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54"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69B6D031"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843"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255DDBDE"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62"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1CC894FD"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r w:rsidR="00FB375D" w:rsidRPr="004C5C08" w14:paraId="2F6CD026" w14:textId="77777777" w:rsidTr="004C5C08">
        <w:trPr>
          <w:trHeight w:val="280"/>
          <w:jc w:val="center"/>
        </w:trPr>
        <w:tc>
          <w:tcPr>
            <w:tcW w:w="1971"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tcPr>
          <w:p w14:paraId="1CCBCAC6" w14:textId="77777777" w:rsidR="00FB375D" w:rsidRPr="004C5C08" w:rsidRDefault="00FB375D" w:rsidP="00A86578">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r w:rsidRPr="004C5C08">
              <w:rPr>
                <w:rFonts w:eastAsia="Arial Unicode MS" w:cs="Arial Unicode MS"/>
                <w:sz w:val="28"/>
                <w:szCs w:val="28"/>
                <w:u w:color="000000"/>
                <w:bdr w:val="nil"/>
                <w:lang w:val="en-US" w:eastAsia="en-US"/>
              </w:rPr>
              <w:t xml:space="preserve">Monetary </w:t>
            </w:r>
            <w:r w:rsidR="00A86578">
              <w:rPr>
                <w:rFonts w:eastAsia="Arial Unicode MS" w:cs="Arial Unicode MS"/>
                <w:sz w:val="28"/>
                <w:szCs w:val="28"/>
                <w:u w:color="000000"/>
                <w:bdr w:val="nil"/>
                <w:lang w:val="en-US" w:eastAsia="en-US"/>
              </w:rPr>
              <w:t>U</w:t>
            </w:r>
            <w:r w:rsidRPr="004C5C08">
              <w:rPr>
                <w:rFonts w:eastAsia="Arial Unicode MS" w:cs="Arial Unicode MS"/>
                <w:sz w:val="28"/>
                <w:szCs w:val="28"/>
                <w:u w:color="000000"/>
                <w:bdr w:val="nil"/>
                <w:lang w:val="en-US" w:eastAsia="en-US"/>
              </w:rPr>
              <w:t>nion</w:t>
            </w:r>
          </w:p>
        </w:tc>
        <w:tc>
          <w:tcPr>
            <w:tcW w:w="1559"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512ED4BC"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365"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0CA42317"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754"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0FE2E753"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843"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0ED116F3"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62" w:type="dxa"/>
            <w:tcBorders>
              <w:top w:val="single" w:sz="8" w:space="0" w:color="000000"/>
              <w:left w:val="single" w:sz="8" w:space="0" w:color="000000"/>
              <w:bottom w:val="single" w:sz="8" w:space="0" w:color="000000"/>
              <w:right w:val="single" w:sz="8" w:space="0" w:color="000000"/>
            </w:tcBorders>
            <w:shd w:val="clear" w:color="auto" w:fill="FFFFFF"/>
            <w:tcMar>
              <w:top w:w="0" w:type="dxa"/>
              <w:left w:w="28" w:type="dxa"/>
              <w:bottom w:w="0" w:type="dxa"/>
              <w:right w:w="28" w:type="dxa"/>
            </w:tcMar>
            <w:vAlign w:val="center"/>
          </w:tcPr>
          <w:p w14:paraId="066A19CF" w14:textId="77777777" w:rsidR="00FB375D" w:rsidRPr="004C5C08"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bl>
    <w:p w14:paraId="7C7A1340" w14:textId="77777777" w:rsidR="00A86578" w:rsidRDefault="00A86578" w:rsidP="00A86578">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72416918" w14:textId="77777777" w:rsidR="00FB375D" w:rsidRDefault="00FB375D" w:rsidP="006F749C">
      <w:pPr>
        <w:numPr>
          <w:ilvl w:val="0"/>
          <w:numId w:val="253"/>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B65769">
        <w:rPr>
          <w:rFonts w:eastAsia="Arial Unicode MS" w:cs="Arial Unicode MS"/>
          <w:sz w:val="28"/>
          <w:szCs w:val="28"/>
          <w:u w:color="000000"/>
          <w:bdr w:val="nil"/>
          <w:lang w:val="en-US"/>
        </w:rPr>
        <w:t>Expand the essence and purpose of financial resources funds of the EU. Compare them with the existing system of funds in Ukraine. What are their positive and possibly negative aspects of activity?</w:t>
      </w:r>
      <w:r w:rsidR="007F249B">
        <w:rPr>
          <w:rFonts w:eastAsia="Arial Unicode MS" w:cs="Arial Unicode MS"/>
          <w:sz w:val="28"/>
          <w:szCs w:val="28"/>
          <w:u w:color="000000"/>
          <w:bdr w:val="nil"/>
          <w:lang w:val="en-US"/>
        </w:rPr>
        <w:t xml:space="preserve"> </w:t>
      </w:r>
      <w:r w:rsidRPr="00B65769">
        <w:rPr>
          <w:rFonts w:eastAsia="Arial Unicode MS" w:cs="Arial Unicode MS"/>
          <w:sz w:val="28"/>
          <w:szCs w:val="28"/>
          <w:u w:color="000000"/>
          <w:bdr w:val="nil"/>
          <w:lang w:val="en-US"/>
        </w:rPr>
        <w:t>Identify key priority</w:t>
      </w:r>
      <w:r w:rsidR="007F249B">
        <w:rPr>
          <w:rFonts w:eastAsia="Arial Unicode MS" w:cs="Arial Unicode MS"/>
          <w:sz w:val="28"/>
          <w:szCs w:val="28"/>
          <w:u w:color="000000"/>
          <w:bdr w:val="nil"/>
          <w:lang w:val="en-US"/>
        </w:rPr>
        <w:t xml:space="preserve"> </w:t>
      </w:r>
      <w:r w:rsidRPr="00B65769">
        <w:rPr>
          <w:rFonts w:eastAsia="Arial Unicode MS" w:cs="Arial Unicode MS"/>
          <w:sz w:val="28"/>
          <w:szCs w:val="28"/>
          <w:u w:color="000000"/>
          <w:bdr w:val="nil"/>
          <w:lang w:val="en-US"/>
        </w:rPr>
        <w:t>objectives of financing. Make conclusions.</w:t>
      </w:r>
    </w:p>
    <w:p w14:paraId="5269BEAB" w14:textId="77777777" w:rsidR="00B65769" w:rsidRPr="00B65769" w:rsidRDefault="00B65769"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3DC49730" w14:textId="77777777" w:rsidR="00FB375D" w:rsidRPr="00B65769"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Garamond" w:cs="Garamond"/>
          <w:sz w:val="28"/>
          <w:szCs w:val="28"/>
          <w:u w:color="000000"/>
          <w:bdr w:val="nil"/>
          <w:lang w:val="en-US" w:eastAsia="en-US"/>
        </w:rPr>
      </w:pPr>
      <w:r w:rsidRPr="00B65769">
        <w:rPr>
          <w:rFonts w:eastAsia="Arial Unicode MS" w:cs="Arial Unicode MS"/>
          <w:sz w:val="28"/>
          <w:szCs w:val="28"/>
          <w:u w:color="000000"/>
          <w:bdr w:val="nil"/>
          <w:lang w:val="en-US" w:eastAsia="en-US"/>
        </w:rPr>
        <w:t xml:space="preserve">In this task attention should be paid to the activities of the European Regional Development Fund, European Social Fund, European Fund of </w:t>
      </w:r>
      <w:r w:rsidR="00A86578">
        <w:rPr>
          <w:rFonts w:eastAsia="Arial Unicode MS" w:cs="Arial Unicode MS"/>
          <w:sz w:val="28"/>
          <w:szCs w:val="28"/>
          <w:u w:color="000000"/>
          <w:bdr w:val="nil"/>
          <w:lang w:val="en-US" w:eastAsia="en-US"/>
        </w:rPr>
        <w:t>G</w:t>
      </w:r>
      <w:r w:rsidRPr="00B65769">
        <w:rPr>
          <w:rFonts w:eastAsia="Arial Unicode MS" w:cs="Arial Unicode MS"/>
          <w:sz w:val="28"/>
          <w:szCs w:val="28"/>
          <w:u w:color="000000"/>
          <w:bdr w:val="nil"/>
          <w:lang w:val="en-US" w:eastAsia="en-US"/>
        </w:rPr>
        <w:t>overnance, the European Cohesion Fund</w:t>
      </w:r>
      <w:r w:rsidR="00A86578">
        <w:rPr>
          <w:rFonts w:eastAsia="Arial Unicode MS" w:cs="Arial Unicode MS"/>
          <w:sz w:val="28"/>
          <w:szCs w:val="28"/>
          <w:u w:color="000000"/>
          <w:bdr w:val="nil"/>
          <w:lang w:val="en-US" w:eastAsia="en-US"/>
        </w:rPr>
        <w:t>,</w:t>
      </w:r>
      <w:r w:rsidRPr="00B65769">
        <w:rPr>
          <w:rFonts w:eastAsia="Arial Unicode MS" w:cs="Arial Unicode MS"/>
          <w:sz w:val="28"/>
          <w:szCs w:val="28"/>
          <w:u w:color="000000"/>
          <w:bdr w:val="nil"/>
          <w:lang w:val="en-US" w:eastAsia="en-US"/>
        </w:rPr>
        <w:t xml:space="preserve"> and others. Their activities should be characterized by the following key criteria: the year of its creation, founders, formation and use of financial resources, assets</w:t>
      </w:r>
      <w:r w:rsidR="00A86578">
        <w:rPr>
          <w:rFonts w:eastAsia="Arial Unicode MS" w:cs="Arial Unicode MS"/>
          <w:sz w:val="28"/>
          <w:szCs w:val="28"/>
          <w:u w:color="000000"/>
          <w:bdr w:val="nil"/>
          <w:lang w:val="en-US" w:eastAsia="en-US"/>
        </w:rPr>
        <w:t>,</w:t>
      </w:r>
      <w:r w:rsidRPr="00B65769">
        <w:rPr>
          <w:rFonts w:eastAsia="Arial Unicode MS" w:cs="Arial Unicode MS"/>
          <w:sz w:val="28"/>
          <w:szCs w:val="28"/>
          <w:u w:color="000000"/>
          <w:bdr w:val="nil"/>
          <w:lang w:val="en-US" w:eastAsia="en-US"/>
        </w:rPr>
        <w:t xml:space="preserve"> and basic directions of their activity.</w:t>
      </w:r>
    </w:p>
    <w:p w14:paraId="39E8E9F3" w14:textId="77777777" w:rsidR="00FB375D" w:rsidRPr="00B65769"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Garamond" w:cs="Garamond"/>
          <w:b/>
          <w:bCs/>
          <w:i/>
          <w:iCs/>
          <w:sz w:val="28"/>
          <w:szCs w:val="28"/>
          <w:u w:color="000000"/>
          <w:bdr w:val="nil"/>
          <w:lang w:val="en-US" w:eastAsia="en-US"/>
        </w:rPr>
      </w:pPr>
    </w:p>
    <w:p w14:paraId="3763DD21" w14:textId="77777777" w:rsidR="00FB375D" w:rsidRDefault="00FB375D" w:rsidP="006F749C">
      <w:pPr>
        <w:numPr>
          <w:ilvl w:val="0"/>
          <w:numId w:val="253"/>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B65769">
        <w:rPr>
          <w:rFonts w:eastAsia="Arial Unicode MS" w:cs="Arial Unicode MS"/>
          <w:sz w:val="28"/>
          <w:szCs w:val="28"/>
          <w:u w:color="000000"/>
          <w:bdr w:val="nil"/>
          <w:lang w:val="en-US"/>
        </w:rPr>
        <w:t>Analyze the joining to the EU experience of Central and Eastern Europe countries. Identify the characteristics of their basic reforms in the economic and</w:t>
      </w:r>
      <w:r w:rsidR="00A86578">
        <w:rPr>
          <w:rFonts w:eastAsia="Arial Unicode MS" w:cs="Arial Unicode MS"/>
          <w:sz w:val="28"/>
          <w:szCs w:val="28"/>
          <w:u w:color="000000"/>
          <w:bdr w:val="nil"/>
          <w:lang w:val="en-US"/>
        </w:rPr>
        <w:t>,</w:t>
      </w:r>
      <w:r w:rsidRPr="00B65769">
        <w:rPr>
          <w:rFonts w:eastAsia="Arial Unicode MS" w:cs="Arial Unicode MS"/>
          <w:sz w:val="28"/>
          <w:szCs w:val="28"/>
          <w:u w:color="000000"/>
          <w:bdr w:val="nil"/>
          <w:lang w:val="en-US"/>
        </w:rPr>
        <w:t xml:space="preserve"> in particular</w:t>
      </w:r>
      <w:r w:rsidR="00A86578">
        <w:rPr>
          <w:rFonts w:eastAsia="Arial Unicode MS" w:cs="Arial Unicode MS"/>
          <w:sz w:val="28"/>
          <w:szCs w:val="28"/>
          <w:u w:color="000000"/>
          <w:bdr w:val="nil"/>
          <w:lang w:val="en-US"/>
        </w:rPr>
        <w:t>,</w:t>
      </w:r>
      <w:r w:rsidRPr="00B65769">
        <w:rPr>
          <w:rFonts w:eastAsia="Arial Unicode MS" w:cs="Arial Unicode MS"/>
          <w:sz w:val="28"/>
          <w:szCs w:val="28"/>
          <w:u w:color="000000"/>
          <w:bdr w:val="nil"/>
          <w:lang w:val="en-US"/>
        </w:rPr>
        <w:t xml:space="preserve"> financial sectors. Give positive and negative aspects associated with this process.</w:t>
      </w:r>
    </w:p>
    <w:p w14:paraId="0D270A44" w14:textId="77777777" w:rsidR="00B65769" w:rsidRPr="00B65769" w:rsidRDefault="00B65769"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left="284"/>
        <w:jc w:val="both"/>
        <w:rPr>
          <w:rFonts w:eastAsia="Arial Unicode MS" w:cs="Arial Unicode MS"/>
          <w:sz w:val="28"/>
          <w:szCs w:val="28"/>
          <w:u w:color="000000"/>
          <w:bdr w:val="nil"/>
          <w:lang w:val="en-US"/>
        </w:rPr>
      </w:pPr>
    </w:p>
    <w:p w14:paraId="2DC18CED" w14:textId="77777777" w:rsidR="00FB375D" w:rsidRPr="00B65769" w:rsidRDefault="00FB375D" w:rsidP="00B65769">
      <w:p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7"/>
        <w:jc w:val="both"/>
        <w:rPr>
          <w:rFonts w:eastAsia="Arial Unicode MS" w:cs="Arial Unicode MS"/>
          <w:sz w:val="28"/>
          <w:szCs w:val="28"/>
          <w:u w:color="000000"/>
          <w:bdr w:val="nil"/>
          <w:lang w:val="en-US" w:eastAsia="en-US"/>
        </w:rPr>
      </w:pPr>
      <w:r w:rsidRPr="00B65769">
        <w:rPr>
          <w:rFonts w:eastAsia="Arial Unicode MS" w:cs="Arial Unicode MS"/>
          <w:sz w:val="28"/>
          <w:szCs w:val="28"/>
          <w:u w:color="000000"/>
          <w:bdr w:val="nil"/>
          <w:lang w:val="en-US" w:eastAsia="en-US"/>
        </w:rPr>
        <w:t xml:space="preserve">Experience analysis of countries’ accession to the EU should be described in terms of its possible consideration for Ukraine. The analysis of the nearest neighbors </w:t>
      </w:r>
      <w:r w:rsidRPr="00B65769">
        <w:rPr>
          <w:rFonts w:eastAsia="Arial Unicode MS" w:cs="Arial Unicode MS"/>
          <w:sz w:val="28"/>
          <w:szCs w:val="28"/>
          <w:u w:color="000000"/>
          <w:bdr w:val="nil"/>
          <w:lang w:val="en-US" w:eastAsia="en-US"/>
        </w:rPr>
        <w:lastRenderedPageBreak/>
        <w:t>of Ukraine will help develop an effective mechanism for reforming the national economy on the path of European integration.</w:t>
      </w:r>
    </w:p>
    <w:p w14:paraId="754818BE" w14:textId="77777777" w:rsidR="00FB375D" w:rsidRPr="00B65769"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Garamond" w:cs="Garamond"/>
          <w:sz w:val="28"/>
          <w:szCs w:val="28"/>
          <w:u w:color="000000"/>
          <w:bdr w:val="nil"/>
          <w:lang w:val="en-US" w:eastAsia="en-US"/>
        </w:rPr>
      </w:pPr>
      <w:r w:rsidRPr="00B65769">
        <w:rPr>
          <w:rFonts w:eastAsia="Arial Unicode MS" w:cs="Arial Unicode MS"/>
          <w:sz w:val="28"/>
          <w:szCs w:val="28"/>
          <w:u w:color="000000"/>
          <w:bdr w:val="nil"/>
          <w:lang w:val="en-US" w:eastAsia="en-US"/>
        </w:rPr>
        <w:t xml:space="preserve">Results of the study should be summarized in the </w:t>
      </w:r>
      <w:r w:rsidR="00B65769">
        <w:rPr>
          <w:rFonts w:eastAsia="Arial Unicode MS" w:cs="Arial Unicode MS"/>
          <w:sz w:val="28"/>
          <w:szCs w:val="28"/>
          <w:u w:color="000000"/>
          <w:bdr w:val="nil"/>
          <w:lang w:val="en-US" w:eastAsia="en-US"/>
        </w:rPr>
        <w:t>box below</w:t>
      </w:r>
      <w:r w:rsidRPr="00B65769">
        <w:rPr>
          <w:rFonts w:eastAsia="Arial Unicode MS" w:cs="Arial Unicode MS"/>
          <w:sz w:val="28"/>
          <w:szCs w:val="28"/>
          <w:u w:color="000000"/>
          <w:bdr w:val="nil"/>
          <w:lang w:val="en-US" w:eastAsia="en-US"/>
        </w:rPr>
        <w:t xml:space="preserve">, where must be indicated </w:t>
      </w:r>
      <w:r w:rsidR="00A86578">
        <w:rPr>
          <w:rFonts w:eastAsia="Arial Unicode MS" w:cs="Arial Unicode MS"/>
          <w:sz w:val="28"/>
          <w:szCs w:val="28"/>
          <w:u w:color="000000"/>
          <w:bdr w:val="nil"/>
          <w:lang w:val="en-US" w:eastAsia="en-US"/>
        </w:rPr>
        <w:t xml:space="preserve">a </w:t>
      </w:r>
      <w:r w:rsidRPr="00B65769">
        <w:rPr>
          <w:rFonts w:eastAsia="Arial Unicode MS" w:cs="Arial Unicode MS"/>
          <w:sz w:val="28"/>
          <w:szCs w:val="28"/>
          <w:u w:color="000000"/>
          <w:bdr w:val="nil"/>
          <w:lang w:val="en-US" w:eastAsia="en-US"/>
        </w:rPr>
        <w:t>country,</w:t>
      </w:r>
      <w:r w:rsidR="00A86578">
        <w:rPr>
          <w:rFonts w:eastAsia="Arial Unicode MS" w:cs="Arial Unicode MS"/>
          <w:sz w:val="28"/>
          <w:szCs w:val="28"/>
          <w:u w:color="000000"/>
          <w:bdr w:val="nil"/>
          <w:lang w:val="en-US" w:eastAsia="en-US"/>
        </w:rPr>
        <w:t xml:space="preserve"> a</w:t>
      </w:r>
      <w:r w:rsidRPr="00B65769">
        <w:rPr>
          <w:rFonts w:eastAsia="Arial Unicode MS" w:cs="Arial Unicode MS"/>
          <w:sz w:val="28"/>
          <w:szCs w:val="28"/>
          <w:u w:color="000000"/>
          <w:bdr w:val="nil"/>
          <w:lang w:val="en-US" w:eastAsia="en-US"/>
        </w:rPr>
        <w:t xml:space="preserve"> year of its EU accession, major reforms that were carried out before and after joining the EU, and the consequences of their introduction. You should also pay attention to the basic macroeconomic indicators of the countries before joining the EU and after, including the budget deficit, the share of public debt relative to GDP, foreign direct investment, inflation</w:t>
      </w:r>
      <w:r w:rsidR="00A86578">
        <w:rPr>
          <w:rFonts w:eastAsia="Arial Unicode MS" w:cs="Arial Unicode MS"/>
          <w:sz w:val="28"/>
          <w:szCs w:val="28"/>
          <w:u w:color="000000"/>
          <w:bdr w:val="nil"/>
          <w:lang w:val="en-US" w:eastAsia="en-US"/>
        </w:rPr>
        <w:t>,</w:t>
      </w:r>
      <w:r w:rsidRPr="00B65769">
        <w:rPr>
          <w:rFonts w:eastAsia="Arial Unicode MS" w:cs="Arial Unicode MS"/>
          <w:sz w:val="28"/>
          <w:szCs w:val="28"/>
          <w:u w:color="000000"/>
          <w:bdr w:val="nil"/>
          <w:lang w:val="en-US" w:eastAsia="en-US"/>
        </w:rPr>
        <w:t xml:space="preserve"> and so on.</w:t>
      </w:r>
    </w:p>
    <w:p w14:paraId="69EA1726" w14:textId="77777777" w:rsidR="00B65769" w:rsidRDefault="00B65769"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center"/>
        <w:rPr>
          <w:rFonts w:eastAsia="Arial Unicode MS" w:cs="Arial Unicode MS"/>
          <w:b/>
          <w:bCs/>
          <w:sz w:val="28"/>
          <w:szCs w:val="28"/>
          <w:u w:color="000000"/>
          <w:bdr w:val="nil"/>
          <w:lang w:val="en-US" w:eastAsia="en-US"/>
        </w:rPr>
      </w:pPr>
    </w:p>
    <w:p w14:paraId="5486FCD2"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center"/>
        <w:rPr>
          <w:rFonts w:eastAsia="Garamond" w:cs="Garamond"/>
          <w:sz w:val="28"/>
          <w:szCs w:val="28"/>
          <w:u w:color="000000"/>
          <w:bdr w:val="nil"/>
          <w:lang w:val="en-US" w:eastAsia="en-US"/>
        </w:rPr>
      </w:pPr>
      <w:r w:rsidRPr="000F1D00">
        <w:rPr>
          <w:rFonts w:eastAsia="Arial Unicode MS" w:cs="Arial Unicode MS"/>
          <w:b/>
          <w:bCs/>
          <w:sz w:val="28"/>
          <w:szCs w:val="28"/>
          <w:u w:color="000000"/>
          <w:bdr w:val="nil"/>
          <w:lang w:val="en-US" w:eastAsia="en-US"/>
        </w:rPr>
        <w:t>The experience of Central and Eastern Europe</w:t>
      </w:r>
    </w:p>
    <w:p w14:paraId="599DF355"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center"/>
        <w:rPr>
          <w:rFonts w:eastAsia="Garamond" w:cs="Garamond"/>
          <w:sz w:val="28"/>
          <w:szCs w:val="28"/>
          <w:u w:color="000000"/>
          <w:bdr w:val="nil"/>
          <w:lang w:val="en-US" w:eastAsia="en-US"/>
        </w:rPr>
      </w:pPr>
      <w:r w:rsidRPr="000F1D00">
        <w:rPr>
          <w:rFonts w:eastAsia="Arial Unicode MS" w:cs="Arial Unicode MS"/>
          <w:b/>
          <w:bCs/>
          <w:sz w:val="28"/>
          <w:szCs w:val="28"/>
          <w:u w:color="000000"/>
          <w:bdr w:val="nil"/>
          <w:lang w:val="en-US" w:eastAsia="en-US"/>
        </w:rPr>
        <w:t>with EU accession</w:t>
      </w:r>
    </w:p>
    <w:tbl>
      <w:tblPr>
        <w:tblW w:w="957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54"/>
        <w:gridCol w:w="1238"/>
        <w:gridCol w:w="1256"/>
        <w:gridCol w:w="936"/>
        <w:gridCol w:w="1360"/>
        <w:gridCol w:w="1448"/>
        <w:gridCol w:w="1118"/>
        <w:gridCol w:w="1160"/>
      </w:tblGrid>
      <w:tr w:rsidR="00FB375D" w:rsidRPr="00B65769" w14:paraId="281CCC14" w14:textId="77777777" w:rsidTr="00B65769">
        <w:trPr>
          <w:trHeight w:val="817"/>
          <w:jc w:val="center"/>
        </w:trPr>
        <w:tc>
          <w:tcPr>
            <w:tcW w:w="1054" w:type="dxa"/>
            <w:vMerge w:val="restar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vAlign w:val="center"/>
          </w:tcPr>
          <w:p w14:paraId="1B8CE510" w14:textId="77777777" w:rsidR="00FB375D" w:rsidRPr="00B65769"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s>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Country</w:t>
            </w:r>
          </w:p>
        </w:tc>
        <w:tc>
          <w:tcPr>
            <w:tcW w:w="1238" w:type="dxa"/>
            <w:vMerge w:val="restar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vAlign w:val="center"/>
          </w:tcPr>
          <w:p w14:paraId="073C60D8" w14:textId="77777777" w:rsidR="00FB375D" w:rsidRPr="00B65769"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s>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Year of EU accession</w:t>
            </w:r>
          </w:p>
        </w:tc>
        <w:tc>
          <w:tcPr>
            <w:tcW w:w="5000" w:type="dxa"/>
            <w:gridSpan w:val="4"/>
            <w:tcBorders>
              <w:top w:val="single" w:sz="8" w:space="0" w:color="000000"/>
              <w:left w:val="single" w:sz="8" w:space="0" w:color="000000"/>
              <w:bottom w:val="single" w:sz="8"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325C03A1" w14:textId="77777777" w:rsidR="00FB375D" w:rsidRPr="00B65769" w:rsidRDefault="00FB375D" w:rsidP="00B65769">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 xml:space="preserve">The reforms that were made </w:t>
            </w:r>
            <w:r w:rsidRPr="00B65769">
              <w:rPr>
                <w:rFonts w:ascii="Times New Roman" w:eastAsia="Arial Unicode MS" w:hAnsi="Times New Roman"/>
                <w:sz w:val="28"/>
                <w:szCs w:val="28"/>
                <w:u w:color="000000"/>
                <w:bdr w:val="nil"/>
                <w:lang w:val="en-US" w:eastAsia="en-US"/>
              </w:rPr>
              <w:t>​​</w:t>
            </w:r>
            <w:r w:rsidRPr="00B65769">
              <w:rPr>
                <w:rFonts w:eastAsia="Arial Unicode MS" w:cs="Arial Unicode MS"/>
                <w:bCs/>
                <w:sz w:val="28"/>
                <w:szCs w:val="28"/>
                <w:u w:color="000000"/>
                <w:bdr w:val="nil"/>
                <w:lang w:val="en-US" w:eastAsia="en-US"/>
              </w:rPr>
              <w:t>before and after accession to EU according to economic sectors</w:t>
            </w:r>
          </w:p>
        </w:tc>
        <w:tc>
          <w:tcPr>
            <w:tcW w:w="2278"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0F040411" w14:textId="77777777" w:rsidR="00FB375D" w:rsidRPr="00B65769" w:rsidRDefault="00FB375D" w:rsidP="00B65769">
            <w:pPr>
              <w:pBdr>
                <w:top w:val="nil"/>
                <w:left w:val="nil"/>
                <w:bottom w:val="nil"/>
                <w:right w:val="nil"/>
                <w:between w:val="nil"/>
                <w:bar w:val="nil"/>
              </w:pBdr>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Effects of accession to EU</w:t>
            </w:r>
          </w:p>
        </w:tc>
      </w:tr>
      <w:tr w:rsidR="00FB375D" w:rsidRPr="00B65769" w14:paraId="1835585C" w14:textId="77777777" w:rsidTr="00B65769">
        <w:trPr>
          <w:trHeight w:val="137"/>
          <w:jc w:val="center"/>
        </w:trPr>
        <w:tc>
          <w:tcPr>
            <w:tcW w:w="1054" w:type="dxa"/>
            <w:vMerge/>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left w:w="28" w:type="dxa"/>
              <w:right w:w="28" w:type="dxa"/>
            </w:tcMar>
          </w:tcPr>
          <w:p w14:paraId="73CDF52D"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238" w:type="dxa"/>
            <w:vMerge/>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left w:w="28" w:type="dxa"/>
              <w:right w:w="28" w:type="dxa"/>
            </w:tcMar>
          </w:tcPr>
          <w:p w14:paraId="3F43BE5A"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256"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vAlign w:val="center"/>
          </w:tcPr>
          <w:p w14:paraId="24EA580A" w14:textId="77777777" w:rsidR="00FB375D" w:rsidRPr="00B65769"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s>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budget</w:t>
            </w:r>
          </w:p>
        </w:tc>
        <w:tc>
          <w:tcPr>
            <w:tcW w:w="936"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vAlign w:val="center"/>
          </w:tcPr>
          <w:p w14:paraId="4D404D33" w14:textId="77777777" w:rsidR="00FB375D" w:rsidRPr="00B65769"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s>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tax</w:t>
            </w:r>
          </w:p>
        </w:tc>
        <w:tc>
          <w:tcPr>
            <w:tcW w:w="1360"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vAlign w:val="center"/>
          </w:tcPr>
          <w:p w14:paraId="36DE8800" w14:textId="77777777" w:rsidR="00FB375D" w:rsidRPr="00B65769"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s>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customs</w:t>
            </w:r>
          </w:p>
        </w:tc>
        <w:tc>
          <w:tcPr>
            <w:tcW w:w="144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vAlign w:val="center"/>
          </w:tcPr>
          <w:p w14:paraId="1214461D" w14:textId="77777777" w:rsidR="00FB375D" w:rsidRPr="00B65769"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s>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monetary</w:t>
            </w:r>
          </w:p>
        </w:tc>
        <w:tc>
          <w:tcPr>
            <w:tcW w:w="1118" w:type="dxa"/>
            <w:tcBorders>
              <w:top w:val="single" w:sz="4"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vAlign w:val="center"/>
          </w:tcPr>
          <w:p w14:paraId="2ED27F68" w14:textId="77777777" w:rsidR="00FB375D" w:rsidRPr="00B65769"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positive</w:t>
            </w:r>
          </w:p>
        </w:tc>
        <w:tc>
          <w:tcPr>
            <w:tcW w:w="1160" w:type="dxa"/>
            <w:tcBorders>
              <w:top w:val="single" w:sz="4"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vAlign w:val="center"/>
          </w:tcPr>
          <w:p w14:paraId="5C6E8D73" w14:textId="77777777" w:rsidR="00FB375D" w:rsidRPr="00B65769" w:rsidRDefault="00FB375D" w:rsidP="00B65769">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s>
              <w:spacing w:line="240" w:lineRule="atLeast"/>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negative</w:t>
            </w:r>
          </w:p>
        </w:tc>
      </w:tr>
      <w:tr w:rsidR="00FB375D" w:rsidRPr="00B65769" w14:paraId="61BB5DA0" w14:textId="77777777" w:rsidTr="00B65769">
        <w:trPr>
          <w:trHeight w:val="280"/>
          <w:jc w:val="center"/>
        </w:trPr>
        <w:tc>
          <w:tcPr>
            <w:tcW w:w="105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518B8442"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238"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705DB2B6"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256"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559DEF0B"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936"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26E86DA9"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360"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3DC3BF1E"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447"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1987A9C2"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18"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04883260"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60"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78013782" w14:textId="77777777" w:rsidR="00FB375D" w:rsidRPr="00B65769" w:rsidRDefault="00FB375D" w:rsidP="00B65769">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bl>
    <w:p w14:paraId="6C03B670"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center"/>
        <w:rPr>
          <w:rFonts w:eastAsia="Garamond" w:cs="Garamond"/>
          <w:sz w:val="28"/>
          <w:szCs w:val="28"/>
          <w:u w:color="000000"/>
          <w:bdr w:val="nil"/>
          <w:lang w:val="en-US" w:eastAsia="en-US"/>
        </w:rPr>
      </w:pPr>
    </w:p>
    <w:p w14:paraId="657AD56E" w14:textId="77777777" w:rsidR="00FB375D" w:rsidRPr="00B65769" w:rsidRDefault="00FB375D" w:rsidP="006F749C">
      <w:pPr>
        <w:numPr>
          <w:ilvl w:val="0"/>
          <w:numId w:val="253"/>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B65769">
        <w:rPr>
          <w:rFonts w:eastAsia="Arial Unicode MS" w:cs="Arial Unicode MS"/>
          <w:sz w:val="28"/>
          <w:szCs w:val="28"/>
          <w:u w:color="000000"/>
          <w:bdr w:val="nil"/>
          <w:lang w:val="en-US"/>
        </w:rPr>
        <w:t>Compare the EU countries according to the volume of EU budget provided financial resources and received from the EU budget. Make conclusions.</w:t>
      </w:r>
    </w:p>
    <w:p w14:paraId="345AC8A2" w14:textId="77777777" w:rsidR="00D52F97" w:rsidRDefault="00D52F97"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Arial Unicode MS" w:cs="Arial Unicode MS"/>
          <w:sz w:val="28"/>
          <w:szCs w:val="28"/>
          <w:u w:color="000000"/>
          <w:bdr w:val="nil"/>
          <w:lang w:val="en-US" w:eastAsia="en-US"/>
        </w:rPr>
      </w:pPr>
    </w:p>
    <w:p w14:paraId="19CFC95E"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Garamond" w:cs="Garamond"/>
          <w:sz w:val="28"/>
          <w:szCs w:val="28"/>
          <w:u w:color="000000"/>
          <w:bdr w:val="nil"/>
          <w:lang w:val="en-US" w:eastAsia="en-US"/>
        </w:rPr>
      </w:pPr>
      <w:r w:rsidRPr="000F1D00">
        <w:rPr>
          <w:rFonts w:eastAsia="Arial Unicode MS" w:cs="Arial Unicode MS"/>
          <w:sz w:val="28"/>
          <w:szCs w:val="28"/>
          <w:u w:color="000000"/>
          <w:bdr w:val="nil"/>
          <w:lang w:val="en-US" w:eastAsia="en-US"/>
        </w:rPr>
        <w:t>Based on the official website of the European Union</w:t>
      </w:r>
      <w:r w:rsidR="00A86578">
        <w:rPr>
          <w:rFonts w:eastAsia="Arial Unicode MS" w:cs="Arial Unicode MS"/>
          <w:sz w:val="28"/>
          <w:szCs w:val="28"/>
          <w:u w:color="000000"/>
          <w:bdr w:val="nil"/>
          <w:lang w:val="en-US" w:eastAsia="en-US"/>
        </w:rPr>
        <w:t>,</w:t>
      </w:r>
      <w:r w:rsidRPr="000F1D00">
        <w:rPr>
          <w:rFonts w:eastAsia="Arial Unicode MS" w:cs="Arial Unicode MS"/>
          <w:sz w:val="28"/>
          <w:szCs w:val="28"/>
          <w:u w:color="000000"/>
          <w:bdr w:val="nil"/>
          <w:lang w:val="en-US" w:eastAsia="en-US"/>
        </w:rPr>
        <w:t xml:space="preserve"> fill the</w:t>
      </w:r>
      <w:r w:rsidR="00B65769">
        <w:rPr>
          <w:rFonts w:eastAsia="Arial Unicode MS" w:cs="Arial Unicode MS"/>
          <w:sz w:val="28"/>
          <w:szCs w:val="28"/>
          <w:u w:color="000000"/>
          <w:bdr w:val="nil"/>
          <w:lang w:val="en-US" w:eastAsia="en-US"/>
        </w:rPr>
        <w:t xml:space="preserve"> box below</w:t>
      </w:r>
      <w:r w:rsidRPr="000F1D00">
        <w:rPr>
          <w:rFonts w:eastAsia="Arial Unicode MS" w:cs="Arial Unicode MS"/>
          <w:sz w:val="28"/>
          <w:szCs w:val="28"/>
          <w:u w:color="000000"/>
          <w:bdr w:val="nil"/>
          <w:lang w:val="en-US" w:eastAsia="en-US"/>
        </w:rPr>
        <w:t xml:space="preserve">. It is also important to supplement the analysis of </w:t>
      </w:r>
      <w:r w:rsidR="00A86578">
        <w:rPr>
          <w:rFonts w:eastAsia="Arial Unicode MS" w:cs="Arial Unicode MS"/>
          <w:sz w:val="28"/>
          <w:szCs w:val="28"/>
          <w:u w:color="000000"/>
          <w:bdr w:val="nil"/>
          <w:lang w:val="en-US" w:eastAsia="en-US"/>
        </w:rPr>
        <w:t xml:space="preserve">the ranking </w:t>
      </w:r>
      <w:r w:rsidRPr="000F1D00">
        <w:rPr>
          <w:rFonts w:eastAsia="Arial Unicode MS" w:cs="Arial Unicode MS"/>
          <w:sz w:val="28"/>
          <w:szCs w:val="28"/>
          <w:u w:color="000000"/>
          <w:bdr w:val="nil"/>
          <w:lang w:val="en-US" w:eastAsia="en-US"/>
        </w:rPr>
        <w:t>EU countries in terms of paid and received funds from the budget in accordance with the volume of funds, the share of the budget</w:t>
      </w:r>
      <w:r w:rsidR="00A86578">
        <w:rPr>
          <w:rFonts w:eastAsia="Arial Unicode MS" w:cs="Arial Unicode MS"/>
          <w:sz w:val="28"/>
          <w:szCs w:val="28"/>
          <w:u w:color="000000"/>
          <w:bdr w:val="nil"/>
          <w:lang w:val="en-US" w:eastAsia="en-US"/>
        </w:rPr>
        <w:t>,</w:t>
      </w:r>
      <w:r w:rsidRPr="000F1D00">
        <w:rPr>
          <w:rFonts w:eastAsia="Arial Unicode MS" w:cs="Arial Unicode MS"/>
          <w:sz w:val="28"/>
          <w:szCs w:val="28"/>
          <w:u w:color="000000"/>
          <w:bdr w:val="nil"/>
          <w:lang w:val="en-US" w:eastAsia="en-US"/>
        </w:rPr>
        <w:t xml:space="preserve"> and the share of national income of the country. </w:t>
      </w:r>
      <w:r w:rsidR="00BE2376">
        <w:rPr>
          <w:rFonts w:eastAsia="Arial Unicode MS" w:cs="Arial Unicode MS"/>
          <w:sz w:val="28"/>
          <w:szCs w:val="28"/>
          <w:u w:color="000000"/>
          <w:bdr w:val="nil"/>
          <w:lang w:val="en-US" w:eastAsia="en-US"/>
        </w:rPr>
        <w:t>I</w:t>
      </w:r>
      <w:r w:rsidRPr="000F1D00">
        <w:rPr>
          <w:rFonts w:eastAsia="Arial Unicode MS" w:cs="Arial Unicode MS"/>
          <w:sz w:val="28"/>
          <w:szCs w:val="28"/>
          <w:u w:color="000000"/>
          <w:bdr w:val="nil"/>
          <w:lang w:val="en-US" w:eastAsia="en-US"/>
        </w:rPr>
        <w:t>identify key donors and recipients of the EU budget.</w:t>
      </w:r>
    </w:p>
    <w:p w14:paraId="536CDECF" w14:textId="77777777" w:rsidR="00B65769" w:rsidRDefault="00B65769"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center"/>
        <w:rPr>
          <w:rFonts w:eastAsia="Arial Unicode MS" w:cs="Arial Unicode MS"/>
          <w:b/>
          <w:bCs/>
          <w:sz w:val="28"/>
          <w:szCs w:val="28"/>
          <w:u w:color="000000"/>
          <w:bdr w:val="nil"/>
          <w:lang w:val="en-US" w:eastAsia="en-US"/>
        </w:rPr>
      </w:pPr>
    </w:p>
    <w:p w14:paraId="12AC85DE"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center"/>
        <w:rPr>
          <w:rFonts w:eastAsia="Garamond" w:cs="Garamond"/>
          <w:b/>
          <w:bCs/>
          <w:sz w:val="28"/>
          <w:szCs w:val="28"/>
          <w:u w:color="000000"/>
          <w:bdr w:val="nil"/>
          <w:lang w:val="en-US" w:eastAsia="en-US"/>
        </w:rPr>
      </w:pPr>
      <w:r w:rsidRPr="000F1D00">
        <w:rPr>
          <w:rFonts w:eastAsia="Arial Unicode MS" w:cs="Arial Unicode MS"/>
          <w:b/>
          <w:bCs/>
          <w:sz w:val="28"/>
          <w:szCs w:val="28"/>
          <w:u w:color="000000"/>
          <w:bdr w:val="nil"/>
          <w:lang w:val="en-US" w:eastAsia="en-US"/>
        </w:rPr>
        <w:t xml:space="preserve">Indicators of countries’ participation </w:t>
      </w:r>
    </w:p>
    <w:p w14:paraId="7F9840E1"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center"/>
        <w:rPr>
          <w:rFonts w:eastAsia="Garamond" w:cs="Garamond"/>
          <w:sz w:val="28"/>
          <w:szCs w:val="28"/>
          <w:u w:color="000000"/>
          <w:bdr w:val="nil"/>
          <w:lang w:val="en-US" w:eastAsia="en-US"/>
        </w:rPr>
      </w:pPr>
      <w:r w:rsidRPr="000F1D00">
        <w:rPr>
          <w:rFonts w:eastAsia="Arial Unicode MS" w:cs="Arial Unicode MS"/>
          <w:b/>
          <w:bCs/>
          <w:sz w:val="28"/>
          <w:szCs w:val="28"/>
          <w:u w:color="000000"/>
          <w:bdr w:val="nil"/>
          <w:lang w:val="en-US" w:eastAsia="en-US"/>
        </w:rPr>
        <w:t>in filling and using the EU budgetary resources in 2015</w:t>
      </w:r>
    </w:p>
    <w:tbl>
      <w:tblPr>
        <w:tblW w:w="957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220"/>
        <w:gridCol w:w="1092"/>
        <w:gridCol w:w="1560"/>
        <w:gridCol w:w="1417"/>
        <w:gridCol w:w="1276"/>
        <w:gridCol w:w="1601"/>
        <w:gridCol w:w="1404"/>
      </w:tblGrid>
      <w:tr w:rsidR="00FB375D" w:rsidRPr="000F1D00" w14:paraId="27DD32EC" w14:textId="77777777" w:rsidTr="00706B0E">
        <w:trPr>
          <w:trHeight w:val="270"/>
          <w:jc w:val="center"/>
        </w:trPr>
        <w:tc>
          <w:tcPr>
            <w:tcW w:w="1220"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0EFDF087" w14:textId="77777777" w:rsidR="00FB375D" w:rsidRPr="00B65769"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s>
              <w:spacing w:line="240" w:lineRule="atLeast"/>
              <w:ind w:left="100" w:right="100"/>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Country</w:t>
            </w:r>
          </w:p>
        </w:tc>
        <w:tc>
          <w:tcPr>
            <w:tcW w:w="8350" w:type="dxa"/>
            <w:gridSpan w:val="6"/>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3F011707" w14:textId="77777777" w:rsidR="00FB375D" w:rsidRPr="00B65769" w:rsidRDefault="00FB375D" w:rsidP="000F1D00">
            <w:pPr>
              <w:pBdr>
                <w:top w:val="nil"/>
                <w:left w:val="nil"/>
                <w:bottom w:val="nil"/>
                <w:right w:val="nil"/>
                <w:between w:val="nil"/>
                <w:bar w:val="nil"/>
              </w:pBdr>
              <w:spacing w:line="240" w:lineRule="atLeast"/>
              <w:ind w:left="100" w:right="100"/>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Indexes</w:t>
            </w:r>
          </w:p>
        </w:tc>
      </w:tr>
      <w:tr w:rsidR="00FB375D" w:rsidRPr="000F1D00" w14:paraId="3F42BF7D" w14:textId="77777777" w:rsidTr="00D52F97">
        <w:trPr>
          <w:trHeight w:val="270"/>
          <w:jc w:val="center"/>
        </w:trPr>
        <w:tc>
          <w:tcPr>
            <w:tcW w:w="1220"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left w:w="28" w:type="dxa"/>
              <w:right w:w="28" w:type="dxa"/>
            </w:tcMar>
          </w:tcPr>
          <w:p w14:paraId="6BF7573B" w14:textId="77777777" w:rsidR="00FB375D" w:rsidRPr="00B65769"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4069"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0ADA67ED" w14:textId="77777777" w:rsidR="00FB375D" w:rsidRPr="00B65769"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pacing w:line="240" w:lineRule="atLeast"/>
              <w:ind w:left="100" w:right="100"/>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Resources paid to the EU budget</w:t>
            </w:r>
          </w:p>
        </w:tc>
        <w:tc>
          <w:tcPr>
            <w:tcW w:w="4281"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77D19B61" w14:textId="77777777" w:rsidR="00FB375D" w:rsidRPr="00B65769"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s>
              <w:spacing w:line="240" w:lineRule="atLeast"/>
              <w:ind w:left="100" w:right="100"/>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 xml:space="preserve">Resources obtained from </w:t>
            </w:r>
            <w:r w:rsidR="00A86578">
              <w:rPr>
                <w:rFonts w:eastAsia="Arial Unicode MS" w:cs="Arial Unicode MS"/>
                <w:bCs/>
                <w:sz w:val="28"/>
                <w:szCs w:val="28"/>
                <w:u w:color="000000"/>
                <w:bdr w:val="nil"/>
                <w:lang w:val="en-US" w:eastAsia="en-US"/>
              </w:rPr>
              <w:t>the EU </w:t>
            </w:r>
            <w:r w:rsidRPr="00B65769">
              <w:rPr>
                <w:rFonts w:eastAsia="Arial Unicode MS" w:cs="Arial Unicode MS"/>
                <w:bCs/>
                <w:sz w:val="28"/>
                <w:szCs w:val="28"/>
                <w:u w:color="000000"/>
                <w:bdr w:val="nil"/>
                <w:lang w:val="en-US" w:eastAsia="en-US"/>
              </w:rPr>
              <w:t>budget</w:t>
            </w:r>
          </w:p>
        </w:tc>
      </w:tr>
      <w:tr w:rsidR="00FB375D" w:rsidRPr="000F1D00" w14:paraId="67F7218A" w14:textId="77777777" w:rsidTr="00D52F97">
        <w:trPr>
          <w:trHeight w:val="201"/>
          <w:jc w:val="center"/>
        </w:trPr>
        <w:tc>
          <w:tcPr>
            <w:tcW w:w="1220"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left w:w="28" w:type="dxa"/>
              <w:right w:w="28" w:type="dxa"/>
            </w:tcMar>
          </w:tcPr>
          <w:p w14:paraId="7EB903C9" w14:textId="77777777" w:rsidR="00FB375D" w:rsidRPr="00B65769"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0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1AD32D02" w14:textId="77777777" w:rsidR="00FB375D" w:rsidRPr="00B65769" w:rsidRDefault="00A86578"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s>
              <w:spacing w:line="240" w:lineRule="atLeast"/>
              <w:ind w:left="100" w:right="100"/>
              <w:jc w:val="center"/>
              <w:rPr>
                <w:rFonts w:eastAsia="Arial Unicode MS" w:cs="Arial Unicode MS"/>
                <w:sz w:val="28"/>
                <w:szCs w:val="28"/>
                <w:u w:color="000000"/>
                <w:bdr w:val="nil"/>
                <w:lang w:val="en-US" w:eastAsia="en-US"/>
              </w:rPr>
            </w:pPr>
            <w:r>
              <w:rPr>
                <w:rFonts w:eastAsia="Arial Unicode MS" w:cs="Arial Unicode MS"/>
                <w:bCs/>
                <w:sz w:val="28"/>
                <w:szCs w:val="28"/>
                <w:u w:color="000000"/>
                <w:bdr w:val="nil"/>
                <w:lang w:val="en-US" w:eastAsia="en-US"/>
              </w:rPr>
              <w:t>mln</w:t>
            </w:r>
            <w:r w:rsidR="00FB375D" w:rsidRPr="00B65769">
              <w:rPr>
                <w:rFonts w:eastAsia="Arial Unicode MS" w:cs="Arial Unicode MS"/>
                <w:bCs/>
                <w:sz w:val="28"/>
                <w:szCs w:val="28"/>
                <w:u w:color="000000"/>
                <w:bdr w:val="nil"/>
                <w:lang w:val="en-US" w:eastAsia="en-US"/>
              </w:rPr>
              <w:t xml:space="preserve"> euro</w:t>
            </w:r>
          </w:p>
        </w:tc>
        <w:tc>
          <w:tcPr>
            <w:tcW w:w="15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32726A49" w14:textId="77777777" w:rsidR="00FB375D" w:rsidRPr="00B65769" w:rsidRDefault="00FB375D" w:rsidP="000F1D00">
            <w:pPr>
              <w:pBdr>
                <w:top w:val="nil"/>
                <w:left w:val="nil"/>
                <w:bottom w:val="nil"/>
                <w:right w:val="nil"/>
                <w:between w:val="nil"/>
                <w:bar w:val="nil"/>
              </w:pBdr>
              <w:spacing w:line="240" w:lineRule="atLeast"/>
              <w:ind w:left="100" w:right="100"/>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 of the EU budget</w:t>
            </w:r>
          </w:p>
        </w:tc>
        <w:tc>
          <w:tcPr>
            <w:tcW w:w="141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6A645413" w14:textId="77777777" w:rsidR="00FB375D" w:rsidRPr="00B65769"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s>
              <w:spacing w:line="240" w:lineRule="atLeast"/>
              <w:ind w:left="100" w:right="100"/>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 of GNI countries</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25FA49C6" w14:textId="77777777" w:rsidR="00A86578" w:rsidRDefault="00FB375D" w:rsidP="00A8657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s>
              <w:spacing w:line="240" w:lineRule="atLeast"/>
              <w:ind w:left="100" w:right="100"/>
              <w:jc w:val="center"/>
              <w:rPr>
                <w:rFonts w:eastAsia="Arial Unicode MS" w:cs="Arial Unicode MS"/>
                <w:bCs/>
                <w:sz w:val="28"/>
                <w:szCs w:val="28"/>
                <w:u w:color="000000"/>
                <w:bdr w:val="nil"/>
                <w:lang w:val="en-US" w:eastAsia="en-US"/>
              </w:rPr>
            </w:pPr>
            <w:r w:rsidRPr="00B65769">
              <w:rPr>
                <w:rFonts w:eastAsia="Arial Unicode MS" w:cs="Arial Unicode MS"/>
                <w:bCs/>
                <w:sz w:val="28"/>
                <w:szCs w:val="28"/>
                <w:u w:color="000000"/>
                <w:bdr w:val="nil"/>
                <w:lang w:val="en-US" w:eastAsia="en-US"/>
              </w:rPr>
              <w:t>mln</w:t>
            </w:r>
          </w:p>
          <w:p w14:paraId="0DED07DA" w14:textId="77777777" w:rsidR="00FB375D" w:rsidRPr="00B65769" w:rsidRDefault="00FB375D" w:rsidP="00A86578">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s>
              <w:spacing w:line="240" w:lineRule="atLeast"/>
              <w:ind w:left="100" w:right="100"/>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euro</w:t>
            </w:r>
          </w:p>
        </w:tc>
        <w:tc>
          <w:tcPr>
            <w:tcW w:w="160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5952DE48" w14:textId="77777777" w:rsidR="00FB375D" w:rsidRPr="00B65769" w:rsidRDefault="00FB375D" w:rsidP="000F1D00">
            <w:pPr>
              <w:pBdr>
                <w:top w:val="nil"/>
                <w:left w:val="nil"/>
                <w:bottom w:val="nil"/>
                <w:right w:val="nil"/>
                <w:between w:val="nil"/>
                <w:bar w:val="nil"/>
              </w:pBdr>
              <w:spacing w:line="240" w:lineRule="atLeast"/>
              <w:ind w:left="100" w:right="100"/>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 of the EU budget</w:t>
            </w:r>
          </w:p>
        </w:tc>
        <w:tc>
          <w:tcPr>
            <w:tcW w:w="140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5B2650D0" w14:textId="77777777" w:rsidR="00FB375D" w:rsidRPr="00B65769"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s>
              <w:spacing w:line="240" w:lineRule="atLeast"/>
              <w:ind w:left="100" w:right="100"/>
              <w:jc w:val="center"/>
              <w:rPr>
                <w:rFonts w:eastAsia="Arial Unicode MS" w:cs="Arial Unicode MS"/>
                <w:sz w:val="28"/>
                <w:szCs w:val="28"/>
                <w:u w:color="000000"/>
                <w:bdr w:val="nil"/>
                <w:lang w:val="en-US" w:eastAsia="en-US"/>
              </w:rPr>
            </w:pPr>
            <w:r w:rsidRPr="00B65769">
              <w:rPr>
                <w:rFonts w:eastAsia="Arial Unicode MS" w:cs="Arial Unicode MS"/>
                <w:bCs/>
                <w:sz w:val="28"/>
                <w:szCs w:val="28"/>
                <w:u w:color="000000"/>
                <w:bdr w:val="nil"/>
                <w:lang w:val="en-US" w:eastAsia="en-US"/>
              </w:rPr>
              <w:t>% of GNI countries</w:t>
            </w:r>
          </w:p>
        </w:tc>
      </w:tr>
      <w:tr w:rsidR="00FB375D" w:rsidRPr="000F1D00" w14:paraId="2262DDA8" w14:textId="77777777" w:rsidTr="00D52F97">
        <w:trPr>
          <w:trHeight w:val="270"/>
          <w:jc w:val="center"/>
        </w:trPr>
        <w:tc>
          <w:tcPr>
            <w:tcW w:w="1220" w:type="dxa"/>
            <w:tcBorders>
              <w:top w:val="single" w:sz="4" w:space="0" w:color="000000"/>
              <w:left w:val="single" w:sz="4" w:space="0" w:color="000000"/>
              <w:bottom w:val="single" w:sz="4" w:space="0" w:color="000000"/>
              <w:right w:val="single" w:sz="4" w:space="0" w:color="000000"/>
            </w:tcBorders>
            <w:shd w:val="clear" w:color="auto" w:fill="FFFFFF"/>
            <w:tcMar>
              <w:top w:w="80" w:type="dxa"/>
              <w:left w:w="28" w:type="dxa"/>
              <w:bottom w:w="80" w:type="dxa"/>
              <w:right w:w="28" w:type="dxa"/>
            </w:tcMar>
          </w:tcPr>
          <w:p w14:paraId="0ECE8D24"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092" w:type="dxa"/>
            <w:tcBorders>
              <w:top w:val="single" w:sz="4" w:space="0" w:color="000000"/>
              <w:left w:val="single" w:sz="4" w:space="0" w:color="000000"/>
              <w:bottom w:val="single" w:sz="4" w:space="0" w:color="000000"/>
              <w:right w:val="single" w:sz="4" w:space="0" w:color="000000"/>
            </w:tcBorders>
            <w:shd w:val="clear" w:color="auto" w:fill="FFFFFF"/>
            <w:tcMar>
              <w:top w:w="80" w:type="dxa"/>
              <w:left w:w="28" w:type="dxa"/>
              <w:bottom w:w="80" w:type="dxa"/>
              <w:right w:w="28" w:type="dxa"/>
            </w:tcMar>
          </w:tcPr>
          <w:p w14:paraId="25096809"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560" w:type="dxa"/>
            <w:tcBorders>
              <w:top w:val="single" w:sz="4" w:space="0" w:color="000000"/>
              <w:left w:val="single" w:sz="4" w:space="0" w:color="000000"/>
              <w:bottom w:val="single" w:sz="4" w:space="0" w:color="000000"/>
              <w:right w:val="single" w:sz="4" w:space="0" w:color="000000"/>
            </w:tcBorders>
            <w:shd w:val="clear" w:color="auto" w:fill="FFFFFF"/>
            <w:tcMar>
              <w:top w:w="80" w:type="dxa"/>
              <w:left w:w="28" w:type="dxa"/>
              <w:bottom w:w="80" w:type="dxa"/>
              <w:right w:w="28" w:type="dxa"/>
            </w:tcMar>
          </w:tcPr>
          <w:p w14:paraId="74E8DF75"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417" w:type="dxa"/>
            <w:tcBorders>
              <w:top w:val="single" w:sz="4" w:space="0" w:color="000000"/>
              <w:left w:val="single" w:sz="4" w:space="0" w:color="000000"/>
              <w:bottom w:val="single" w:sz="4" w:space="0" w:color="000000"/>
              <w:right w:val="single" w:sz="4" w:space="0" w:color="000000"/>
            </w:tcBorders>
            <w:shd w:val="clear" w:color="auto" w:fill="FFFFFF"/>
            <w:tcMar>
              <w:top w:w="80" w:type="dxa"/>
              <w:left w:w="28" w:type="dxa"/>
              <w:bottom w:w="80" w:type="dxa"/>
              <w:right w:w="28" w:type="dxa"/>
            </w:tcMar>
          </w:tcPr>
          <w:p w14:paraId="24D18291"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80" w:type="dxa"/>
              <w:left w:w="28" w:type="dxa"/>
              <w:bottom w:w="80" w:type="dxa"/>
              <w:right w:w="28" w:type="dxa"/>
            </w:tcMar>
          </w:tcPr>
          <w:p w14:paraId="148AC048"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601" w:type="dxa"/>
            <w:tcBorders>
              <w:top w:val="single" w:sz="4" w:space="0" w:color="000000"/>
              <w:left w:val="single" w:sz="4" w:space="0" w:color="000000"/>
              <w:bottom w:val="single" w:sz="4" w:space="0" w:color="000000"/>
              <w:right w:val="single" w:sz="4" w:space="0" w:color="000000"/>
            </w:tcBorders>
            <w:shd w:val="clear" w:color="auto" w:fill="FFFFFF"/>
            <w:tcMar>
              <w:top w:w="80" w:type="dxa"/>
              <w:left w:w="28" w:type="dxa"/>
              <w:bottom w:w="80" w:type="dxa"/>
              <w:right w:w="28" w:type="dxa"/>
            </w:tcMar>
          </w:tcPr>
          <w:p w14:paraId="29FF4833"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404" w:type="dxa"/>
            <w:tcBorders>
              <w:top w:val="single" w:sz="4" w:space="0" w:color="000000"/>
              <w:left w:val="single" w:sz="4" w:space="0" w:color="000000"/>
              <w:bottom w:val="single" w:sz="4" w:space="0" w:color="000000"/>
              <w:right w:val="single" w:sz="4" w:space="0" w:color="000000"/>
            </w:tcBorders>
            <w:shd w:val="clear" w:color="auto" w:fill="FFFFFF"/>
            <w:tcMar>
              <w:top w:w="80" w:type="dxa"/>
              <w:left w:w="28" w:type="dxa"/>
              <w:bottom w:w="80" w:type="dxa"/>
              <w:right w:w="28" w:type="dxa"/>
            </w:tcMar>
          </w:tcPr>
          <w:p w14:paraId="41818F4A"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bl>
    <w:p w14:paraId="45DE2C5B"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center"/>
        <w:rPr>
          <w:rFonts w:eastAsia="Garamond" w:cs="Garamond"/>
          <w:sz w:val="28"/>
          <w:szCs w:val="28"/>
          <w:u w:color="000000"/>
          <w:bdr w:val="nil"/>
          <w:lang w:val="en-US" w:eastAsia="en-US"/>
        </w:rPr>
      </w:pPr>
    </w:p>
    <w:p w14:paraId="77586CFB" w14:textId="77777777" w:rsidR="00FB375D" w:rsidRPr="00706B0E" w:rsidRDefault="00FB375D" w:rsidP="006F749C">
      <w:pPr>
        <w:numPr>
          <w:ilvl w:val="0"/>
          <w:numId w:val="253"/>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706B0E">
        <w:rPr>
          <w:rFonts w:eastAsia="Arial Unicode MS" w:cs="Arial Unicode MS"/>
          <w:sz w:val="28"/>
          <w:szCs w:val="28"/>
          <w:u w:color="000000"/>
          <w:bdr w:val="nil"/>
          <w:lang w:val="en-US"/>
        </w:rPr>
        <w:t xml:space="preserve">Analyze the composition and structure of </w:t>
      </w:r>
      <w:r w:rsidR="001A5DA6">
        <w:rPr>
          <w:rFonts w:eastAsia="Arial Unicode MS" w:cs="Arial Unicode MS"/>
          <w:sz w:val="28"/>
          <w:szCs w:val="28"/>
          <w:u w:color="000000"/>
          <w:bdr w:val="nil"/>
          <w:lang w:val="en-US"/>
        </w:rPr>
        <w:t xml:space="preserve">the </w:t>
      </w:r>
      <w:r w:rsidRPr="00706B0E">
        <w:rPr>
          <w:rFonts w:eastAsia="Arial Unicode MS" w:cs="Arial Unicode MS"/>
          <w:sz w:val="28"/>
          <w:szCs w:val="28"/>
          <w:u w:color="000000"/>
          <w:bdr w:val="nil"/>
          <w:lang w:val="en-US"/>
        </w:rPr>
        <w:t>EU budget’s revenue and expenditure. Identify the priorities of main revenue and expenditure items. Investigate whether the expenditures of the EU budget meet the objectives of</w:t>
      </w:r>
      <w:r w:rsidR="00A86578">
        <w:rPr>
          <w:rFonts w:eastAsia="Arial Unicode MS" w:cs="Arial Unicode MS"/>
          <w:sz w:val="28"/>
          <w:szCs w:val="28"/>
          <w:u w:color="000000"/>
          <w:bdr w:val="nil"/>
          <w:lang w:val="en-US"/>
        </w:rPr>
        <w:t xml:space="preserve"> the</w:t>
      </w:r>
      <w:r w:rsidRPr="00706B0E">
        <w:rPr>
          <w:rFonts w:eastAsia="Arial Unicode MS" w:cs="Arial Unicode MS"/>
          <w:sz w:val="28"/>
          <w:szCs w:val="28"/>
          <w:u w:color="000000"/>
          <w:bdr w:val="nil"/>
          <w:lang w:val="en-US"/>
        </w:rPr>
        <w:t xml:space="preserve"> EU functioning. Suggest mechanisms to improve revenue and expenditure parts of the budget.</w:t>
      </w:r>
    </w:p>
    <w:p w14:paraId="1659D5CB"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Garamond" w:cs="Garamond"/>
          <w:sz w:val="28"/>
          <w:szCs w:val="28"/>
          <w:u w:color="000000"/>
          <w:bdr w:val="nil"/>
          <w:lang w:val="en-US" w:eastAsia="en-US"/>
        </w:rPr>
      </w:pPr>
      <w:r w:rsidRPr="000F1D00">
        <w:rPr>
          <w:rFonts w:eastAsia="Arial Unicode MS" w:cs="Arial Unicode MS"/>
          <w:sz w:val="28"/>
          <w:szCs w:val="28"/>
          <w:u w:color="000000"/>
          <w:bdr w:val="nil"/>
          <w:lang w:val="en-US" w:eastAsia="en-US"/>
        </w:rPr>
        <w:lastRenderedPageBreak/>
        <w:t xml:space="preserve">Carrying out this task is necessary to identify trends in revenues and expenditures. In this case, you should </w:t>
      </w:r>
      <w:r w:rsidR="00A86578" w:rsidRPr="000F1D00">
        <w:rPr>
          <w:rFonts w:eastAsia="Arial Unicode MS" w:cs="Arial Unicode MS"/>
          <w:sz w:val="28"/>
          <w:szCs w:val="28"/>
          <w:u w:color="000000"/>
          <w:bdr w:val="nil"/>
          <w:lang w:val="en-US" w:eastAsia="en-US"/>
        </w:rPr>
        <w:t xml:space="preserve">primarily </w:t>
      </w:r>
      <w:r w:rsidRPr="000F1D00">
        <w:rPr>
          <w:rFonts w:eastAsia="Arial Unicode MS" w:cs="Arial Unicode MS"/>
          <w:sz w:val="28"/>
          <w:szCs w:val="28"/>
          <w:u w:color="000000"/>
          <w:bdr w:val="nil"/>
          <w:lang w:val="en-US" w:eastAsia="en-US"/>
        </w:rPr>
        <w:t>explore the scope and structure of the revenue and expenditure of the budget in a few years.</w:t>
      </w:r>
    </w:p>
    <w:p w14:paraId="0F6B82EC"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Garamond" w:cs="Garamond"/>
          <w:b/>
          <w:bCs/>
          <w:i/>
          <w:iCs/>
          <w:sz w:val="28"/>
          <w:szCs w:val="28"/>
          <w:u w:color="000000"/>
          <w:bdr w:val="nil"/>
          <w:lang w:val="en-US" w:eastAsia="en-US"/>
        </w:rPr>
      </w:pPr>
    </w:p>
    <w:p w14:paraId="2A8A57BA" w14:textId="77777777" w:rsidR="00FB375D" w:rsidRPr="00706B0E" w:rsidRDefault="00FB375D" w:rsidP="006F749C">
      <w:pPr>
        <w:numPr>
          <w:ilvl w:val="0"/>
          <w:numId w:val="253"/>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706B0E">
        <w:rPr>
          <w:rFonts w:eastAsia="Arial Unicode MS" w:cs="Arial Unicode MS"/>
          <w:sz w:val="28"/>
          <w:szCs w:val="28"/>
          <w:u w:color="000000"/>
          <w:bdr w:val="nil"/>
          <w:lang w:val="en-US"/>
        </w:rPr>
        <w:t>Make a calendar of preparation, adoption</w:t>
      </w:r>
      <w:r w:rsidR="00A86578">
        <w:rPr>
          <w:rFonts w:eastAsia="Arial Unicode MS" w:cs="Arial Unicode MS"/>
          <w:sz w:val="28"/>
          <w:szCs w:val="28"/>
          <w:u w:color="000000"/>
          <w:bdr w:val="nil"/>
          <w:lang w:val="en-US"/>
        </w:rPr>
        <w:t>,</w:t>
      </w:r>
      <w:r w:rsidRPr="00706B0E">
        <w:rPr>
          <w:rFonts w:eastAsia="Arial Unicode MS" w:cs="Arial Unicode MS"/>
          <w:sz w:val="28"/>
          <w:szCs w:val="28"/>
          <w:u w:color="000000"/>
          <w:bdr w:val="nil"/>
          <w:lang w:val="en-US"/>
        </w:rPr>
        <w:t xml:space="preserve"> and implementation of the EU budget. Describe the main stages of the budget process. Define the role and place of all the EU institutions participating in the budget process.</w:t>
      </w:r>
    </w:p>
    <w:p w14:paraId="185432B2" w14:textId="77777777" w:rsidR="00D52F97" w:rsidRDefault="00D52F97"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Arial Unicode MS" w:cs="Arial Unicode MS"/>
          <w:sz w:val="28"/>
          <w:szCs w:val="28"/>
          <w:u w:color="000000"/>
          <w:bdr w:val="nil"/>
          <w:lang w:val="en-US" w:eastAsia="en-US"/>
        </w:rPr>
      </w:pPr>
    </w:p>
    <w:p w14:paraId="71298C03"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Garamond" w:cs="Garamond"/>
          <w:sz w:val="28"/>
          <w:szCs w:val="28"/>
          <w:u w:color="000000"/>
          <w:bdr w:val="nil"/>
          <w:lang w:val="en-US" w:eastAsia="en-US"/>
        </w:rPr>
      </w:pPr>
      <w:r w:rsidRPr="000F1D00">
        <w:rPr>
          <w:rFonts w:eastAsia="Arial Unicode MS" w:cs="Arial Unicode MS"/>
          <w:sz w:val="28"/>
          <w:szCs w:val="28"/>
          <w:u w:color="000000"/>
          <w:bdr w:val="nil"/>
          <w:lang w:val="en-US" w:eastAsia="en-US"/>
        </w:rPr>
        <w:t>The calendar of preparation, adoption</w:t>
      </w:r>
      <w:r w:rsidR="00D003A0">
        <w:rPr>
          <w:rFonts w:eastAsia="Arial Unicode MS" w:cs="Arial Unicode MS"/>
          <w:sz w:val="28"/>
          <w:szCs w:val="28"/>
          <w:u w:color="000000"/>
          <w:bdr w:val="nil"/>
          <w:lang w:val="en-US" w:eastAsia="en-US"/>
        </w:rPr>
        <w:t>,</w:t>
      </w:r>
      <w:r w:rsidRPr="000F1D00">
        <w:rPr>
          <w:rFonts w:eastAsia="Arial Unicode MS" w:cs="Arial Unicode MS"/>
          <w:sz w:val="28"/>
          <w:szCs w:val="28"/>
          <w:u w:color="000000"/>
          <w:bdr w:val="nil"/>
          <w:lang w:val="en-US" w:eastAsia="en-US"/>
        </w:rPr>
        <w:t xml:space="preserve"> and implementation of the EU budget should conclude the reference date of the budget process, the responsible authorities</w:t>
      </w:r>
      <w:r w:rsidR="00A86578">
        <w:rPr>
          <w:rFonts w:eastAsia="Arial Unicode MS" w:cs="Arial Unicode MS"/>
          <w:sz w:val="28"/>
          <w:szCs w:val="28"/>
          <w:u w:color="000000"/>
          <w:bdr w:val="nil"/>
          <w:lang w:val="en-US" w:eastAsia="en-US"/>
        </w:rPr>
        <w:t>,</w:t>
      </w:r>
      <w:r w:rsidRPr="000F1D00">
        <w:rPr>
          <w:rFonts w:eastAsia="Arial Unicode MS" w:cs="Arial Unicode MS"/>
          <w:sz w:val="28"/>
          <w:szCs w:val="28"/>
          <w:u w:color="000000"/>
          <w:bdr w:val="nil"/>
          <w:lang w:val="en-US" w:eastAsia="en-US"/>
        </w:rPr>
        <w:t xml:space="preserve"> and the content of its adoption stages (</w:t>
      </w:r>
      <w:r w:rsidR="00706B0E">
        <w:rPr>
          <w:rFonts w:eastAsia="Arial Unicode MS" w:cs="Arial Unicode MS"/>
          <w:sz w:val="28"/>
          <w:szCs w:val="28"/>
          <w:u w:color="000000"/>
          <w:bdr w:val="nil"/>
          <w:lang w:val="en-US" w:eastAsia="en-US"/>
        </w:rPr>
        <w:t>see the box below</w:t>
      </w:r>
      <w:r w:rsidRPr="000F1D00">
        <w:rPr>
          <w:rFonts w:eastAsia="Arial Unicode MS" w:cs="Arial Unicode MS"/>
          <w:sz w:val="28"/>
          <w:szCs w:val="28"/>
          <w:u w:color="000000"/>
          <w:bdr w:val="nil"/>
          <w:lang w:val="en-US" w:eastAsia="en-US"/>
        </w:rPr>
        <w:t>).</w:t>
      </w:r>
    </w:p>
    <w:p w14:paraId="61ED3584" w14:textId="77777777" w:rsidR="00706B0E" w:rsidRDefault="00706B0E"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center"/>
        <w:rPr>
          <w:rFonts w:eastAsia="Arial Unicode MS" w:cs="Arial Unicode MS"/>
          <w:b/>
          <w:bCs/>
          <w:sz w:val="28"/>
          <w:szCs w:val="28"/>
          <w:u w:color="000000"/>
          <w:bdr w:val="nil"/>
          <w:lang w:val="en-US" w:eastAsia="en-US"/>
        </w:rPr>
      </w:pPr>
    </w:p>
    <w:p w14:paraId="642AEE7B"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center"/>
        <w:rPr>
          <w:rFonts w:eastAsia="Garamond" w:cs="Garamond"/>
          <w:sz w:val="28"/>
          <w:szCs w:val="28"/>
          <w:u w:color="000000"/>
          <w:bdr w:val="nil"/>
          <w:lang w:val="en-US" w:eastAsia="en-US"/>
        </w:rPr>
      </w:pPr>
      <w:r w:rsidRPr="000F1D00">
        <w:rPr>
          <w:rFonts w:eastAsia="Arial Unicode MS" w:cs="Arial Unicode MS"/>
          <w:b/>
          <w:bCs/>
          <w:sz w:val="28"/>
          <w:szCs w:val="28"/>
          <w:u w:color="000000"/>
          <w:bdr w:val="nil"/>
          <w:lang w:val="en-US" w:eastAsia="en-US"/>
        </w:rPr>
        <w:t>Budgetary process calendars of the EU</w:t>
      </w:r>
    </w:p>
    <w:tbl>
      <w:tblPr>
        <w:tblW w:w="957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710"/>
        <w:gridCol w:w="2565"/>
        <w:gridCol w:w="2865"/>
        <w:gridCol w:w="2430"/>
      </w:tblGrid>
      <w:tr w:rsidR="00FB375D" w:rsidRPr="000F1D00" w14:paraId="66E7C457" w14:textId="77777777" w:rsidTr="00706B0E">
        <w:trPr>
          <w:trHeight w:val="800"/>
          <w:jc w:val="center"/>
        </w:trPr>
        <w:tc>
          <w:tcPr>
            <w:tcW w:w="1710"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80" w:type="dxa"/>
              <w:bottom w:w="80" w:type="dxa"/>
              <w:right w:w="180" w:type="dxa"/>
            </w:tcMar>
            <w:vAlign w:val="center"/>
          </w:tcPr>
          <w:p w14:paraId="5E0BC33E" w14:textId="77777777" w:rsidR="00FB375D" w:rsidRPr="00706B0E" w:rsidRDefault="00FB375D" w:rsidP="000F1D00">
            <w:pPr>
              <w:pBdr>
                <w:top w:val="nil"/>
                <w:left w:val="nil"/>
                <w:bottom w:val="nil"/>
                <w:right w:val="nil"/>
                <w:between w:val="nil"/>
                <w:bar w:val="nil"/>
              </w:pBdr>
              <w:spacing w:line="240" w:lineRule="atLeast"/>
              <w:ind w:left="100" w:right="100"/>
              <w:jc w:val="center"/>
              <w:rPr>
                <w:rFonts w:eastAsia="Arial Unicode MS" w:cs="Arial Unicode MS"/>
                <w:sz w:val="28"/>
                <w:szCs w:val="28"/>
                <w:u w:color="000000"/>
                <w:bdr w:val="nil"/>
                <w:lang w:val="en-US" w:eastAsia="en-US"/>
              </w:rPr>
            </w:pPr>
            <w:r w:rsidRPr="00706B0E">
              <w:rPr>
                <w:rFonts w:eastAsia="Arial Unicode MS" w:cs="Arial Unicode MS"/>
                <w:bCs/>
                <w:sz w:val="28"/>
                <w:szCs w:val="28"/>
                <w:u w:color="000000"/>
                <w:bdr w:val="nil"/>
                <w:lang w:val="en-US" w:eastAsia="en-US"/>
              </w:rPr>
              <w:t>B</w:t>
            </w:r>
            <w:r w:rsidRPr="00706B0E">
              <w:rPr>
                <w:rFonts w:eastAsia="Arial Unicode MS" w:cs="Arial Unicode MS"/>
                <w:bCs/>
                <w:sz w:val="28"/>
                <w:szCs w:val="28"/>
                <w:u w:color="000000"/>
                <w:bdr w:val="nil"/>
                <w:lang w:val="da-DK" w:eastAsia="en-US"/>
              </w:rPr>
              <w:t>udget process</w:t>
            </w:r>
            <w:r w:rsidRPr="00706B0E">
              <w:rPr>
                <w:rFonts w:eastAsia="Arial Unicode MS" w:cs="Arial Unicode MS"/>
                <w:bCs/>
                <w:sz w:val="28"/>
                <w:szCs w:val="28"/>
                <w:u w:color="000000"/>
                <w:bdr w:val="nil"/>
                <w:lang w:val="en-US" w:eastAsia="en-US"/>
              </w:rPr>
              <w:t xml:space="preserve"> stage</w:t>
            </w:r>
          </w:p>
        </w:tc>
        <w:tc>
          <w:tcPr>
            <w:tcW w:w="256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80" w:type="dxa"/>
              <w:bottom w:w="80" w:type="dxa"/>
              <w:right w:w="180" w:type="dxa"/>
            </w:tcMar>
            <w:vAlign w:val="center"/>
          </w:tcPr>
          <w:p w14:paraId="044E0435" w14:textId="77777777" w:rsidR="00FB375D" w:rsidRPr="00706B0E" w:rsidRDefault="00FB375D" w:rsidP="000F1D00">
            <w:pPr>
              <w:pBdr>
                <w:top w:val="nil"/>
                <w:left w:val="nil"/>
                <w:bottom w:val="nil"/>
                <w:right w:val="nil"/>
                <w:between w:val="nil"/>
                <w:bar w:val="nil"/>
              </w:pBdr>
              <w:spacing w:line="240" w:lineRule="atLeast"/>
              <w:ind w:left="100" w:right="100"/>
              <w:jc w:val="center"/>
              <w:rPr>
                <w:rFonts w:eastAsia="Arial Unicode MS" w:cs="Arial Unicode MS"/>
                <w:sz w:val="28"/>
                <w:szCs w:val="28"/>
                <w:u w:color="000000"/>
                <w:bdr w:val="nil"/>
                <w:lang w:val="en-US" w:eastAsia="en-US"/>
              </w:rPr>
            </w:pPr>
            <w:r w:rsidRPr="00706B0E">
              <w:rPr>
                <w:rFonts w:eastAsia="Arial Unicode MS" w:cs="Arial Unicode MS"/>
                <w:bCs/>
                <w:sz w:val="28"/>
                <w:szCs w:val="28"/>
                <w:u w:color="000000"/>
                <w:bdr w:val="nil"/>
                <w:lang w:val="en-US" w:eastAsia="en-US"/>
              </w:rPr>
              <w:t>Control date of execution phase of the budget process</w:t>
            </w:r>
          </w:p>
        </w:tc>
        <w:tc>
          <w:tcPr>
            <w:tcW w:w="286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80" w:type="dxa"/>
              <w:bottom w:w="80" w:type="dxa"/>
              <w:right w:w="180" w:type="dxa"/>
            </w:tcMar>
            <w:vAlign w:val="center"/>
          </w:tcPr>
          <w:p w14:paraId="40042132" w14:textId="77777777" w:rsidR="00FB375D" w:rsidRPr="00706B0E" w:rsidRDefault="00FB375D" w:rsidP="000F1D00">
            <w:pPr>
              <w:pBdr>
                <w:top w:val="nil"/>
                <w:left w:val="nil"/>
                <w:bottom w:val="nil"/>
                <w:right w:val="nil"/>
                <w:between w:val="nil"/>
                <w:bar w:val="nil"/>
              </w:pBdr>
              <w:spacing w:line="240" w:lineRule="atLeast"/>
              <w:ind w:left="100" w:right="100"/>
              <w:jc w:val="center"/>
              <w:rPr>
                <w:rFonts w:eastAsia="Arial Unicode MS" w:cs="Arial Unicode MS"/>
                <w:sz w:val="28"/>
                <w:szCs w:val="28"/>
                <w:u w:color="000000"/>
                <w:bdr w:val="nil"/>
                <w:lang w:val="en-US" w:eastAsia="en-US"/>
              </w:rPr>
            </w:pPr>
            <w:r w:rsidRPr="00706B0E">
              <w:rPr>
                <w:rFonts w:eastAsia="Arial Unicode MS" w:cs="Arial Unicode MS"/>
                <w:bCs/>
                <w:sz w:val="28"/>
                <w:szCs w:val="28"/>
                <w:u w:color="000000"/>
                <w:bdr w:val="nil"/>
                <w:lang w:val="en-US" w:eastAsia="en-US"/>
              </w:rPr>
              <w:t>Responsible authority for implementing the budget process</w:t>
            </w:r>
          </w:p>
        </w:tc>
        <w:tc>
          <w:tcPr>
            <w:tcW w:w="2430"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80" w:type="dxa"/>
              <w:bottom w:w="80" w:type="dxa"/>
              <w:right w:w="180" w:type="dxa"/>
            </w:tcMar>
            <w:vAlign w:val="center"/>
          </w:tcPr>
          <w:p w14:paraId="797A60FD" w14:textId="77777777" w:rsidR="00FB375D" w:rsidRPr="00706B0E" w:rsidRDefault="00FB375D" w:rsidP="000F1D00">
            <w:pPr>
              <w:pBdr>
                <w:top w:val="nil"/>
                <w:left w:val="nil"/>
                <w:bottom w:val="nil"/>
                <w:right w:val="nil"/>
                <w:between w:val="nil"/>
                <w:bar w:val="nil"/>
              </w:pBdr>
              <w:spacing w:line="240" w:lineRule="atLeast"/>
              <w:ind w:left="100" w:right="100"/>
              <w:jc w:val="center"/>
              <w:rPr>
                <w:rFonts w:eastAsia="Arial Unicode MS" w:cs="Arial Unicode MS"/>
                <w:sz w:val="28"/>
                <w:szCs w:val="28"/>
                <w:u w:color="000000"/>
                <w:bdr w:val="nil"/>
                <w:lang w:val="en-US" w:eastAsia="en-US"/>
              </w:rPr>
            </w:pPr>
            <w:r w:rsidRPr="00706B0E">
              <w:rPr>
                <w:rFonts w:eastAsia="Arial Unicode MS" w:cs="Arial Unicode MS"/>
                <w:bCs/>
                <w:sz w:val="28"/>
                <w:szCs w:val="28"/>
                <w:u w:color="000000"/>
                <w:bdr w:val="nil"/>
                <w:lang w:val="en-US" w:eastAsia="en-US"/>
              </w:rPr>
              <w:t>Characteristics of the budget process stage</w:t>
            </w:r>
          </w:p>
        </w:tc>
      </w:tr>
      <w:tr w:rsidR="00FB375D" w:rsidRPr="000F1D00" w14:paraId="50561DED" w14:textId="77777777" w:rsidTr="00FB375D">
        <w:trPr>
          <w:trHeight w:val="280"/>
          <w:jc w:val="center"/>
        </w:trPr>
        <w:tc>
          <w:tcPr>
            <w:tcW w:w="171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180" w:type="dxa"/>
            </w:tcMar>
          </w:tcPr>
          <w:p w14:paraId="6464362A"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2565"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180" w:type="dxa"/>
            </w:tcMar>
          </w:tcPr>
          <w:p w14:paraId="737ECD0F"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2865"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180" w:type="dxa"/>
            </w:tcMar>
          </w:tcPr>
          <w:p w14:paraId="628DB68D"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243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180" w:type="dxa"/>
            </w:tcMar>
          </w:tcPr>
          <w:p w14:paraId="71A13408" w14:textId="77777777" w:rsidR="00FB375D" w:rsidRPr="000F1D00" w:rsidRDefault="00FB375D" w:rsidP="000F1D00">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r>
    </w:tbl>
    <w:p w14:paraId="12C6F314"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center"/>
        <w:rPr>
          <w:rFonts w:eastAsia="Garamond" w:cs="Garamond"/>
          <w:sz w:val="28"/>
          <w:szCs w:val="28"/>
          <w:u w:color="000000"/>
          <w:bdr w:val="nil"/>
          <w:lang w:val="en-US" w:eastAsia="en-US"/>
        </w:rPr>
      </w:pPr>
    </w:p>
    <w:p w14:paraId="756801E8" w14:textId="77777777" w:rsidR="00FB375D" w:rsidRPr="00706B0E" w:rsidRDefault="00FB375D" w:rsidP="006F749C">
      <w:pPr>
        <w:numPr>
          <w:ilvl w:val="0"/>
          <w:numId w:val="253"/>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706B0E">
        <w:rPr>
          <w:rFonts w:eastAsia="Arial Unicode MS" w:cs="Arial Unicode MS"/>
          <w:sz w:val="28"/>
          <w:szCs w:val="28"/>
          <w:u w:color="000000"/>
          <w:bdr w:val="nil"/>
          <w:lang w:val="en-US"/>
        </w:rPr>
        <w:t>Describe an accordance with debt and economic policies of EU countries to convergence criteria. Identify the possible consequences for the stability of EU financial markets. Argue your position with financial and economic indicators. Compare the performance of the EU countries with Ukraine. Make conclusions.</w:t>
      </w:r>
      <w:r w:rsidR="00706B0E">
        <w:rPr>
          <w:rFonts w:eastAsia="Arial Unicode MS" w:cs="Arial Unicode MS"/>
          <w:sz w:val="28"/>
          <w:szCs w:val="28"/>
          <w:u w:color="000000"/>
          <w:bdr w:val="nil"/>
          <w:lang w:val="en-US"/>
        </w:rPr>
        <w:t xml:space="preserve"> </w:t>
      </w:r>
      <w:r w:rsidR="00A86578">
        <w:rPr>
          <w:rFonts w:eastAsia="Arial Unicode MS" w:cs="Arial Unicode MS"/>
          <w:sz w:val="28"/>
          <w:szCs w:val="28"/>
          <w:u w:color="000000"/>
          <w:bdr w:val="nil"/>
          <w:lang w:val="en-US"/>
        </w:rPr>
        <w:t>W</w:t>
      </w:r>
      <w:r w:rsidRPr="00706B0E">
        <w:rPr>
          <w:rFonts w:eastAsia="Arial Unicode MS" w:cs="Arial Unicode MS"/>
          <w:sz w:val="28"/>
          <w:szCs w:val="28"/>
          <w:u w:color="000000"/>
          <w:bdr w:val="nil"/>
          <w:lang w:val="en-US" w:eastAsia="en-US"/>
        </w:rPr>
        <w:t xml:space="preserve">e offer to analyze </w:t>
      </w:r>
      <w:r w:rsidR="00A86578">
        <w:rPr>
          <w:rFonts w:eastAsia="Arial Unicode MS" w:cs="Arial Unicode MS"/>
          <w:sz w:val="28"/>
          <w:szCs w:val="28"/>
          <w:u w:color="000000"/>
          <w:bdr w:val="nil"/>
          <w:lang w:val="en-US" w:eastAsia="en-US"/>
        </w:rPr>
        <w:t>the a</w:t>
      </w:r>
      <w:r w:rsidR="00A86578" w:rsidRPr="00706B0E">
        <w:rPr>
          <w:rFonts w:eastAsia="Arial Unicode MS" w:cs="Arial Unicode MS"/>
          <w:sz w:val="28"/>
          <w:szCs w:val="28"/>
          <w:u w:color="000000"/>
          <w:bdr w:val="nil"/>
          <w:lang w:val="en-US" w:eastAsia="en-US"/>
        </w:rPr>
        <w:t xml:space="preserve">ccordance with debt and economic policies of </w:t>
      </w:r>
      <w:r w:rsidR="00A86578">
        <w:rPr>
          <w:rFonts w:eastAsia="Arial Unicode MS" w:cs="Arial Unicode MS"/>
          <w:sz w:val="28"/>
          <w:szCs w:val="28"/>
          <w:u w:color="000000"/>
          <w:bdr w:val="nil"/>
          <w:lang w:val="en-US" w:eastAsia="en-US"/>
        </w:rPr>
        <w:t xml:space="preserve">the </w:t>
      </w:r>
      <w:r w:rsidR="00A86578" w:rsidRPr="00706B0E">
        <w:rPr>
          <w:rFonts w:eastAsia="Arial Unicode MS" w:cs="Arial Unicode MS"/>
          <w:sz w:val="28"/>
          <w:szCs w:val="28"/>
          <w:u w:color="000000"/>
          <w:bdr w:val="nil"/>
          <w:lang w:val="en-US" w:eastAsia="en-US"/>
        </w:rPr>
        <w:t xml:space="preserve">EU countries to convergence criteria </w:t>
      </w:r>
      <w:r w:rsidRPr="00706B0E">
        <w:rPr>
          <w:rFonts w:eastAsia="Arial Unicode MS" w:cs="Arial Unicode MS"/>
          <w:sz w:val="28"/>
          <w:szCs w:val="28"/>
          <w:u w:color="000000"/>
          <w:bdr w:val="nil"/>
          <w:lang w:val="en-US" w:eastAsia="en-US"/>
        </w:rPr>
        <w:t>in form of the</w:t>
      </w:r>
      <w:r w:rsidR="00A86578">
        <w:rPr>
          <w:rFonts w:eastAsia="Arial Unicode MS" w:cs="Arial Unicode MS"/>
          <w:sz w:val="28"/>
          <w:szCs w:val="28"/>
          <w:u w:color="000000"/>
          <w:bdr w:val="nil"/>
          <w:lang w:val="en-US" w:eastAsia="en-US"/>
        </w:rPr>
        <w:t xml:space="preserve"> </w:t>
      </w:r>
      <w:r w:rsidR="00706B0E">
        <w:rPr>
          <w:rFonts w:eastAsia="Arial Unicode MS" w:cs="Arial Unicode MS"/>
          <w:sz w:val="28"/>
          <w:szCs w:val="28"/>
          <w:u w:color="000000"/>
          <w:bdr w:val="nil"/>
          <w:lang w:val="en-US" w:eastAsia="en-US"/>
        </w:rPr>
        <w:t>box below</w:t>
      </w:r>
      <w:r w:rsidRPr="00706B0E">
        <w:rPr>
          <w:rFonts w:eastAsia="Arial Unicode MS" w:cs="Arial Unicode MS"/>
          <w:sz w:val="28"/>
          <w:szCs w:val="28"/>
          <w:u w:color="000000"/>
          <w:bdr w:val="nil"/>
          <w:lang w:val="en-US" w:eastAsia="en-US"/>
        </w:rPr>
        <w:t>.</w:t>
      </w:r>
    </w:p>
    <w:p w14:paraId="321E119A" w14:textId="77777777" w:rsidR="00706B0E" w:rsidRDefault="00706B0E"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center"/>
        <w:rPr>
          <w:rFonts w:eastAsia="Arial Unicode MS" w:cs="Arial Unicode MS"/>
          <w:b/>
          <w:bCs/>
          <w:sz w:val="28"/>
          <w:szCs w:val="28"/>
          <w:u w:color="000000"/>
          <w:bdr w:val="nil"/>
          <w:lang w:val="en-US" w:eastAsia="en-US"/>
        </w:rPr>
      </w:pPr>
    </w:p>
    <w:p w14:paraId="4695FF36"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center"/>
        <w:rPr>
          <w:rFonts w:eastAsia="Garamond" w:cs="Garamond"/>
          <w:b/>
          <w:bCs/>
          <w:sz w:val="28"/>
          <w:szCs w:val="28"/>
          <w:u w:color="000000"/>
          <w:bdr w:val="nil"/>
          <w:lang w:val="en-US" w:eastAsia="en-US"/>
        </w:rPr>
      </w:pPr>
      <w:r w:rsidRPr="000F1D00">
        <w:rPr>
          <w:rFonts w:eastAsia="Arial Unicode MS" w:cs="Arial Unicode MS"/>
          <w:b/>
          <w:bCs/>
          <w:sz w:val="28"/>
          <w:szCs w:val="28"/>
          <w:u w:color="000000"/>
          <w:bdr w:val="nil"/>
          <w:lang w:val="en-US" w:eastAsia="en-US"/>
        </w:rPr>
        <w:t>Accordance with debt and economic policies of EU countries to convergence criteria</w:t>
      </w:r>
    </w:p>
    <w:tbl>
      <w:tblPr>
        <w:tblW w:w="9654"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185"/>
        <w:gridCol w:w="4217"/>
        <w:gridCol w:w="1134"/>
        <w:gridCol w:w="992"/>
        <w:gridCol w:w="992"/>
        <w:gridCol w:w="1134"/>
      </w:tblGrid>
      <w:tr w:rsidR="00FB375D" w:rsidRPr="007F249B" w14:paraId="34117402" w14:textId="77777777" w:rsidTr="007F249B">
        <w:trPr>
          <w:trHeight w:val="281"/>
          <w:jc w:val="center"/>
        </w:trPr>
        <w:tc>
          <w:tcPr>
            <w:tcW w:w="1185" w:type="dxa"/>
            <w:vMerge w:val="restar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vAlign w:val="center"/>
          </w:tcPr>
          <w:p w14:paraId="036C924A" w14:textId="77777777" w:rsidR="00FB375D" w:rsidRPr="007F249B"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s>
              <w:spacing w:line="240" w:lineRule="atLeast"/>
              <w:jc w:val="center"/>
              <w:rPr>
                <w:rFonts w:eastAsia="Arial Unicode MS" w:cs="Arial Unicode MS"/>
                <w:sz w:val="28"/>
                <w:szCs w:val="28"/>
                <w:u w:color="000000"/>
                <w:bdr w:val="nil"/>
                <w:lang w:val="en-US" w:eastAsia="en-US"/>
              </w:rPr>
            </w:pPr>
            <w:r w:rsidRPr="007F249B">
              <w:rPr>
                <w:rFonts w:eastAsia="Arial Unicode MS" w:cs="Arial Unicode MS"/>
                <w:bCs/>
                <w:sz w:val="28"/>
                <w:szCs w:val="28"/>
                <w:u w:color="000000"/>
                <w:bdr w:val="nil"/>
                <w:lang w:val="en-US" w:eastAsia="en-US"/>
              </w:rPr>
              <w:t>Country</w:t>
            </w:r>
          </w:p>
        </w:tc>
        <w:tc>
          <w:tcPr>
            <w:tcW w:w="4217" w:type="dxa"/>
            <w:vMerge w:val="restart"/>
            <w:tcBorders>
              <w:top w:val="single" w:sz="8" w:space="0" w:color="000000"/>
              <w:left w:val="single" w:sz="8" w:space="0" w:color="000000"/>
              <w:bottom w:val="single" w:sz="8" w:space="0" w:color="000000"/>
              <w:right w:val="single" w:sz="4" w:space="0" w:color="000000"/>
            </w:tcBorders>
            <w:shd w:val="clear" w:color="auto" w:fill="D9D9D9" w:themeFill="background1" w:themeFillShade="D9"/>
            <w:tcMar>
              <w:top w:w="80" w:type="dxa"/>
              <w:left w:w="28" w:type="dxa"/>
              <w:bottom w:w="80" w:type="dxa"/>
              <w:right w:w="28" w:type="dxa"/>
            </w:tcMar>
            <w:vAlign w:val="center"/>
          </w:tcPr>
          <w:p w14:paraId="7734C1EC" w14:textId="77777777" w:rsidR="00FB375D" w:rsidRPr="007F249B"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s>
              <w:spacing w:line="240" w:lineRule="atLeast"/>
              <w:jc w:val="center"/>
              <w:rPr>
                <w:rFonts w:eastAsia="Arial Unicode MS" w:cs="Arial Unicode MS"/>
                <w:sz w:val="28"/>
                <w:szCs w:val="28"/>
                <w:u w:color="000000"/>
                <w:bdr w:val="nil"/>
                <w:lang w:val="en-US" w:eastAsia="en-US"/>
              </w:rPr>
            </w:pPr>
            <w:r w:rsidRPr="007F249B">
              <w:rPr>
                <w:rFonts w:eastAsia="Arial Unicode MS" w:cs="Arial Unicode MS"/>
                <w:bCs/>
                <w:sz w:val="28"/>
                <w:szCs w:val="28"/>
                <w:u w:color="000000"/>
                <w:bdr w:val="nil"/>
                <w:lang w:val="en-US" w:eastAsia="en-US"/>
              </w:rPr>
              <w:t>Indicator</w:t>
            </w:r>
          </w:p>
        </w:tc>
        <w:tc>
          <w:tcPr>
            <w:tcW w:w="4252"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28" w:type="dxa"/>
              <w:bottom w:w="80" w:type="dxa"/>
              <w:right w:w="28" w:type="dxa"/>
            </w:tcMar>
          </w:tcPr>
          <w:p w14:paraId="3E007EE9" w14:textId="77777777" w:rsidR="00FB375D" w:rsidRPr="007F249B"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F249B">
              <w:rPr>
                <w:rFonts w:eastAsia="Arial Unicode MS" w:cs="Arial Unicode MS"/>
                <w:bCs/>
                <w:sz w:val="28"/>
                <w:szCs w:val="28"/>
                <w:u w:color="000000"/>
                <w:bdr w:val="nil"/>
                <w:lang w:val="en-US" w:eastAsia="en-US"/>
              </w:rPr>
              <w:t>Deviations from the norm</w:t>
            </w:r>
            <w:r w:rsidRPr="007F249B">
              <w:rPr>
                <w:rFonts w:eastAsia="Arial Unicode MS" w:cs="Arial Unicode MS"/>
                <w:sz w:val="28"/>
                <w:szCs w:val="28"/>
                <w:u w:color="000000"/>
                <w:bdr w:val="nil"/>
                <w:lang w:val="en-US" w:eastAsia="en-US"/>
              </w:rPr>
              <w:t> </w:t>
            </w:r>
            <w:r w:rsidRPr="007F249B">
              <w:rPr>
                <w:rFonts w:eastAsia="Garamond" w:cs="Garamond"/>
                <w:bCs/>
                <w:sz w:val="28"/>
                <w:szCs w:val="28"/>
                <w:u w:color="000000"/>
                <w:bdr w:val="nil"/>
                <w:lang w:val="en-US" w:eastAsia="en-US"/>
              </w:rPr>
              <w:br/>
              <w:t>“</w:t>
            </w:r>
            <w:r w:rsidRPr="007F249B">
              <w:rPr>
                <w:rFonts w:eastAsia="Arial Unicode MS" w:cs="Arial Unicode MS"/>
                <w:bCs/>
                <w:sz w:val="28"/>
                <w:szCs w:val="28"/>
                <w:u w:color="000000"/>
                <w:bdr w:val="nil"/>
                <w:lang w:val="en-US" w:eastAsia="en-US"/>
              </w:rPr>
              <w:t>+”, “-”</w:t>
            </w:r>
          </w:p>
        </w:tc>
      </w:tr>
      <w:tr w:rsidR="00FB375D" w:rsidRPr="007F249B" w14:paraId="2CBE28A6" w14:textId="77777777" w:rsidTr="007F249B">
        <w:trPr>
          <w:cantSplit/>
          <w:trHeight w:val="742"/>
          <w:jc w:val="center"/>
        </w:trPr>
        <w:tc>
          <w:tcPr>
            <w:tcW w:w="1185" w:type="dxa"/>
            <w:vMerge/>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left w:w="28" w:type="dxa"/>
              <w:right w:w="28" w:type="dxa"/>
            </w:tcMar>
          </w:tcPr>
          <w:p w14:paraId="1C9C2F85" w14:textId="77777777" w:rsidR="00FB375D" w:rsidRPr="007F249B" w:rsidRDefault="00FB375D" w:rsidP="00706B0E">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4217" w:type="dxa"/>
            <w:vMerge/>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left w:w="28" w:type="dxa"/>
              <w:right w:w="28" w:type="dxa"/>
            </w:tcMar>
          </w:tcPr>
          <w:p w14:paraId="2ED7BD09" w14:textId="77777777" w:rsidR="00FB375D" w:rsidRPr="007F249B" w:rsidRDefault="00FB375D" w:rsidP="00706B0E">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1134" w:type="dxa"/>
            <w:tcBorders>
              <w:top w:val="single" w:sz="4"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textDirection w:val="btLr"/>
            <w:vAlign w:val="center"/>
          </w:tcPr>
          <w:p w14:paraId="257BD332" w14:textId="77777777" w:rsidR="00FB375D" w:rsidRPr="007F249B"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F249B">
              <w:rPr>
                <w:rFonts w:eastAsia="Arial Unicode MS" w:cs="Arial Unicode MS"/>
                <w:sz w:val="28"/>
                <w:szCs w:val="28"/>
                <w:u w:color="000000"/>
                <w:bdr w:val="nil"/>
                <w:lang w:val="en-US" w:eastAsia="en-US"/>
              </w:rPr>
              <w:t>1995</w:t>
            </w:r>
            <w:r w:rsidR="00A86578">
              <w:rPr>
                <w:rFonts w:eastAsia="Arial Unicode MS" w:cs="Arial Unicode MS"/>
                <w:sz w:val="28"/>
                <w:szCs w:val="28"/>
                <w:u w:color="000000"/>
                <w:bdr w:val="nil"/>
                <w:lang w:val="en-US" w:eastAsia="en-US"/>
              </w:rPr>
              <w:t>–</w:t>
            </w:r>
            <w:r w:rsidRPr="007F249B">
              <w:rPr>
                <w:rFonts w:eastAsia="Arial Unicode MS" w:cs="Arial Unicode MS"/>
                <w:sz w:val="28"/>
                <w:szCs w:val="28"/>
                <w:u w:color="000000"/>
                <w:bdr w:val="nil"/>
                <w:lang w:val="en-US" w:eastAsia="en-US"/>
              </w:rPr>
              <w:t>2000</w:t>
            </w:r>
          </w:p>
        </w:tc>
        <w:tc>
          <w:tcPr>
            <w:tcW w:w="992" w:type="dxa"/>
            <w:tcBorders>
              <w:top w:val="single" w:sz="4"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textDirection w:val="btLr"/>
            <w:vAlign w:val="center"/>
          </w:tcPr>
          <w:p w14:paraId="1A61DF3C" w14:textId="77777777" w:rsidR="00FB375D" w:rsidRPr="007F249B"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F249B">
              <w:rPr>
                <w:rFonts w:eastAsia="Arial Unicode MS" w:cs="Arial Unicode MS"/>
                <w:sz w:val="28"/>
                <w:szCs w:val="28"/>
                <w:u w:color="000000"/>
                <w:bdr w:val="nil"/>
                <w:lang w:val="en-US" w:eastAsia="en-US"/>
              </w:rPr>
              <w:t>2000</w:t>
            </w:r>
            <w:r w:rsidR="00A86578">
              <w:rPr>
                <w:rFonts w:eastAsia="Arial Unicode MS" w:cs="Arial Unicode MS"/>
                <w:sz w:val="28"/>
                <w:szCs w:val="28"/>
                <w:u w:color="000000"/>
                <w:bdr w:val="nil"/>
                <w:lang w:val="en-US" w:eastAsia="en-US"/>
              </w:rPr>
              <w:t>–</w:t>
            </w:r>
            <w:r w:rsidRPr="007F249B">
              <w:rPr>
                <w:rFonts w:eastAsia="Arial Unicode MS" w:cs="Arial Unicode MS"/>
                <w:sz w:val="28"/>
                <w:szCs w:val="28"/>
                <w:u w:color="000000"/>
                <w:bdr w:val="nil"/>
                <w:lang w:val="en-US" w:eastAsia="en-US"/>
              </w:rPr>
              <w:t>2005</w:t>
            </w:r>
          </w:p>
        </w:tc>
        <w:tc>
          <w:tcPr>
            <w:tcW w:w="992" w:type="dxa"/>
            <w:tcBorders>
              <w:top w:val="single" w:sz="4"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textDirection w:val="btLr"/>
            <w:vAlign w:val="center"/>
          </w:tcPr>
          <w:p w14:paraId="37BDD1DF" w14:textId="77777777" w:rsidR="00FB375D" w:rsidRPr="007F249B"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F249B">
              <w:rPr>
                <w:rFonts w:eastAsia="Arial Unicode MS" w:cs="Arial Unicode MS"/>
                <w:sz w:val="28"/>
                <w:szCs w:val="28"/>
                <w:u w:color="000000"/>
                <w:bdr w:val="nil"/>
                <w:lang w:val="en-US" w:eastAsia="en-US"/>
              </w:rPr>
              <w:t>2005</w:t>
            </w:r>
            <w:r w:rsidR="00A86578">
              <w:rPr>
                <w:rFonts w:eastAsia="Arial Unicode MS" w:cs="Arial Unicode MS"/>
                <w:sz w:val="28"/>
                <w:szCs w:val="28"/>
                <w:u w:color="000000"/>
                <w:bdr w:val="nil"/>
                <w:lang w:val="en-US" w:eastAsia="en-US"/>
              </w:rPr>
              <w:t>–</w:t>
            </w:r>
            <w:r w:rsidRPr="007F249B">
              <w:rPr>
                <w:rFonts w:eastAsia="Arial Unicode MS" w:cs="Arial Unicode MS"/>
                <w:sz w:val="28"/>
                <w:szCs w:val="28"/>
                <w:u w:color="000000"/>
                <w:bdr w:val="nil"/>
                <w:lang w:val="en-US" w:eastAsia="en-US"/>
              </w:rPr>
              <w:t>2010</w:t>
            </w:r>
          </w:p>
        </w:tc>
        <w:tc>
          <w:tcPr>
            <w:tcW w:w="1134" w:type="dxa"/>
            <w:tcBorders>
              <w:top w:val="single" w:sz="4" w:space="0" w:color="000000"/>
              <w:left w:val="single" w:sz="8" w:space="0" w:color="000000"/>
              <w:bottom w:val="single" w:sz="8" w:space="0" w:color="000000"/>
              <w:right w:val="single" w:sz="8" w:space="0" w:color="000000"/>
            </w:tcBorders>
            <w:shd w:val="clear" w:color="auto" w:fill="D9D9D9" w:themeFill="background1" w:themeFillShade="D9"/>
            <w:tcMar>
              <w:top w:w="80" w:type="dxa"/>
              <w:left w:w="28" w:type="dxa"/>
              <w:bottom w:w="80" w:type="dxa"/>
              <w:right w:w="28" w:type="dxa"/>
            </w:tcMar>
            <w:textDirection w:val="btLr"/>
            <w:vAlign w:val="center"/>
          </w:tcPr>
          <w:p w14:paraId="08292006" w14:textId="77777777" w:rsidR="00FB375D" w:rsidRPr="007F249B"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F249B">
              <w:rPr>
                <w:rFonts w:eastAsia="Arial Unicode MS" w:cs="Arial Unicode MS"/>
                <w:sz w:val="28"/>
                <w:szCs w:val="28"/>
                <w:u w:color="000000"/>
                <w:bdr w:val="nil"/>
                <w:lang w:val="en-US" w:eastAsia="en-US"/>
              </w:rPr>
              <w:t>2011</w:t>
            </w:r>
            <w:r w:rsidR="00A86578">
              <w:rPr>
                <w:rFonts w:eastAsia="Arial Unicode MS" w:cs="Arial Unicode MS"/>
                <w:sz w:val="28"/>
                <w:szCs w:val="28"/>
                <w:u w:color="000000"/>
                <w:bdr w:val="nil"/>
                <w:lang w:val="en-US" w:eastAsia="en-US"/>
              </w:rPr>
              <w:t>–</w:t>
            </w:r>
            <w:r w:rsidRPr="007F249B">
              <w:rPr>
                <w:rFonts w:eastAsia="Arial Unicode MS" w:cs="Arial Unicode MS"/>
                <w:sz w:val="28"/>
                <w:szCs w:val="28"/>
                <w:u w:color="000000"/>
                <w:bdr w:val="nil"/>
                <w:lang w:val="en-US" w:eastAsia="en-US"/>
              </w:rPr>
              <w:t>2015</w:t>
            </w:r>
          </w:p>
        </w:tc>
      </w:tr>
      <w:tr w:rsidR="00FB375D" w:rsidRPr="00706B0E" w14:paraId="2B0DF289" w14:textId="77777777" w:rsidTr="00706B0E">
        <w:trPr>
          <w:trHeight w:val="540"/>
          <w:jc w:val="center"/>
        </w:trPr>
        <w:tc>
          <w:tcPr>
            <w:tcW w:w="1185" w:type="dxa"/>
            <w:vMerge w:val="restart"/>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162A3110"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Germany</w:t>
            </w:r>
          </w:p>
        </w:tc>
        <w:tc>
          <w:tcPr>
            <w:tcW w:w="4217"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6BA8F499"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State budget deficit to GDP ratio, %</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4BBC7DDA"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Garamond" w:cs="Garamond"/>
                <w:sz w:val="28"/>
                <w:szCs w:val="28"/>
                <w:u w:color="000000"/>
                <w:bdr w:val="nil"/>
                <w:lang w:val="en-US" w:eastAsia="en-US"/>
              </w:rPr>
            </w:pPr>
            <w:r w:rsidRPr="00706B0E">
              <w:rPr>
                <w:rFonts w:eastAsia="Arial Unicode MS" w:cs="Arial Unicode MS"/>
                <w:sz w:val="28"/>
                <w:szCs w:val="28"/>
                <w:u w:color="000000"/>
                <w:bdr w:val="nil"/>
                <w:lang w:val="en-US" w:eastAsia="en-US"/>
              </w:rPr>
              <w:t>1.5</w:t>
            </w:r>
          </w:p>
          <w:p w14:paraId="1935002B"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(-1.5)</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215441A6"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Garamond" w:cs="Garamond"/>
                <w:sz w:val="28"/>
                <w:szCs w:val="28"/>
                <w:u w:color="000000"/>
                <w:bdr w:val="nil"/>
                <w:lang w:val="en-US" w:eastAsia="en-US"/>
              </w:rPr>
            </w:pPr>
            <w:r w:rsidRPr="00706B0E">
              <w:rPr>
                <w:rFonts w:eastAsia="Arial Unicode MS" w:cs="Arial Unicode MS"/>
                <w:sz w:val="28"/>
                <w:szCs w:val="28"/>
                <w:u w:color="000000"/>
                <w:bdr w:val="nil"/>
                <w:lang w:val="en-US" w:eastAsia="en-US"/>
              </w:rPr>
              <w:t>2.5</w:t>
            </w:r>
          </w:p>
          <w:p w14:paraId="3867307B"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(0,5)</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69BBBAD8"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Garamond" w:cs="Garamond"/>
                <w:sz w:val="28"/>
                <w:szCs w:val="28"/>
                <w:u w:color="000000"/>
                <w:bdr w:val="nil"/>
                <w:lang w:val="en-US" w:eastAsia="en-US"/>
              </w:rPr>
            </w:pPr>
            <w:r w:rsidRPr="00706B0E">
              <w:rPr>
                <w:rFonts w:eastAsia="Arial Unicode MS" w:cs="Arial Unicode MS"/>
                <w:sz w:val="28"/>
                <w:szCs w:val="28"/>
                <w:u w:color="000000"/>
                <w:bdr w:val="nil"/>
                <w:lang w:val="en-US" w:eastAsia="en-US"/>
              </w:rPr>
              <w:t>4.5</w:t>
            </w:r>
          </w:p>
          <w:p w14:paraId="61FBDA57"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(1.5)</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15F42EB3"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Garamond" w:cs="Garamond"/>
                <w:sz w:val="28"/>
                <w:szCs w:val="28"/>
                <w:u w:color="000000"/>
                <w:bdr w:val="nil"/>
                <w:lang w:val="en-US" w:eastAsia="en-US"/>
              </w:rPr>
            </w:pPr>
            <w:r w:rsidRPr="00706B0E">
              <w:rPr>
                <w:rFonts w:eastAsia="Arial Unicode MS" w:cs="Arial Unicode MS"/>
                <w:sz w:val="28"/>
                <w:szCs w:val="28"/>
                <w:u w:color="000000"/>
                <w:bdr w:val="nil"/>
                <w:lang w:val="en-US" w:eastAsia="en-US"/>
              </w:rPr>
              <w:t>3.5</w:t>
            </w:r>
          </w:p>
          <w:p w14:paraId="53B03C81"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(+0.5)</w:t>
            </w:r>
          </w:p>
        </w:tc>
      </w:tr>
      <w:tr w:rsidR="00FB375D" w:rsidRPr="00706B0E" w14:paraId="61414BC8" w14:textId="77777777" w:rsidTr="00706B0E">
        <w:trPr>
          <w:trHeight w:val="540"/>
          <w:jc w:val="center"/>
        </w:trPr>
        <w:tc>
          <w:tcPr>
            <w:tcW w:w="1185" w:type="dxa"/>
            <w:vMerge/>
            <w:tcBorders>
              <w:top w:val="single" w:sz="8" w:space="0" w:color="000000"/>
              <w:left w:val="single" w:sz="8" w:space="0" w:color="000000"/>
              <w:bottom w:val="single" w:sz="8" w:space="0" w:color="000000"/>
              <w:right w:val="single" w:sz="8" w:space="0" w:color="000000"/>
            </w:tcBorders>
            <w:shd w:val="clear" w:color="auto" w:fill="FFFFFF"/>
            <w:tcMar>
              <w:left w:w="28" w:type="dxa"/>
              <w:right w:w="28" w:type="dxa"/>
            </w:tcMar>
          </w:tcPr>
          <w:p w14:paraId="511E4B29" w14:textId="77777777" w:rsidR="00FB375D" w:rsidRPr="00706B0E" w:rsidRDefault="00FB375D" w:rsidP="00706B0E">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4217"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1236321F"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The share of government debt to GDP ratio, %</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442D9B04"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Garamond" w:cs="Garamond"/>
                <w:sz w:val="28"/>
                <w:szCs w:val="28"/>
                <w:u w:color="000000"/>
                <w:bdr w:val="nil"/>
                <w:lang w:val="en-US" w:eastAsia="en-US"/>
              </w:rPr>
            </w:pPr>
            <w:r w:rsidRPr="00706B0E">
              <w:rPr>
                <w:rFonts w:eastAsia="Arial Unicode MS" w:cs="Arial Unicode MS"/>
                <w:sz w:val="28"/>
                <w:szCs w:val="28"/>
                <w:u w:color="000000"/>
                <w:bdr w:val="nil"/>
                <w:lang w:val="en-US" w:eastAsia="en-US"/>
              </w:rPr>
              <w:t>32</w:t>
            </w:r>
          </w:p>
          <w:p w14:paraId="24A0B46F"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(-28)</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4436C0D8"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Garamond" w:cs="Garamond"/>
                <w:sz w:val="28"/>
                <w:szCs w:val="28"/>
                <w:u w:color="000000"/>
                <w:bdr w:val="nil"/>
                <w:lang w:val="en-US" w:eastAsia="en-US"/>
              </w:rPr>
            </w:pPr>
            <w:r w:rsidRPr="00706B0E">
              <w:rPr>
                <w:rFonts w:eastAsia="Arial Unicode MS" w:cs="Arial Unicode MS"/>
                <w:sz w:val="28"/>
                <w:szCs w:val="28"/>
                <w:u w:color="000000"/>
                <w:bdr w:val="nil"/>
                <w:lang w:val="en-US" w:eastAsia="en-US"/>
              </w:rPr>
              <w:t>58</w:t>
            </w:r>
          </w:p>
          <w:p w14:paraId="0390F2FE"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(-2)</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6AC6A98D"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Garamond" w:cs="Garamond"/>
                <w:sz w:val="28"/>
                <w:szCs w:val="28"/>
                <w:u w:color="000000"/>
                <w:bdr w:val="nil"/>
                <w:lang w:val="en-US" w:eastAsia="en-US"/>
              </w:rPr>
            </w:pPr>
            <w:r w:rsidRPr="00706B0E">
              <w:rPr>
                <w:rFonts w:eastAsia="Arial Unicode MS" w:cs="Arial Unicode MS"/>
                <w:sz w:val="28"/>
                <w:szCs w:val="28"/>
                <w:u w:color="000000"/>
                <w:bdr w:val="nil"/>
                <w:lang w:val="en-US" w:eastAsia="en-US"/>
              </w:rPr>
              <w:t>64</w:t>
            </w:r>
          </w:p>
          <w:p w14:paraId="626377AA"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(+4)</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vAlign w:val="center"/>
          </w:tcPr>
          <w:p w14:paraId="1CF28EC0"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Garamond" w:cs="Garamond"/>
                <w:sz w:val="28"/>
                <w:szCs w:val="28"/>
                <w:u w:color="000000"/>
                <w:bdr w:val="nil"/>
                <w:lang w:val="en-US" w:eastAsia="en-US"/>
              </w:rPr>
            </w:pPr>
            <w:r w:rsidRPr="00706B0E">
              <w:rPr>
                <w:rFonts w:eastAsia="Arial Unicode MS" w:cs="Arial Unicode MS"/>
                <w:sz w:val="28"/>
                <w:szCs w:val="28"/>
                <w:u w:color="000000"/>
                <w:bdr w:val="nil"/>
                <w:lang w:val="en-US" w:eastAsia="en-US"/>
              </w:rPr>
              <w:t>75</w:t>
            </w:r>
          </w:p>
          <w:p w14:paraId="205B14FF"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(+15)</w:t>
            </w:r>
          </w:p>
        </w:tc>
      </w:tr>
      <w:tr w:rsidR="00FB375D" w:rsidRPr="00706B0E" w14:paraId="41436669" w14:textId="77777777" w:rsidTr="00706B0E">
        <w:trPr>
          <w:trHeight w:val="280"/>
          <w:jc w:val="center"/>
        </w:trPr>
        <w:tc>
          <w:tcPr>
            <w:tcW w:w="1185" w:type="dxa"/>
            <w:vMerge/>
            <w:tcBorders>
              <w:top w:val="single" w:sz="8" w:space="0" w:color="000000"/>
              <w:left w:val="single" w:sz="8" w:space="0" w:color="000000"/>
              <w:bottom w:val="single" w:sz="8" w:space="0" w:color="000000"/>
              <w:right w:val="single" w:sz="8" w:space="0" w:color="000000"/>
            </w:tcBorders>
            <w:shd w:val="clear" w:color="auto" w:fill="FFFFFF"/>
            <w:tcMar>
              <w:left w:w="28" w:type="dxa"/>
              <w:right w:w="28" w:type="dxa"/>
            </w:tcMar>
          </w:tcPr>
          <w:p w14:paraId="21052CFF" w14:textId="77777777" w:rsidR="00FB375D" w:rsidRPr="00706B0E" w:rsidRDefault="00FB375D" w:rsidP="00706B0E">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4217"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5E9BF758"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The average annual inflation rate, %</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206CDA77"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0B05C580"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777670CD"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15D2563F"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r>
      <w:tr w:rsidR="00FB375D" w:rsidRPr="00706B0E" w14:paraId="68A06BE2" w14:textId="77777777" w:rsidTr="00706B0E">
        <w:trPr>
          <w:trHeight w:val="280"/>
          <w:jc w:val="center"/>
        </w:trPr>
        <w:tc>
          <w:tcPr>
            <w:tcW w:w="1185" w:type="dxa"/>
            <w:vMerge/>
            <w:tcBorders>
              <w:top w:val="single" w:sz="8" w:space="0" w:color="000000"/>
              <w:left w:val="single" w:sz="8" w:space="0" w:color="000000"/>
              <w:bottom w:val="single" w:sz="8" w:space="0" w:color="000000"/>
              <w:right w:val="single" w:sz="8" w:space="0" w:color="000000"/>
            </w:tcBorders>
            <w:shd w:val="clear" w:color="auto" w:fill="FFFFFF"/>
            <w:tcMar>
              <w:left w:w="28" w:type="dxa"/>
              <w:right w:w="28" w:type="dxa"/>
            </w:tcMar>
          </w:tcPr>
          <w:p w14:paraId="51BC9479" w14:textId="77777777" w:rsidR="00FB375D" w:rsidRPr="00706B0E" w:rsidRDefault="00FB375D" w:rsidP="00706B0E">
            <w:pPr>
              <w:pBdr>
                <w:top w:val="nil"/>
                <w:left w:val="nil"/>
                <w:bottom w:val="nil"/>
                <w:right w:val="nil"/>
                <w:between w:val="nil"/>
                <w:bar w:val="nil"/>
              </w:pBdr>
              <w:spacing w:line="240" w:lineRule="atLeast"/>
              <w:jc w:val="both"/>
              <w:rPr>
                <w:rFonts w:eastAsia="Arial Unicode MS" w:cs="Arial Unicode MS"/>
                <w:sz w:val="28"/>
                <w:szCs w:val="28"/>
                <w:u w:color="000000"/>
                <w:bdr w:val="nil"/>
                <w:lang w:val="en-US" w:eastAsia="en-US"/>
              </w:rPr>
            </w:pPr>
          </w:p>
        </w:tc>
        <w:tc>
          <w:tcPr>
            <w:tcW w:w="4217"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4A98C6FD"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6216BA5D"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1CF8758D"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02C26E0E"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7804BBAA"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r>
      <w:tr w:rsidR="00FB375D" w:rsidRPr="00706B0E" w14:paraId="5EADBAD9" w14:textId="77777777" w:rsidTr="00706B0E">
        <w:trPr>
          <w:trHeight w:val="280"/>
          <w:jc w:val="center"/>
        </w:trPr>
        <w:tc>
          <w:tcPr>
            <w:tcW w:w="1185"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6D57A8EC"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4217"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56F84E2F"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0EDC42DC"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32FDA6F9"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47FB6903"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c>
          <w:tcPr>
            <w:tcW w:w="1134" w:type="dxa"/>
            <w:tcBorders>
              <w:top w:val="single" w:sz="8" w:space="0" w:color="000000"/>
              <w:left w:val="single" w:sz="8" w:space="0" w:color="000000"/>
              <w:bottom w:val="single" w:sz="8" w:space="0" w:color="000000"/>
              <w:right w:val="single" w:sz="8" w:space="0" w:color="000000"/>
            </w:tcBorders>
            <w:shd w:val="clear" w:color="auto" w:fill="FFFFFF"/>
            <w:tcMar>
              <w:top w:w="80" w:type="dxa"/>
              <w:left w:w="28" w:type="dxa"/>
              <w:bottom w:w="80" w:type="dxa"/>
              <w:right w:w="28" w:type="dxa"/>
            </w:tcMar>
          </w:tcPr>
          <w:p w14:paraId="12F867AB" w14:textId="77777777" w:rsidR="00FB375D" w:rsidRPr="00706B0E" w:rsidRDefault="00FB375D" w:rsidP="00706B0E">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s>
              <w:spacing w:line="240" w:lineRule="atLeast"/>
              <w:jc w:val="center"/>
              <w:rPr>
                <w:rFonts w:eastAsia="Arial Unicode MS" w:cs="Arial Unicode MS"/>
                <w:sz w:val="28"/>
                <w:szCs w:val="28"/>
                <w:u w:color="000000"/>
                <w:bdr w:val="nil"/>
                <w:lang w:val="en-US" w:eastAsia="en-US"/>
              </w:rPr>
            </w:pPr>
            <w:r w:rsidRPr="00706B0E">
              <w:rPr>
                <w:rFonts w:eastAsia="Arial Unicode MS" w:cs="Arial Unicode MS"/>
                <w:sz w:val="28"/>
                <w:szCs w:val="28"/>
                <w:u w:color="000000"/>
                <w:bdr w:val="nil"/>
                <w:lang w:val="en-US" w:eastAsia="en-US"/>
              </w:rPr>
              <w:t>...</w:t>
            </w:r>
          </w:p>
        </w:tc>
      </w:tr>
    </w:tbl>
    <w:p w14:paraId="49E60BB8" w14:textId="77777777" w:rsidR="00FB375D" w:rsidRPr="000F1D00" w:rsidRDefault="00FB375D" w:rsidP="000F1D00">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ind w:firstLine="560"/>
        <w:jc w:val="both"/>
        <w:rPr>
          <w:rFonts w:eastAsia="Garamond" w:cs="Garamond"/>
          <w:sz w:val="28"/>
          <w:szCs w:val="28"/>
          <w:u w:color="000000"/>
          <w:bdr w:val="nil"/>
          <w:lang w:val="en-US" w:eastAsia="en-US"/>
        </w:rPr>
      </w:pPr>
      <w:r w:rsidRPr="000F1D00">
        <w:rPr>
          <w:rFonts w:eastAsia="Arial Unicode MS" w:cs="Arial Unicode MS"/>
          <w:sz w:val="28"/>
          <w:szCs w:val="28"/>
          <w:u w:color="000000"/>
          <w:bdr w:val="nil"/>
          <w:lang w:val="en-US" w:eastAsia="en-US"/>
        </w:rPr>
        <w:lastRenderedPageBreak/>
        <w:t>For the purpose of an objective assessment of the financial situation in the EU</w:t>
      </w:r>
      <w:r w:rsidR="00A86578">
        <w:rPr>
          <w:rFonts w:eastAsia="Arial Unicode MS" w:cs="Arial Unicode MS"/>
          <w:sz w:val="28"/>
          <w:szCs w:val="28"/>
          <w:u w:color="000000"/>
          <w:bdr w:val="nil"/>
          <w:lang w:val="en-US" w:eastAsia="en-US"/>
        </w:rPr>
        <w:t>, it</w:t>
      </w:r>
      <w:r w:rsidRPr="000F1D00">
        <w:rPr>
          <w:rFonts w:eastAsia="Arial Unicode MS" w:cs="Arial Unicode MS"/>
          <w:sz w:val="28"/>
          <w:szCs w:val="28"/>
          <w:u w:color="000000"/>
          <w:bdr w:val="nil"/>
          <w:lang w:val="en-US" w:eastAsia="en-US"/>
        </w:rPr>
        <w:t xml:space="preserve"> is necessary to review these indicators in dynamics for the period</w:t>
      </w:r>
      <w:r w:rsidR="00A86578">
        <w:rPr>
          <w:rFonts w:eastAsia="Arial Unicode MS" w:cs="Arial Unicode MS"/>
          <w:sz w:val="28"/>
          <w:szCs w:val="28"/>
          <w:u w:color="000000"/>
          <w:bdr w:val="nil"/>
          <w:lang w:val="en-US" w:eastAsia="en-US"/>
        </w:rPr>
        <w:t xml:space="preserve"> of</w:t>
      </w:r>
      <w:r w:rsidRPr="000F1D00">
        <w:rPr>
          <w:rFonts w:eastAsia="Arial Unicode MS" w:cs="Arial Unicode MS"/>
          <w:sz w:val="28"/>
          <w:szCs w:val="28"/>
          <w:u w:color="000000"/>
          <w:bdr w:val="nil"/>
          <w:lang w:val="en-US" w:eastAsia="en-US"/>
        </w:rPr>
        <w:t xml:space="preserve"> 1995</w:t>
      </w:r>
      <w:r w:rsidR="00A86578">
        <w:rPr>
          <w:rFonts w:eastAsia="Arial Unicode MS" w:cs="Arial Unicode MS"/>
          <w:sz w:val="28"/>
          <w:szCs w:val="28"/>
          <w:u w:color="000000"/>
          <w:bdr w:val="nil"/>
          <w:lang w:val="en-US" w:eastAsia="en-US"/>
        </w:rPr>
        <w:t>–</w:t>
      </w:r>
      <w:r w:rsidRPr="000F1D00">
        <w:rPr>
          <w:rFonts w:eastAsia="Arial Unicode MS" w:cs="Arial Unicode MS"/>
          <w:sz w:val="28"/>
          <w:szCs w:val="28"/>
          <w:u w:color="000000"/>
          <w:bdr w:val="nil"/>
          <w:lang w:val="en-US" w:eastAsia="en-US"/>
        </w:rPr>
        <w:t xml:space="preserve">2012. Analysis of variation within the conventional stages will </w:t>
      </w:r>
      <w:r w:rsidR="00A86578">
        <w:rPr>
          <w:rFonts w:eastAsia="Arial Unicode MS" w:cs="Arial Unicode MS"/>
          <w:sz w:val="28"/>
          <w:szCs w:val="28"/>
          <w:u w:color="000000"/>
          <w:bdr w:val="nil"/>
          <w:lang w:val="en-US" w:eastAsia="en-US"/>
        </w:rPr>
        <w:t>help to determine the countries</w:t>
      </w:r>
      <w:r w:rsidRPr="000F1D00">
        <w:rPr>
          <w:rFonts w:eastAsia="Arial Unicode MS" w:cs="Arial Unicode MS"/>
          <w:sz w:val="28"/>
          <w:szCs w:val="28"/>
          <w:u w:color="000000"/>
          <w:bdr w:val="nil"/>
          <w:lang w:val="en-US" w:eastAsia="en-US"/>
        </w:rPr>
        <w:t xml:space="preserve"> that contribute to the stability of the EU financial market and countries that slow its development, increasing the risks of instability.</w:t>
      </w:r>
    </w:p>
    <w:p w14:paraId="195C7979" w14:textId="77777777" w:rsidR="00FB375D" w:rsidRDefault="00FB375D" w:rsidP="00FB375D">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jc w:val="both"/>
        <w:rPr>
          <w:rFonts w:eastAsia="Garamond" w:cs="Garamond"/>
          <w:u w:color="000000"/>
          <w:bdr w:val="nil"/>
          <w:lang w:val="en-US" w:eastAsia="en-US"/>
        </w:rPr>
      </w:pPr>
    </w:p>
    <w:p w14:paraId="0BACD274" w14:textId="77777777" w:rsidR="00706B0E" w:rsidRPr="00706B0E" w:rsidRDefault="00706B0E" w:rsidP="006F749C">
      <w:pPr>
        <w:numPr>
          <w:ilvl w:val="0"/>
          <w:numId w:val="253"/>
        </w:numPr>
        <w:pBdr>
          <w:top w:val="nil"/>
          <w:left w:val="nil"/>
          <w:bottom w:val="nil"/>
          <w:right w:val="nil"/>
          <w:between w:val="nil"/>
          <w:bar w:val="nil"/>
        </w:pBdr>
        <w:tabs>
          <w:tab w:val="left" w:pos="709"/>
          <w:tab w:val="left" w:pos="107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tLeast"/>
        <w:jc w:val="both"/>
        <w:rPr>
          <w:rFonts w:eastAsia="Arial Unicode MS" w:cs="Arial Unicode MS"/>
          <w:sz w:val="28"/>
          <w:szCs w:val="28"/>
          <w:u w:color="000000"/>
          <w:bdr w:val="nil"/>
          <w:lang w:val="en-US"/>
        </w:rPr>
      </w:pPr>
      <w:r w:rsidRPr="00706B0E">
        <w:rPr>
          <w:rFonts w:eastAsia="Arial Unicode MS" w:cs="Arial Unicode MS"/>
          <w:sz w:val="28"/>
          <w:szCs w:val="28"/>
          <w:u w:color="000000"/>
          <w:bdr w:val="nil"/>
          <w:lang w:val="en-US"/>
        </w:rPr>
        <w:t>Country “A” has the following macroeconomi</w:t>
      </w:r>
      <w:r w:rsidR="00A86578">
        <w:rPr>
          <w:rFonts w:eastAsia="Arial Unicode MS" w:cs="Arial Unicode MS"/>
          <w:sz w:val="28"/>
          <w:szCs w:val="28"/>
          <w:u w:color="000000"/>
          <w:bdr w:val="nil"/>
          <w:lang w:val="en-US"/>
        </w:rPr>
        <w:t>c indicators in 2015: GDP – 746.</w:t>
      </w:r>
      <w:r w:rsidRPr="00706B0E">
        <w:rPr>
          <w:rFonts w:eastAsia="Arial Unicode MS" w:cs="Arial Unicode MS"/>
          <w:sz w:val="28"/>
          <w:szCs w:val="28"/>
          <w:u w:color="000000"/>
          <w:bdr w:val="nil"/>
          <w:lang w:val="en-US"/>
        </w:rPr>
        <w:t>5</w:t>
      </w:r>
      <w:r w:rsidR="00D52F97">
        <w:rPr>
          <w:rFonts w:eastAsia="Arial Unicode MS" w:cs="Arial Unicode MS"/>
          <w:sz w:val="28"/>
          <w:szCs w:val="28"/>
          <w:u w:color="000000"/>
          <w:bdr w:val="nil"/>
          <w:lang w:val="en-US"/>
        </w:rPr>
        <w:t> </w:t>
      </w:r>
      <w:r w:rsidR="00A86578">
        <w:rPr>
          <w:rFonts w:eastAsia="Arial Unicode MS" w:cs="Arial Unicode MS"/>
          <w:sz w:val="28"/>
          <w:szCs w:val="28"/>
          <w:u w:color="000000"/>
          <w:bdr w:val="nil"/>
          <w:lang w:val="en-US"/>
        </w:rPr>
        <w:t xml:space="preserve">bln </w:t>
      </w:r>
      <w:r w:rsidR="00265358">
        <w:rPr>
          <w:rFonts w:eastAsia="Arial Unicode MS" w:cs="Arial Unicode MS"/>
          <w:sz w:val="28"/>
          <w:szCs w:val="28"/>
          <w:u w:color="000000"/>
          <w:bdr w:val="nil"/>
          <w:lang w:val="en-US"/>
        </w:rPr>
        <w:t>EUR</w:t>
      </w:r>
      <w:r w:rsidR="00A86578">
        <w:rPr>
          <w:rFonts w:eastAsia="Arial Unicode MS" w:cs="Arial Unicode MS"/>
          <w:sz w:val="28"/>
          <w:szCs w:val="28"/>
          <w:u w:color="000000"/>
          <w:bdr w:val="nil"/>
          <w:lang w:val="en-US"/>
        </w:rPr>
        <w:t>; budget deficit – 22.3 bln eur</w:t>
      </w:r>
      <w:r w:rsidRPr="00706B0E">
        <w:rPr>
          <w:rFonts w:eastAsia="Arial Unicode MS" w:cs="Arial Unicode MS"/>
          <w:sz w:val="28"/>
          <w:szCs w:val="28"/>
          <w:u w:color="000000"/>
          <w:bdr w:val="nil"/>
          <w:lang w:val="en-US"/>
        </w:rPr>
        <w:t>; total state debt</w:t>
      </w:r>
      <w:r w:rsidR="00A86578">
        <w:rPr>
          <w:rFonts w:eastAsia="Arial Unicode MS" w:cs="Arial Unicode MS"/>
          <w:sz w:val="28"/>
          <w:szCs w:val="28"/>
          <w:u w:color="000000"/>
          <w:bdr w:val="nil"/>
          <w:lang w:val="en-US"/>
        </w:rPr>
        <w:t xml:space="preserve"> </w:t>
      </w:r>
      <w:r w:rsidRPr="00706B0E">
        <w:rPr>
          <w:rFonts w:eastAsia="Arial Unicode MS" w:cs="Arial Unicode MS"/>
          <w:sz w:val="28"/>
          <w:szCs w:val="28"/>
          <w:u w:color="000000"/>
          <w:bdr w:val="nil"/>
          <w:lang w:val="en-US"/>
        </w:rPr>
        <w:t>– 398</w:t>
      </w:r>
      <w:r w:rsidR="00A86578">
        <w:rPr>
          <w:rFonts w:eastAsia="Arial Unicode MS" w:cs="Arial Unicode MS"/>
          <w:sz w:val="28"/>
          <w:szCs w:val="28"/>
          <w:u w:color="000000"/>
          <w:bdr w:val="nil"/>
          <w:lang w:val="en-US"/>
        </w:rPr>
        <w:t>.5 bln</w:t>
      </w:r>
      <w:r w:rsidRPr="00706B0E">
        <w:rPr>
          <w:rFonts w:eastAsia="Arial Unicode MS" w:cs="Arial Unicode MS"/>
          <w:sz w:val="28"/>
          <w:szCs w:val="28"/>
          <w:u w:color="000000"/>
          <w:bdr w:val="nil"/>
          <w:lang w:val="en-US"/>
        </w:rPr>
        <w:t xml:space="preserve"> </w:t>
      </w:r>
      <w:r w:rsidR="00265358" w:rsidRPr="00706B0E">
        <w:rPr>
          <w:rFonts w:eastAsia="Arial Unicode MS" w:cs="Arial Unicode MS"/>
          <w:sz w:val="28"/>
          <w:szCs w:val="28"/>
          <w:u w:color="000000"/>
          <w:bdr w:val="nil"/>
          <w:lang w:val="en-US"/>
        </w:rPr>
        <w:t>EUR</w:t>
      </w:r>
      <w:r w:rsidRPr="00706B0E">
        <w:rPr>
          <w:rFonts w:eastAsia="Arial Unicode MS" w:cs="Arial Unicode MS"/>
          <w:sz w:val="28"/>
          <w:szCs w:val="28"/>
          <w:u w:color="000000"/>
          <w:bdr w:val="nil"/>
          <w:lang w:val="en-US"/>
        </w:rPr>
        <w:t>; last year price level – 345 points, the price level of the year – 398 points; Central Bank interest rate – 5</w:t>
      </w:r>
      <w:r w:rsidR="00A86578">
        <w:rPr>
          <w:rFonts w:eastAsia="Arial Unicode MS" w:cs="Arial Unicode MS"/>
          <w:sz w:val="28"/>
          <w:szCs w:val="28"/>
          <w:u w:color="000000"/>
          <w:bdr w:val="nil"/>
          <w:lang w:val="en-US"/>
        </w:rPr>
        <w:t xml:space="preserve"> </w:t>
      </w:r>
      <w:r w:rsidRPr="00706B0E">
        <w:rPr>
          <w:rFonts w:eastAsia="Arial Unicode MS" w:cs="Arial Unicode MS"/>
          <w:sz w:val="28"/>
          <w:szCs w:val="28"/>
          <w:u w:color="000000"/>
          <w:bdr w:val="nil"/>
          <w:lang w:val="en-US"/>
        </w:rPr>
        <w:t>%; exchange rate fluctuated around 2</w:t>
      </w:r>
      <w:r w:rsidR="00A86578">
        <w:rPr>
          <w:rFonts w:eastAsia="Arial Unicode MS" w:cs="Arial Unicode MS"/>
          <w:sz w:val="28"/>
          <w:szCs w:val="28"/>
          <w:u w:color="000000"/>
          <w:bdr w:val="nil"/>
          <w:lang w:val="en-US"/>
        </w:rPr>
        <w:t xml:space="preserve"> </w:t>
      </w:r>
      <w:r w:rsidRPr="00706B0E">
        <w:rPr>
          <w:rFonts w:eastAsia="Arial Unicode MS" w:cs="Arial Unicode MS"/>
          <w:sz w:val="28"/>
          <w:szCs w:val="28"/>
          <w:u w:color="000000"/>
          <w:bdr w:val="nil"/>
          <w:lang w:val="en-US"/>
        </w:rPr>
        <w:t>%. Determine whether this country has the right to introduce the euro into circulation? Give a detailed answer. Identify areas of financial policy under the terms of the Maastricht Treaty.</w:t>
      </w:r>
      <w:r>
        <w:rPr>
          <w:rFonts w:eastAsia="Arial Unicode MS" w:cs="Arial Unicode MS"/>
          <w:sz w:val="28"/>
          <w:szCs w:val="28"/>
          <w:u w:color="000000"/>
          <w:bdr w:val="nil"/>
          <w:lang w:val="en-US"/>
        </w:rPr>
        <w:t xml:space="preserve"> </w:t>
      </w:r>
      <w:r w:rsidRPr="00706B0E">
        <w:rPr>
          <w:rFonts w:eastAsia="Arial Unicode MS" w:cs="Arial Unicode MS"/>
          <w:sz w:val="28"/>
          <w:szCs w:val="28"/>
          <w:u w:color="000000"/>
          <w:bdr w:val="nil"/>
          <w:lang w:val="en-US" w:eastAsia="en-US"/>
        </w:rPr>
        <w:t xml:space="preserve">In this task, you should refer to the requirements of the financial and economic indicators for countries wishing to use the </w:t>
      </w:r>
      <w:r w:rsidR="00A86578">
        <w:rPr>
          <w:rFonts w:eastAsia="Arial Unicode MS" w:cs="Arial Unicode MS"/>
          <w:sz w:val="28"/>
          <w:szCs w:val="28"/>
          <w:u w:color="000000"/>
          <w:bdr w:val="nil"/>
          <w:lang w:val="en-US" w:eastAsia="en-US"/>
        </w:rPr>
        <w:t>euro. They were adopted in 1992</w:t>
      </w:r>
      <w:r w:rsidRPr="00706B0E">
        <w:rPr>
          <w:rFonts w:eastAsia="Arial Unicode MS" w:cs="Arial Unicode MS"/>
          <w:sz w:val="28"/>
          <w:szCs w:val="28"/>
          <w:u w:color="000000"/>
          <w:bdr w:val="nil"/>
          <w:lang w:val="en-US" w:eastAsia="en-US"/>
        </w:rPr>
        <w:t xml:space="preserve"> in the Maastricht.</w:t>
      </w:r>
    </w:p>
    <w:p w14:paraId="0012682A" w14:textId="77777777" w:rsidR="00706B0E" w:rsidRPr="00FB375D" w:rsidRDefault="00706B0E" w:rsidP="00FB375D">
      <w:pPr>
        <w:pBdr>
          <w:top w:val="nil"/>
          <w:left w:val="nil"/>
          <w:bottom w:val="nil"/>
          <w:right w:val="nil"/>
          <w:between w:val="nil"/>
          <w:bar w:val="nil"/>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jc w:val="both"/>
        <w:rPr>
          <w:rFonts w:eastAsia="Garamond" w:cs="Garamond"/>
          <w:u w:color="000000"/>
          <w:bdr w:val="nil"/>
          <w:lang w:val="en-US" w:eastAsia="en-US"/>
        </w:rPr>
      </w:pPr>
    </w:p>
    <w:p w14:paraId="5D32B353" w14:textId="77777777" w:rsidR="00397933" w:rsidRDefault="00FB375D" w:rsidP="00F12EDD">
      <w:pPr>
        <w:jc w:val="right"/>
        <w:rPr>
          <w:rFonts w:eastAsia="Garamond" w:cs="Garamond"/>
          <w:u w:color="000000"/>
          <w:bdr w:val="nil"/>
          <w:lang w:val="en-US" w:eastAsia="en-US"/>
        </w:rPr>
      </w:pPr>
      <w:r w:rsidRPr="00FB375D">
        <w:rPr>
          <w:rFonts w:eastAsia="Garamond" w:cs="Garamond"/>
          <w:u w:color="000000"/>
          <w:bdr w:val="nil"/>
          <w:lang w:val="en-US" w:eastAsia="en-US"/>
        </w:rPr>
        <w:br/>
      </w:r>
    </w:p>
    <w:p w14:paraId="7D166D76" w14:textId="77777777" w:rsidR="00397933" w:rsidRDefault="00397933">
      <w:pPr>
        <w:rPr>
          <w:rFonts w:eastAsia="Garamond" w:cs="Garamond"/>
          <w:u w:color="000000"/>
          <w:bdr w:val="nil"/>
          <w:lang w:val="en-US" w:eastAsia="en-US"/>
        </w:rPr>
      </w:pPr>
      <w:r>
        <w:rPr>
          <w:rFonts w:eastAsia="Garamond" w:cs="Garamond"/>
          <w:u w:color="000000"/>
          <w:bdr w:val="nil"/>
          <w:lang w:val="en-US" w:eastAsia="en-US"/>
        </w:rPr>
        <w:br w:type="page"/>
      </w:r>
    </w:p>
    <w:p w14:paraId="60724E70" w14:textId="77777777" w:rsidR="00397933" w:rsidRPr="00397933" w:rsidRDefault="00265358" w:rsidP="00397933">
      <w:pPr>
        <w:pStyle w:val="eng"/>
        <w:rPr>
          <w:lang w:val="en-US" w:eastAsia="ru-RU"/>
        </w:rPr>
      </w:pPr>
      <w:r>
        <w:rPr>
          <w:lang w:val="en-US" w:eastAsia="ru-RU"/>
        </w:rPr>
        <w:lastRenderedPageBreak/>
        <w:t>Assignment 1:</w:t>
      </w:r>
    </w:p>
    <w:p w14:paraId="1C380139" w14:textId="77777777" w:rsidR="00397933" w:rsidRPr="00397933" w:rsidRDefault="00397933" w:rsidP="00397933">
      <w:pPr>
        <w:pStyle w:val="eng"/>
        <w:rPr>
          <w:lang w:val="en-US" w:eastAsia="ru-RU"/>
        </w:rPr>
      </w:pPr>
      <w:r w:rsidRPr="00397933">
        <w:rPr>
          <w:lang w:val="en-US" w:eastAsia="ru-RU"/>
        </w:rPr>
        <w:t>Academic writing in finance</w:t>
      </w:r>
    </w:p>
    <w:p w14:paraId="2B9395B7" w14:textId="77777777" w:rsidR="00397933" w:rsidRPr="00397933" w:rsidRDefault="00397933" w:rsidP="00397933">
      <w:pPr>
        <w:pStyle w:val="end2"/>
        <w:rPr>
          <w:lang w:eastAsia="ru-RU"/>
        </w:rPr>
      </w:pPr>
      <w:r w:rsidRPr="00397933">
        <w:rPr>
          <w:lang w:eastAsia="ru-RU"/>
        </w:rPr>
        <w:t xml:space="preserve">Description </w:t>
      </w:r>
    </w:p>
    <w:p w14:paraId="57E35530"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 xml:space="preserve">In assignment 1, you will be asked to write a journal article review in a form of </w:t>
      </w:r>
      <w:r w:rsidR="00265358">
        <w:rPr>
          <w:rFonts w:cs="Garamond"/>
          <w:color w:val="auto"/>
          <w:sz w:val="28"/>
          <w:szCs w:val="28"/>
          <w:lang w:val="en-US" w:eastAsia="ru-RU" w:bidi="ru-RU"/>
        </w:rPr>
        <w:t>a</w:t>
      </w:r>
      <w:r w:rsidRPr="00397933">
        <w:rPr>
          <w:rFonts w:cs="Garamond"/>
          <w:color w:val="auto"/>
          <w:sz w:val="28"/>
          <w:szCs w:val="28"/>
          <w:lang w:val="en-US" w:eastAsia="ru-RU" w:bidi="ru-RU"/>
        </w:rPr>
        <w:t xml:space="preserve">bstract. Although this may be an unfamiliar exercise, it is not </w:t>
      </w:r>
      <w:r w:rsidR="00265358">
        <w:rPr>
          <w:rFonts w:cs="Garamond"/>
          <w:color w:val="auto"/>
          <w:sz w:val="28"/>
          <w:szCs w:val="28"/>
          <w:lang w:val="en-US" w:eastAsia="ru-RU" w:bidi="ru-RU"/>
        </w:rPr>
        <w:t>so</w:t>
      </w:r>
      <w:r w:rsidRPr="00397933">
        <w:rPr>
          <w:rFonts w:cs="Garamond"/>
          <w:color w:val="auto"/>
          <w:sz w:val="28"/>
          <w:szCs w:val="28"/>
          <w:lang w:val="en-US" w:eastAsia="ru-RU" w:bidi="ru-RU"/>
        </w:rPr>
        <w:t xml:space="preserve"> complex as writing an essay requiring a lot of library research. </w:t>
      </w:r>
    </w:p>
    <w:p w14:paraId="4747E5C2" w14:textId="77777777" w:rsid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The journal article review is written for a reader who is knowledgeable in the discipline and is interested just in the coverage and content of the article being reviewed, but not in your critical assessment of the ideas and argument</w:t>
      </w:r>
      <w:r w:rsidR="00265358">
        <w:rPr>
          <w:rFonts w:cs="Garamond"/>
          <w:color w:val="auto"/>
          <w:sz w:val="28"/>
          <w:szCs w:val="28"/>
          <w:lang w:val="en-US" w:eastAsia="ru-RU" w:bidi="ru-RU"/>
        </w:rPr>
        <w:t>s</w:t>
      </w:r>
      <w:r w:rsidRPr="00397933">
        <w:rPr>
          <w:rFonts w:cs="Garamond"/>
          <w:color w:val="auto"/>
          <w:sz w:val="28"/>
          <w:szCs w:val="28"/>
          <w:lang w:val="en-US" w:eastAsia="ru-RU" w:bidi="ru-RU"/>
        </w:rPr>
        <w:t xml:space="preserve"> that are being presented by the author of the article. Word limit for the abstract is 300</w:t>
      </w:r>
      <w:r w:rsidR="00265358">
        <w:rPr>
          <w:rFonts w:cs="Garamond"/>
          <w:color w:val="auto"/>
          <w:sz w:val="28"/>
          <w:szCs w:val="28"/>
          <w:lang w:val="en-US" w:eastAsia="ru-RU" w:bidi="ru-RU"/>
        </w:rPr>
        <w:t>–</w:t>
      </w:r>
      <w:r w:rsidRPr="00397933">
        <w:rPr>
          <w:rFonts w:cs="Garamond"/>
          <w:color w:val="auto"/>
          <w:sz w:val="28"/>
          <w:szCs w:val="28"/>
          <w:lang w:val="en-US" w:eastAsia="ru-RU" w:bidi="ru-RU"/>
        </w:rPr>
        <w:t xml:space="preserve">450 words (~2,000 characters). Do not include the title, authors, or author affiliations in the abstract text field. Student should choose one of the following articles presented in the </w:t>
      </w:r>
      <w:r>
        <w:rPr>
          <w:rFonts w:cs="Garamond"/>
          <w:color w:val="auto"/>
          <w:sz w:val="28"/>
          <w:szCs w:val="28"/>
          <w:lang w:val="en-US" w:eastAsia="ru-RU" w:bidi="ru-RU"/>
        </w:rPr>
        <w:t>box below</w:t>
      </w:r>
      <w:r w:rsidRPr="00397933">
        <w:rPr>
          <w:rFonts w:cs="Garamond"/>
          <w:color w:val="auto"/>
          <w:sz w:val="28"/>
          <w:szCs w:val="28"/>
          <w:lang w:val="en-US" w:eastAsia="ru-RU" w:bidi="ru-RU"/>
        </w:rPr>
        <w:t xml:space="preserve">. </w:t>
      </w:r>
    </w:p>
    <w:p w14:paraId="2C461CB8" w14:textId="77777777" w:rsidR="00E66974" w:rsidRPr="00397933" w:rsidRDefault="00E66974" w:rsidP="00397933">
      <w:pPr>
        <w:spacing w:line="312" w:lineRule="auto"/>
        <w:ind w:firstLine="357"/>
        <w:contextualSpacing/>
        <w:jc w:val="both"/>
        <w:rPr>
          <w:rFonts w:cs="Garamond"/>
          <w:color w:val="auto"/>
          <w:sz w:val="28"/>
          <w:szCs w:val="28"/>
          <w:lang w:val="en-US" w:eastAsia="ru-RU" w:bidi="ru-RU"/>
        </w:rPr>
      </w:pPr>
    </w:p>
    <w:p w14:paraId="18C87F23" w14:textId="77777777" w:rsidR="00397933" w:rsidRPr="007F249B" w:rsidRDefault="00397933" w:rsidP="00397933">
      <w:pPr>
        <w:spacing w:line="312" w:lineRule="auto"/>
        <w:ind w:firstLine="357"/>
        <w:contextualSpacing/>
        <w:jc w:val="center"/>
        <w:rPr>
          <w:rFonts w:cs="Garamond"/>
          <w:b/>
          <w:color w:val="auto"/>
          <w:sz w:val="28"/>
          <w:szCs w:val="28"/>
          <w:lang w:val="en-US" w:eastAsia="ru-RU" w:bidi="ru-RU"/>
        </w:rPr>
      </w:pPr>
      <w:r w:rsidRPr="007F249B">
        <w:rPr>
          <w:rFonts w:cs="Garamond"/>
          <w:b/>
          <w:color w:val="auto"/>
          <w:sz w:val="28"/>
          <w:szCs w:val="28"/>
          <w:lang w:val="en-US" w:eastAsia="ru-RU" w:bidi="ru-RU"/>
        </w:rPr>
        <w:t xml:space="preserve">Selected list of the finance articles </w:t>
      </w:r>
    </w:p>
    <w:tbl>
      <w:tblPr>
        <w:tblStyle w:val="80"/>
        <w:tblW w:w="0" w:type="auto"/>
        <w:tblLayout w:type="fixed"/>
        <w:tblLook w:val="04A0" w:firstRow="1" w:lastRow="0" w:firstColumn="1" w:lastColumn="0" w:noHBand="0" w:noVBand="1"/>
      </w:tblPr>
      <w:tblGrid>
        <w:gridCol w:w="1951"/>
        <w:gridCol w:w="142"/>
        <w:gridCol w:w="283"/>
        <w:gridCol w:w="7088"/>
      </w:tblGrid>
      <w:tr w:rsidR="00397933" w:rsidRPr="00397933" w14:paraId="30F719E0" w14:textId="77777777" w:rsidTr="00397933">
        <w:tc>
          <w:tcPr>
            <w:tcW w:w="2376" w:type="dxa"/>
            <w:gridSpan w:val="3"/>
            <w:shd w:val="clear" w:color="auto" w:fill="BFBFBF" w:themeFill="background1" w:themeFillShade="BF"/>
          </w:tcPr>
          <w:p w14:paraId="5EC20F58" w14:textId="77777777" w:rsidR="00397933" w:rsidRPr="007F249B" w:rsidRDefault="00397933" w:rsidP="00397933">
            <w:pPr>
              <w:spacing w:line="240" w:lineRule="atLeast"/>
              <w:contextualSpacing/>
              <w:jc w:val="center"/>
              <w:rPr>
                <w:rFonts w:ascii="Garamond" w:hAnsi="Garamond" w:cs="Garamond"/>
                <w:b/>
                <w:sz w:val="24"/>
                <w:szCs w:val="24"/>
                <w:lang w:val="en-US" w:bidi="ru-RU"/>
              </w:rPr>
            </w:pPr>
            <w:r w:rsidRPr="007F249B">
              <w:rPr>
                <w:rFonts w:ascii="Garamond" w:hAnsi="Garamond" w:cs="Garamond"/>
                <w:b/>
                <w:sz w:val="24"/>
                <w:szCs w:val="24"/>
                <w:lang w:val="en-US" w:bidi="ru-RU"/>
              </w:rPr>
              <w:t>Title of the article</w:t>
            </w:r>
          </w:p>
        </w:tc>
        <w:tc>
          <w:tcPr>
            <w:tcW w:w="7088" w:type="dxa"/>
            <w:shd w:val="clear" w:color="auto" w:fill="BFBFBF" w:themeFill="background1" w:themeFillShade="BF"/>
          </w:tcPr>
          <w:p w14:paraId="55D3948F" w14:textId="77777777" w:rsidR="00397933" w:rsidRPr="007F249B" w:rsidRDefault="00265358" w:rsidP="00397933">
            <w:pPr>
              <w:spacing w:line="240" w:lineRule="atLeast"/>
              <w:contextualSpacing/>
              <w:jc w:val="center"/>
              <w:rPr>
                <w:rFonts w:ascii="Garamond" w:hAnsi="Garamond" w:cs="Garamond"/>
                <w:b/>
                <w:sz w:val="24"/>
                <w:szCs w:val="24"/>
                <w:lang w:val="en-US" w:bidi="ru-RU"/>
              </w:rPr>
            </w:pPr>
            <w:r>
              <w:rPr>
                <w:rFonts w:ascii="Garamond" w:hAnsi="Garamond" w:cs="Garamond"/>
                <w:b/>
                <w:sz w:val="24"/>
                <w:szCs w:val="24"/>
                <w:lang w:val="en-US" w:bidi="ru-RU"/>
              </w:rPr>
              <w:t>References/</w:t>
            </w:r>
            <w:r w:rsidR="00397933" w:rsidRPr="007F249B">
              <w:rPr>
                <w:rFonts w:ascii="Garamond" w:hAnsi="Garamond" w:cs="Garamond"/>
                <w:b/>
                <w:sz w:val="24"/>
                <w:szCs w:val="24"/>
                <w:lang w:val="en-US" w:bidi="ru-RU"/>
              </w:rPr>
              <w:t>quick link</w:t>
            </w:r>
          </w:p>
        </w:tc>
      </w:tr>
      <w:tr w:rsidR="00397933" w:rsidRPr="00397933" w14:paraId="64ECB3EB" w14:textId="77777777" w:rsidTr="00397933">
        <w:tc>
          <w:tcPr>
            <w:tcW w:w="9464" w:type="dxa"/>
            <w:gridSpan w:val="4"/>
            <w:shd w:val="clear" w:color="auto" w:fill="D9D9D9" w:themeFill="background1" w:themeFillShade="D9"/>
            <w:vAlign w:val="center"/>
          </w:tcPr>
          <w:p w14:paraId="12A87DBF" w14:textId="77777777" w:rsidR="00397933" w:rsidRPr="00397933" w:rsidRDefault="00397933" w:rsidP="00397933">
            <w:pPr>
              <w:spacing w:line="240" w:lineRule="atLeast"/>
              <w:contextualSpacing/>
              <w:jc w:val="center"/>
              <w:rPr>
                <w:rFonts w:ascii="Garamond" w:hAnsi="Garamond" w:cs="Garamond"/>
                <w:b/>
                <w:sz w:val="24"/>
                <w:szCs w:val="24"/>
                <w:lang w:val="en-US" w:bidi="ru-RU"/>
              </w:rPr>
            </w:pPr>
            <w:r w:rsidRPr="00397933">
              <w:rPr>
                <w:rFonts w:ascii="Garamond" w:hAnsi="Garamond" w:cs="Garamond"/>
                <w:b/>
                <w:sz w:val="24"/>
                <w:szCs w:val="24"/>
                <w:lang w:val="en-US" w:bidi="ru-RU"/>
              </w:rPr>
              <w:t>Globalization</w:t>
            </w:r>
          </w:p>
        </w:tc>
      </w:tr>
      <w:tr w:rsidR="00397933" w:rsidRPr="00397933" w14:paraId="28B66C03" w14:textId="77777777" w:rsidTr="00265358">
        <w:tc>
          <w:tcPr>
            <w:tcW w:w="1951" w:type="dxa"/>
          </w:tcPr>
          <w:p w14:paraId="67BF2CAA"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Globalization: A Brief Overview</w:t>
            </w:r>
          </w:p>
        </w:tc>
        <w:tc>
          <w:tcPr>
            <w:tcW w:w="7513" w:type="dxa"/>
            <w:gridSpan w:val="3"/>
          </w:tcPr>
          <w:p w14:paraId="2C215DFC" w14:textId="77777777" w:rsidR="00265358" w:rsidRDefault="00265358" w:rsidP="00397933">
            <w:pPr>
              <w:spacing w:line="240" w:lineRule="atLeast"/>
              <w:contextualSpacing/>
              <w:jc w:val="both"/>
              <w:rPr>
                <w:rFonts w:ascii="Garamond" w:hAnsi="Garamond" w:cs="Garamond"/>
                <w:sz w:val="24"/>
                <w:szCs w:val="24"/>
                <w:lang w:val="en-US" w:bidi="ru-RU"/>
              </w:rPr>
            </w:pPr>
            <w:r>
              <w:rPr>
                <w:rFonts w:ascii="Garamond" w:hAnsi="Garamond" w:cs="Garamond"/>
                <w:sz w:val="24"/>
                <w:szCs w:val="24"/>
                <w:lang w:val="en-US" w:bidi="ru-RU"/>
              </w:rPr>
              <w:t xml:space="preserve">Staff, I. M. F., 2008, </w:t>
            </w:r>
            <w:r w:rsidR="00397933" w:rsidRPr="00397933">
              <w:rPr>
                <w:rFonts w:ascii="Garamond" w:hAnsi="Garamond" w:cs="Garamond"/>
                <w:sz w:val="24"/>
                <w:szCs w:val="24"/>
                <w:lang w:val="en-US" w:bidi="ru-RU"/>
              </w:rPr>
              <w:t xml:space="preserve">Globalization: A brief overview, </w:t>
            </w:r>
            <w:r w:rsidR="00397933" w:rsidRPr="00397933">
              <w:rPr>
                <w:rFonts w:ascii="Garamond" w:hAnsi="Garamond" w:cs="Garamond"/>
                <w:i/>
                <w:sz w:val="24"/>
                <w:szCs w:val="24"/>
                <w:lang w:val="en-US" w:bidi="ru-RU"/>
              </w:rPr>
              <w:t>Int. Monet. Fund Issues Brief</w:t>
            </w:r>
            <w:r w:rsidR="00397933" w:rsidRPr="00397933">
              <w:rPr>
                <w:rFonts w:ascii="Garamond" w:hAnsi="Garamond" w:cs="Garamond"/>
                <w:sz w:val="24"/>
                <w:szCs w:val="24"/>
                <w:lang w:val="en-US" w:bidi="ru-RU"/>
              </w:rPr>
              <w:t>, 2, pp. 1</w:t>
            </w:r>
            <w:r>
              <w:rPr>
                <w:rFonts w:ascii="Garamond" w:hAnsi="Garamond" w:cs="Garamond"/>
                <w:sz w:val="24"/>
                <w:szCs w:val="24"/>
                <w:lang w:val="en-US" w:bidi="ru-RU"/>
              </w:rPr>
              <w:t>–</w:t>
            </w:r>
            <w:r w:rsidR="00397933" w:rsidRPr="00397933">
              <w:rPr>
                <w:rFonts w:ascii="Garamond" w:hAnsi="Garamond" w:cs="Garamond"/>
                <w:sz w:val="24"/>
                <w:szCs w:val="24"/>
                <w:lang w:val="en-US" w:bidi="ru-RU"/>
              </w:rPr>
              <w:t xml:space="preserve">8. </w:t>
            </w:r>
          </w:p>
          <w:p w14:paraId="171F596D" w14:textId="77777777" w:rsidR="00397933" w:rsidRPr="00397933" w:rsidRDefault="00265358" w:rsidP="00397933">
            <w:pPr>
              <w:spacing w:line="240" w:lineRule="atLeast"/>
              <w:contextualSpacing/>
              <w:jc w:val="both"/>
              <w:rPr>
                <w:rFonts w:ascii="Garamond" w:hAnsi="Garamond" w:cs="Garamond"/>
                <w:sz w:val="24"/>
                <w:szCs w:val="24"/>
                <w:lang w:val="en-US" w:bidi="ru-RU"/>
              </w:rPr>
            </w:pPr>
            <w:r>
              <w:rPr>
                <w:rFonts w:ascii="Garamond" w:hAnsi="Garamond" w:cs="Garamond"/>
                <w:sz w:val="24"/>
                <w:szCs w:val="24"/>
                <w:lang w:val="en-US" w:bidi="ru-RU"/>
              </w:rPr>
              <w:t xml:space="preserve">Available at </w:t>
            </w:r>
            <w:hyperlink r:id="rId89" w:history="1">
              <w:r w:rsidRPr="00265358">
                <w:rPr>
                  <w:rFonts w:ascii="Garamond" w:hAnsi="Garamond"/>
                  <w:sz w:val="24"/>
                  <w:szCs w:val="24"/>
                  <w:lang w:val="en-US" w:bidi="ru-RU"/>
                </w:rPr>
                <w:t>http://www.imf.org/external/np/exr/ib/2008/053008.htm</w:t>
              </w:r>
            </w:hyperlink>
          </w:p>
        </w:tc>
      </w:tr>
      <w:tr w:rsidR="00397933" w:rsidRPr="00397933" w14:paraId="21D01BB7" w14:textId="77777777" w:rsidTr="00265358">
        <w:tc>
          <w:tcPr>
            <w:tcW w:w="1951" w:type="dxa"/>
          </w:tcPr>
          <w:p w14:paraId="795A7884"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Shaping Globalization</w:t>
            </w:r>
          </w:p>
        </w:tc>
        <w:tc>
          <w:tcPr>
            <w:tcW w:w="7513" w:type="dxa"/>
            <w:gridSpan w:val="3"/>
          </w:tcPr>
          <w:p w14:paraId="1ECE6075" w14:textId="77777777" w:rsidR="00265358" w:rsidRDefault="00265358" w:rsidP="00265358">
            <w:pPr>
              <w:spacing w:line="240" w:lineRule="atLeast"/>
              <w:contextualSpacing/>
              <w:jc w:val="both"/>
              <w:rPr>
                <w:rFonts w:ascii="Garamond" w:hAnsi="Garamond" w:cs="Garamond"/>
                <w:sz w:val="24"/>
                <w:szCs w:val="24"/>
                <w:lang w:val="en-US" w:bidi="ru-RU"/>
              </w:rPr>
            </w:pPr>
            <w:r>
              <w:rPr>
                <w:rFonts w:ascii="Garamond" w:hAnsi="Garamond" w:cs="Garamond"/>
                <w:sz w:val="24"/>
                <w:szCs w:val="24"/>
                <w:lang w:val="en-US" w:bidi="ru-RU"/>
              </w:rPr>
              <w:t>Wolf, M., 2014, Shaping Globalization</w:t>
            </w:r>
            <w:r w:rsidR="00397933" w:rsidRPr="00397933">
              <w:rPr>
                <w:rFonts w:ascii="Garamond" w:hAnsi="Garamond" w:cs="Garamond"/>
                <w:sz w:val="24"/>
                <w:szCs w:val="24"/>
                <w:lang w:val="en-US" w:bidi="ru-RU"/>
              </w:rPr>
              <w:t xml:space="preserve">, </w:t>
            </w:r>
            <w:r w:rsidR="00397933" w:rsidRPr="00397933">
              <w:rPr>
                <w:rFonts w:ascii="Garamond" w:hAnsi="Garamond" w:cs="Garamond"/>
                <w:i/>
                <w:sz w:val="24"/>
                <w:szCs w:val="24"/>
                <w:lang w:val="en-US" w:bidi="ru-RU"/>
              </w:rPr>
              <w:t xml:space="preserve">Finance </w:t>
            </w:r>
            <w:r>
              <w:rPr>
                <w:rFonts w:ascii="Garamond" w:hAnsi="Garamond" w:cs="Garamond"/>
                <w:i/>
                <w:sz w:val="24"/>
                <w:szCs w:val="24"/>
                <w:lang w:val="en-US" w:bidi="ru-RU"/>
              </w:rPr>
              <w:t>and</w:t>
            </w:r>
            <w:r w:rsidR="00397933" w:rsidRPr="00397933">
              <w:rPr>
                <w:rFonts w:ascii="Garamond" w:hAnsi="Garamond" w:cs="Garamond"/>
                <w:i/>
                <w:sz w:val="24"/>
                <w:szCs w:val="24"/>
                <w:lang w:val="en-US" w:bidi="ru-RU"/>
              </w:rPr>
              <w:t xml:space="preserve"> Development</w:t>
            </w:r>
            <w:r w:rsidR="00397933" w:rsidRPr="00397933">
              <w:rPr>
                <w:rFonts w:ascii="Garamond" w:hAnsi="Garamond" w:cs="Garamond"/>
                <w:sz w:val="24"/>
                <w:szCs w:val="24"/>
                <w:lang w:val="en-US" w:bidi="ru-RU"/>
              </w:rPr>
              <w:t>, 23.</w:t>
            </w:r>
            <w:r>
              <w:rPr>
                <w:rFonts w:ascii="Garamond" w:hAnsi="Garamond" w:cs="Garamond"/>
                <w:sz w:val="24"/>
                <w:szCs w:val="24"/>
                <w:lang w:val="en-US" w:bidi="ru-RU"/>
              </w:rPr>
              <w:t xml:space="preserve"> Available at</w:t>
            </w:r>
          </w:p>
          <w:p w14:paraId="6E572FC2" w14:textId="77777777" w:rsidR="00397933" w:rsidRPr="00397933" w:rsidRDefault="00397933" w:rsidP="00265358">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http://www.imf.org/external/pubs/ft/fandd/2014/09/wolf.htm</w:t>
            </w:r>
          </w:p>
        </w:tc>
      </w:tr>
      <w:tr w:rsidR="00397933" w:rsidRPr="00397933" w14:paraId="659C2FAD" w14:textId="77777777" w:rsidTr="00265358">
        <w:tc>
          <w:tcPr>
            <w:tcW w:w="1951" w:type="dxa"/>
          </w:tcPr>
          <w:p w14:paraId="47C40715"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A World of Change</w:t>
            </w:r>
          </w:p>
        </w:tc>
        <w:tc>
          <w:tcPr>
            <w:tcW w:w="7513" w:type="dxa"/>
            <w:gridSpan w:val="3"/>
          </w:tcPr>
          <w:p w14:paraId="46509508"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Kose,</w:t>
            </w:r>
            <w:r w:rsidR="00265358">
              <w:rPr>
                <w:rFonts w:ascii="Garamond" w:hAnsi="Garamond" w:cs="Garamond"/>
                <w:sz w:val="24"/>
                <w:szCs w:val="24"/>
                <w:lang w:val="en-US" w:bidi="ru-RU"/>
              </w:rPr>
              <w:t xml:space="preserve"> M. A., O. O. Ezgi, 2014, </w:t>
            </w:r>
            <w:r w:rsidRPr="00397933">
              <w:rPr>
                <w:rFonts w:ascii="Garamond" w:hAnsi="Garamond" w:cs="Garamond"/>
                <w:sz w:val="24"/>
                <w:szCs w:val="24"/>
                <w:lang w:val="en-US" w:bidi="ru-RU"/>
              </w:rPr>
              <w:t xml:space="preserve">A World of Change, </w:t>
            </w:r>
            <w:r w:rsidRPr="00397933">
              <w:rPr>
                <w:rFonts w:ascii="Garamond" w:hAnsi="Garamond" w:cs="Garamond"/>
                <w:i/>
                <w:sz w:val="24"/>
                <w:szCs w:val="24"/>
                <w:lang w:val="en-US" w:bidi="ru-RU"/>
              </w:rPr>
              <w:t xml:space="preserve">Finance </w:t>
            </w:r>
            <w:r w:rsidR="00265358">
              <w:rPr>
                <w:rFonts w:ascii="Garamond" w:hAnsi="Garamond" w:cs="Garamond"/>
                <w:i/>
                <w:sz w:val="24"/>
                <w:szCs w:val="24"/>
                <w:lang w:val="en-US" w:bidi="ru-RU"/>
              </w:rPr>
              <w:t>and</w:t>
            </w:r>
            <w:r w:rsidRPr="00397933">
              <w:rPr>
                <w:rFonts w:ascii="Garamond" w:hAnsi="Garamond" w:cs="Garamond"/>
                <w:i/>
                <w:sz w:val="24"/>
                <w:szCs w:val="24"/>
                <w:lang w:val="en-US" w:bidi="ru-RU"/>
              </w:rPr>
              <w:t xml:space="preserve"> Development</w:t>
            </w:r>
            <w:r w:rsidRPr="00397933">
              <w:rPr>
                <w:rFonts w:ascii="Garamond" w:hAnsi="Garamond" w:cs="Garamond"/>
                <w:sz w:val="24"/>
                <w:szCs w:val="24"/>
                <w:lang w:val="en-US" w:bidi="ru-RU"/>
              </w:rPr>
              <w:t>, September, pp. 6</w:t>
            </w:r>
            <w:r w:rsidR="00265358">
              <w:rPr>
                <w:rFonts w:ascii="Garamond" w:hAnsi="Garamond" w:cs="Garamond"/>
                <w:sz w:val="24"/>
                <w:szCs w:val="24"/>
                <w:lang w:val="en-US" w:bidi="ru-RU"/>
              </w:rPr>
              <w:t>–</w:t>
            </w:r>
            <w:r w:rsidRPr="00397933">
              <w:rPr>
                <w:rFonts w:ascii="Garamond" w:hAnsi="Garamond" w:cs="Garamond"/>
                <w:sz w:val="24"/>
                <w:szCs w:val="24"/>
                <w:lang w:val="en-US" w:bidi="ru-RU"/>
              </w:rPr>
              <w:t xml:space="preserve">11. </w:t>
            </w:r>
            <w:r w:rsidR="00265358">
              <w:rPr>
                <w:rFonts w:ascii="Garamond" w:hAnsi="Garamond" w:cs="Garamond"/>
                <w:sz w:val="24"/>
                <w:szCs w:val="24"/>
                <w:lang w:val="en-US" w:bidi="ru-RU"/>
              </w:rPr>
              <w:t xml:space="preserve"> Available at</w:t>
            </w:r>
          </w:p>
          <w:p w14:paraId="1C723D08"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http://www.imf.org/external/pubs/ft/fandd/2014/09/kose.htm</w:t>
            </w:r>
          </w:p>
        </w:tc>
      </w:tr>
      <w:tr w:rsidR="00397933" w:rsidRPr="00397933" w14:paraId="54F7E3BE" w14:textId="77777777" w:rsidTr="00265358">
        <w:tc>
          <w:tcPr>
            <w:tcW w:w="1951" w:type="dxa"/>
          </w:tcPr>
          <w:p w14:paraId="33DDDC89"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Convergence, Interdependence, and Divergence</w:t>
            </w:r>
          </w:p>
        </w:tc>
        <w:tc>
          <w:tcPr>
            <w:tcW w:w="7513" w:type="dxa"/>
            <w:gridSpan w:val="3"/>
          </w:tcPr>
          <w:p w14:paraId="616241B1" w14:textId="77777777" w:rsidR="00397933" w:rsidRPr="00397933" w:rsidRDefault="00265358" w:rsidP="00397933">
            <w:pPr>
              <w:spacing w:line="240" w:lineRule="atLeast"/>
              <w:contextualSpacing/>
              <w:jc w:val="both"/>
              <w:rPr>
                <w:rFonts w:ascii="Garamond" w:hAnsi="Garamond" w:cs="Garamond"/>
                <w:sz w:val="24"/>
                <w:szCs w:val="24"/>
                <w:lang w:val="en-US" w:bidi="ru-RU"/>
              </w:rPr>
            </w:pPr>
            <w:r>
              <w:rPr>
                <w:rFonts w:ascii="Garamond" w:hAnsi="Garamond" w:cs="Garamond"/>
                <w:sz w:val="24"/>
                <w:szCs w:val="24"/>
                <w:lang w:val="en-US" w:bidi="ru-RU"/>
              </w:rPr>
              <w:t xml:space="preserve">Derviş, K., 2012, </w:t>
            </w:r>
            <w:r w:rsidR="00397933" w:rsidRPr="00397933">
              <w:rPr>
                <w:rFonts w:ascii="Garamond" w:hAnsi="Garamond" w:cs="Garamond"/>
                <w:sz w:val="24"/>
                <w:szCs w:val="24"/>
                <w:lang w:val="en-US" w:bidi="ru-RU"/>
              </w:rPr>
              <w:t xml:space="preserve">Convergence, Interdependence, and Divergence, </w:t>
            </w:r>
            <w:r w:rsidR="00397933" w:rsidRPr="00397933">
              <w:rPr>
                <w:rFonts w:ascii="Garamond" w:hAnsi="Garamond" w:cs="Garamond"/>
                <w:i/>
                <w:sz w:val="24"/>
                <w:szCs w:val="24"/>
                <w:lang w:val="en-US" w:bidi="ru-RU"/>
              </w:rPr>
              <w:t xml:space="preserve">Finance </w:t>
            </w:r>
            <w:r>
              <w:rPr>
                <w:rFonts w:ascii="Garamond" w:hAnsi="Garamond" w:cs="Garamond"/>
                <w:i/>
                <w:sz w:val="24"/>
                <w:szCs w:val="24"/>
                <w:lang w:val="en-US" w:bidi="ru-RU"/>
              </w:rPr>
              <w:t>and</w:t>
            </w:r>
            <w:r w:rsidR="00397933" w:rsidRPr="00397933">
              <w:rPr>
                <w:rFonts w:ascii="Garamond" w:hAnsi="Garamond" w:cs="Garamond"/>
                <w:i/>
                <w:sz w:val="24"/>
                <w:szCs w:val="24"/>
                <w:lang w:val="en-US" w:bidi="ru-RU"/>
              </w:rPr>
              <w:t xml:space="preserve"> Development</w:t>
            </w:r>
            <w:r w:rsidR="00397933" w:rsidRPr="00397933">
              <w:rPr>
                <w:rFonts w:ascii="Garamond" w:hAnsi="Garamond" w:cs="Garamond"/>
                <w:sz w:val="24"/>
                <w:szCs w:val="24"/>
                <w:lang w:val="en-US" w:bidi="ru-RU"/>
              </w:rPr>
              <w:t>, September, Vol. 49, 3, pp. 10</w:t>
            </w:r>
            <w:r>
              <w:rPr>
                <w:rFonts w:ascii="Garamond" w:hAnsi="Garamond" w:cs="Garamond"/>
                <w:sz w:val="24"/>
                <w:szCs w:val="24"/>
                <w:lang w:val="en-US" w:bidi="ru-RU"/>
              </w:rPr>
              <w:t>–</w:t>
            </w:r>
            <w:r w:rsidR="00397933" w:rsidRPr="00397933">
              <w:rPr>
                <w:rFonts w:ascii="Garamond" w:hAnsi="Garamond" w:cs="Garamond"/>
                <w:sz w:val="24"/>
                <w:szCs w:val="24"/>
                <w:lang w:val="en-US" w:bidi="ru-RU"/>
              </w:rPr>
              <w:t>14.</w:t>
            </w:r>
            <w:r>
              <w:rPr>
                <w:rFonts w:ascii="Garamond" w:hAnsi="Garamond" w:cs="Garamond"/>
                <w:sz w:val="24"/>
                <w:szCs w:val="24"/>
                <w:lang w:val="en-US" w:bidi="ru-RU"/>
              </w:rPr>
              <w:t xml:space="preserve"> Available at</w:t>
            </w:r>
          </w:p>
          <w:p w14:paraId="117F1FE9"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http://www.imf.org/external/pubs/ft/fandd/2012/09/dervis.htm</w:t>
            </w:r>
          </w:p>
        </w:tc>
      </w:tr>
      <w:tr w:rsidR="00397933" w:rsidRPr="00397933" w14:paraId="3269AB63" w14:textId="77777777" w:rsidTr="00397933">
        <w:tc>
          <w:tcPr>
            <w:tcW w:w="9464" w:type="dxa"/>
            <w:gridSpan w:val="4"/>
            <w:shd w:val="clear" w:color="auto" w:fill="D9D9D9" w:themeFill="background1" w:themeFillShade="D9"/>
          </w:tcPr>
          <w:p w14:paraId="44E8CF68" w14:textId="77777777" w:rsidR="00397933" w:rsidRPr="00397933" w:rsidRDefault="00397933" w:rsidP="00397933">
            <w:pPr>
              <w:spacing w:line="240" w:lineRule="atLeast"/>
              <w:contextualSpacing/>
              <w:jc w:val="center"/>
              <w:rPr>
                <w:rFonts w:ascii="Garamond" w:hAnsi="Garamond" w:cs="Garamond"/>
                <w:b/>
                <w:sz w:val="24"/>
                <w:szCs w:val="24"/>
                <w:lang w:val="en-US" w:bidi="ru-RU"/>
              </w:rPr>
            </w:pPr>
            <w:r w:rsidRPr="00397933">
              <w:rPr>
                <w:rFonts w:ascii="Garamond" w:hAnsi="Garamond" w:cs="Garamond"/>
                <w:b/>
                <w:sz w:val="24"/>
                <w:szCs w:val="24"/>
                <w:lang w:val="en-US" w:bidi="ru-RU"/>
              </w:rPr>
              <w:t>Financial Globalization</w:t>
            </w:r>
          </w:p>
        </w:tc>
      </w:tr>
      <w:tr w:rsidR="00397933" w:rsidRPr="00397933" w14:paraId="5BE279AD" w14:textId="77777777" w:rsidTr="00265358">
        <w:tc>
          <w:tcPr>
            <w:tcW w:w="2093" w:type="dxa"/>
            <w:gridSpan w:val="2"/>
          </w:tcPr>
          <w:p w14:paraId="1AE0D04E"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Financial Globalization: Beyond the Blame Game</w:t>
            </w:r>
          </w:p>
        </w:tc>
        <w:tc>
          <w:tcPr>
            <w:tcW w:w="7371" w:type="dxa"/>
            <w:gridSpan w:val="2"/>
          </w:tcPr>
          <w:p w14:paraId="3DA403EC"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Kose, M. A., Prasad, E.,</w:t>
            </w:r>
            <w:r w:rsidR="00265358">
              <w:rPr>
                <w:rFonts w:ascii="Garamond" w:hAnsi="Garamond" w:cs="Garamond"/>
                <w:sz w:val="24"/>
                <w:szCs w:val="24"/>
                <w:lang w:val="en-US" w:bidi="ru-RU"/>
              </w:rPr>
              <w:t xml:space="preserve"> Rogoff, K., Wei, S.-J., 2007, </w:t>
            </w:r>
            <w:r w:rsidRPr="00397933">
              <w:rPr>
                <w:rFonts w:ascii="Garamond" w:hAnsi="Garamond" w:cs="Garamond"/>
                <w:sz w:val="24"/>
                <w:szCs w:val="24"/>
                <w:lang w:val="en-US" w:bidi="ru-RU"/>
              </w:rPr>
              <w:t xml:space="preserve">Financial Globalization: Beyond the Blame Game, </w:t>
            </w:r>
            <w:r w:rsidRPr="00397933">
              <w:rPr>
                <w:rFonts w:ascii="Garamond" w:hAnsi="Garamond" w:cs="Garamond"/>
                <w:i/>
                <w:sz w:val="24"/>
                <w:szCs w:val="24"/>
                <w:lang w:val="en-US" w:bidi="ru-RU"/>
              </w:rPr>
              <w:t xml:space="preserve">Finance </w:t>
            </w:r>
            <w:r w:rsidR="00265358">
              <w:rPr>
                <w:rFonts w:ascii="Garamond" w:hAnsi="Garamond" w:cs="Garamond"/>
                <w:i/>
                <w:sz w:val="24"/>
                <w:szCs w:val="24"/>
                <w:lang w:val="en-US" w:bidi="ru-RU"/>
              </w:rPr>
              <w:t>and</w:t>
            </w:r>
            <w:r w:rsidRPr="00397933">
              <w:rPr>
                <w:rFonts w:ascii="Garamond" w:hAnsi="Garamond" w:cs="Garamond"/>
                <w:i/>
                <w:sz w:val="24"/>
                <w:szCs w:val="24"/>
                <w:lang w:val="en-US" w:bidi="ru-RU"/>
              </w:rPr>
              <w:t xml:space="preserve"> Development</w:t>
            </w:r>
            <w:r w:rsidRPr="00397933">
              <w:rPr>
                <w:rFonts w:ascii="Garamond" w:hAnsi="Garamond" w:cs="Garamond"/>
                <w:sz w:val="24"/>
                <w:szCs w:val="24"/>
                <w:lang w:val="en-US" w:bidi="ru-RU"/>
              </w:rPr>
              <w:t>, March, Vol. 44, 1.</w:t>
            </w:r>
            <w:r w:rsidR="00265358">
              <w:rPr>
                <w:rFonts w:ascii="Garamond" w:hAnsi="Garamond" w:cs="Garamond"/>
                <w:sz w:val="24"/>
                <w:szCs w:val="24"/>
                <w:lang w:val="en-US" w:bidi="ru-RU"/>
              </w:rPr>
              <w:t xml:space="preserve"> Available at</w:t>
            </w:r>
          </w:p>
          <w:p w14:paraId="5837486E"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http://www.imf.org/external/pubs/ft/fandd/2007/03/kose.htm</w:t>
            </w:r>
          </w:p>
        </w:tc>
      </w:tr>
      <w:tr w:rsidR="00397933" w:rsidRPr="00397933" w14:paraId="306C38C5" w14:textId="77777777" w:rsidTr="00265358">
        <w:tc>
          <w:tcPr>
            <w:tcW w:w="2093" w:type="dxa"/>
            <w:gridSpan w:val="2"/>
          </w:tcPr>
          <w:p w14:paraId="1A62DA43" w14:textId="77777777" w:rsidR="00397933" w:rsidRPr="00397933" w:rsidRDefault="00397933" w:rsidP="00265358">
            <w:pPr>
              <w:spacing w:line="240" w:lineRule="atLeast"/>
              <w:rPr>
                <w:rFonts w:ascii="Garamond" w:hAnsi="Garamond" w:cs="Garamond"/>
                <w:sz w:val="24"/>
                <w:szCs w:val="24"/>
                <w:lang w:val="en-US"/>
              </w:rPr>
            </w:pPr>
            <w:r w:rsidRPr="00397933">
              <w:rPr>
                <w:rFonts w:ascii="Garamond" w:hAnsi="Garamond" w:cs="Garamond"/>
                <w:sz w:val="24"/>
                <w:szCs w:val="24"/>
                <w:lang w:val="en-US"/>
              </w:rPr>
              <w:t>The Paradox of Capital</w:t>
            </w:r>
            <w:r w:rsidR="00265358">
              <w:rPr>
                <w:rFonts w:ascii="Garamond" w:hAnsi="Garamond" w:cs="Garamond"/>
                <w:sz w:val="24"/>
                <w:szCs w:val="24"/>
                <w:lang w:val="en-US"/>
              </w:rPr>
              <w:t xml:space="preserve"> </w:t>
            </w:r>
          </w:p>
        </w:tc>
        <w:tc>
          <w:tcPr>
            <w:tcW w:w="7371" w:type="dxa"/>
            <w:gridSpan w:val="2"/>
          </w:tcPr>
          <w:p w14:paraId="5D5BEBD8"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Prasad, E., Raj</w:t>
            </w:r>
            <w:r w:rsidR="00265358">
              <w:rPr>
                <w:rFonts w:ascii="Garamond" w:hAnsi="Garamond" w:cs="Garamond"/>
                <w:sz w:val="24"/>
                <w:szCs w:val="24"/>
                <w:lang w:val="en-US" w:bidi="ru-RU"/>
              </w:rPr>
              <w:t xml:space="preserve">an, R., Subramanian, R., 2007, </w:t>
            </w:r>
            <w:r w:rsidRPr="00397933">
              <w:rPr>
                <w:rFonts w:ascii="Garamond" w:hAnsi="Garamond" w:cs="Garamond"/>
                <w:sz w:val="24"/>
                <w:szCs w:val="24"/>
                <w:lang w:val="en-US" w:bidi="ru-RU"/>
              </w:rPr>
              <w:t xml:space="preserve">The Paradox of Capital, </w:t>
            </w:r>
            <w:r w:rsidRPr="00397933">
              <w:rPr>
                <w:rFonts w:ascii="Garamond" w:hAnsi="Garamond" w:cs="Garamond"/>
                <w:i/>
                <w:sz w:val="24"/>
                <w:szCs w:val="24"/>
                <w:lang w:val="en-US" w:bidi="ru-RU"/>
              </w:rPr>
              <w:t xml:space="preserve">Finance </w:t>
            </w:r>
            <w:r w:rsidR="00265358">
              <w:rPr>
                <w:rFonts w:ascii="Garamond" w:hAnsi="Garamond" w:cs="Garamond"/>
                <w:i/>
                <w:sz w:val="24"/>
                <w:szCs w:val="24"/>
                <w:lang w:val="en-US" w:bidi="ru-RU"/>
              </w:rPr>
              <w:t>and</w:t>
            </w:r>
            <w:r w:rsidRPr="00397933">
              <w:rPr>
                <w:rFonts w:ascii="Garamond" w:hAnsi="Garamond" w:cs="Garamond"/>
                <w:i/>
                <w:sz w:val="24"/>
                <w:szCs w:val="24"/>
                <w:lang w:val="en-US" w:bidi="ru-RU"/>
              </w:rPr>
              <w:t xml:space="preserve"> Development</w:t>
            </w:r>
            <w:r w:rsidRPr="00397933">
              <w:rPr>
                <w:rFonts w:ascii="Garamond" w:hAnsi="Garamond" w:cs="Garamond"/>
                <w:sz w:val="24"/>
                <w:szCs w:val="24"/>
                <w:lang w:val="en-US" w:bidi="ru-RU"/>
              </w:rPr>
              <w:t>, March, Vol. 44, 1.</w:t>
            </w:r>
            <w:r w:rsidR="00265358">
              <w:rPr>
                <w:rFonts w:ascii="Garamond" w:hAnsi="Garamond" w:cs="Garamond"/>
                <w:sz w:val="24"/>
                <w:szCs w:val="24"/>
                <w:lang w:val="en-US" w:bidi="ru-RU"/>
              </w:rPr>
              <w:t xml:space="preserve"> Available at</w:t>
            </w:r>
          </w:p>
          <w:p w14:paraId="2A739D74"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http://www.imf.org/external/pubs/ft/fandd/2007/03/prasad.htm</w:t>
            </w:r>
          </w:p>
        </w:tc>
      </w:tr>
      <w:tr w:rsidR="00397933" w:rsidRPr="00397933" w14:paraId="24F07B8C" w14:textId="77777777" w:rsidTr="00265358">
        <w:tc>
          <w:tcPr>
            <w:tcW w:w="2093" w:type="dxa"/>
            <w:gridSpan w:val="2"/>
          </w:tcPr>
          <w:p w14:paraId="42CA97F0" w14:textId="77777777" w:rsidR="00397933" w:rsidRPr="00397933" w:rsidRDefault="00397933" w:rsidP="00397933">
            <w:pPr>
              <w:spacing w:line="240" w:lineRule="atLeast"/>
              <w:rPr>
                <w:rFonts w:ascii="Garamond" w:hAnsi="Garamond" w:cs="Garamond"/>
                <w:sz w:val="24"/>
                <w:szCs w:val="24"/>
                <w:lang w:val="en-US"/>
              </w:rPr>
            </w:pPr>
            <w:r w:rsidRPr="00397933">
              <w:rPr>
                <w:rFonts w:ascii="Garamond" w:hAnsi="Garamond" w:cs="Garamond"/>
                <w:sz w:val="24"/>
                <w:szCs w:val="24"/>
                <w:lang w:val="en-US"/>
              </w:rPr>
              <w:t>Wising Up about Finance</w:t>
            </w:r>
          </w:p>
        </w:tc>
        <w:tc>
          <w:tcPr>
            <w:tcW w:w="7371" w:type="dxa"/>
            <w:gridSpan w:val="2"/>
          </w:tcPr>
          <w:p w14:paraId="713398C4" w14:textId="77777777" w:rsidR="00397933" w:rsidRPr="00397933" w:rsidRDefault="00265358" w:rsidP="00397933">
            <w:pPr>
              <w:spacing w:line="240" w:lineRule="atLeast"/>
              <w:contextualSpacing/>
              <w:jc w:val="both"/>
              <w:rPr>
                <w:rFonts w:ascii="Garamond" w:hAnsi="Garamond" w:cs="Garamond"/>
                <w:sz w:val="24"/>
                <w:szCs w:val="24"/>
                <w:lang w:val="en-US" w:bidi="ru-RU"/>
              </w:rPr>
            </w:pPr>
            <w:r>
              <w:rPr>
                <w:rFonts w:ascii="Garamond" w:hAnsi="Garamond" w:cs="Garamond"/>
                <w:sz w:val="24"/>
                <w:szCs w:val="24"/>
                <w:lang w:val="en-US" w:bidi="ru-RU"/>
              </w:rPr>
              <w:t>Lipschitz, Leslie, 2007, Wising Up about Finance</w:t>
            </w:r>
            <w:r w:rsidR="00397933" w:rsidRPr="00397933">
              <w:rPr>
                <w:rFonts w:ascii="Garamond" w:hAnsi="Garamond" w:cs="Garamond"/>
                <w:sz w:val="24"/>
                <w:szCs w:val="24"/>
                <w:lang w:val="en-US" w:bidi="ru-RU"/>
              </w:rPr>
              <w:t xml:space="preserve">, </w:t>
            </w:r>
            <w:r w:rsidR="00397933" w:rsidRPr="00397933">
              <w:rPr>
                <w:rFonts w:ascii="Garamond" w:hAnsi="Garamond" w:cs="Garamond"/>
                <w:i/>
                <w:sz w:val="24"/>
                <w:szCs w:val="24"/>
                <w:lang w:val="en-US" w:bidi="ru-RU"/>
              </w:rPr>
              <w:t xml:space="preserve">Finance </w:t>
            </w:r>
            <w:r>
              <w:rPr>
                <w:rFonts w:ascii="Garamond" w:hAnsi="Garamond" w:cs="Garamond"/>
                <w:i/>
                <w:sz w:val="24"/>
                <w:szCs w:val="24"/>
                <w:lang w:val="en-US" w:bidi="ru-RU"/>
              </w:rPr>
              <w:t>and</w:t>
            </w:r>
            <w:r w:rsidR="00397933" w:rsidRPr="00397933">
              <w:rPr>
                <w:rFonts w:ascii="Garamond" w:hAnsi="Garamond" w:cs="Garamond"/>
                <w:i/>
                <w:sz w:val="24"/>
                <w:szCs w:val="24"/>
                <w:lang w:val="en-US" w:bidi="ru-RU"/>
              </w:rPr>
              <w:t xml:space="preserve"> Development</w:t>
            </w:r>
            <w:r w:rsidR="00397933" w:rsidRPr="00397933">
              <w:rPr>
                <w:rFonts w:ascii="Garamond" w:hAnsi="Garamond" w:cs="Garamond"/>
                <w:sz w:val="24"/>
                <w:szCs w:val="24"/>
                <w:lang w:val="en-US" w:bidi="ru-RU"/>
              </w:rPr>
              <w:t>, March, Vol. 44, 1, pp. 24</w:t>
            </w:r>
            <w:r>
              <w:rPr>
                <w:rFonts w:ascii="Garamond" w:hAnsi="Garamond" w:cs="Garamond"/>
                <w:sz w:val="24"/>
                <w:szCs w:val="24"/>
                <w:lang w:val="en-US" w:bidi="ru-RU"/>
              </w:rPr>
              <w:t>–</w:t>
            </w:r>
            <w:r w:rsidR="00397933" w:rsidRPr="00397933">
              <w:rPr>
                <w:rFonts w:ascii="Garamond" w:hAnsi="Garamond" w:cs="Garamond"/>
                <w:sz w:val="24"/>
                <w:szCs w:val="24"/>
                <w:lang w:val="en-US" w:bidi="ru-RU"/>
              </w:rPr>
              <w:t>27.</w:t>
            </w:r>
            <w:r>
              <w:rPr>
                <w:rFonts w:ascii="Garamond" w:hAnsi="Garamond" w:cs="Garamond"/>
                <w:sz w:val="24"/>
                <w:szCs w:val="24"/>
                <w:lang w:val="en-US" w:bidi="ru-RU"/>
              </w:rPr>
              <w:t xml:space="preserve"> Available at</w:t>
            </w:r>
          </w:p>
          <w:p w14:paraId="63789B73"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http://www.imf.org/external/pubs/ft/fandd/2007/03/lipsch.htm</w:t>
            </w:r>
          </w:p>
        </w:tc>
      </w:tr>
      <w:tr w:rsidR="00265358" w:rsidRPr="00397933" w14:paraId="24EC80BC" w14:textId="77777777" w:rsidTr="00265358">
        <w:tc>
          <w:tcPr>
            <w:tcW w:w="2093" w:type="dxa"/>
            <w:gridSpan w:val="2"/>
            <w:shd w:val="clear" w:color="auto" w:fill="BFBFBF" w:themeFill="background1" w:themeFillShade="BF"/>
          </w:tcPr>
          <w:p w14:paraId="38C06B7F" w14:textId="77777777" w:rsidR="00265358" w:rsidRPr="007F249B" w:rsidRDefault="00265358" w:rsidP="00944922">
            <w:pPr>
              <w:spacing w:line="240" w:lineRule="atLeast"/>
              <w:contextualSpacing/>
              <w:jc w:val="center"/>
              <w:rPr>
                <w:rFonts w:ascii="Garamond" w:hAnsi="Garamond" w:cs="Garamond"/>
                <w:b/>
                <w:sz w:val="24"/>
                <w:szCs w:val="24"/>
                <w:lang w:val="en-US" w:bidi="ru-RU"/>
              </w:rPr>
            </w:pPr>
            <w:r w:rsidRPr="007F249B">
              <w:rPr>
                <w:rFonts w:ascii="Garamond" w:hAnsi="Garamond" w:cs="Garamond"/>
                <w:b/>
                <w:sz w:val="24"/>
                <w:szCs w:val="24"/>
                <w:lang w:val="en-US" w:bidi="ru-RU"/>
              </w:rPr>
              <w:lastRenderedPageBreak/>
              <w:t>Title of the article</w:t>
            </w:r>
          </w:p>
        </w:tc>
        <w:tc>
          <w:tcPr>
            <w:tcW w:w="7371" w:type="dxa"/>
            <w:gridSpan w:val="2"/>
            <w:shd w:val="clear" w:color="auto" w:fill="BFBFBF" w:themeFill="background1" w:themeFillShade="BF"/>
          </w:tcPr>
          <w:p w14:paraId="48E8C579" w14:textId="77777777" w:rsidR="00265358" w:rsidRPr="007F249B" w:rsidRDefault="00265358" w:rsidP="00944922">
            <w:pPr>
              <w:spacing w:line="240" w:lineRule="atLeast"/>
              <w:contextualSpacing/>
              <w:jc w:val="center"/>
              <w:rPr>
                <w:rFonts w:ascii="Garamond" w:hAnsi="Garamond" w:cs="Garamond"/>
                <w:b/>
                <w:sz w:val="24"/>
                <w:szCs w:val="24"/>
                <w:lang w:val="en-US" w:bidi="ru-RU"/>
              </w:rPr>
            </w:pPr>
            <w:r>
              <w:rPr>
                <w:rFonts w:ascii="Garamond" w:hAnsi="Garamond" w:cs="Garamond"/>
                <w:b/>
                <w:sz w:val="24"/>
                <w:szCs w:val="24"/>
                <w:lang w:val="en-US" w:bidi="ru-RU"/>
              </w:rPr>
              <w:t>References/</w:t>
            </w:r>
            <w:r w:rsidRPr="007F249B">
              <w:rPr>
                <w:rFonts w:ascii="Garamond" w:hAnsi="Garamond" w:cs="Garamond"/>
                <w:b/>
                <w:sz w:val="24"/>
                <w:szCs w:val="24"/>
                <w:lang w:val="en-US" w:bidi="ru-RU"/>
              </w:rPr>
              <w:t>quick link</w:t>
            </w:r>
          </w:p>
        </w:tc>
      </w:tr>
      <w:tr w:rsidR="00397933" w:rsidRPr="00397933" w14:paraId="6671E2D6" w14:textId="77777777" w:rsidTr="00265358">
        <w:tc>
          <w:tcPr>
            <w:tcW w:w="2093" w:type="dxa"/>
            <w:gridSpan w:val="2"/>
          </w:tcPr>
          <w:p w14:paraId="2013749B" w14:textId="77777777" w:rsidR="00397933" w:rsidRPr="00397933" w:rsidRDefault="00397933" w:rsidP="00397933">
            <w:pPr>
              <w:spacing w:line="240" w:lineRule="atLeast"/>
              <w:rPr>
                <w:rFonts w:ascii="Garamond" w:hAnsi="Garamond" w:cs="Garamond"/>
                <w:sz w:val="24"/>
                <w:szCs w:val="24"/>
                <w:lang w:val="en-US"/>
              </w:rPr>
            </w:pPr>
            <w:r w:rsidRPr="00397933">
              <w:rPr>
                <w:rFonts w:ascii="Garamond" w:hAnsi="Garamond" w:cs="Garamond"/>
                <w:sz w:val="24"/>
                <w:szCs w:val="24"/>
                <w:lang w:val="en-US"/>
              </w:rPr>
              <w:t>Dealing with Global Fluidity</w:t>
            </w:r>
          </w:p>
        </w:tc>
        <w:tc>
          <w:tcPr>
            <w:tcW w:w="7371" w:type="dxa"/>
            <w:gridSpan w:val="2"/>
          </w:tcPr>
          <w:p w14:paraId="256D1CA7"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El</w:t>
            </w:r>
            <w:r w:rsidR="00265358">
              <w:rPr>
                <w:rFonts w:ascii="Garamond" w:hAnsi="Garamond" w:cs="Garamond"/>
                <w:sz w:val="24"/>
                <w:szCs w:val="24"/>
                <w:lang w:val="en-US" w:bidi="ru-RU"/>
              </w:rPr>
              <w:t>–</w:t>
            </w:r>
            <w:r w:rsidRPr="00397933">
              <w:rPr>
                <w:rFonts w:ascii="Garamond" w:hAnsi="Garamond" w:cs="Garamond"/>
                <w:sz w:val="24"/>
                <w:szCs w:val="24"/>
                <w:lang w:val="en-US" w:bidi="ru-RU"/>
              </w:rPr>
              <w:t>Erian, M. A.</w:t>
            </w:r>
            <w:r w:rsidRPr="00397933">
              <w:rPr>
                <w:rFonts w:ascii="Garamond" w:hAnsi="Garamond" w:cs="Garamond"/>
                <w:sz w:val="24"/>
                <w:szCs w:val="24"/>
                <w:lang w:val="en-US"/>
              </w:rPr>
              <w:t xml:space="preserve"> </w:t>
            </w:r>
            <w:r w:rsidR="00265358">
              <w:rPr>
                <w:rFonts w:ascii="Garamond" w:hAnsi="Garamond" w:cs="Garamond"/>
                <w:sz w:val="24"/>
                <w:szCs w:val="24"/>
                <w:lang w:val="en-US" w:bidi="ru-RU"/>
              </w:rPr>
              <w:t>2007, Dealing with Global Fluidity</w:t>
            </w:r>
            <w:r w:rsidRPr="00397933">
              <w:rPr>
                <w:rFonts w:ascii="Garamond" w:hAnsi="Garamond" w:cs="Garamond"/>
                <w:sz w:val="24"/>
                <w:szCs w:val="24"/>
                <w:lang w:val="en-US" w:bidi="ru-RU"/>
              </w:rPr>
              <w:t xml:space="preserve">, </w:t>
            </w:r>
            <w:r w:rsidRPr="00397933">
              <w:rPr>
                <w:rFonts w:ascii="Garamond" w:hAnsi="Garamond" w:cs="Garamond"/>
                <w:i/>
                <w:sz w:val="24"/>
                <w:szCs w:val="24"/>
                <w:lang w:val="en-US" w:bidi="ru-RU"/>
              </w:rPr>
              <w:t xml:space="preserve">Finance </w:t>
            </w:r>
            <w:r w:rsidR="00265358">
              <w:rPr>
                <w:rFonts w:ascii="Garamond" w:hAnsi="Garamond" w:cs="Garamond"/>
                <w:i/>
                <w:sz w:val="24"/>
                <w:szCs w:val="24"/>
                <w:lang w:val="en-US" w:bidi="ru-RU"/>
              </w:rPr>
              <w:t>and</w:t>
            </w:r>
            <w:r w:rsidRPr="00397933">
              <w:rPr>
                <w:rFonts w:ascii="Garamond" w:hAnsi="Garamond" w:cs="Garamond"/>
                <w:i/>
                <w:sz w:val="24"/>
                <w:szCs w:val="24"/>
                <w:lang w:val="en-US" w:bidi="ru-RU"/>
              </w:rPr>
              <w:t xml:space="preserve"> Development</w:t>
            </w:r>
            <w:r w:rsidRPr="00397933">
              <w:rPr>
                <w:rFonts w:ascii="Garamond" w:hAnsi="Garamond" w:cs="Garamond"/>
                <w:sz w:val="24"/>
                <w:szCs w:val="24"/>
                <w:lang w:val="en-US" w:bidi="ru-RU"/>
              </w:rPr>
              <w:t>, March, Vol. 44, 1.</w:t>
            </w:r>
            <w:r w:rsidR="00265358">
              <w:rPr>
                <w:rFonts w:ascii="Garamond" w:hAnsi="Garamond" w:cs="Garamond"/>
                <w:sz w:val="24"/>
                <w:szCs w:val="24"/>
                <w:lang w:val="en-US" w:bidi="ru-RU"/>
              </w:rPr>
              <w:t xml:space="preserve"> Available at</w:t>
            </w:r>
          </w:p>
          <w:p w14:paraId="65F0EAF0"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http://www.imf.org/external/pubs/ft/fandd/2007/03/pazar.htm</w:t>
            </w:r>
          </w:p>
        </w:tc>
      </w:tr>
      <w:tr w:rsidR="00397933" w:rsidRPr="00397933" w14:paraId="4741AF4D" w14:textId="77777777" w:rsidTr="00397933">
        <w:tc>
          <w:tcPr>
            <w:tcW w:w="9464" w:type="dxa"/>
            <w:gridSpan w:val="4"/>
            <w:shd w:val="clear" w:color="auto" w:fill="D9D9D9" w:themeFill="background1" w:themeFillShade="D9"/>
          </w:tcPr>
          <w:p w14:paraId="3A1809EE" w14:textId="77777777" w:rsidR="00397933" w:rsidRPr="00397933" w:rsidRDefault="00397933" w:rsidP="00397933">
            <w:pPr>
              <w:spacing w:line="240" w:lineRule="atLeast"/>
              <w:contextualSpacing/>
              <w:jc w:val="center"/>
              <w:rPr>
                <w:rFonts w:ascii="Garamond" w:hAnsi="Garamond" w:cs="Garamond"/>
                <w:b/>
                <w:sz w:val="24"/>
                <w:szCs w:val="24"/>
                <w:lang w:val="en-US" w:bidi="ru-RU"/>
              </w:rPr>
            </w:pPr>
            <w:r w:rsidRPr="00397933">
              <w:rPr>
                <w:rFonts w:ascii="Garamond" w:hAnsi="Garamond" w:cs="Garamond"/>
                <w:b/>
                <w:sz w:val="24"/>
                <w:szCs w:val="24"/>
                <w:lang w:val="en-US" w:bidi="ru-RU"/>
              </w:rPr>
              <w:t>Inflation/ deflation/ hyperinflation</w:t>
            </w:r>
          </w:p>
        </w:tc>
      </w:tr>
      <w:tr w:rsidR="00397933" w:rsidRPr="00397933" w14:paraId="5123B485" w14:textId="77777777" w:rsidTr="00464EB2">
        <w:tc>
          <w:tcPr>
            <w:tcW w:w="2093" w:type="dxa"/>
            <w:gridSpan w:val="2"/>
          </w:tcPr>
          <w:p w14:paraId="3DEEED85"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The Realities of Modern Hyperinflation</w:t>
            </w:r>
          </w:p>
        </w:tc>
        <w:tc>
          <w:tcPr>
            <w:tcW w:w="7371" w:type="dxa"/>
            <w:gridSpan w:val="2"/>
          </w:tcPr>
          <w:p w14:paraId="121AEB46"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Reinhart,</w:t>
            </w:r>
            <w:r w:rsidR="00265358">
              <w:rPr>
                <w:rFonts w:ascii="Garamond" w:hAnsi="Garamond" w:cs="Garamond"/>
                <w:sz w:val="24"/>
                <w:szCs w:val="24"/>
                <w:lang w:val="en-US" w:bidi="ru-RU"/>
              </w:rPr>
              <w:t xml:space="preserve"> C. M., Savastano M. A., 2003, </w:t>
            </w:r>
            <w:r w:rsidRPr="00397933">
              <w:rPr>
                <w:rFonts w:ascii="Garamond" w:hAnsi="Garamond" w:cs="Garamond"/>
                <w:sz w:val="24"/>
                <w:szCs w:val="24"/>
                <w:lang w:val="en-US" w:bidi="ru-RU"/>
              </w:rPr>
              <w:t>The Rea</w:t>
            </w:r>
            <w:r w:rsidR="00265358">
              <w:rPr>
                <w:rFonts w:ascii="Garamond" w:hAnsi="Garamond" w:cs="Garamond"/>
                <w:sz w:val="24"/>
                <w:szCs w:val="24"/>
                <w:lang w:val="en-US" w:bidi="ru-RU"/>
              </w:rPr>
              <w:t>lities of Modern Hyperinflation</w:t>
            </w:r>
            <w:r w:rsidRPr="00397933">
              <w:rPr>
                <w:rFonts w:ascii="Garamond" w:hAnsi="Garamond" w:cs="Garamond"/>
                <w:sz w:val="24"/>
                <w:szCs w:val="24"/>
                <w:lang w:val="en-US" w:bidi="ru-RU"/>
              </w:rPr>
              <w:t xml:space="preserve">, </w:t>
            </w:r>
            <w:r w:rsidRPr="00397933">
              <w:rPr>
                <w:rFonts w:ascii="Garamond" w:hAnsi="Garamond" w:cs="Garamond"/>
                <w:i/>
                <w:sz w:val="24"/>
                <w:szCs w:val="24"/>
                <w:lang w:val="en-US" w:bidi="ru-RU"/>
              </w:rPr>
              <w:t>Finance and Development</w:t>
            </w:r>
            <w:r w:rsidRPr="00397933">
              <w:rPr>
                <w:rFonts w:ascii="Garamond" w:hAnsi="Garamond" w:cs="Garamond"/>
                <w:sz w:val="24"/>
                <w:szCs w:val="24"/>
                <w:lang w:val="en-US" w:bidi="ru-RU"/>
              </w:rPr>
              <w:t>, June, pp. 20</w:t>
            </w:r>
            <w:r w:rsidR="00265358">
              <w:rPr>
                <w:rFonts w:ascii="Garamond" w:hAnsi="Garamond" w:cs="Garamond"/>
                <w:sz w:val="24"/>
                <w:szCs w:val="24"/>
                <w:lang w:val="en-US" w:bidi="ru-RU"/>
              </w:rPr>
              <w:t>–</w:t>
            </w:r>
            <w:r w:rsidRPr="00397933">
              <w:rPr>
                <w:rFonts w:ascii="Garamond" w:hAnsi="Garamond" w:cs="Garamond"/>
                <w:sz w:val="24"/>
                <w:szCs w:val="24"/>
                <w:lang w:val="en-US" w:bidi="ru-RU"/>
              </w:rPr>
              <w:t>23.</w:t>
            </w:r>
            <w:r w:rsidR="00265358">
              <w:rPr>
                <w:rFonts w:ascii="Garamond" w:hAnsi="Garamond" w:cs="Garamond"/>
                <w:sz w:val="24"/>
                <w:szCs w:val="24"/>
                <w:lang w:val="en-US" w:bidi="ru-RU"/>
              </w:rPr>
              <w:t xml:space="preserve"> Available at</w:t>
            </w:r>
          </w:p>
          <w:p w14:paraId="2DC09BBF"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http://www.imf.org/external/pubs/ft/fandd/2003/06/pdf/reinhard.pdf</w:t>
            </w:r>
          </w:p>
        </w:tc>
      </w:tr>
      <w:tr w:rsidR="00397933" w:rsidRPr="00397933" w14:paraId="091CDA02" w14:textId="77777777" w:rsidTr="00464EB2">
        <w:tc>
          <w:tcPr>
            <w:tcW w:w="2093" w:type="dxa"/>
            <w:gridSpan w:val="2"/>
          </w:tcPr>
          <w:p w14:paraId="61D12CC1"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Deflation: The new threat?</w:t>
            </w:r>
          </w:p>
        </w:tc>
        <w:tc>
          <w:tcPr>
            <w:tcW w:w="7371" w:type="dxa"/>
            <w:gridSpan w:val="2"/>
          </w:tcPr>
          <w:p w14:paraId="30AECB2B"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rPr>
              <w:t>Kumar, M. S.</w:t>
            </w:r>
            <w:r w:rsidRPr="00397933">
              <w:rPr>
                <w:rFonts w:ascii="Garamond" w:hAnsi="Garamond" w:cs="Garamond"/>
                <w:sz w:val="24"/>
                <w:szCs w:val="24"/>
                <w:lang w:val="en-US" w:bidi="ru-RU"/>
              </w:rPr>
              <w:t xml:space="preserve">, 2003, Deflation: The new threat?, </w:t>
            </w:r>
            <w:r w:rsidRPr="00397933">
              <w:rPr>
                <w:rFonts w:ascii="Garamond" w:hAnsi="Garamond" w:cs="Garamond"/>
                <w:i/>
                <w:sz w:val="24"/>
                <w:szCs w:val="24"/>
                <w:lang w:val="en-US" w:bidi="ru-RU"/>
              </w:rPr>
              <w:t>Finance and Development</w:t>
            </w:r>
            <w:r w:rsidRPr="00397933">
              <w:rPr>
                <w:rFonts w:ascii="Garamond" w:hAnsi="Garamond" w:cs="Garamond"/>
                <w:sz w:val="24"/>
                <w:szCs w:val="24"/>
                <w:lang w:val="en-US" w:bidi="ru-RU"/>
              </w:rPr>
              <w:t>, June, pp. 16</w:t>
            </w:r>
            <w:r w:rsidR="00265358">
              <w:rPr>
                <w:rFonts w:ascii="Garamond" w:hAnsi="Garamond" w:cs="Garamond"/>
                <w:sz w:val="24"/>
                <w:szCs w:val="24"/>
                <w:lang w:val="en-US" w:bidi="ru-RU"/>
              </w:rPr>
              <w:t>–</w:t>
            </w:r>
            <w:r w:rsidRPr="00397933">
              <w:rPr>
                <w:rFonts w:ascii="Garamond" w:hAnsi="Garamond" w:cs="Garamond"/>
                <w:sz w:val="24"/>
                <w:szCs w:val="24"/>
                <w:lang w:val="en-US" w:bidi="ru-RU"/>
              </w:rPr>
              <w:t>19.</w:t>
            </w:r>
            <w:r w:rsidR="00265358">
              <w:rPr>
                <w:rFonts w:ascii="Garamond" w:hAnsi="Garamond" w:cs="Garamond"/>
                <w:sz w:val="24"/>
                <w:szCs w:val="24"/>
                <w:lang w:val="en-US" w:bidi="ru-RU"/>
              </w:rPr>
              <w:t xml:space="preserve"> Available at</w:t>
            </w:r>
          </w:p>
          <w:p w14:paraId="3CB50F68"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http://www.imf.org/external/pubs/ft/fandd/2003/06/pdf/kumar.pdf</w:t>
            </w:r>
          </w:p>
        </w:tc>
      </w:tr>
      <w:tr w:rsidR="00397933" w:rsidRPr="00397933" w14:paraId="41368C26" w14:textId="77777777" w:rsidTr="00464EB2">
        <w:tc>
          <w:tcPr>
            <w:tcW w:w="2093" w:type="dxa"/>
            <w:gridSpan w:val="2"/>
          </w:tcPr>
          <w:p w14:paraId="32E42E4F"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 xml:space="preserve">Beating Inflation: </w:t>
            </w:r>
            <w:r w:rsidRPr="00397933">
              <w:rPr>
                <w:rFonts w:ascii="Garamond" w:hAnsi="Garamond" w:cs="Garamond"/>
                <w:sz w:val="24"/>
                <w:szCs w:val="24"/>
                <w:lang w:val="en-US"/>
              </w:rPr>
              <w:t>The importance of luck, timing, and political institutions</w:t>
            </w:r>
          </w:p>
        </w:tc>
        <w:tc>
          <w:tcPr>
            <w:tcW w:w="7371" w:type="dxa"/>
            <w:gridSpan w:val="2"/>
          </w:tcPr>
          <w:p w14:paraId="76D14D49"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Hamann, A. J., Prati, A.</w:t>
            </w:r>
            <w:r w:rsidR="00265358">
              <w:rPr>
                <w:rFonts w:ascii="Garamond" w:hAnsi="Garamond" w:cs="Garamond"/>
                <w:sz w:val="24"/>
                <w:szCs w:val="24"/>
                <w:lang w:val="en-US" w:bidi="ru-RU"/>
              </w:rPr>
              <w:t xml:space="preserve">, 2003, </w:t>
            </w:r>
            <w:r w:rsidRPr="00397933">
              <w:rPr>
                <w:rFonts w:ascii="Garamond" w:hAnsi="Garamond" w:cs="Garamond"/>
                <w:sz w:val="24"/>
                <w:szCs w:val="24"/>
                <w:lang w:val="en-US" w:bidi="ru-RU"/>
              </w:rPr>
              <w:t>Beating Inflation: The importance of luck, tim</w:t>
            </w:r>
            <w:r w:rsidR="00265358">
              <w:rPr>
                <w:rFonts w:ascii="Garamond" w:hAnsi="Garamond" w:cs="Garamond"/>
                <w:sz w:val="24"/>
                <w:szCs w:val="24"/>
                <w:lang w:val="en-US" w:bidi="ru-RU"/>
              </w:rPr>
              <w:t>ing, and political institutions</w:t>
            </w:r>
            <w:r w:rsidRPr="00397933">
              <w:rPr>
                <w:rFonts w:ascii="Garamond" w:hAnsi="Garamond" w:cs="Garamond"/>
                <w:sz w:val="24"/>
                <w:szCs w:val="24"/>
                <w:lang w:val="en-US" w:bidi="ru-RU"/>
              </w:rPr>
              <w:t xml:space="preserve">, </w:t>
            </w:r>
            <w:r w:rsidRPr="00397933">
              <w:rPr>
                <w:rFonts w:ascii="Garamond" w:hAnsi="Garamond" w:cs="Garamond"/>
                <w:i/>
                <w:sz w:val="24"/>
                <w:szCs w:val="24"/>
                <w:lang w:val="en-US" w:bidi="ru-RU"/>
              </w:rPr>
              <w:t>Finance and Development</w:t>
            </w:r>
            <w:r w:rsidRPr="00397933">
              <w:rPr>
                <w:rFonts w:ascii="Garamond" w:hAnsi="Garamond" w:cs="Garamond"/>
                <w:sz w:val="24"/>
                <w:szCs w:val="24"/>
                <w:lang w:val="en-US" w:bidi="ru-RU"/>
              </w:rPr>
              <w:t>, June, pp. 12</w:t>
            </w:r>
            <w:r w:rsidR="00265358">
              <w:rPr>
                <w:rFonts w:ascii="Garamond" w:hAnsi="Garamond" w:cs="Garamond"/>
                <w:sz w:val="24"/>
                <w:szCs w:val="24"/>
                <w:lang w:val="en-US" w:bidi="ru-RU"/>
              </w:rPr>
              <w:t>–</w:t>
            </w:r>
            <w:r w:rsidRPr="00397933">
              <w:rPr>
                <w:rFonts w:ascii="Garamond" w:hAnsi="Garamond" w:cs="Garamond"/>
                <w:sz w:val="24"/>
                <w:szCs w:val="24"/>
                <w:lang w:val="en-US" w:bidi="ru-RU"/>
              </w:rPr>
              <w:t>15.</w:t>
            </w:r>
            <w:r w:rsidR="00265358">
              <w:rPr>
                <w:rFonts w:ascii="Garamond" w:hAnsi="Garamond" w:cs="Garamond"/>
                <w:sz w:val="24"/>
                <w:szCs w:val="24"/>
                <w:lang w:val="en-US" w:bidi="ru-RU"/>
              </w:rPr>
              <w:t xml:space="preserve"> Available at</w:t>
            </w:r>
          </w:p>
          <w:p w14:paraId="568ED963"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http://www.imf.org/external/pubs/ft/fandd/2003/06/pdf/hamann.pdf</w:t>
            </w:r>
          </w:p>
        </w:tc>
      </w:tr>
      <w:tr w:rsidR="00397933" w:rsidRPr="00397933" w14:paraId="1C5571E7" w14:textId="77777777" w:rsidTr="00397933">
        <w:tc>
          <w:tcPr>
            <w:tcW w:w="9464" w:type="dxa"/>
            <w:gridSpan w:val="4"/>
            <w:shd w:val="clear" w:color="auto" w:fill="D9D9D9" w:themeFill="background1" w:themeFillShade="D9"/>
          </w:tcPr>
          <w:p w14:paraId="64AB57D5" w14:textId="77777777" w:rsidR="00397933" w:rsidRPr="00397933" w:rsidRDefault="00397933" w:rsidP="00397933">
            <w:pPr>
              <w:spacing w:line="240" w:lineRule="atLeast"/>
              <w:jc w:val="center"/>
              <w:rPr>
                <w:rFonts w:ascii="Garamond" w:hAnsi="Garamond"/>
                <w:b/>
                <w:sz w:val="24"/>
                <w:szCs w:val="24"/>
                <w:lang w:val="en-US"/>
              </w:rPr>
            </w:pPr>
            <w:r w:rsidRPr="00397933">
              <w:rPr>
                <w:rFonts w:ascii="Garamond" w:hAnsi="Garamond"/>
                <w:b/>
                <w:sz w:val="24"/>
                <w:szCs w:val="24"/>
                <w:lang w:val="en-US"/>
              </w:rPr>
              <w:t>Debt</w:t>
            </w:r>
          </w:p>
        </w:tc>
      </w:tr>
      <w:tr w:rsidR="00397933" w:rsidRPr="00397933" w14:paraId="1B04EF81" w14:textId="77777777" w:rsidTr="00464EB2">
        <w:tc>
          <w:tcPr>
            <w:tcW w:w="2093" w:type="dxa"/>
            <w:gridSpan w:val="2"/>
          </w:tcPr>
          <w:p w14:paraId="14FF777F"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Shedding Debt</w:t>
            </w:r>
          </w:p>
        </w:tc>
        <w:tc>
          <w:tcPr>
            <w:tcW w:w="7371" w:type="dxa"/>
            <w:gridSpan w:val="2"/>
          </w:tcPr>
          <w:p w14:paraId="27980F0A"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 xml:space="preserve">Claessens, S., 2012, Shedding Debt, </w:t>
            </w:r>
            <w:r w:rsidRPr="00397933">
              <w:rPr>
                <w:rFonts w:ascii="Garamond" w:hAnsi="Garamond" w:cs="Garamond"/>
                <w:i/>
                <w:sz w:val="24"/>
                <w:szCs w:val="24"/>
                <w:lang w:val="en-US" w:bidi="ru-RU"/>
              </w:rPr>
              <w:t>Finance and Development</w:t>
            </w:r>
            <w:r w:rsidRPr="00397933">
              <w:rPr>
                <w:rFonts w:ascii="Garamond" w:hAnsi="Garamond" w:cs="Garamond"/>
                <w:sz w:val="24"/>
                <w:szCs w:val="24"/>
                <w:lang w:val="en-US" w:bidi="ru-RU"/>
              </w:rPr>
              <w:t>, June, Vol. 49, 2, pp. 20</w:t>
            </w:r>
            <w:r w:rsidR="00265358">
              <w:rPr>
                <w:rFonts w:ascii="Garamond" w:hAnsi="Garamond" w:cs="Garamond"/>
                <w:sz w:val="24"/>
                <w:szCs w:val="24"/>
                <w:lang w:val="en-US" w:bidi="ru-RU"/>
              </w:rPr>
              <w:t>–</w:t>
            </w:r>
            <w:r w:rsidRPr="00397933">
              <w:rPr>
                <w:rFonts w:ascii="Garamond" w:hAnsi="Garamond" w:cs="Garamond"/>
                <w:sz w:val="24"/>
                <w:szCs w:val="24"/>
                <w:lang w:val="en-US" w:bidi="ru-RU"/>
              </w:rPr>
              <w:t>23.</w:t>
            </w:r>
            <w:r w:rsidR="00265358">
              <w:rPr>
                <w:rFonts w:ascii="Garamond" w:hAnsi="Garamond" w:cs="Garamond"/>
                <w:sz w:val="24"/>
                <w:szCs w:val="24"/>
                <w:lang w:val="en-US" w:bidi="ru-RU"/>
              </w:rPr>
              <w:t xml:space="preserve"> Available at</w:t>
            </w:r>
          </w:p>
          <w:p w14:paraId="0F85CC8D"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uk-UA" w:bidi="ru-RU"/>
              </w:rPr>
              <w:t>http://www.imf.org/external/pubs/ft/fandd/2012/06/claessens.htm</w:t>
            </w:r>
          </w:p>
        </w:tc>
      </w:tr>
      <w:tr w:rsidR="00397933" w:rsidRPr="00397933" w14:paraId="7A075FED" w14:textId="77777777" w:rsidTr="00464EB2">
        <w:tc>
          <w:tcPr>
            <w:tcW w:w="2093" w:type="dxa"/>
            <w:gridSpan w:val="2"/>
          </w:tcPr>
          <w:p w14:paraId="2764D6C5"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Getting Debt under Control</w:t>
            </w:r>
          </w:p>
        </w:tc>
        <w:tc>
          <w:tcPr>
            <w:tcW w:w="7371" w:type="dxa"/>
            <w:gridSpan w:val="2"/>
          </w:tcPr>
          <w:p w14:paraId="6290122A"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Baldacci, E., Gupta,</w:t>
            </w:r>
            <w:r w:rsidR="00265358">
              <w:rPr>
                <w:rFonts w:ascii="Garamond" w:hAnsi="Garamond" w:cs="Garamond"/>
                <w:sz w:val="24"/>
                <w:szCs w:val="24"/>
                <w:lang w:val="en-US" w:bidi="ru-RU"/>
              </w:rPr>
              <w:t xml:space="preserve"> S., Mulas–Granados, C., 2010, </w:t>
            </w:r>
            <w:r w:rsidRPr="00397933">
              <w:rPr>
                <w:rFonts w:ascii="Garamond" w:hAnsi="Garamond" w:cs="Garamond"/>
                <w:sz w:val="24"/>
                <w:szCs w:val="24"/>
                <w:lang w:val="en-US" w:bidi="ru-RU"/>
              </w:rPr>
              <w:t xml:space="preserve">Getting Debt under Control, </w:t>
            </w:r>
            <w:r w:rsidRPr="00397933">
              <w:rPr>
                <w:rFonts w:ascii="Garamond" w:hAnsi="Garamond" w:cs="Garamond"/>
                <w:i/>
                <w:sz w:val="24"/>
                <w:szCs w:val="24"/>
                <w:lang w:val="en-US" w:bidi="ru-RU"/>
              </w:rPr>
              <w:t>Finance and Development</w:t>
            </w:r>
            <w:r w:rsidRPr="00397933">
              <w:rPr>
                <w:rFonts w:ascii="Garamond" w:hAnsi="Garamond" w:cs="Garamond"/>
                <w:sz w:val="24"/>
                <w:szCs w:val="24"/>
                <w:lang w:val="en-US" w:bidi="ru-RU"/>
              </w:rPr>
              <w:t>, December, Vol. 47, 4, pp. 18</w:t>
            </w:r>
            <w:r w:rsidR="00265358">
              <w:rPr>
                <w:rFonts w:ascii="Garamond" w:hAnsi="Garamond" w:cs="Garamond"/>
                <w:sz w:val="24"/>
                <w:szCs w:val="24"/>
                <w:lang w:val="en-US" w:bidi="ru-RU"/>
              </w:rPr>
              <w:t>–</w:t>
            </w:r>
            <w:r w:rsidRPr="00397933">
              <w:rPr>
                <w:rFonts w:ascii="Garamond" w:hAnsi="Garamond" w:cs="Garamond"/>
                <w:sz w:val="24"/>
                <w:szCs w:val="24"/>
                <w:lang w:val="en-US" w:bidi="ru-RU"/>
              </w:rPr>
              <w:t>21.</w:t>
            </w:r>
            <w:r w:rsidR="00265358">
              <w:rPr>
                <w:rFonts w:ascii="Garamond" w:hAnsi="Garamond" w:cs="Garamond"/>
                <w:sz w:val="24"/>
                <w:szCs w:val="24"/>
                <w:lang w:val="en-US" w:bidi="ru-RU"/>
              </w:rPr>
              <w:t xml:space="preserve"> Available at</w:t>
            </w:r>
          </w:p>
          <w:p w14:paraId="4C15C3DA" w14:textId="77777777" w:rsidR="00397933" w:rsidRPr="00397933" w:rsidRDefault="00397933" w:rsidP="00397933">
            <w:pPr>
              <w:spacing w:line="240" w:lineRule="atLeast"/>
              <w:contextualSpacing/>
              <w:jc w:val="both"/>
              <w:rPr>
                <w:rFonts w:ascii="Garamond" w:hAnsi="Garamond" w:cs="Garamond"/>
                <w:sz w:val="24"/>
                <w:szCs w:val="24"/>
                <w:lang w:val="uk-UA" w:bidi="ru-RU"/>
              </w:rPr>
            </w:pPr>
            <w:r w:rsidRPr="00397933">
              <w:rPr>
                <w:rFonts w:ascii="Garamond" w:hAnsi="Garamond" w:cs="Garamond"/>
                <w:sz w:val="24"/>
                <w:szCs w:val="24"/>
                <w:lang w:val="uk-UA" w:bidi="ru-RU"/>
              </w:rPr>
              <w:t>http://www.imf.org/external/pubs/ft/fandd/2010/12/baldacci.htm</w:t>
            </w:r>
          </w:p>
        </w:tc>
      </w:tr>
      <w:tr w:rsidR="00397933" w:rsidRPr="00397933" w14:paraId="5292F741" w14:textId="77777777" w:rsidTr="00397933">
        <w:tc>
          <w:tcPr>
            <w:tcW w:w="9464" w:type="dxa"/>
            <w:gridSpan w:val="4"/>
            <w:shd w:val="clear" w:color="auto" w:fill="D9D9D9" w:themeFill="background1" w:themeFillShade="D9"/>
          </w:tcPr>
          <w:p w14:paraId="07F81038" w14:textId="77777777" w:rsidR="00397933" w:rsidRPr="00397933" w:rsidRDefault="00397933" w:rsidP="00397933">
            <w:pPr>
              <w:spacing w:line="240" w:lineRule="atLeast"/>
              <w:jc w:val="center"/>
              <w:rPr>
                <w:rFonts w:ascii="Garamond" w:hAnsi="Garamond" w:cs="Garamond"/>
                <w:sz w:val="24"/>
                <w:szCs w:val="24"/>
                <w:lang w:val="uk-UA" w:bidi="ru-RU"/>
              </w:rPr>
            </w:pPr>
            <w:r w:rsidRPr="00397933">
              <w:rPr>
                <w:rFonts w:ascii="Garamond" w:hAnsi="Garamond"/>
                <w:b/>
                <w:sz w:val="24"/>
                <w:szCs w:val="24"/>
                <w:lang w:val="en-US"/>
              </w:rPr>
              <w:t>Crisis</w:t>
            </w:r>
          </w:p>
        </w:tc>
      </w:tr>
      <w:tr w:rsidR="00397933" w:rsidRPr="00397933" w14:paraId="0E393D1B" w14:textId="77777777" w:rsidTr="00464EB2">
        <w:tc>
          <w:tcPr>
            <w:tcW w:w="2093" w:type="dxa"/>
            <w:gridSpan w:val="2"/>
          </w:tcPr>
          <w:p w14:paraId="6B245A51"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 xml:space="preserve">Fixing the System </w:t>
            </w:r>
          </w:p>
        </w:tc>
        <w:tc>
          <w:tcPr>
            <w:tcW w:w="7371" w:type="dxa"/>
            <w:gridSpan w:val="2"/>
          </w:tcPr>
          <w:p w14:paraId="6CA9D03B" w14:textId="77777777" w:rsidR="00397933" w:rsidRPr="00397933" w:rsidRDefault="00265358" w:rsidP="00397933">
            <w:pPr>
              <w:spacing w:line="240" w:lineRule="atLeast"/>
              <w:contextualSpacing/>
              <w:rPr>
                <w:rFonts w:ascii="Garamond" w:hAnsi="Garamond" w:cs="Garamond"/>
                <w:sz w:val="24"/>
                <w:szCs w:val="24"/>
                <w:lang w:val="en-US" w:bidi="ru-RU"/>
              </w:rPr>
            </w:pPr>
            <w:r>
              <w:rPr>
                <w:rFonts w:ascii="Garamond" w:hAnsi="Garamond" w:cs="Garamond"/>
                <w:sz w:val="24"/>
                <w:szCs w:val="24"/>
                <w:lang w:val="en-US" w:bidi="ru-RU"/>
              </w:rPr>
              <w:t>Kodres, L., Narain, A., 2012, Fixing the System</w:t>
            </w:r>
            <w:r w:rsidR="00397933" w:rsidRPr="00397933">
              <w:rPr>
                <w:rFonts w:ascii="Garamond" w:hAnsi="Garamond" w:cs="Garamond"/>
                <w:sz w:val="24"/>
                <w:szCs w:val="24"/>
                <w:lang w:val="en-US" w:bidi="ru-RU"/>
              </w:rPr>
              <w:t xml:space="preserve">, </w:t>
            </w:r>
            <w:r w:rsidR="00397933" w:rsidRPr="00397933">
              <w:rPr>
                <w:rFonts w:ascii="Garamond" w:hAnsi="Garamond" w:cs="Garamond"/>
                <w:i/>
                <w:sz w:val="24"/>
                <w:szCs w:val="24"/>
                <w:lang w:val="en-US" w:bidi="ru-RU"/>
              </w:rPr>
              <w:t>Finance and Development</w:t>
            </w:r>
            <w:r w:rsidR="00397933" w:rsidRPr="00397933">
              <w:rPr>
                <w:rFonts w:ascii="Garamond" w:hAnsi="Garamond" w:cs="Garamond"/>
                <w:sz w:val="24"/>
                <w:szCs w:val="24"/>
                <w:lang w:val="en-US" w:bidi="ru-RU"/>
              </w:rPr>
              <w:t>, June, Vol. 49, 2, pp. 14</w:t>
            </w:r>
            <w:r>
              <w:rPr>
                <w:rFonts w:ascii="Garamond" w:hAnsi="Garamond" w:cs="Garamond"/>
                <w:sz w:val="24"/>
                <w:szCs w:val="24"/>
                <w:lang w:val="en-US" w:bidi="ru-RU"/>
              </w:rPr>
              <w:t>–</w:t>
            </w:r>
            <w:r w:rsidR="00397933" w:rsidRPr="00397933">
              <w:rPr>
                <w:rFonts w:ascii="Garamond" w:hAnsi="Garamond" w:cs="Garamond"/>
                <w:sz w:val="24"/>
                <w:szCs w:val="24"/>
                <w:lang w:val="en-US" w:bidi="ru-RU"/>
              </w:rPr>
              <w:t>16.</w:t>
            </w:r>
            <w:r>
              <w:rPr>
                <w:rFonts w:ascii="Garamond" w:hAnsi="Garamond" w:cs="Garamond"/>
                <w:sz w:val="24"/>
                <w:szCs w:val="24"/>
                <w:lang w:val="en-US" w:bidi="ru-RU"/>
              </w:rPr>
              <w:t xml:space="preserve"> Available at</w:t>
            </w:r>
          </w:p>
          <w:p w14:paraId="49A65C8C"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http://www.imf.org/external/pubs/ft/fandd/2012/06/kodres.htm</w:t>
            </w:r>
          </w:p>
        </w:tc>
      </w:tr>
      <w:tr w:rsidR="00397933" w:rsidRPr="00397933" w14:paraId="3FD1C420" w14:textId="77777777" w:rsidTr="00464EB2">
        <w:tc>
          <w:tcPr>
            <w:tcW w:w="2093" w:type="dxa"/>
            <w:gridSpan w:val="2"/>
          </w:tcPr>
          <w:p w14:paraId="44E9EAE8"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Anticipating the Next Crisis</w:t>
            </w:r>
          </w:p>
        </w:tc>
        <w:tc>
          <w:tcPr>
            <w:tcW w:w="7371" w:type="dxa"/>
            <w:gridSpan w:val="2"/>
          </w:tcPr>
          <w:p w14:paraId="5CE5A5AA"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uk-UA" w:bidi="ru-RU"/>
              </w:rPr>
              <w:t xml:space="preserve">Ghosh, </w:t>
            </w:r>
            <w:r w:rsidRPr="00397933">
              <w:rPr>
                <w:rFonts w:ascii="Garamond" w:hAnsi="Garamond" w:cs="Garamond"/>
                <w:sz w:val="24"/>
                <w:szCs w:val="24"/>
                <w:lang w:val="en-US" w:bidi="ru-RU"/>
              </w:rPr>
              <w:t xml:space="preserve">A. R., </w:t>
            </w:r>
            <w:r w:rsidRPr="00397933">
              <w:rPr>
                <w:rFonts w:ascii="Garamond" w:hAnsi="Garamond" w:cs="Garamond"/>
                <w:sz w:val="24"/>
                <w:szCs w:val="24"/>
                <w:lang w:val="uk-UA" w:bidi="ru-RU"/>
              </w:rPr>
              <w:t xml:space="preserve">Ostry, </w:t>
            </w:r>
            <w:r w:rsidRPr="00397933">
              <w:rPr>
                <w:rFonts w:ascii="Garamond" w:hAnsi="Garamond" w:cs="Garamond"/>
                <w:sz w:val="24"/>
                <w:szCs w:val="24"/>
                <w:lang w:val="en-US" w:bidi="ru-RU"/>
              </w:rPr>
              <w:t xml:space="preserve">J. D., </w:t>
            </w:r>
            <w:r w:rsidRPr="00397933">
              <w:rPr>
                <w:rFonts w:ascii="Garamond" w:hAnsi="Garamond" w:cs="Garamond"/>
                <w:sz w:val="24"/>
                <w:szCs w:val="24"/>
                <w:lang w:val="uk-UA" w:bidi="ru-RU"/>
              </w:rPr>
              <w:t>Tamirisa</w:t>
            </w:r>
            <w:r w:rsidRPr="00397933">
              <w:rPr>
                <w:rFonts w:ascii="Garamond" w:hAnsi="Garamond" w:cs="Garamond"/>
                <w:sz w:val="24"/>
                <w:szCs w:val="24"/>
                <w:lang w:val="en-US" w:bidi="ru-RU"/>
              </w:rPr>
              <w:t>, N., 2009</w:t>
            </w:r>
            <w:r w:rsidR="00265358">
              <w:rPr>
                <w:rFonts w:ascii="Garamond" w:hAnsi="Garamond" w:cs="Garamond"/>
                <w:sz w:val="24"/>
                <w:szCs w:val="24"/>
                <w:lang w:val="en-US" w:bidi="ru-RU"/>
              </w:rPr>
              <w:t>, Anticipating the Next Crisis</w:t>
            </w:r>
            <w:r w:rsidRPr="00397933">
              <w:rPr>
                <w:rFonts w:ascii="Garamond" w:hAnsi="Garamond" w:cs="Garamond"/>
                <w:sz w:val="24"/>
                <w:szCs w:val="24"/>
                <w:lang w:val="en-US" w:bidi="ru-RU"/>
              </w:rPr>
              <w:t xml:space="preserve">, </w:t>
            </w:r>
            <w:r w:rsidRPr="00397933">
              <w:rPr>
                <w:rFonts w:ascii="Garamond" w:hAnsi="Garamond" w:cs="Garamond"/>
                <w:i/>
                <w:sz w:val="24"/>
                <w:szCs w:val="24"/>
                <w:lang w:val="en-US" w:bidi="ru-RU"/>
              </w:rPr>
              <w:t>Finance and Development</w:t>
            </w:r>
            <w:r w:rsidRPr="00397933">
              <w:rPr>
                <w:rFonts w:ascii="Garamond" w:hAnsi="Garamond" w:cs="Garamond"/>
                <w:sz w:val="24"/>
                <w:szCs w:val="24"/>
                <w:lang w:val="en-US" w:bidi="ru-RU"/>
              </w:rPr>
              <w:t>, September, Volume 46, 3, pp. 35</w:t>
            </w:r>
            <w:r w:rsidR="00265358">
              <w:rPr>
                <w:rFonts w:ascii="Garamond" w:hAnsi="Garamond" w:cs="Garamond"/>
                <w:sz w:val="24"/>
                <w:szCs w:val="24"/>
                <w:lang w:val="en-US" w:bidi="ru-RU"/>
              </w:rPr>
              <w:t>–</w:t>
            </w:r>
            <w:r w:rsidRPr="00397933">
              <w:rPr>
                <w:rFonts w:ascii="Garamond" w:hAnsi="Garamond" w:cs="Garamond"/>
                <w:sz w:val="24"/>
                <w:szCs w:val="24"/>
                <w:lang w:val="en-US" w:bidi="ru-RU"/>
              </w:rPr>
              <w:t>37.</w:t>
            </w:r>
            <w:r w:rsidR="00265358">
              <w:rPr>
                <w:rFonts w:ascii="Garamond" w:hAnsi="Garamond" w:cs="Garamond"/>
                <w:sz w:val="24"/>
                <w:szCs w:val="24"/>
                <w:lang w:val="en-US" w:bidi="ru-RU"/>
              </w:rPr>
              <w:t xml:space="preserve"> Available at</w:t>
            </w:r>
          </w:p>
          <w:p w14:paraId="71114D5C" w14:textId="77777777" w:rsidR="00397933" w:rsidRPr="00397933" w:rsidRDefault="00397933" w:rsidP="00397933">
            <w:pPr>
              <w:spacing w:line="240" w:lineRule="atLeast"/>
              <w:contextualSpacing/>
              <w:jc w:val="both"/>
              <w:rPr>
                <w:rFonts w:ascii="Garamond" w:hAnsi="Garamond" w:cs="Garamond"/>
                <w:sz w:val="24"/>
                <w:szCs w:val="24"/>
                <w:lang w:val="en-US" w:bidi="ru-RU"/>
              </w:rPr>
            </w:pPr>
            <w:r w:rsidRPr="00397933">
              <w:rPr>
                <w:rFonts w:ascii="Garamond" w:hAnsi="Garamond" w:cs="Garamond"/>
                <w:sz w:val="24"/>
                <w:szCs w:val="24"/>
                <w:lang w:val="en-US" w:bidi="ru-RU"/>
              </w:rPr>
              <w:t>http://www.imf.org/external/pubs/ft/fandd/2009/09/ghosh.htm</w:t>
            </w:r>
          </w:p>
        </w:tc>
      </w:tr>
      <w:tr w:rsidR="00397933" w:rsidRPr="00397933" w14:paraId="4119A22F" w14:textId="77777777" w:rsidTr="00397933">
        <w:tc>
          <w:tcPr>
            <w:tcW w:w="9464" w:type="dxa"/>
            <w:gridSpan w:val="4"/>
            <w:shd w:val="clear" w:color="auto" w:fill="D9D9D9" w:themeFill="background1" w:themeFillShade="D9"/>
          </w:tcPr>
          <w:p w14:paraId="6D5DC348" w14:textId="77777777" w:rsidR="00397933" w:rsidRPr="00397933" w:rsidRDefault="00397933" w:rsidP="00397933">
            <w:pPr>
              <w:spacing w:line="240" w:lineRule="atLeast"/>
              <w:contextualSpacing/>
              <w:jc w:val="center"/>
              <w:rPr>
                <w:rFonts w:ascii="Garamond" w:hAnsi="Garamond" w:cs="Garamond"/>
                <w:sz w:val="24"/>
                <w:szCs w:val="24"/>
                <w:lang w:val="uk-UA" w:bidi="ru-RU"/>
              </w:rPr>
            </w:pPr>
            <w:r w:rsidRPr="00397933">
              <w:rPr>
                <w:rFonts w:ascii="Garamond" w:hAnsi="Garamond" w:cs="Garamond"/>
                <w:b/>
                <w:sz w:val="24"/>
                <w:szCs w:val="24"/>
                <w:lang w:val="en-US" w:bidi="ru-RU"/>
              </w:rPr>
              <w:t>Financial regulation and supervision</w:t>
            </w:r>
          </w:p>
        </w:tc>
      </w:tr>
      <w:tr w:rsidR="00397933" w:rsidRPr="00397933" w14:paraId="58964FDD" w14:textId="77777777" w:rsidTr="00464EB2">
        <w:tc>
          <w:tcPr>
            <w:tcW w:w="2093" w:type="dxa"/>
            <w:gridSpan w:val="2"/>
          </w:tcPr>
          <w:p w14:paraId="0F6FB6AD"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 xml:space="preserve">Looking Ahead </w:t>
            </w:r>
          </w:p>
        </w:tc>
        <w:tc>
          <w:tcPr>
            <w:tcW w:w="7371" w:type="dxa"/>
            <w:gridSpan w:val="2"/>
          </w:tcPr>
          <w:p w14:paraId="4BBFB6E8"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Cot</w:t>
            </w:r>
            <w:r w:rsidR="00265358">
              <w:rPr>
                <w:rFonts w:ascii="Garamond" w:hAnsi="Garamond" w:cs="Garamond"/>
                <w:sz w:val="24"/>
                <w:szCs w:val="24"/>
                <w:lang w:val="en-US" w:bidi="ru-RU"/>
              </w:rPr>
              <w:t>tarelli, C., Viñals, J., 2009, Looking Ahead</w:t>
            </w:r>
            <w:r w:rsidRPr="00397933">
              <w:rPr>
                <w:rFonts w:ascii="Garamond" w:hAnsi="Garamond" w:cs="Garamond"/>
                <w:sz w:val="24"/>
                <w:szCs w:val="24"/>
                <w:lang w:val="en-US" w:bidi="ru-RU"/>
              </w:rPr>
              <w:t xml:space="preserve">, </w:t>
            </w:r>
            <w:r w:rsidRPr="00397933">
              <w:rPr>
                <w:rFonts w:ascii="Garamond" w:hAnsi="Garamond" w:cs="Garamond"/>
                <w:i/>
                <w:sz w:val="24"/>
                <w:szCs w:val="24"/>
                <w:lang w:val="en-US" w:bidi="ru-RU"/>
              </w:rPr>
              <w:t>Finance and Development</w:t>
            </w:r>
            <w:r w:rsidRPr="00397933">
              <w:rPr>
                <w:rFonts w:ascii="Garamond" w:hAnsi="Garamond" w:cs="Garamond"/>
                <w:sz w:val="24"/>
                <w:szCs w:val="24"/>
                <w:lang w:val="en-US" w:bidi="ru-RU"/>
              </w:rPr>
              <w:t>, September, Volume 46, 3, pp. 20</w:t>
            </w:r>
            <w:r w:rsidR="00265358">
              <w:rPr>
                <w:rFonts w:ascii="Garamond" w:hAnsi="Garamond" w:cs="Garamond"/>
                <w:sz w:val="24"/>
                <w:szCs w:val="24"/>
                <w:lang w:val="en-US" w:bidi="ru-RU"/>
              </w:rPr>
              <w:t>–</w:t>
            </w:r>
            <w:r w:rsidRPr="00397933">
              <w:rPr>
                <w:rFonts w:ascii="Garamond" w:hAnsi="Garamond" w:cs="Garamond"/>
                <w:sz w:val="24"/>
                <w:szCs w:val="24"/>
                <w:lang w:val="en-US" w:bidi="ru-RU"/>
              </w:rPr>
              <w:t>23.</w:t>
            </w:r>
            <w:r w:rsidR="00265358">
              <w:rPr>
                <w:rFonts w:ascii="Garamond" w:hAnsi="Garamond" w:cs="Garamond"/>
                <w:sz w:val="24"/>
                <w:szCs w:val="24"/>
                <w:lang w:val="en-US" w:bidi="ru-RU"/>
              </w:rPr>
              <w:t xml:space="preserve"> Available at</w:t>
            </w:r>
          </w:p>
          <w:p w14:paraId="14D8B4A1"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uk-UA" w:bidi="ru-RU"/>
              </w:rPr>
              <w:t>http://www.imf.org/external/pubs/ft/fandd/2009/09/cottarelli.htm</w:t>
            </w:r>
          </w:p>
        </w:tc>
      </w:tr>
      <w:tr w:rsidR="00397933" w:rsidRPr="00397933" w14:paraId="4848BF0F" w14:textId="77777777" w:rsidTr="00464EB2">
        <w:tc>
          <w:tcPr>
            <w:tcW w:w="2093" w:type="dxa"/>
            <w:gridSpan w:val="2"/>
          </w:tcPr>
          <w:p w14:paraId="1982C726"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Rebuilding the Financial Architecture</w:t>
            </w:r>
          </w:p>
        </w:tc>
        <w:tc>
          <w:tcPr>
            <w:tcW w:w="7371" w:type="dxa"/>
            <w:gridSpan w:val="2"/>
          </w:tcPr>
          <w:p w14:paraId="491ECBEE" w14:textId="77777777" w:rsidR="00397933" w:rsidRPr="00397933" w:rsidRDefault="00265358" w:rsidP="00397933">
            <w:pPr>
              <w:spacing w:line="240" w:lineRule="atLeast"/>
              <w:contextualSpacing/>
              <w:jc w:val="both"/>
              <w:rPr>
                <w:rFonts w:ascii="Garamond" w:hAnsi="Garamond" w:cs="Garamond"/>
                <w:sz w:val="24"/>
                <w:szCs w:val="24"/>
                <w:lang w:val="en-US" w:bidi="ru-RU"/>
              </w:rPr>
            </w:pPr>
            <w:r>
              <w:rPr>
                <w:rFonts w:ascii="Garamond" w:hAnsi="Garamond" w:cs="Garamond"/>
                <w:sz w:val="24"/>
                <w:szCs w:val="24"/>
                <w:lang w:val="en-US" w:bidi="ru-RU"/>
              </w:rPr>
              <w:t xml:space="preserve">Crockett, A., 2009, </w:t>
            </w:r>
            <w:r w:rsidR="00397933" w:rsidRPr="00397933">
              <w:rPr>
                <w:rFonts w:ascii="Garamond" w:hAnsi="Garamond" w:cs="Garamond"/>
                <w:sz w:val="24"/>
                <w:szCs w:val="24"/>
                <w:lang w:val="en-US" w:bidi="ru-RU"/>
              </w:rPr>
              <w:t xml:space="preserve">Rebuilding the Financial Architecture, </w:t>
            </w:r>
            <w:r w:rsidR="00397933" w:rsidRPr="00397933">
              <w:rPr>
                <w:rFonts w:ascii="Garamond" w:hAnsi="Garamond" w:cs="Garamond"/>
                <w:i/>
                <w:sz w:val="24"/>
                <w:szCs w:val="24"/>
                <w:lang w:val="en-US" w:bidi="ru-RU"/>
              </w:rPr>
              <w:t>Finance and Development</w:t>
            </w:r>
            <w:r w:rsidR="00397933" w:rsidRPr="00397933">
              <w:rPr>
                <w:rFonts w:ascii="Garamond" w:hAnsi="Garamond" w:cs="Garamond"/>
                <w:sz w:val="24"/>
                <w:szCs w:val="24"/>
                <w:lang w:val="en-US" w:bidi="ru-RU"/>
              </w:rPr>
              <w:t>, September, Volume 46, 3, pp. 18</w:t>
            </w:r>
            <w:r>
              <w:rPr>
                <w:rFonts w:ascii="Garamond" w:hAnsi="Garamond" w:cs="Garamond"/>
                <w:sz w:val="24"/>
                <w:szCs w:val="24"/>
                <w:lang w:val="en-US" w:bidi="ru-RU"/>
              </w:rPr>
              <w:t>–</w:t>
            </w:r>
            <w:r w:rsidR="00397933" w:rsidRPr="00397933">
              <w:rPr>
                <w:rFonts w:ascii="Garamond" w:hAnsi="Garamond" w:cs="Garamond"/>
                <w:sz w:val="24"/>
                <w:szCs w:val="24"/>
                <w:lang w:val="en-US" w:bidi="ru-RU"/>
              </w:rPr>
              <w:t>19.</w:t>
            </w:r>
            <w:r>
              <w:rPr>
                <w:rFonts w:ascii="Garamond" w:hAnsi="Garamond" w:cs="Garamond"/>
                <w:sz w:val="24"/>
                <w:szCs w:val="24"/>
                <w:lang w:val="en-US" w:bidi="ru-RU"/>
              </w:rPr>
              <w:t xml:space="preserve"> Available at</w:t>
            </w:r>
          </w:p>
          <w:p w14:paraId="3D823C1B" w14:textId="77777777" w:rsidR="00397933" w:rsidRPr="00397933" w:rsidRDefault="00397933" w:rsidP="00397933">
            <w:pPr>
              <w:spacing w:line="240" w:lineRule="atLeast"/>
              <w:contextualSpacing/>
              <w:jc w:val="both"/>
              <w:rPr>
                <w:rFonts w:ascii="Garamond" w:hAnsi="Garamond" w:cs="Garamond"/>
                <w:sz w:val="24"/>
                <w:szCs w:val="24"/>
                <w:lang w:val="uk-UA" w:bidi="ru-RU"/>
              </w:rPr>
            </w:pPr>
            <w:r w:rsidRPr="00397933">
              <w:rPr>
                <w:rFonts w:ascii="Garamond" w:hAnsi="Garamond" w:cs="Garamond"/>
                <w:sz w:val="24"/>
                <w:szCs w:val="24"/>
                <w:lang w:val="uk-UA" w:bidi="ru-RU"/>
              </w:rPr>
              <w:t>http://www.imf.org/external/pubs/ft/fandd/2009/09/crockett.htm</w:t>
            </w:r>
          </w:p>
        </w:tc>
      </w:tr>
      <w:tr w:rsidR="00397933" w:rsidRPr="00397933" w14:paraId="2625A0A4" w14:textId="77777777" w:rsidTr="00397933">
        <w:tc>
          <w:tcPr>
            <w:tcW w:w="9464" w:type="dxa"/>
            <w:gridSpan w:val="4"/>
            <w:shd w:val="clear" w:color="auto" w:fill="D9D9D9" w:themeFill="background1" w:themeFillShade="D9"/>
          </w:tcPr>
          <w:p w14:paraId="29D687D4" w14:textId="77777777" w:rsidR="00397933" w:rsidRPr="00397933" w:rsidRDefault="00397933" w:rsidP="00397933">
            <w:pPr>
              <w:spacing w:line="240" w:lineRule="atLeast"/>
              <w:contextualSpacing/>
              <w:jc w:val="center"/>
              <w:rPr>
                <w:rFonts w:ascii="Garamond" w:hAnsi="Garamond" w:cs="Garamond"/>
                <w:sz w:val="24"/>
                <w:szCs w:val="24"/>
                <w:lang w:val="uk-UA" w:bidi="ru-RU"/>
              </w:rPr>
            </w:pPr>
            <w:r w:rsidRPr="00397933">
              <w:rPr>
                <w:rFonts w:ascii="Garamond" w:hAnsi="Garamond" w:cs="Garamond"/>
                <w:b/>
                <w:sz w:val="24"/>
                <w:szCs w:val="24"/>
                <w:lang w:val="en-US" w:bidi="ru-RU"/>
              </w:rPr>
              <w:t>Pension</w:t>
            </w:r>
          </w:p>
        </w:tc>
      </w:tr>
      <w:tr w:rsidR="00397933" w:rsidRPr="00397933" w14:paraId="6E039D1A" w14:textId="77777777" w:rsidTr="00464EB2">
        <w:tc>
          <w:tcPr>
            <w:tcW w:w="2093" w:type="dxa"/>
            <w:gridSpan w:val="2"/>
          </w:tcPr>
          <w:p w14:paraId="0C907824"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Beyond Retirees</w:t>
            </w:r>
          </w:p>
        </w:tc>
        <w:tc>
          <w:tcPr>
            <w:tcW w:w="7371" w:type="dxa"/>
            <w:gridSpan w:val="2"/>
          </w:tcPr>
          <w:p w14:paraId="1D5DB846"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Karam, P., Muir, D., Pereir</w:t>
            </w:r>
            <w:r w:rsidR="00265358">
              <w:rPr>
                <w:rFonts w:ascii="Garamond" w:hAnsi="Garamond" w:cs="Garamond"/>
                <w:sz w:val="24"/>
                <w:szCs w:val="24"/>
                <w:lang w:val="en-US" w:bidi="ru-RU"/>
              </w:rPr>
              <w:t xml:space="preserve">a, J., Tuladhar, A., 2011, </w:t>
            </w:r>
            <w:r w:rsidRPr="00397933">
              <w:rPr>
                <w:rFonts w:ascii="Garamond" w:hAnsi="Garamond" w:cs="Garamond"/>
                <w:sz w:val="24"/>
                <w:szCs w:val="24"/>
                <w:lang w:val="en-US" w:bidi="ru-RU"/>
              </w:rPr>
              <w:t xml:space="preserve">Beyond Retirees, </w:t>
            </w:r>
            <w:r w:rsidRPr="00397933">
              <w:rPr>
                <w:rFonts w:ascii="Garamond" w:hAnsi="Garamond" w:cs="Garamond"/>
                <w:i/>
                <w:sz w:val="24"/>
                <w:szCs w:val="24"/>
                <w:lang w:val="en-US" w:bidi="ru-RU"/>
              </w:rPr>
              <w:t>Finance and Development</w:t>
            </w:r>
            <w:r w:rsidRPr="00397933">
              <w:rPr>
                <w:rFonts w:ascii="Garamond" w:hAnsi="Garamond" w:cs="Garamond"/>
                <w:sz w:val="24"/>
                <w:szCs w:val="24"/>
                <w:lang w:val="en-US" w:bidi="ru-RU"/>
              </w:rPr>
              <w:t>, June, Vol. 48, 2, pp. 12</w:t>
            </w:r>
            <w:r w:rsidR="00265358">
              <w:rPr>
                <w:rFonts w:ascii="Garamond" w:hAnsi="Garamond" w:cs="Garamond"/>
                <w:sz w:val="24"/>
                <w:szCs w:val="24"/>
                <w:lang w:val="en-US" w:bidi="ru-RU"/>
              </w:rPr>
              <w:t>–</w:t>
            </w:r>
            <w:r w:rsidRPr="00397933">
              <w:rPr>
                <w:rFonts w:ascii="Garamond" w:hAnsi="Garamond" w:cs="Garamond"/>
                <w:sz w:val="24"/>
                <w:szCs w:val="24"/>
                <w:lang w:val="en-US" w:bidi="ru-RU"/>
              </w:rPr>
              <w:t xml:space="preserve">15. </w:t>
            </w:r>
            <w:r w:rsidR="00265358">
              <w:rPr>
                <w:rFonts w:ascii="Garamond" w:hAnsi="Garamond" w:cs="Garamond"/>
                <w:sz w:val="24"/>
                <w:szCs w:val="24"/>
                <w:lang w:val="en-US" w:bidi="ru-RU"/>
              </w:rPr>
              <w:t xml:space="preserve"> Available at</w:t>
            </w:r>
          </w:p>
          <w:p w14:paraId="2F731BF0"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uk-UA" w:bidi="ru-RU"/>
              </w:rPr>
              <w:t>http://www.imf.org/external/pubs/ft/fandd/2011/06/Karam.htm</w:t>
            </w:r>
          </w:p>
        </w:tc>
      </w:tr>
      <w:tr w:rsidR="00397933" w:rsidRPr="00397933" w14:paraId="7ED25FE9" w14:textId="77777777" w:rsidTr="00464EB2">
        <w:tc>
          <w:tcPr>
            <w:tcW w:w="2093" w:type="dxa"/>
            <w:gridSpan w:val="2"/>
          </w:tcPr>
          <w:p w14:paraId="1BAEE343"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How Ready for Pensioners?</w:t>
            </w:r>
          </w:p>
        </w:tc>
        <w:tc>
          <w:tcPr>
            <w:tcW w:w="7371" w:type="dxa"/>
            <w:gridSpan w:val="2"/>
          </w:tcPr>
          <w:p w14:paraId="1F513BB6" w14:textId="77777777" w:rsidR="00397933" w:rsidRPr="00397933" w:rsidRDefault="00265358" w:rsidP="00397933">
            <w:pPr>
              <w:spacing w:line="240" w:lineRule="atLeast"/>
              <w:contextualSpacing/>
              <w:rPr>
                <w:rFonts w:ascii="Garamond" w:hAnsi="Garamond" w:cs="Garamond"/>
                <w:sz w:val="24"/>
                <w:szCs w:val="24"/>
                <w:lang w:val="en-US" w:bidi="ru-RU"/>
              </w:rPr>
            </w:pPr>
            <w:r>
              <w:rPr>
                <w:rFonts w:ascii="Garamond" w:hAnsi="Garamond" w:cs="Garamond"/>
                <w:sz w:val="24"/>
                <w:szCs w:val="24"/>
                <w:lang w:val="en-US" w:bidi="ru-RU"/>
              </w:rPr>
              <w:t xml:space="preserve">Howe, N., Jackson, R., 2011, </w:t>
            </w:r>
            <w:r w:rsidR="00397933" w:rsidRPr="00397933">
              <w:rPr>
                <w:rFonts w:ascii="Garamond" w:hAnsi="Garamond" w:cs="Garamond"/>
                <w:sz w:val="24"/>
                <w:szCs w:val="24"/>
                <w:lang w:val="en-US" w:bidi="ru-RU"/>
              </w:rPr>
              <w:t xml:space="preserve">How Ready for Pensioners?, </w:t>
            </w:r>
            <w:r w:rsidR="00397933" w:rsidRPr="00397933">
              <w:rPr>
                <w:rFonts w:ascii="Garamond" w:hAnsi="Garamond" w:cs="Garamond"/>
                <w:i/>
                <w:sz w:val="24"/>
                <w:szCs w:val="24"/>
                <w:lang w:val="en-US" w:bidi="ru-RU"/>
              </w:rPr>
              <w:t>Finance and Development</w:t>
            </w:r>
            <w:r w:rsidR="00397933" w:rsidRPr="00397933">
              <w:rPr>
                <w:rFonts w:ascii="Garamond" w:hAnsi="Garamond" w:cs="Garamond"/>
                <w:sz w:val="24"/>
                <w:szCs w:val="24"/>
                <w:lang w:val="en-US" w:bidi="ru-RU"/>
              </w:rPr>
              <w:t>, June, Vol. 48, 2, pp. 16</w:t>
            </w:r>
            <w:r>
              <w:rPr>
                <w:rFonts w:ascii="Garamond" w:hAnsi="Garamond" w:cs="Garamond"/>
                <w:sz w:val="24"/>
                <w:szCs w:val="24"/>
                <w:lang w:val="en-US" w:bidi="ru-RU"/>
              </w:rPr>
              <w:t>–</w:t>
            </w:r>
            <w:r w:rsidR="00397933" w:rsidRPr="00397933">
              <w:rPr>
                <w:rFonts w:ascii="Garamond" w:hAnsi="Garamond" w:cs="Garamond"/>
                <w:sz w:val="24"/>
                <w:szCs w:val="24"/>
                <w:lang w:val="en-US" w:bidi="ru-RU"/>
              </w:rPr>
              <w:t>18.</w:t>
            </w:r>
            <w:r>
              <w:rPr>
                <w:rFonts w:ascii="Garamond" w:hAnsi="Garamond" w:cs="Garamond"/>
                <w:sz w:val="24"/>
                <w:szCs w:val="24"/>
                <w:lang w:val="en-US" w:bidi="ru-RU"/>
              </w:rPr>
              <w:t xml:space="preserve"> Available at</w:t>
            </w:r>
          </w:p>
          <w:p w14:paraId="0A6C7BB4" w14:textId="77777777" w:rsidR="00397933" w:rsidRPr="00397933" w:rsidRDefault="00397933" w:rsidP="00397933">
            <w:pPr>
              <w:spacing w:line="240" w:lineRule="atLeast"/>
              <w:contextualSpacing/>
              <w:rPr>
                <w:rFonts w:ascii="Garamond" w:hAnsi="Garamond" w:cs="Garamond"/>
                <w:sz w:val="24"/>
                <w:szCs w:val="24"/>
                <w:lang w:val="uk-UA" w:bidi="ru-RU"/>
              </w:rPr>
            </w:pPr>
            <w:r w:rsidRPr="00397933">
              <w:rPr>
                <w:rFonts w:ascii="Garamond" w:hAnsi="Garamond" w:cs="Garamond"/>
                <w:sz w:val="24"/>
                <w:szCs w:val="24"/>
                <w:lang w:val="uk-UA" w:bidi="ru-RU"/>
              </w:rPr>
              <w:t>http://www.imf.org/external/pubs/ft/fandd/2011/06/Howe.htm</w:t>
            </w:r>
          </w:p>
        </w:tc>
      </w:tr>
      <w:tr w:rsidR="00397933" w:rsidRPr="00397933" w14:paraId="6DB50EDD" w14:textId="77777777" w:rsidTr="00464EB2">
        <w:tc>
          <w:tcPr>
            <w:tcW w:w="2093" w:type="dxa"/>
            <w:gridSpan w:val="2"/>
          </w:tcPr>
          <w:p w14:paraId="67B65E56" w14:textId="77777777" w:rsidR="00397933" w:rsidRPr="00397933" w:rsidRDefault="00397933" w:rsidP="00397933">
            <w:pPr>
              <w:spacing w:line="240" w:lineRule="atLeast"/>
              <w:contextualSpacing/>
              <w:rPr>
                <w:rFonts w:ascii="Garamond" w:hAnsi="Garamond" w:cs="Garamond"/>
                <w:sz w:val="24"/>
                <w:szCs w:val="24"/>
                <w:lang w:val="en-US" w:bidi="ru-RU"/>
              </w:rPr>
            </w:pPr>
            <w:r w:rsidRPr="00397933">
              <w:rPr>
                <w:rFonts w:ascii="Garamond" w:hAnsi="Garamond" w:cs="Garamond"/>
                <w:sz w:val="24"/>
                <w:szCs w:val="24"/>
                <w:lang w:val="en-US" w:bidi="ru-RU"/>
              </w:rPr>
              <w:t>The Price of Maturity</w:t>
            </w:r>
          </w:p>
        </w:tc>
        <w:tc>
          <w:tcPr>
            <w:tcW w:w="7371" w:type="dxa"/>
            <w:gridSpan w:val="2"/>
          </w:tcPr>
          <w:p w14:paraId="5A4DEA46" w14:textId="77777777" w:rsidR="00397933" w:rsidRPr="00397933" w:rsidRDefault="00265358" w:rsidP="00397933">
            <w:pPr>
              <w:spacing w:line="240" w:lineRule="atLeast"/>
              <w:contextualSpacing/>
              <w:jc w:val="both"/>
              <w:rPr>
                <w:rFonts w:ascii="Garamond" w:hAnsi="Garamond" w:cs="Garamond"/>
                <w:sz w:val="24"/>
                <w:szCs w:val="24"/>
                <w:lang w:val="en-US" w:bidi="ru-RU"/>
              </w:rPr>
            </w:pPr>
            <w:r>
              <w:rPr>
                <w:rFonts w:ascii="Garamond" w:hAnsi="Garamond" w:cs="Garamond"/>
                <w:sz w:val="24"/>
                <w:szCs w:val="24"/>
                <w:lang w:val="en-US" w:bidi="ru-RU"/>
              </w:rPr>
              <w:t>Lee, R., Mason, A., 2011, The Price of Maturity?</w:t>
            </w:r>
            <w:r w:rsidR="00397933" w:rsidRPr="00397933">
              <w:rPr>
                <w:rFonts w:ascii="Garamond" w:hAnsi="Garamond" w:cs="Garamond"/>
                <w:sz w:val="24"/>
                <w:szCs w:val="24"/>
                <w:lang w:val="en-US" w:bidi="ru-RU"/>
              </w:rPr>
              <w:t xml:space="preserve">, </w:t>
            </w:r>
            <w:r w:rsidR="00397933" w:rsidRPr="00397933">
              <w:rPr>
                <w:rFonts w:ascii="Garamond" w:hAnsi="Garamond" w:cs="Garamond"/>
                <w:i/>
                <w:sz w:val="24"/>
                <w:szCs w:val="24"/>
                <w:lang w:val="en-US" w:bidi="ru-RU"/>
              </w:rPr>
              <w:t>Finance and Development</w:t>
            </w:r>
            <w:r w:rsidR="00397933" w:rsidRPr="00397933">
              <w:rPr>
                <w:rFonts w:ascii="Garamond" w:hAnsi="Garamond" w:cs="Garamond"/>
                <w:sz w:val="24"/>
                <w:szCs w:val="24"/>
                <w:lang w:val="en-US" w:bidi="ru-RU"/>
              </w:rPr>
              <w:t>, June, Vol. 48, 2, pp. 6</w:t>
            </w:r>
            <w:r>
              <w:rPr>
                <w:rFonts w:ascii="Garamond" w:hAnsi="Garamond" w:cs="Garamond"/>
                <w:sz w:val="24"/>
                <w:szCs w:val="24"/>
                <w:lang w:val="en-US" w:bidi="ru-RU"/>
              </w:rPr>
              <w:t>–</w:t>
            </w:r>
            <w:r w:rsidR="00397933" w:rsidRPr="00397933">
              <w:rPr>
                <w:rFonts w:ascii="Garamond" w:hAnsi="Garamond" w:cs="Garamond"/>
                <w:sz w:val="24"/>
                <w:szCs w:val="24"/>
                <w:lang w:val="en-US" w:bidi="ru-RU"/>
              </w:rPr>
              <w:t>11.</w:t>
            </w:r>
            <w:r>
              <w:rPr>
                <w:rFonts w:ascii="Garamond" w:hAnsi="Garamond" w:cs="Garamond"/>
                <w:sz w:val="24"/>
                <w:szCs w:val="24"/>
                <w:lang w:val="en-US" w:bidi="ru-RU"/>
              </w:rPr>
              <w:t xml:space="preserve"> Available at</w:t>
            </w:r>
          </w:p>
          <w:p w14:paraId="7A2161E2" w14:textId="77777777" w:rsidR="00397933" w:rsidRPr="00397933" w:rsidRDefault="00397933" w:rsidP="00397933">
            <w:pPr>
              <w:spacing w:line="240" w:lineRule="atLeast"/>
              <w:contextualSpacing/>
              <w:jc w:val="both"/>
              <w:rPr>
                <w:rFonts w:ascii="Garamond" w:hAnsi="Garamond" w:cs="Garamond"/>
                <w:sz w:val="24"/>
                <w:szCs w:val="24"/>
                <w:lang w:val="uk-UA" w:bidi="ru-RU"/>
              </w:rPr>
            </w:pPr>
            <w:r w:rsidRPr="00397933">
              <w:rPr>
                <w:rFonts w:ascii="Garamond" w:hAnsi="Garamond" w:cs="Garamond"/>
                <w:sz w:val="24"/>
                <w:szCs w:val="24"/>
                <w:lang w:val="uk-UA" w:bidi="ru-RU"/>
              </w:rPr>
              <w:t>http://www.imf.org/external/pubs/ft/fandd/2011/06/lee.htm</w:t>
            </w:r>
          </w:p>
        </w:tc>
      </w:tr>
    </w:tbl>
    <w:p w14:paraId="5608268D" w14:textId="77777777" w:rsidR="00397933" w:rsidRPr="00397933" w:rsidRDefault="00397933" w:rsidP="00397933">
      <w:pPr>
        <w:spacing w:line="312" w:lineRule="auto"/>
        <w:ind w:firstLine="357"/>
        <w:contextualSpacing/>
        <w:jc w:val="both"/>
        <w:rPr>
          <w:rFonts w:cs="Garamond"/>
          <w:color w:val="auto"/>
          <w:sz w:val="28"/>
          <w:szCs w:val="28"/>
          <w:lang w:eastAsia="ru-RU" w:bidi="ru-RU"/>
        </w:rPr>
      </w:pPr>
    </w:p>
    <w:p w14:paraId="11BBC937"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lastRenderedPageBreak/>
        <w:t>Next section provides detailed suggestions for writing the background, methods, results, and conclusions of a good abstract.</w:t>
      </w:r>
    </w:p>
    <w:p w14:paraId="6C22FC39" w14:textId="77777777" w:rsidR="00397933" w:rsidRPr="00397933" w:rsidRDefault="00397933" w:rsidP="00397933">
      <w:pPr>
        <w:pStyle w:val="end2"/>
        <w:rPr>
          <w:lang w:eastAsia="ru-RU"/>
        </w:rPr>
      </w:pPr>
      <w:r w:rsidRPr="00397933">
        <w:rPr>
          <w:lang w:eastAsia="ru-RU"/>
        </w:rPr>
        <w:t>Guidelines</w:t>
      </w:r>
      <w:r w:rsidR="00464EB2">
        <w:rPr>
          <w:lang w:eastAsia="ru-RU"/>
        </w:rPr>
        <w:t>:</w:t>
      </w:r>
      <w:r w:rsidRPr="00397933">
        <w:rPr>
          <w:lang w:eastAsia="ru-RU"/>
        </w:rPr>
        <w:t xml:space="preserve"> some practical tips </w:t>
      </w:r>
    </w:p>
    <w:p w14:paraId="15330E38"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 xml:space="preserve">The </w:t>
      </w:r>
      <w:r w:rsidR="00464EB2">
        <w:rPr>
          <w:rFonts w:cs="Garamond"/>
          <w:color w:val="auto"/>
          <w:sz w:val="28"/>
          <w:szCs w:val="28"/>
          <w:lang w:val="en-US" w:eastAsia="ru-RU" w:bidi="ru-RU"/>
        </w:rPr>
        <w:t>a</w:t>
      </w:r>
      <w:r w:rsidRPr="00397933">
        <w:rPr>
          <w:rFonts w:cs="Garamond"/>
          <w:color w:val="auto"/>
          <w:sz w:val="28"/>
          <w:szCs w:val="28"/>
          <w:lang w:val="en-US" w:eastAsia="ru-RU" w:bidi="ru-RU"/>
        </w:rPr>
        <w:t xml:space="preserve">bstract is typically a condensed version of longer piece of writing that highlights the major </w:t>
      </w:r>
      <w:r w:rsidR="001C1709" w:rsidRPr="00397933">
        <w:rPr>
          <w:rFonts w:cs="Garamond"/>
          <w:color w:val="auto"/>
          <w:sz w:val="28"/>
          <w:szCs w:val="28"/>
          <w:lang w:val="en-US" w:eastAsia="ru-RU" w:bidi="ru-RU"/>
        </w:rPr>
        <w:t xml:space="preserve">covered </w:t>
      </w:r>
      <w:r w:rsidRPr="00397933">
        <w:rPr>
          <w:rFonts w:cs="Garamond"/>
          <w:color w:val="auto"/>
          <w:sz w:val="28"/>
          <w:szCs w:val="28"/>
          <w:lang w:val="en-US" w:eastAsia="ru-RU" w:bidi="ru-RU"/>
        </w:rPr>
        <w:t>points, while concisely describing the content and scope of the work.</w:t>
      </w:r>
    </w:p>
    <w:p w14:paraId="62B54964" w14:textId="77777777" w:rsidR="00397933" w:rsidRPr="00397933" w:rsidRDefault="00397933" w:rsidP="00397933">
      <w:pPr>
        <w:spacing w:line="312" w:lineRule="auto"/>
        <w:ind w:firstLine="357"/>
        <w:contextualSpacing/>
        <w:jc w:val="both"/>
        <w:rPr>
          <w:rFonts w:cs="Garamond"/>
          <w:b/>
          <w:color w:val="auto"/>
          <w:sz w:val="28"/>
          <w:szCs w:val="28"/>
          <w:lang w:val="en-US" w:eastAsia="ru-RU" w:bidi="ru-RU"/>
        </w:rPr>
      </w:pPr>
      <w:r w:rsidRPr="00397933">
        <w:rPr>
          <w:rFonts w:cs="Garamond"/>
          <w:b/>
          <w:color w:val="auto"/>
          <w:sz w:val="28"/>
          <w:szCs w:val="28"/>
          <w:lang w:val="en-US" w:eastAsia="ru-RU" w:bidi="ru-RU"/>
        </w:rPr>
        <w:t xml:space="preserve">Purposes of the </w:t>
      </w:r>
      <w:r w:rsidR="00464EB2">
        <w:rPr>
          <w:rFonts w:cs="Garamond"/>
          <w:b/>
          <w:color w:val="auto"/>
          <w:sz w:val="28"/>
          <w:szCs w:val="28"/>
          <w:lang w:val="en-US" w:eastAsia="ru-RU" w:bidi="ru-RU"/>
        </w:rPr>
        <w:t>a</w:t>
      </w:r>
      <w:r w:rsidRPr="00397933">
        <w:rPr>
          <w:rFonts w:cs="Garamond"/>
          <w:b/>
          <w:color w:val="auto"/>
          <w:sz w:val="28"/>
          <w:szCs w:val="28"/>
          <w:lang w:val="en-US" w:eastAsia="ru-RU" w:bidi="ru-RU"/>
        </w:rPr>
        <w:t>bstract:</w:t>
      </w:r>
    </w:p>
    <w:p w14:paraId="5FCD735E" w14:textId="77777777" w:rsidR="00397933" w:rsidRPr="00397933" w:rsidRDefault="00464EB2"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 xml:space="preserve">provides an overview of the article (readers may </w:t>
      </w:r>
      <w:r>
        <w:rPr>
          <w:rFonts w:eastAsia="Calibri"/>
          <w:color w:val="auto"/>
          <w:sz w:val="28"/>
          <w:szCs w:val="28"/>
          <w:lang w:val="en-US" w:eastAsia="en-US" w:bidi="ru-RU"/>
        </w:rPr>
        <w:t xml:space="preserve">not </w:t>
      </w:r>
      <w:r w:rsidRPr="00397933">
        <w:rPr>
          <w:rFonts w:eastAsia="Calibri"/>
          <w:color w:val="auto"/>
          <w:sz w:val="28"/>
          <w:szCs w:val="28"/>
          <w:lang w:val="en-US" w:eastAsia="en-US" w:bidi="ru-RU"/>
        </w:rPr>
        <w:t xml:space="preserve">read </w:t>
      </w:r>
      <w:r>
        <w:rPr>
          <w:rFonts w:eastAsia="Calibri"/>
          <w:color w:val="auto"/>
          <w:sz w:val="28"/>
          <w:szCs w:val="28"/>
          <w:lang w:val="en-US" w:eastAsia="en-US" w:bidi="ru-RU"/>
        </w:rPr>
        <w:t>anything</w:t>
      </w:r>
      <w:r w:rsidRPr="00397933">
        <w:rPr>
          <w:rFonts w:eastAsia="Calibri"/>
          <w:color w:val="auto"/>
          <w:sz w:val="28"/>
          <w:szCs w:val="28"/>
          <w:lang w:val="en-US" w:eastAsia="en-US" w:bidi="ru-RU"/>
        </w:rPr>
        <w:t xml:space="preserve"> else);</w:t>
      </w:r>
    </w:p>
    <w:p w14:paraId="67CFC885" w14:textId="77777777" w:rsidR="00397933" w:rsidRPr="00397933" w:rsidRDefault="00464EB2"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provides context for those who read the article;</w:t>
      </w:r>
    </w:p>
    <w:p w14:paraId="294C7B52" w14:textId="77777777" w:rsidR="00397933" w:rsidRPr="00397933" w:rsidRDefault="00464EB2" w:rsidP="006F749C">
      <w:pPr>
        <w:numPr>
          <w:ilvl w:val="0"/>
          <w:numId w:val="259"/>
        </w:numPr>
        <w:spacing w:line="312" w:lineRule="auto"/>
        <w:ind w:left="1071" w:hanging="357"/>
        <w:contextualSpacing/>
        <w:jc w:val="both"/>
        <w:rPr>
          <w:rFonts w:eastAsia="Calibri"/>
          <w:color w:val="auto"/>
          <w:sz w:val="28"/>
          <w:szCs w:val="28"/>
          <w:lang w:val="en-US" w:eastAsia="en-US" w:bidi="ru-RU"/>
        </w:rPr>
      </w:pPr>
      <w:r>
        <w:rPr>
          <w:rFonts w:eastAsia="Calibri"/>
          <w:color w:val="auto"/>
          <w:sz w:val="28"/>
          <w:szCs w:val="28"/>
          <w:lang w:val="en-US" w:eastAsia="en-US" w:bidi="ru-RU"/>
        </w:rPr>
        <w:t xml:space="preserve">is </w:t>
      </w:r>
      <w:r w:rsidRPr="00397933">
        <w:rPr>
          <w:rFonts w:eastAsia="Calibri"/>
          <w:color w:val="auto"/>
          <w:sz w:val="28"/>
          <w:szCs w:val="28"/>
          <w:lang w:val="en-US" w:eastAsia="en-US" w:bidi="ru-RU"/>
        </w:rPr>
        <w:t>used by journals to assign reviewers;</w:t>
      </w:r>
    </w:p>
    <w:p w14:paraId="7623CCEE" w14:textId="77777777" w:rsidR="00397933" w:rsidRPr="00397933" w:rsidRDefault="00464EB2" w:rsidP="006F749C">
      <w:pPr>
        <w:numPr>
          <w:ilvl w:val="0"/>
          <w:numId w:val="259"/>
        </w:numPr>
        <w:spacing w:line="312" w:lineRule="auto"/>
        <w:ind w:left="1071" w:hanging="357"/>
        <w:contextualSpacing/>
        <w:jc w:val="both"/>
        <w:rPr>
          <w:rFonts w:eastAsia="Calibri"/>
          <w:color w:val="auto"/>
          <w:sz w:val="28"/>
          <w:szCs w:val="28"/>
          <w:lang w:val="en-US" w:eastAsia="en-US" w:bidi="ru-RU"/>
        </w:rPr>
      </w:pPr>
      <w:r>
        <w:rPr>
          <w:rFonts w:eastAsia="Calibri"/>
          <w:color w:val="auto"/>
          <w:sz w:val="28"/>
          <w:szCs w:val="28"/>
          <w:lang w:val="en-US" w:eastAsia="en-US" w:bidi="ru-RU"/>
        </w:rPr>
        <w:t xml:space="preserve">is </w:t>
      </w:r>
      <w:r w:rsidRPr="00397933">
        <w:rPr>
          <w:rFonts w:eastAsia="Calibri"/>
          <w:color w:val="auto"/>
          <w:sz w:val="28"/>
          <w:szCs w:val="28"/>
          <w:lang w:val="en-US" w:eastAsia="en-US" w:bidi="ru-RU"/>
        </w:rPr>
        <w:t>used by abstracting and information services to index and retrieve articles;</w:t>
      </w:r>
    </w:p>
    <w:p w14:paraId="5679C5FD" w14:textId="77777777" w:rsidR="00397933" w:rsidRPr="00397933" w:rsidRDefault="00464EB2" w:rsidP="006F749C">
      <w:pPr>
        <w:numPr>
          <w:ilvl w:val="0"/>
          <w:numId w:val="259"/>
        </w:numPr>
        <w:spacing w:line="312" w:lineRule="auto"/>
        <w:ind w:left="1071" w:hanging="357"/>
        <w:contextualSpacing/>
        <w:jc w:val="both"/>
        <w:rPr>
          <w:rFonts w:eastAsia="Calibri"/>
          <w:color w:val="auto"/>
          <w:sz w:val="28"/>
          <w:szCs w:val="28"/>
          <w:lang w:val="en-US" w:eastAsia="en-US" w:bidi="ru-RU"/>
        </w:rPr>
      </w:pPr>
      <w:r>
        <w:rPr>
          <w:rFonts w:eastAsia="Calibri"/>
          <w:color w:val="auto"/>
          <w:sz w:val="28"/>
          <w:szCs w:val="28"/>
          <w:lang w:val="en-US" w:eastAsia="en-US" w:bidi="ru-RU"/>
        </w:rPr>
        <w:t xml:space="preserve">is </w:t>
      </w:r>
      <w:r w:rsidRPr="00397933">
        <w:rPr>
          <w:rFonts w:eastAsia="Calibri"/>
          <w:color w:val="auto"/>
          <w:sz w:val="28"/>
          <w:szCs w:val="28"/>
          <w:lang w:val="en-US" w:eastAsia="en-US" w:bidi="ru-RU"/>
        </w:rPr>
        <w:t>used by translation services for foreign readers;</w:t>
      </w:r>
    </w:p>
    <w:p w14:paraId="18AD5A99" w14:textId="77777777" w:rsidR="00397933" w:rsidRPr="00397933" w:rsidRDefault="00464EB2"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 xml:space="preserve">helps reader </w:t>
      </w:r>
      <w:r>
        <w:rPr>
          <w:rFonts w:eastAsia="Calibri"/>
          <w:color w:val="auto"/>
          <w:sz w:val="28"/>
          <w:szCs w:val="28"/>
          <w:lang w:val="en-US" w:eastAsia="en-US" w:bidi="ru-RU"/>
        </w:rPr>
        <w:t xml:space="preserve">to </w:t>
      </w:r>
      <w:r w:rsidRPr="00397933">
        <w:rPr>
          <w:rFonts w:eastAsia="Calibri"/>
          <w:color w:val="auto"/>
          <w:sz w:val="28"/>
          <w:szCs w:val="28"/>
          <w:lang w:val="en-US" w:eastAsia="en-US" w:bidi="ru-RU"/>
        </w:rPr>
        <w:t xml:space="preserve">decide whether to read the article; </w:t>
      </w:r>
    </w:p>
    <w:p w14:paraId="4D795155" w14:textId="77777777" w:rsidR="00397933" w:rsidRPr="00397933" w:rsidRDefault="00464EB2"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provides r</w:t>
      </w:r>
      <w:r>
        <w:rPr>
          <w:rFonts w:eastAsia="Calibri"/>
          <w:color w:val="auto"/>
          <w:sz w:val="28"/>
          <w:szCs w:val="28"/>
          <w:lang w:val="en-US" w:eastAsia="en-US" w:bidi="ru-RU"/>
        </w:rPr>
        <w:t>eminders for readers after they ha</w:t>
      </w:r>
      <w:r w:rsidRPr="00397933">
        <w:rPr>
          <w:rFonts w:eastAsia="Calibri"/>
          <w:color w:val="auto"/>
          <w:sz w:val="28"/>
          <w:szCs w:val="28"/>
          <w:lang w:val="en-US" w:eastAsia="en-US" w:bidi="ru-RU"/>
        </w:rPr>
        <w:t>ve read the article;</w:t>
      </w:r>
    </w:p>
    <w:p w14:paraId="42321B19" w14:textId="77777777" w:rsidR="00397933" w:rsidRPr="00397933" w:rsidRDefault="00464EB2"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directs readers’ attention to the highlights of the article</w:t>
      </w:r>
      <w:r w:rsidR="00397933" w:rsidRPr="00397933">
        <w:rPr>
          <w:rFonts w:eastAsia="Calibri"/>
          <w:color w:val="auto"/>
          <w:sz w:val="28"/>
          <w:szCs w:val="28"/>
          <w:lang w:val="en-US" w:eastAsia="en-US" w:bidi="ru-RU"/>
        </w:rPr>
        <w:t>.</w:t>
      </w:r>
    </w:p>
    <w:p w14:paraId="1746532B"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 xml:space="preserve">According to the overall style of the abstract, it is important to be concise: </w:t>
      </w:r>
      <w:r w:rsidR="00464EB2">
        <w:rPr>
          <w:rFonts w:cs="Garamond"/>
          <w:color w:val="auto"/>
          <w:sz w:val="28"/>
          <w:szCs w:val="28"/>
          <w:lang w:val="en-US" w:eastAsia="ru-RU" w:bidi="ru-RU"/>
        </w:rPr>
        <w:t xml:space="preserve">to </w:t>
      </w:r>
      <w:r w:rsidRPr="00397933">
        <w:rPr>
          <w:rFonts w:cs="Garamond"/>
          <w:color w:val="auto"/>
          <w:sz w:val="28"/>
          <w:szCs w:val="28"/>
          <w:lang w:val="en-US" w:eastAsia="ru-RU" w:bidi="ru-RU"/>
        </w:rPr>
        <w:t>write only what is essential, using no more words than necessary to convey the information. At the same time it is also important to be descriptive; use active verbs.</w:t>
      </w:r>
    </w:p>
    <w:p w14:paraId="7FF15E3A" w14:textId="77777777" w:rsidR="00397933" w:rsidRPr="00397933" w:rsidRDefault="00397933" w:rsidP="00397933">
      <w:pPr>
        <w:spacing w:line="312" w:lineRule="auto"/>
        <w:ind w:firstLine="357"/>
        <w:contextualSpacing/>
        <w:jc w:val="both"/>
        <w:rPr>
          <w:rFonts w:cs="Garamond"/>
          <w:b/>
          <w:color w:val="auto"/>
          <w:sz w:val="28"/>
          <w:szCs w:val="28"/>
          <w:lang w:val="en-US" w:eastAsia="ru-RU" w:bidi="ru-RU"/>
        </w:rPr>
      </w:pPr>
      <w:r w:rsidRPr="00397933">
        <w:rPr>
          <w:rFonts w:cs="Garamond"/>
          <w:b/>
          <w:color w:val="auto"/>
          <w:sz w:val="28"/>
          <w:szCs w:val="28"/>
          <w:lang w:val="en-US" w:eastAsia="ru-RU" w:bidi="ru-RU"/>
        </w:rPr>
        <w:t xml:space="preserve">Characteristics of the </w:t>
      </w:r>
      <w:r w:rsidR="00464EB2">
        <w:rPr>
          <w:rFonts w:cs="Garamond"/>
          <w:b/>
          <w:color w:val="auto"/>
          <w:sz w:val="28"/>
          <w:szCs w:val="28"/>
          <w:lang w:val="en-US" w:eastAsia="ru-RU" w:bidi="ru-RU"/>
        </w:rPr>
        <w:t>a</w:t>
      </w:r>
      <w:r w:rsidRPr="00397933">
        <w:rPr>
          <w:rFonts w:cs="Garamond"/>
          <w:b/>
          <w:color w:val="auto"/>
          <w:sz w:val="28"/>
          <w:szCs w:val="28"/>
          <w:lang w:val="en-US" w:eastAsia="ru-RU" w:bidi="ru-RU"/>
        </w:rPr>
        <w:t>bstract:</w:t>
      </w:r>
    </w:p>
    <w:p w14:paraId="69B8CD74" w14:textId="77777777" w:rsidR="00397933" w:rsidRPr="00397933" w:rsidRDefault="00464EB2" w:rsidP="006F749C">
      <w:pPr>
        <w:numPr>
          <w:ilvl w:val="0"/>
          <w:numId w:val="256"/>
        </w:numPr>
        <w:spacing w:line="312" w:lineRule="auto"/>
        <w:ind w:left="85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complete and internally consistent;</w:t>
      </w:r>
    </w:p>
    <w:p w14:paraId="71AEDB0A" w14:textId="77777777" w:rsidR="00397933" w:rsidRPr="00397933" w:rsidRDefault="00464EB2" w:rsidP="006F749C">
      <w:pPr>
        <w:numPr>
          <w:ilvl w:val="0"/>
          <w:numId w:val="256"/>
        </w:numPr>
        <w:spacing w:line="312" w:lineRule="auto"/>
        <w:ind w:left="85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no references;</w:t>
      </w:r>
    </w:p>
    <w:p w14:paraId="5C161128" w14:textId="77777777" w:rsidR="00397933" w:rsidRPr="00397933" w:rsidRDefault="00464EB2" w:rsidP="006F749C">
      <w:pPr>
        <w:numPr>
          <w:ilvl w:val="0"/>
          <w:numId w:val="256"/>
        </w:numPr>
        <w:spacing w:line="312" w:lineRule="auto"/>
        <w:ind w:left="85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no tables or figures;</w:t>
      </w:r>
    </w:p>
    <w:p w14:paraId="559D1567" w14:textId="77777777" w:rsidR="00397933" w:rsidRPr="00397933" w:rsidRDefault="00464EB2" w:rsidP="006F749C">
      <w:pPr>
        <w:numPr>
          <w:ilvl w:val="0"/>
          <w:numId w:val="256"/>
        </w:numPr>
        <w:spacing w:line="312" w:lineRule="auto"/>
        <w:ind w:left="85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no or few abbreviations (must be defined);</w:t>
      </w:r>
    </w:p>
    <w:p w14:paraId="064B0383" w14:textId="77777777" w:rsidR="00397933" w:rsidRPr="00397933" w:rsidRDefault="00464EB2" w:rsidP="006F749C">
      <w:pPr>
        <w:numPr>
          <w:ilvl w:val="0"/>
          <w:numId w:val="256"/>
        </w:numPr>
        <w:spacing w:line="312" w:lineRule="auto"/>
        <w:ind w:left="85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conclusions should be based on data/info presented within the abstract;</w:t>
      </w:r>
    </w:p>
    <w:p w14:paraId="06D26C12" w14:textId="77777777" w:rsidR="00397933" w:rsidRPr="00397933" w:rsidRDefault="00464EB2" w:rsidP="006F749C">
      <w:pPr>
        <w:numPr>
          <w:ilvl w:val="0"/>
          <w:numId w:val="256"/>
        </w:numPr>
        <w:spacing w:line="312" w:lineRule="auto"/>
        <w:ind w:left="85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length: between 300 and 450 words;</w:t>
      </w:r>
    </w:p>
    <w:p w14:paraId="518899D9" w14:textId="77777777" w:rsidR="00397933" w:rsidRPr="00397933" w:rsidRDefault="00464EB2" w:rsidP="006F749C">
      <w:pPr>
        <w:numPr>
          <w:ilvl w:val="0"/>
          <w:numId w:val="256"/>
        </w:numPr>
        <w:spacing w:line="312" w:lineRule="auto"/>
        <w:ind w:left="85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an abstract is an original document, not a collection of quotations taken from the text it summarizes, i.</w:t>
      </w:r>
      <w:r>
        <w:rPr>
          <w:rFonts w:eastAsia="Calibri"/>
          <w:color w:val="auto"/>
          <w:sz w:val="28"/>
          <w:szCs w:val="28"/>
          <w:lang w:val="en-US" w:eastAsia="en-US" w:bidi="ru-RU"/>
        </w:rPr>
        <w:t xml:space="preserve"> </w:t>
      </w:r>
      <w:r w:rsidRPr="00397933">
        <w:rPr>
          <w:rFonts w:eastAsia="Calibri"/>
          <w:color w:val="auto"/>
          <w:sz w:val="28"/>
          <w:szCs w:val="28"/>
          <w:lang w:val="en-US" w:eastAsia="en-US" w:bidi="ru-RU"/>
        </w:rPr>
        <w:t>e. it must be able to stand alone;</w:t>
      </w:r>
    </w:p>
    <w:p w14:paraId="0082F33A" w14:textId="77777777" w:rsidR="00397933" w:rsidRPr="00397933" w:rsidRDefault="00464EB2" w:rsidP="006F749C">
      <w:pPr>
        <w:numPr>
          <w:ilvl w:val="0"/>
          <w:numId w:val="256"/>
        </w:numPr>
        <w:spacing w:line="312" w:lineRule="auto"/>
        <w:ind w:left="85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it does not contain vague statements which force the reader to refer to the main text.</w:t>
      </w:r>
    </w:p>
    <w:p w14:paraId="3AB99FEF" w14:textId="77777777" w:rsidR="00397933" w:rsidRPr="00397933" w:rsidRDefault="00397933" w:rsidP="00397933">
      <w:pPr>
        <w:spacing w:line="312" w:lineRule="auto"/>
        <w:ind w:firstLine="357"/>
        <w:contextualSpacing/>
        <w:jc w:val="both"/>
        <w:rPr>
          <w:rFonts w:cs="Garamond"/>
          <w:b/>
          <w:color w:val="auto"/>
          <w:sz w:val="28"/>
          <w:szCs w:val="28"/>
          <w:lang w:val="en-US" w:eastAsia="ru-RU" w:bidi="ru-RU"/>
        </w:rPr>
      </w:pPr>
      <w:r w:rsidRPr="00397933">
        <w:rPr>
          <w:rFonts w:cs="Garamond"/>
          <w:b/>
          <w:color w:val="auto"/>
          <w:sz w:val="28"/>
          <w:szCs w:val="28"/>
          <w:lang w:val="en-US" w:eastAsia="ru-RU" w:bidi="ru-RU"/>
        </w:rPr>
        <w:t xml:space="preserve">Content of an </w:t>
      </w:r>
      <w:r w:rsidR="00464EB2">
        <w:rPr>
          <w:rFonts w:cs="Garamond"/>
          <w:b/>
          <w:color w:val="auto"/>
          <w:sz w:val="28"/>
          <w:szCs w:val="28"/>
          <w:lang w:val="en-US" w:eastAsia="ru-RU" w:bidi="ru-RU"/>
        </w:rPr>
        <w:t>a</w:t>
      </w:r>
      <w:r w:rsidRPr="00397933">
        <w:rPr>
          <w:rFonts w:cs="Garamond"/>
          <w:b/>
          <w:color w:val="auto"/>
          <w:sz w:val="28"/>
          <w:szCs w:val="28"/>
          <w:lang w:val="en-US" w:eastAsia="ru-RU" w:bidi="ru-RU"/>
        </w:rPr>
        <w:t>bstract:</w:t>
      </w:r>
    </w:p>
    <w:p w14:paraId="7E395F93" w14:textId="77777777" w:rsidR="00397933" w:rsidRPr="00397933" w:rsidRDefault="00464EB2" w:rsidP="006F749C">
      <w:pPr>
        <w:numPr>
          <w:ilvl w:val="0"/>
          <w:numId w:val="255"/>
        </w:numPr>
        <w:spacing w:after="200" w:line="312" w:lineRule="auto"/>
        <w:ind w:left="709"/>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lastRenderedPageBreak/>
        <w:t xml:space="preserve">motivation and problem statement </w:t>
      </w:r>
      <w:r>
        <w:rPr>
          <w:rFonts w:eastAsia="Calibri"/>
          <w:color w:val="auto"/>
          <w:sz w:val="28"/>
          <w:szCs w:val="28"/>
          <w:lang w:val="en-US" w:eastAsia="en-US" w:bidi="ru-RU"/>
        </w:rPr>
        <w:t xml:space="preserve">– </w:t>
      </w:r>
      <w:r w:rsidRPr="00397933">
        <w:rPr>
          <w:rFonts w:eastAsia="Calibri"/>
          <w:color w:val="auto"/>
          <w:sz w:val="28"/>
          <w:szCs w:val="28"/>
          <w:lang w:val="en-US" w:eastAsia="en-US" w:bidi="ru-RU"/>
        </w:rPr>
        <w:t>the first part of the abstract, where purpose and scope of study, i.</w:t>
      </w:r>
      <w:r>
        <w:rPr>
          <w:rFonts w:eastAsia="Calibri"/>
          <w:color w:val="auto"/>
          <w:sz w:val="28"/>
          <w:szCs w:val="28"/>
          <w:lang w:val="en-US" w:eastAsia="en-US" w:bidi="ru-RU"/>
        </w:rPr>
        <w:t xml:space="preserve"> e.</w:t>
      </w:r>
      <w:r w:rsidRPr="00397933">
        <w:rPr>
          <w:rFonts w:eastAsia="Calibri"/>
          <w:color w:val="auto"/>
          <w:sz w:val="28"/>
          <w:szCs w:val="28"/>
          <w:lang w:val="en-US" w:eastAsia="en-US" w:bidi="ru-RU"/>
        </w:rPr>
        <w:t xml:space="preserve"> the research question, are defined;</w:t>
      </w:r>
    </w:p>
    <w:p w14:paraId="7A148834" w14:textId="77777777" w:rsidR="00397933" w:rsidRPr="00397933" w:rsidRDefault="00464EB2" w:rsidP="006F749C">
      <w:pPr>
        <w:numPr>
          <w:ilvl w:val="0"/>
          <w:numId w:val="255"/>
        </w:numPr>
        <w:spacing w:after="200" w:line="312" w:lineRule="auto"/>
        <w:ind w:left="709"/>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 xml:space="preserve">approach </w:t>
      </w:r>
      <w:r>
        <w:rPr>
          <w:rFonts w:eastAsia="Calibri"/>
          <w:color w:val="auto"/>
          <w:sz w:val="28"/>
          <w:szCs w:val="28"/>
          <w:lang w:val="en-US" w:eastAsia="en-US" w:bidi="ru-RU"/>
        </w:rPr>
        <w:t>–</w:t>
      </w:r>
      <w:r w:rsidRPr="00397933">
        <w:rPr>
          <w:rFonts w:eastAsia="Calibri"/>
          <w:color w:val="auto"/>
          <w:sz w:val="28"/>
          <w:szCs w:val="28"/>
          <w:lang w:val="en-US" w:eastAsia="en-US" w:bidi="ru-RU"/>
        </w:rPr>
        <w:t xml:space="preserve"> the next part of the abstract, where used materials and methods are described;</w:t>
      </w:r>
    </w:p>
    <w:p w14:paraId="00BA3233" w14:textId="77777777" w:rsidR="00397933" w:rsidRPr="00397933" w:rsidRDefault="00464EB2" w:rsidP="006F749C">
      <w:pPr>
        <w:numPr>
          <w:ilvl w:val="0"/>
          <w:numId w:val="255"/>
        </w:numPr>
        <w:spacing w:line="312" w:lineRule="auto"/>
        <w:ind w:left="709"/>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 xml:space="preserve">results </w:t>
      </w:r>
      <w:r>
        <w:rPr>
          <w:rFonts w:eastAsia="Calibri"/>
          <w:color w:val="auto"/>
          <w:sz w:val="28"/>
          <w:szCs w:val="28"/>
          <w:lang w:val="en-US" w:eastAsia="en-US" w:bidi="ru-RU"/>
        </w:rPr>
        <w:t>–</w:t>
      </w:r>
      <w:r w:rsidRPr="00397933">
        <w:rPr>
          <w:rFonts w:eastAsia="Calibri"/>
          <w:color w:val="auto"/>
          <w:sz w:val="28"/>
          <w:szCs w:val="28"/>
          <w:lang w:val="en-US" w:eastAsia="en-US" w:bidi="ru-RU"/>
        </w:rPr>
        <w:t xml:space="preserve"> the third part of the abstract that summarizes the results of the study; </w:t>
      </w:r>
    </w:p>
    <w:p w14:paraId="02247306" w14:textId="77777777" w:rsidR="00397933" w:rsidRPr="00397933" w:rsidRDefault="00464EB2" w:rsidP="006F749C">
      <w:pPr>
        <w:numPr>
          <w:ilvl w:val="0"/>
          <w:numId w:val="255"/>
        </w:numPr>
        <w:spacing w:line="312" w:lineRule="auto"/>
        <w:ind w:left="709"/>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 xml:space="preserve">discussion/conclusions </w:t>
      </w:r>
      <w:r>
        <w:rPr>
          <w:rFonts w:eastAsia="Calibri"/>
          <w:color w:val="auto"/>
          <w:sz w:val="28"/>
          <w:szCs w:val="28"/>
          <w:lang w:val="en-US" w:eastAsia="en-US" w:bidi="ru-RU"/>
        </w:rPr>
        <w:t>–</w:t>
      </w:r>
      <w:r w:rsidRPr="00397933">
        <w:rPr>
          <w:rFonts w:eastAsia="Calibri"/>
          <w:color w:val="auto"/>
          <w:sz w:val="28"/>
          <w:szCs w:val="28"/>
          <w:lang w:val="en-US" w:eastAsia="en-US" w:bidi="ru-RU"/>
        </w:rPr>
        <w:t xml:space="preserve"> the last part of the abstract that states the conclusions, their implications or recommendations for future research</w:t>
      </w:r>
      <w:r w:rsidR="00397933" w:rsidRPr="00397933">
        <w:rPr>
          <w:rFonts w:eastAsia="Calibri"/>
          <w:color w:val="auto"/>
          <w:sz w:val="28"/>
          <w:szCs w:val="28"/>
          <w:lang w:val="en-US" w:eastAsia="en-US" w:bidi="ru-RU"/>
        </w:rPr>
        <w:t>.</w:t>
      </w:r>
    </w:p>
    <w:p w14:paraId="4B5D4BE7" w14:textId="77777777" w:rsidR="00397933" w:rsidRPr="00397933" w:rsidRDefault="00397933" w:rsidP="00397933">
      <w:pPr>
        <w:spacing w:line="312" w:lineRule="auto"/>
        <w:ind w:firstLine="357"/>
        <w:contextualSpacing/>
        <w:jc w:val="both"/>
        <w:rPr>
          <w:rFonts w:cs="Garamond"/>
          <w:b/>
          <w:color w:val="auto"/>
          <w:sz w:val="28"/>
          <w:szCs w:val="28"/>
          <w:lang w:val="en-US" w:eastAsia="ru-RU" w:bidi="ru-RU"/>
        </w:rPr>
      </w:pPr>
      <w:r w:rsidRPr="00397933">
        <w:rPr>
          <w:rFonts w:cs="Garamond"/>
          <w:b/>
          <w:color w:val="auto"/>
          <w:sz w:val="28"/>
          <w:szCs w:val="28"/>
          <w:lang w:val="en-US" w:eastAsia="ru-RU" w:bidi="ru-RU"/>
        </w:rPr>
        <w:t xml:space="preserve">Description of the main parts of the </w:t>
      </w:r>
      <w:r w:rsidR="00464EB2" w:rsidRPr="00397933">
        <w:rPr>
          <w:rFonts w:cs="Garamond"/>
          <w:b/>
          <w:color w:val="auto"/>
          <w:sz w:val="28"/>
          <w:szCs w:val="28"/>
          <w:lang w:val="en-US" w:eastAsia="ru-RU" w:bidi="ru-RU"/>
        </w:rPr>
        <w:t>informative abstracts</w:t>
      </w:r>
      <w:r w:rsidRPr="00397933">
        <w:rPr>
          <w:rFonts w:cs="Garamond"/>
          <w:b/>
          <w:color w:val="auto"/>
          <w:sz w:val="28"/>
          <w:szCs w:val="28"/>
          <w:lang w:val="en-US" w:eastAsia="ru-RU" w:bidi="ru-RU"/>
        </w:rPr>
        <w:t xml:space="preserve">: </w:t>
      </w:r>
    </w:p>
    <w:p w14:paraId="5535AE06"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1</w:t>
      </w:r>
      <w:r w:rsidR="00464EB2">
        <w:rPr>
          <w:rFonts w:cs="Garamond"/>
          <w:color w:val="auto"/>
          <w:sz w:val="28"/>
          <w:szCs w:val="28"/>
          <w:lang w:val="en-US" w:eastAsia="ru-RU" w:bidi="ru-RU"/>
        </w:rPr>
        <w:t>. Motivation:</w:t>
      </w:r>
      <w:r w:rsidRPr="00397933">
        <w:rPr>
          <w:rFonts w:cs="Garamond"/>
          <w:color w:val="auto"/>
          <w:sz w:val="28"/>
          <w:szCs w:val="28"/>
          <w:lang w:val="en-US" w:eastAsia="ru-RU" w:bidi="ru-RU"/>
        </w:rPr>
        <w:t xml:space="preserve"> This part should be written by answering one or all of the following questions:</w:t>
      </w:r>
    </w:p>
    <w:p w14:paraId="07620A41" w14:textId="77777777" w:rsidR="00397933" w:rsidRPr="00397933" w:rsidRDefault="00397933" w:rsidP="006F749C">
      <w:pPr>
        <w:numPr>
          <w:ilvl w:val="0"/>
          <w:numId w:val="256"/>
        </w:numPr>
        <w:spacing w:after="200"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Why did the author decide to do this study?</w:t>
      </w:r>
    </w:p>
    <w:p w14:paraId="57300C92" w14:textId="77777777" w:rsidR="00397933" w:rsidRPr="00397933" w:rsidRDefault="00397933" w:rsidP="006F749C">
      <w:pPr>
        <w:numPr>
          <w:ilvl w:val="0"/>
          <w:numId w:val="256"/>
        </w:numPr>
        <w:spacing w:after="200"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 xml:space="preserve">Why is this research important? </w:t>
      </w:r>
    </w:p>
    <w:p w14:paraId="695F1647" w14:textId="77777777" w:rsidR="00397933" w:rsidRPr="00397933" w:rsidRDefault="00397933" w:rsidP="006F749C">
      <w:pPr>
        <w:numPr>
          <w:ilvl w:val="0"/>
          <w:numId w:val="256"/>
        </w:numPr>
        <w:spacing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Why should someone read entire essay?</w:t>
      </w:r>
    </w:p>
    <w:p w14:paraId="7FE68871"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2</w:t>
      </w:r>
      <w:r w:rsidR="00464EB2">
        <w:rPr>
          <w:rFonts w:cs="Garamond"/>
          <w:color w:val="auto"/>
          <w:sz w:val="28"/>
          <w:szCs w:val="28"/>
          <w:lang w:val="en-US" w:eastAsia="ru-RU" w:bidi="ru-RU"/>
        </w:rPr>
        <w:t>.</w:t>
      </w:r>
      <w:r w:rsidRPr="00397933">
        <w:rPr>
          <w:rFonts w:cs="Garamond"/>
          <w:color w:val="auto"/>
          <w:sz w:val="28"/>
          <w:szCs w:val="28"/>
          <w:lang w:val="en-US" w:eastAsia="ru-RU" w:bidi="ru-RU"/>
        </w:rPr>
        <w:t xml:space="preserve"> Problem statement</w:t>
      </w:r>
      <w:r w:rsidR="00464EB2">
        <w:rPr>
          <w:rFonts w:cs="Garamond"/>
          <w:color w:val="auto"/>
          <w:sz w:val="28"/>
          <w:szCs w:val="28"/>
          <w:lang w:val="en-US" w:eastAsia="ru-RU" w:bidi="ru-RU"/>
        </w:rPr>
        <w:t>:</w:t>
      </w:r>
      <w:r w:rsidRPr="00397933">
        <w:rPr>
          <w:rFonts w:cs="Garamond"/>
          <w:color w:val="auto"/>
          <w:sz w:val="28"/>
          <w:szCs w:val="28"/>
          <w:lang w:val="en-US" w:eastAsia="ru-RU" w:bidi="ru-RU"/>
        </w:rPr>
        <w:t xml:space="preserve"> Sometimes it is possible to combine the problem with the motivation, but it is </w:t>
      </w:r>
      <w:r w:rsidR="00464EB2">
        <w:rPr>
          <w:rFonts w:cs="Garamond"/>
          <w:color w:val="auto"/>
          <w:sz w:val="28"/>
          <w:szCs w:val="28"/>
          <w:lang w:val="en-US" w:eastAsia="ru-RU" w:bidi="ru-RU"/>
        </w:rPr>
        <w:t>better to write them separately</w:t>
      </w:r>
      <w:r w:rsidRPr="00397933">
        <w:rPr>
          <w:rFonts w:cs="Garamond"/>
          <w:color w:val="auto"/>
          <w:sz w:val="28"/>
          <w:szCs w:val="28"/>
          <w:lang w:val="en-US" w:eastAsia="ru-RU" w:bidi="ru-RU"/>
        </w:rPr>
        <w:t>. One or all of the following questions should be answered:</w:t>
      </w:r>
    </w:p>
    <w:p w14:paraId="4A0D5169" w14:textId="77777777" w:rsidR="00397933" w:rsidRPr="00397933" w:rsidRDefault="00397933" w:rsidP="006F749C">
      <w:pPr>
        <w:numPr>
          <w:ilvl w:val="0"/>
          <w:numId w:val="256"/>
        </w:numPr>
        <w:spacing w:after="200"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 xml:space="preserve">What problem </w:t>
      </w:r>
      <w:r w:rsidR="00464EB2">
        <w:rPr>
          <w:rFonts w:eastAsia="Calibri"/>
          <w:color w:val="auto"/>
          <w:sz w:val="28"/>
          <w:szCs w:val="28"/>
          <w:lang w:val="en-US" w:eastAsia="en-US" w:bidi="ru-RU"/>
        </w:rPr>
        <w:t>does</w:t>
      </w:r>
      <w:r w:rsidRPr="00397933">
        <w:rPr>
          <w:rFonts w:eastAsia="Calibri"/>
          <w:color w:val="auto"/>
          <w:sz w:val="28"/>
          <w:szCs w:val="28"/>
          <w:lang w:val="en-US" w:eastAsia="en-US" w:bidi="ru-RU"/>
        </w:rPr>
        <w:t xml:space="preserve"> the author </w:t>
      </w:r>
      <w:r w:rsidR="00464EB2">
        <w:rPr>
          <w:rFonts w:eastAsia="Calibri"/>
          <w:color w:val="auto"/>
          <w:sz w:val="28"/>
          <w:szCs w:val="28"/>
          <w:lang w:val="en-US" w:eastAsia="en-US" w:bidi="ru-RU"/>
        </w:rPr>
        <w:t>try</w:t>
      </w:r>
      <w:r w:rsidRPr="00397933">
        <w:rPr>
          <w:rFonts w:eastAsia="Calibri"/>
          <w:color w:val="auto"/>
          <w:sz w:val="28"/>
          <w:szCs w:val="28"/>
          <w:lang w:val="en-US" w:eastAsia="en-US" w:bidi="ru-RU"/>
        </w:rPr>
        <w:t xml:space="preserve"> to understand </w:t>
      </w:r>
      <w:r w:rsidR="00464EB2" w:rsidRPr="00397933">
        <w:rPr>
          <w:rFonts w:eastAsia="Calibri"/>
          <w:color w:val="auto"/>
          <w:sz w:val="28"/>
          <w:szCs w:val="28"/>
          <w:lang w:val="en-US" w:eastAsia="en-US" w:bidi="ru-RU"/>
        </w:rPr>
        <w:t xml:space="preserve">better </w:t>
      </w:r>
      <w:r w:rsidRPr="00397933">
        <w:rPr>
          <w:rFonts w:eastAsia="Calibri"/>
          <w:color w:val="auto"/>
          <w:sz w:val="28"/>
          <w:szCs w:val="28"/>
          <w:lang w:val="en-US" w:eastAsia="en-US" w:bidi="ru-RU"/>
        </w:rPr>
        <w:t>or solve?</w:t>
      </w:r>
    </w:p>
    <w:p w14:paraId="7BF8F472" w14:textId="77777777" w:rsidR="00397933" w:rsidRPr="00397933" w:rsidRDefault="00397933" w:rsidP="006F749C">
      <w:pPr>
        <w:numPr>
          <w:ilvl w:val="0"/>
          <w:numId w:val="256"/>
        </w:numPr>
        <w:spacing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Is the topic newly discovered or has it been ignored in the past?</w:t>
      </w:r>
    </w:p>
    <w:p w14:paraId="18C6A850" w14:textId="77777777" w:rsidR="00397933" w:rsidRPr="00397933" w:rsidRDefault="00397933" w:rsidP="006F749C">
      <w:pPr>
        <w:numPr>
          <w:ilvl w:val="0"/>
          <w:numId w:val="256"/>
        </w:numPr>
        <w:spacing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 xml:space="preserve">What is the scope of the study </w:t>
      </w:r>
      <w:r w:rsidR="00464EB2">
        <w:rPr>
          <w:rFonts w:eastAsia="Calibri"/>
          <w:color w:val="auto"/>
          <w:sz w:val="28"/>
          <w:szCs w:val="28"/>
          <w:lang w:val="en-US" w:eastAsia="en-US" w:bidi="ru-RU"/>
        </w:rPr>
        <w:t>–</w:t>
      </w:r>
      <w:r w:rsidRPr="00397933">
        <w:rPr>
          <w:rFonts w:eastAsia="Calibri"/>
          <w:color w:val="auto"/>
          <w:sz w:val="28"/>
          <w:szCs w:val="28"/>
          <w:lang w:val="en-US" w:eastAsia="en-US" w:bidi="ru-RU"/>
        </w:rPr>
        <w:t xml:space="preserve"> a general problem, or something specific?</w:t>
      </w:r>
    </w:p>
    <w:p w14:paraId="1833B1F3" w14:textId="77777777" w:rsidR="00397933" w:rsidRPr="00397933" w:rsidRDefault="00397933" w:rsidP="006F749C">
      <w:pPr>
        <w:numPr>
          <w:ilvl w:val="0"/>
          <w:numId w:val="256"/>
        </w:numPr>
        <w:spacing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What is the main claim or argument?</w:t>
      </w:r>
    </w:p>
    <w:p w14:paraId="123E6330" w14:textId="77777777" w:rsidR="00397933" w:rsidRPr="00397933" w:rsidRDefault="00F4058D"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3.</w:t>
      </w:r>
      <w:r w:rsidR="00397933" w:rsidRPr="00397933">
        <w:rPr>
          <w:rFonts w:cs="Garamond"/>
          <w:color w:val="auto"/>
          <w:sz w:val="28"/>
          <w:szCs w:val="28"/>
          <w:lang w:val="en-US" w:eastAsia="ru-RU" w:bidi="ru-RU"/>
        </w:rPr>
        <w:t xml:space="preserve"> Approach</w:t>
      </w:r>
      <w:r>
        <w:rPr>
          <w:rFonts w:cs="Garamond"/>
          <w:color w:val="auto"/>
          <w:sz w:val="28"/>
          <w:szCs w:val="28"/>
          <w:lang w:val="en-US" w:eastAsia="ru-RU" w:bidi="ru-RU"/>
        </w:rPr>
        <w:t>:</w:t>
      </w:r>
      <w:r w:rsidR="00397933" w:rsidRPr="00397933">
        <w:rPr>
          <w:rFonts w:cs="Garamond"/>
          <w:color w:val="auto"/>
          <w:sz w:val="28"/>
          <w:szCs w:val="28"/>
          <w:lang w:val="en-US" w:eastAsia="ru-RU" w:bidi="ru-RU"/>
        </w:rPr>
        <w:t xml:space="preserve"> This part describes how the author go about solving or making progress on the problem</w:t>
      </w:r>
      <w:r>
        <w:rPr>
          <w:rFonts w:cs="Garamond"/>
          <w:color w:val="auto"/>
          <w:sz w:val="28"/>
          <w:szCs w:val="28"/>
          <w:lang w:val="en-US" w:eastAsia="ru-RU" w:bidi="ru-RU"/>
        </w:rPr>
        <w:t>.</w:t>
      </w:r>
      <w:r w:rsidR="00397933" w:rsidRPr="00397933">
        <w:rPr>
          <w:rFonts w:cs="Garamond"/>
          <w:color w:val="auto"/>
          <w:sz w:val="28"/>
          <w:szCs w:val="28"/>
          <w:lang w:val="en-US" w:eastAsia="ru-RU" w:bidi="ru-RU"/>
        </w:rPr>
        <w:t xml:space="preserve"> Checklist:</w:t>
      </w:r>
    </w:p>
    <w:p w14:paraId="7E6FECD8" w14:textId="77777777" w:rsidR="00397933" w:rsidRPr="00397933" w:rsidRDefault="00397933" w:rsidP="006F749C">
      <w:pPr>
        <w:numPr>
          <w:ilvl w:val="0"/>
          <w:numId w:val="256"/>
        </w:numPr>
        <w:spacing w:after="200"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Discuss the author research including the variables and approach.</w:t>
      </w:r>
    </w:p>
    <w:p w14:paraId="26DE1474" w14:textId="77777777" w:rsidR="00397933" w:rsidRPr="00397933" w:rsidRDefault="00397933" w:rsidP="006F749C">
      <w:pPr>
        <w:numPr>
          <w:ilvl w:val="0"/>
          <w:numId w:val="256"/>
        </w:numPr>
        <w:spacing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Describe the evidence the author have to support his/her claim.</w:t>
      </w:r>
    </w:p>
    <w:p w14:paraId="30C374E4" w14:textId="77777777" w:rsidR="00397933" w:rsidRPr="00397933" w:rsidRDefault="00397933" w:rsidP="006F749C">
      <w:pPr>
        <w:numPr>
          <w:ilvl w:val="0"/>
          <w:numId w:val="256"/>
        </w:numPr>
        <w:spacing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Give an overview of the most important sources.</w:t>
      </w:r>
    </w:p>
    <w:p w14:paraId="556824FF"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4</w:t>
      </w:r>
      <w:r w:rsidR="00F4058D">
        <w:rPr>
          <w:rFonts w:cs="Garamond"/>
          <w:color w:val="auto"/>
          <w:sz w:val="28"/>
          <w:szCs w:val="28"/>
          <w:lang w:val="en-US" w:eastAsia="ru-RU" w:bidi="ru-RU"/>
        </w:rPr>
        <w:t>.</w:t>
      </w:r>
      <w:r w:rsidRPr="00397933">
        <w:rPr>
          <w:rFonts w:cs="Garamond"/>
          <w:color w:val="auto"/>
          <w:sz w:val="28"/>
          <w:szCs w:val="28"/>
          <w:lang w:val="en-US" w:eastAsia="ru-RU" w:bidi="ru-RU"/>
        </w:rPr>
        <w:t xml:space="preserve"> Results</w:t>
      </w:r>
      <w:r w:rsidR="00F4058D">
        <w:rPr>
          <w:rFonts w:cs="Garamond"/>
          <w:color w:val="auto"/>
          <w:sz w:val="28"/>
          <w:szCs w:val="28"/>
          <w:lang w:val="en-US" w:eastAsia="ru-RU" w:bidi="ru-RU"/>
        </w:rPr>
        <w:t>: In this part</w:t>
      </w:r>
      <w:r w:rsidRPr="00397933">
        <w:rPr>
          <w:rFonts w:cs="Garamond"/>
          <w:color w:val="auto"/>
          <w:sz w:val="28"/>
          <w:szCs w:val="28"/>
          <w:lang w:val="en-US" w:eastAsia="ru-RU" w:bidi="ru-RU"/>
        </w:rPr>
        <w:t xml:space="preserve"> the result should be put in numbers (if possible). Provide the results of the author study by answering one or all of the following questions:</w:t>
      </w:r>
    </w:p>
    <w:p w14:paraId="17602022" w14:textId="77777777" w:rsidR="00397933" w:rsidRPr="00397933" w:rsidRDefault="00397933" w:rsidP="006F749C">
      <w:pPr>
        <w:numPr>
          <w:ilvl w:val="0"/>
          <w:numId w:val="256"/>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What answer did the author reach from research or study?</w:t>
      </w:r>
    </w:p>
    <w:p w14:paraId="5DBD757E" w14:textId="77777777" w:rsidR="00397933" w:rsidRPr="00397933" w:rsidRDefault="00397933" w:rsidP="006F749C">
      <w:pPr>
        <w:numPr>
          <w:ilvl w:val="0"/>
          <w:numId w:val="256"/>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Was the author hypothesis or argument supported?</w:t>
      </w:r>
    </w:p>
    <w:p w14:paraId="48514501" w14:textId="77777777" w:rsidR="00397933" w:rsidRPr="00397933" w:rsidRDefault="00397933" w:rsidP="006F749C">
      <w:pPr>
        <w:numPr>
          <w:ilvl w:val="0"/>
          <w:numId w:val="256"/>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What are the general findings?</w:t>
      </w:r>
    </w:p>
    <w:p w14:paraId="70D11638" w14:textId="77777777" w:rsidR="00397933" w:rsidRPr="00397933" w:rsidRDefault="00F4058D"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5.</w:t>
      </w:r>
      <w:r w:rsidR="00397933" w:rsidRPr="00397933">
        <w:rPr>
          <w:rFonts w:cs="Garamond"/>
          <w:color w:val="auto"/>
          <w:sz w:val="28"/>
          <w:szCs w:val="28"/>
          <w:lang w:val="en-US" w:eastAsia="ru-RU" w:bidi="ru-RU"/>
        </w:rPr>
        <w:t xml:space="preserve"> Discussion/Conclusions</w:t>
      </w:r>
      <w:r>
        <w:rPr>
          <w:rFonts w:cs="Garamond"/>
          <w:color w:val="auto"/>
          <w:sz w:val="28"/>
          <w:szCs w:val="28"/>
          <w:lang w:val="en-US" w:eastAsia="ru-RU" w:bidi="ru-RU"/>
        </w:rPr>
        <w:t>:</w:t>
      </w:r>
      <w:r w:rsidR="00397933" w:rsidRPr="00397933">
        <w:rPr>
          <w:rFonts w:cs="Garamond"/>
          <w:color w:val="auto"/>
          <w:sz w:val="28"/>
          <w:szCs w:val="28"/>
          <w:lang w:val="en-US" w:eastAsia="ru-RU" w:bidi="ru-RU"/>
        </w:rPr>
        <w:t xml:space="preserve"> The main question of this part is what are the implications of the author answer? Is it going to change the world, be a significant </w:t>
      </w:r>
      <w:r>
        <w:rPr>
          <w:rFonts w:cs="Garamond"/>
          <w:color w:val="auto"/>
          <w:sz w:val="28"/>
          <w:szCs w:val="28"/>
          <w:lang w:val="en-US" w:eastAsia="ru-RU" w:bidi="ru-RU"/>
        </w:rPr>
        <w:lastRenderedPageBreak/>
        <w:t>“</w:t>
      </w:r>
      <w:r w:rsidR="00397933" w:rsidRPr="00397933">
        <w:rPr>
          <w:rFonts w:cs="Garamond"/>
          <w:color w:val="auto"/>
          <w:sz w:val="28"/>
          <w:szCs w:val="28"/>
          <w:lang w:val="en-US" w:eastAsia="ru-RU" w:bidi="ru-RU"/>
        </w:rPr>
        <w:t>win</w:t>
      </w:r>
      <w:r>
        <w:rPr>
          <w:rFonts w:cs="Garamond"/>
          <w:color w:val="auto"/>
          <w:sz w:val="28"/>
          <w:szCs w:val="28"/>
          <w:lang w:val="en-US" w:eastAsia="ru-RU" w:bidi="ru-RU"/>
        </w:rPr>
        <w:t>”</w:t>
      </w:r>
      <w:r w:rsidR="00397933" w:rsidRPr="00397933">
        <w:rPr>
          <w:rFonts w:cs="Garamond"/>
          <w:color w:val="auto"/>
          <w:sz w:val="28"/>
          <w:szCs w:val="28"/>
          <w:lang w:val="en-US" w:eastAsia="ru-RU" w:bidi="ru-RU"/>
        </w:rPr>
        <w:t xml:space="preserve">, be a nice hack, or simply serve as a road sign indicating that this path is a waste of time (all of the previous results are useful). </w:t>
      </w:r>
    </w:p>
    <w:p w14:paraId="204E60E6" w14:textId="77777777" w:rsidR="00397933" w:rsidRPr="00397933" w:rsidRDefault="00397933" w:rsidP="006F749C">
      <w:pPr>
        <w:numPr>
          <w:ilvl w:val="0"/>
          <w:numId w:val="256"/>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Are the author results general, potentially generalizable, or specific to a particular case?</w:t>
      </w:r>
    </w:p>
    <w:p w14:paraId="79E82973" w14:textId="77777777" w:rsidR="00397933" w:rsidRPr="00397933" w:rsidRDefault="00397933" w:rsidP="006F749C">
      <w:pPr>
        <w:numPr>
          <w:ilvl w:val="0"/>
          <w:numId w:val="256"/>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 xml:space="preserve">What is the author interpretation of what these interpretation results mean? </w:t>
      </w:r>
    </w:p>
    <w:p w14:paraId="5A8B0F12" w14:textId="77777777" w:rsidR="00397933" w:rsidRPr="00397933" w:rsidRDefault="00397933" w:rsidP="006F749C">
      <w:pPr>
        <w:numPr>
          <w:ilvl w:val="0"/>
          <w:numId w:val="256"/>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 xml:space="preserve">Why should anyone become interested in the author findings? </w:t>
      </w:r>
    </w:p>
    <w:p w14:paraId="23CE0DC4" w14:textId="77777777" w:rsidR="00397933" w:rsidRPr="00397933" w:rsidRDefault="00397933" w:rsidP="006F749C">
      <w:pPr>
        <w:numPr>
          <w:ilvl w:val="0"/>
          <w:numId w:val="256"/>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What are the implications for future research?</w:t>
      </w:r>
    </w:p>
    <w:p w14:paraId="32F2E515" w14:textId="77777777" w:rsidR="00397933" w:rsidRPr="00397933" w:rsidRDefault="00F4058D"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The f</w:t>
      </w:r>
      <w:r w:rsidR="00397933" w:rsidRPr="00397933">
        <w:rPr>
          <w:rFonts w:cs="Garamond"/>
          <w:color w:val="auto"/>
          <w:sz w:val="28"/>
          <w:szCs w:val="28"/>
          <w:lang w:val="en-US" w:eastAsia="ru-RU" w:bidi="ru-RU"/>
        </w:rPr>
        <w:t xml:space="preserve">ollowing </w:t>
      </w:r>
      <w:r>
        <w:rPr>
          <w:rFonts w:cs="Garamond"/>
          <w:color w:val="auto"/>
          <w:sz w:val="28"/>
          <w:szCs w:val="28"/>
          <w:lang w:val="en-US" w:eastAsia="ru-RU" w:bidi="ru-RU"/>
        </w:rPr>
        <w:t xml:space="preserve">errors </w:t>
      </w:r>
      <w:r w:rsidR="00397933" w:rsidRPr="00397933">
        <w:rPr>
          <w:rFonts w:cs="Garamond"/>
          <w:color w:val="auto"/>
          <w:sz w:val="28"/>
          <w:szCs w:val="28"/>
          <w:lang w:val="en-US" w:eastAsia="ru-RU" w:bidi="ru-RU"/>
        </w:rPr>
        <w:t xml:space="preserve">are the most </w:t>
      </w:r>
      <w:r w:rsidR="00397933" w:rsidRPr="00397933">
        <w:rPr>
          <w:rFonts w:cs="Garamond"/>
          <w:b/>
          <w:color w:val="auto"/>
          <w:sz w:val="28"/>
          <w:szCs w:val="28"/>
          <w:lang w:val="en-US" w:eastAsia="ru-RU" w:bidi="ru-RU"/>
        </w:rPr>
        <w:t xml:space="preserve">common </w:t>
      </w:r>
      <w:r w:rsidR="00397933" w:rsidRPr="00397933">
        <w:rPr>
          <w:rFonts w:cs="Garamond"/>
          <w:color w:val="auto"/>
          <w:sz w:val="28"/>
          <w:szCs w:val="28"/>
          <w:lang w:val="en-US" w:eastAsia="ru-RU" w:bidi="ru-RU"/>
        </w:rPr>
        <w:t>that students did during writing the abstract:</w:t>
      </w:r>
    </w:p>
    <w:p w14:paraId="2B4B180B" w14:textId="77777777" w:rsidR="00397933" w:rsidRPr="00397933" w:rsidRDefault="00F4058D" w:rsidP="006F749C">
      <w:pPr>
        <w:numPr>
          <w:ilvl w:val="0"/>
          <w:numId w:val="257"/>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inconsistency between text and abstract (~50</w:t>
      </w:r>
      <w:r>
        <w:rPr>
          <w:rFonts w:eastAsia="Calibri"/>
          <w:color w:val="auto"/>
          <w:sz w:val="28"/>
          <w:szCs w:val="28"/>
          <w:lang w:val="en-US" w:eastAsia="en-US" w:bidi="ru-RU"/>
        </w:rPr>
        <w:t xml:space="preserve"> </w:t>
      </w:r>
      <w:r w:rsidRPr="00397933">
        <w:rPr>
          <w:rFonts w:eastAsia="Calibri"/>
          <w:color w:val="auto"/>
          <w:sz w:val="28"/>
          <w:szCs w:val="28"/>
          <w:lang w:val="en-US" w:eastAsia="en-US" w:bidi="ru-RU"/>
        </w:rPr>
        <w:t>%);</w:t>
      </w:r>
    </w:p>
    <w:p w14:paraId="7AE6276C" w14:textId="77777777" w:rsidR="00397933" w:rsidRPr="00397933" w:rsidRDefault="00F4058D" w:rsidP="006F749C">
      <w:pPr>
        <w:numPr>
          <w:ilvl w:val="0"/>
          <w:numId w:val="257"/>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reporting data not present in the paper (~30</w:t>
      </w:r>
      <w:r>
        <w:rPr>
          <w:rFonts w:eastAsia="Calibri"/>
          <w:color w:val="auto"/>
          <w:sz w:val="28"/>
          <w:szCs w:val="28"/>
          <w:lang w:val="en-US" w:eastAsia="en-US" w:bidi="ru-RU"/>
        </w:rPr>
        <w:t xml:space="preserve"> </w:t>
      </w:r>
      <w:r w:rsidRPr="00397933">
        <w:rPr>
          <w:rFonts w:eastAsia="Calibri"/>
          <w:color w:val="auto"/>
          <w:sz w:val="28"/>
          <w:szCs w:val="28"/>
          <w:lang w:val="en-US" w:eastAsia="en-US" w:bidi="ru-RU"/>
        </w:rPr>
        <w:t>%);</w:t>
      </w:r>
    </w:p>
    <w:p w14:paraId="6A835ABC" w14:textId="77777777" w:rsidR="00397933" w:rsidRPr="00397933" w:rsidRDefault="00F4058D" w:rsidP="006F749C">
      <w:pPr>
        <w:numPr>
          <w:ilvl w:val="0"/>
          <w:numId w:val="257"/>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both (15</w:t>
      </w:r>
      <w:r>
        <w:rPr>
          <w:rFonts w:eastAsia="Calibri"/>
          <w:color w:val="auto"/>
          <w:sz w:val="28"/>
          <w:szCs w:val="28"/>
          <w:lang w:val="en-US" w:eastAsia="en-US" w:bidi="ru-RU"/>
        </w:rPr>
        <w:t xml:space="preserve"> </w:t>
      </w:r>
      <w:r w:rsidR="00397933" w:rsidRPr="00397933">
        <w:rPr>
          <w:rFonts w:eastAsia="Calibri"/>
          <w:color w:val="auto"/>
          <w:sz w:val="28"/>
          <w:szCs w:val="28"/>
          <w:lang w:val="en-US" w:eastAsia="en-US" w:bidi="ru-RU"/>
        </w:rPr>
        <w:t>%).</w:t>
      </w:r>
    </w:p>
    <w:p w14:paraId="4C3CCBEB"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Other errors:</w:t>
      </w:r>
    </w:p>
    <w:p w14:paraId="5367C63E" w14:textId="77777777" w:rsidR="00397933" w:rsidRPr="00397933" w:rsidRDefault="00397933" w:rsidP="006F749C">
      <w:pPr>
        <w:numPr>
          <w:ilvl w:val="0"/>
          <w:numId w:val="258"/>
        </w:numPr>
        <w:spacing w:line="312" w:lineRule="auto"/>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r>
      <w:r w:rsidR="00F4058D" w:rsidRPr="00397933">
        <w:rPr>
          <w:rFonts w:eastAsia="Calibri"/>
          <w:color w:val="auto"/>
          <w:sz w:val="28"/>
          <w:szCs w:val="28"/>
          <w:lang w:val="en-US" w:eastAsia="en-US" w:bidi="ru-RU"/>
        </w:rPr>
        <w:t>no question</w:t>
      </w:r>
      <w:r w:rsidR="00F4058D">
        <w:rPr>
          <w:rFonts w:eastAsia="Calibri"/>
          <w:color w:val="auto"/>
          <w:sz w:val="28"/>
          <w:szCs w:val="28"/>
          <w:lang w:val="en-US" w:eastAsia="en-US" w:bidi="ru-RU"/>
        </w:rPr>
        <w:t>s</w:t>
      </w:r>
      <w:r w:rsidR="00F4058D" w:rsidRPr="00397933">
        <w:rPr>
          <w:rFonts w:eastAsia="Calibri"/>
          <w:color w:val="auto"/>
          <w:sz w:val="28"/>
          <w:szCs w:val="28"/>
          <w:lang w:val="en-US" w:eastAsia="en-US" w:bidi="ru-RU"/>
        </w:rPr>
        <w:t xml:space="preserve"> or question</w:t>
      </w:r>
      <w:r w:rsidR="00F4058D">
        <w:rPr>
          <w:rFonts w:eastAsia="Calibri"/>
          <w:color w:val="auto"/>
          <w:sz w:val="28"/>
          <w:szCs w:val="28"/>
          <w:lang w:val="en-US" w:eastAsia="en-US" w:bidi="ru-RU"/>
        </w:rPr>
        <w:t>s are</w:t>
      </w:r>
      <w:r w:rsidR="00F4058D" w:rsidRPr="00397933">
        <w:rPr>
          <w:rFonts w:eastAsia="Calibri"/>
          <w:color w:val="auto"/>
          <w:sz w:val="28"/>
          <w:szCs w:val="28"/>
          <w:lang w:val="en-US" w:eastAsia="en-US" w:bidi="ru-RU"/>
        </w:rPr>
        <w:t xml:space="preserve"> stated vaguely;</w:t>
      </w:r>
    </w:p>
    <w:p w14:paraId="4F2D2A7D" w14:textId="77777777" w:rsidR="00397933" w:rsidRPr="00397933" w:rsidRDefault="00F4058D" w:rsidP="006F749C">
      <w:pPr>
        <w:numPr>
          <w:ilvl w:val="0"/>
          <w:numId w:val="258"/>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 xml:space="preserve">implication </w:t>
      </w:r>
      <w:r>
        <w:rPr>
          <w:rFonts w:eastAsia="Calibri"/>
          <w:color w:val="auto"/>
          <w:sz w:val="28"/>
          <w:szCs w:val="28"/>
          <w:lang w:val="en-US" w:eastAsia="en-US" w:bidi="ru-RU"/>
        </w:rPr>
        <w:t xml:space="preserve">is </w:t>
      </w:r>
      <w:r w:rsidRPr="00397933">
        <w:rPr>
          <w:rFonts w:eastAsia="Calibri"/>
          <w:color w:val="auto"/>
          <w:sz w:val="28"/>
          <w:szCs w:val="28"/>
          <w:lang w:val="en-US" w:eastAsia="en-US" w:bidi="ru-RU"/>
        </w:rPr>
        <w:t xml:space="preserve">stated instead of </w:t>
      </w:r>
      <w:r>
        <w:rPr>
          <w:rFonts w:eastAsia="Calibri"/>
          <w:color w:val="auto"/>
          <w:sz w:val="28"/>
          <w:szCs w:val="28"/>
          <w:lang w:val="en-US" w:eastAsia="en-US" w:bidi="ru-RU"/>
        </w:rPr>
        <w:t xml:space="preserve">the </w:t>
      </w:r>
      <w:r w:rsidRPr="00397933">
        <w:rPr>
          <w:rFonts w:eastAsia="Calibri"/>
          <w:color w:val="auto"/>
          <w:sz w:val="28"/>
          <w:szCs w:val="28"/>
          <w:lang w:val="en-US" w:eastAsia="en-US" w:bidi="ru-RU"/>
        </w:rPr>
        <w:t>answer;</w:t>
      </w:r>
    </w:p>
    <w:p w14:paraId="12C3E1D1" w14:textId="77777777" w:rsidR="00397933" w:rsidRPr="00397933" w:rsidRDefault="00F4058D" w:rsidP="006F749C">
      <w:pPr>
        <w:numPr>
          <w:ilvl w:val="0"/>
          <w:numId w:val="258"/>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too short or too much detail.</w:t>
      </w:r>
    </w:p>
    <w:p w14:paraId="7FBAD1AF"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The abstract should not include information not contained in the original work, references to other work, quotations from the original work or from other works, lengthy explanations of words and concepts, unexplained acronyms or abbreviations, tables and maps. An abstract gives the essence of the project in a brief but complete form to judges and the public viewing the project.</w:t>
      </w:r>
    </w:p>
    <w:p w14:paraId="3D0B20B5"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During the writing pro</w:t>
      </w:r>
      <w:r w:rsidR="00F4058D">
        <w:rPr>
          <w:rFonts w:cs="Garamond"/>
          <w:color w:val="auto"/>
          <w:sz w:val="28"/>
          <w:szCs w:val="28"/>
          <w:lang w:val="en-US" w:eastAsia="ru-RU" w:bidi="ru-RU"/>
        </w:rPr>
        <w:t>c</w:t>
      </w:r>
      <w:r w:rsidRPr="00397933">
        <w:rPr>
          <w:rFonts w:cs="Garamond"/>
          <w:color w:val="auto"/>
          <w:sz w:val="28"/>
          <w:szCs w:val="28"/>
          <w:lang w:val="en-US" w:eastAsia="ru-RU" w:bidi="ru-RU"/>
        </w:rPr>
        <w:t>es</w:t>
      </w:r>
      <w:r w:rsidR="00F4058D">
        <w:rPr>
          <w:rFonts w:cs="Garamond"/>
          <w:color w:val="auto"/>
          <w:sz w:val="28"/>
          <w:szCs w:val="28"/>
          <w:lang w:val="en-US" w:eastAsia="ru-RU" w:bidi="ru-RU"/>
        </w:rPr>
        <w:t>s, bear</w:t>
      </w:r>
      <w:r w:rsidRPr="00397933">
        <w:rPr>
          <w:rFonts w:cs="Garamond"/>
          <w:color w:val="auto"/>
          <w:sz w:val="28"/>
          <w:szCs w:val="28"/>
          <w:lang w:val="en-US" w:eastAsia="ru-RU" w:bidi="ru-RU"/>
        </w:rPr>
        <w:t xml:space="preserve"> in mind that the abstract should be </w:t>
      </w:r>
      <w:r w:rsidR="00F4058D" w:rsidRPr="00397933">
        <w:rPr>
          <w:rFonts w:cs="Garamond"/>
          <w:color w:val="auto"/>
          <w:sz w:val="28"/>
          <w:szCs w:val="28"/>
          <w:lang w:val="en-US" w:eastAsia="ru-RU" w:bidi="ru-RU"/>
        </w:rPr>
        <w:t xml:space="preserve">written </w:t>
      </w:r>
      <w:r w:rsidRPr="00397933">
        <w:rPr>
          <w:rFonts w:cs="Garamond"/>
          <w:color w:val="auto"/>
          <w:sz w:val="28"/>
          <w:szCs w:val="28"/>
          <w:lang w:val="en-US" w:eastAsia="ru-RU" w:bidi="ru-RU"/>
        </w:rPr>
        <w:t xml:space="preserve">continuity (repeat key terms, consistent order, consistent point of view in the question and answer), be in </w:t>
      </w:r>
      <w:r w:rsidR="00F4058D">
        <w:rPr>
          <w:rFonts w:cs="Garamond"/>
          <w:color w:val="auto"/>
          <w:sz w:val="28"/>
          <w:szCs w:val="28"/>
          <w:lang w:val="en-US" w:eastAsia="ru-RU" w:bidi="ru-RU"/>
        </w:rPr>
        <w:t xml:space="preserve">a </w:t>
      </w:r>
      <w:r w:rsidRPr="00397933">
        <w:rPr>
          <w:rFonts w:cs="Garamond"/>
          <w:color w:val="auto"/>
          <w:sz w:val="28"/>
          <w:szCs w:val="28"/>
          <w:lang w:val="en-US" w:eastAsia="ru-RU" w:bidi="ru-RU"/>
        </w:rPr>
        <w:t>parallel form, and verb tenses should be used (present tense for question and answer (intro</w:t>
      </w:r>
      <w:r w:rsidR="00F4058D">
        <w:rPr>
          <w:rFonts w:cs="Garamond"/>
          <w:color w:val="auto"/>
          <w:sz w:val="28"/>
          <w:szCs w:val="28"/>
          <w:lang w:val="en-US" w:eastAsia="ru-RU" w:bidi="ru-RU"/>
        </w:rPr>
        <w:t>duction</w:t>
      </w:r>
      <w:r w:rsidRPr="00397933">
        <w:rPr>
          <w:rFonts w:cs="Garamond"/>
          <w:color w:val="auto"/>
          <w:sz w:val="28"/>
          <w:szCs w:val="28"/>
          <w:lang w:val="en-US" w:eastAsia="ru-RU" w:bidi="ru-RU"/>
        </w:rPr>
        <w:t xml:space="preserve"> and discussion/conclusions), past tense for methods and results).</w:t>
      </w:r>
    </w:p>
    <w:p w14:paraId="6EF29C70"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 xml:space="preserve">Main </w:t>
      </w:r>
      <w:r w:rsidRPr="00397933">
        <w:rPr>
          <w:rFonts w:cs="Garamond"/>
          <w:b/>
          <w:color w:val="auto"/>
          <w:sz w:val="28"/>
          <w:szCs w:val="28"/>
          <w:lang w:val="en-US" w:eastAsia="ru-RU" w:bidi="ru-RU"/>
        </w:rPr>
        <w:t>writing and revising tips</w:t>
      </w:r>
      <w:r w:rsidRPr="00397933">
        <w:rPr>
          <w:rFonts w:cs="Garamond"/>
          <w:color w:val="auto"/>
          <w:sz w:val="28"/>
          <w:szCs w:val="28"/>
          <w:lang w:val="en-US" w:eastAsia="ru-RU" w:bidi="ru-RU"/>
        </w:rPr>
        <w:t>:</w:t>
      </w:r>
    </w:p>
    <w:p w14:paraId="6C6868F9" w14:textId="77777777" w:rsidR="00397933" w:rsidRPr="00397933" w:rsidRDefault="00397933"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r>
      <w:r w:rsidR="00F4058D" w:rsidRPr="00397933">
        <w:rPr>
          <w:rFonts w:eastAsia="Calibri"/>
          <w:color w:val="auto"/>
          <w:sz w:val="28"/>
          <w:szCs w:val="28"/>
          <w:lang w:val="en-US" w:eastAsia="en-US" w:bidi="ru-RU"/>
        </w:rPr>
        <w:t xml:space="preserve">simply put, the style of an abstract should always be declarative </w:t>
      </w:r>
      <w:r w:rsidR="00F4058D">
        <w:rPr>
          <w:rFonts w:eastAsia="Calibri"/>
          <w:color w:val="auto"/>
          <w:sz w:val="28"/>
          <w:szCs w:val="28"/>
          <w:lang w:val="en-US" w:eastAsia="en-US" w:bidi="ru-RU"/>
        </w:rPr>
        <w:t>and not discursive;</w:t>
      </w:r>
    </w:p>
    <w:p w14:paraId="7C90150F"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emphasize these aspects: motivation, problem statement, app</w:t>
      </w:r>
      <w:r>
        <w:rPr>
          <w:rFonts w:eastAsia="Calibri"/>
          <w:color w:val="auto"/>
          <w:sz w:val="28"/>
          <w:szCs w:val="28"/>
          <w:lang w:val="en-US" w:eastAsia="en-US" w:bidi="ru-RU"/>
        </w:rPr>
        <w:t>roach, results, and conclusions;</w:t>
      </w:r>
    </w:p>
    <w:p w14:paraId="3E84E359"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Pr>
          <w:rFonts w:eastAsia="Calibri"/>
          <w:color w:val="auto"/>
          <w:sz w:val="28"/>
          <w:szCs w:val="28"/>
          <w:lang w:val="en-US" w:eastAsia="en-US" w:bidi="ru-RU"/>
        </w:rPr>
        <w:tab/>
        <w:t>omit details and discussions;</w:t>
      </w:r>
    </w:p>
    <w:p w14:paraId="0B12B3C3"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use the pr</w:t>
      </w:r>
      <w:r>
        <w:rPr>
          <w:rFonts w:eastAsia="Calibri"/>
          <w:color w:val="auto"/>
          <w:sz w:val="28"/>
          <w:szCs w:val="28"/>
          <w:lang w:val="en-US" w:eastAsia="en-US" w:bidi="ru-RU"/>
        </w:rPr>
        <w:t>esent or past tense to describe;</w:t>
      </w:r>
    </w:p>
    <w:p w14:paraId="6786FEED"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lastRenderedPageBreak/>
        <w:tab/>
        <w:t>use short sentence</w:t>
      </w:r>
      <w:r>
        <w:rPr>
          <w:rFonts w:eastAsia="Calibri"/>
          <w:color w:val="auto"/>
          <w:sz w:val="28"/>
          <w:szCs w:val="28"/>
          <w:lang w:val="en-US" w:eastAsia="en-US" w:bidi="ru-RU"/>
        </w:rPr>
        <w:t>s, but vary sentence structure;</w:t>
      </w:r>
    </w:p>
    <w:p w14:paraId="40EEC80D"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Pr>
          <w:rFonts w:eastAsia="Calibri"/>
          <w:color w:val="auto"/>
          <w:sz w:val="28"/>
          <w:szCs w:val="28"/>
          <w:lang w:val="en-US" w:eastAsia="en-US" w:bidi="ru-RU"/>
        </w:rPr>
        <w:tab/>
        <w:t>use complete sentences;</w:t>
      </w:r>
    </w:p>
    <w:p w14:paraId="237D8187"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Pr>
          <w:rFonts w:eastAsia="Calibri"/>
          <w:color w:val="auto"/>
          <w:sz w:val="28"/>
          <w:szCs w:val="28"/>
          <w:lang w:val="en-US" w:eastAsia="en-US" w:bidi="ru-RU"/>
        </w:rPr>
        <w:tab/>
        <w:t>avoid jargon;</w:t>
      </w:r>
    </w:p>
    <w:p w14:paraId="20DED39D"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use appropriate sc</w:t>
      </w:r>
      <w:r>
        <w:rPr>
          <w:rFonts w:eastAsia="Calibri"/>
          <w:color w:val="auto"/>
          <w:sz w:val="28"/>
          <w:szCs w:val="28"/>
          <w:lang w:val="en-US" w:eastAsia="en-US" w:bidi="ru-RU"/>
        </w:rPr>
        <w:t>ientific language;</w:t>
      </w:r>
    </w:p>
    <w:p w14:paraId="1F68F106"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Pr>
          <w:rFonts w:eastAsia="Calibri"/>
          <w:color w:val="auto"/>
          <w:sz w:val="28"/>
          <w:szCs w:val="28"/>
          <w:lang w:val="en-US" w:eastAsia="en-US" w:bidi="ru-RU"/>
        </w:rPr>
        <w:tab/>
        <w:t>use concise syntax;</w:t>
      </w:r>
    </w:p>
    <w:p w14:paraId="17F3357E"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use correct spe</w:t>
      </w:r>
      <w:r>
        <w:rPr>
          <w:rFonts w:eastAsia="Calibri"/>
          <w:color w:val="auto"/>
          <w:sz w:val="28"/>
          <w:szCs w:val="28"/>
          <w:lang w:val="en-US" w:eastAsia="en-US" w:bidi="ru-RU"/>
        </w:rPr>
        <w:t>lling, grammar, and punctuation;</w:t>
      </w:r>
    </w:p>
    <w:p w14:paraId="6857F318" w14:textId="77777777" w:rsidR="00397933" w:rsidRPr="00397933" w:rsidRDefault="00F4058D" w:rsidP="006F749C">
      <w:pPr>
        <w:numPr>
          <w:ilvl w:val="0"/>
          <w:numId w:val="259"/>
        </w:numPr>
        <w:spacing w:line="312" w:lineRule="auto"/>
        <w:ind w:left="1071" w:hanging="357"/>
        <w:contextualSpacing/>
        <w:jc w:val="both"/>
        <w:rPr>
          <w:rFonts w:eastAsia="Calibri"/>
          <w:color w:val="auto"/>
          <w:sz w:val="28"/>
          <w:szCs w:val="28"/>
          <w:lang w:val="en-US" w:eastAsia="en-US" w:bidi="ru-RU"/>
        </w:rPr>
      </w:pPr>
      <w:r w:rsidRPr="00397933">
        <w:rPr>
          <w:rFonts w:eastAsia="Calibri"/>
          <w:color w:val="auto"/>
          <w:sz w:val="28"/>
          <w:szCs w:val="28"/>
          <w:lang w:val="en-US" w:eastAsia="en-US" w:bidi="ru-RU"/>
        </w:rPr>
        <w:tab/>
        <w:t>research is i</w:t>
      </w:r>
      <w:r>
        <w:rPr>
          <w:rFonts w:eastAsia="Calibri"/>
          <w:color w:val="auto"/>
          <w:sz w:val="28"/>
          <w:szCs w:val="28"/>
          <w:lang w:val="en-US" w:eastAsia="en-US" w:bidi="ru-RU"/>
        </w:rPr>
        <w:t>nteresting for the same reasons.</w:t>
      </w:r>
    </w:p>
    <w:p w14:paraId="1115D522" w14:textId="77777777" w:rsidR="00397933" w:rsidRPr="00397933" w:rsidRDefault="00397933" w:rsidP="00397933">
      <w:pPr>
        <w:pStyle w:val="end2"/>
        <w:rPr>
          <w:lang w:eastAsia="ru-RU"/>
        </w:rPr>
      </w:pPr>
      <w:r w:rsidRPr="00397933">
        <w:rPr>
          <w:lang w:eastAsia="ru-RU"/>
        </w:rPr>
        <w:t>Evaluation criteria</w:t>
      </w:r>
    </w:p>
    <w:p w14:paraId="0D9E4508"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General notes:</w:t>
      </w:r>
      <w:r w:rsidRPr="00397933">
        <w:rPr>
          <w:rFonts w:cs="Garamond"/>
          <w:color w:val="auto"/>
          <w:sz w:val="28"/>
          <w:szCs w:val="28"/>
          <w:lang w:val="en-US" w:eastAsia="ru-RU" w:bidi="ru-RU"/>
        </w:rPr>
        <w:t xml:space="preserve"> These guidelines are intended to assist the abstract reviewer in assigning point values for the scoring categories. The evaluation criteria and their description </w:t>
      </w:r>
      <w:r w:rsidR="00F4058D">
        <w:rPr>
          <w:rFonts w:cs="Garamond"/>
          <w:color w:val="auto"/>
          <w:sz w:val="28"/>
          <w:szCs w:val="28"/>
          <w:lang w:val="en-US" w:eastAsia="ru-RU" w:bidi="ru-RU"/>
        </w:rPr>
        <w:t xml:space="preserve">are </w:t>
      </w:r>
      <w:r w:rsidRPr="00397933">
        <w:rPr>
          <w:rFonts w:cs="Garamond"/>
          <w:color w:val="auto"/>
          <w:sz w:val="28"/>
          <w:szCs w:val="28"/>
          <w:lang w:val="en-US" w:eastAsia="ru-RU" w:bidi="ru-RU"/>
        </w:rPr>
        <w:t xml:space="preserve">presented in the </w:t>
      </w:r>
      <w:r>
        <w:rPr>
          <w:rFonts w:cs="Garamond"/>
          <w:color w:val="auto"/>
          <w:sz w:val="28"/>
          <w:szCs w:val="28"/>
          <w:lang w:val="en-US" w:eastAsia="ru-RU" w:bidi="ru-RU"/>
        </w:rPr>
        <w:t>box below</w:t>
      </w:r>
      <w:r w:rsidRPr="00397933">
        <w:rPr>
          <w:rFonts w:cs="Garamond"/>
          <w:color w:val="auto"/>
          <w:sz w:val="28"/>
          <w:szCs w:val="28"/>
          <w:lang w:val="en-US" w:eastAsia="ru-RU" w:bidi="ru-RU"/>
        </w:rPr>
        <w:t xml:space="preserve">. Unlike </w:t>
      </w:r>
      <w:r w:rsidR="00F4058D">
        <w:rPr>
          <w:rFonts w:cs="Garamond"/>
          <w:color w:val="auto"/>
          <w:sz w:val="28"/>
          <w:szCs w:val="28"/>
          <w:lang w:val="en-US" w:eastAsia="ru-RU" w:bidi="ru-RU"/>
        </w:rPr>
        <w:t>the</w:t>
      </w:r>
      <w:r w:rsidRPr="00397933">
        <w:rPr>
          <w:rFonts w:cs="Garamond"/>
          <w:color w:val="auto"/>
          <w:sz w:val="28"/>
          <w:szCs w:val="28"/>
          <w:lang w:val="en-US" w:eastAsia="ru-RU" w:bidi="ru-RU"/>
        </w:rPr>
        <w:t xml:space="preserve"> research paper, the abstract is very limited in length (300</w:t>
      </w:r>
      <w:r w:rsidR="00A86578">
        <w:rPr>
          <w:rFonts w:eastAsia="Arial Unicode MS" w:cs="Arial Unicode MS"/>
          <w:sz w:val="28"/>
          <w:szCs w:val="28"/>
          <w:u w:color="000000"/>
          <w:bdr w:val="nil"/>
          <w:lang w:val="en-US" w:eastAsia="en-US"/>
        </w:rPr>
        <w:t>–</w:t>
      </w:r>
      <w:r w:rsidRPr="00397933">
        <w:rPr>
          <w:rFonts w:cs="Garamond"/>
          <w:color w:val="auto"/>
          <w:sz w:val="28"/>
          <w:szCs w:val="28"/>
          <w:lang w:val="en-US" w:eastAsia="ru-RU" w:bidi="ru-RU"/>
        </w:rPr>
        <w:t xml:space="preserve">450 words (~2,000 characters)) requiring a concise description of the research. Missing sections may be scored a zero since the rubric was available to all authors. </w:t>
      </w:r>
    </w:p>
    <w:p w14:paraId="0BCB08EB" w14:textId="77777777" w:rsidR="00397933" w:rsidRPr="00210D5C" w:rsidRDefault="00397933" w:rsidP="00397933">
      <w:pPr>
        <w:contextualSpacing/>
        <w:jc w:val="center"/>
        <w:rPr>
          <w:rFonts w:cs="Garamond"/>
          <w:b/>
          <w:color w:val="auto"/>
          <w:sz w:val="28"/>
          <w:szCs w:val="28"/>
          <w:lang w:val="en-US" w:eastAsia="ru-RU" w:bidi="ru-RU"/>
        </w:rPr>
      </w:pPr>
      <w:r w:rsidRPr="00210D5C">
        <w:rPr>
          <w:rFonts w:cs="Garamond"/>
          <w:b/>
          <w:color w:val="auto"/>
          <w:sz w:val="28"/>
          <w:szCs w:val="28"/>
          <w:lang w:val="en-US" w:eastAsia="ru-RU" w:bidi="ru-RU"/>
        </w:rPr>
        <w:t>Abstract evaluation criteria</w:t>
      </w:r>
    </w:p>
    <w:tbl>
      <w:tblPr>
        <w:tblStyle w:val="TableNormal2"/>
        <w:tblW w:w="947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firstRow="1" w:lastRow="0" w:firstColumn="1" w:lastColumn="0" w:noHBand="0" w:noVBand="1"/>
      </w:tblPr>
      <w:tblGrid>
        <w:gridCol w:w="1915"/>
        <w:gridCol w:w="1885"/>
        <w:gridCol w:w="2084"/>
        <w:gridCol w:w="2452"/>
        <w:gridCol w:w="1134"/>
      </w:tblGrid>
      <w:tr w:rsidR="00397933" w:rsidRPr="00397933" w14:paraId="5A8674F5" w14:textId="77777777" w:rsidTr="00E723D8">
        <w:trPr>
          <w:trHeight w:val="485"/>
        </w:trPr>
        <w:tc>
          <w:tcPr>
            <w:tcW w:w="1915"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80" w:type="dxa"/>
              <w:left w:w="80" w:type="dxa"/>
              <w:bottom w:w="80" w:type="dxa"/>
              <w:right w:w="80" w:type="dxa"/>
            </w:tcMar>
            <w:vAlign w:val="center"/>
            <w:hideMark/>
          </w:tcPr>
          <w:p w14:paraId="0721DE04" w14:textId="77777777" w:rsidR="00397933" w:rsidRPr="00397933" w:rsidRDefault="00397933" w:rsidP="00397933">
            <w:pPr>
              <w:spacing w:line="240" w:lineRule="atLeast"/>
              <w:jc w:val="center"/>
              <w:rPr>
                <w:rFonts w:ascii="Garamond" w:hAnsi="Garamond"/>
                <w:b/>
                <w:sz w:val="24"/>
                <w:szCs w:val="24"/>
                <w:lang w:val="en-US"/>
              </w:rPr>
            </w:pPr>
            <w:r w:rsidRPr="00397933">
              <w:rPr>
                <w:rFonts w:ascii="Garamond" w:hAnsi="Garamond" w:cs="Arial Unicode MS"/>
                <w:b/>
                <w:sz w:val="24"/>
                <w:szCs w:val="24"/>
                <w:lang w:val="en-US"/>
              </w:rPr>
              <w:t>Evaluation criteria</w:t>
            </w:r>
          </w:p>
        </w:tc>
        <w:tc>
          <w:tcPr>
            <w:tcW w:w="1885"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80" w:type="dxa"/>
              <w:left w:w="80" w:type="dxa"/>
              <w:bottom w:w="80" w:type="dxa"/>
              <w:right w:w="80" w:type="dxa"/>
            </w:tcMar>
            <w:vAlign w:val="center"/>
            <w:hideMark/>
          </w:tcPr>
          <w:p w14:paraId="394EED3C" w14:textId="77777777" w:rsidR="00397933" w:rsidRPr="00397933" w:rsidRDefault="00397933" w:rsidP="00397933">
            <w:pPr>
              <w:spacing w:line="240" w:lineRule="atLeast"/>
              <w:jc w:val="center"/>
              <w:rPr>
                <w:rFonts w:ascii="Garamond" w:hAnsi="Garamond"/>
                <w:b/>
                <w:sz w:val="24"/>
                <w:szCs w:val="24"/>
                <w:lang w:val="en-US"/>
              </w:rPr>
            </w:pPr>
            <w:r w:rsidRPr="00397933">
              <w:rPr>
                <w:rFonts w:ascii="Garamond" w:hAnsi="Garamond"/>
                <w:b/>
                <w:sz w:val="24"/>
                <w:szCs w:val="24"/>
                <w:lang w:val="en-US"/>
              </w:rPr>
              <w:t>Needs Improvement</w:t>
            </w:r>
          </w:p>
        </w:tc>
        <w:tc>
          <w:tcPr>
            <w:tcW w:w="2084"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80" w:type="dxa"/>
              <w:left w:w="80" w:type="dxa"/>
              <w:bottom w:w="80" w:type="dxa"/>
              <w:right w:w="80" w:type="dxa"/>
            </w:tcMar>
            <w:vAlign w:val="center"/>
            <w:hideMark/>
          </w:tcPr>
          <w:p w14:paraId="23EFEFF7" w14:textId="77777777" w:rsidR="00397933" w:rsidRPr="00397933" w:rsidRDefault="00397933" w:rsidP="00397933">
            <w:pPr>
              <w:spacing w:line="240" w:lineRule="atLeast"/>
              <w:jc w:val="center"/>
              <w:rPr>
                <w:rFonts w:ascii="Garamond" w:hAnsi="Garamond"/>
                <w:b/>
                <w:sz w:val="24"/>
                <w:szCs w:val="24"/>
                <w:lang w:val="en-US"/>
              </w:rPr>
            </w:pPr>
            <w:r w:rsidRPr="00397933">
              <w:rPr>
                <w:rFonts w:ascii="Garamond" w:hAnsi="Garamond"/>
                <w:b/>
                <w:sz w:val="24"/>
                <w:szCs w:val="24"/>
                <w:lang w:val="en-US"/>
              </w:rPr>
              <w:t>Acceptable</w:t>
            </w:r>
          </w:p>
        </w:tc>
        <w:tc>
          <w:tcPr>
            <w:tcW w:w="2452"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80" w:type="dxa"/>
              <w:left w:w="80" w:type="dxa"/>
              <w:bottom w:w="80" w:type="dxa"/>
              <w:right w:w="80" w:type="dxa"/>
            </w:tcMar>
            <w:vAlign w:val="center"/>
            <w:hideMark/>
          </w:tcPr>
          <w:p w14:paraId="46D5900D" w14:textId="77777777" w:rsidR="00397933" w:rsidRPr="00397933" w:rsidRDefault="00397933" w:rsidP="00397933">
            <w:pPr>
              <w:spacing w:line="240" w:lineRule="atLeast"/>
              <w:jc w:val="center"/>
              <w:rPr>
                <w:rFonts w:ascii="Garamond" w:hAnsi="Garamond"/>
                <w:b/>
                <w:sz w:val="24"/>
                <w:szCs w:val="24"/>
                <w:lang w:val="en-US"/>
              </w:rPr>
            </w:pPr>
            <w:r w:rsidRPr="00397933">
              <w:rPr>
                <w:rFonts w:ascii="Garamond" w:hAnsi="Garamond"/>
                <w:b/>
                <w:sz w:val="24"/>
                <w:szCs w:val="24"/>
                <w:lang w:val="en-US"/>
              </w:rPr>
              <w:t>Outstanding</w:t>
            </w:r>
          </w:p>
        </w:tc>
        <w:tc>
          <w:tcPr>
            <w:tcW w:w="1134"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vAlign w:val="center"/>
          </w:tcPr>
          <w:p w14:paraId="0A041AD8" w14:textId="77777777" w:rsidR="00397933" w:rsidRPr="00397933" w:rsidRDefault="00AC0394" w:rsidP="00AC0394">
            <w:pPr>
              <w:spacing w:line="240" w:lineRule="atLeast"/>
              <w:jc w:val="center"/>
              <w:rPr>
                <w:rFonts w:ascii="Garamond" w:hAnsi="Garamond"/>
                <w:b/>
                <w:sz w:val="24"/>
                <w:szCs w:val="24"/>
                <w:lang w:val="en-US"/>
              </w:rPr>
            </w:pPr>
            <w:r w:rsidRPr="00397933">
              <w:rPr>
                <w:rFonts w:ascii="Garamond" w:hAnsi="Garamond"/>
                <w:b/>
                <w:sz w:val="24"/>
                <w:szCs w:val="24"/>
                <w:lang w:val="en-US"/>
              </w:rPr>
              <w:t xml:space="preserve">Possible </w:t>
            </w:r>
            <w:r w:rsidR="00397933" w:rsidRPr="00397933">
              <w:rPr>
                <w:rFonts w:ascii="Garamond" w:hAnsi="Garamond"/>
                <w:b/>
                <w:sz w:val="24"/>
                <w:szCs w:val="24"/>
                <w:lang w:val="en-US"/>
              </w:rPr>
              <w:t xml:space="preserve">Points </w:t>
            </w:r>
          </w:p>
        </w:tc>
      </w:tr>
      <w:tr w:rsidR="00397933" w:rsidRPr="00397933" w14:paraId="3A6772EA" w14:textId="77777777" w:rsidTr="00E723D8">
        <w:trPr>
          <w:trHeight w:val="1445"/>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7341C673"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cs="Arial Unicode MS"/>
                <w:sz w:val="24"/>
                <w:szCs w:val="24"/>
                <w:lang w:val="en-US"/>
              </w:rPr>
              <w:t>Motivation / Need for research</w:t>
            </w:r>
          </w:p>
        </w:tc>
        <w:tc>
          <w:tcPr>
            <w:tcW w:w="188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3D6715C0"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 xml:space="preserve">Research is </w:t>
            </w:r>
            <w:r w:rsidR="00AC0394">
              <w:rPr>
                <w:rFonts w:ascii="Garamond" w:hAnsi="Garamond"/>
                <w:sz w:val="24"/>
                <w:szCs w:val="24"/>
                <w:lang w:val="en-US" w:eastAsia="en-US"/>
              </w:rPr>
              <w:t>unclear</w:t>
            </w:r>
            <w:r w:rsidRPr="00397933">
              <w:rPr>
                <w:rFonts w:ascii="Garamond" w:hAnsi="Garamond"/>
                <w:sz w:val="24"/>
                <w:szCs w:val="24"/>
                <w:lang w:val="en-US" w:eastAsia="en-US"/>
              </w:rPr>
              <w:t xml:space="preserve"> and would have limited implications to the broader community</w:t>
            </w:r>
          </w:p>
          <w:p w14:paraId="36BA36D9"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0</w:t>
            </w:r>
            <w:r w:rsidR="00E66974">
              <w:rPr>
                <w:rFonts w:ascii="Garamond" w:hAnsi="Garamond"/>
                <w:sz w:val="24"/>
                <w:szCs w:val="24"/>
                <w:lang w:val="en-US"/>
              </w:rPr>
              <w:t>–</w:t>
            </w:r>
            <w:r w:rsidRPr="00397933">
              <w:rPr>
                <w:rFonts w:ascii="Garamond" w:hAnsi="Garamond"/>
                <w:sz w:val="24"/>
                <w:szCs w:val="24"/>
                <w:lang w:val="en-US"/>
              </w:rPr>
              <w:t>3 points</w:t>
            </w:r>
          </w:p>
        </w:tc>
        <w:tc>
          <w:tcPr>
            <w:tcW w:w="208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20D70358"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 xml:space="preserve">Research has a regional need and is tied to the </w:t>
            </w:r>
            <w:r w:rsidR="00AC0394">
              <w:rPr>
                <w:rFonts w:ascii="Garamond" w:hAnsi="Garamond"/>
                <w:sz w:val="24"/>
                <w:szCs w:val="24"/>
                <w:lang w:val="en-US" w:eastAsia="en-US"/>
              </w:rPr>
              <w:t>r</w:t>
            </w:r>
            <w:r w:rsidRPr="00397933">
              <w:rPr>
                <w:rFonts w:ascii="Garamond" w:hAnsi="Garamond"/>
                <w:sz w:val="24"/>
                <w:szCs w:val="24"/>
                <w:lang w:val="en-US" w:eastAsia="en-US"/>
              </w:rPr>
              <w:t>esearch agenda</w:t>
            </w:r>
          </w:p>
          <w:p w14:paraId="73A7F8A5"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4 points</w:t>
            </w:r>
          </w:p>
        </w:tc>
        <w:tc>
          <w:tcPr>
            <w:tcW w:w="245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0DFABC31"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Research has a</w:t>
            </w:r>
            <w:r w:rsidR="00AC0394">
              <w:rPr>
                <w:rFonts w:ascii="Garamond" w:hAnsi="Garamond"/>
                <w:sz w:val="24"/>
                <w:szCs w:val="24"/>
                <w:lang w:val="en-US" w:eastAsia="en-US"/>
              </w:rPr>
              <w:t xml:space="preserve"> broad need and is tied to the r</w:t>
            </w:r>
            <w:r w:rsidRPr="00397933">
              <w:rPr>
                <w:rFonts w:ascii="Garamond" w:hAnsi="Garamond"/>
                <w:sz w:val="24"/>
                <w:szCs w:val="24"/>
                <w:lang w:val="en-US" w:eastAsia="en-US"/>
              </w:rPr>
              <w:t>esearch agenda</w:t>
            </w:r>
          </w:p>
          <w:p w14:paraId="67126D01"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5 points</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cPr>
          <w:p w14:paraId="48ECAAF6" w14:textId="77777777" w:rsidR="00397933" w:rsidRPr="00397933" w:rsidRDefault="00397933" w:rsidP="00397933">
            <w:pPr>
              <w:spacing w:line="240" w:lineRule="atLeast"/>
              <w:jc w:val="center"/>
              <w:rPr>
                <w:rFonts w:ascii="Garamond" w:hAnsi="Garamond"/>
                <w:sz w:val="24"/>
                <w:szCs w:val="24"/>
                <w:lang w:val="en-US" w:eastAsia="en-US"/>
              </w:rPr>
            </w:pPr>
            <w:r w:rsidRPr="00397933">
              <w:rPr>
                <w:rFonts w:ascii="Garamond" w:hAnsi="Garamond" w:cs="Arial Unicode MS"/>
                <w:sz w:val="24"/>
                <w:szCs w:val="24"/>
                <w:lang w:val="en-US" w:eastAsia="en-US"/>
              </w:rPr>
              <w:t>5</w:t>
            </w:r>
          </w:p>
        </w:tc>
      </w:tr>
      <w:tr w:rsidR="00397933" w:rsidRPr="00397933" w14:paraId="4A3BAFD5" w14:textId="77777777" w:rsidTr="00E723D8">
        <w:trPr>
          <w:trHeight w:val="1685"/>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2DB042CA"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Problem statement / Conceptual or theoretical framework</w:t>
            </w:r>
          </w:p>
        </w:tc>
        <w:tc>
          <w:tcPr>
            <w:tcW w:w="188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DFF19AB"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Minimal effort to describe the foundations of this research. No theory</w:t>
            </w:r>
            <w:r w:rsidR="00AC0394">
              <w:rPr>
                <w:rFonts w:ascii="Garamond" w:hAnsi="Garamond"/>
                <w:sz w:val="24"/>
                <w:szCs w:val="24"/>
                <w:lang w:val="en-US" w:eastAsia="en-US"/>
              </w:rPr>
              <w:t xml:space="preserve"> is</w:t>
            </w:r>
            <w:r w:rsidRPr="00397933">
              <w:rPr>
                <w:rFonts w:ascii="Garamond" w:hAnsi="Garamond"/>
                <w:sz w:val="24"/>
                <w:szCs w:val="24"/>
                <w:lang w:val="en-US" w:eastAsia="en-US"/>
              </w:rPr>
              <w:t xml:space="preserve"> identified.</w:t>
            </w:r>
          </w:p>
          <w:p w14:paraId="1E88B09B"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0</w:t>
            </w:r>
            <w:r w:rsidR="00E66974">
              <w:rPr>
                <w:rFonts w:ascii="Garamond" w:hAnsi="Garamond"/>
                <w:sz w:val="24"/>
                <w:szCs w:val="24"/>
                <w:lang w:val="en-US"/>
              </w:rPr>
              <w:t>–</w:t>
            </w:r>
            <w:r w:rsidRPr="00397933">
              <w:rPr>
                <w:rFonts w:ascii="Garamond" w:hAnsi="Garamond"/>
                <w:sz w:val="24"/>
                <w:szCs w:val="24"/>
                <w:lang w:val="en-US"/>
              </w:rPr>
              <w:t>4 points</w:t>
            </w:r>
          </w:p>
        </w:tc>
        <w:tc>
          <w:tcPr>
            <w:tcW w:w="208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7CEBEAF8" w14:textId="77777777" w:rsidR="00397933" w:rsidRPr="00397933" w:rsidRDefault="00AC0394" w:rsidP="00397933">
            <w:pPr>
              <w:spacing w:line="240" w:lineRule="atLeast"/>
              <w:rPr>
                <w:rFonts w:ascii="Garamond" w:hAnsi="Garamond"/>
                <w:sz w:val="24"/>
                <w:szCs w:val="24"/>
                <w:lang w:val="en-US" w:eastAsia="en-US"/>
              </w:rPr>
            </w:pPr>
            <w:r>
              <w:rPr>
                <w:rFonts w:ascii="Garamond" w:hAnsi="Garamond"/>
                <w:sz w:val="24"/>
                <w:szCs w:val="24"/>
                <w:lang w:val="en-US" w:eastAsia="en-US"/>
              </w:rPr>
              <w:t>The framework is appropriate</w:t>
            </w:r>
            <w:r w:rsidR="00397933" w:rsidRPr="00397933">
              <w:rPr>
                <w:rFonts w:ascii="Garamond" w:hAnsi="Garamond"/>
                <w:sz w:val="24"/>
                <w:szCs w:val="24"/>
                <w:lang w:val="en-US" w:eastAsia="en-US"/>
              </w:rPr>
              <w:t xml:space="preserve"> but lacking detail. Theory is identified, but may not be well supported.</w:t>
            </w:r>
          </w:p>
          <w:p w14:paraId="01A222EF"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5</w:t>
            </w:r>
            <w:r w:rsidR="00E66974">
              <w:rPr>
                <w:rFonts w:ascii="Garamond" w:hAnsi="Garamond"/>
                <w:sz w:val="24"/>
                <w:szCs w:val="24"/>
                <w:lang w:val="en-US"/>
              </w:rPr>
              <w:t>–</w:t>
            </w:r>
            <w:r w:rsidRPr="00397933">
              <w:rPr>
                <w:rFonts w:ascii="Garamond" w:hAnsi="Garamond"/>
                <w:sz w:val="24"/>
                <w:szCs w:val="24"/>
                <w:lang w:val="en-US"/>
              </w:rPr>
              <w:t>7 points</w:t>
            </w:r>
          </w:p>
        </w:tc>
        <w:tc>
          <w:tcPr>
            <w:tcW w:w="245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4422E172"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 xml:space="preserve">The framework clearly shows that this research is </w:t>
            </w:r>
            <w:r w:rsidR="00AC0394">
              <w:rPr>
                <w:rFonts w:ascii="Garamond" w:hAnsi="Garamond"/>
                <w:sz w:val="24"/>
                <w:szCs w:val="24"/>
                <w:lang w:val="en-US" w:eastAsia="en-US"/>
              </w:rPr>
              <w:t>based</w:t>
            </w:r>
            <w:r w:rsidRPr="00397933">
              <w:rPr>
                <w:rFonts w:ascii="Garamond" w:hAnsi="Garamond"/>
                <w:sz w:val="24"/>
                <w:szCs w:val="24"/>
                <w:lang w:val="en-US" w:eastAsia="en-US"/>
              </w:rPr>
              <w:t xml:space="preserve"> on previous work. A relevant theory is identified.</w:t>
            </w:r>
          </w:p>
          <w:p w14:paraId="092FBC38"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8</w:t>
            </w:r>
            <w:r w:rsidR="00E66974">
              <w:rPr>
                <w:rFonts w:ascii="Garamond" w:hAnsi="Garamond"/>
                <w:sz w:val="24"/>
                <w:szCs w:val="24"/>
                <w:lang w:val="en-US"/>
              </w:rPr>
              <w:t>–</w:t>
            </w:r>
            <w:r w:rsidRPr="00397933">
              <w:rPr>
                <w:rFonts w:ascii="Garamond" w:hAnsi="Garamond"/>
                <w:sz w:val="24"/>
                <w:szCs w:val="24"/>
                <w:lang w:val="en-US"/>
              </w:rPr>
              <w:t>10 points</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cPr>
          <w:p w14:paraId="07545B35" w14:textId="77777777" w:rsidR="00397933" w:rsidRPr="00397933" w:rsidRDefault="00397933" w:rsidP="00397933">
            <w:pPr>
              <w:spacing w:line="240" w:lineRule="atLeast"/>
              <w:jc w:val="center"/>
              <w:rPr>
                <w:rFonts w:ascii="Garamond" w:hAnsi="Garamond"/>
                <w:sz w:val="24"/>
                <w:szCs w:val="24"/>
                <w:lang w:val="en-US" w:eastAsia="en-US"/>
              </w:rPr>
            </w:pPr>
            <w:r w:rsidRPr="00397933">
              <w:rPr>
                <w:rFonts w:ascii="Garamond" w:hAnsi="Garamond" w:cs="Arial Unicode MS"/>
                <w:sz w:val="24"/>
                <w:szCs w:val="24"/>
                <w:lang w:val="en-US" w:eastAsia="en-US"/>
              </w:rPr>
              <w:t>10</w:t>
            </w:r>
          </w:p>
        </w:tc>
      </w:tr>
      <w:tr w:rsidR="00397933" w:rsidRPr="00397933" w14:paraId="3AB4566B" w14:textId="77777777" w:rsidTr="00E723D8">
        <w:trPr>
          <w:trHeight w:val="1445"/>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6ED56554"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Methodology / Approach</w:t>
            </w:r>
          </w:p>
        </w:tc>
        <w:tc>
          <w:tcPr>
            <w:tcW w:w="188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0B9D3763"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 xml:space="preserve">Methods seem inappropriate, poorly described and </w:t>
            </w:r>
            <w:r w:rsidR="00AC0394">
              <w:rPr>
                <w:rFonts w:ascii="Garamond" w:hAnsi="Garamond"/>
                <w:sz w:val="24"/>
                <w:szCs w:val="24"/>
                <w:lang w:val="en-US" w:eastAsia="en-US"/>
              </w:rPr>
              <w:t>difficult</w:t>
            </w:r>
            <w:r w:rsidRPr="00397933">
              <w:rPr>
                <w:rFonts w:ascii="Garamond" w:hAnsi="Garamond"/>
                <w:sz w:val="24"/>
                <w:szCs w:val="24"/>
                <w:lang w:val="en-US" w:eastAsia="en-US"/>
              </w:rPr>
              <w:t xml:space="preserve"> to follow.</w:t>
            </w:r>
          </w:p>
          <w:p w14:paraId="29628BC9"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0</w:t>
            </w:r>
            <w:r w:rsidR="00E66974">
              <w:rPr>
                <w:rFonts w:ascii="Garamond" w:hAnsi="Garamond"/>
                <w:sz w:val="24"/>
                <w:szCs w:val="24"/>
                <w:lang w:val="en-US"/>
              </w:rPr>
              <w:t>–</w:t>
            </w:r>
            <w:r w:rsidRPr="00397933">
              <w:rPr>
                <w:rFonts w:ascii="Garamond" w:hAnsi="Garamond"/>
                <w:sz w:val="24"/>
                <w:szCs w:val="24"/>
                <w:lang w:val="en-US"/>
              </w:rPr>
              <w:t>3 points</w:t>
            </w:r>
          </w:p>
        </w:tc>
        <w:tc>
          <w:tcPr>
            <w:tcW w:w="208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4499680C"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 xml:space="preserve">Methodology is generally appropriate, but would be </w:t>
            </w:r>
            <w:r w:rsidR="00AC0394">
              <w:rPr>
                <w:rFonts w:ascii="Garamond" w:hAnsi="Garamond"/>
                <w:sz w:val="24"/>
                <w:szCs w:val="24"/>
                <w:lang w:val="en-US" w:eastAsia="en-US"/>
              </w:rPr>
              <w:t>difficult</w:t>
            </w:r>
            <w:r w:rsidRPr="00397933">
              <w:rPr>
                <w:rFonts w:ascii="Garamond" w:hAnsi="Garamond"/>
                <w:sz w:val="24"/>
                <w:szCs w:val="24"/>
                <w:lang w:val="en-US" w:eastAsia="en-US"/>
              </w:rPr>
              <w:t xml:space="preserve"> to reproduce from the </w:t>
            </w:r>
            <w:r w:rsidR="00AC0394" w:rsidRPr="00397933">
              <w:rPr>
                <w:rFonts w:ascii="Garamond" w:hAnsi="Garamond"/>
                <w:sz w:val="24"/>
                <w:szCs w:val="24"/>
                <w:lang w:val="en-US" w:eastAsia="en-US"/>
              </w:rPr>
              <w:t xml:space="preserve">given </w:t>
            </w:r>
            <w:r w:rsidRPr="00397933">
              <w:rPr>
                <w:rFonts w:ascii="Garamond" w:hAnsi="Garamond"/>
                <w:sz w:val="24"/>
                <w:szCs w:val="24"/>
                <w:lang w:val="en-US" w:eastAsia="en-US"/>
              </w:rPr>
              <w:t>description.</w:t>
            </w:r>
          </w:p>
          <w:p w14:paraId="4C397FE2"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4 points</w:t>
            </w:r>
          </w:p>
        </w:tc>
        <w:tc>
          <w:tcPr>
            <w:tcW w:w="245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4EBCDAD"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 xml:space="preserve">Methodology is very appropriate, well described and </w:t>
            </w:r>
            <w:r w:rsidR="00AC0394">
              <w:rPr>
                <w:rFonts w:ascii="Garamond" w:hAnsi="Garamond"/>
                <w:sz w:val="24"/>
                <w:szCs w:val="24"/>
                <w:lang w:val="en-US" w:eastAsia="en-US"/>
              </w:rPr>
              <w:t>can</w:t>
            </w:r>
            <w:r w:rsidRPr="00397933">
              <w:rPr>
                <w:rFonts w:ascii="Garamond" w:hAnsi="Garamond"/>
                <w:sz w:val="24"/>
                <w:szCs w:val="24"/>
                <w:lang w:val="en-US" w:eastAsia="en-US"/>
              </w:rPr>
              <w:t xml:space="preserve"> be easily reproduced.</w:t>
            </w:r>
          </w:p>
          <w:p w14:paraId="753E581C"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5 points</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cPr>
          <w:p w14:paraId="73C72A72" w14:textId="77777777" w:rsidR="00397933" w:rsidRPr="00397933" w:rsidRDefault="00397933" w:rsidP="00397933">
            <w:pPr>
              <w:spacing w:line="240" w:lineRule="atLeast"/>
              <w:jc w:val="center"/>
              <w:rPr>
                <w:rFonts w:ascii="Garamond" w:hAnsi="Garamond"/>
                <w:sz w:val="24"/>
                <w:szCs w:val="24"/>
                <w:lang w:val="en-US" w:eastAsia="en-US"/>
              </w:rPr>
            </w:pPr>
            <w:r w:rsidRPr="00397933">
              <w:rPr>
                <w:rFonts w:ascii="Garamond" w:hAnsi="Garamond" w:cs="Arial Unicode MS"/>
                <w:sz w:val="24"/>
                <w:szCs w:val="24"/>
                <w:lang w:val="en-US" w:eastAsia="en-US"/>
              </w:rPr>
              <w:t>5</w:t>
            </w:r>
          </w:p>
        </w:tc>
      </w:tr>
      <w:tr w:rsidR="00AC0394" w:rsidRPr="00397933" w14:paraId="72D0371C" w14:textId="77777777" w:rsidTr="00944922">
        <w:trPr>
          <w:trHeight w:val="482"/>
        </w:trPr>
        <w:tc>
          <w:tcPr>
            <w:tcW w:w="1915" w:type="dxa"/>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80" w:type="dxa"/>
              <w:left w:w="80" w:type="dxa"/>
              <w:bottom w:w="80" w:type="dxa"/>
              <w:right w:w="80" w:type="dxa"/>
            </w:tcMar>
            <w:vAlign w:val="center"/>
          </w:tcPr>
          <w:p w14:paraId="33641C37" w14:textId="77777777" w:rsidR="00AC0394" w:rsidRPr="00E723D8" w:rsidRDefault="00AC0394" w:rsidP="00944922">
            <w:pPr>
              <w:spacing w:line="240" w:lineRule="atLeast"/>
              <w:jc w:val="center"/>
              <w:rPr>
                <w:rFonts w:ascii="Garamond" w:hAnsi="Garamond" w:cs="Arial Unicode MS"/>
                <w:b/>
                <w:sz w:val="24"/>
                <w:szCs w:val="24"/>
                <w:lang w:val="en-US"/>
              </w:rPr>
            </w:pPr>
            <w:r w:rsidRPr="00397933">
              <w:rPr>
                <w:rFonts w:ascii="Garamond" w:hAnsi="Garamond" w:cs="Arial Unicode MS"/>
                <w:b/>
                <w:sz w:val="24"/>
                <w:szCs w:val="24"/>
                <w:lang w:val="en-US"/>
              </w:rPr>
              <w:lastRenderedPageBreak/>
              <w:t>Evaluation criteria</w:t>
            </w:r>
          </w:p>
        </w:tc>
        <w:tc>
          <w:tcPr>
            <w:tcW w:w="1885" w:type="dxa"/>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80" w:type="dxa"/>
              <w:left w:w="80" w:type="dxa"/>
              <w:bottom w:w="80" w:type="dxa"/>
              <w:right w:w="80" w:type="dxa"/>
            </w:tcMar>
            <w:vAlign w:val="center"/>
          </w:tcPr>
          <w:p w14:paraId="229B3F8D" w14:textId="77777777" w:rsidR="00AC0394" w:rsidRPr="00E723D8" w:rsidRDefault="00AC0394" w:rsidP="00944922">
            <w:pPr>
              <w:spacing w:line="240" w:lineRule="atLeast"/>
              <w:jc w:val="center"/>
              <w:rPr>
                <w:rFonts w:ascii="Garamond" w:hAnsi="Garamond" w:cs="Arial Unicode MS"/>
                <w:b/>
                <w:sz w:val="24"/>
                <w:szCs w:val="24"/>
                <w:lang w:val="en-US"/>
              </w:rPr>
            </w:pPr>
            <w:r w:rsidRPr="00E723D8">
              <w:rPr>
                <w:rFonts w:ascii="Garamond" w:hAnsi="Garamond" w:cs="Arial Unicode MS"/>
                <w:b/>
                <w:sz w:val="24"/>
                <w:szCs w:val="24"/>
                <w:lang w:val="en-US"/>
              </w:rPr>
              <w:t>Needs Improvement</w:t>
            </w:r>
          </w:p>
        </w:tc>
        <w:tc>
          <w:tcPr>
            <w:tcW w:w="2084" w:type="dxa"/>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80" w:type="dxa"/>
              <w:left w:w="80" w:type="dxa"/>
              <w:bottom w:w="80" w:type="dxa"/>
              <w:right w:w="80" w:type="dxa"/>
            </w:tcMar>
            <w:vAlign w:val="center"/>
          </w:tcPr>
          <w:p w14:paraId="38E1C855" w14:textId="77777777" w:rsidR="00AC0394" w:rsidRPr="00E723D8" w:rsidRDefault="00AC0394" w:rsidP="00944922">
            <w:pPr>
              <w:spacing w:line="240" w:lineRule="atLeast"/>
              <w:jc w:val="center"/>
              <w:rPr>
                <w:rFonts w:ascii="Garamond" w:hAnsi="Garamond" w:cs="Arial Unicode MS"/>
                <w:b/>
                <w:sz w:val="24"/>
                <w:szCs w:val="24"/>
                <w:lang w:val="en-US"/>
              </w:rPr>
            </w:pPr>
            <w:r w:rsidRPr="00E723D8">
              <w:rPr>
                <w:rFonts w:ascii="Garamond" w:hAnsi="Garamond" w:cs="Arial Unicode MS"/>
                <w:b/>
                <w:sz w:val="24"/>
                <w:szCs w:val="24"/>
                <w:lang w:val="en-US"/>
              </w:rPr>
              <w:t>Acceptable</w:t>
            </w:r>
          </w:p>
        </w:tc>
        <w:tc>
          <w:tcPr>
            <w:tcW w:w="2452" w:type="dxa"/>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80" w:type="dxa"/>
              <w:left w:w="80" w:type="dxa"/>
              <w:bottom w:w="80" w:type="dxa"/>
              <w:right w:w="80" w:type="dxa"/>
            </w:tcMar>
            <w:vAlign w:val="center"/>
          </w:tcPr>
          <w:p w14:paraId="48CF42FD" w14:textId="77777777" w:rsidR="00AC0394" w:rsidRPr="00E723D8" w:rsidRDefault="00AC0394" w:rsidP="00944922">
            <w:pPr>
              <w:spacing w:line="240" w:lineRule="atLeast"/>
              <w:jc w:val="center"/>
              <w:rPr>
                <w:rFonts w:ascii="Garamond" w:hAnsi="Garamond" w:cs="Arial Unicode MS"/>
                <w:b/>
                <w:sz w:val="24"/>
                <w:szCs w:val="24"/>
                <w:lang w:val="en-US"/>
              </w:rPr>
            </w:pPr>
            <w:r w:rsidRPr="00E723D8">
              <w:rPr>
                <w:rFonts w:ascii="Garamond" w:hAnsi="Garamond" w:cs="Arial Unicode MS"/>
                <w:b/>
                <w:sz w:val="24"/>
                <w:szCs w:val="24"/>
                <w:lang w:val="en-US"/>
              </w:rPr>
              <w:t>Outstanding</w:t>
            </w:r>
          </w:p>
        </w:tc>
        <w:tc>
          <w:tcPr>
            <w:tcW w:w="1134" w:type="dxa"/>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tcPr>
          <w:p w14:paraId="5249C325" w14:textId="77777777" w:rsidR="00AC0394" w:rsidRPr="00E723D8" w:rsidRDefault="00AC0394" w:rsidP="00AC0394">
            <w:pPr>
              <w:spacing w:line="240" w:lineRule="atLeast"/>
              <w:jc w:val="center"/>
              <w:rPr>
                <w:rFonts w:ascii="Garamond" w:hAnsi="Garamond" w:cs="Arial Unicode MS"/>
                <w:b/>
                <w:sz w:val="24"/>
                <w:szCs w:val="24"/>
                <w:lang w:val="en-US"/>
              </w:rPr>
            </w:pPr>
            <w:r w:rsidRPr="00E723D8">
              <w:rPr>
                <w:rFonts w:ascii="Garamond" w:hAnsi="Garamond" w:cs="Arial Unicode MS"/>
                <w:b/>
                <w:sz w:val="24"/>
                <w:szCs w:val="24"/>
                <w:lang w:val="en-US"/>
              </w:rPr>
              <w:t xml:space="preserve">Possible Points </w:t>
            </w:r>
          </w:p>
        </w:tc>
      </w:tr>
      <w:tr w:rsidR="00397933" w:rsidRPr="00397933" w14:paraId="5E20EB52" w14:textId="77777777" w:rsidTr="00E723D8">
        <w:trPr>
          <w:trHeight w:val="341"/>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38DF10C1"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Results/Findings</w:t>
            </w:r>
          </w:p>
        </w:tc>
        <w:tc>
          <w:tcPr>
            <w:tcW w:w="188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60927F06"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Study has not been completed (0</w:t>
            </w:r>
            <w:r w:rsidR="00AC0394">
              <w:rPr>
                <w:rFonts w:ascii="Garamond" w:hAnsi="Garamond"/>
                <w:sz w:val="24"/>
                <w:szCs w:val="24"/>
                <w:lang w:val="en-US" w:eastAsia="en-US"/>
              </w:rPr>
              <w:t> </w:t>
            </w:r>
            <w:r w:rsidRPr="00397933">
              <w:rPr>
                <w:rFonts w:ascii="Garamond" w:hAnsi="Garamond"/>
                <w:sz w:val="24"/>
                <w:szCs w:val="24"/>
                <w:lang w:val="en-US" w:eastAsia="en-US"/>
              </w:rPr>
              <w:t xml:space="preserve">points) or results </w:t>
            </w:r>
            <w:r w:rsidR="00AC0394">
              <w:rPr>
                <w:rFonts w:ascii="Garamond" w:hAnsi="Garamond"/>
                <w:sz w:val="24"/>
                <w:szCs w:val="24"/>
                <w:lang w:val="en-US" w:eastAsia="en-US"/>
              </w:rPr>
              <w:t xml:space="preserve">are </w:t>
            </w:r>
            <w:r w:rsidRPr="00397933">
              <w:rPr>
                <w:rFonts w:ascii="Garamond" w:hAnsi="Garamond"/>
                <w:sz w:val="24"/>
                <w:szCs w:val="24"/>
                <w:lang w:val="en-US" w:eastAsia="en-US"/>
              </w:rPr>
              <w:t>poorly described.</w:t>
            </w:r>
          </w:p>
          <w:p w14:paraId="6F1FEAE2"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0</w:t>
            </w:r>
            <w:r w:rsidR="00E66974">
              <w:rPr>
                <w:rFonts w:ascii="Garamond" w:hAnsi="Garamond"/>
                <w:sz w:val="24"/>
                <w:szCs w:val="24"/>
                <w:lang w:val="en-US"/>
              </w:rPr>
              <w:t>–</w:t>
            </w:r>
            <w:r w:rsidRPr="00397933">
              <w:rPr>
                <w:rFonts w:ascii="Garamond" w:hAnsi="Garamond"/>
                <w:sz w:val="24"/>
                <w:szCs w:val="24"/>
                <w:lang w:val="en-US"/>
              </w:rPr>
              <w:t>3 points</w:t>
            </w:r>
          </w:p>
        </w:tc>
        <w:tc>
          <w:tcPr>
            <w:tcW w:w="208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3682DAE9"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Results are adequately described and tied to the methodology.</w:t>
            </w:r>
          </w:p>
          <w:p w14:paraId="5514EB65"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4 points</w:t>
            </w:r>
          </w:p>
        </w:tc>
        <w:tc>
          <w:tcPr>
            <w:tcW w:w="245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1E9757DC"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Results are well described and clearly connected to the methodology.</w:t>
            </w:r>
          </w:p>
          <w:p w14:paraId="2F12686B"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5 points</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cPr>
          <w:p w14:paraId="703C8E03" w14:textId="77777777" w:rsidR="00397933" w:rsidRPr="00397933" w:rsidRDefault="00397933" w:rsidP="00397933">
            <w:pPr>
              <w:spacing w:line="240" w:lineRule="atLeast"/>
              <w:jc w:val="center"/>
              <w:rPr>
                <w:rFonts w:ascii="Garamond" w:hAnsi="Garamond"/>
                <w:sz w:val="24"/>
                <w:szCs w:val="24"/>
                <w:lang w:val="en-US" w:eastAsia="en-US"/>
              </w:rPr>
            </w:pPr>
            <w:r w:rsidRPr="00397933">
              <w:rPr>
                <w:rFonts w:ascii="Garamond" w:hAnsi="Garamond" w:cs="Arial Unicode MS"/>
                <w:sz w:val="24"/>
                <w:szCs w:val="24"/>
                <w:lang w:val="en-US" w:eastAsia="en-US"/>
              </w:rPr>
              <w:t>5</w:t>
            </w:r>
          </w:p>
        </w:tc>
      </w:tr>
      <w:tr w:rsidR="00397933" w:rsidRPr="00397933" w14:paraId="642ACDEE" w14:textId="77777777" w:rsidTr="00E723D8">
        <w:trPr>
          <w:trHeight w:val="1205"/>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2FF087B9"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Conclusions</w:t>
            </w:r>
          </w:p>
        </w:tc>
        <w:tc>
          <w:tcPr>
            <w:tcW w:w="188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3993A35E"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Conclusions are not supported by results.</w:t>
            </w:r>
          </w:p>
          <w:p w14:paraId="6FEF1AD9"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0</w:t>
            </w:r>
            <w:r w:rsidR="00E66974">
              <w:rPr>
                <w:rFonts w:ascii="Garamond" w:hAnsi="Garamond"/>
                <w:sz w:val="24"/>
                <w:szCs w:val="24"/>
                <w:lang w:val="en-US"/>
              </w:rPr>
              <w:t>–</w:t>
            </w:r>
            <w:r w:rsidRPr="00397933">
              <w:rPr>
                <w:rFonts w:ascii="Garamond" w:hAnsi="Garamond"/>
                <w:sz w:val="24"/>
                <w:szCs w:val="24"/>
                <w:lang w:val="en-US"/>
              </w:rPr>
              <w:t>3 points</w:t>
            </w:r>
          </w:p>
        </w:tc>
        <w:tc>
          <w:tcPr>
            <w:tcW w:w="208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42E5DE88"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Conclusions are generally supported by the results of the research.</w:t>
            </w:r>
          </w:p>
          <w:p w14:paraId="0796F03C"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4 points</w:t>
            </w:r>
          </w:p>
        </w:tc>
        <w:tc>
          <w:tcPr>
            <w:tcW w:w="245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448AE5B2"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Conclusions are clearly supported by the results of the research.</w:t>
            </w:r>
          </w:p>
          <w:p w14:paraId="1F9AA479"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5 points</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cPr>
          <w:p w14:paraId="0AA48263" w14:textId="77777777" w:rsidR="00397933" w:rsidRPr="00397933" w:rsidRDefault="00397933" w:rsidP="00397933">
            <w:pPr>
              <w:spacing w:line="240" w:lineRule="atLeast"/>
              <w:jc w:val="center"/>
              <w:rPr>
                <w:rFonts w:ascii="Garamond" w:hAnsi="Garamond"/>
                <w:sz w:val="24"/>
                <w:szCs w:val="24"/>
                <w:lang w:val="en-US" w:eastAsia="en-US"/>
              </w:rPr>
            </w:pPr>
            <w:r w:rsidRPr="00397933">
              <w:rPr>
                <w:rFonts w:ascii="Garamond" w:hAnsi="Garamond" w:cs="Arial Unicode MS"/>
                <w:sz w:val="24"/>
                <w:szCs w:val="24"/>
                <w:lang w:val="en-US" w:eastAsia="en-US"/>
              </w:rPr>
              <w:t>5</w:t>
            </w:r>
          </w:p>
        </w:tc>
      </w:tr>
      <w:tr w:rsidR="00397933" w:rsidRPr="00397933" w14:paraId="2DB0DE1A" w14:textId="77777777" w:rsidTr="00E723D8">
        <w:trPr>
          <w:trHeight w:val="1445"/>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592B059E" w14:textId="77777777" w:rsidR="00AC0394" w:rsidRDefault="00AC0394" w:rsidP="00AC0394">
            <w:pPr>
              <w:spacing w:line="240" w:lineRule="atLeast"/>
              <w:rPr>
                <w:rFonts w:ascii="Garamond" w:hAnsi="Garamond"/>
                <w:sz w:val="24"/>
                <w:szCs w:val="24"/>
                <w:lang w:val="en-US"/>
              </w:rPr>
            </w:pPr>
            <w:r>
              <w:rPr>
                <w:rFonts w:ascii="Garamond" w:hAnsi="Garamond"/>
                <w:sz w:val="24"/>
                <w:szCs w:val="24"/>
                <w:lang w:val="en-US"/>
              </w:rPr>
              <w:t>Implications</w:t>
            </w:r>
            <w:r w:rsidR="00397933" w:rsidRPr="00397933">
              <w:rPr>
                <w:rFonts w:ascii="Garamond" w:hAnsi="Garamond"/>
                <w:sz w:val="24"/>
                <w:szCs w:val="24"/>
                <w:lang w:val="en-US"/>
              </w:rPr>
              <w:t>/</w:t>
            </w:r>
          </w:p>
          <w:p w14:paraId="6283564A" w14:textId="77777777" w:rsidR="00397933" w:rsidRPr="00397933" w:rsidRDefault="00AC0394" w:rsidP="00AC0394">
            <w:pPr>
              <w:spacing w:line="240" w:lineRule="atLeast"/>
              <w:rPr>
                <w:rFonts w:ascii="Garamond" w:hAnsi="Garamond"/>
                <w:sz w:val="24"/>
                <w:szCs w:val="24"/>
                <w:lang w:val="en-US"/>
              </w:rPr>
            </w:pPr>
            <w:r>
              <w:rPr>
                <w:rFonts w:ascii="Garamond" w:hAnsi="Garamond"/>
                <w:sz w:val="24"/>
                <w:szCs w:val="24"/>
                <w:lang w:val="en-US"/>
              </w:rPr>
              <w:t>Recommendations</w:t>
            </w:r>
            <w:r w:rsidR="00397933" w:rsidRPr="00397933">
              <w:rPr>
                <w:rFonts w:ascii="Garamond" w:hAnsi="Garamond"/>
                <w:sz w:val="24"/>
                <w:szCs w:val="24"/>
                <w:lang w:val="en-US"/>
              </w:rPr>
              <w:t>/Discussion</w:t>
            </w:r>
          </w:p>
        </w:tc>
        <w:tc>
          <w:tcPr>
            <w:tcW w:w="188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63923131" w14:textId="77777777" w:rsidR="00AC0394"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No or minimal implications/</w:t>
            </w:r>
          </w:p>
          <w:p w14:paraId="7A761C9C"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recommendations/discussion.</w:t>
            </w:r>
          </w:p>
          <w:p w14:paraId="20347786"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0</w:t>
            </w:r>
            <w:r w:rsidR="00E66974">
              <w:rPr>
                <w:rFonts w:ascii="Garamond" w:hAnsi="Garamond"/>
                <w:sz w:val="24"/>
                <w:szCs w:val="24"/>
                <w:lang w:val="en-US"/>
              </w:rPr>
              <w:t>–</w:t>
            </w:r>
            <w:r w:rsidRPr="00397933">
              <w:rPr>
                <w:rFonts w:ascii="Garamond" w:hAnsi="Garamond"/>
                <w:sz w:val="24"/>
                <w:szCs w:val="24"/>
                <w:lang w:val="en-US"/>
              </w:rPr>
              <w:t>4 points</w:t>
            </w:r>
          </w:p>
        </w:tc>
        <w:tc>
          <w:tcPr>
            <w:tcW w:w="208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17DA03E8"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Author makes adequate recommendations or description of the implications.</w:t>
            </w:r>
          </w:p>
          <w:p w14:paraId="21D4A5E9"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5</w:t>
            </w:r>
            <w:r w:rsidR="00E66974">
              <w:rPr>
                <w:rFonts w:ascii="Garamond" w:hAnsi="Garamond"/>
                <w:sz w:val="24"/>
                <w:szCs w:val="24"/>
                <w:lang w:val="en-US"/>
              </w:rPr>
              <w:t>–</w:t>
            </w:r>
            <w:r w:rsidRPr="00397933">
              <w:rPr>
                <w:rFonts w:ascii="Garamond" w:hAnsi="Garamond"/>
                <w:sz w:val="24"/>
                <w:szCs w:val="24"/>
                <w:lang w:val="en-US"/>
              </w:rPr>
              <w:t>7 points</w:t>
            </w:r>
          </w:p>
        </w:tc>
        <w:tc>
          <w:tcPr>
            <w:tcW w:w="245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75EDB22F"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Author makes excellent recommendations or description of the implications.</w:t>
            </w:r>
          </w:p>
          <w:p w14:paraId="3AD9AD69"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8</w:t>
            </w:r>
            <w:r w:rsidR="00E66974">
              <w:rPr>
                <w:rFonts w:ascii="Garamond" w:hAnsi="Garamond"/>
                <w:sz w:val="24"/>
                <w:szCs w:val="24"/>
                <w:lang w:val="en-US"/>
              </w:rPr>
              <w:t>–</w:t>
            </w:r>
            <w:r w:rsidRPr="00397933">
              <w:rPr>
                <w:rFonts w:ascii="Garamond" w:hAnsi="Garamond"/>
                <w:sz w:val="24"/>
                <w:szCs w:val="24"/>
                <w:lang w:val="en-US"/>
              </w:rPr>
              <w:t>10 points</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cPr>
          <w:p w14:paraId="4BDE640B" w14:textId="77777777" w:rsidR="00397933" w:rsidRPr="00397933" w:rsidRDefault="00397933" w:rsidP="00397933">
            <w:pPr>
              <w:spacing w:line="240" w:lineRule="atLeast"/>
              <w:jc w:val="center"/>
              <w:rPr>
                <w:rFonts w:ascii="Garamond" w:hAnsi="Garamond"/>
                <w:sz w:val="24"/>
                <w:szCs w:val="24"/>
                <w:lang w:val="en-US" w:eastAsia="en-US"/>
              </w:rPr>
            </w:pPr>
            <w:r w:rsidRPr="00397933">
              <w:rPr>
                <w:rFonts w:ascii="Garamond" w:hAnsi="Garamond" w:cs="Arial Unicode MS"/>
                <w:sz w:val="24"/>
                <w:szCs w:val="24"/>
                <w:lang w:val="en-US" w:eastAsia="en-US"/>
              </w:rPr>
              <w:t>10</w:t>
            </w:r>
          </w:p>
        </w:tc>
      </w:tr>
      <w:tr w:rsidR="00397933" w:rsidRPr="00397933" w14:paraId="4530C825" w14:textId="77777777" w:rsidTr="00E723D8">
        <w:trPr>
          <w:trHeight w:val="1685"/>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754558B2"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Style, clarity and grammar</w:t>
            </w:r>
          </w:p>
        </w:tc>
        <w:tc>
          <w:tcPr>
            <w:tcW w:w="188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006888EC"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 xml:space="preserve">Difficult to read, spelling and grammar errors </w:t>
            </w:r>
            <w:r w:rsidR="00AC0394">
              <w:rPr>
                <w:rFonts w:ascii="Garamond" w:hAnsi="Garamond"/>
                <w:sz w:val="24"/>
                <w:szCs w:val="24"/>
                <w:lang w:val="en-US" w:eastAsia="en-US"/>
              </w:rPr>
              <w:t xml:space="preserve">are </w:t>
            </w:r>
            <w:r w:rsidRPr="00397933">
              <w:rPr>
                <w:rFonts w:ascii="Garamond" w:hAnsi="Garamond"/>
                <w:sz w:val="24"/>
                <w:szCs w:val="24"/>
                <w:lang w:val="en-US" w:eastAsia="en-US"/>
              </w:rPr>
              <w:t>common.</w:t>
            </w:r>
          </w:p>
          <w:p w14:paraId="45597A8F"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0</w:t>
            </w:r>
            <w:r w:rsidR="00E66974">
              <w:rPr>
                <w:rFonts w:ascii="Garamond" w:hAnsi="Garamond"/>
                <w:sz w:val="24"/>
                <w:szCs w:val="24"/>
                <w:lang w:val="en-US"/>
              </w:rPr>
              <w:t>–</w:t>
            </w:r>
            <w:r w:rsidRPr="00397933">
              <w:rPr>
                <w:rFonts w:ascii="Garamond" w:hAnsi="Garamond"/>
                <w:sz w:val="24"/>
                <w:szCs w:val="24"/>
                <w:lang w:val="en-US"/>
              </w:rPr>
              <w:t>4 points</w:t>
            </w:r>
          </w:p>
        </w:tc>
        <w:tc>
          <w:tcPr>
            <w:tcW w:w="208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14BF9BF7" w14:textId="77777777" w:rsidR="00397933" w:rsidRPr="00397933" w:rsidRDefault="00AC0394" w:rsidP="00397933">
            <w:pPr>
              <w:spacing w:line="240" w:lineRule="atLeast"/>
              <w:rPr>
                <w:rFonts w:ascii="Garamond" w:hAnsi="Garamond"/>
                <w:sz w:val="24"/>
                <w:szCs w:val="24"/>
                <w:lang w:val="en-US" w:eastAsia="en-US"/>
              </w:rPr>
            </w:pPr>
            <w:r>
              <w:rPr>
                <w:rFonts w:ascii="Garamond" w:hAnsi="Garamond"/>
                <w:sz w:val="24"/>
                <w:szCs w:val="24"/>
                <w:lang w:val="en-US" w:eastAsia="en-US"/>
              </w:rPr>
              <w:t>M</w:t>
            </w:r>
            <w:r w:rsidR="00397933" w:rsidRPr="00397933">
              <w:rPr>
                <w:rFonts w:ascii="Garamond" w:hAnsi="Garamond"/>
                <w:sz w:val="24"/>
                <w:szCs w:val="24"/>
                <w:lang w:val="en-US" w:eastAsia="en-US"/>
              </w:rPr>
              <w:t>inimal spelling and grammar error</w:t>
            </w:r>
            <w:r>
              <w:rPr>
                <w:rFonts w:ascii="Garamond" w:hAnsi="Garamond"/>
                <w:sz w:val="24"/>
                <w:szCs w:val="24"/>
                <w:lang w:val="en-US" w:eastAsia="en-US"/>
              </w:rPr>
              <w:t>s</w:t>
            </w:r>
            <w:r w:rsidR="00397933" w:rsidRPr="00397933">
              <w:rPr>
                <w:rFonts w:ascii="Garamond" w:hAnsi="Garamond"/>
                <w:sz w:val="24"/>
                <w:szCs w:val="24"/>
                <w:lang w:val="en-US" w:eastAsia="en-US"/>
              </w:rPr>
              <w:t>, easy to read, generally follows style requirements.</w:t>
            </w:r>
          </w:p>
          <w:p w14:paraId="15CF16B1"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5</w:t>
            </w:r>
            <w:r w:rsidR="00E66974">
              <w:rPr>
                <w:rFonts w:ascii="Garamond" w:hAnsi="Garamond"/>
                <w:sz w:val="24"/>
                <w:szCs w:val="24"/>
                <w:lang w:val="en-US"/>
              </w:rPr>
              <w:t>–</w:t>
            </w:r>
            <w:r w:rsidRPr="00397933">
              <w:rPr>
                <w:rFonts w:ascii="Garamond" w:hAnsi="Garamond"/>
                <w:sz w:val="24"/>
                <w:szCs w:val="24"/>
                <w:lang w:val="en-US"/>
              </w:rPr>
              <w:t>7 points</w:t>
            </w:r>
          </w:p>
        </w:tc>
        <w:tc>
          <w:tcPr>
            <w:tcW w:w="2452"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44A65479" w14:textId="77777777" w:rsidR="00397933" w:rsidRPr="00397933" w:rsidRDefault="00397933" w:rsidP="00397933">
            <w:pPr>
              <w:spacing w:line="240" w:lineRule="atLeast"/>
              <w:rPr>
                <w:rFonts w:ascii="Garamond" w:hAnsi="Garamond"/>
                <w:sz w:val="24"/>
                <w:szCs w:val="24"/>
                <w:lang w:val="en-US" w:eastAsia="en-US"/>
              </w:rPr>
            </w:pPr>
            <w:r w:rsidRPr="00397933">
              <w:rPr>
                <w:rFonts w:ascii="Garamond" w:hAnsi="Garamond"/>
                <w:sz w:val="24"/>
                <w:szCs w:val="24"/>
                <w:lang w:val="en-US" w:eastAsia="en-US"/>
              </w:rPr>
              <w:t xml:space="preserve">No obvious grammar or spelling errors. Easy </w:t>
            </w:r>
            <w:r w:rsidR="00AC0394">
              <w:rPr>
                <w:rFonts w:ascii="Garamond" w:hAnsi="Garamond"/>
                <w:sz w:val="24"/>
                <w:szCs w:val="24"/>
                <w:lang w:val="en-US" w:eastAsia="en-US"/>
              </w:rPr>
              <w:t xml:space="preserve">to </w:t>
            </w:r>
            <w:r w:rsidRPr="00397933">
              <w:rPr>
                <w:rFonts w:ascii="Garamond" w:hAnsi="Garamond"/>
                <w:sz w:val="24"/>
                <w:szCs w:val="24"/>
                <w:lang w:val="en-US" w:eastAsia="en-US"/>
              </w:rPr>
              <w:t>read. Follows style requirements as described in the “Guide”.</w:t>
            </w:r>
          </w:p>
          <w:p w14:paraId="3C038D6F" w14:textId="77777777" w:rsidR="00397933" w:rsidRPr="00397933" w:rsidRDefault="00397933" w:rsidP="00397933">
            <w:pPr>
              <w:spacing w:line="240" w:lineRule="atLeast"/>
              <w:rPr>
                <w:rFonts w:ascii="Garamond" w:hAnsi="Garamond"/>
                <w:sz w:val="24"/>
                <w:szCs w:val="24"/>
                <w:lang w:val="en-US"/>
              </w:rPr>
            </w:pPr>
            <w:r w:rsidRPr="00397933">
              <w:rPr>
                <w:rFonts w:ascii="Garamond" w:hAnsi="Garamond"/>
                <w:sz w:val="24"/>
                <w:szCs w:val="24"/>
                <w:lang w:val="en-US"/>
              </w:rPr>
              <w:t>8</w:t>
            </w:r>
            <w:r w:rsidR="00E66974">
              <w:rPr>
                <w:rFonts w:ascii="Garamond" w:hAnsi="Garamond"/>
                <w:sz w:val="24"/>
                <w:szCs w:val="24"/>
                <w:lang w:val="en-US"/>
              </w:rPr>
              <w:t>–</w:t>
            </w:r>
            <w:r w:rsidRPr="00397933">
              <w:rPr>
                <w:rFonts w:ascii="Garamond" w:hAnsi="Garamond"/>
                <w:sz w:val="24"/>
                <w:szCs w:val="24"/>
                <w:lang w:val="en-US"/>
              </w:rPr>
              <w:t>10 points</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cPr>
          <w:p w14:paraId="6F55AF3E" w14:textId="77777777" w:rsidR="00397933" w:rsidRPr="00397933" w:rsidRDefault="00397933" w:rsidP="00397933">
            <w:pPr>
              <w:spacing w:line="240" w:lineRule="atLeast"/>
              <w:jc w:val="center"/>
              <w:rPr>
                <w:rFonts w:ascii="Garamond" w:hAnsi="Garamond"/>
                <w:sz w:val="24"/>
                <w:szCs w:val="24"/>
                <w:lang w:val="en-US" w:eastAsia="en-US"/>
              </w:rPr>
            </w:pPr>
            <w:r w:rsidRPr="00397933">
              <w:rPr>
                <w:rFonts w:ascii="Garamond" w:hAnsi="Garamond" w:cs="Arial Unicode MS"/>
                <w:sz w:val="24"/>
                <w:szCs w:val="24"/>
                <w:lang w:val="en-US" w:eastAsia="en-US"/>
              </w:rPr>
              <w:t>10</w:t>
            </w:r>
          </w:p>
        </w:tc>
      </w:tr>
      <w:tr w:rsidR="00397933" w:rsidRPr="00397933" w14:paraId="0E150FBB" w14:textId="77777777" w:rsidTr="00397933">
        <w:trPr>
          <w:trHeight w:val="279"/>
        </w:trPr>
        <w:tc>
          <w:tcPr>
            <w:tcW w:w="8336" w:type="dxa"/>
            <w:gridSpan w:val="4"/>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80" w:type="dxa"/>
              <w:left w:w="80" w:type="dxa"/>
              <w:bottom w:w="80" w:type="dxa"/>
              <w:right w:w="80" w:type="dxa"/>
            </w:tcMar>
            <w:hideMark/>
          </w:tcPr>
          <w:p w14:paraId="7B7B1F8F" w14:textId="77777777" w:rsidR="00397933" w:rsidRPr="00397933" w:rsidRDefault="00397933" w:rsidP="00397933">
            <w:pPr>
              <w:spacing w:line="240" w:lineRule="atLeast"/>
              <w:rPr>
                <w:rFonts w:ascii="Garamond" w:hAnsi="Garamond"/>
                <w:b/>
                <w:sz w:val="24"/>
                <w:szCs w:val="24"/>
                <w:lang w:val="en-US" w:eastAsia="en-US"/>
              </w:rPr>
            </w:pPr>
            <w:r w:rsidRPr="00397933">
              <w:rPr>
                <w:rFonts w:ascii="Garamond" w:hAnsi="Garamond"/>
                <w:b/>
                <w:sz w:val="24"/>
                <w:szCs w:val="24"/>
                <w:lang w:val="en-US"/>
              </w:rPr>
              <w:t>Total points earned</w:t>
            </w:r>
          </w:p>
        </w:tc>
        <w:tc>
          <w:tcPr>
            <w:tcW w:w="1134" w:type="dxa"/>
            <w:tcBorders>
              <w:top w:val="single" w:sz="2" w:space="0" w:color="000000"/>
              <w:left w:val="single" w:sz="2" w:space="0" w:color="000000"/>
              <w:bottom w:val="single" w:sz="2" w:space="0" w:color="000000"/>
              <w:right w:val="single" w:sz="2" w:space="0" w:color="000000"/>
            </w:tcBorders>
            <w:shd w:val="clear" w:color="auto" w:fill="BFBFBF" w:themeFill="background1" w:themeFillShade="BF"/>
          </w:tcPr>
          <w:p w14:paraId="3D76B546" w14:textId="77777777" w:rsidR="00397933" w:rsidRPr="00397933" w:rsidRDefault="00397933" w:rsidP="00397933">
            <w:pPr>
              <w:spacing w:line="240" w:lineRule="atLeast"/>
              <w:jc w:val="center"/>
              <w:rPr>
                <w:rFonts w:ascii="Garamond" w:hAnsi="Garamond"/>
                <w:b/>
                <w:sz w:val="24"/>
                <w:szCs w:val="24"/>
                <w:lang w:val="en-US" w:eastAsia="en-US"/>
              </w:rPr>
            </w:pPr>
            <w:r w:rsidRPr="00397933">
              <w:rPr>
                <w:rFonts w:ascii="Garamond" w:hAnsi="Garamond" w:cs="Arial Unicode MS"/>
                <w:b/>
                <w:sz w:val="24"/>
                <w:szCs w:val="24"/>
                <w:lang w:val="en-US" w:eastAsia="en-US"/>
              </w:rPr>
              <w:t>50</w:t>
            </w:r>
          </w:p>
        </w:tc>
      </w:tr>
    </w:tbl>
    <w:p w14:paraId="59092F7B" w14:textId="77777777" w:rsidR="00397933" w:rsidRPr="00397933" w:rsidRDefault="00397933" w:rsidP="00397933">
      <w:pPr>
        <w:contextualSpacing/>
        <w:jc w:val="both"/>
        <w:rPr>
          <w:color w:val="auto"/>
          <w:sz w:val="28"/>
          <w:szCs w:val="28"/>
          <w:lang w:val="en-GB" w:eastAsia="ru-RU"/>
        </w:rPr>
      </w:pPr>
    </w:p>
    <w:p w14:paraId="506F6483"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 xml:space="preserve">Individual assignment project is awarded </w:t>
      </w:r>
      <w:r w:rsidR="00AC0394">
        <w:rPr>
          <w:rFonts w:cs="Garamond"/>
          <w:color w:val="auto"/>
          <w:sz w:val="28"/>
          <w:szCs w:val="28"/>
          <w:lang w:val="en-US" w:eastAsia="ru-RU" w:bidi="ru-RU"/>
        </w:rPr>
        <w:t xml:space="preserve">with </w:t>
      </w:r>
      <w:r w:rsidRPr="00397933">
        <w:rPr>
          <w:rFonts w:cs="Garamond"/>
          <w:color w:val="auto"/>
          <w:sz w:val="28"/>
          <w:szCs w:val="28"/>
          <w:lang w:val="en-US" w:eastAsia="ru-RU" w:bidi="ru-RU"/>
        </w:rPr>
        <w:t>one of the following grades:</w:t>
      </w:r>
    </w:p>
    <w:p w14:paraId="5C6FE5D5"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High Distinction (Grade A, 45</w:t>
      </w:r>
      <w:r w:rsidR="00E66974">
        <w:rPr>
          <w:lang w:val="en-US"/>
        </w:rPr>
        <w:t>–</w:t>
      </w:r>
      <w:r w:rsidRPr="00397933">
        <w:rPr>
          <w:rFonts w:cs="Garamond"/>
          <w:color w:val="auto"/>
          <w:sz w:val="28"/>
          <w:szCs w:val="28"/>
          <w:lang w:val="en-US" w:eastAsia="ru-RU" w:bidi="ru-RU"/>
        </w:rPr>
        <w:t>50 points)</w:t>
      </w:r>
    </w:p>
    <w:p w14:paraId="4BD0F9F7"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Distinction (Grade B, 41</w:t>
      </w:r>
      <w:r w:rsidR="00E66974">
        <w:rPr>
          <w:lang w:val="en-US"/>
        </w:rPr>
        <w:t>–</w:t>
      </w:r>
      <w:r w:rsidRPr="00397933">
        <w:rPr>
          <w:rFonts w:cs="Garamond"/>
          <w:color w:val="auto"/>
          <w:sz w:val="28"/>
          <w:szCs w:val="28"/>
          <w:lang w:val="en-US" w:eastAsia="ru-RU" w:bidi="ru-RU"/>
        </w:rPr>
        <w:t>44 points)</w:t>
      </w:r>
    </w:p>
    <w:p w14:paraId="2B124D8D"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Credit (Grade C, 37</w:t>
      </w:r>
      <w:r w:rsidR="00E66974">
        <w:rPr>
          <w:lang w:val="en-US"/>
        </w:rPr>
        <w:t>–</w:t>
      </w:r>
      <w:r w:rsidRPr="00397933">
        <w:rPr>
          <w:rFonts w:cs="Garamond"/>
          <w:color w:val="auto"/>
          <w:sz w:val="28"/>
          <w:szCs w:val="28"/>
          <w:lang w:val="en-US" w:eastAsia="ru-RU" w:bidi="ru-RU"/>
        </w:rPr>
        <w:t>40 points)</w:t>
      </w:r>
    </w:p>
    <w:p w14:paraId="7835E55F"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Pass 1 (Grade D, 33</w:t>
      </w:r>
      <w:r w:rsidR="00E66974">
        <w:rPr>
          <w:lang w:val="en-US"/>
        </w:rPr>
        <w:t>–</w:t>
      </w:r>
      <w:r w:rsidRPr="00397933">
        <w:rPr>
          <w:rFonts w:cs="Garamond"/>
          <w:color w:val="auto"/>
          <w:sz w:val="28"/>
          <w:szCs w:val="28"/>
          <w:lang w:val="en-US" w:eastAsia="ru-RU" w:bidi="ru-RU"/>
        </w:rPr>
        <w:t>36 points)</w:t>
      </w:r>
    </w:p>
    <w:p w14:paraId="46AD74D5"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Pass 2 (Grade E, 30</w:t>
      </w:r>
      <w:r w:rsidR="00E66974">
        <w:rPr>
          <w:lang w:val="en-US"/>
        </w:rPr>
        <w:t>–</w:t>
      </w:r>
      <w:r w:rsidRPr="00397933">
        <w:rPr>
          <w:rFonts w:cs="Garamond"/>
          <w:color w:val="auto"/>
          <w:sz w:val="28"/>
          <w:szCs w:val="28"/>
          <w:lang w:val="en-US" w:eastAsia="ru-RU" w:bidi="ru-RU"/>
        </w:rPr>
        <w:t>32 points)</w:t>
      </w:r>
    </w:p>
    <w:p w14:paraId="0767EADF"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Fail (Grade F, 0</w:t>
      </w:r>
      <w:r w:rsidR="00E66974">
        <w:rPr>
          <w:lang w:val="en-US"/>
        </w:rPr>
        <w:t>–</w:t>
      </w:r>
      <w:r w:rsidRPr="00397933">
        <w:rPr>
          <w:rFonts w:cs="Garamond"/>
          <w:color w:val="auto"/>
          <w:sz w:val="28"/>
          <w:szCs w:val="28"/>
          <w:lang w:val="en-US" w:eastAsia="ru-RU" w:bidi="ru-RU"/>
        </w:rPr>
        <w:t>29 points)</w:t>
      </w:r>
    </w:p>
    <w:p w14:paraId="38AA182C"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If failing an assig</w:t>
      </w:r>
      <w:r w:rsidR="00E66974">
        <w:rPr>
          <w:rFonts w:cs="Garamond"/>
          <w:color w:val="auto"/>
          <w:sz w:val="28"/>
          <w:szCs w:val="28"/>
          <w:lang w:val="en-US" w:eastAsia="ru-RU" w:bidi="ru-RU"/>
        </w:rPr>
        <w:t>nment, it may be possible to re</w:t>
      </w:r>
      <w:r w:rsidRPr="00397933">
        <w:rPr>
          <w:rFonts w:cs="Garamond"/>
          <w:color w:val="auto"/>
          <w:sz w:val="28"/>
          <w:szCs w:val="28"/>
          <w:lang w:val="en-US" w:eastAsia="ru-RU" w:bidi="ru-RU"/>
        </w:rPr>
        <w:t xml:space="preserve">sit the assignment later during the course. </w:t>
      </w:r>
    </w:p>
    <w:p w14:paraId="706E1B6F" w14:textId="77777777" w:rsidR="00397933" w:rsidRDefault="00397933">
      <w:pPr>
        <w:rPr>
          <w:rFonts w:eastAsia="Garamond" w:cs="Garamond"/>
          <w:sz w:val="28"/>
          <w:szCs w:val="28"/>
          <w:u w:color="000000"/>
          <w:bdr w:val="nil"/>
          <w:lang w:val="en-US" w:eastAsia="en-US"/>
        </w:rPr>
      </w:pPr>
      <w:r>
        <w:rPr>
          <w:rFonts w:eastAsia="Garamond" w:cs="Garamond"/>
          <w:sz w:val="28"/>
          <w:szCs w:val="28"/>
          <w:u w:color="000000"/>
          <w:bdr w:val="nil"/>
          <w:lang w:val="en-US" w:eastAsia="en-US"/>
        </w:rPr>
        <w:br w:type="page"/>
      </w:r>
    </w:p>
    <w:p w14:paraId="4B1F6E28" w14:textId="77777777" w:rsidR="00210D5C" w:rsidRPr="00210D5C" w:rsidRDefault="00210D5C" w:rsidP="00210D5C">
      <w:pPr>
        <w:pStyle w:val="eng"/>
        <w:rPr>
          <w:lang w:val="en-US"/>
        </w:rPr>
      </w:pPr>
      <w:r w:rsidRPr="00210D5C">
        <w:rPr>
          <w:lang w:val="en-US"/>
        </w:rPr>
        <w:lastRenderedPageBreak/>
        <w:t>Assignment 2</w:t>
      </w:r>
      <w:r w:rsidR="00AC0394">
        <w:rPr>
          <w:lang w:val="en-US"/>
        </w:rPr>
        <w:t>:</w:t>
      </w:r>
    </w:p>
    <w:p w14:paraId="0FD1BF8A" w14:textId="77777777" w:rsidR="00714037" w:rsidRPr="00210D5C" w:rsidRDefault="00714037" w:rsidP="00714037">
      <w:pPr>
        <w:pStyle w:val="eng"/>
        <w:rPr>
          <w:rFonts w:eastAsia="Garamond"/>
          <w:lang w:val="en-US"/>
        </w:rPr>
      </w:pPr>
      <w:r w:rsidRPr="00210D5C">
        <w:rPr>
          <w:lang w:val="en-US"/>
        </w:rPr>
        <w:t>case study</w:t>
      </w:r>
      <w:r w:rsidRPr="00CC28A6">
        <w:rPr>
          <w:lang w:val="en-US"/>
        </w:rPr>
        <w:t xml:space="preserve"> </w:t>
      </w:r>
      <w:r>
        <w:rPr>
          <w:lang w:val="en-US"/>
        </w:rPr>
        <w:t xml:space="preserve">on </w:t>
      </w:r>
      <w:r w:rsidRPr="00210D5C">
        <w:rPr>
          <w:lang w:val="en-US"/>
        </w:rPr>
        <w:t>Cash flow analysis</w:t>
      </w:r>
    </w:p>
    <w:p w14:paraId="7CADBDC9" w14:textId="77777777" w:rsidR="00210D5C" w:rsidRDefault="00210D5C" w:rsidP="00210D5C">
      <w:pPr>
        <w:pStyle w:val="end2"/>
        <w:rPr>
          <w:rFonts w:eastAsia="Garamond"/>
          <w:u w:color="000000"/>
          <w:bdr w:val="nil"/>
          <w:lang w:eastAsia="en-US"/>
        </w:rPr>
      </w:pPr>
      <w:r w:rsidRPr="00210D5C">
        <w:rPr>
          <w:rFonts w:eastAsia="Garamond"/>
          <w:u w:color="000000"/>
          <w:bdr w:val="nil"/>
          <w:lang w:eastAsia="en-US"/>
        </w:rPr>
        <w:t>DESCRIPTION</w:t>
      </w:r>
    </w:p>
    <w:p w14:paraId="3056D21D" w14:textId="77777777" w:rsidR="00210D5C" w:rsidRPr="008C107D" w:rsidRDefault="008C107D" w:rsidP="008C107D">
      <w:pPr>
        <w:spacing w:line="312" w:lineRule="auto"/>
        <w:ind w:firstLine="357"/>
        <w:contextualSpacing/>
        <w:jc w:val="both"/>
        <w:rPr>
          <w:rFonts w:cs="Garamond"/>
          <w:color w:val="auto"/>
          <w:sz w:val="28"/>
          <w:szCs w:val="28"/>
          <w:lang w:val="en-US" w:eastAsia="ru-RU" w:bidi="ru-RU"/>
        </w:rPr>
      </w:pPr>
      <w:r w:rsidRPr="008C107D">
        <w:rPr>
          <w:rFonts w:cs="Garamond"/>
          <w:color w:val="auto"/>
          <w:sz w:val="28"/>
          <w:szCs w:val="28"/>
          <w:lang w:val="en-US" w:eastAsia="ru-RU" w:bidi="ru-RU"/>
        </w:rPr>
        <w:t xml:space="preserve">In Assignment 2, you will be asked to write an individual project report on the real case study. The writing </w:t>
      </w:r>
      <w:r w:rsidR="00853018">
        <w:rPr>
          <w:rFonts w:cs="Garamond"/>
          <w:color w:val="auto"/>
          <w:sz w:val="28"/>
          <w:szCs w:val="28"/>
          <w:lang w:val="en-US" w:eastAsia="ru-RU" w:bidi="ru-RU"/>
        </w:rPr>
        <w:t>report is</w:t>
      </w:r>
      <w:r w:rsidRPr="008C107D">
        <w:rPr>
          <w:rFonts w:cs="Garamond"/>
          <w:color w:val="auto"/>
          <w:sz w:val="28"/>
          <w:szCs w:val="28"/>
          <w:lang w:val="en-US" w:eastAsia="ru-RU" w:bidi="ru-RU"/>
        </w:rPr>
        <w:t xml:space="preserve"> required to assess the feasibility of financing capital expenditures, dependence on external financing, financial flexibility to unanticipated needs/opportunities, financial practices of management, </w:t>
      </w:r>
      <w:r w:rsidR="00853018">
        <w:rPr>
          <w:rFonts w:cs="Garamond"/>
          <w:color w:val="auto"/>
          <w:sz w:val="28"/>
          <w:szCs w:val="28"/>
          <w:lang w:val="en-US" w:eastAsia="ru-RU" w:bidi="ru-RU"/>
        </w:rPr>
        <w:t xml:space="preserve">to </w:t>
      </w:r>
      <w:r w:rsidRPr="008C107D">
        <w:rPr>
          <w:rFonts w:cs="Garamond"/>
          <w:color w:val="auto"/>
          <w:sz w:val="28"/>
          <w:szCs w:val="28"/>
          <w:lang w:val="en-US" w:eastAsia="ru-RU" w:bidi="ru-RU"/>
        </w:rPr>
        <w:t xml:space="preserve">analyze company’s ability in meeting debt service requirements, </w:t>
      </w:r>
      <w:r w:rsidR="00853018">
        <w:rPr>
          <w:rFonts w:cs="Garamond"/>
          <w:color w:val="auto"/>
          <w:sz w:val="28"/>
          <w:szCs w:val="28"/>
          <w:lang w:val="en-US" w:eastAsia="ru-RU" w:bidi="ru-RU"/>
        </w:rPr>
        <w:t xml:space="preserve">and to </w:t>
      </w:r>
      <w:r w:rsidRPr="008C107D">
        <w:rPr>
          <w:rFonts w:cs="Garamond"/>
          <w:color w:val="auto"/>
          <w:sz w:val="28"/>
          <w:szCs w:val="28"/>
          <w:lang w:val="en-US" w:eastAsia="ru-RU" w:bidi="ru-RU"/>
        </w:rPr>
        <w:t>evaluate quality of earnings.</w:t>
      </w:r>
    </w:p>
    <w:p w14:paraId="0DC77363" w14:textId="77777777" w:rsidR="008C107D" w:rsidRPr="008C107D" w:rsidRDefault="008C107D" w:rsidP="008C107D">
      <w:pPr>
        <w:pStyle w:val="end2"/>
        <w:rPr>
          <w:lang w:eastAsia="ru-RU" w:bidi="ru-RU"/>
        </w:rPr>
      </w:pPr>
      <w:r w:rsidRPr="008C107D">
        <w:rPr>
          <w:lang w:eastAsia="ru-RU" w:bidi="ru-RU"/>
        </w:rPr>
        <w:t>Guidelines</w:t>
      </w:r>
    </w:p>
    <w:p w14:paraId="37A25011" w14:textId="77777777" w:rsidR="008C107D" w:rsidRPr="008C107D" w:rsidRDefault="008C107D" w:rsidP="008C107D">
      <w:pPr>
        <w:spacing w:line="312" w:lineRule="auto"/>
        <w:ind w:firstLine="357"/>
        <w:contextualSpacing/>
        <w:jc w:val="both"/>
        <w:rPr>
          <w:rFonts w:cs="Garamond"/>
          <w:color w:val="auto"/>
          <w:sz w:val="28"/>
          <w:szCs w:val="28"/>
          <w:lang w:val="en-US" w:eastAsia="ru-RU" w:bidi="ru-RU"/>
        </w:rPr>
      </w:pPr>
      <w:r w:rsidRPr="008C107D">
        <w:rPr>
          <w:rFonts w:cs="Garamond"/>
          <w:b/>
          <w:color w:val="auto"/>
          <w:sz w:val="28"/>
          <w:szCs w:val="28"/>
          <w:lang w:val="en-US" w:eastAsia="ru-RU" w:bidi="ru-RU"/>
        </w:rPr>
        <w:t>Step 1.</w:t>
      </w:r>
      <w:r w:rsidRPr="008C107D">
        <w:rPr>
          <w:rFonts w:cs="Garamond"/>
          <w:color w:val="auto"/>
          <w:sz w:val="28"/>
          <w:szCs w:val="28"/>
          <w:lang w:val="en-US" w:eastAsia="ru-RU" w:bidi="ru-RU"/>
        </w:rPr>
        <w:t xml:space="preserve"> </w:t>
      </w:r>
      <w:r w:rsidR="00714037">
        <w:rPr>
          <w:rFonts w:cs="Garamond"/>
          <w:color w:val="auto"/>
          <w:sz w:val="28"/>
          <w:szCs w:val="28"/>
          <w:lang w:val="en-US" w:eastAsia="ru-RU" w:bidi="ru-RU"/>
        </w:rPr>
        <w:t xml:space="preserve">Download from </w:t>
      </w:r>
      <w:r w:rsidR="00714037" w:rsidRPr="008C107D">
        <w:rPr>
          <w:rFonts w:cs="Garamond"/>
          <w:color w:val="auto"/>
          <w:sz w:val="28"/>
          <w:szCs w:val="28"/>
          <w:lang w:val="en-US" w:eastAsia="ru-RU" w:bidi="ru-RU"/>
        </w:rPr>
        <w:t xml:space="preserve">the official web-site </w:t>
      </w:r>
      <w:r w:rsidR="00714037">
        <w:rPr>
          <w:rFonts w:cs="Garamond"/>
          <w:color w:val="auto"/>
          <w:sz w:val="28"/>
          <w:szCs w:val="28"/>
          <w:lang w:val="en-US" w:eastAsia="ru-RU" w:bidi="ru-RU"/>
        </w:rPr>
        <w:t>Adecoagro S.</w:t>
      </w:r>
      <w:r w:rsidR="00AC0394">
        <w:rPr>
          <w:rFonts w:cs="Garamond"/>
          <w:color w:val="auto"/>
          <w:sz w:val="28"/>
          <w:szCs w:val="28"/>
          <w:lang w:val="en-US" w:eastAsia="ru-RU" w:bidi="ru-RU"/>
        </w:rPr>
        <w:t xml:space="preserve"> </w:t>
      </w:r>
      <w:r w:rsidR="00714037">
        <w:rPr>
          <w:rFonts w:cs="Garamond"/>
          <w:color w:val="auto"/>
          <w:sz w:val="28"/>
          <w:szCs w:val="28"/>
          <w:lang w:val="en-US" w:eastAsia="ru-RU" w:bidi="ru-RU"/>
        </w:rPr>
        <w:t xml:space="preserve">A. – </w:t>
      </w:r>
      <w:r w:rsidR="00714037" w:rsidRPr="008C107D">
        <w:rPr>
          <w:rFonts w:cs="Garamond"/>
          <w:color w:val="auto"/>
          <w:sz w:val="28"/>
          <w:szCs w:val="28"/>
          <w:lang w:val="en-US" w:eastAsia="ru-RU" w:bidi="ru-RU"/>
        </w:rPr>
        <w:t>www.adecoagro.com</w:t>
      </w:r>
      <w:r w:rsidRPr="008C107D">
        <w:rPr>
          <w:rFonts w:cs="Garamond"/>
          <w:color w:val="auto"/>
          <w:sz w:val="28"/>
          <w:szCs w:val="28"/>
          <w:lang w:val="en-US" w:eastAsia="ru-RU" w:bidi="ru-RU"/>
        </w:rPr>
        <w:t xml:space="preserve"> </w:t>
      </w:r>
      <w:r w:rsidR="00714037">
        <w:rPr>
          <w:rFonts w:cs="Garamond"/>
          <w:color w:val="auto"/>
          <w:sz w:val="28"/>
          <w:szCs w:val="28"/>
          <w:lang w:val="en-US" w:eastAsia="ru-RU" w:bidi="ru-RU"/>
        </w:rPr>
        <w:t xml:space="preserve">– </w:t>
      </w:r>
      <w:r w:rsidRPr="008C107D">
        <w:rPr>
          <w:rFonts w:cs="Garamond"/>
          <w:color w:val="auto"/>
          <w:sz w:val="28"/>
          <w:szCs w:val="28"/>
          <w:lang w:val="en-US" w:eastAsia="ru-RU" w:bidi="ru-RU"/>
        </w:rPr>
        <w:t>Consolidated Statements of Cash Flows for the years ended December 31, 2014, 2013 and 201</w:t>
      </w:r>
      <w:r w:rsidR="00853018">
        <w:rPr>
          <w:rFonts w:cs="Garamond"/>
          <w:color w:val="auto"/>
          <w:sz w:val="28"/>
          <w:szCs w:val="28"/>
          <w:lang w:val="en-US" w:eastAsia="ru-RU" w:bidi="ru-RU"/>
        </w:rPr>
        <w:t>2</w:t>
      </w:r>
      <w:r w:rsidR="00714037">
        <w:rPr>
          <w:rFonts w:cs="Garamond"/>
          <w:color w:val="auto"/>
          <w:sz w:val="28"/>
          <w:szCs w:val="28"/>
          <w:lang w:val="en-US" w:eastAsia="ru-RU" w:bidi="ru-RU"/>
        </w:rPr>
        <w:t xml:space="preserve">. </w:t>
      </w:r>
      <w:r w:rsidR="00714037" w:rsidRPr="008C107D">
        <w:rPr>
          <w:rFonts w:cs="Garamond"/>
          <w:color w:val="auto"/>
          <w:sz w:val="28"/>
          <w:szCs w:val="28"/>
          <w:lang w:val="en-US" w:eastAsia="ru-RU" w:bidi="ru-RU"/>
        </w:rPr>
        <w:t>Adecoagro S.</w:t>
      </w:r>
      <w:r w:rsidR="00AC0394">
        <w:rPr>
          <w:rFonts w:cs="Garamond"/>
          <w:color w:val="auto"/>
          <w:sz w:val="28"/>
          <w:szCs w:val="28"/>
          <w:lang w:val="en-US" w:eastAsia="ru-RU" w:bidi="ru-RU"/>
        </w:rPr>
        <w:t xml:space="preserve"> </w:t>
      </w:r>
      <w:r w:rsidR="00714037" w:rsidRPr="008C107D">
        <w:rPr>
          <w:rFonts w:cs="Garamond"/>
          <w:color w:val="auto"/>
          <w:sz w:val="28"/>
          <w:szCs w:val="28"/>
          <w:lang w:val="en-US" w:eastAsia="ru-RU" w:bidi="ru-RU"/>
        </w:rPr>
        <w:t xml:space="preserve">A. </w:t>
      </w:r>
      <w:r w:rsidR="00714037">
        <w:rPr>
          <w:rFonts w:cs="Garamond"/>
          <w:color w:val="auto"/>
          <w:sz w:val="28"/>
          <w:szCs w:val="28"/>
          <w:lang w:val="en-US" w:eastAsia="ru-RU" w:bidi="ru-RU"/>
        </w:rPr>
        <w:t>is</w:t>
      </w:r>
      <w:r w:rsidRPr="008C107D">
        <w:rPr>
          <w:rFonts w:cs="Garamond"/>
          <w:color w:val="auto"/>
          <w:sz w:val="28"/>
          <w:szCs w:val="28"/>
          <w:lang w:val="en-US" w:eastAsia="ru-RU" w:bidi="ru-RU"/>
        </w:rPr>
        <w:t xml:space="preserve"> one of the leading agro</w:t>
      </w:r>
      <w:r w:rsidR="00853018">
        <w:rPr>
          <w:rFonts w:cs="Garamond"/>
          <w:color w:val="auto"/>
          <w:sz w:val="28"/>
          <w:szCs w:val="28"/>
          <w:lang w:val="en-US" w:eastAsia="ru-RU" w:bidi="ru-RU"/>
        </w:rPr>
        <w:t>-</w:t>
      </w:r>
      <w:r w:rsidRPr="008C107D">
        <w:rPr>
          <w:rFonts w:cs="Garamond"/>
          <w:color w:val="auto"/>
          <w:sz w:val="28"/>
          <w:szCs w:val="28"/>
          <w:lang w:val="en-US" w:eastAsia="ru-RU" w:bidi="ru-RU"/>
        </w:rPr>
        <w:t>industrial compan</w:t>
      </w:r>
      <w:r w:rsidR="00853018">
        <w:rPr>
          <w:rFonts w:cs="Garamond"/>
          <w:color w:val="auto"/>
          <w:sz w:val="28"/>
          <w:szCs w:val="28"/>
          <w:lang w:val="en-US" w:eastAsia="ru-RU" w:bidi="ru-RU"/>
        </w:rPr>
        <w:t>ies</w:t>
      </w:r>
      <w:r w:rsidRPr="008C107D">
        <w:rPr>
          <w:rFonts w:cs="Garamond"/>
          <w:color w:val="auto"/>
          <w:sz w:val="28"/>
          <w:szCs w:val="28"/>
          <w:lang w:val="en-US" w:eastAsia="ru-RU" w:bidi="ru-RU"/>
        </w:rPr>
        <w:t xml:space="preserve"> in the production of food and renewable energy. </w:t>
      </w:r>
      <w:r w:rsidR="00714037">
        <w:rPr>
          <w:rFonts w:cs="Garamond"/>
          <w:color w:val="auto"/>
          <w:sz w:val="28"/>
          <w:szCs w:val="28"/>
          <w:lang w:val="en-US" w:eastAsia="ru-RU" w:bidi="ru-RU"/>
        </w:rPr>
        <w:t>It</w:t>
      </w:r>
      <w:r w:rsidRPr="008C107D">
        <w:rPr>
          <w:rFonts w:cs="Garamond"/>
          <w:color w:val="auto"/>
          <w:sz w:val="28"/>
          <w:szCs w:val="28"/>
          <w:lang w:val="en-US" w:eastAsia="ru-RU" w:bidi="ru-RU"/>
        </w:rPr>
        <w:t xml:space="preserve"> own</w:t>
      </w:r>
      <w:r w:rsidR="00853018">
        <w:rPr>
          <w:rFonts w:cs="Garamond"/>
          <w:color w:val="auto"/>
          <w:sz w:val="28"/>
          <w:szCs w:val="28"/>
          <w:lang w:val="en-US" w:eastAsia="ru-RU" w:bidi="ru-RU"/>
        </w:rPr>
        <w:t>s</w:t>
      </w:r>
      <w:r w:rsidRPr="008C107D">
        <w:rPr>
          <w:rFonts w:cs="Garamond"/>
          <w:color w:val="auto"/>
          <w:sz w:val="28"/>
          <w:szCs w:val="28"/>
          <w:lang w:val="en-US" w:eastAsia="ru-RU" w:bidi="ru-RU"/>
        </w:rPr>
        <w:t xml:space="preserve"> productive farmland and industrial facilities distributed across the most productive regions of Argentina, Brazil and Uruguay, where </w:t>
      </w:r>
      <w:r w:rsidR="00853018">
        <w:rPr>
          <w:rFonts w:cs="Garamond"/>
          <w:color w:val="auto"/>
          <w:sz w:val="28"/>
          <w:szCs w:val="28"/>
          <w:lang w:val="en-US" w:eastAsia="ru-RU" w:bidi="ru-RU"/>
        </w:rPr>
        <w:t xml:space="preserve">the company </w:t>
      </w:r>
      <w:r w:rsidRPr="008C107D">
        <w:rPr>
          <w:rFonts w:cs="Garamond"/>
          <w:color w:val="auto"/>
          <w:sz w:val="28"/>
          <w:szCs w:val="28"/>
          <w:lang w:val="en-US" w:eastAsia="ru-RU" w:bidi="ru-RU"/>
        </w:rPr>
        <w:t>produces over 1.3 million tons of agricultural products, including rice, sugar, milk, sunflower, corn, wheat, soybean, ethanol</w:t>
      </w:r>
      <w:r w:rsidR="00853018">
        <w:rPr>
          <w:rFonts w:cs="Garamond"/>
          <w:color w:val="auto"/>
          <w:sz w:val="28"/>
          <w:szCs w:val="28"/>
          <w:lang w:val="en-US" w:eastAsia="ru-RU" w:bidi="ru-RU"/>
        </w:rPr>
        <w:t>,</w:t>
      </w:r>
      <w:r w:rsidRPr="008C107D">
        <w:rPr>
          <w:rFonts w:cs="Garamond"/>
          <w:color w:val="auto"/>
          <w:sz w:val="28"/>
          <w:szCs w:val="28"/>
          <w:lang w:val="en-US" w:eastAsia="ru-RU" w:bidi="ru-RU"/>
        </w:rPr>
        <w:t xml:space="preserve"> and bio-electricity. More </w:t>
      </w:r>
      <w:r w:rsidR="00853018">
        <w:rPr>
          <w:rFonts w:cs="Garamond"/>
          <w:color w:val="auto"/>
          <w:sz w:val="28"/>
          <w:szCs w:val="28"/>
          <w:lang w:val="en-US" w:eastAsia="ru-RU" w:bidi="ru-RU"/>
        </w:rPr>
        <w:t xml:space="preserve">information </w:t>
      </w:r>
      <w:r w:rsidRPr="008C107D">
        <w:rPr>
          <w:rFonts w:cs="Garamond"/>
          <w:color w:val="auto"/>
          <w:sz w:val="28"/>
          <w:szCs w:val="28"/>
          <w:lang w:val="en-US" w:eastAsia="ru-RU" w:bidi="ru-RU"/>
        </w:rPr>
        <w:t>about</w:t>
      </w:r>
      <w:r w:rsidR="00853018">
        <w:rPr>
          <w:rFonts w:cs="Garamond"/>
          <w:color w:val="auto"/>
          <w:sz w:val="28"/>
          <w:szCs w:val="28"/>
          <w:lang w:val="en-US" w:eastAsia="ru-RU" w:bidi="ru-RU"/>
        </w:rPr>
        <w:t xml:space="preserve"> the company profile can</w:t>
      </w:r>
      <w:r w:rsidRPr="008C107D">
        <w:rPr>
          <w:rFonts w:cs="Garamond"/>
          <w:color w:val="auto"/>
          <w:sz w:val="28"/>
          <w:szCs w:val="28"/>
          <w:lang w:val="en-US" w:eastAsia="ru-RU" w:bidi="ru-RU"/>
        </w:rPr>
        <w:t xml:space="preserve"> be found on the official web-site. Provide a short but substantial description of the company's cash flow features according to the industry where it operates, key characteristics of the business area where the company operates, company's size, etc.</w:t>
      </w:r>
    </w:p>
    <w:p w14:paraId="68E6715E" w14:textId="77777777" w:rsidR="008C107D" w:rsidRPr="008C107D" w:rsidRDefault="008C107D" w:rsidP="008C107D">
      <w:pPr>
        <w:spacing w:line="312" w:lineRule="auto"/>
        <w:ind w:firstLine="357"/>
        <w:contextualSpacing/>
        <w:jc w:val="both"/>
        <w:rPr>
          <w:rFonts w:cs="Garamond"/>
          <w:color w:val="auto"/>
          <w:sz w:val="28"/>
          <w:szCs w:val="28"/>
          <w:lang w:val="en-US" w:eastAsia="ru-RU" w:bidi="ru-RU"/>
        </w:rPr>
      </w:pPr>
      <w:r w:rsidRPr="008C107D">
        <w:rPr>
          <w:rFonts w:cs="Garamond"/>
          <w:b/>
          <w:color w:val="auto"/>
          <w:sz w:val="28"/>
          <w:szCs w:val="28"/>
          <w:lang w:val="en-US" w:eastAsia="ru-RU" w:bidi="ru-RU"/>
        </w:rPr>
        <w:t>Step 2.</w:t>
      </w:r>
      <w:r w:rsidRPr="008C107D">
        <w:rPr>
          <w:rFonts w:cs="Garamond"/>
          <w:color w:val="auto"/>
          <w:sz w:val="28"/>
          <w:szCs w:val="28"/>
          <w:lang w:val="en-US" w:eastAsia="ru-RU" w:bidi="ru-RU"/>
        </w:rPr>
        <w:t xml:space="preserve"> Analyze the cash inflows, outflows, and net cash flow stream. For the writing report</w:t>
      </w:r>
      <w:r w:rsidR="00853018">
        <w:rPr>
          <w:rFonts w:cs="Garamond"/>
          <w:color w:val="auto"/>
          <w:sz w:val="28"/>
          <w:szCs w:val="28"/>
          <w:lang w:val="en-US" w:eastAsia="ru-RU" w:bidi="ru-RU"/>
        </w:rPr>
        <w:t>, show cash flow results as graphical images</w:t>
      </w:r>
      <w:r w:rsidRPr="008C107D">
        <w:rPr>
          <w:rFonts w:cs="Garamond"/>
          <w:color w:val="auto"/>
          <w:sz w:val="28"/>
          <w:szCs w:val="28"/>
          <w:lang w:val="en-US" w:eastAsia="ru-RU" w:bidi="ru-RU"/>
        </w:rPr>
        <w:t xml:space="preserve"> in</w:t>
      </w:r>
      <w:r w:rsidR="00853018">
        <w:rPr>
          <w:rFonts w:cs="Garamond"/>
          <w:color w:val="auto"/>
          <w:sz w:val="28"/>
          <w:szCs w:val="28"/>
          <w:lang w:val="en-US" w:eastAsia="ru-RU" w:bidi="ru-RU"/>
        </w:rPr>
        <w:t xml:space="preserve"> addition to the tabled figures</w:t>
      </w:r>
      <w:r w:rsidRPr="008C107D">
        <w:rPr>
          <w:rFonts w:cs="Garamond"/>
          <w:color w:val="auto"/>
          <w:sz w:val="28"/>
          <w:szCs w:val="28"/>
          <w:lang w:val="en-US" w:eastAsia="ru-RU" w:bidi="ru-RU"/>
        </w:rPr>
        <w:t xml:space="preserve"> even when the graph contains </w:t>
      </w:r>
      <w:r w:rsidR="00853018">
        <w:rPr>
          <w:rFonts w:cs="Garamond"/>
          <w:color w:val="auto"/>
          <w:sz w:val="28"/>
          <w:szCs w:val="28"/>
          <w:lang w:val="en-US" w:eastAsia="ru-RU" w:bidi="ru-RU"/>
        </w:rPr>
        <w:t xml:space="preserve">the </w:t>
      </w:r>
      <w:r w:rsidRPr="008C107D">
        <w:rPr>
          <w:rFonts w:cs="Garamond"/>
          <w:color w:val="auto"/>
          <w:sz w:val="28"/>
          <w:szCs w:val="28"/>
          <w:lang w:val="en-US" w:eastAsia="ru-RU" w:bidi="ru-RU"/>
        </w:rPr>
        <w:t>information that c</w:t>
      </w:r>
      <w:r w:rsidR="00853018">
        <w:rPr>
          <w:rFonts w:cs="Garamond"/>
          <w:color w:val="auto"/>
          <w:sz w:val="28"/>
          <w:szCs w:val="28"/>
          <w:lang w:val="en-US" w:eastAsia="ru-RU" w:bidi="ru-RU"/>
        </w:rPr>
        <w:t>an</w:t>
      </w:r>
      <w:r w:rsidRPr="008C107D">
        <w:rPr>
          <w:rFonts w:cs="Garamond"/>
          <w:color w:val="auto"/>
          <w:sz w:val="28"/>
          <w:szCs w:val="28"/>
          <w:lang w:val="en-US" w:eastAsia="ru-RU" w:bidi="ru-RU"/>
        </w:rPr>
        <w:t xml:space="preserve"> </w:t>
      </w:r>
      <w:r w:rsidR="00853018" w:rsidRPr="008C107D">
        <w:rPr>
          <w:rFonts w:cs="Garamond"/>
          <w:color w:val="auto"/>
          <w:sz w:val="28"/>
          <w:szCs w:val="28"/>
          <w:lang w:val="en-US" w:eastAsia="ru-RU" w:bidi="ru-RU"/>
        </w:rPr>
        <w:t xml:space="preserve">be </w:t>
      </w:r>
      <w:r w:rsidRPr="008C107D">
        <w:rPr>
          <w:rFonts w:cs="Garamond"/>
          <w:color w:val="auto"/>
          <w:sz w:val="28"/>
          <w:szCs w:val="28"/>
          <w:lang w:val="en-US" w:eastAsia="ru-RU" w:bidi="ru-RU"/>
        </w:rPr>
        <w:t xml:space="preserve">also read from the table. </w:t>
      </w:r>
    </w:p>
    <w:p w14:paraId="6B981124" w14:textId="77777777" w:rsidR="008C107D" w:rsidRPr="008C107D" w:rsidRDefault="008C107D" w:rsidP="008C107D">
      <w:pPr>
        <w:spacing w:line="312" w:lineRule="auto"/>
        <w:ind w:firstLine="357"/>
        <w:contextualSpacing/>
        <w:jc w:val="both"/>
        <w:rPr>
          <w:rFonts w:cs="Garamond"/>
          <w:color w:val="auto"/>
          <w:sz w:val="28"/>
          <w:szCs w:val="28"/>
          <w:lang w:val="en-US" w:eastAsia="ru-RU" w:bidi="ru-RU"/>
        </w:rPr>
      </w:pPr>
      <w:r w:rsidRPr="008C107D">
        <w:rPr>
          <w:rFonts w:cs="Garamond"/>
          <w:b/>
          <w:color w:val="auto"/>
          <w:sz w:val="28"/>
          <w:szCs w:val="28"/>
          <w:lang w:val="en-US" w:eastAsia="ru-RU" w:bidi="ru-RU"/>
        </w:rPr>
        <w:t>Step 3.</w:t>
      </w:r>
      <w:r w:rsidRPr="008C107D">
        <w:rPr>
          <w:rFonts w:cs="Garamond"/>
          <w:color w:val="auto"/>
          <w:sz w:val="28"/>
          <w:szCs w:val="28"/>
          <w:lang w:val="en-US" w:eastAsia="ru-RU" w:bidi="ru-RU"/>
        </w:rPr>
        <w:t xml:space="preserve"> Analyze </w:t>
      </w:r>
      <w:r w:rsidR="00853018">
        <w:rPr>
          <w:rFonts w:cs="Garamond"/>
          <w:color w:val="auto"/>
          <w:sz w:val="28"/>
          <w:szCs w:val="28"/>
          <w:lang w:val="en-US" w:eastAsia="ru-RU" w:bidi="ru-RU"/>
        </w:rPr>
        <w:t xml:space="preserve">the </w:t>
      </w:r>
      <w:r w:rsidRPr="008C107D">
        <w:rPr>
          <w:rFonts w:cs="Garamond"/>
          <w:color w:val="auto"/>
          <w:sz w:val="28"/>
          <w:szCs w:val="28"/>
          <w:lang w:val="en-US" w:eastAsia="ru-RU" w:bidi="ru-RU"/>
        </w:rPr>
        <w:t xml:space="preserve">cash flow from (i) operations before investment in working capital, (ii) </w:t>
      </w:r>
      <w:r w:rsidR="00853018">
        <w:rPr>
          <w:rFonts w:cs="Garamond"/>
          <w:color w:val="auto"/>
          <w:sz w:val="28"/>
          <w:szCs w:val="28"/>
          <w:lang w:val="en-US" w:eastAsia="ru-RU" w:bidi="ru-RU"/>
        </w:rPr>
        <w:t xml:space="preserve">the </w:t>
      </w:r>
      <w:r w:rsidRPr="008C107D">
        <w:rPr>
          <w:rFonts w:cs="Garamond"/>
          <w:color w:val="auto"/>
          <w:sz w:val="28"/>
          <w:szCs w:val="28"/>
          <w:lang w:val="en-US" w:eastAsia="ru-RU" w:bidi="ru-RU"/>
        </w:rPr>
        <w:t>cash flow from changes in working capital, and (iii)</w:t>
      </w:r>
      <w:r w:rsidR="00853018">
        <w:rPr>
          <w:rFonts w:cs="Garamond"/>
          <w:color w:val="auto"/>
          <w:sz w:val="28"/>
          <w:szCs w:val="28"/>
          <w:lang w:val="en-US" w:eastAsia="ru-RU" w:bidi="ru-RU"/>
        </w:rPr>
        <w:t xml:space="preserve"> the</w:t>
      </w:r>
      <w:r w:rsidRPr="008C107D">
        <w:rPr>
          <w:rFonts w:cs="Garamond"/>
          <w:color w:val="auto"/>
          <w:sz w:val="28"/>
          <w:szCs w:val="28"/>
          <w:lang w:val="en-US" w:eastAsia="ru-RU" w:bidi="ru-RU"/>
        </w:rPr>
        <w:t xml:space="preserve"> cash flow from operating activities to verify </w:t>
      </w:r>
      <w:r w:rsidR="00853018">
        <w:rPr>
          <w:rFonts w:cs="Garamond"/>
          <w:color w:val="auto"/>
          <w:sz w:val="28"/>
          <w:szCs w:val="28"/>
          <w:lang w:val="en-US" w:eastAsia="ru-RU" w:bidi="ru-RU"/>
        </w:rPr>
        <w:t xml:space="preserve">that </w:t>
      </w:r>
      <w:r w:rsidRPr="008C107D">
        <w:rPr>
          <w:rFonts w:cs="Garamond"/>
          <w:color w:val="auto"/>
          <w:sz w:val="28"/>
          <w:szCs w:val="28"/>
          <w:lang w:val="en-US" w:eastAsia="ru-RU" w:bidi="ru-RU"/>
        </w:rPr>
        <w:t xml:space="preserve">the company is able to generate a cash surplus from its operations. By doing so try to answer the following questions: How strong is the company's internal cash flow generation? Is the cash flow from operations positive or </w:t>
      </w:r>
      <w:r w:rsidRPr="008C107D">
        <w:rPr>
          <w:rFonts w:cs="Garamond"/>
          <w:color w:val="auto"/>
          <w:sz w:val="28"/>
          <w:szCs w:val="28"/>
          <w:lang w:val="en-US" w:eastAsia="ru-RU" w:bidi="ru-RU"/>
        </w:rPr>
        <w:lastRenderedPageBreak/>
        <w:t>negative? If it is negative, why? Is it because the company is growing? Is it because its operations are unprofitable? Is it having difficulty</w:t>
      </w:r>
      <w:r w:rsidR="00853018">
        <w:rPr>
          <w:rFonts w:cs="Garamond"/>
          <w:color w:val="auto"/>
          <w:sz w:val="28"/>
          <w:szCs w:val="28"/>
          <w:lang w:val="en-US" w:eastAsia="ru-RU" w:bidi="ru-RU"/>
        </w:rPr>
        <w:t xml:space="preserve"> in</w:t>
      </w:r>
      <w:r w:rsidRPr="008C107D">
        <w:rPr>
          <w:rFonts w:cs="Garamond"/>
          <w:color w:val="auto"/>
          <w:sz w:val="28"/>
          <w:szCs w:val="28"/>
          <w:lang w:val="en-US" w:eastAsia="ru-RU" w:bidi="ru-RU"/>
        </w:rPr>
        <w:t xml:space="preserve"> managing its working capital properly? Did company’s cash position increase or decrease during </w:t>
      </w:r>
      <w:r w:rsidR="00853018">
        <w:rPr>
          <w:rFonts w:cs="Garamond"/>
          <w:color w:val="auto"/>
          <w:sz w:val="28"/>
          <w:szCs w:val="28"/>
          <w:lang w:val="en-US" w:eastAsia="ru-RU" w:bidi="ru-RU"/>
        </w:rPr>
        <w:t xml:space="preserve">the </w:t>
      </w:r>
      <w:r w:rsidRPr="008C107D">
        <w:rPr>
          <w:rFonts w:cs="Garamond"/>
          <w:color w:val="auto"/>
          <w:sz w:val="28"/>
          <w:szCs w:val="28"/>
          <w:lang w:val="en-US" w:eastAsia="ru-RU" w:bidi="ru-RU"/>
        </w:rPr>
        <w:t xml:space="preserve">period being analyzed? By what amount? </w:t>
      </w:r>
      <w:r w:rsidRPr="008C107D">
        <w:rPr>
          <w:rFonts w:cs="Garamond"/>
          <w:color w:val="auto"/>
          <w:sz w:val="28"/>
          <w:szCs w:val="28"/>
          <w:lang w:val="en-US" w:eastAsia="ru-RU" w:bidi="ru-RU"/>
        </w:rPr>
        <w:tab/>
      </w:r>
      <w:r w:rsidRPr="008C107D">
        <w:rPr>
          <w:rFonts w:cs="Garamond"/>
          <w:color w:val="auto"/>
          <w:sz w:val="28"/>
          <w:szCs w:val="28"/>
          <w:lang w:val="en-US" w:eastAsia="ru-RU" w:bidi="ru-RU"/>
        </w:rPr>
        <w:tab/>
      </w:r>
      <w:r w:rsidRPr="008C107D">
        <w:rPr>
          <w:rFonts w:cs="Garamond"/>
          <w:color w:val="auto"/>
          <w:sz w:val="28"/>
          <w:szCs w:val="28"/>
          <w:lang w:val="en-US" w:eastAsia="ru-RU" w:bidi="ru-RU"/>
        </w:rPr>
        <w:tab/>
      </w:r>
    </w:p>
    <w:p w14:paraId="43D684CB" w14:textId="77777777" w:rsidR="008C107D" w:rsidRPr="008C107D" w:rsidRDefault="008C107D" w:rsidP="008C107D">
      <w:pPr>
        <w:spacing w:line="312" w:lineRule="auto"/>
        <w:ind w:firstLine="357"/>
        <w:contextualSpacing/>
        <w:jc w:val="both"/>
        <w:rPr>
          <w:rFonts w:cs="Garamond"/>
          <w:color w:val="auto"/>
          <w:sz w:val="28"/>
          <w:szCs w:val="28"/>
          <w:lang w:val="en-US" w:eastAsia="ru-RU" w:bidi="ru-RU"/>
        </w:rPr>
      </w:pPr>
      <w:r w:rsidRPr="008C107D">
        <w:rPr>
          <w:rFonts w:cs="Garamond"/>
          <w:b/>
          <w:color w:val="auto"/>
          <w:sz w:val="28"/>
          <w:szCs w:val="28"/>
          <w:lang w:val="en-US" w:eastAsia="ru-RU" w:bidi="ru-RU"/>
        </w:rPr>
        <w:t>Step 4.</w:t>
      </w:r>
      <w:r w:rsidRPr="008C107D">
        <w:rPr>
          <w:rFonts w:cs="Garamond"/>
          <w:color w:val="auto"/>
          <w:sz w:val="28"/>
          <w:szCs w:val="28"/>
          <w:lang w:val="en-US" w:eastAsia="ru-RU" w:bidi="ru-RU"/>
        </w:rPr>
        <w:t xml:space="preserve"> Analyze </w:t>
      </w:r>
      <w:r w:rsidR="00853018">
        <w:rPr>
          <w:rFonts w:cs="Garamond"/>
          <w:color w:val="auto"/>
          <w:sz w:val="28"/>
          <w:szCs w:val="28"/>
          <w:lang w:val="en-US" w:eastAsia="ru-RU" w:bidi="ru-RU"/>
        </w:rPr>
        <w:t xml:space="preserve">the </w:t>
      </w:r>
      <w:r w:rsidRPr="008C107D">
        <w:rPr>
          <w:rFonts w:cs="Garamond"/>
          <w:color w:val="auto"/>
          <w:sz w:val="28"/>
          <w:szCs w:val="28"/>
          <w:lang w:val="en-US" w:eastAsia="ru-RU" w:bidi="ru-RU"/>
        </w:rPr>
        <w:t xml:space="preserve">cash flow from investing activities to verify </w:t>
      </w:r>
      <w:r w:rsidR="00853018">
        <w:rPr>
          <w:rFonts w:cs="Garamond"/>
          <w:color w:val="auto"/>
          <w:sz w:val="28"/>
          <w:szCs w:val="28"/>
          <w:lang w:val="en-US" w:eastAsia="ru-RU" w:bidi="ru-RU"/>
        </w:rPr>
        <w:t xml:space="preserve">that </w:t>
      </w:r>
      <w:r w:rsidRPr="008C107D">
        <w:rPr>
          <w:rFonts w:cs="Garamond"/>
          <w:color w:val="auto"/>
          <w:sz w:val="28"/>
          <w:szCs w:val="28"/>
          <w:lang w:val="en-US" w:eastAsia="ru-RU" w:bidi="ru-RU"/>
        </w:rPr>
        <w:t>the company is able to generate a cash surplus from investments in financial markets and operating subsidiaries. By doing so the following questions could be answered: What are the main company’s investing cash flows? What is the possible significance of a company generating most of its cash from investing activities? How much the company invest in growth? Are these investments consistent with its business strategy?</w:t>
      </w:r>
    </w:p>
    <w:p w14:paraId="17B13D2F" w14:textId="77777777" w:rsidR="008C107D" w:rsidRPr="008C107D" w:rsidRDefault="008C107D" w:rsidP="008C107D">
      <w:pPr>
        <w:spacing w:line="312" w:lineRule="auto"/>
        <w:ind w:firstLine="357"/>
        <w:contextualSpacing/>
        <w:jc w:val="both"/>
        <w:rPr>
          <w:rFonts w:cs="Garamond"/>
          <w:color w:val="auto"/>
          <w:sz w:val="28"/>
          <w:szCs w:val="28"/>
          <w:lang w:val="en-US" w:eastAsia="ru-RU" w:bidi="ru-RU"/>
        </w:rPr>
      </w:pPr>
      <w:r w:rsidRPr="008C107D">
        <w:rPr>
          <w:rFonts w:cs="Garamond"/>
          <w:b/>
          <w:color w:val="auto"/>
          <w:sz w:val="28"/>
          <w:szCs w:val="28"/>
          <w:lang w:val="en-US" w:eastAsia="ru-RU" w:bidi="ru-RU"/>
        </w:rPr>
        <w:t>Step 5.</w:t>
      </w:r>
      <w:r w:rsidRPr="008C107D">
        <w:rPr>
          <w:rFonts w:cs="Garamond"/>
          <w:color w:val="auto"/>
          <w:sz w:val="28"/>
          <w:szCs w:val="28"/>
          <w:lang w:val="en-US" w:eastAsia="ru-RU" w:bidi="ru-RU"/>
        </w:rPr>
        <w:t xml:space="preserve"> Analyze</w:t>
      </w:r>
      <w:r w:rsidR="00853018">
        <w:rPr>
          <w:rFonts w:cs="Garamond"/>
          <w:color w:val="auto"/>
          <w:sz w:val="28"/>
          <w:szCs w:val="28"/>
          <w:lang w:val="en-US" w:eastAsia="ru-RU" w:bidi="ru-RU"/>
        </w:rPr>
        <w:t xml:space="preserve"> the</w:t>
      </w:r>
      <w:r w:rsidRPr="008C107D">
        <w:rPr>
          <w:rFonts w:cs="Garamond"/>
          <w:color w:val="auto"/>
          <w:sz w:val="28"/>
          <w:szCs w:val="28"/>
          <w:lang w:val="en-US" w:eastAsia="ru-RU" w:bidi="ru-RU"/>
        </w:rPr>
        <w:t xml:space="preserve"> cash flow from financing activities to verify</w:t>
      </w:r>
      <w:r w:rsidR="00853018">
        <w:rPr>
          <w:rFonts w:cs="Garamond"/>
          <w:color w:val="auto"/>
          <w:sz w:val="28"/>
          <w:szCs w:val="28"/>
          <w:lang w:val="en-US" w:eastAsia="ru-RU" w:bidi="ru-RU"/>
        </w:rPr>
        <w:t xml:space="preserve"> that</w:t>
      </w:r>
      <w:r w:rsidRPr="008C107D">
        <w:rPr>
          <w:rFonts w:cs="Garamond"/>
          <w:color w:val="auto"/>
          <w:sz w:val="28"/>
          <w:szCs w:val="28"/>
          <w:lang w:val="en-US" w:eastAsia="ru-RU" w:bidi="ru-RU"/>
        </w:rPr>
        <w:t xml:space="preserve"> the company is able to raise capital and pays it back to investors through the capital markets. By doing so the following questions could be answered: Did the company use internal cash flow to finance growth, or did it rely on external financing? Did the company pay dividends from internal free cash flow, or did it have to rely on external financing? If the company had to fund its dividends from external sources, is the company's dividend policy sustainable? What type of external financing does the company rely on? Equity, short-term debt, or long-term debt? Is the financing consistent with the company's overall business risk?</w:t>
      </w:r>
    </w:p>
    <w:p w14:paraId="0584FAF6" w14:textId="77777777" w:rsidR="008C107D" w:rsidRPr="008C107D" w:rsidRDefault="008C107D" w:rsidP="008C107D">
      <w:pPr>
        <w:spacing w:line="312" w:lineRule="auto"/>
        <w:ind w:firstLine="357"/>
        <w:contextualSpacing/>
        <w:jc w:val="both"/>
        <w:rPr>
          <w:rFonts w:cs="Garamond"/>
          <w:color w:val="auto"/>
          <w:sz w:val="28"/>
          <w:szCs w:val="28"/>
          <w:lang w:val="en-US" w:eastAsia="ru-RU" w:bidi="ru-RU"/>
        </w:rPr>
      </w:pPr>
      <w:r w:rsidRPr="008C107D">
        <w:rPr>
          <w:rFonts w:cs="Garamond"/>
          <w:b/>
          <w:color w:val="auto"/>
          <w:sz w:val="28"/>
          <w:szCs w:val="28"/>
          <w:lang w:val="en-US" w:eastAsia="ru-RU" w:bidi="ru-RU"/>
        </w:rPr>
        <w:t>Step 6.</w:t>
      </w:r>
      <w:r w:rsidRPr="008C107D">
        <w:rPr>
          <w:rFonts w:cs="Garamond"/>
          <w:color w:val="auto"/>
          <w:sz w:val="28"/>
          <w:szCs w:val="28"/>
          <w:lang w:val="en-US" w:eastAsia="ru-RU" w:bidi="ru-RU"/>
        </w:rPr>
        <w:t xml:space="preserve"> Analyze the free cash flow to the company and to equity to verify </w:t>
      </w:r>
      <w:r w:rsidR="00853018">
        <w:rPr>
          <w:rFonts w:cs="Garamond"/>
          <w:color w:val="auto"/>
          <w:sz w:val="28"/>
          <w:szCs w:val="28"/>
          <w:lang w:val="en-US" w:eastAsia="ru-RU" w:bidi="ru-RU"/>
        </w:rPr>
        <w:t xml:space="preserve">that </w:t>
      </w:r>
      <w:r w:rsidRPr="008C107D">
        <w:rPr>
          <w:rFonts w:cs="Garamond"/>
          <w:color w:val="auto"/>
          <w:sz w:val="28"/>
          <w:szCs w:val="28"/>
          <w:lang w:val="en-US" w:eastAsia="ru-RU" w:bidi="ru-RU"/>
        </w:rPr>
        <w:t>the company has cash to expand, develop new products, buy back stock, pay dividends, or reduce its debt.</w:t>
      </w:r>
    </w:p>
    <w:p w14:paraId="599C5C66" w14:textId="77777777" w:rsidR="008C107D" w:rsidRPr="008C107D" w:rsidRDefault="008C107D" w:rsidP="008C107D">
      <w:pPr>
        <w:spacing w:line="312" w:lineRule="auto"/>
        <w:ind w:firstLine="357"/>
        <w:contextualSpacing/>
        <w:jc w:val="both"/>
        <w:rPr>
          <w:rFonts w:cs="Garamond"/>
          <w:color w:val="auto"/>
          <w:sz w:val="28"/>
          <w:szCs w:val="28"/>
          <w:lang w:val="en-US" w:eastAsia="ru-RU" w:bidi="ru-RU"/>
        </w:rPr>
      </w:pPr>
      <w:r w:rsidRPr="008C107D">
        <w:rPr>
          <w:rFonts w:cs="Garamond"/>
          <w:b/>
          <w:color w:val="auto"/>
          <w:sz w:val="28"/>
          <w:szCs w:val="28"/>
          <w:lang w:val="en-US" w:eastAsia="ru-RU" w:bidi="ru-RU"/>
        </w:rPr>
        <w:t>Step 7.</w:t>
      </w:r>
      <w:r w:rsidRPr="008C107D">
        <w:rPr>
          <w:rFonts w:cs="Garamond"/>
          <w:color w:val="auto"/>
          <w:sz w:val="28"/>
          <w:szCs w:val="28"/>
          <w:lang w:val="en-US" w:eastAsia="ru-RU" w:bidi="ru-RU"/>
        </w:rPr>
        <w:t xml:space="preserve"> Consider and compute the following categories of ratios: (i) cash flow coverage ratios; (ii) cash flow performance ratios. Calculation (formulas) and meaning of cash flow analysis rates are shown in the box below. These rates allow accurate assessment of company’s position and financial performance, but also the associated financial risk and leverage.</w:t>
      </w:r>
    </w:p>
    <w:p w14:paraId="5E919543" w14:textId="77777777" w:rsidR="008C107D" w:rsidRPr="008C107D" w:rsidRDefault="008C107D" w:rsidP="008C107D">
      <w:pPr>
        <w:spacing w:line="312" w:lineRule="auto"/>
        <w:ind w:firstLine="357"/>
        <w:contextualSpacing/>
        <w:jc w:val="both"/>
        <w:rPr>
          <w:rFonts w:cs="Garamond"/>
          <w:color w:val="auto"/>
          <w:sz w:val="28"/>
          <w:szCs w:val="28"/>
          <w:lang w:val="en-US" w:eastAsia="ru-RU" w:bidi="ru-RU"/>
        </w:rPr>
      </w:pPr>
      <w:r w:rsidRPr="008C107D">
        <w:rPr>
          <w:rFonts w:cs="Garamond"/>
          <w:b/>
          <w:color w:val="auto"/>
          <w:sz w:val="28"/>
          <w:szCs w:val="28"/>
          <w:lang w:val="en-US" w:eastAsia="ru-RU" w:bidi="ru-RU"/>
        </w:rPr>
        <w:t>Step 8.</w:t>
      </w:r>
      <w:r w:rsidRPr="008C107D">
        <w:rPr>
          <w:rFonts w:cs="Garamond"/>
          <w:color w:val="auto"/>
          <w:sz w:val="28"/>
          <w:szCs w:val="28"/>
          <w:lang w:val="en-US" w:eastAsia="ru-RU" w:bidi="ru-RU"/>
        </w:rPr>
        <w:t xml:space="preserve"> Review and evaluate all of the data has been generated. Identify and make a summary of the strengths, weaknesses and opportunities of the company using evidence to support your analysis.</w:t>
      </w:r>
    </w:p>
    <w:p w14:paraId="12180DE0" w14:textId="77777777" w:rsidR="008C107D" w:rsidRPr="008C107D" w:rsidRDefault="008C107D" w:rsidP="008C107D">
      <w:pPr>
        <w:spacing w:line="312" w:lineRule="auto"/>
        <w:ind w:firstLine="357"/>
        <w:contextualSpacing/>
        <w:jc w:val="both"/>
        <w:rPr>
          <w:rFonts w:cs="Garamond"/>
          <w:b/>
          <w:color w:val="auto"/>
          <w:sz w:val="28"/>
          <w:szCs w:val="28"/>
          <w:lang w:val="en-US" w:eastAsia="ru-RU" w:bidi="ru-RU"/>
        </w:rPr>
      </w:pPr>
      <w:r w:rsidRPr="008C107D">
        <w:rPr>
          <w:rFonts w:cs="Garamond"/>
          <w:b/>
          <w:color w:val="auto"/>
          <w:sz w:val="28"/>
          <w:szCs w:val="28"/>
          <w:lang w:val="en-US" w:eastAsia="ru-RU" w:bidi="ru-RU"/>
        </w:rPr>
        <w:t xml:space="preserve">General notes: </w:t>
      </w:r>
    </w:p>
    <w:p w14:paraId="3FD8F862" w14:textId="77777777" w:rsidR="008C107D" w:rsidRPr="008C107D" w:rsidRDefault="008C107D" w:rsidP="006F749C">
      <w:pPr>
        <w:pStyle w:val="ListParagraph"/>
        <w:numPr>
          <w:ilvl w:val="0"/>
          <w:numId w:val="263"/>
        </w:numPr>
        <w:spacing w:after="0" w:line="312" w:lineRule="auto"/>
        <w:ind w:left="709"/>
        <w:jc w:val="both"/>
        <w:rPr>
          <w:rFonts w:ascii="Garamond" w:hAnsi="Garamond" w:cs="Garamond"/>
          <w:color w:val="auto"/>
          <w:szCs w:val="28"/>
          <w:lang w:val="en-US" w:eastAsia="ru-RU" w:bidi="ru-RU"/>
        </w:rPr>
      </w:pPr>
      <w:r w:rsidRPr="008C107D">
        <w:rPr>
          <w:rFonts w:ascii="Garamond" w:hAnsi="Garamond" w:cs="Garamond"/>
          <w:color w:val="auto"/>
          <w:szCs w:val="28"/>
          <w:lang w:val="en-US" w:eastAsia="ru-RU" w:bidi="ru-RU"/>
        </w:rPr>
        <w:t>All cash flow analysis must be done taking into consideration the company’s business, its growth strategy, and its financial policies.</w:t>
      </w:r>
    </w:p>
    <w:p w14:paraId="01BD8F50" w14:textId="77777777" w:rsidR="00210D5C" w:rsidRPr="008C107D" w:rsidRDefault="008C107D" w:rsidP="006F749C">
      <w:pPr>
        <w:pStyle w:val="ListParagraph"/>
        <w:numPr>
          <w:ilvl w:val="0"/>
          <w:numId w:val="263"/>
        </w:numPr>
        <w:spacing w:after="0" w:line="312" w:lineRule="auto"/>
        <w:ind w:left="709"/>
        <w:jc w:val="both"/>
        <w:rPr>
          <w:rFonts w:ascii="Garamond" w:hAnsi="Garamond" w:cs="Garamond"/>
          <w:color w:val="auto"/>
          <w:szCs w:val="28"/>
          <w:lang w:val="en-US" w:eastAsia="ru-RU" w:bidi="ru-RU"/>
        </w:rPr>
      </w:pPr>
      <w:r w:rsidRPr="008C107D">
        <w:rPr>
          <w:rFonts w:ascii="Garamond" w:hAnsi="Garamond" w:cs="Garamond"/>
          <w:color w:val="auto"/>
          <w:szCs w:val="28"/>
          <w:lang w:val="en-US" w:eastAsia="ru-RU" w:bidi="ru-RU"/>
        </w:rPr>
        <w:lastRenderedPageBreak/>
        <w:t>The written report is limited to 7 (</w:t>
      </w:r>
      <w:r w:rsidR="00853018">
        <w:rPr>
          <w:rFonts w:ascii="Garamond" w:hAnsi="Garamond" w:cs="Garamond"/>
          <w:color w:val="auto"/>
          <w:szCs w:val="28"/>
          <w:lang w:val="en-US" w:eastAsia="ru-RU" w:bidi="ru-RU"/>
        </w:rPr>
        <w:t>seven) pages, and must be typed 1.15-spaced</w:t>
      </w:r>
      <w:r w:rsidRPr="008C107D">
        <w:rPr>
          <w:rFonts w:ascii="Garamond" w:hAnsi="Garamond" w:cs="Garamond"/>
          <w:color w:val="auto"/>
          <w:szCs w:val="28"/>
          <w:lang w:val="en-US" w:eastAsia="ru-RU" w:bidi="ru-RU"/>
        </w:rPr>
        <w:t xml:space="preserve"> and 12-point font.</w:t>
      </w:r>
    </w:p>
    <w:p w14:paraId="602F9D05" w14:textId="77777777" w:rsidR="0063143B" w:rsidRPr="006A75C8" w:rsidRDefault="006A75C8" w:rsidP="006A75C8">
      <w:pPr>
        <w:jc w:val="center"/>
        <w:rPr>
          <w:rFonts w:eastAsia="Garamond"/>
          <w:b/>
          <w:sz w:val="28"/>
          <w:szCs w:val="28"/>
          <w:u w:color="000000"/>
          <w:bdr w:val="nil"/>
          <w:lang w:val="en-US" w:eastAsia="en-US"/>
        </w:rPr>
      </w:pPr>
      <w:r w:rsidRPr="006A75C8">
        <w:rPr>
          <w:rFonts w:eastAsia="Garamond"/>
          <w:b/>
          <w:sz w:val="28"/>
          <w:szCs w:val="28"/>
          <w:u w:color="000000"/>
          <w:bdr w:val="nil"/>
          <w:lang w:val="en-US" w:eastAsia="en-US"/>
        </w:rPr>
        <w:t>Financial ratios in cash flow analy</w:t>
      </w:r>
      <w:r w:rsidR="00ED0D27">
        <w:rPr>
          <w:rFonts w:eastAsia="Garamond"/>
          <w:b/>
          <w:sz w:val="28"/>
          <w:szCs w:val="28"/>
          <w:u w:color="000000"/>
          <w:bdr w:val="nil"/>
          <w:lang w:val="en-US" w:eastAsia="en-US"/>
        </w:rPr>
        <w:t>sis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15" w:type="dxa"/>
          <w:left w:w="15" w:type="dxa"/>
          <w:bottom w:w="15" w:type="dxa"/>
          <w:right w:w="15" w:type="dxa"/>
        </w:tblCellMar>
        <w:tblLook w:val="04A0" w:firstRow="1" w:lastRow="0" w:firstColumn="1" w:lastColumn="0" w:noHBand="0" w:noVBand="1"/>
      </w:tblPr>
      <w:tblGrid>
        <w:gridCol w:w="1623"/>
        <w:gridCol w:w="4394"/>
        <w:gridCol w:w="3592"/>
      </w:tblGrid>
      <w:tr w:rsidR="00573A05" w:rsidRPr="006A75C8" w14:paraId="760D23B1" w14:textId="77777777" w:rsidTr="00D44ABD">
        <w:tc>
          <w:tcPr>
            <w:tcW w:w="1623" w:type="dxa"/>
            <w:shd w:val="clear" w:color="auto" w:fill="D9D9D9" w:themeFill="background1" w:themeFillShade="D9"/>
            <w:tcMar>
              <w:top w:w="105" w:type="dxa"/>
              <w:left w:w="105" w:type="dxa"/>
              <w:bottom w:w="105" w:type="dxa"/>
              <w:right w:w="105" w:type="dxa"/>
            </w:tcMar>
            <w:hideMark/>
          </w:tcPr>
          <w:p w14:paraId="1DA7A210" w14:textId="77777777" w:rsidR="002D4F17" w:rsidRPr="002D4F17" w:rsidRDefault="002D4F17" w:rsidP="002D4F17">
            <w:pPr>
              <w:spacing w:line="240" w:lineRule="atLeast"/>
              <w:jc w:val="center"/>
              <w:rPr>
                <w:rFonts w:cs="Arial Unicode MS"/>
                <w:b/>
                <w:color w:val="auto"/>
                <w:szCs w:val="28"/>
                <w:lang w:val="en-US"/>
              </w:rPr>
            </w:pPr>
            <w:r w:rsidRPr="002D4F17">
              <w:rPr>
                <w:rFonts w:cs="Arial Unicode MS"/>
                <w:b/>
                <w:color w:val="auto"/>
                <w:szCs w:val="28"/>
                <w:lang w:val="en-US"/>
              </w:rPr>
              <w:t>Ratio</w:t>
            </w:r>
          </w:p>
        </w:tc>
        <w:tc>
          <w:tcPr>
            <w:tcW w:w="4394" w:type="dxa"/>
            <w:shd w:val="clear" w:color="auto" w:fill="D9D9D9" w:themeFill="background1" w:themeFillShade="D9"/>
            <w:tcMar>
              <w:top w:w="105" w:type="dxa"/>
              <w:left w:w="105" w:type="dxa"/>
              <w:bottom w:w="105" w:type="dxa"/>
              <w:right w:w="105" w:type="dxa"/>
            </w:tcMar>
            <w:hideMark/>
          </w:tcPr>
          <w:p w14:paraId="4300F0BE" w14:textId="77777777" w:rsidR="002D4F17" w:rsidRPr="002D4F17" w:rsidRDefault="002D4F17" w:rsidP="002D4F17">
            <w:pPr>
              <w:spacing w:line="240" w:lineRule="atLeast"/>
              <w:ind w:left="180" w:hanging="180"/>
              <w:jc w:val="center"/>
              <w:rPr>
                <w:rFonts w:cs="Arial Unicode MS"/>
                <w:b/>
                <w:color w:val="auto"/>
                <w:szCs w:val="28"/>
                <w:lang w:val="en-US"/>
              </w:rPr>
            </w:pPr>
            <w:r w:rsidRPr="002D4F17">
              <w:rPr>
                <w:rFonts w:cs="Arial Unicode MS"/>
                <w:b/>
                <w:color w:val="auto"/>
                <w:szCs w:val="28"/>
                <w:lang w:val="en-US"/>
              </w:rPr>
              <w:t>Calculation</w:t>
            </w:r>
          </w:p>
        </w:tc>
        <w:tc>
          <w:tcPr>
            <w:tcW w:w="3592" w:type="dxa"/>
            <w:shd w:val="clear" w:color="auto" w:fill="D9D9D9" w:themeFill="background1" w:themeFillShade="D9"/>
            <w:tcMar>
              <w:top w:w="105" w:type="dxa"/>
              <w:left w:w="105" w:type="dxa"/>
              <w:bottom w:w="105" w:type="dxa"/>
              <w:right w:w="105" w:type="dxa"/>
            </w:tcMar>
            <w:hideMark/>
          </w:tcPr>
          <w:p w14:paraId="162073F4" w14:textId="77777777" w:rsidR="002D4F17" w:rsidRPr="002D4F17" w:rsidRDefault="0063143B" w:rsidP="002D4F17">
            <w:pPr>
              <w:spacing w:line="240" w:lineRule="atLeast"/>
              <w:ind w:left="180" w:hanging="180"/>
              <w:jc w:val="center"/>
              <w:rPr>
                <w:rFonts w:cs="Arial Unicode MS"/>
                <w:b/>
                <w:color w:val="auto"/>
                <w:szCs w:val="28"/>
                <w:lang w:val="en-US"/>
              </w:rPr>
            </w:pPr>
            <w:r w:rsidRPr="006A75C8">
              <w:rPr>
                <w:rFonts w:cs="Arial Unicode MS"/>
                <w:b/>
                <w:color w:val="auto"/>
                <w:szCs w:val="28"/>
                <w:lang w:val="en-US"/>
              </w:rPr>
              <w:t>Comments</w:t>
            </w:r>
          </w:p>
        </w:tc>
      </w:tr>
      <w:tr w:rsidR="00CC28A6" w:rsidRPr="006A75C8" w14:paraId="52E11991" w14:textId="77777777" w:rsidTr="008C107D">
        <w:tc>
          <w:tcPr>
            <w:tcW w:w="9609" w:type="dxa"/>
            <w:gridSpan w:val="3"/>
            <w:shd w:val="clear" w:color="auto" w:fill="D9D9D9" w:themeFill="background1" w:themeFillShade="D9"/>
            <w:tcMar>
              <w:top w:w="105" w:type="dxa"/>
              <w:left w:w="105" w:type="dxa"/>
              <w:bottom w:w="105" w:type="dxa"/>
              <w:right w:w="105" w:type="dxa"/>
            </w:tcMar>
          </w:tcPr>
          <w:p w14:paraId="711F2526" w14:textId="77777777" w:rsidR="00CC28A6" w:rsidRPr="006A75C8" w:rsidRDefault="00CC28A6" w:rsidP="002D4F17">
            <w:pPr>
              <w:spacing w:line="240" w:lineRule="atLeast"/>
              <w:ind w:left="180" w:hanging="180"/>
              <w:jc w:val="center"/>
              <w:rPr>
                <w:rFonts w:cs="Arial Unicode MS"/>
                <w:b/>
                <w:color w:val="auto"/>
                <w:szCs w:val="28"/>
                <w:lang w:val="en-US"/>
              </w:rPr>
            </w:pPr>
            <w:r w:rsidRPr="006A75C8">
              <w:rPr>
                <w:rFonts w:cs="Arial Unicode MS"/>
                <w:b/>
                <w:color w:val="auto"/>
                <w:szCs w:val="28"/>
                <w:lang w:val="en-US"/>
              </w:rPr>
              <w:t>Cash flow coverage ratios</w:t>
            </w:r>
          </w:p>
        </w:tc>
      </w:tr>
      <w:tr w:rsidR="00573A05" w:rsidRPr="006A75C8" w14:paraId="309A010B" w14:textId="77777777" w:rsidTr="00D44ABD">
        <w:tc>
          <w:tcPr>
            <w:tcW w:w="1623" w:type="dxa"/>
            <w:shd w:val="clear" w:color="auto" w:fill="auto"/>
            <w:tcMar>
              <w:top w:w="105" w:type="dxa"/>
              <w:left w:w="105" w:type="dxa"/>
              <w:bottom w:w="105" w:type="dxa"/>
              <w:right w:w="105" w:type="dxa"/>
            </w:tcMar>
            <w:hideMark/>
          </w:tcPr>
          <w:p w14:paraId="209EA5C5" w14:textId="77777777" w:rsidR="002D4F17" w:rsidRPr="002D4F17" w:rsidRDefault="002D4F17" w:rsidP="00573A05">
            <w:pPr>
              <w:spacing w:line="240" w:lineRule="atLeast"/>
              <w:rPr>
                <w:color w:val="auto"/>
                <w:szCs w:val="28"/>
                <w:lang w:val="en-US"/>
              </w:rPr>
            </w:pPr>
            <w:r w:rsidRPr="002D4F17">
              <w:rPr>
                <w:color w:val="auto"/>
                <w:szCs w:val="28"/>
                <w:lang w:val="en-US"/>
              </w:rPr>
              <w:t>Debt coverage</w:t>
            </w:r>
          </w:p>
        </w:tc>
        <w:tc>
          <w:tcPr>
            <w:tcW w:w="4394" w:type="dxa"/>
            <w:shd w:val="clear" w:color="auto" w:fill="auto"/>
            <w:tcMar>
              <w:top w:w="105" w:type="dxa"/>
              <w:left w:w="105" w:type="dxa"/>
              <w:bottom w:w="105" w:type="dxa"/>
              <w:right w:w="105" w:type="dxa"/>
            </w:tcMar>
            <w:hideMark/>
          </w:tcPr>
          <w:p w14:paraId="014A4518" w14:textId="77777777" w:rsidR="002D4F17" w:rsidRPr="00D44ABD" w:rsidRDefault="00000000" w:rsidP="00573A05">
            <w:pPr>
              <w:spacing w:line="240" w:lineRule="atLeast"/>
              <w:rPr>
                <w:color w:val="auto"/>
                <w:sz w:val="22"/>
                <w:szCs w:val="28"/>
                <w:lang w:val="en-US"/>
              </w:rPr>
            </w:pPr>
            <m:oMathPara>
              <m:oMath>
                <m:f>
                  <m:fPr>
                    <m:ctrlPr>
                      <w:rPr>
                        <w:rFonts w:ascii="Cambria Math" w:hAnsi="Cambria Math"/>
                        <w:color w:val="auto"/>
                        <w:sz w:val="22"/>
                        <w:szCs w:val="28"/>
                        <w:lang w:val="en-US"/>
                      </w:rPr>
                    </m:ctrlPr>
                  </m:fPr>
                  <m:num>
                    <m:r>
                      <m:rPr>
                        <m:sty m:val="p"/>
                      </m:rPr>
                      <w:rPr>
                        <w:rFonts w:ascii="Cambria Math" w:hAnsi="Cambria Math"/>
                        <w:color w:val="auto"/>
                        <w:sz w:val="22"/>
                        <w:szCs w:val="28"/>
                        <w:lang w:val="en-US"/>
                      </w:rPr>
                      <m:t>Cash flow from operating activities (CFO)</m:t>
                    </m:r>
                  </m:num>
                  <m:den>
                    <m:r>
                      <m:rPr>
                        <m:sty m:val="p"/>
                      </m:rPr>
                      <w:rPr>
                        <w:rFonts w:ascii="Cambria Math" w:hAnsi="Cambria Math"/>
                        <w:color w:val="auto"/>
                        <w:sz w:val="22"/>
                        <w:szCs w:val="28"/>
                        <w:lang w:val="en-US"/>
                      </w:rPr>
                      <m:t>Total debt</m:t>
                    </m:r>
                  </m:den>
                </m:f>
              </m:oMath>
            </m:oMathPara>
          </w:p>
        </w:tc>
        <w:tc>
          <w:tcPr>
            <w:tcW w:w="3592" w:type="dxa"/>
            <w:shd w:val="clear" w:color="auto" w:fill="auto"/>
            <w:tcMar>
              <w:top w:w="105" w:type="dxa"/>
              <w:left w:w="105" w:type="dxa"/>
              <w:bottom w:w="105" w:type="dxa"/>
              <w:right w:w="105" w:type="dxa"/>
            </w:tcMar>
            <w:hideMark/>
          </w:tcPr>
          <w:p w14:paraId="19496AFC" w14:textId="77777777" w:rsidR="002D4F17" w:rsidRPr="002D4F17" w:rsidRDefault="0063143B" w:rsidP="0063143B">
            <w:pPr>
              <w:spacing w:line="240" w:lineRule="atLeast"/>
              <w:rPr>
                <w:color w:val="auto"/>
                <w:szCs w:val="28"/>
                <w:lang w:val="en-US"/>
              </w:rPr>
            </w:pPr>
            <w:r w:rsidRPr="006A75C8">
              <w:rPr>
                <w:color w:val="auto"/>
                <w:szCs w:val="28"/>
                <w:lang w:val="en-US"/>
              </w:rPr>
              <w:t>It measures f</w:t>
            </w:r>
            <w:r w:rsidR="002D4F17" w:rsidRPr="002D4F17">
              <w:rPr>
                <w:color w:val="auto"/>
                <w:szCs w:val="28"/>
                <w:lang w:val="en-US"/>
              </w:rPr>
              <w:t>inancial risk and financial leverage</w:t>
            </w:r>
          </w:p>
        </w:tc>
      </w:tr>
      <w:tr w:rsidR="00573A05" w:rsidRPr="006A75C8" w14:paraId="74762233" w14:textId="77777777" w:rsidTr="00D44ABD">
        <w:tc>
          <w:tcPr>
            <w:tcW w:w="1623" w:type="dxa"/>
            <w:shd w:val="clear" w:color="auto" w:fill="auto"/>
            <w:tcMar>
              <w:top w:w="105" w:type="dxa"/>
              <w:left w:w="105" w:type="dxa"/>
              <w:bottom w:w="105" w:type="dxa"/>
              <w:right w:w="105" w:type="dxa"/>
            </w:tcMar>
            <w:hideMark/>
          </w:tcPr>
          <w:p w14:paraId="1F26CA84" w14:textId="77777777" w:rsidR="002D4F17" w:rsidRPr="002D4F17" w:rsidRDefault="002D4F17" w:rsidP="00573A05">
            <w:pPr>
              <w:spacing w:line="240" w:lineRule="atLeast"/>
              <w:rPr>
                <w:color w:val="auto"/>
                <w:szCs w:val="28"/>
                <w:lang w:val="en-US"/>
              </w:rPr>
            </w:pPr>
            <w:r w:rsidRPr="002D4F17">
              <w:rPr>
                <w:color w:val="auto"/>
                <w:szCs w:val="28"/>
                <w:lang w:val="en-US"/>
              </w:rPr>
              <w:t>Interest coverage</w:t>
            </w:r>
          </w:p>
        </w:tc>
        <w:tc>
          <w:tcPr>
            <w:tcW w:w="4394" w:type="dxa"/>
            <w:shd w:val="clear" w:color="auto" w:fill="auto"/>
            <w:tcMar>
              <w:top w:w="105" w:type="dxa"/>
              <w:left w:w="105" w:type="dxa"/>
              <w:bottom w:w="105" w:type="dxa"/>
              <w:right w:w="105" w:type="dxa"/>
            </w:tcMar>
            <w:hideMark/>
          </w:tcPr>
          <w:p w14:paraId="2E33FF09" w14:textId="77777777" w:rsidR="002D4F17" w:rsidRPr="00D44ABD" w:rsidRDefault="00000000" w:rsidP="00573A05">
            <w:pPr>
              <w:spacing w:line="240" w:lineRule="atLeast"/>
              <w:rPr>
                <w:color w:val="auto"/>
                <w:sz w:val="22"/>
                <w:szCs w:val="28"/>
                <w:lang w:val="en-US"/>
              </w:rPr>
            </w:pPr>
            <m:oMathPara>
              <m:oMath>
                <m:f>
                  <m:fPr>
                    <m:ctrlPr>
                      <w:rPr>
                        <w:rFonts w:ascii="Cambria Math" w:hAnsi="Cambria Math"/>
                        <w:color w:val="auto"/>
                        <w:sz w:val="22"/>
                        <w:szCs w:val="28"/>
                        <w:lang w:val="en-US"/>
                      </w:rPr>
                    </m:ctrlPr>
                  </m:fPr>
                  <m:num>
                    <m:eqArr>
                      <m:eqArrPr>
                        <m:ctrlPr>
                          <w:rPr>
                            <w:rFonts w:ascii="Cambria Math" w:hAnsi="Cambria Math"/>
                            <w:color w:val="auto"/>
                            <w:sz w:val="22"/>
                            <w:szCs w:val="28"/>
                            <w:lang w:val="en-US"/>
                          </w:rPr>
                        </m:ctrlPr>
                      </m:eqArrPr>
                      <m:e>
                        <m:r>
                          <m:rPr>
                            <m:sty m:val="p"/>
                          </m:rPr>
                          <w:rPr>
                            <w:rFonts w:ascii="Cambria Math" w:hAnsi="Cambria Math"/>
                            <w:color w:val="auto"/>
                            <w:sz w:val="22"/>
                            <w:szCs w:val="28"/>
                            <w:lang w:val="en-US"/>
                          </w:rPr>
                          <m:t xml:space="preserve">Cash flow from operating activities </m:t>
                        </m:r>
                        <m:d>
                          <m:dPr>
                            <m:ctrlPr>
                              <w:rPr>
                                <w:rFonts w:ascii="Cambria Math" w:hAnsi="Cambria Math"/>
                                <w:color w:val="auto"/>
                                <w:sz w:val="22"/>
                                <w:szCs w:val="28"/>
                                <w:lang w:val="en-US"/>
                              </w:rPr>
                            </m:ctrlPr>
                          </m:dPr>
                          <m:e>
                            <m:r>
                              <m:rPr>
                                <m:sty m:val="p"/>
                              </m:rPr>
                              <w:rPr>
                                <w:rFonts w:ascii="Cambria Math" w:hAnsi="Cambria Math"/>
                                <w:color w:val="auto"/>
                                <w:sz w:val="22"/>
                                <w:szCs w:val="28"/>
                                <w:lang w:val="en-US"/>
                              </w:rPr>
                              <m:t>CFO</m:t>
                            </m:r>
                          </m:e>
                        </m:d>
                        <m:r>
                          <m:rPr>
                            <m:sty m:val="p"/>
                          </m:rPr>
                          <w:rPr>
                            <w:rFonts w:ascii="Cambria Math" w:hAnsi="Cambria Math"/>
                            <w:color w:val="auto"/>
                            <w:sz w:val="22"/>
                            <w:szCs w:val="28"/>
                            <w:lang w:val="en-US"/>
                          </w:rPr>
                          <m:t xml:space="preserve">+ </m:t>
                        </m:r>
                      </m:e>
                      <m:e>
                        <m:r>
                          <m:rPr>
                            <m:sty m:val="p"/>
                          </m:rPr>
                          <w:rPr>
                            <w:rFonts w:ascii="Cambria Math" w:hAnsi="Cambria Math"/>
                            <w:color w:val="auto"/>
                            <w:sz w:val="22"/>
                            <w:szCs w:val="28"/>
                            <w:lang w:val="en-US"/>
                          </w:rPr>
                          <m:t xml:space="preserve">Interest paid+Taxes paid </m:t>
                        </m:r>
                      </m:e>
                    </m:eqArr>
                  </m:num>
                  <m:den>
                    <m:r>
                      <m:rPr>
                        <m:sty m:val="p"/>
                      </m:rPr>
                      <w:rPr>
                        <w:rFonts w:ascii="Cambria Math" w:hAnsi="Cambria Math"/>
                        <w:color w:val="auto"/>
                        <w:sz w:val="22"/>
                        <w:szCs w:val="28"/>
                        <w:lang w:val="en-US"/>
                      </w:rPr>
                      <m:t>Interest paid</m:t>
                    </m:r>
                  </m:den>
                </m:f>
              </m:oMath>
            </m:oMathPara>
          </w:p>
        </w:tc>
        <w:tc>
          <w:tcPr>
            <w:tcW w:w="3592" w:type="dxa"/>
            <w:shd w:val="clear" w:color="auto" w:fill="auto"/>
            <w:tcMar>
              <w:top w:w="105" w:type="dxa"/>
              <w:left w:w="105" w:type="dxa"/>
              <w:bottom w:w="105" w:type="dxa"/>
              <w:right w:w="105" w:type="dxa"/>
            </w:tcMar>
            <w:hideMark/>
          </w:tcPr>
          <w:p w14:paraId="1BCBCCA2" w14:textId="77777777" w:rsidR="002D4F17" w:rsidRPr="002D4F17" w:rsidRDefault="0063143B" w:rsidP="0063143B">
            <w:pPr>
              <w:spacing w:line="240" w:lineRule="atLeast"/>
              <w:rPr>
                <w:color w:val="auto"/>
                <w:szCs w:val="28"/>
                <w:lang w:val="en-US"/>
              </w:rPr>
            </w:pPr>
            <w:r w:rsidRPr="006A75C8">
              <w:rPr>
                <w:color w:val="auto"/>
                <w:szCs w:val="28"/>
                <w:lang w:val="en-US"/>
              </w:rPr>
              <w:t>It measures company’s a</w:t>
            </w:r>
            <w:r w:rsidR="002D4F17" w:rsidRPr="002D4F17">
              <w:rPr>
                <w:color w:val="auto"/>
                <w:szCs w:val="28"/>
                <w:lang w:val="en-US"/>
              </w:rPr>
              <w:t>bility to meet interest obligations</w:t>
            </w:r>
          </w:p>
        </w:tc>
      </w:tr>
      <w:tr w:rsidR="00573A05" w:rsidRPr="006A75C8" w14:paraId="6FAD582F" w14:textId="77777777" w:rsidTr="00D44ABD">
        <w:tc>
          <w:tcPr>
            <w:tcW w:w="1623" w:type="dxa"/>
            <w:shd w:val="clear" w:color="auto" w:fill="auto"/>
            <w:tcMar>
              <w:top w:w="105" w:type="dxa"/>
              <w:left w:w="105" w:type="dxa"/>
              <w:bottom w:w="105" w:type="dxa"/>
              <w:right w:w="105" w:type="dxa"/>
            </w:tcMar>
            <w:hideMark/>
          </w:tcPr>
          <w:p w14:paraId="730B01B0" w14:textId="77777777" w:rsidR="002D4F17" w:rsidRPr="002D4F17" w:rsidRDefault="002D4F17" w:rsidP="00573A05">
            <w:pPr>
              <w:spacing w:line="240" w:lineRule="atLeast"/>
              <w:rPr>
                <w:color w:val="auto"/>
                <w:szCs w:val="28"/>
                <w:lang w:val="en-US"/>
              </w:rPr>
            </w:pPr>
            <w:r w:rsidRPr="002D4F17">
              <w:rPr>
                <w:color w:val="auto"/>
                <w:szCs w:val="28"/>
                <w:lang w:val="en-US"/>
              </w:rPr>
              <w:t>Reinvestment</w:t>
            </w:r>
          </w:p>
        </w:tc>
        <w:tc>
          <w:tcPr>
            <w:tcW w:w="4394" w:type="dxa"/>
            <w:shd w:val="clear" w:color="auto" w:fill="auto"/>
            <w:tcMar>
              <w:top w:w="105" w:type="dxa"/>
              <w:left w:w="105" w:type="dxa"/>
              <w:bottom w:w="105" w:type="dxa"/>
              <w:right w:w="105" w:type="dxa"/>
            </w:tcMar>
            <w:hideMark/>
          </w:tcPr>
          <w:p w14:paraId="084CA877" w14:textId="77777777" w:rsidR="002D4F17" w:rsidRPr="00D44ABD" w:rsidRDefault="00000000" w:rsidP="00573A05">
            <w:pPr>
              <w:spacing w:line="240" w:lineRule="atLeast"/>
              <w:rPr>
                <w:color w:val="auto"/>
                <w:sz w:val="22"/>
                <w:szCs w:val="28"/>
                <w:lang w:val="en-US"/>
              </w:rPr>
            </w:pPr>
            <m:oMathPara>
              <m:oMath>
                <m:f>
                  <m:fPr>
                    <m:ctrlPr>
                      <w:rPr>
                        <w:rFonts w:ascii="Cambria Math" w:hAnsi="Cambria Math"/>
                        <w:color w:val="auto"/>
                        <w:sz w:val="22"/>
                        <w:szCs w:val="28"/>
                        <w:lang w:val="en-US"/>
                      </w:rPr>
                    </m:ctrlPr>
                  </m:fPr>
                  <m:num>
                    <m:r>
                      <m:rPr>
                        <m:sty m:val="p"/>
                      </m:rPr>
                      <w:rPr>
                        <w:rFonts w:ascii="Cambria Math" w:hAnsi="Cambria Math"/>
                        <w:color w:val="auto"/>
                        <w:sz w:val="22"/>
                        <w:szCs w:val="28"/>
                        <w:lang w:val="en-US"/>
                      </w:rPr>
                      <m:t>Cash flow from operating activities (CFO)</m:t>
                    </m:r>
                  </m:num>
                  <m:den>
                    <m:r>
                      <m:rPr>
                        <m:sty m:val="p"/>
                      </m:rPr>
                      <w:rPr>
                        <w:rFonts w:ascii="Cambria Math" w:hAnsi="Cambria Math"/>
                        <w:color w:val="auto"/>
                        <w:sz w:val="22"/>
                        <w:szCs w:val="28"/>
                        <w:lang w:val="en-US"/>
                      </w:rPr>
                      <m:t xml:space="preserve">Cash paid for long term assets </m:t>
                    </m:r>
                  </m:den>
                </m:f>
              </m:oMath>
            </m:oMathPara>
          </w:p>
        </w:tc>
        <w:tc>
          <w:tcPr>
            <w:tcW w:w="3592" w:type="dxa"/>
            <w:shd w:val="clear" w:color="auto" w:fill="auto"/>
            <w:tcMar>
              <w:top w:w="105" w:type="dxa"/>
              <w:left w:w="105" w:type="dxa"/>
              <w:bottom w:w="105" w:type="dxa"/>
              <w:right w:w="105" w:type="dxa"/>
            </w:tcMar>
            <w:hideMark/>
          </w:tcPr>
          <w:p w14:paraId="7FE78384" w14:textId="77777777" w:rsidR="002D4F17" w:rsidRPr="002D4F17" w:rsidRDefault="0063143B" w:rsidP="00573A05">
            <w:pPr>
              <w:spacing w:line="240" w:lineRule="atLeast"/>
              <w:rPr>
                <w:color w:val="auto"/>
                <w:szCs w:val="28"/>
                <w:lang w:val="en-US"/>
              </w:rPr>
            </w:pPr>
            <w:r w:rsidRPr="006A75C8">
              <w:rPr>
                <w:color w:val="auto"/>
                <w:szCs w:val="28"/>
                <w:lang w:val="en-US"/>
              </w:rPr>
              <w:t xml:space="preserve">It measures company’s ability </w:t>
            </w:r>
            <w:r w:rsidR="002D4F17" w:rsidRPr="002D4F17">
              <w:rPr>
                <w:color w:val="auto"/>
                <w:szCs w:val="28"/>
                <w:lang w:val="en-US"/>
              </w:rPr>
              <w:t>to acquire assets with operating cash flows</w:t>
            </w:r>
          </w:p>
        </w:tc>
      </w:tr>
      <w:tr w:rsidR="00573A05" w:rsidRPr="006A75C8" w14:paraId="4D0042ED" w14:textId="77777777" w:rsidTr="00D44ABD">
        <w:tc>
          <w:tcPr>
            <w:tcW w:w="1623" w:type="dxa"/>
            <w:shd w:val="clear" w:color="auto" w:fill="auto"/>
            <w:tcMar>
              <w:top w:w="105" w:type="dxa"/>
              <w:left w:w="105" w:type="dxa"/>
              <w:bottom w:w="105" w:type="dxa"/>
              <w:right w:w="105" w:type="dxa"/>
            </w:tcMar>
            <w:hideMark/>
          </w:tcPr>
          <w:p w14:paraId="681CFF3A" w14:textId="77777777" w:rsidR="002D4F17" w:rsidRPr="002D4F17" w:rsidRDefault="002D4F17" w:rsidP="00573A05">
            <w:pPr>
              <w:spacing w:line="240" w:lineRule="atLeast"/>
              <w:rPr>
                <w:color w:val="auto"/>
                <w:szCs w:val="28"/>
                <w:lang w:val="en-US"/>
              </w:rPr>
            </w:pPr>
            <w:r w:rsidRPr="002D4F17">
              <w:rPr>
                <w:color w:val="auto"/>
                <w:szCs w:val="28"/>
                <w:lang w:val="en-US"/>
              </w:rPr>
              <w:t>Debt payment</w:t>
            </w:r>
          </w:p>
        </w:tc>
        <w:tc>
          <w:tcPr>
            <w:tcW w:w="4394" w:type="dxa"/>
            <w:shd w:val="clear" w:color="auto" w:fill="auto"/>
            <w:tcMar>
              <w:top w:w="105" w:type="dxa"/>
              <w:left w:w="105" w:type="dxa"/>
              <w:bottom w:w="105" w:type="dxa"/>
              <w:right w:w="105" w:type="dxa"/>
            </w:tcMar>
            <w:hideMark/>
          </w:tcPr>
          <w:p w14:paraId="3B785386" w14:textId="77777777" w:rsidR="002D4F17" w:rsidRPr="00D44ABD" w:rsidRDefault="00000000" w:rsidP="00573A05">
            <w:pPr>
              <w:spacing w:line="240" w:lineRule="atLeast"/>
              <w:rPr>
                <w:color w:val="auto"/>
                <w:sz w:val="22"/>
                <w:szCs w:val="28"/>
                <w:lang w:val="en-US"/>
              </w:rPr>
            </w:pPr>
            <m:oMathPara>
              <m:oMath>
                <m:f>
                  <m:fPr>
                    <m:ctrlPr>
                      <w:rPr>
                        <w:rFonts w:ascii="Cambria Math" w:hAnsi="Cambria Math"/>
                        <w:color w:val="auto"/>
                        <w:sz w:val="22"/>
                        <w:szCs w:val="28"/>
                        <w:lang w:val="en-US"/>
                      </w:rPr>
                    </m:ctrlPr>
                  </m:fPr>
                  <m:num>
                    <m:r>
                      <m:rPr>
                        <m:sty m:val="p"/>
                      </m:rPr>
                      <w:rPr>
                        <w:rFonts w:ascii="Cambria Math" w:hAnsi="Cambria Math"/>
                        <w:color w:val="auto"/>
                        <w:sz w:val="22"/>
                        <w:szCs w:val="28"/>
                        <w:lang w:val="en-US"/>
                      </w:rPr>
                      <m:t>Cash flow from operating activities (CFO)</m:t>
                    </m:r>
                  </m:num>
                  <m:den>
                    <m:r>
                      <m:rPr>
                        <m:sty m:val="p"/>
                      </m:rPr>
                      <w:rPr>
                        <w:rFonts w:ascii="Cambria Math" w:hAnsi="Cambria Math"/>
                        <w:color w:val="auto"/>
                        <w:sz w:val="22"/>
                        <w:szCs w:val="28"/>
                        <w:lang w:val="en-US"/>
                      </w:rPr>
                      <m:t>Cash paid for long term debt repayment</m:t>
                    </m:r>
                  </m:den>
                </m:f>
              </m:oMath>
            </m:oMathPara>
          </w:p>
        </w:tc>
        <w:tc>
          <w:tcPr>
            <w:tcW w:w="3592" w:type="dxa"/>
            <w:shd w:val="clear" w:color="auto" w:fill="auto"/>
            <w:tcMar>
              <w:top w:w="105" w:type="dxa"/>
              <w:left w:w="105" w:type="dxa"/>
              <w:bottom w:w="105" w:type="dxa"/>
              <w:right w:w="105" w:type="dxa"/>
            </w:tcMar>
            <w:hideMark/>
          </w:tcPr>
          <w:p w14:paraId="12291466" w14:textId="77777777" w:rsidR="002D4F17" w:rsidRPr="002D4F17" w:rsidRDefault="0063143B" w:rsidP="00573A05">
            <w:pPr>
              <w:spacing w:line="240" w:lineRule="atLeast"/>
              <w:rPr>
                <w:color w:val="auto"/>
                <w:szCs w:val="28"/>
                <w:lang w:val="en-US"/>
              </w:rPr>
            </w:pPr>
            <w:r w:rsidRPr="006A75C8">
              <w:rPr>
                <w:color w:val="auto"/>
                <w:szCs w:val="28"/>
                <w:lang w:val="en-US"/>
              </w:rPr>
              <w:t>It measures company’s ability</w:t>
            </w:r>
            <w:r w:rsidR="002D4F17" w:rsidRPr="002D4F17">
              <w:rPr>
                <w:color w:val="auto"/>
                <w:szCs w:val="28"/>
                <w:lang w:val="en-US"/>
              </w:rPr>
              <w:t xml:space="preserve"> to pay debts with operating cash flows</w:t>
            </w:r>
          </w:p>
        </w:tc>
      </w:tr>
      <w:tr w:rsidR="00573A05" w:rsidRPr="006A75C8" w14:paraId="009AA18B" w14:textId="77777777" w:rsidTr="00D44ABD">
        <w:tc>
          <w:tcPr>
            <w:tcW w:w="1623" w:type="dxa"/>
            <w:shd w:val="clear" w:color="auto" w:fill="auto"/>
            <w:tcMar>
              <w:top w:w="105" w:type="dxa"/>
              <w:left w:w="105" w:type="dxa"/>
              <w:bottom w:w="105" w:type="dxa"/>
              <w:right w:w="105" w:type="dxa"/>
            </w:tcMar>
            <w:hideMark/>
          </w:tcPr>
          <w:p w14:paraId="1E146EF1" w14:textId="77777777" w:rsidR="002D4F17" w:rsidRPr="002D4F17" w:rsidRDefault="002D4F17" w:rsidP="00573A05">
            <w:pPr>
              <w:spacing w:line="240" w:lineRule="atLeast"/>
              <w:rPr>
                <w:color w:val="auto"/>
                <w:szCs w:val="28"/>
                <w:lang w:val="en-US"/>
              </w:rPr>
            </w:pPr>
            <w:r w:rsidRPr="002D4F17">
              <w:rPr>
                <w:color w:val="auto"/>
                <w:szCs w:val="28"/>
                <w:lang w:val="en-US"/>
              </w:rPr>
              <w:t>Dividend payment</w:t>
            </w:r>
          </w:p>
        </w:tc>
        <w:tc>
          <w:tcPr>
            <w:tcW w:w="4394" w:type="dxa"/>
            <w:shd w:val="clear" w:color="auto" w:fill="auto"/>
            <w:tcMar>
              <w:top w:w="105" w:type="dxa"/>
              <w:left w:w="105" w:type="dxa"/>
              <w:bottom w:w="105" w:type="dxa"/>
              <w:right w:w="105" w:type="dxa"/>
            </w:tcMar>
            <w:hideMark/>
          </w:tcPr>
          <w:p w14:paraId="10F0DC29" w14:textId="77777777" w:rsidR="002D4F17" w:rsidRPr="00D44ABD" w:rsidRDefault="00000000" w:rsidP="0063143B">
            <w:pPr>
              <w:spacing w:line="240" w:lineRule="atLeast"/>
              <w:rPr>
                <w:color w:val="auto"/>
                <w:sz w:val="22"/>
                <w:szCs w:val="28"/>
                <w:lang w:val="en-US"/>
              </w:rPr>
            </w:pPr>
            <m:oMathPara>
              <m:oMath>
                <m:f>
                  <m:fPr>
                    <m:ctrlPr>
                      <w:rPr>
                        <w:rFonts w:ascii="Cambria Math" w:hAnsi="Cambria Math"/>
                        <w:color w:val="auto"/>
                        <w:sz w:val="22"/>
                        <w:szCs w:val="28"/>
                        <w:lang w:val="en-US"/>
                      </w:rPr>
                    </m:ctrlPr>
                  </m:fPr>
                  <m:num>
                    <m:r>
                      <m:rPr>
                        <m:sty m:val="p"/>
                      </m:rPr>
                      <w:rPr>
                        <w:rFonts w:ascii="Cambria Math" w:hAnsi="Cambria Math"/>
                        <w:color w:val="auto"/>
                        <w:sz w:val="22"/>
                        <w:szCs w:val="28"/>
                        <w:lang w:val="en-US"/>
                      </w:rPr>
                      <m:t>Cash flow from operating activities (CFO)</m:t>
                    </m:r>
                  </m:num>
                  <m:den>
                    <m:r>
                      <m:rPr>
                        <m:sty m:val="p"/>
                      </m:rPr>
                      <w:rPr>
                        <w:rFonts w:ascii="Cambria Math" w:hAnsi="Cambria Math"/>
                        <w:color w:val="auto"/>
                        <w:sz w:val="22"/>
                        <w:szCs w:val="28"/>
                        <w:lang w:val="en-US"/>
                      </w:rPr>
                      <m:t>Dividends paid</m:t>
                    </m:r>
                  </m:den>
                </m:f>
              </m:oMath>
            </m:oMathPara>
          </w:p>
        </w:tc>
        <w:tc>
          <w:tcPr>
            <w:tcW w:w="3592" w:type="dxa"/>
            <w:shd w:val="clear" w:color="auto" w:fill="auto"/>
            <w:tcMar>
              <w:top w:w="105" w:type="dxa"/>
              <w:left w:w="105" w:type="dxa"/>
              <w:bottom w:w="105" w:type="dxa"/>
              <w:right w:w="105" w:type="dxa"/>
            </w:tcMar>
            <w:hideMark/>
          </w:tcPr>
          <w:p w14:paraId="033AC4C0" w14:textId="77777777" w:rsidR="002D4F17" w:rsidRPr="002D4F17" w:rsidRDefault="0063143B" w:rsidP="00573A05">
            <w:pPr>
              <w:spacing w:line="240" w:lineRule="atLeast"/>
              <w:rPr>
                <w:color w:val="auto"/>
                <w:szCs w:val="28"/>
                <w:lang w:val="en-US"/>
              </w:rPr>
            </w:pPr>
            <w:r w:rsidRPr="006A75C8">
              <w:rPr>
                <w:color w:val="auto"/>
                <w:szCs w:val="28"/>
                <w:lang w:val="en-US"/>
              </w:rPr>
              <w:t>It measures company’s ability</w:t>
            </w:r>
            <w:r w:rsidR="002D4F17" w:rsidRPr="002D4F17">
              <w:rPr>
                <w:color w:val="auto"/>
                <w:szCs w:val="28"/>
                <w:lang w:val="en-US"/>
              </w:rPr>
              <w:t xml:space="preserve"> to pay dividends with operating cash flows</w:t>
            </w:r>
          </w:p>
        </w:tc>
      </w:tr>
      <w:tr w:rsidR="00573A05" w:rsidRPr="006A75C8" w14:paraId="3A5F131D" w14:textId="77777777" w:rsidTr="00D44ABD">
        <w:tc>
          <w:tcPr>
            <w:tcW w:w="1623" w:type="dxa"/>
            <w:shd w:val="clear" w:color="auto" w:fill="auto"/>
            <w:tcMar>
              <w:top w:w="105" w:type="dxa"/>
              <w:left w:w="105" w:type="dxa"/>
              <w:bottom w:w="105" w:type="dxa"/>
              <w:right w:w="105" w:type="dxa"/>
            </w:tcMar>
            <w:hideMark/>
          </w:tcPr>
          <w:p w14:paraId="4733EFEB" w14:textId="77777777" w:rsidR="002D4F17" w:rsidRPr="002D4F17" w:rsidRDefault="002D4F17" w:rsidP="00573A05">
            <w:pPr>
              <w:spacing w:line="240" w:lineRule="atLeast"/>
              <w:rPr>
                <w:color w:val="auto"/>
                <w:szCs w:val="28"/>
                <w:lang w:val="en-US"/>
              </w:rPr>
            </w:pPr>
            <w:r w:rsidRPr="002D4F17">
              <w:rPr>
                <w:color w:val="auto"/>
                <w:szCs w:val="28"/>
                <w:lang w:val="en-US"/>
              </w:rPr>
              <w:t>Investing and financing</w:t>
            </w:r>
          </w:p>
        </w:tc>
        <w:tc>
          <w:tcPr>
            <w:tcW w:w="4394" w:type="dxa"/>
            <w:shd w:val="clear" w:color="auto" w:fill="auto"/>
            <w:tcMar>
              <w:top w:w="105" w:type="dxa"/>
              <w:left w:w="105" w:type="dxa"/>
              <w:bottom w:w="105" w:type="dxa"/>
              <w:right w:w="105" w:type="dxa"/>
            </w:tcMar>
            <w:hideMark/>
          </w:tcPr>
          <w:p w14:paraId="2E87F178" w14:textId="77777777" w:rsidR="002D4F17" w:rsidRPr="00D44ABD" w:rsidRDefault="00000000" w:rsidP="0063143B">
            <w:pPr>
              <w:spacing w:line="240" w:lineRule="atLeast"/>
              <w:rPr>
                <w:color w:val="auto"/>
                <w:sz w:val="22"/>
                <w:szCs w:val="28"/>
                <w:lang w:val="en-US"/>
              </w:rPr>
            </w:pPr>
            <m:oMathPara>
              <m:oMath>
                <m:f>
                  <m:fPr>
                    <m:ctrlPr>
                      <w:rPr>
                        <w:rFonts w:ascii="Cambria Math" w:hAnsi="Cambria Math"/>
                        <w:color w:val="auto"/>
                        <w:sz w:val="22"/>
                        <w:szCs w:val="28"/>
                        <w:lang w:val="en-US"/>
                      </w:rPr>
                    </m:ctrlPr>
                  </m:fPr>
                  <m:num>
                    <m:r>
                      <m:rPr>
                        <m:sty m:val="p"/>
                      </m:rPr>
                      <w:rPr>
                        <w:rFonts w:ascii="Cambria Math" w:hAnsi="Cambria Math"/>
                        <w:color w:val="auto"/>
                        <w:sz w:val="22"/>
                        <w:szCs w:val="28"/>
                        <w:lang w:val="en-US"/>
                      </w:rPr>
                      <m:t>Cash flow from operating activities (CFO)</m:t>
                    </m:r>
                  </m:num>
                  <m:den>
                    <m:eqArr>
                      <m:eqArrPr>
                        <m:ctrlPr>
                          <w:rPr>
                            <w:rFonts w:ascii="Cambria Math" w:hAnsi="Cambria Math"/>
                            <w:color w:val="auto"/>
                            <w:sz w:val="22"/>
                            <w:szCs w:val="28"/>
                            <w:lang w:val="en-US"/>
                          </w:rPr>
                        </m:ctrlPr>
                      </m:eqArrPr>
                      <m:e>
                        <m:r>
                          <m:rPr>
                            <m:sty m:val="p"/>
                          </m:rPr>
                          <w:rPr>
                            <w:rFonts w:ascii="Cambria Math" w:hAnsi="Cambria Math"/>
                            <w:color w:val="auto"/>
                            <w:sz w:val="22"/>
                            <w:szCs w:val="28"/>
                            <w:lang w:val="en-US"/>
                          </w:rPr>
                          <m:t xml:space="preserve">Cash outflows for investing and </m:t>
                        </m:r>
                      </m:e>
                      <m:e>
                        <m:r>
                          <m:rPr>
                            <m:sty m:val="p"/>
                          </m:rPr>
                          <w:rPr>
                            <w:rFonts w:ascii="Cambria Math" w:hAnsi="Cambria Math"/>
                            <w:color w:val="auto"/>
                            <w:sz w:val="22"/>
                            <w:szCs w:val="28"/>
                            <w:lang w:val="en-US"/>
                          </w:rPr>
                          <m:t>financing activities</m:t>
                        </m:r>
                      </m:e>
                    </m:eqArr>
                  </m:den>
                </m:f>
              </m:oMath>
            </m:oMathPara>
          </w:p>
        </w:tc>
        <w:tc>
          <w:tcPr>
            <w:tcW w:w="3592" w:type="dxa"/>
            <w:shd w:val="clear" w:color="auto" w:fill="auto"/>
            <w:tcMar>
              <w:top w:w="105" w:type="dxa"/>
              <w:left w:w="105" w:type="dxa"/>
              <w:bottom w:w="105" w:type="dxa"/>
              <w:right w:w="105" w:type="dxa"/>
            </w:tcMar>
            <w:hideMark/>
          </w:tcPr>
          <w:p w14:paraId="30474CEE" w14:textId="77777777" w:rsidR="002D4F17" w:rsidRPr="002D4F17" w:rsidRDefault="0063143B" w:rsidP="00573A05">
            <w:pPr>
              <w:spacing w:line="240" w:lineRule="atLeast"/>
              <w:rPr>
                <w:color w:val="auto"/>
                <w:szCs w:val="28"/>
                <w:lang w:val="en-US"/>
              </w:rPr>
            </w:pPr>
            <w:r w:rsidRPr="006A75C8">
              <w:rPr>
                <w:color w:val="auto"/>
                <w:szCs w:val="28"/>
                <w:lang w:val="en-US"/>
              </w:rPr>
              <w:t xml:space="preserve">It measures company’s ability </w:t>
            </w:r>
            <w:r w:rsidR="002D4F17" w:rsidRPr="002D4F17">
              <w:rPr>
                <w:color w:val="auto"/>
                <w:szCs w:val="28"/>
                <w:lang w:val="en-US"/>
              </w:rPr>
              <w:t>to acquire assets, pay debts, and make distributions to owners</w:t>
            </w:r>
          </w:p>
        </w:tc>
      </w:tr>
      <w:tr w:rsidR="00CC28A6" w:rsidRPr="006A75C8" w14:paraId="2F67F593" w14:textId="77777777" w:rsidTr="008C107D">
        <w:tblPrEx>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PrEx>
        <w:tc>
          <w:tcPr>
            <w:tcW w:w="9609" w:type="dxa"/>
            <w:gridSpan w:val="3"/>
            <w:shd w:val="clear" w:color="auto" w:fill="D9D9D9" w:themeFill="background1" w:themeFillShade="D9"/>
            <w:tcMar>
              <w:top w:w="105" w:type="dxa"/>
              <w:left w:w="105" w:type="dxa"/>
              <w:bottom w:w="105" w:type="dxa"/>
              <w:right w:w="105" w:type="dxa"/>
            </w:tcMar>
          </w:tcPr>
          <w:p w14:paraId="6C6D1267" w14:textId="77777777" w:rsidR="00210D5C" w:rsidRPr="00D44ABD" w:rsidRDefault="00CC28A6" w:rsidP="00D44ABD">
            <w:pPr>
              <w:spacing w:line="240" w:lineRule="atLeast"/>
              <w:ind w:left="180" w:hanging="180"/>
              <w:jc w:val="center"/>
              <w:rPr>
                <w:rFonts w:cs="Arial Unicode MS"/>
                <w:b/>
                <w:color w:val="auto"/>
                <w:sz w:val="22"/>
                <w:szCs w:val="28"/>
                <w:lang w:val="en-US"/>
              </w:rPr>
            </w:pPr>
            <w:r w:rsidRPr="00D44ABD">
              <w:rPr>
                <w:rFonts w:cs="Arial Unicode MS"/>
                <w:b/>
                <w:color w:val="auto"/>
                <w:szCs w:val="28"/>
                <w:lang w:val="en-US"/>
              </w:rPr>
              <w:t>Cash flow performance ratios</w:t>
            </w:r>
          </w:p>
        </w:tc>
      </w:tr>
      <w:tr w:rsidR="002D4F17" w:rsidRPr="006A75C8" w14:paraId="3264F4C9" w14:textId="77777777" w:rsidTr="00D44ABD">
        <w:tblPrEx>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PrEx>
        <w:tc>
          <w:tcPr>
            <w:tcW w:w="1623" w:type="dxa"/>
            <w:shd w:val="clear" w:color="auto" w:fill="auto"/>
            <w:tcMar>
              <w:top w:w="105" w:type="dxa"/>
              <w:left w:w="105" w:type="dxa"/>
              <w:bottom w:w="105" w:type="dxa"/>
              <w:right w:w="105" w:type="dxa"/>
            </w:tcMar>
            <w:hideMark/>
          </w:tcPr>
          <w:p w14:paraId="4244E17E" w14:textId="77777777" w:rsidR="00210D5C" w:rsidRPr="00210D5C" w:rsidRDefault="00210D5C" w:rsidP="00210D5C">
            <w:pPr>
              <w:spacing w:line="240" w:lineRule="atLeast"/>
              <w:rPr>
                <w:color w:val="auto"/>
                <w:szCs w:val="28"/>
                <w:lang w:val="en-US"/>
              </w:rPr>
            </w:pPr>
            <w:r w:rsidRPr="00210D5C">
              <w:rPr>
                <w:color w:val="auto"/>
                <w:szCs w:val="28"/>
                <w:lang w:val="en-US"/>
              </w:rPr>
              <w:t>Cash flow to revenue</w:t>
            </w:r>
          </w:p>
        </w:tc>
        <w:tc>
          <w:tcPr>
            <w:tcW w:w="4394" w:type="dxa"/>
            <w:shd w:val="clear" w:color="auto" w:fill="auto"/>
            <w:tcMar>
              <w:top w:w="105" w:type="dxa"/>
              <w:left w:w="105" w:type="dxa"/>
              <w:bottom w:w="105" w:type="dxa"/>
              <w:right w:w="105" w:type="dxa"/>
            </w:tcMar>
            <w:hideMark/>
          </w:tcPr>
          <w:p w14:paraId="678B777D" w14:textId="77777777" w:rsidR="00210D5C" w:rsidRPr="00D44ABD" w:rsidRDefault="00000000" w:rsidP="00210D5C">
            <w:pPr>
              <w:spacing w:line="240" w:lineRule="atLeast"/>
              <w:rPr>
                <w:color w:val="auto"/>
                <w:sz w:val="22"/>
                <w:szCs w:val="28"/>
                <w:lang w:val="en-US"/>
              </w:rPr>
            </w:pPr>
            <m:oMathPara>
              <m:oMath>
                <m:f>
                  <m:fPr>
                    <m:ctrlPr>
                      <w:rPr>
                        <w:rFonts w:ascii="Cambria Math" w:hAnsi="Cambria Math"/>
                        <w:color w:val="auto"/>
                        <w:sz w:val="22"/>
                        <w:szCs w:val="28"/>
                        <w:lang w:val="en-US"/>
                      </w:rPr>
                    </m:ctrlPr>
                  </m:fPr>
                  <m:num>
                    <m:r>
                      <m:rPr>
                        <m:sty m:val="p"/>
                      </m:rPr>
                      <w:rPr>
                        <w:rFonts w:ascii="Cambria Math" w:hAnsi="Cambria Math"/>
                        <w:color w:val="auto"/>
                        <w:sz w:val="22"/>
                        <w:szCs w:val="28"/>
                        <w:lang w:val="en-US"/>
                      </w:rPr>
                      <m:t>Cash flow from operating activities (CFO)</m:t>
                    </m:r>
                  </m:num>
                  <m:den>
                    <m:r>
                      <m:rPr>
                        <m:sty m:val="p"/>
                      </m:rPr>
                      <w:rPr>
                        <w:rFonts w:ascii="Cambria Math" w:hAnsi="Cambria Math"/>
                        <w:color w:val="auto"/>
                        <w:sz w:val="22"/>
                        <w:szCs w:val="28"/>
                        <w:lang w:val="en-US"/>
                      </w:rPr>
                      <m:t>Net revenue</m:t>
                    </m:r>
                  </m:den>
                </m:f>
              </m:oMath>
            </m:oMathPara>
          </w:p>
        </w:tc>
        <w:tc>
          <w:tcPr>
            <w:tcW w:w="3592" w:type="dxa"/>
            <w:shd w:val="clear" w:color="auto" w:fill="auto"/>
            <w:tcMar>
              <w:top w:w="105" w:type="dxa"/>
              <w:left w:w="105" w:type="dxa"/>
              <w:bottom w:w="105" w:type="dxa"/>
              <w:right w:w="105" w:type="dxa"/>
            </w:tcMar>
            <w:hideMark/>
          </w:tcPr>
          <w:p w14:paraId="6C73D2A5" w14:textId="77777777" w:rsidR="00210D5C" w:rsidRPr="00210D5C" w:rsidRDefault="002D4F17" w:rsidP="00210D5C">
            <w:pPr>
              <w:spacing w:line="240" w:lineRule="atLeast"/>
              <w:rPr>
                <w:color w:val="auto"/>
                <w:szCs w:val="28"/>
                <w:lang w:val="en-US"/>
              </w:rPr>
            </w:pPr>
            <w:r w:rsidRPr="006A75C8">
              <w:rPr>
                <w:color w:val="auto"/>
                <w:szCs w:val="28"/>
                <w:lang w:val="en-US"/>
              </w:rPr>
              <w:t>It measures o</w:t>
            </w:r>
            <w:r w:rsidR="00210D5C" w:rsidRPr="00210D5C">
              <w:rPr>
                <w:color w:val="auto"/>
                <w:szCs w:val="28"/>
                <w:lang w:val="en-US"/>
              </w:rPr>
              <w:t>perating cash generated per dollar of revenue</w:t>
            </w:r>
          </w:p>
        </w:tc>
      </w:tr>
      <w:tr w:rsidR="002D4F17" w:rsidRPr="006A75C8" w14:paraId="29CB1D56" w14:textId="77777777" w:rsidTr="00D44ABD">
        <w:tblPrEx>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PrEx>
        <w:tc>
          <w:tcPr>
            <w:tcW w:w="1623" w:type="dxa"/>
            <w:shd w:val="clear" w:color="auto" w:fill="auto"/>
            <w:tcMar>
              <w:top w:w="105" w:type="dxa"/>
              <w:left w:w="105" w:type="dxa"/>
              <w:bottom w:w="105" w:type="dxa"/>
              <w:right w:w="105" w:type="dxa"/>
            </w:tcMar>
            <w:hideMark/>
          </w:tcPr>
          <w:p w14:paraId="660F8BA0" w14:textId="77777777" w:rsidR="00210D5C" w:rsidRPr="00210D5C" w:rsidRDefault="00210D5C" w:rsidP="00210D5C">
            <w:pPr>
              <w:spacing w:line="240" w:lineRule="atLeast"/>
              <w:rPr>
                <w:color w:val="auto"/>
                <w:szCs w:val="28"/>
                <w:lang w:val="en-US"/>
              </w:rPr>
            </w:pPr>
            <w:r w:rsidRPr="00210D5C">
              <w:rPr>
                <w:color w:val="auto"/>
                <w:szCs w:val="28"/>
                <w:lang w:val="en-US"/>
              </w:rPr>
              <w:t>Cash return on assets</w:t>
            </w:r>
          </w:p>
        </w:tc>
        <w:tc>
          <w:tcPr>
            <w:tcW w:w="4394" w:type="dxa"/>
            <w:shd w:val="clear" w:color="auto" w:fill="auto"/>
            <w:tcMar>
              <w:top w:w="105" w:type="dxa"/>
              <w:left w:w="105" w:type="dxa"/>
              <w:bottom w:w="105" w:type="dxa"/>
              <w:right w:w="105" w:type="dxa"/>
            </w:tcMar>
            <w:hideMark/>
          </w:tcPr>
          <w:p w14:paraId="7D6C5356" w14:textId="77777777" w:rsidR="00210D5C" w:rsidRPr="00D44ABD" w:rsidRDefault="00000000" w:rsidP="002D4F17">
            <w:pPr>
              <w:spacing w:line="240" w:lineRule="atLeast"/>
              <w:rPr>
                <w:color w:val="auto"/>
                <w:sz w:val="22"/>
                <w:szCs w:val="28"/>
                <w:lang w:val="en-US"/>
              </w:rPr>
            </w:pPr>
            <m:oMathPara>
              <m:oMath>
                <m:f>
                  <m:fPr>
                    <m:ctrlPr>
                      <w:rPr>
                        <w:rFonts w:ascii="Cambria Math" w:hAnsi="Cambria Math"/>
                        <w:color w:val="auto"/>
                        <w:sz w:val="22"/>
                        <w:szCs w:val="28"/>
                        <w:lang w:val="en-US"/>
                      </w:rPr>
                    </m:ctrlPr>
                  </m:fPr>
                  <m:num>
                    <m:r>
                      <m:rPr>
                        <m:sty m:val="p"/>
                      </m:rPr>
                      <w:rPr>
                        <w:rFonts w:ascii="Cambria Math" w:hAnsi="Cambria Math"/>
                        <w:color w:val="auto"/>
                        <w:sz w:val="22"/>
                        <w:szCs w:val="28"/>
                        <w:lang w:val="en-US"/>
                      </w:rPr>
                      <m:t>Cash flow from operating activities (CFO)</m:t>
                    </m:r>
                  </m:num>
                  <m:den>
                    <m:r>
                      <m:rPr>
                        <m:sty m:val="p"/>
                      </m:rPr>
                      <w:rPr>
                        <w:rFonts w:ascii="Cambria Math" w:hAnsi="Cambria Math"/>
                        <w:color w:val="auto"/>
                        <w:sz w:val="22"/>
                        <w:szCs w:val="28"/>
                        <w:lang w:val="en-US"/>
                      </w:rPr>
                      <m:t>Average total assets</m:t>
                    </m:r>
                  </m:den>
                </m:f>
              </m:oMath>
            </m:oMathPara>
          </w:p>
        </w:tc>
        <w:tc>
          <w:tcPr>
            <w:tcW w:w="3592" w:type="dxa"/>
            <w:shd w:val="clear" w:color="auto" w:fill="auto"/>
            <w:tcMar>
              <w:top w:w="105" w:type="dxa"/>
              <w:left w:w="105" w:type="dxa"/>
              <w:bottom w:w="105" w:type="dxa"/>
              <w:right w:w="105" w:type="dxa"/>
            </w:tcMar>
            <w:hideMark/>
          </w:tcPr>
          <w:p w14:paraId="3FC5FEC2" w14:textId="77777777" w:rsidR="00210D5C" w:rsidRPr="00210D5C" w:rsidRDefault="002D4F17" w:rsidP="00210D5C">
            <w:pPr>
              <w:spacing w:line="240" w:lineRule="atLeast"/>
              <w:rPr>
                <w:color w:val="auto"/>
                <w:szCs w:val="28"/>
                <w:lang w:val="en-US"/>
              </w:rPr>
            </w:pPr>
            <w:r w:rsidRPr="006A75C8">
              <w:rPr>
                <w:color w:val="auto"/>
                <w:szCs w:val="28"/>
                <w:lang w:val="en-US"/>
              </w:rPr>
              <w:t>It measures operating</w:t>
            </w:r>
            <w:r w:rsidR="00210D5C" w:rsidRPr="00210D5C">
              <w:rPr>
                <w:color w:val="auto"/>
                <w:szCs w:val="28"/>
                <w:lang w:val="en-US"/>
              </w:rPr>
              <w:t xml:space="preserve"> cash generated per dollar of asset investment</w:t>
            </w:r>
          </w:p>
        </w:tc>
      </w:tr>
      <w:tr w:rsidR="002D4F17" w:rsidRPr="006A75C8" w14:paraId="4B2E4A61" w14:textId="77777777" w:rsidTr="00D44ABD">
        <w:tblPrEx>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PrEx>
        <w:tc>
          <w:tcPr>
            <w:tcW w:w="1623" w:type="dxa"/>
            <w:shd w:val="clear" w:color="auto" w:fill="auto"/>
            <w:tcMar>
              <w:top w:w="105" w:type="dxa"/>
              <w:left w:w="105" w:type="dxa"/>
              <w:bottom w:w="105" w:type="dxa"/>
              <w:right w:w="105" w:type="dxa"/>
            </w:tcMar>
            <w:hideMark/>
          </w:tcPr>
          <w:p w14:paraId="7031434E" w14:textId="77777777" w:rsidR="00210D5C" w:rsidRPr="00210D5C" w:rsidRDefault="00210D5C" w:rsidP="00210D5C">
            <w:pPr>
              <w:spacing w:line="240" w:lineRule="atLeast"/>
              <w:rPr>
                <w:color w:val="auto"/>
                <w:szCs w:val="28"/>
                <w:lang w:val="en-US"/>
              </w:rPr>
            </w:pPr>
            <w:r w:rsidRPr="00210D5C">
              <w:rPr>
                <w:color w:val="auto"/>
                <w:szCs w:val="28"/>
                <w:lang w:val="en-US"/>
              </w:rPr>
              <w:t>Cash return on equity</w:t>
            </w:r>
          </w:p>
        </w:tc>
        <w:tc>
          <w:tcPr>
            <w:tcW w:w="4394" w:type="dxa"/>
            <w:shd w:val="clear" w:color="auto" w:fill="auto"/>
            <w:tcMar>
              <w:top w:w="105" w:type="dxa"/>
              <w:left w:w="105" w:type="dxa"/>
              <w:bottom w:w="105" w:type="dxa"/>
              <w:right w:w="105" w:type="dxa"/>
            </w:tcMar>
            <w:hideMark/>
          </w:tcPr>
          <w:p w14:paraId="2CF00A16" w14:textId="77777777" w:rsidR="00210D5C" w:rsidRPr="00D44ABD" w:rsidRDefault="00000000" w:rsidP="002D4F17">
            <w:pPr>
              <w:spacing w:line="240" w:lineRule="atLeast"/>
              <w:rPr>
                <w:color w:val="auto"/>
                <w:sz w:val="22"/>
                <w:szCs w:val="28"/>
                <w:lang w:val="en-US"/>
              </w:rPr>
            </w:pPr>
            <m:oMathPara>
              <m:oMath>
                <m:f>
                  <m:fPr>
                    <m:ctrlPr>
                      <w:rPr>
                        <w:rFonts w:ascii="Cambria Math" w:hAnsi="Cambria Math"/>
                        <w:color w:val="auto"/>
                        <w:sz w:val="22"/>
                        <w:szCs w:val="28"/>
                        <w:lang w:val="en-US"/>
                      </w:rPr>
                    </m:ctrlPr>
                  </m:fPr>
                  <m:num>
                    <m:r>
                      <m:rPr>
                        <m:sty m:val="p"/>
                      </m:rPr>
                      <w:rPr>
                        <w:rFonts w:ascii="Cambria Math" w:hAnsi="Cambria Math"/>
                        <w:color w:val="auto"/>
                        <w:sz w:val="22"/>
                        <w:szCs w:val="28"/>
                        <w:lang w:val="en-US"/>
                      </w:rPr>
                      <m:t>Cash flow from operating activities (CFO)</m:t>
                    </m:r>
                  </m:num>
                  <m:den>
                    <m:r>
                      <m:rPr>
                        <m:sty m:val="p"/>
                      </m:rPr>
                      <w:rPr>
                        <w:rFonts w:ascii="Cambria Math" w:hAnsi="Cambria Math"/>
                        <w:color w:val="auto"/>
                        <w:sz w:val="22"/>
                        <w:szCs w:val="28"/>
                        <w:lang w:val="en-US"/>
                      </w:rPr>
                      <m:t>Average shareholders’ equity</m:t>
                    </m:r>
                  </m:den>
                </m:f>
              </m:oMath>
            </m:oMathPara>
          </w:p>
        </w:tc>
        <w:tc>
          <w:tcPr>
            <w:tcW w:w="3592" w:type="dxa"/>
            <w:shd w:val="clear" w:color="auto" w:fill="auto"/>
            <w:tcMar>
              <w:top w:w="105" w:type="dxa"/>
              <w:left w:w="105" w:type="dxa"/>
              <w:bottom w:w="105" w:type="dxa"/>
              <w:right w:w="105" w:type="dxa"/>
            </w:tcMar>
            <w:hideMark/>
          </w:tcPr>
          <w:p w14:paraId="0FBFC67C" w14:textId="77777777" w:rsidR="00210D5C" w:rsidRPr="00210D5C" w:rsidRDefault="002D4F17" w:rsidP="00210D5C">
            <w:pPr>
              <w:spacing w:line="240" w:lineRule="atLeast"/>
              <w:rPr>
                <w:color w:val="auto"/>
                <w:szCs w:val="28"/>
                <w:lang w:val="en-US"/>
              </w:rPr>
            </w:pPr>
            <w:r w:rsidRPr="006A75C8">
              <w:rPr>
                <w:color w:val="auto"/>
                <w:szCs w:val="28"/>
                <w:lang w:val="en-US"/>
              </w:rPr>
              <w:t xml:space="preserve">It measures operating </w:t>
            </w:r>
            <w:r w:rsidR="00210D5C" w:rsidRPr="00210D5C">
              <w:rPr>
                <w:color w:val="auto"/>
                <w:szCs w:val="28"/>
                <w:lang w:val="en-US"/>
              </w:rPr>
              <w:t>cash generated per dollar of owner investment</w:t>
            </w:r>
          </w:p>
        </w:tc>
      </w:tr>
      <w:tr w:rsidR="002D4F17" w:rsidRPr="006A75C8" w14:paraId="193DACF5" w14:textId="77777777" w:rsidTr="00D44ABD">
        <w:tblPrEx>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PrEx>
        <w:tc>
          <w:tcPr>
            <w:tcW w:w="1623" w:type="dxa"/>
            <w:shd w:val="clear" w:color="auto" w:fill="auto"/>
            <w:tcMar>
              <w:top w:w="105" w:type="dxa"/>
              <w:left w:w="105" w:type="dxa"/>
              <w:bottom w:w="105" w:type="dxa"/>
              <w:right w:w="105" w:type="dxa"/>
            </w:tcMar>
            <w:hideMark/>
          </w:tcPr>
          <w:p w14:paraId="49E84214" w14:textId="77777777" w:rsidR="00210D5C" w:rsidRPr="00210D5C" w:rsidRDefault="00210D5C" w:rsidP="00210D5C">
            <w:pPr>
              <w:spacing w:line="240" w:lineRule="atLeast"/>
              <w:rPr>
                <w:color w:val="auto"/>
                <w:szCs w:val="28"/>
                <w:lang w:val="en-US"/>
              </w:rPr>
            </w:pPr>
            <w:r w:rsidRPr="00210D5C">
              <w:rPr>
                <w:color w:val="auto"/>
                <w:szCs w:val="28"/>
                <w:lang w:val="en-US"/>
              </w:rPr>
              <w:t>Cash to income</w:t>
            </w:r>
          </w:p>
        </w:tc>
        <w:tc>
          <w:tcPr>
            <w:tcW w:w="4394" w:type="dxa"/>
            <w:shd w:val="clear" w:color="auto" w:fill="auto"/>
            <w:tcMar>
              <w:top w:w="105" w:type="dxa"/>
              <w:left w:w="105" w:type="dxa"/>
              <w:bottom w:w="105" w:type="dxa"/>
              <w:right w:w="105" w:type="dxa"/>
            </w:tcMar>
            <w:hideMark/>
          </w:tcPr>
          <w:p w14:paraId="6E3BE71C" w14:textId="77777777" w:rsidR="00210D5C" w:rsidRPr="00D44ABD" w:rsidRDefault="00000000" w:rsidP="002D4F17">
            <w:pPr>
              <w:spacing w:line="240" w:lineRule="atLeast"/>
              <w:rPr>
                <w:color w:val="auto"/>
                <w:sz w:val="22"/>
                <w:szCs w:val="28"/>
                <w:lang w:val="en-US"/>
              </w:rPr>
            </w:pPr>
            <m:oMathPara>
              <m:oMath>
                <m:f>
                  <m:fPr>
                    <m:ctrlPr>
                      <w:rPr>
                        <w:rFonts w:ascii="Cambria Math" w:hAnsi="Cambria Math"/>
                        <w:color w:val="auto"/>
                        <w:sz w:val="22"/>
                        <w:szCs w:val="28"/>
                        <w:lang w:val="en-US"/>
                      </w:rPr>
                    </m:ctrlPr>
                  </m:fPr>
                  <m:num>
                    <m:r>
                      <m:rPr>
                        <m:sty m:val="p"/>
                      </m:rPr>
                      <w:rPr>
                        <w:rFonts w:ascii="Cambria Math" w:hAnsi="Cambria Math"/>
                        <w:color w:val="auto"/>
                        <w:sz w:val="22"/>
                        <w:szCs w:val="28"/>
                        <w:lang w:val="en-US"/>
                      </w:rPr>
                      <m:t>Cash flow from operating activities (CFO)</m:t>
                    </m:r>
                  </m:num>
                  <m:den>
                    <m:r>
                      <m:rPr>
                        <m:sty m:val="p"/>
                      </m:rPr>
                      <w:rPr>
                        <w:rFonts w:ascii="Cambria Math" w:hAnsi="Cambria Math"/>
                        <w:color w:val="auto"/>
                        <w:sz w:val="22"/>
                        <w:szCs w:val="28"/>
                        <w:lang w:val="en-US"/>
                      </w:rPr>
                      <m:t>Operating income</m:t>
                    </m:r>
                  </m:den>
                </m:f>
              </m:oMath>
            </m:oMathPara>
          </w:p>
        </w:tc>
        <w:tc>
          <w:tcPr>
            <w:tcW w:w="3592" w:type="dxa"/>
            <w:shd w:val="clear" w:color="auto" w:fill="auto"/>
            <w:tcMar>
              <w:top w:w="105" w:type="dxa"/>
              <w:left w:w="105" w:type="dxa"/>
              <w:bottom w:w="105" w:type="dxa"/>
              <w:right w:w="105" w:type="dxa"/>
            </w:tcMar>
            <w:hideMark/>
          </w:tcPr>
          <w:p w14:paraId="0B1E01F4" w14:textId="77777777" w:rsidR="00210D5C" w:rsidRPr="00210D5C" w:rsidRDefault="002D4F17" w:rsidP="002D4F17">
            <w:pPr>
              <w:spacing w:line="240" w:lineRule="atLeast"/>
              <w:rPr>
                <w:color w:val="auto"/>
                <w:szCs w:val="28"/>
                <w:lang w:val="en-US"/>
              </w:rPr>
            </w:pPr>
            <w:r w:rsidRPr="006A75C8">
              <w:rPr>
                <w:color w:val="auto"/>
                <w:szCs w:val="28"/>
                <w:lang w:val="en-US"/>
              </w:rPr>
              <w:t>It measures c</w:t>
            </w:r>
            <w:r w:rsidR="00210D5C" w:rsidRPr="00210D5C">
              <w:rPr>
                <w:color w:val="auto"/>
                <w:szCs w:val="28"/>
                <w:lang w:val="en-US"/>
              </w:rPr>
              <w:t>ash generating ability of operations</w:t>
            </w:r>
          </w:p>
        </w:tc>
      </w:tr>
      <w:tr w:rsidR="002D4F17" w:rsidRPr="006A75C8" w14:paraId="217FB65E" w14:textId="77777777" w:rsidTr="00D44ABD">
        <w:tblPrEx>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PrEx>
        <w:tc>
          <w:tcPr>
            <w:tcW w:w="1623" w:type="dxa"/>
            <w:shd w:val="clear" w:color="auto" w:fill="auto"/>
            <w:tcMar>
              <w:top w:w="105" w:type="dxa"/>
              <w:left w:w="105" w:type="dxa"/>
              <w:bottom w:w="105" w:type="dxa"/>
              <w:right w:w="105" w:type="dxa"/>
            </w:tcMar>
            <w:hideMark/>
          </w:tcPr>
          <w:p w14:paraId="6E20F922" w14:textId="77777777" w:rsidR="00210D5C" w:rsidRPr="00210D5C" w:rsidRDefault="00210D5C" w:rsidP="00210D5C">
            <w:pPr>
              <w:spacing w:line="240" w:lineRule="atLeast"/>
              <w:rPr>
                <w:color w:val="auto"/>
                <w:szCs w:val="28"/>
                <w:lang w:val="en-US"/>
              </w:rPr>
            </w:pPr>
            <w:r w:rsidRPr="00210D5C">
              <w:rPr>
                <w:color w:val="auto"/>
                <w:szCs w:val="28"/>
                <w:lang w:val="en-US"/>
              </w:rPr>
              <w:t>Cash flow per share</w:t>
            </w:r>
          </w:p>
        </w:tc>
        <w:tc>
          <w:tcPr>
            <w:tcW w:w="4394" w:type="dxa"/>
            <w:shd w:val="clear" w:color="auto" w:fill="auto"/>
            <w:tcMar>
              <w:top w:w="105" w:type="dxa"/>
              <w:left w:w="105" w:type="dxa"/>
              <w:bottom w:w="105" w:type="dxa"/>
              <w:right w:w="105" w:type="dxa"/>
            </w:tcMar>
            <w:hideMark/>
          </w:tcPr>
          <w:p w14:paraId="02028E28" w14:textId="77777777" w:rsidR="00210D5C" w:rsidRPr="00D44ABD" w:rsidRDefault="00000000" w:rsidP="002D4F17">
            <w:pPr>
              <w:spacing w:line="240" w:lineRule="atLeast"/>
              <w:rPr>
                <w:color w:val="auto"/>
                <w:sz w:val="22"/>
                <w:szCs w:val="28"/>
                <w:lang w:val="en-US"/>
              </w:rPr>
            </w:pPr>
            <m:oMathPara>
              <m:oMath>
                <m:f>
                  <m:fPr>
                    <m:ctrlPr>
                      <w:rPr>
                        <w:rFonts w:ascii="Cambria Math" w:hAnsi="Cambria Math"/>
                        <w:color w:val="auto"/>
                        <w:sz w:val="22"/>
                        <w:szCs w:val="28"/>
                        <w:lang w:val="en-US"/>
                      </w:rPr>
                    </m:ctrlPr>
                  </m:fPr>
                  <m:num>
                    <m:eqArr>
                      <m:eqArrPr>
                        <m:ctrlPr>
                          <w:rPr>
                            <w:rFonts w:ascii="Cambria Math" w:hAnsi="Cambria Math"/>
                            <w:color w:val="auto"/>
                            <w:sz w:val="22"/>
                            <w:szCs w:val="28"/>
                            <w:lang w:val="en-US"/>
                          </w:rPr>
                        </m:ctrlPr>
                      </m:eqArrPr>
                      <m:e>
                        <m:r>
                          <m:rPr>
                            <m:sty m:val="p"/>
                          </m:rPr>
                          <w:rPr>
                            <w:rFonts w:ascii="Cambria Math" w:hAnsi="Cambria Math"/>
                            <w:color w:val="auto"/>
                            <w:sz w:val="22"/>
                            <w:szCs w:val="28"/>
                            <w:lang w:val="en-US"/>
                          </w:rPr>
                          <m:t xml:space="preserve">Cash flow from operating activities </m:t>
                        </m:r>
                        <m:d>
                          <m:dPr>
                            <m:ctrlPr>
                              <w:rPr>
                                <w:rFonts w:ascii="Cambria Math" w:hAnsi="Cambria Math"/>
                                <w:color w:val="auto"/>
                                <w:sz w:val="22"/>
                                <w:szCs w:val="28"/>
                                <w:lang w:val="en-US"/>
                              </w:rPr>
                            </m:ctrlPr>
                          </m:dPr>
                          <m:e>
                            <m:r>
                              <m:rPr>
                                <m:sty m:val="p"/>
                              </m:rPr>
                              <w:rPr>
                                <w:rFonts w:ascii="Cambria Math" w:hAnsi="Cambria Math"/>
                                <w:color w:val="auto"/>
                                <w:sz w:val="22"/>
                                <w:szCs w:val="28"/>
                                <w:lang w:val="en-US"/>
                              </w:rPr>
                              <m:t>CFO</m:t>
                            </m:r>
                          </m:e>
                        </m:d>
                        <m:r>
                          <m:rPr>
                            <m:sty m:val="p"/>
                          </m:rPr>
                          <w:rPr>
                            <w:rFonts w:ascii="Cambria Math" w:hAnsi="Cambria Math"/>
                            <w:color w:val="auto"/>
                            <w:sz w:val="22"/>
                            <w:szCs w:val="28"/>
                            <w:lang w:val="en-US"/>
                          </w:rPr>
                          <m:t>-</m:t>
                        </m:r>
                      </m:e>
                      <m:e>
                        <m:r>
                          <m:rPr>
                            <m:sty m:val="p"/>
                          </m:rPr>
                          <w:rPr>
                            <w:rFonts w:ascii="Cambria Math" w:hAnsi="Cambria Math"/>
                            <w:color w:val="auto"/>
                            <w:sz w:val="22"/>
                            <w:szCs w:val="28"/>
                            <w:lang w:val="en-US"/>
                          </w:rPr>
                          <m:t>Preferred dividents</m:t>
                        </m:r>
                      </m:e>
                    </m:eqArr>
                  </m:num>
                  <m:den>
                    <m:r>
                      <m:rPr>
                        <m:sty m:val="p"/>
                      </m:rPr>
                      <w:rPr>
                        <w:rFonts w:ascii="Cambria Math" w:hAnsi="Cambria Math"/>
                        <w:color w:val="auto"/>
                        <w:sz w:val="22"/>
                        <w:szCs w:val="28"/>
                        <w:lang w:val="en-US"/>
                      </w:rPr>
                      <m:t xml:space="preserve">Number of common shares outstanding </m:t>
                    </m:r>
                  </m:den>
                </m:f>
              </m:oMath>
            </m:oMathPara>
          </w:p>
        </w:tc>
        <w:tc>
          <w:tcPr>
            <w:tcW w:w="3592" w:type="dxa"/>
            <w:shd w:val="clear" w:color="auto" w:fill="auto"/>
            <w:tcMar>
              <w:top w:w="105" w:type="dxa"/>
              <w:left w:w="105" w:type="dxa"/>
              <w:bottom w:w="105" w:type="dxa"/>
              <w:right w:w="105" w:type="dxa"/>
            </w:tcMar>
            <w:hideMark/>
          </w:tcPr>
          <w:p w14:paraId="3714514D" w14:textId="77777777" w:rsidR="00210D5C" w:rsidRPr="00210D5C" w:rsidRDefault="002D4F17" w:rsidP="00210D5C">
            <w:pPr>
              <w:spacing w:line="240" w:lineRule="atLeast"/>
              <w:rPr>
                <w:color w:val="auto"/>
                <w:szCs w:val="28"/>
                <w:lang w:val="en-US"/>
              </w:rPr>
            </w:pPr>
            <w:r w:rsidRPr="006A75C8">
              <w:rPr>
                <w:color w:val="auto"/>
                <w:szCs w:val="28"/>
                <w:lang w:val="en-US"/>
              </w:rPr>
              <w:t>It measures operating</w:t>
            </w:r>
            <w:r w:rsidR="00ED0D27">
              <w:rPr>
                <w:color w:val="auto"/>
                <w:szCs w:val="28"/>
                <w:lang w:val="en-US"/>
              </w:rPr>
              <w:t xml:space="preserve"> cash flow on a per </w:t>
            </w:r>
            <w:r w:rsidR="00210D5C" w:rsidRPr="00210D5C">
              <w:rPr>
                <w:color w:val="auto"/>
                <w:szCs w:val="28"/>
                <w:lang w:val="en-US"/>
              </w:rPr>
              <w:t>share basis</w:t>
            </w:r>
          </w:p>
        </w:tc>
      </w:tr>
    </w:tbl>
    <w:p w14:paraId="3B83F1E4" w14:textId="77777777" w:rsidR="002D4F17" w:rsidRPr="008C107D" w:rsidRDefault="008C107D" w:rsidP="008C107D">
      <w:pPr>
        <w:pStyle w:val="end2"/>
        <w:rPr>
          <w:rFonts w:eastAsia="Garamond"/>
          <w:u w:color="000000"/>
          <w:bdr w:val="nil"/>
          <w:lang w:eastAsia="en-US"/>
        </w:rPr>
      </w:pPr>
      <w:r w:rsidRPr="008C107D">
        <w:rPr>
          <w:rFonts w:eastAsia="Garamond"/>
          <w:u w:color="000000"/>
          <w:bdr w:val="nil"/>
          <w:lang w:eastAsia="en-US"/>
        </w:rPr>
        <w:lastRenderedPageBreak/>
        <w:t>EVALUATION CRITERIA</w:t>
      </w:r>
    </w:p>
    <w:p w14:paraId="4FE38514" w14:textId="77777777" w:rsidR="002D4F17" w:rsidRDefault="00D44ABD" w:rsidP="008C107D">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T</w:t>
      </w:r>
      <w:r w:rsidR="008C107D" w:rsidRPr="008C107D">
        <w:rPr>
          <w:rFonts w:cs="Garamond"/>
          <w:color w:val="auto"/>
          <w:sz w:val="28"/>
          <w:szCs w:val="28"/>
          <w:lang w:val="en-US" w:eastAsia="ru-RU" w:bidi="ru-RU"/>
        </w:rPr>
        <w:t xml:space="preserve">he case </w:t>
      </w:r>
      <w:r>
        <w:rPr>
          <w:rFonts w:cs="Garamond"/>
          <w:color w:val="auto"/>
          <w:sz w:val="28"/>
          <w:szCs w:val="28"/>
          <w:lang w:val="en-US" w:eastAsia="ru-RU" w:bidi="ru-RU"/>
        </w:rPr>
        <w:t>evaluation will take</w:t>
      </w:r>
      <w:r w:rsidR="008C107D" w:rsidRPr="008C107D">
        <w:rPr>
          <w:rFonts w:cs="Garamond"/>
          <w:color w:val="auto"/>
          <w:sz w:val="28"/>
          <w:szCs w:val="28"/>
          <w:lang w:val="en-US" w:eastAsia="ru-RU" w:bidi="ru-RU"/>
        </w:rPr>
        <w:t xml:space="preserve"> the following </w:t>
      </w:r>
      <w:r>
        <w:rPr>
          <w:rFonts w:cs="Garamond"/>
          <w:color w:val="auto"/>
          <w:sz w:val="28"/>
          <w:szCs w:val="28"/>
          <w:lang w:val="en-US" w:eastAsia="ru-RU" w:bidi="ru-RU"/>
        </w:rPr>
        <w:t>step</w:t>
      </w:r>
      <w:r w:rsidR="008C107D" w:rsidRPr="008C107D">
        <w:rPr>
          <w:rFonts w:cs="Garamond"/>
          <w:color w:val="auto"/>
          <w:sz w:val="28"/>
          <w:szCs w:val="28"/>
          <w:lang w:val="en-US" w:eastAsia="ru-RU" w:bidi="ru-RU"/>
        </w:rPr>
        <w:t xml:space="preserve">s: defining the issue(s),  analyzing the case data, generating alternatives, analyzing and evaluating alternatives, selecting the preferred alternative, </w:t>
      </w:r>
      <w:r w:rsidR="00ED0D27">
        <w:rPr>
          <w:rFonts w:cs="Garamond"/>
          <w:color w:val="auto"/>
          <w:sz w:val="28"/>
          <w:szCs w:val="28"/>
          <w:lang w:val="en-US" w:eastAsia="ru-RU" w:bidi="ru-RU"/>
        </w:rPr>
        <w:t xml:space="preserve">and </w:t>
      </w:r>
      <w:r w:rsidR="008C107D" w:rsidRPr="008C107D">
        <w:rPr>
          <w:rFonts w:cs="Garamond"/>
          <w:color w:val="auto"/>
          <w:sz w:val="28"/>
          <w:szCs w:val="28"/>
          <w:lang w:val="en-US" w:eastAsia="ru-RU" w:bidi="ru-RU"/>
        </w:rPr>
        <w:t>developing an action/implementation plan/conclusions.</w:t>
      </w:r>
    </w:p>
    <w:tbl>
      <w:tblPr>
        <w:tblW w:w="0" w:type="auto"/>
        <w:tblCellMar>
          <w:top w:w="15" w:type="dxa"/>
          <w:left w:w="15" w:type="dxa"/>
          <w:bottom w:w="15" w:type="dxa"/>
          <w:right w:w="15" w:type="dxa"/>
        </w:tblCellMar>
        <w:tblLook w:val="04A0" w:firstRow="1" w:lastRow="0" w:firstColumn="1" w:lastColumn="0" w:noHBand="0" w:noVBand="1"/>
      </w:tblPr>
      <w:tblGrid>
        <w:gridCol w:w="1648"/>
        <w:gridCol w:w="2111"/>
        <w:gridCol w:w="2312"/>
        <w:gridCol w:w="2405"/>
        <w:gridCol w:w="1045"/>
      </w:tblGrid>
      <w:tr w:rsidR="008C107D" w:rsidRPr="00D44ABD" w14:paraId="0BA01800" w14:textId="77777777" w:rsidTr="008C107D">
        <w:tc>
          <w:tcPr>
            <w:tcW w:w="0" w:type="auto"/>
            <w:tcBorders>
              <w:top w:val="single" w:sz="6" w:space="0" w:color="000000"/>
              <w:left w:val="single" w:sz="6" w:space="0" w:color="000000"/>
              <w:bottom w:val="single" w:sz="6" w:space="0" w:color="000000"/>
              <w:right w:val="single" w:sz="6" w:space="0" w:color="000000"/>
            </w:tcBorders>
            <w:shd w:val="clear" w:color="auto" w:fill="D9D9D9"/>
            <w:tcMar>
              <w:top w:w="60" w:type="dxa"/>
              <w:left w:w="60" w:type="dxa"/>
              <w:bottom w:w="60" w:type="dxa"/>
              <w:right w:w="60" w:type="dxa"/>
            </w:tcMar>
            <w:vAlign w:val="center"/>
            <w:hideMark/>
          </w:tcPr>
          <w:p w14:paraId="66753485" w14:textId="77777777" w:rsidR="008C107D" w:rsidRPr="00D44ABD" w:rsidRDefault="008C107D" w:rsidP="008C107D">
            <w:pPr>
              <w:spacing w:line="0" w:lineRule="atLeast"/>
              <w:jc w:val="center"/>
              <w:rPr>
                <w:color w:val="auto"/>
                <w:lang w:val="en-US"/>
              </w:rPr>
            </w:pPr>
            <w:r w:rsidRPr="00D44ABD">
              <w:rPr>
                <w:b/>
                <w:bCs/>
                <w:shd w:val="clear" w:color="auto" w:fill="D9D9D9"/>
                <w:lang w:val="en-US"/>
              </w:rPr>
              <w:t>Evaluation criteria</w:t>
            </w:r>
          </w:p>
        </w:tc>
        <w:tc>
          <w:tcPr>
            <w:tcW w:w="0" w:type="auto"/>
            <w:tcBorders>
              <w:top w:val="single" w:sz="6" w:space="0" w:color="000000"/>
              <w:left w:val="single" w:sz="6" w:space="0" w:color="000000"/>
              <w:bottom w:val="single" w:sz="6" w:space="0" w:color="000000"/>
              <w:right w:val="single" w:sz="6" w:space="0" w:color="000000"/>
            </w:tcBorders>
            <w:shd w:val="clear" w:color="auto" w:fill="D9D9D9"/>
            <w:tcMar>
              <w:top w:w="60" w:type="dxa"/>
              <w:left w:w="60" w:type="dxa"/>
              <w:bottom w:w="60" w:type="dxa"/>
              <w:right w:w="60" w:type="dxa"/>
            </w:tcMar>
            <w:vAlign w:val="center"/>
            <w:hideMark/>
          </w:tcPr>
          <w:p w14:paraId="396CAD81" w14:textId="77777777" w:rsidR="008C107D" w:rsidRPr="00D44ABD" w:rsidRDefault="008C107D" w:rsidP="008C107D">
            <w:pPr>
              <w:spacing w:line="0" w:lineRule="atLeast"/>
              <w:jc w:val="center"/>
              <w:rPr>
                <w:color w:val="auto"/>
                <w:lang w:val="en-US"/>
              </w:rPr>
            </w:pPr>
            <w:r w:rsidRPr="00D44ABD">
              <w:rPr>
                <w:b/>
                <w:bCs/>
                <w:shd w:val="clear" w:color="auto" w:fill="D9D9D9"/>
                <w:lang w:val="en-US"/>
              </w:rPr>
              <w:t>Needs Improvement</w:t>
            </w:r>
          </w:p>
        </w:tc>
        <w:tc>
          <w:tcPr>
            <w:tcW w:w="0" w:type="auto"/>
            <w:tcBorders>
              <w:top w:val="single" w:sz="6" w:space="0" w:color="000000"/>
              <w:left w:val="single" w:sz="6" w:space="0" w:color="000000"/>
              <w:bottom w:val="single" w:sz="6" w:space="0" w:color="000000"/>
              <w:right w:val="single" w:sz="6" w:space="0" w:color="000000"/>
            </w:tcBorders>
            <w:shd w:val="clear" w:color="auto" w:fill="D9D9D9"/>
            <w:tcMar>
              <w:top w:w="60" w:type="dxa"/>
              <w:left w:w="60" w:type="dxa"/>
              <w:bottom w:w="60" w:type="dxa"/>
              <w:right w:w="60" w:type="dxa"/>
            </w:tcMar>
            <w:vAlign w:val="center"/>
            <w:hideMark/>
          </w:tcPr>
          <w:p w14:paraId="194909E1" w14:textId="77777777" w:rsidR="008C107D" w:rsidRPr="00D44ABD" w:rsidRDefault="008C107D" w:rsidP="008C107D">
            <w:pPr>
              <w:spacing w:line="0" w:lineRule="atLeast"/>
              <w:jc w:val="center"/>
              <w:rPr>
                <w:color w:val="auto"/>
                <w:lang w:val="en-US"/>
              </w:rPr>
            </w:pPr>
            <w:r w:rsidRPr="00D44ABD">
              <w:rPr>
                <w:b/>
                <w:bCs/>
                <w:shd w:val="clear" w:color="auto" w:fill="D9D9D9"/>
                <w:lang w:val="en-US"/>
              </w:rPr>
              <w:t>Acceptable</w:t>
            </w:r>
          </w:p>
        </w:tc>
        <w:tc>
          <w:tcPr>
            <w:tcW w:w="0" w:type="auto"/>
            <w:tcBorders>
              <w:top w:val="single" w:sz="6" w:space="0" w:color="000000"/>
              <w:left w:val="single" w:sz="6" w:space="0" w:color="000000"/>
              <w:bottom w:val="single" w:sz="6" w:space="0" w:color="000000"/>
              <w:right w:val="single" w:sz="6" w:space="0" w:color="000000"/>
            </w:tcBorders>
            <w:shd w:val="clear" w:color="auto" w:fill="D9D9D9"/>
            <w:tcMar>
              <w:top w:w="60" w:type="dxa"/>
              <w:left w:w="60" w:type="dxa"/>
              <w:bottom w:w="60" w:type="dxa"/>
              <w:right w:w="60" w:type="dxa"/>
            </w:tcMar>
            <w:vAlign w:val="center"/>
            <w:hideMark/>
          </w:tcPr>
          <w:p w14:paraId="220CB250" w14:textId="77777777" w:rsidR="008C107D" w:rsidRPr="00D44ABD" w:rsidRDefault="008C107D" w:rsidP="008C107D">
            <w:pPr>
              <w:spacing w:line="0" w:lineRule="atLeast"/>
              <w:jc w:val="center"/>
              <w:rPr>
                <w:color w:val="auto"/>
                <w:lang w:val="en-US"/>
              </w:rPr>
            </w:pPr>
            <w:r w:rsidRPr="00D44ABD">
              <w:rPr>
                <w:b/>
                <w:bCs/>
                <w:shd w:val="clear" w:color="auto" w:fill="D9D9D9"/>
                <w:lang w:val="en-US"/>
              </w:rPr>
              <w:t>Outstanding</w:t>
            </w:r>
          </w:p>
        </w:tc>
        <w:tc>
          <w:tcPr>
            <w:tcW w:w="0" w:type="auto"/>
            <w:tcBorders>
              <w:top w:val="single" w:sz="6" w:space="0" w:color="000000"/>
              <w:left w:val="single" w:sz="6" w:space="0" w:color="000000"/>
              <w:bottom w:val="single" w:sz="6" w:space="0" w:color="000000"/>
              <w:right w:val="single" w:sz="6" w:space="0" w:color="000000"/>
            </w:tcBorders>
            <w:shd w:val="clear" w:color="auto" w:fill="D9D9D9"/>
            <w:tcMar>
              <w:top w:w="60" w:type="dxa"/>
              <w:left w:w="60" w:type="dxa"/>
              <w:bottom w:w="60" w:type="dxa"/>
              <w:right w:w="60" w:type="dxa"/>
            </w:tcMar>
            <w:vAlign w:val="center"/>
            <w:hideMark/>
          </w:tcPr>
          <w:p w14:paraId="5C217C08" w14:textId="77777777" w:rsidR="008C107D" w:rsidRPr="00D44ABD" w:rsidRDefault="008C107D" w:rsidP="008C107D">
            <w:pPr>
              <w:spacing w:line="0" w:lineRule="atLeast"/>
              <w:jc w:val="center"/>
              <w:rPr>
                <w:color w:val="auto"/>
                <w:lang w:val="en-US"/>
              </w:rPr>
            </w:pPr>
            <w:r w:rsidRPr="00D44ABD">
              <w:rPr>
                <w:b/>
                <w:bCs/>
                <w:shd w:val="clear" w:color="auto" w:fill="D9D9D9"/>
                <w:lang w:val="en-US"/>
              </w:rPr>
              <w:t>Points Possible</w:t>
            </w:r>
          </w:p>
        </w:tc>
      </w:tr>
      <w:tr w:rsidR="008C107D" w:rsidRPr="00D44ABD" w14:paraId="29DAD52F" w14:textId="77777777" w:rsidTr="008C107D">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17C56A5B" w14:textId="77777777" w:rsidR="008C107D" w:rsidRPr="00D44ABD" w:rsidRDefault="008C107D" w:rsidP="00D44ABD">
            <w:pPr>
              <w:spacing w:line="0" w:lineRule="atLeast"/>
              <w:rPr>
                <w:color w:val="auto"/>
                <w:lang w:val="en-US"/>
              </w:rPr>
            </w:pPr>
            <w:r w:rsidRPr="00D44ABD">
              <w:rPr>
                <w:shd w:val="clear" w:color="auto" w:fill="FFFFFF"/>
                <w:lang w:val="en-US"/>
              </w:rPr>
              <w:t>Complete disclosure of the issue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0B8DDAF0" w14:textId="77777777" w:rsidR="008C107D" w:rsidRPr="00D44ABD" w:rsidRDefault="008C107D" w:rsidP="00D44ABD">
            <w:pPr>
              <w:rPr>
                <w:color w:val="auto"/>
                <w:lang w:val="en-US"/>
              </w:rPr>
            </w:pPr>
            <w:r w:rsidRPr="00D44ABD">
              <w:rPr>
                <w:shd w:val="clear" w:color="auto" w:fill="FFFFFF"/>
                <w:lang w:val="en-US"/>
              </w:rPr>
              <w:t>Task has not been completed (0 points) or the issue is poorly described.</w:t>
            </w:r>
          </w:p>
          <w:p w14:paraId="5C14CD4D" w14:textId="77777777" w:rsidR="008C107D" w:rsidRPr="00D44ABD" w:rsidRDefault="008C107D" w:rsidP="00ED0D27">
            <w:pPr>
              <w:spacing w:line="0" w:lineRule="atLeast"/>
              <w:rPr>
                <w:color w:val="auto"/>
                <w:lang w:val="en-US"/>
              </w:rPr>
            </w:pPr>
            <w:r w:rsidRPr="00D44ABD">
              <w:rPr>
                <w:shd w:val="clear" w:color="auto" w:fill="FFFFFF"/>
                <w:lang w:val="en-US"/>
              </w:rPr>
              <w:t>0</w:t>
            </w:r>
            <w:r w:rsidR="00ED0D27">
              <w:rPr>
                <w:shd w:val="clear" w:color="auto" w:fill="FFFFFF"/>
                <w:lang w:val="en-US"/>
              </w:rPr>
              <w:t>–</w:t>
            </w:r>
            <w:r w:rsidRPr="00D44ABD">
              <w:rPr>
                <w:shd w:val="clear" w:color="auto" w:fill="FFFFFF"/>
                <w:lang w:val="en-US"/>
              </w:rPr>
              <w:t>3 points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2514F1F2" w14:textId="77777777" w:rsidR="008C107D" w:rsidRPr="00D44ABD" w:rsidRDefault="008C107D" w:rsidP="00D44ABD">
            <w:pPr>
              <w:rPr>
                <w:color w:val="auto"/>
                <w:lang w:val="en-US"/>
              </w:rPr>
            </w:pPr>
            <w:r w:rsidRPr="00D44ABD">
              <w:rPr>
                <w:shd w:val="clear" w:color="auto" w:fill="FFFFFF"/>
                <w:lang w:val="en-US"/>
              </w:rPr>
              <w:t xml:space="preserve">Study </w:t>
            </w:r>
            <w:r w:rsidR="00ED0D27">
              <w:rPr>
                <w:shd w:val="clear" w:color="auto" w:fill="FFFFFF"/>
                <w:lang w:val="en-US"/>
              </w:rPr>
              <w:t>does not cover</w:t>
            </w:r>
            <w:r w:rsidRPr="00D44ABD">
              <w:rPr>
                <w:shd w:val="clear" w:color="auto" w:fill="FFFFFF"/>
                <w:lang w:val="en-US"/>
              </w:rPr>
              <w:t xml:space="preserve"> all aspects of the issue</w:t>
            </w:r>
            <w:r w:rsidR="00ED0D27">
              <w:rPr>
                <w:shd w:val="clear" w:color="auto" w:fill="FFFFFF"/>
                <w:lang w:val="en-US"/>
              </w:rPr>
              <w:t>,</w:t>
            </w:r>
            <w:r w:rsidRPr="00D44ABD">
              <w:rPr>
                <w:shd w:val="clear" w:color="auto" w:fill="FFFFFF"/>
                <w:lang w:val="en-US"/>
              </w:rPr>
              <w:t xml:space="preserve"> or there are theoretical inaccuracies, </w:t>
            </w:r>
            <w:r w:rsidR="00ED0D27">
              <w:rPr>
                <w:shd w:val="clear" w:color="auto" w:fill="FFFFFF"/>
                <w:lang w:val="en-US"/>
              </w:rPr>
              <w:t xml:space="preserve">or </w:t>
            </w:r>
            <w:r w:rsidRPr="00D44ABD">
              <w:rPr>
                <w:shd w:val="clear" w:color="auto" w:fill="FFFFFF"/>
                <w:lang w:val="en-US"/>
              </w:rPr>
              <w:t>outdated information is used.</w:t>
            </w:r>
          </w:p>
          <w:p w14:paraId="2F9284C4" w14:textId="77777777" w:rsidR="008C107D" w:rsidRPr="00D44ABD" w:rsidRDefault="008C107D" w:rsidP="00D44ABD">
            <w:pPr>
              <w:spacing w:line="0" w:lineRule="atLeast"/>
              <w:rPr>
                <w:color w:val="auto"/>
                <w:lang w:val="en-US"/>
              </w:rPr>
            </w:pPr>
            <w:r w:rsidRPr="00D44ABD">
              <w:rPr>
                <w:shd w:val="clear" w:color="auto" w:fill="FFFFFF"/>
                <w:lang w:val="en-US"/>
              </w:rPr>
              <w:t>4</w:t>
            </w:r>
            <w:r w:rsidR="00ED0D27">
              <w:rPr>
                <w:shd w:val="clear" w:color="auto" w:fill="FFFFFF"/>
                <w:lang w:val="en-US"/>
              </w:rPr>
              <w:t>–</w:t>
            </w:r>
            <w:r w:rsidRPr="00D44ABD">
              <w:rPr>
                <w:shd w:val="clear" w:color="auto" w:fill="FFFFFF"/>
                <w:lang w:val="en-US"/>
              </w:rPr>
              <w:t>6 points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22FC215B" w14:textId="77777777" w:rsidR="008C107D" w:rsidRPr="00D44ABD" w:rsidRDefault="008C107D" w:rsidP="00D44ABD">
            <w:pPr>
              <w:rPr>
                <w:color w:val="auto"/>
                <w:lang w:val="en-US"/>
              </w:rPr>
            </w:pPr>
            <w:r w:rsidRPr="00D44ABD">
              <w:rPr>
                <w:shd w:val="clear" w:color="auto" w:fill="FFFFFF"/>
                <w:lang w:val="en-US"/>
              </w:rPr>
              <w:t>The i</w:t>
            </w:r>
            <w:r w:rsidR="00ED0D27">
              <w:rPr>
                <w:shd w:val="clear" w:color="auto" w:fill="FFFFFF"/>
                <w:lang w:val="en-US"/>
              </w:rPr>
              <w:t>ssue is comprehensively covered,</w:t>
            </w:r>
            <w:r w:rsidRPr="00D44ABD">
              <w:rPr>
                <w:shd w:val="clear" w:color="auto" w:fill="FFFFFF"/>
                <w:lang w:val="en-US"/>
              </w:rPr>
              <w:t xml:space="preserve"> all aspects are taken into account.</w:t>
            </w:r>
          </w:p>
          <w:p w14:paraId="3D9864D8" w14:textId="77777777" w:rsidR="008C107D" w:rsidRPr="00D44ABD" w:rsidRDefault="008C107D" w:rsidP="00D44ABD">
            <w:pPr>
              <w:spacing w:line="0" w:lineRule="atLeast"/>
              <w:rPr>
                <w:color w:val="auto"/>
                <w:lang w:val="en-US"/>
              </w:rPr>
            </w:pPr>
            <w:r w:rsidRPr="00D44ABD">
              <w:rPr>
                <w:shd w:val="clear" w:color="auto" w:fill="FFFFFF"/>
                <w:lang w:val="en-US"/>
              </w:rPr>
              <w:t>7</w:t>
            </w:r>
            <w:r w:rsidR="00ED0D27">
              <w:rPr>
                <w:shd w:val="clear" w:color="auto" w:fill="FFFFFF"/>
                <w:lang w:val="en-US"/>
              </w:rPr>
              <w:t>–</w:t>
            </w:r>
            <w:r w:rsidRPr="00D44ABD">
              <w:rPr>
                <w:shd w:val="clear" w:color="auto" w:fill="FFFFFF"/>
                <w:lang w:val="en-US"/>
              </w:rPr>
              <w:t>10 points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1A618292" w14:textId="77777777" w:rsidR="008C107D" w:rsidRPr="00D44ABD" w:rsidRDefault="008C107D" w:rsidP="008C107D">
            <w:pPr>
              <w:spacing w:line="0" w:lineRule="atLeast"/>
              <w:jc w:val="center"/>
              <w:rPr>
                <w:color w:val="auto"/>
                <w:lang w:val="en-US"/>
              </w:rPr>
            </w:pPr>
            <w:r w:rsidRPr="00D44ABD">
              <w:rPr>
                <w:shd w:val="clear" w:color="auto" w:fill="FFFFFF"/>
                <w:lang w:val="en-US"/>
              </w:rPr>
              <w:t>10</w:t>
            </w:r>
          </w:p>
        </w:tc>
      </w:tr>
      <w:tr w:rsidR="008C107D" w:rsidRPr="00D44ABD" w14:paraId="26A9A171" w14:textId="77777777" w:rsidTr="008C107D">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4B31441D" w14:textId="77777777" w:rsidR="008C107D" w:rsidRPr="00D44ABD" w:rsidRDefault="008C107D" w:rsidP="00D44ABD">
            <w:pPr>
              <w:spacing w:line="0" w:lineRule="atLeast"/>
              <w:rPr>
                <w:color w:val="auto"/>
                <w:lang w:val="en-US"/>
              </w:rPr>
            </w:pPr>
            <w:r w:rsidRPr="00D44ABD">
              <w:rPr>
                <w:shd w:val="clear" w:color="auto" w:fill="FFFFFF"/>
                <w:lang w:val="en-US"/>
              </w:rPr>
              <w:t>Accuracy of calculations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3C0EF6C9" w14:textId="77777777" w:rsidR="008C107D" w:rsidRPr="00D44ABD" w:rsidRDefault="008C107D" w:rsidP="00D44ABD">
            <w:pPr>
              <w:rPr>
                <w:color w:val="auto"/>
                <w:lang w:val="en-US"/>
              </w:rPr>
            </w:pPr>
            <w:r w:rsidRPr="00D44ABD">
              <w:rPr>
                <w:shd w:val="clear" w:color="auto" w:fill="FFFFFF"/>
                <w:lang w:val="en-US"/>
              </w:rPr>
              <w:t>Calculations are performed incompletely, there are gross</w:t>
            </w:r>
            <w:r w:rsidR="00ED0D27">
              <w:rPr>
                <w:shd w:val="clear" w:color="auto" w:fill="FFFFFF"/>
                <w:lang w:val="en-US"/>
              </w:rPr>
              <w:t xml:space="preserve"> calculation errors</w:t>
            </w:r>
            <w:r w:rsidRPr="00D44ABD">
              <w:rPr>
                <w:shd w:val="clear" w:color="auto" w:fill="FFFFFF"/>
                <w:lang w:val="en-US"/>
              </w:rPr>
              <w:t>.</w:t>
            </w:r>
          </w:p>
          <w:p w14:paraId="251E463A" w14:textId="77777777" w:rsidR="008C107D" w:rsidRPr="00D44ABD" w:rsidRDefault="008C107D" w:rsidP="00D44ABD">
            <w:pPr>
              <w:spacing w:line="0" w:lineRule="atLeast"/>
              <w:rPr>
                <w:color w:val="auto"/>
                <w:lang w:val="en-US"/>
              </w:rPr>
            </w:pPr>
            <w:r w:rsidRPr="00D44ABD">
              <w:rPr>
                <w:shd w:val="clear" w:color="auto" w:fill="FFFFFF"/>
                <w:lang w:val="en-US"/>
              </w:rPr>
              <w:t>0</w:t>
            </w:r>
            <w:r w:rsidR="00ED0D27">
              <w:rPr>
                <w:shd w:val="clear" w:color="auto" w:fill="FFFFFF"/>
                <w:lang w:val="en-US"/>
              </w:rPr>
              <w:t>–</w:t>
            </w:r>
            <w:r w:rsidRPr="00D44ABD">
              <w:rPr>
                <w:shd w:val="clear" w:color="auto" w:fill="FFFFFF"/>
                <w:lang w:val="en-US"/>
              </w:rPr>
              <w:t>7 points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1578E44F" w14:textId="77777777" w:rsidR="008C107D" w:rsidRPr="00D44ABD" w:rsidRDefault="008C107D" w:rsidP="00D44ABD">
            <w:pPr>
              <w:rPr>
                <w:color w:val="auto"/>
                <w:lang w:val="en-US"/>
              </w:rPr>
            </w:pPr>
            <w:r w:rsidRPr="00D44ABD">
              <w:rPr>
                <w:shd w:val="clear" w:color="auto" w:fill="FFFFFF"/>
                <w:lang w:val="en-US"/>
              </w:rPr>
              <w:t xml:space="preserve">Calculations are performed completely, but there are several insignificant </w:t>
            </w:r>
            <w:r w:rsidR="00ED0D27">
              <w:rPr>
                <w:shd w:val="clear" w:color="auto" w:fill="FFFFFF"/>
                <w:lang w:val="en-US"/>
              </w:rPr>
              <w:t>errors</w:t>
            </w:r>
            <w:r w:rsidRPr="00D44ABD">
              <w:rPr>
                <w:shd w:val="clear" w:color="auto" w:fill="FFFFFF"/>
                <w:lang w:val="en-US"/>
              </w:rPr>
              <w:t>.</w:t>
            </w:r>
          </w:p>
          <w:p w14:paraId="59DB57E1" w14:textId="77777777" w:rsidR="008C107D" w:rsidRPr="00D44ABD" w:rsidRDefault="008C107D" w:rsidP="00D44ABD">
            <w:pPr>
              <w:spacing w:line="0" w:lineRule="atLeast"/>
              <w:rPr>
                <w:color w:val="auto"/>
                <w:lang w:val="en-US"/>
              </w:rPr>
            </w:pPr>
            <w:r w:rsidRPr="00D44ABD">
              <w:rPr>
                <w:shd w:val="clear" w:color="auto" w:fill="FFFFFF"/>
                <w:lang w:val="en-US"/>
              </w:rPr>
              <w:t>8</w:t>
            </w:r>
            <w:r w:rsidR="00ED0D27">
              <w:rPr>
                <w:shd w:val="clear" w:color="auto" w:fill="FFFFFF"/>
                <w:lang w:val="en-US"/>
              </w:rPr>
              <w:t>–</w:t>
            </w:r>
            <w:r w:rsidRPr="00D44ABD">
              <w:rPr>
                <w:shd w:val="clear" w:color="auto" w:fill="FFFFFF"/>
                <w:lang w:val="en-US"/>
              </w:rPr>
              <w:t>15 points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4EC740E2" w14:textId="77777777" w:rsidR="008C107D" w:rsidRPr="00D44ABD" w:rsidRDefault="008C107D" w:rsidP="00D44ABD">
            <w:pPr>
              <w:rPr>
                <w:color w:val="auto"/>
                <w:lang w:val="en-US"/>
              </w:rPr>
            </w:pPr>
            <w:r w:rsidRPr="00D44ABD">
              <w:rPr>
                <w:shd w:val="clear" w:color="auto" w:fill="FFFFFF"/>
                <w:lang w:val="en-US"/>
              </w:rPr>
              <w:t>Calculations are performed completely, no mistakes, may have arithmetical inaccuracies.</w:t>
            </w:r>
          </w:p>
          <w:p w14:paraId="4D10F864" w14:textId="77777777" w:rsidR="008C107D" w:rsidRPr="00D44ABD" w:rsidRDefault="008C107D" w:rsidP="00D44ABD">
            <w:pPr>
              <w:spacing w:line="0" w:lineRule="atLeast"/>
              <w:rPr>
                <w:color w:val="auto"/>
                <w:lang w:val="en-US"/>
              </w:rPr>
            </w:pPr>
            <w:r w:rsidRPr="00D44ABD">
              <w:rPr>
                <w:shd w:val="clear" w:color="auto" w:fill="FFFFFF"/>
                <w:lang w:val="en-US"/>
              </w:rPr>
              <w:t>16</w:t>
            </w:r>
            <w:r w:rsidR="00ED0D27">
              <w:rPr>
                <w:shd w:val="clear" w:color="auto" w:fill="FFFFFF"/>
                <w:lang w:val="en-US"/>
              </w:rPr>
              <w:t>–</w:t>
            </w:r>
            <w:r w:rsidRPr="00D44ABD">
              <w:rPr>
                <w:shd w:val="clear" w:color="auto" w:fill="FFFFFF"/>
                <w:lang w:val="en-US"/>
              </w:rPr>
              <w:t>20 points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1F15E973" w14:textId="77777777" w:rsidR="008C107D" w:rsidRPr="00D44ABD" w:rsidRDefault="008C107D" w:rsidP="008C107D">
            <w:pPr>
              <w:spacing w:line="0" w:lineRule="atLeast"/>
              <w:jc w:val="center"/>
              <w:rPr>
                <w:color w:val="auto"/>
                <w:lang w:val="en-US"/>
              </w:rPr>
            </w:pPr>
            <w:r w:rsidRPr="00D44ABD">
              <w:rPr>
                <w:shd w:val="clear" w:color="auto" w:fill="FFFFFF"/>
                <w:lang w:val="en-US"/>
              </w:rPr>
              <w:t>20</w:t>
            </w:r>
          </w:p>
        </w:tc>
      </w:tr>
      <w:tr w:rsidR="008C107D" w:rsidRPr="00D44ABD" w14:paraId="6E99E429" w14:textId="77777777" w:rsidTr="008C107D">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54A33C86" w14:textId="77777777" w:rsidR="008C107D" w:rsidRPr="00D44ABD" w:rsidRDefault="008C107D" w:rsidP="00D44ABD">
            <w:pPr>
              <w:spacing w:line="0" w:lineRule="atLeast"/>
              <w:rPr>
                <w:color w:val="auto"/>
                <w:lang w:val="en-US"/>
              </w:rPr>
            </w:pPr>
            <w:r w:rsidRPr="00D44ABD">
              <w:rPr>
                <w:shd w:val="clear" w:color="auto" w:fill="FFFFFF"/>
                <w:lang w:val="en-US"/>
              </w:rPr>
              <w:t>Depth of analysis, identification of linkages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1555BDAB" w14:textId="77777777" w:rsidR="008C107D" w:rsidRPr="00D44ABD" w:rsidRDefault="008C107D" w:rsidP="00D44ABD">
            <w:pPr>
              <w:rPr>
                <w:color w:val="auto"/>
                <w:lang w:val="en-US"/>
              </w:rPr>
            </w:pPr>
            <w:r w:rsidRPr="00D44ABD">
              <w:rPr>
                <w:shd w:val="clear" w:color="auto" w:fill="FFFFFF"/>
                <w:lang w:val="en-US"/>
              </w:rPr>
              <w:t>There are no conclusions (0 points) or the analysis is superficial.</w:t>
            </w:r>
          </w:p>
          <w:p w14:paraId="155A0C8F" w14:textId="77777777" w:rsidR="008C107D" w:rsidRPr="00D44ABD" w:rsidRDefault="008C107D" w:rsidP="00D44ABD">
            <w:pPr>
              <w:spacing w:line="0" w:lineRule="atLeast"/>
              <w:rPr>
                <w:color w:val="auto"/>
                <w:lang w:val="en-US"/>
              </w:rPr>
            </w:pPr>
            <w:r w:rsidRPr="00D44ABD">
              <w:rPr>
                <w:shd w:val="clear" w:color="auto" w:fill="FFFFFF"/>
                <w:lang w:val="en-US"/>
              </w:rPr>
              <w:t>0</w:t>
            </w:r>
            <w:r w:rsidR="00ED0D27">
              <w:rPr>
                <w:shd w:val="clear" w:color="auto" w:fill="FFFFFF"/>
                <w:lang w:val="en-US"/>
              </w:rPr>
              <w:t>–</w:t>
            </w:r>
            <w:r w:rsidRPr="00D44ABD">
              <w:rPr>
                <w:shd w:val="clear" w:color="auto" w:fill="FFFFFF"/>
                <w:lang w:val="en-US"/>
              </w:rPr>
              <w:t>7 points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3AA08FB5" w14:textId="77777777" w:rsidR="008C107D" w:rsidRPr="00D44ABD" w:rsidRDefault="008C107D" w:rsidP="00D44ABD">
            <w:pPr>
              <w:rPr>
                <w:color w:val="auto"/>
                <w:lang w:val="en-US"/>
              </w:rPr>
            </w:pPr>
            <w:r w:rsidRPr="00D44ABD">
              <w:rPr>
                <w:shd w:val="clear" w:color="auto" w:fill="FFFFFF"/>
                <w:lang w:val="en-US"/>
              </w:rPr>
              <w:t>There are mistakes in findings, causal links are not identified.</w:t>
            </w:r>
          </w:p>
          <w:p w14:paraId="3CB5F0B7" w14:textId="77777777" w:rsidR="008C107D" w:rsidRPr="00D44ABD" w:rsidRDefault="008C107D" w:rsidP="00D44ABD">
            <w:pPr>
              <w:spacing w:line="0" w:lineRule="atLeast"/>
              <w:rPr>
                <w:color w:val="auto"/>
                <w:lang w:val="en-US"/>
              </w:rPr>
            </w:pPr>
            <w:r w:rsidRPr="00D44ABD">
              <w:rPr>
                <w:shd w:val="clear" w:color="auto" w:fill="FFFFFF"/>
                <w:lang w:val="en-US"/>
              </w:rPr>
              <w:t>8</w:t>
            </w:r>
            <w:r w:rsidR="00ED0D27">
              <w:rPr>
                <w:shd w:val="clear" w:color="auto" w:fill="FFFFFF"/>
                <w:lang w:val="en-US"/>
              </w:rPr>
              <w:t>–</w:t>
            </w:r>
            <w:r w:rsidRPr="00D44ABD">
              <w:rPr>
                <w:shd w:val="clear" w:color="auto" w:fill="FFFFFF"/>
                <w:lang w:val="en-US"/>
              </w:rPr>
              <w:t>15 points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2AE06DC7" w14:textId="77777777" w:rsidR="008C107D" w:rsidRPr="00D44ABD" w:rsidRDefault="008C107D" w:rsidP="00D44ABD">
            <w:pPr>
              <w:rPr>
                <w:color w:val="auto"/>
                <w:lang w:val="en-US"/>
              </w:rPr>
            </w:pPr>
            <w:r w:rsidRPr="00D44ABD">
              <w:rPr>
                <w:shd w:val="clear" w:color="auto" w:fill="FFFFFF"/>
                <w:lang w:val="en-US"/>
              </w:rPr>
              <w:t>The analysis is deep, conclusions are correct, causal links are identified.</w:t>
            </w:r>
          </w:p>
          <w:p w14:paraId="7EE04833" w14:textId="77777777" w:rsidR="008C107D" w:rsidRPr="00D44ABD" w:rsidRDefault="008C107D" w:rsidP="00D44ABD">
            <w:pPr>
              <w:spacing w:line="0" w:lineRule="atLeast"/>
              <w:rPr>
                <w:color w:val="auto"/>
                <w:lang w:val="en-US"/>
              </w:rPr>
            </w:pPr>
            <w:r w:rsidRPr="00D44ABD">
              <w:rPr>
                <w:shd w:val="clear" w:color="auto" w:fill="FFFFFF"/>
                <w:lang w:val="en-US"/>
              </w:rPr>
              <w:t>16</w:t>
            </w:r>
            <w:r w:rsidR="00ED0D27">
              <w:rPr>
                <w:shd w:val="clear" w:color="auto" w:fill="FFFFFF"/>
                <w:lang w:val="en-US"/>
              </w:rPr>
              <w:t>–</w:t>
            </w:r>
            <w:r w:rsidRPr="00D44ABD">
              <w:rPr>
                <w:shd w:val="clear" w:color="auto" w:fill="FFFFFF"/>
                <w:lang w:val="en-US"/>
              </w:rPr>
              <w:t>20 points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7D3ED5B8" w14:textId="77777777" w:rsidR="008C107D" w:rsidRPr="00D44ABD" w:rsidRDefault="008C107D" w:rsidP="008C107D">
            <w:pPr>
              <w:spacing w:line="0" w:lineRule="atLeast"/>
              <w:jc w:val="center"/>
              <w:rPr>
                <w:color w:val="auto"/>
                <w:lang w:val="en-US"/>
              </w:rPr>
            </w:pPr>
            <w:r w:rsidRPr="00D44ABD">
              <w:rPr>
                <w:shd w:val="clear" w:color="auto" w:fill="FFFFFF"/>
                <w:lang w:val="en-US"/>
              </w:rPr>
              <w:t>20</w:t>
            </w:r>
          </w:p>
        </w:tc>
      </w:tr>
      <w:tr w:rsidR="008C107D" w:rsidRPr="00D44ABD" w14:paraId="2ED33E9C" w14:textId="77777777" w:rsidTr="008C107D">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20D2DD87" w14:textId="77777777" w:rsidR="008C107D" w:rsidRPr="00D44ABD" w:rsidRDefault="008C107D" w:rsidP="008C107D">
            <w:pPr>
              <w:spacing w:line="0" w:lineRule="atLeast"/>
              <w:jc w:val="both"/>
              <w:rPr>
                <w:color w:val="auto"/>
                <w:lang w:val="en-US"/>
              </w:rPr>
            </w:pPr>
            <w:r w:rsidRPr="00D44ABD">
              <w:rPr>
                <w:b/>
                <w:bCs/>
                <w:shd w:val="clear" w:color="auto" w:fill="FFFFFF"/>
                <w:lang w:val="en-US"/>
              </w:rPr>
              <w:t>Total points earned</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60" w:type="dxa"/>
              <w:left w:w="60" w:type="dxa"/>
              <w:bottom w:w="60" w:type="dxa"/>
              <w:right w:w="60" w:type="dxa"/>
            </w:tcMar>
            <w:hideMark/>
          </w:tcPr>
          <w:p w14:paraId="5489356B" w14:textId="77777777" w:rsidR="008C107D" w:rsidRPr="00D44ABD" w:rsidRDefault="008C107D" w:rsidP="008C107D">
            <w:pPr>
              <w:spacing w:line="0" w:lineRule="atLeast"/>
              <w:jc w:val="center"/>
              <w:rPr>
                <w:color w:val="auto"/>
                <w:lang w:val="en-US"/>
              </w:rPr>
            </w:pPr>
            <w:r w:rsidRPr="00D44ABD">
              <w:rPr>
                <w:b/>
                <w:bCs/>
                <w:shd w:val="clear" w:color="auto" w:fill="FFFFFF"/>
                <w:lang w:val="en-US"/>
              </w:rPr>
              <w:t>50</w:t>
            </w:r>
          </w:p>
        </w:tc>
      </w:tr>
    </w:tbl>
    <w:p w14:paraId="7915C05C" w14:textId="77777777" w:rsidR="00D44ABD" w:rsidRDefault="00D44ABD" w:rsidP="00D44ABD">
      <w:pPr>
        <w:spacing w:line="312" w:lineRule="auto"/>
        <w:ind w:right="-870"/>
        <w:jc w:val="both"/>
        <w:rPr>
          <w:rFonts w:cs="Garamond"/>
          <w:color w:val="auto"/>
          <w:sz w:val="28"/>
          <w:szCs w:val="28"/>
          <w:lang w:val="en-US" w:eastAsia="ru-RU" w:bidi="ru-RU"/>
        </w:rPr>
      </w:pPr>
    </w:p>
    <w:p w14:paraId="52817385" w14:textId="77777777" w:rsidR="008C107D" w:rsidRPr="00D44ABD" w:rsidRDefault="00ED0D27" w:rsidP="00D44ABD">
      <w:pPr>
        <w:spacing w:line="312" w:lineRule="auto"/>
        <w:ind w:right="-870"/>
        <w:jc w:val="both"/>
        <w:rPr>
          <w:rFonts w:cs="Garamond"/>
          <w:color w:val="auto"/>
          <w:sz w:val="28"/>
          <w:szCs w:val="28"/>
          <w:lang w:val="en-US" w:eastAsia="ru-RU" w:bidi="ru-RU"/>
        </w:rPr>
      </w:pPr>
      <w:r>
        <w:rPr>
          <w:rFonts w:cs="Garamond"/>
          <w:color w:val="auto"/>
          <w:sz w:val="28"/>
          <w:szCs w:val="28"/>
          <w:lang w:val="en-US" w:eastAsia="ru-RU" w:bidi="ru-RU"/>
        </w:rPr>
        <w:t>An i</w:t>
      </w:r>
      <w:r w:rsidR="008C107D" w:rsidRPr="00D44ABD">
        <w:rPr>
          <w:rFonts w:cs="Garamond"/>
          <w:color w:val="auto"/>
          <w:sz w:val="28"/>
          <w:szCs w:val="28"/>
          <w:lang w:val="en-US" w:eastAsia="ru-RU" w:bidi="ru-RU"/>
        </w:rPr>
        <w:t>ndividual assignment project is awarded one of the following grades:</w:t>
      </w:r>
    </w:p>
    <w:p w14:paraId="4B3996F3" w14:textId="77777777" w:rsidR="008C107D" w:rsidRPr="00D44ABD" w:rsidRDefault="008C107D" w:rsidP="00D44ABD">
      <w:pPr>
        <w:spacing w:line="312" w:lineRule="auto"/>
        <w:ind w:right="-870"/>
        <w:jc w:val="both"/>
        <w:rPr>
          <w:rFonts w:cs="Garamond"/>
          <w:color w:val="auto"/>
          <w:sz w:val="28"/>
          <w:szCs w:val="28"/>
          <w:lang w:val="en-US" w:eastAsia="ru-RU" w:bidi="ru-RU"/>
        </w:rPr>
      </w:pPr>
      <w:r w:rsidRPr="00D44ABD">
        <w:rPr>
          <w:rFonts w:cs="Garamond"/>
          <w:color w:val="auto"/>
          <w:sz w:val="28"/>
          <w:szCs w:val="28"/>
          <w:lang w:val="en-US" w:eastAsia="ru-RU" w:bidi="ru-RU"/>
        </w:rPr>
        <w:t>High Distinction (Grade A, 45</w:t>
      </w:r>
      <w:r w:rsidR="00ED0D27">
        <w:rPr>
          <w:rFonts w:cs="Garamond"/>
          <w:color w:val="auto"/>
          <w:sz w:val="28"/>
          <w:szCs w:val="28"/>
          <w:lang w:val="en-US" w:eastAsia="ru-RU" w:bidi="ru-RU"/>
        </w:rPr>
        <w:t>–</w:t>
      </w:r>
      <w:r w:rsidRPr="00D44ABD">
        <w:rPr>
          <w:rFonts w:cs="Garamond"/>
          <w:color w:val="auto"/>
          <w:sz w:val="28"/>
          <w:szCs w:val="28"/>
          <w:lang w:val="en-US" w:eastAsia="ru-RU" w:bidi="ru-RU"/>
        </w:rPr>
        <w:t>50 points)</w:t>
      </w:r>
    </w:p>
    <w:p w14:paraId="7B60B5C0" w14:textId="77777777" w:rsidR="008C107D" w:rsidRPr="00D44ABD" w:rsidRDefault="008C107D" w:rsidP="00D44ABD">
      <w:pPr>
        <w:spacing w:line="312" w:lineRule="auto"/>
        <w:ind w:right="-870"/>
        <w:jc w:val="both"/>
        <w:rPr>
          <w:rFonts w:cs="Garamond"/>
          <w:color w:val="auto"/>
          <w:sz w:val="28"/>
          <w:szCs w:val="28"/>
          <w:lang w:val="en-US" w:eastAsia="ru-RU" w:bidi="ru-RU"/>
        </w:rPr>
      </w:pPr>
      <w:r w:rsidRPr="00D44ABD">
        <w:rPr>
          <w:rFonts w:cs="Garamond"/>
          <w:color w:val="auto"/>
          <w:sz w:val="28"/>
          <w:szCs w:val="28"/>
          <w:lang w:val="en-US" w:eastAsia="ru-RU" w:bidi="ru-RU"/>
        </w:rPr>
        <w:t>Distinction (Grade B, 41</w:t>
      </w:r>
      <w:r w:rsidR="00ED0D27">
        <w:rPr>
          <w:rFonts w:cs="Garamond"/>
          <w:color w:val="auto"/>
          <w:sz w:val="28"/>
          <w:szCs w:val="28"/>
          <w:lang w:val="en-US" w:eastAsia="ru-RU" w:bidi="ru-RU"/>
        </w:rPr>
        <w:t>–</w:t>
      </w:r>
      <w:r w:rsidRPr="00D44ABD">
        <w:rPr>
          <w:rFonts w:cs="Garamond"/>
          <w:color w:val="auto"/>
          <w:sz w:val="28"/>
          <w:szCs w:val="28"/>
          <w:lang w:val="en-US" w:eastAsia="ru-RU" w:bidi="ru-RU"/>
        </w:rPr>
        <w:t>44 points)</w:t>
      </w:r>
    </w:p>
    <w:p w14:paraId="48297FE9" w14:textId="77777777" w:rsidR="008C107D" w:rsidRPr="00D44ABD" w:rsidRDefault="008C107D" w:rsidP="00D44ABD">
      <w:pPr>
        <w:spacing w:line="312" w:lineRule="auto"/>
        <w:ind w:right="-870"/>
        <w:jc w:val="both"/>
        <w:rPr>
          <w:rFonts w:cs="Garamond"/>
          <w:color w:val="auto"/>
          <w:sz w:val="28"/>
          <w:szCs w:val="28"/>
          <w:lang w:val="en-US" w:eastAsia="ru-RU" w:bidi="ru-RU"/>
        </w:rPr>
      </w:pPr>
      <w:r w:rsidRPr="00D44ABD">
        <w:rPr>
          <w:rFonts w:cs="Garamond"/>
          <w:color w:val="auto"/>
          <w:sz w:val="28"/>
          <w:szCs w:val="28"/>
          <w:lang w:val="en-US" w:eastAsia="ru-RU" w:bidi="ru-RU"/>
        </w:rPr>
        <w:t>Credit (Grade C, 37</w:t>
      </w:r>
      <w:r w:rsidR="00ED0D27">
        <w:rPr>
          <w:rFonts w:cs="Garamond"/>
          <w:color w:val="auto"/>
          <w:sz w:val="28"/>
          <w:szCs w:val="28"/>
          <w:lang w:val="en-US" w:eastAsia="ru-RU" w:bidi="ru-RU"/>
        </w:rPr>
        <w:t>–</w:t>
      </w:r>
      <w:r w:rsidRPr="00D44ABD">
        <w:rPr>
          <w:rFonts w:cs="Garamond"/>
          <w:color w:val="auto"/>
          <w:sz w:val="28"/>
          <w:szCs w:val="28"/>
          <w:lang w:val="en-US" w:eastAsia="ru-RU" w:bidi="ru-RU"/>
        </w:rPr>
        <w:t>40 points)</w:t>
      </w:r>
    </w:p>
    <w:p w14:paraId="7B1CDC8A" w14:textId="77777777" w:rsidR="008C107D" w:rsidRPr="00D44ABD" w:rsidRDefault="008C107D" w:rsidP="00D44ABD">
      <w:pPr>
        <w:spacing w:line="312" w:lineRule="auto"/>
        <w:ind w:right="-870"/>
        <w:jc w:val="both"/>
        <w:rPr>
          <w:rFonts w:cs="Garamond"/>
          <w:color w:val="auto"/>
          <w:sz w:val="28"/>
          <w:szCs w:val="28"/>
          <w:lang w:val="en-US" w:eastAsia="ru-RU" w:bidi="ru-RU"/>
        </w:rPr>
      </w:pPr>
      <w:r w:rsidRPr="00D44ABD">
        <w:rPr>
          <w:rFonts w:cs="Garamond"/>
          <w:color w:val="auto"/>
          <w:sz w:val="28"/>
          <w:szCs w:val="28"/>
          <w:lang w:val="en-US" w:eastAsia="ru-RU" w:bidi="ru-RU"/>
        </w:rPr>
        <w:t>Pass 1 (Grade D, 33</w:t>
      </w:r>
      <w:r w:rsidR="00ED0D27">
        <w:rPr>
          <w:rFonts w:cs="Garamond"/>
          <w:color w:val="auto"/>
          <w:sz w:val="28"/>
          <w:szCs w:val="28"/>
          <w:lang w:val="en-US" w:eastAsia="ru-RU" w:bidi="ru-RU"/>
        </w:rPr>
        <w:t>–</w:t>
      </w:r>
      <w:r w:rsidRPr="00D44ABD">
        <w:rPr>
          <w:rFonts w:cs="Garamond"/>
          <w:color w:val="auto"/>
          <w:sz w:val="28"/>
          <w:szCs w:val="28"/>
          <w:lang w:val="en-US" w:eastAsia="ru-RU" w:bidi="ru-RU"/>
        </w:rPr>
        <w:t>36 points)</w:t>
      </w:r>
    </w:p>
    <w:p w14:paraId="1D45A49A" w14:textId="77777777" w:rsidR="008C107D" w:rsidRPr="00D44ABD" w:rsidRDefault="008C107D" w:rsidP="00D44ABD">
      <w:pPr>
        <w:spacing w:line="312" w:lineRule="auto"/>
        <w:ind w:right="-870"/>
        <w:jc w:val="both"/>
        <w:rPr>
          <w:rFonts w:cs="Garamond"/>
          <w:color w:val="auto"/>
          <w:sz w:val="28"/>
          <w:szCs w:val="28"/>
          <w:lang w:val="en-US" w:eastAsia="ru-RU" w:bidi="ru-RU"/>
        </w:rPr>
      </w:pPr>
      <w:r w:rsidRPr="00D44ABD">
        <w:rPr>
          <w:rFonts w:cs="Garamond"/>
          <w:color w:val="auto"/>
          <w:sz w:val="28"/>
          <w:szCs w:val="28"/>
          <w:lang w:val="en-US" w:eastAsia="ru-RU" w:bidi="ru-RU"/>
        </w:rPr>
        <w:t>Pass 2 (Grade E, 30</w:t>
      </w:r>
      <w:r w:rsidR="00ED0D27">
        <w:rPr>
          <w:rFonts w:cs="Garamond"/>
          <w:color w:val="auto"/>
          <w:sz w:val="28"/>
          <w:szCs w:val="28"/>
          <w:lang w:val="en-US" w:eastAsia="ru-RU" w:bidi="ru-RU"/>
        </w:rPr>
        <w:t>–</w:t>
      </w:r>
      <w:r w:rsidRPr="00D44ABD">
        <w:rPr>
          <w:rFonts w:cs="Garamond"/>
          <w:color w:val="auto"/>
          <w:sz w:val="28"/>
          <w:szCs w:val="28"/>
          <w:lang w:val="en-US" w:eastAsia="ru-RU" w:bidi="ru-RU"/>
        </w:rPr>
        <w:t>32 points)</w:t>
      </w:r>
    </w:p>
    <w:p w14:paraId="13C87533" w14:textId="77777777" w:rsidR="00D44ABD" w:rsidRDefault="008C107D" w:rsidP="00D44ABD">
      <w:pPr>
        <w:spacing w:line="312" w:lineRule="auto"/>
        <w:ind w:right="-870"/>
        <w:jc w:val="both"/>
        <w:rPr>
          <w:rFonts w:cs="Garamond"/>
          <w:color w:val="auto"/>
          <w:sz w:val="28"/>
          <w:szCs w:val="28"/>
          <w:lang w:val="en-US" w:eastAsia="ru-RU" w:bidi="ru-RU"/>
        </w:rPr>
      </w:pPr>
      <w:r w:rsidRPr="00D44ABD">
        <w:rPr>
          <w:rFonts w:cs="Garamond"/>
          <w:color w:val="auto"/>
          <w:sz w:val="28"/>
          <w:szCs w:val="28"/>
          <w:lang w:val="en-US" w:eastAsia="ru-RU" w:bidi="ru-RU"/>
        </w:rPr>
        <w:t>Fail (Grade F, 0</w:t>
      </w:r>
      <w:r w:rsidR="00ED0D27">
        <w:rPr>
          <w:rFonts w:cs="Garamond"/>
          <w:color w:val="auto"/>
          <w:sz w:val="28"/>
          <w:szCs w:val="28"/>
          <w:lang w:val="en-US" w:eastAsia="ru-RU" w:bidi="ru-RU"/>
        </w:rPr>
        <w:t>–</w:t>
      </w:r>
      <w:r w:rsidRPr="00D44ABD">
        <w:rPr>
          <w:rFonts w:cs="Garamond"/>
          <w:color w:val="auto"/>
          <w:sz w:val="28"/>
          <w:szCs w:val="28"/>
          <w:lang w:val="en-US" w:eastAsia="ru-RU" w:bidi="ru-RU"/>
        </w:rPr>
        <w:t>29 points)</w:t>
      </w:r>
    </w:p>
    <w:p w14:paraId="0C44E36C" w14:textId="77777777" w:rsidR="002D4F17" w:rsidRPr="008C107D" w:rsidRDefault="008C107D" w:rsidP="00D44ABD">
      <w:pPr>
        <w:spacing w:line="312" w:lineRule="auto"/>
        <w:ind w:right="-870"/>
        <w:jc w:val="both"/>
        <w:rPr>
          <w:rFonts w:cs="Garamond"/>
          <w:color w:val="auto"/>
          <w:sz w:val="28"/>
          <w:szCs w:val="28"/>
          <w:lang w:val="en-US" w:eastAsia="ru-RU" w:bidi="ru-RU"/>
        </w:rPr>
      </w:pPr>
      <w:r w:rsidRPr="00D44ABD">
        <w:rPr>
          <w:rFonts w:cs="Garamond"/>
          <w:color w:val="auto"/>
          <w:sz w:val="28"/>
          <w:szCs w:val="28"/>
          <w:lang w:val="en-US" w:eastAsia="ru-RU" w:bidi="ru-RU"/>
        </w:rPr>
        <w:t>If failing an assig</w:t>
      </w:r>
      <w:r w:rsidR="00ED0D27">
        <w:rPr>
          <w:rFonts w:cs="Garamond"/>
          <w:color w:val="auto"/>
          <w:sz w:val="28"/>
          <w:szCs w:val="28"/>
          <w:lang w:val="en-US" w:eastAsia="ru-RU" w:bidi="ru-RU"/>
        </w:rPr>
        <w:t>nment, it may be possible to re</w:t>
      </w:r>
      <w:r w:rsidRPr="00D44ABD">
        <w:rPr>
          <w:rFonts w:cs="Garamond"/>
          <w:color w:val="auto"/>
          <w:sz w:val="28"/>
          <w:szCs w:val="28"/>
          <w:lang w:val="en-US" w:eastAsia="ru-RU" w:bidi="ru-RU"/>
        </w:rPr>
        <w:t>sit the assignment later during the course.</w:t>
      </w:r>
    </w:p>
    <w:p w14:paraId="49D55B0F" w14:textId="77777777" w:rsidR="00DC64FF" w:rsidRPr="00DC64FF" w:rsidRDefault="00DC64FF" w:rsidP="00DC64FF">
      <w:pPr>
        <w:pStyle w:val="eng"/>
        <w:rPr>
          <w:rFonts w:eastAsia="Garamond"/>
          <w:u w:color="000000"/>
          <w:bdr w:val="nil"/>
          <w:lang w:val="en-US" w:eastAsia="en-US"/>
        </w:rPr>
      </w:pPr>
      <w:r w:rsidRPr="00DC64FF">
        <w:rPr>
          <w:rFonts w:eastAsia="Garamond"/>
          <w:u w:color="000000"/>
          <w:bdr w:val="nil"/>
          <w:lang w:val="en-US" w:eastAsia="en-US"/>
        </w:rPr>
        <w:lastRenderedPageBreak/>
        <w:t>Assignment 3</w:t>
      </w:r>
      <w:r w:rsidR="00AC0394">
        <w:rPr>
          <w:rFonts w:eastAsia="Garamond"/>
          <w:u w:color="000000"/>
          <w:bdr w:val="nil"/>
          <w:lang w:val="en-US" w:eastAsia="en-US"/>
        </w:rPr>
        <w:t>:</w:t>
      </w:r>
    </w:p>
    <w:p w14:paraId="19132A77" w14:textId="77777777" w:rsidR="00DC64FF" w:rsidRDefault="00DC64FF" w:rsidP="00DC64FF">
      <w:pPr>
        <w:pStyle w:val="eng"/>
        <w:rPr>
          <w:rFonts w:eastAsia="Garamond"/>
          <w:u w:color="000000"/>
          <w:bdr w:val="nil"/>
          <w:lang w:val="en-US" w:eastAsia="en-US"/>
        </w:rPr>
      </w:pPr>
      <w:r w:rsidRPr="00DC64FF">
        <w:rPr>
          <w:rFonts w:eastAsia="Garamond"/>
          <w:u w:color="000000"/>
          <w:bdr w:val="nil"/>
          <w:lang w:val="en-US" w:eastAsia="en-US"/>
        </w:rPr>
        <w:t>Company’s financial analysis</w:t>
      </w:r>
      <w:r w:rsidR="00AC0394">
        <w:rPr>
          <w:rFonts w:eastAsia="Garamond"/>
          <w:u w:color="000000"/>
          <w:bdr w:val="nil"/>
          <w:lang w:val="en-US" w:eastAsia="en-US"/>
        </w:rPr>
        <w:t>.</w:t>
      </w:r>
      <w:r w:rsidRPr="00DC64FF">
        <w:rPr>
          <w:rFonts w:eastAsia="Garamond"/>
          <w:u w:color="000000"/>
          <w:bdr w:val="nil"/>
          <w:lang w:val="en-US" w:eastAsia="en-US"/>
        </w:rPr>
        <w:t xml:space="preserve"> </w:t>
      </w:r>
    </w:p>
    <w:p w14:paraId="0F50CCCF" w14:textId="77777777" w:rsidR="00DC64FF" w:rsidRPr="00DC64FF" w:rsidRDefault="00DC64FF" w:rsidP="00DC64FF">
      <w:pPr>
        <w:pStyle w:val="eng"/>
        <w:rPr>
          <w:rFonts w:eastAsia="Garamond"/>
          <w:u w:color="000000"/>
          <w:bdr w:val="nil"/>
          <w:lang w:val="en-US" w:eastAsia="en-US"/>
        </w:rPr>
      </w:pPr>
      <w:r w:rsidRPr="00DC64FF">
        <w:rPr>
          <w:rFonts w:eastAsia="Garamond"/>
          <w:u w:color="000000"/>
          <w:bdr w:val="nil"/>
          <w:lang w:val="en-US" w:eastAsia="en-US"/>
        </w:rPr>
        <w:t xml:space="preserve">team project </w:t>
      </w:r>
    </w:p>
    <w:p w14:paraId="29CDCFCE" w14:textId="77777777" w:rsidR="00DC64FF" w:rsidRPr="00DC64FF" w:rsidRDefault="00DC64FF" w:rsidP="00DC64FF">
      <w:pPr>
        <w:pStyle w:val="end2"/>
        <w:rPr>
          <w:rFonts w:eastAsia="Garamond"/>
          <w:u w:color="000000"/>
          <w:bdr w:val="nil"/>
          <w:lang w:eastAsia="en-US"/>
        </w:rPr>
      </w:pPr>
      <w:r w:rsidRPr="00DC64FF">
        <w:rPr>
          <w:rFonts w:eastAsia="Garamond"/>
          <w:u w:color="000000"/>
          <w:bdr w:val="nil"/>
          <w:lang w:eastAsia="en-US"/>
        </w:rPr>
        <w:t>DESCRIPTION</w:t>
      </w:r>
    </w:p>
    <w:p w14:paraId="57A9EAED"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color w:val="auto"/>
          <w:sz w:val="28"/>
          <w:szCs w:val="28"/>
          <w:lang w:val="en-US" w:eastAsia="ru-RU" w:bidi="ru-RU"/>
        </w:rPr>
        <w:t xml:space="preserve">In Assignment 3, you will be asked to write a team project and make </w:t>
      </w:r>
      <w:r w:rsidR="00ED0D27">
        <w:rPr>
          <w:rFonts w:cs="Garamond"/>
          <w:color w:val="auto"/>
          <w:sz w:val="28"/>
          <w:szCs w:val="28"/>
          <w:lang w:val="en-US" w:eastAsia="ru-RU" w:bidi="ru-RU"/>
        </w:rPr>
        <w:t>a</w:t>
      </w:r>
      <w:r w:rsidRPr="00DC64FF">
        <w:rPr>
          <w:rFonts w:cs="Garamond"/>
          <w:color w:val="auto"/>
          <w:sz w:val="28"/>
          <w:szCs w:val="28"/>
          <w:lang w:val="en-US" w:eastAsia="ru-RU" w:bidi="ru-RU"/>
        </w:rPr>
        <w:t xml:space="preserve"> presentation. The writing team project </w:t>
      </w:r>
      <w:r w:rsidR="00ED0D27">
        <w:rPr>
          <w:rFonts w:cs="Garamond"/>
          <w:color w:val="auto"/>
          <w:sz w:val="28"/>
          <w:szCs w:val="28"/>
          <w:lang w:val="en-US" w:eastAsia="ru-RU" w:bidi="ru-RU"/>
        </w:rPr>
        <w:t>is required to</w:t>
      </w:r>
      <w:r w:rsidRPr="00DC64FF">
        <w:rPr>
          <w:rFonts w:cs="Garamond"/>
          <w:color w:val="auto"/>
          <w:sz w:val="28"/>
          <w:szCs w:val="28"/>
          <w:lang w:val="en-US" w:eastAsia="ru-RU" w:bidi="ru-RU"/>
        </w:rPr>
        <w:t xml:space="preserve"> analyze and interpret </w:t>
      </w:r>
      <w:r w:rsidR="00ED0D27">
        <w:rPr>
          <w:rFonts w:cs="Garamond"/>
          <w:color w:val="auto"/>
          <w:sz w:val="28"/>
          <w:szCs w:val="28"/>
          <w:lang w:val="en-US" w:eastAsia="ru-RU" w:bidi="ru-RU"/>
        </w:rPr>
        <w:t xml:space="preserve">a </w:t>
      </w:r>
      <w:r w:rsidRPr="00DC64FF">
        <w:rPr>
          <w:rFonts w:cs="Garamond"/>
          <w:color w:val="auto"/>
          <w:sz w:val="28"/>
          <w:szCs w:val="28"/>
          <w:lang w:val="en-US" w:eastAsia="ru-RU" w:bidi="ru-RU"/>
        </w:rPr>
        <w:t xml:space="preserve">company's financial statements and financial disclosures, </w:t>
      </w:r>
      <w:r w:rsidR="00ED0D27">
        <w:rPr>
          <w:rFonts w:cs="Garamond"/>
          <w:color w:val="auto"/>
          <w:sz w:val="28"/>
          <w:szCs w:val="28"/>
          <w:lang w:val="en-US" w:eastAsia="ru-RU" w:bidi="ru-RU"/>
        </w:rPr>
        <w:t xml:space="preserve">to </w:t>
      </w:r>
      <w:r w:rsidRPr="00DC64FF">
        <w:rPr>
          <w:rFonts w:cs="Garamond"/>
          <w:color w:val="auto"/>
          <w:sz w:val="28"/>
          <w:szCs w:val="28"/>
          <w:lang w:val="en-US" w:eastAsia="ru-RU" w:bidi="ru-RU"/>
        </w:rPr>
        <w:t>evaluate</w:t>
      </w:r>
      <w:r w:rsidR="00ED0D27">
        <w:rPr>
          <w:rFonts w:cs="Garamond"/>
          <w:color w:val="auto"/>
          <w:sz w:val="28"/>
          <w:szCs w:val="28"/>
          <w:lang w:val="en-US" w:eastAsia="ru-RU" w:bidi="ru-RU"/>
        </w:rPr>
        <w:t xml:space="preserve"> the</w:t>
      </w:r>
      <w:r w:rsidRPr="00DC64FF">
        <w:rPr>
          <w:rFonts w:cs="Garamond"/>
          <w:color w:val="auto"/>
          <w:sz w:val="28"/>
          <w:szCs w:val="28"/>
          <w:lang w:val="en-US" w:eastAsia="ru-RU" w:bidi="ru-RU"/>
        </w:rPr>
        <w:t xml:space="preserve"> company’s performance, compare companies engaged in the same industry or business area, </w:t>
      </w:r>
      <w:r w:rsidR="00ED0D27">
        <w:rPr>
          <w:rFonts w:cs="Garamond"/>
          <w:color w:val="auto"/>
          <w:sz w:val="28"/>
          <w:szCs w:val="28"/>
          <w:lang w:val="en-US" w:eastAsia="ru-RU" w:bidi="ru-RU"/>
        </w:rPr>
        <w:t xml:space="preserve">and to </w:t>
      </w:r>
      <w:r w:rsidRPr="00DC64FF">
        <w:rPr>
          <w:rFonts w:cs="Garamond"/>
          <w:color w:val="auto"/>
          <w:sz w:val="28"/>
          <w:szCs w:val="28"/>
          <w:lang w:val="en-US" w:eastAsia="ru-RU" w:bidi="ru-RU"/>
        </w:rPr>
        <w:t>make and defend diagnosis and recommendations.</w:t>
      </w:r>
    </w:p>
    <w:p w14:paraId="2CA65ED0"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color w:val="auto"/>
          <w:sz w:val="28"/>
          <w:szCs w:val="28"/>
          <w:lang w:val="en-US" w:eastAsia="ru-RU" w:bidi="ru-RU"/>
        </w:rPr>
        <w:t xml:space="preserve">The project is to be done in teams of four or five people, balancing the groups based on both academic major and performance in the class to date, as well as to achieve diversity. The assignments will be the same for either team. No more than one group </w:t>
      </w:r>
      <w:r w:rsidR="00ED0D27">
        <w:rPr>
          <w:rFonts w:cs="Garamond"/>
          <w:color w:val="auto"/>
          <w:sz w:val="28"/>
          <w:szCs w:val="28"/>
          <w:lang w:val="en-US" w:eastAsia="ru-RU" w:bidi="ru-RU"/>
        </w:rPr>
        <w:t xml:space="preserve">can </w:t>
      </w:r>
      <w:r w:rsidRPr="00DC64FF">
        <w:rPr>
          <w:rFonts w:cs="Garamond"/>
          <w:color w:val="auto"/>
          <w:sz w:val="28"/>
          <w:szCs w:val="28"/>
          <w:lang w:val="en-US" w:eastAsia="ru-RU" w:bidi="ru-RU"/>
        </w:rPr>
        <w:t>analyze the same pair of companies.</w:t>
      </w:r>
    </w:p>
    <w:p w14:paraId="05902DCE" w14:textId="77777777" w:rsidR="00DC64FF" w:rsidRDefault="00DC64FF" w:rsidP="00DC64FF">
      <w:pPr>
        <w:pStyle w:val="end2"/>
        <w:rPr>
          <w:lang w:eastAsia="ru-RU"/>
        </w:rPr>
      </w:pPr>
      <w:r w:rsidRPr="00397933">
        <w:rPr>
          <w:lang w:eastAsia="ru-RU"/>
        </w:rPr>
        <w:t xml:space="preserve">Guidelines: some practical tips </w:t>
      </w:r>
    </w:p>
    <w:p w14:paraId="0739DBF5" w14:textId="77777777" w:rsidR="00DC64FF" w:rsidRPr="00DC64FF" w:rsidRDefault="00DC64FF" w:rsidP="00DC64FF">
      <w:pPr>
        <w:pStyle w:val="eng3"/>
        <w:rPr>
          <w:lang w:eastAsia="ru-RU" w:bidi="ru-RU"/>
        </w:rPr>
      </w:pPr>
      <w:r w:rsidRPr="00DC64FF">
        <w:rPr>
          <w:lang w:eastAsia="ru-RU" w:bidi="ru-RU"/>
        </w:rPr>
        <w:t>Written report project</w:t>
      </w:r>
    </w:p>
    <w:p w14:paraId="51B7E83F"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1.</w:t>
      </w:r>
      <w:r w:rsidRPr="00DC64FF">
        <w:rPr>
          <w:rFonts w:cs="Garamond"/>
          <w:color w:val="auto"/>
          <w:sz w:val="28"/>
          <w:szCs w:val="28"/>
          <w:lang w:val="en-US" w:eastAsia="ru-RU" w:bidi="ru-RU"/>
        </w:rPr>
        <w:t xml:space="preserve"> Acquire the most recent company’s financial statements for two companies in the chosen industry. The following financial statements should contain at least three to five years:</w:t>
      </w:r>
    </w:p>
    <w:p w14:paraId="1755931A" w14:textId="77777777" w:rsidR="00DC64FF" w:rsidRPr="00DC64FF" w:rsidRDefault="00DC64FF" w:rsidP="006F749C">
      <w:pPr>
        <w:pStyle w:val="ListParagraph"/>
        <w:numPr>
          <w:ilvl w:val="0"/>
          <w:numId w:val="261"/>
        </w:numPr>
        <w:spacing w:after="0" w:line="312" w:lineRule="auto"/>
        <w:ind w:left="709" w:hanging="357"/>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Statement of financial position/Balance sheets</w:t>
      </w:r>
      <w:r>
        <w:rPr>
          <w:rFonts w:ascii="Garamond" w:hAnsi="Garamond" w:cs="Garamond"/>
          <w:color w:val="auto"/>
          <w:szCs w:val="28"/>
          <w:lang w:val="en-US" w:eastAsia="ru-RU" w:bidi="ru-RU"/>
        </w:rPr>
        <w:t>;</w:t>
      </w:r>
    </w:p>
    <w:p w14:paraId="48F91A98" w14:textId="77777777" w:rsidR="00DC64FF" w:rsidRPr="00DC64FF" w:rsidRDefault="00DC64FF" w:rsidP="006F749C">
      <w:pPr>
        <w:pStyle w:val="ListParagraph"/>
        <w:numPr>
          <w:ilvl w:val="0"/>
          <w:numId w:val="261"/>
        </w:numPr>
        <w:spacing w:after="0" w:line="312" w:lineRule="auto"/>
        <w:ind w:left="709" w:hanging="357"/>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 xml:space="preserve">Statement of profit or loss </w:t>
      </w:r>
      <w:r w:rsidR="00AC0394">
        <w:rPr>
          <w:rFonts w:ascii="Garamond" w:hAnsi="Garamond" w:cs="Garamond"/>
          <w:color w:val="auto"/>
          <w:szCs w:val="28"/>
          <w:lang w:val="en-US" w:eastAsia="ru-RU" w:bidi="ru-RU"/>
        </w:rPr>
        <w:t>and other comprehensive income/</w:t>
      </w:r>
      <w:r w:rsidRPr="00DC64FF">
        <w:rPr>
          <w:rFonts w:ascii="Garamond" w:hAnsi="Garamond" w:cs="Garamond"/>
          <w:color w:val="auto"/>
          <w:szCs w:val="28"/>
          <w:lang w:val="en-US" w:eastAsia="ru-RU" w:bidi="ru-RU"/>
        </w:rPr>
        <w:t>Income statement</w:t>
      </w:r>
      <w:r>
        <w:rPr>
          <w:rFonts w:ascii="Garamond" w:hAnsi="Garamond" w:cs="Garamond"/>
          <w:color w:val="auto"/>
          <w:szCs w:val="28"/>
          <w:lang w:val="en-US" w:eastAsia="ru-RU" w:bidi="ru-RU"/>
        </w:rPr>
        <w:t>;</w:t>
      </w:r>
    </w:p>
    <w:p w14:paraId="177E245E" w14:textId="77777777" w:rsidR="00DC64FF" w:rsidRPr="00DC64FF" w:rsidRDefault="00DC64FF" w:rsidP="006F749C">
      <w:pPr>
        <w:pStyle w:val="ListParagraph"/>
        <w:numPr>
          <w:ilvl w:val="0"/>
          <w:numId w:val="261"/>
        </w:numPr>
        <w:spacing w:after="0" w:line="312" w:lineRule="auto"/>
        <w:ind w:left="709" w:hanging="357"/>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Sta</w:t>
      </w:r>
      <w:r w:rsidR="00AC0394">
        <w:rPr>
          <w:rFonts w:ascii="Garamond" w:hAnsi="Garamond" w:cs="Garamond"/>
          <w:color w:val="auto"/>
          <w:szCs w:val="28"/>
          <w:lang w:val="en-US" w:eastAsia="ru-RU" w:bidi="ru-RU"/>
        </w:rPr>
        <w:t>tement of cash flows/</w:t>
      </w:r>
      <w:r w:rsidR="00ED0D27">
        <w:rPr>
          <w:rFonts w:ascii="Garamond" w:hAnsi="Garamond" w:cs="Garamond"/>
          <w:color w:val="auto"/>
          <w:szCs w:val="28"/>
          <w:lang w:val="en-US" w:eastAsia="ru-RU" w:bidi="ru-RU"/>
        </w:rPr>
        <w:t>Cash flow</w:t>
      </w:r>
      <w:r w:rsidRPr="00DC64FF">
        <w:rPr>
          <w:rFonts w:ascii="Garamond" w:hAnsi="Garamond" w:cs="Garamond"/>
          <w:color w:val="auto"/>
          <w:szCs w:val="28"/>
          <w:lang w:val="en-US" w:eastAsia="ru-RU" w:bidi="ru-RU"/>
        </w:rPr>
        <w:t xml:space="preserve"> statements</w:t>
      </w:r>
      <w:r>
        <w:rPr>
          <w:rFonts w:ascii="Garamond" w:hAnsi="Garamond" w:cs="Garamond"/>
          <w:color w:val="auto"/>
          <w:szCs w:val="28"/>
          <w:lang w:val="en-US" w:eastAsia="ru-RU" w:bidi="ru-RU"/>
        </w:rPr>
        <w:t>;</w:t>
      </w:r>
    </w:p>
    <w:p w14:paraId="5D45FA3F" w14:textId="77777777" w:rsidR="00DC64FF" w:rsidRPr="00DC64FF" w:rsidRDefault="00AC0394" w:rsidP="006F749C">
      <w:pPr>
        <w:pStyle w:val="ListParagraph"/>
        <w:numPr>
          <w:ilvl w:val="0"/>
          <w:numId w:val="261"/>
        </w:numPr>
        <w:spacing w:after="0" w:line="312" w:lineRule="auto"/>
        <w:ind w:left="709" w:hanging="357"/>
        <w:jc w:val="both"/>
        <w:rPr>
          <w:rFonts w:ascii="Garamond" w:hAnsi="Garamond" w:cs="Garamond"/>
          <w:color w:val="auto"/>
          <w:szCs w:val="28"/>
          <w:lang w:val="en-US" w:eastAsia="ru-RU" w:bidi="ru-RU"/>
        </w:rPr>
      </w:pPr>
      <w:r>
        <w:rPr>
          <w:rFonts w:ascii="Garamond" w:hAnsi="Garamond" w:cs="Garamond"/>
          <w:color w:val="auto"/>
          <w:szCs w:val="28"/>
          <w:lang w:val="en-US" w:eastAsia="ru-RU" w:bidi="ru-RU"/>
        </w:rPr>
        <w:t>Statement of changes in equity/</w:t>
      </w:r>
      <w:r w:rsidR="00DC64FF" w:rsidRPr="00DC64FF">
        <w:rPr>
          <w:rFonts w:ascii="Garamond" w:hAnsi="Garamond" w:cs="Garamond"/>
          <w:color w:val="auto"/>
          <w:szCs w:val="28"/>
          <w:lang w:val="en-US" w:eastAsia="ru-RU" w:bidi="ru-RU"/>
        </w:rPr>
        <w:t>Shareholders</w:t>
      </w:r>
      <w:r w:rsidR="00ED0D27">
        <w:rPr>
          <w:rFonts w:ascii="Garamond" w:hAnsi="Garamond" w:cs="Garamond"/>
          <w:color w:val="auto"/>
          <w:szCs w:val="28"/>
          <w:lang w:val="en-US" w:eastAsia="ru-RU" w:bidi="ru-RU"/>
        </w:rPr>
        <w:t>’</w:t>
      </w:r>
      <w:r w:rsidR="00DC64FF" w:rsidRPr="00DC64FF">
        <w:rPr>
          <w:rFonts w:ascii="Garamond" w:hAnsi="Garamond" w:cs="Garamond"/>
          <w:color w:val="auto"/>
          <w:szCs w:val="28"/>
          <w:lang w:val="en-US" w:eastAsia="ru-RU" w:bidi="ru-RU"/>
        </w:rPr>
        <w:t xml:space="preserve"> equity statements</w:t>
      </w:r>
      <w:r w:rsidR="00DC64FF">
        <w:rPr>
          <w:rFonts w:ascii="Garamond" w:hAnsi="Garamond" w:cs="Garamond"/>
          <w:color w:val="auto"/>
          <w:szCs w:val="28"/>
          <w:lang w:val="en-US" w:eastAsia="ru-RU" w:bidi="ru-RU"/>
        </w:rPr>
        <w:t>.</w:t>
      </w:r>
    </w:p>
    <w:p w14:paraId="609E2365"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2.</w:t>
      </w:r>
      <w:r w:rsidRPr="00DC64FF">
        <w:rPr>
          <w:rFonts w:cs="Garamond"/>
          <w:color w:val="auto"/>
          <w:sz w:val="28"/>
          <w:szCs w:val="28"/>
          <w:lang w:val="en-US" w:eastAsia="ru-RU" w:bidi="ru-RU"/>
        </w:rPr>
        <w:t xml:space="preserve"> Describe the company profile through providing a short but substantial description of the company and industry where it operates. By doing so try to answer the following questions: What business is the company operate in?  What are the key characteristics of the business area where the company operates? What is a brief history of the company? What is the company's size, in terms of employee numbers, capital</w:t>
      </w:r>
      <w:r w:rsidR="00ED0D27">
        <w:rPr>
          <w:rFonts w:cs="Garamond"/>
          <w:color w:val="auto"/>
          <w:sz w:val="28"/>
          <w:szCs w:val="28"/>
          <w:lang w:val="en-US" w:eastAsia="ru-RU" w:bidi="ru-RU"/>
        </w:rPr>
        <w:t>,</w:t>
      </w:r>
      <w:r w:rsidRPr="00DC64FF">
        <w:rPr>
          <w:rFonts w:cs="Garamond"/>
          <w:color w:val="auto"/>
          <w:sz w:val="28"/>
          <w:szCs w:val="28"/>
          <w:lang w:val="en-US" w:eastAsia="ru-RU" w:bidi="ru-RU"/>
        </w:rPr>
        <w:t xml:space="preserve"> and revenues? What is </w:t>
      </w:r>
      <w:r w:rsidR="00ED0D27">
        <w:rPr>
          <w:rFonts w:cs="Garamond"/>
          <w:color w:val="auto"/>
          <w:sz w:val="28"/>
          <w:szCs w:val="28"/>
          <w:lang w:val="en-US" w:eastAsia="ru-RU" w:bidi="ru-RU"/>
        </w:rPr>
        <w:t xml:space="preserve">the </w:t>
      </w:r>
      <w:r w:rsidRPr="00DC64FF">
        <w:rPr>
          <w:rFonts w:cs="Garamond"/>
          <w:color w:val="auto"/>
          <w:sz w:val="28"/>
          <w:szCs w:val="28"/>
          <w:lang w:val="en-US" w:eastAsia="ru-RU" w:bidi="ru-RU"/>
        </w:rPr>
        <w:t xml:space="preserve">company’s organizational structure?  </w:t>
      </w:r>
    </w:p>
    <w:p w14:paraId="2DC0B1BC"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lastRenderedPageBreak/>
        <w:t>Step 3.</w:t>
      </w:r>
      <w:r w:rsidRPr="00DC64FF">
        <w:rPr>
          <w:rFonts w:cs="Garamond"/>
          <w:color w:val="auto"/>
          <w:sz w:val="28"/>
          <w:szCs w:val="28"/>
          <w:lang w:val="en-US" w:eastAsia="ru-RU" w:bidi="ru-RU"/>
        </w:rPr>
        <w:t xml:space="preserve"> Give a quick </w:t>
      </w:r>
      <w:r w:rsidR="00ED0D27">
        <w:rPr>
          <w:rFonts w:cs="Garamond"/>
          <w:color w:val="auto"/>
          <w:sz w:val="28"/>
          <w:szCs w:val="28"/>
          <w:lang w:val="en-US" w:eastAsia="ru-RU" w:bidi="ru-RU"/>
        </w:rPr>
        <w:t xml:space="preserve">rule of </w:t>
      </w:r>
      <w:r w:rsidRPr="00DC64FF">
        <w:rPr>
          <w:rFonts w:cs="Garamond"/>
          <w:color w:val="auto"/>
          <w:sz w:val="28"/>
          <w:szCs w:val="28"/>
          <w:lang w:val="en-US" w:eastAsia="ru-RU" w:bidi="ru-RU"/>
        </w:rPr>
        <w:t>thumb</w:t>
      </w:r>
      <w:r w:rsidR="00ED0D27">
        <w:rPr>
          <w:rFonts w:cs="Garamond"/>
          <w:color w:val="auto"/>
          <w:sz w:val="28"/>
          <w:szCs w:val="28"/>
          <w:lang w:val="en-US" w:eastAsia="ru-RU" w:bidi="ru-RU"/>
        </w:rPr>
        <w:t xml:space="preserve"> estimate,</w:t>
      </w:r>
      <w:r w:rsidRPr="00DC64FF">
        <w:rPr>
          <w:rFonts w:cs="Garamond"/>
          <w:color w:val="auto"/>
          <w:sz w:val="28"/>
          <w:szCs w:val="28"/>
          <w:lang w:val="en-US" w:eastAsia="ru-RU" w:bidi="ru-RU"/>
        </w:rPr>
        <w:t xml:space="preserve"> through all financial statements</w:t>
      </w:r>
      <w:r w:rsidR="00ED0D27">
        <w:rPr>
          <w:rFonts w:cs="Garamond"/>
          <w:color w:val="auto"/>
          <w:sz w:val="28"/>
          <w:szCs w:val="28"/>
          <w:lang w:val="en-US" w:eastAsia="ru-RU" w:bidi="ru-RU"/>
        </w:rPr>
        <w:t>,</w:t>
      </w:r>
      <w:r w:rsidRPr="00DC64FF">
        <w:rPr>
          <w:rFonts w:cs="Garamond"/>
          <w:color w:val="auto"/>
          <w:sz w:val="28"/>
          <w:szCs w:val="28"/>
          <w:lang w:val="en-US" w:eastAsia="ru-RU" w:bidi="ru-RU"/>
        </w:rPr>
        <w:t xml:space="preserve"> </w:t>
      </w:r>
      <w:r w:rsidR="00ED0D27">
        <w:rPr>
          <w:rFonts w:cs="Garamond"/>
          <w:color w:val="auto"/>
          <w:sz w:val="28"/>
          <w:szCs w:val="28"/>
          <w:lang w:val="en-US" w:eastAsia="ru-RU" w:bidi="ru-RU"/>
        </w:rPr>
        <w:t xml:space="preserve">to </w:t>
      </w:r>
      <w:r w:rsidRPr="00DC64FF">
        <w:rPr>
          <w:rFonts w:cs="Garamond"/>
          <w:color w:val="auto"/>
          <w:sz w:val="28"/>
          <w:szCs w:val="28"/>
          <w:lang w:val="en-US" w:eastAsia="ru-RU" w:bidi="ru-RU"/>
        </w:rPr>
        <w:t>identif</w:t>
      </w:r>
      <w:r w:rsidR="00ED0D27">
        <w:rPr>
          <w:rFonts w:cs="Garamond"/>
          <w:color w:val="auto"/>
          <w:sz w:val="28"/>
          <w:szCs w:val="28"/>
          <w:lang w:val="en-US" w:eastAsia="ru-RU" w:bidi="ru-RU"/>
        </w:rPr>
        <w:t>y</w:t>
      </w:r>
      <w:r w:rsidRPr="00DC64FF">
        <w:rPr>
          <w:rFonts w:cs="Garamond"/>
          <w:color w:val="auto"/>
          <w:sz w:val="28"/>
          <w:szCs w:val="28"/>
          <w:lang w:val="en-US" w:eastAsia="ru-RU" w:bidi="ru-RU"/>
        </w:rPr>
        <w:t xml:space="preserve"> important movements in specific items over the period being analyzed as well as notes accompanying the financial statements for additional information that may be significant to company’s financial analysis. For instance, the following issues could be explored: What is a general dynamics of company’s revenues? Did revenues have a big jump, or a big fall, from one particular year to the next? Did total assets grow or fall? Did the company open a new subsidiary in the region or entered world market? Did the company ha</w:t>
      </w:r>
      <w:r w:rsidR="00ED0D27">
        <w:rPr>
          <w:rFonts w:cs="Garamond"/>
          <w:color w:val="auto"/>
          <w:sz w:val="28"/>
          <w:szCs w:val="28"/>
          <w:lang w:val="en-US" w:eastAsia="ru-RU" w:bidi="ru-RU"/>
        </w:rPr>
        <w:t>ve</w:t>
      </w:r>
      <w:r w:rsidRPr="00DC64FF">
        <w:rPr>
          <w:rFonts w:cs="Garamond"/>
          <w:color w:val="auto"/>
          <w:sz w:val="28"/>
          <w:szCs w:val="28"/>
          <w:lang w:val="en-US" w:eastAsia="ru-RU" w:bidi="ru-RU"/>
        </w:rPr>
        <w:t xml:space="preserve"> changes in equity capital or shareholders? </w:t>
      </w:r>
    </w:p>
    <w:p w14:paraId="546F3D2E"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4.</w:t>
      </w:r>
      <w:r w:rsidRPr="00DC64FF">
        <w:rPr>
          <w:rFonts w:cs="Garamond"/>
          <w:color w:val="auto"/>
          <w:sz w:val="28"/>
          <w:szCs w:val="28"/>
          <w:lang w:val="en-US" w:eastAsia="ru-RU" w:bidi="ru-RU"/>
        </w:rPr>
        <w:t xml:space="preserve"> Analyze the Statement of financial position. Discover changes in overall components of the company's assets, liabilities, and equity. By doing so the following questions could be answered: What </w:t>
      </w:r>
      <w:r w:rsidR="00ED0D27">
        <w:rPr>
          <w:rFonts w:cs="Garamond"/>
          <w:color w:val="auto"/>
          <w:sz w:val="28"/>
          <w:szCs w:val="28"/>
          <w:lang w:val="en-US" w:eastAsia="ru-RU" w:bidi="ru-RU"/>
        </w:rPr>
        <w:t>are</w:t>
      </w:r>
      <w:r w:rsidRPr="00DC64FF">
        <w:rPr>
          <w:rFonts w:cs="Garamond"/>
          <w:color w:val="auto"/>
          <w:sz w:val="28"/>
          <w:szCs w:val="28"/>
          <w:lang w:val="en-US" w:eastAsia="ru-RU" w:bidi="ru-RU"/>
        </w:rPr>
        <w:t xml:space="preserve"> level and percentage changes in cash, inventory, working capital, fixed assets, and debt? Have fixed assets grown rapidly in one or two years, due to acquisitions or new facilities? How changes in receivables or inventory influence changes in revenues? Do increases in fixed assets reflect </w:t>
      </w:r>
      <w:r w:rsidR="00ED0D27">
        <w:rPr>
          <w:rFonts w:cs="Garamond"/>
          <w:color w:val="auto"/>
          <w:sz w:val="28"/>
          <w:szCs w:val="28"/>
          <w:lang w:val="en-US" w:eastAsia="ru-RU" w:bidi="ru-RU"/>
        </w:rPr>
        <w:t>the</w:t>
      </w:r>
      <w:r w:rsidRPr="00DC64FF">
        <w:rPr>
          <w:rFonts w:cs="Garamond"/>
          <w:color w:val="auto"/>
          <w:sz w:val="28"/>
          <w:szCs w:val="28"/>
          <w:lang w:val="en-US" w:eastAsia="ru-RU" w:bidi="ru-RU"/>
        </w:rPr>
        <w:t xml:space="preserve"> company’s desire to expand operations? Discuss whether the company’s performance related to investigated items of the Statement of financial position appeared to be improving, deteriorating, or remain stable.   </w:t>
      </w:r>
    </w:p>
    <w:p w14:paraId="4A8AFD47"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5.</w:t>
      </w:r>
      <w:r w:rsidRPr="00DC64FF">
        <w:rPr>
          <w:rFonts w:cs="Garamond"/>
          <w:color w:val="auto"/>
          <w:sz w:val="28"/>
          <w:szCs w:val="28"/>
          <w:lang w:val="en-US" w:eastAsia="ru-RU" w:bidi="ru-RU"/>
        </w:rPr>
        <w:t xml:space="preserve"> Analyze the Statement of profit or loss and other comprehensive income. Look for trends, the level and percentage changes over time. Calculate and display result in the tabular form. Graph the growth of the following entries over the past years. By doing so the following questions could be answered: What is the level and percentage changes of total revenues, the components of revenues, cost of sales, major expenses, operating income, net income, or earnings per share over the period being analyzed? Are they moving in a smooth and consistent fashion, or erratically up and down? Are the revenues and profits growing over time? What is the trend in the relationship between revenues and cost of sales, revenues and operating income, or revenues and net income over the period being analyzed? Identify causes of changes in the components of the Statement of profit or loss and other comprehensive income accounts. Investigate favorable or unfavorable trends. </w:t>
      </w:r>
    </w:p>
    <w:p w14:paraId="51237864"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6.</w:t>
      </w:r>
      <w:r w:rsidRPr="00DC64FF">
        <w:rPr>
          <w:rFonts w:cs="Garamond"/>
          <w:color w:val="auto"/>
          <w:sz w:val="28"/>
          <w:szCs w:val="28"/>
          <w:lang w:val="en-US" w:eastAsia="ru-RU" w:bidi="ru-RU"/>
        </w:rPr>
        <w:t xml:space="preserve">  Analyze the Statement of changes in equity. Look for trends, the level and percentage changes over time. By doing so the following questions could be </w:t>
      </w:r>
      <w:r w:rsidR="00ED0D27">
        <w:rPr>
          <w:rFonts w:cs="Garamond"/>
          <w:color w:val="auto"/>
          <w:sz w:val="28"/>
          <w:szCs w:val="28"/>
          <w:lang w:val="en-US" w:eastAsia="ru-RU" w:bidi="ru-RU"/>
        </w:rPr>
        <w:t>answered: Did the company issue</w:t>
      </w:r>
      <w:r w:rsidRPr="00DC64FF">
        <w:rPr>
          <w:rFonts w:cs="Garamond"/>
          <w:color w:val="auto"/>
          <w:sz w:val="28"/>
          <w:szCs w:val="28"/>
          <w:lang w:val="en-US" w:eastAsia="ru-RU" w:bidi="ru-RU"/>
        </w:rPr>
        <w:t xml:space="preserve"> new shares or bought some back? </w:t>
      </w:r>
      <w:r w:rsidR="00ED0D27">
        <w:rPr>
          <w:rFonts w:cs="Garamond"/>
          <w:color w:val="auto"/>
          <w:sz w:val="28"/>
          <w:szCs w:val="28"/>
          <w:lang w:val="en-US" w:eastAsia="ru-RU" w:bidi="ru-RU"/>
        </w:rPr>
        <w:t>Has</w:t>
      </w:r>
      <w:r w:rsidRPr="00DC64FF">
        <w:rPr>
          <w:rFonts w:cs="Garamond"/>
          <w:color w:val="auto"/>
          <w:sz w:val="28"/>
          <w:szCs w:val="28"/>
          <w:lang w:val="en-US" w:eastAsia="ru-RU" w:bidi="ru-RU"/>
        </w:rPr>
        <w:t xml:space="preserve"> the company complete</w:t>
      </w:r>
      <w:r w:rsidR="00ED0D27">
        <w:rPr>
          <w:rFonts w:cs="Garamond"/>
          <w:color w:val="auto"/>
          <w:sz w:val="28"/>
          <w:szCs w:val="28"/>
          <w:lang w:val="en-US" w:eastAsia="ru-RU" w:bidi="ru-RU"/>
        </w:rPr>
        <w:t>d</w:t>
      </w:r>
      <w:r w:rsidRPr="00DC64FF">
        <w:rPr>
          <w:rFonts w:cs="Garamond"/>
          <w:color w:val="auto"/>
          <w:sz w:val="28"/>
          <w:szCs w:val="28"/>
          <w:lang w:val="en-US" w:eastAsia="ru-RU" w:bidi="ru-RU"/>
        </w:rPr>
        <w:t xml:space="preserve"> stock split or reverse stock split over the period being analyzed? </w:t>
      </w:r>
      <w:r w:rsidR="009E6CC5">
        <w:rPr>
          <w:rFonts w:cs="Garamond"/>
          <w:color w:val="auto"/>
          <w:sz w:val="28"/>
          <w:szCs w:val="28"/>
          <w:lang w:val="en-US" w:eastAsia="ru-RU" w:bidi="ru-RU"/>
        </w:rPr>
        <w:t>Have</w:t>
      </w:r>
      <w:r w:rsidRPr="00DC64FF">
        <w:rPr>
          <w:rFonts w:cs="Garamond"/>
          <w:color w:val="auto"/>
          <w:sz w:val="28"/>
          <w:szCs w:val="28"/>
          <w:lang w:val="en-US" w:eastAsia="ru-RU" w:bidi="ru-RU"/>
        </w:rPr>
        <w:t xml:space="preserve"> the retained earnings</w:t>
      </w:r>
      <w:r w:rsidR="009E6CC5">
        <w:rPr>
          <w:rFonts w:cs="Garamond"/>
          <w:color w:val="auto"/>
          <w:sz w:val="28"/>
          <w:szCs w:val="28"/>
          <w:lang w:val="en-US" w:eastAsia="ru-RU" w:bidi="ru-RU"/>
        </w:rPr>
        <w:t xml:space="preserve"> been </w:t>
      </w:r>
      <w:r w:rsidRPr="00DC64FF">
        <w:rPr>
          <w:rFonts w:cs="Garamond"/>
          <w:color w:val="auto"/>
          <w:sz w:val="28"/>
          <w:szCs w:val="28"/>
          <w:lang w:val="en-US" w:eastAsia="ru-RU" w:bidi="ru-RU"/>
        </w:rPr>
        <w:t>growing or shrinking over the period being analyzed?</w:t>
      </w:r>
    </w:p>
    <w:p w14:paraId="58CE67DF"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lastRenderedPageBreak/>
        <w:t>Step 7.</w:t>
      </w:r>
      <w:r w:rsidRPr="00DC64FF">
        <w:rPr>
          <w:rFonts w:cs="Garamond"/>
          <w:color w:val="auto"/>
          <w:sz w:val="28"/>
          <w:szCs w:val="28"/>
          <w:lang w:val="en-US" w:eastAsia="ru-RU" w:bidi="ru-RU"/>
        </w:rPr>
        <w:t xml:space="preserve"> Analyze company’s cash inflows and outflows from operating, investing</w:t>
      </w:r>
      <w:r w:rsidR="009E6CC5">
        <w:rPr>
          <w:rFonts w:cs="Garamond"/>
          <w:color w:val="auto"/>
          <w:sz w:val="28"/>
          <w:szCs w:val="28"/>
          <w:lang w:val="en-US" w:eastAsia="ru-RU" w:bidi="ru-RU"/>
        </w:rPr>
        <w:t>,</w:t>
      </w:r>
      <w:r w:rsidRPr="00DC64FF">
        <w:rPr>
          <w:rFonts w:cs="Garamond"/>
          <w:color w:val="auto"/>
          <w:sz w:val="28"/>
          <w:szCs w:val="28"/>
          <w:lang w:val="en-US" w:eastAsia="ru-RU" w:bidi="ru-RU"/>
        </w:rPr>
        <w:t xml:space="preserve"> and financing activities over the period being analyzed as identified in the Statement of cash flows. Provide results of calculations in tabular and graphical form.</w:t>
      </w:r>
    </w:p>
    <w:p w14:paraId="0173C429"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8.</w:t>
      </w:r>
      <w:r w:rsidRPr="00DC64FF">
        <w:rPr>
          <w:rFonts w:cs="Garamond"/>
          <w:color w:val="auto"/>
          <w:sz w:val="28"/>
          <w:szCs w:val="28"/>
          <w:lang w:val="en-US" w:eastAsia="ru-RU" w:bidi="ru-RU"/>
        </w:rPr>
        <w:t xml:space="preserve"> Calculate financial ratios in each of the following categories, for each year:</w:t>
      </w:r>
    </w:p>
    <w:p w14:paraId="51390CD2" w14:textId="77777777" w:rsidR="00DC64FF" w:rsidRPr="00DC64FF" w:rsidRDefault="00DC64FF" w:rsidP="006F749C">
      <w:pPr>
        <w:pStyle w:val="ListParagraph"/>
        <w:numPr>
          <w:ilvl w:val="0"/>
          <w:numId w:val="262"/>
        </w:numPr>
        <w:spacing w:after="0" w:line="312" w:lineRule="auto"/>
        <w:ind w:left="709"/>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liquidity ratios</w:t>
      </w:r>
      <w:r>
        <w:rPr>
          <w:rFonts w:ascii="Garamond" w:hAnsi="Garamond" w:cs="Garamond"/>
          <w:color w:val="auto"/>
          <w:szCs w:val="28"/>
          <w:lang w:val="en-US" w:eastAsia="ru-RU" w:bidi="ru-RU"/>
        </w:rPr>
        <w:t>;</w:t>
      </w:r>
    </w:p>
    <w:p w14:paraId="14ADA969" w14:textId="77777777" w:rsidR="00DC64FF" w:rsidRPr="00DC64FF" w:rsidRDefault="00DC64FF" w:rsidP="006F749C">
      <w:pPr>
        <w:pStyle w:val="ListParagraph"/>
        <w:numPr>
          <w:ilvl w:val="0"/>
          <w:numId w:val="262"/>
        </w:numPr>
        <w:spacing w:after="0" w:line="312" w:lineRule="auto"/>
        <w:ind w:left="709" w:hanging="357"/>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solvency ratios (debt ratios or leveraging ratios)</w:t>
      </w:r>
      <w:r>
        <w:rPr>
          <w:rFonts w:ascii="Garamond" w:hAnsi="Garamond" w:cs="Garamond"/>
          <w:color w:val="auto"/>
          <w:szCs w:val="28"/>
          <w:lang w:val="en-US" w:eastAsia="ru-RU" w:bidi="ru-RU"/>
        </w:rPr>
        <w:t>;</w:t>
      </w:r>
    </w:p>
    <w:p w14:paraId="6548ED45" w14:textId="77777777" w:rsidR="00DC64FF" w:rsidRPr="00DC64FF" w:rsidRDefault="00DC64FF" w:rsidP="006F749C">
      <w:pPr>
        <w:pStyle w:val="ListParagraph"/>
        <w:numPr>
          <w:ilvl w:val="0"/>
          <w:numId w:val="262"/>
        </w:numPr>
        <w:spacing w:after="0" w:line="312" w:lineRule="auto"/>
        <w:ind w:left="709" w:hanging="357"/>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profitability ratios</w:t>
      </w:r>
      <w:r>
        <w:rPr>
          <w:rFonts w:ascii="Garamond" w:hAnsi="Garamond" w:cs="Garamond"/>
          <w:color w:val="auto"/>
          <w:szCs w:val="28"/>
          <w:lang w:val="en-US" w:eastAsia="ru-RU" w:bidi="ru-RU"/>
        </w:rPr>
        <w:t>;</w:t>
      </w:r>
    </w:p>
    <w:p w14:paraId="39C35EE3" w14:textId="77777777" w:rsidR="00DC64FF" w:rsidRPr="00DC64FF" w:rsidRDefault="00DC64FF" w:rsidP="006F749C">
      <w:pPr>
        <w:pStyle w:val="ListParagraph"/>
        <w:numPr>
          <w:ilvl w:val="0"/>
          <w:numId w:val="262"/>
        </w:numPr>
        <w:spacing w:after="0" w:line="312" w:lineRule="auto"/>
        <w:ind w:left="709" w:hanging="357"/>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activity ratios (efficiency ratios)</w:t>
      </w:r>
      <w:r>
        <w:rPr>
          <w:rFonts w:ascii="Garamond" w:hAnsi="Garamond" w:cs="Garamond"/>
          <w:color w:val="auto"/>
          <w:szCs w:val="28"/>
          <w:lang w:val="en-US" w:eastAsia="ru-RU" w:bidi="ru-RU"/>
        </w:rPr>
        <w:t>;</w:t>
      </w:r>
    </w:p>
    <w:p w14:paraId="171BF6BF" w14:textId="77777777" w:rsidR="00DC64FF" w:rsidRPr="00DC64FF" w:rsidRDefault="00DC64FF" w:rsidP="006F749C">
      <w:pPr>
        <w:pStyle w:val="ListParagraph"/>
        <w:numPr>
          <w:ilvl w:val="0"/>
          <w:numId w:val="262"/>
        </w:numPr>
        <w:spacing w:after="0" w:line="312" w:lineRule="auto"/>
        <w:ind w:left="709" w:hanging="357"/>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market ratios (valuation ratios)</w:t>
      </w:r>
      <w:r>
        <w:rPr>
          <w:rFonts w:ascii="Garamond" w:hAnsi="Garamond" w:cs="Garamond"/>
          <w:color w:val="auto"/>
          <w:szCs w:val="28"/>
          <w:lang w:val="en-US" w:eastAsia="ru-RU" w:bidi="ru-RU"/>
        </w:rPr>
        <w:t>.</w:t>
      </w:r>
      <w:r w:rsidRPr="00DC64FF">
        <w:rPr>
          <w:rFonts w:ascii="Garamond" w:hAnsi="Garamond" w:cs="Garamond"/>
          <w:color w:val="auto"/>
          <w:szCs w:val="28"/>
          <w:lang w:val="en-US" w:eastAsia="ru-RU" w:bidi="ru-RU"/>
        </w:rPr>
        <w:t xml:space="preserve">    </w:t>
      </w:r>
    </w:p>
    <w:p w14:paraId="26D5AD6B"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color w:val="auto"/>
          <w:sz w:val="28"/>
          <w:szCs w:val="28"/>
          <w:lang w:val="en-US" w:eastAsia="ru-RU" w:bidi="ru-RU"/>
        </w:rPr>
        <w:t>Formulas c</w:t>
      </w:r>
      <w:r w:rsidR="009E6CC5">
        <w:rPr>
          <w:rFonts w:cs="Garamond"/>
          <w:color w:val="auto"/>
          <w:sz w:val="28"/>
          <w:szCs w:val="28"/>
          <w:lang w:val="en-US" w:eastAsia="ru-RU" w:bidi="ru-RU"/>
        </w:rPr>
        <w:t>an</w:t>
      </w:r>
      <w:r w:rsidRPr="00DC64FF">
        <w:rPr>
          <w:rFonts w:cs="Garamond"/>
          <w:color w:val="auto"/>
          <w:sz w:val="28"/>
          <w:szCs w:val="28"/>
          <w:lang w:val="en-US" w:eastAsia="ru-RU" w:bidi="ru-RU"/>
        </w:rPr>
        <w:t xml:space="preserve"> be found in the Appendix B (Table B.1).  A summary of some useful ratios </w:t>
      </w:r>
      <w:r w:rsidR="009E6CC5">
        <w:rPr>
          <w:rFonts w:cs="Garamond"/>
          <w:color w:val="auto"/>
          <w:sz w:val="28"/>
          <w:szCs w:val="28"/>
          <w:lang w:val="en-US" w:eastAsia="ru-RU" w:bidi="ru-RU"/>
        </w:rPr>
        <w:t>is given in</w:t>
      </w:r>
      <w:r w:rsidR="00AC0394">
        <w:rPr>
          <w:rFonts w:cs="Garamond"/>
          <w:color w:val="auto"/>
          <w:sz w:val="28"/>
          <w:szCs w:val="28"/>
          <w:lang w:val="en-US" w:eastAsia="ru-RU" w:bidi="ru-RU"/>
        </w:rPr>
        <w:t xml:space="preserve"> </w:t>
      </w:r>
      <w:r w:rsidRPr="00DC64FF">
        <w:rPr>
          <w:rFonts w:cs="Garamond"/>
          <w:color w:val="auto"/>
          <w:sz w:val="28"/>
          <w:szCs w:val="28"/>
          <w:lang w:val="en-US" w:eastAsia="ru-RU" w:bidi="ru-RU"/>
        </w:rPr>
        <w:t xml:space="preserve">Chapter 8. Graph the ratios over time to find the trends in the ratios from year to year. </w:t>
      </w:r>
      <w:r w:rsidR="00200242">
        <w:rPr>
          <w:rFonts w:cs="Garamond"/>
          <w:color w:val="auto"/>
          <w:sz w:val="28"/>
          <w:szCs w:val="28"/>
          <w:lang w:val="en-US" w:eastAsia="ru-RU" w:bidi="ru-RU"/>
        </w:rPr>
        <w:t>A</w:t>
      </w:r>
      <w:r w:rsidR="00200242" w:rsidRPr="00DC64FF">
        <w:rPr>
          <w:rFonts w:cs="Garamond"/>
          <w:color w:val="auto"/>
          <w:sz w:val="28"/>
          <w:szCs w:val="28"/>
          <w:lang w:val="en-US" w:eastAsia="ru-RU" w:bidi="ru-RU"/>
        </w:rPr>
        <w:t xml:space="preserve">re </w:t>
      </w:r>
      <w:r w:rsidRPr="00DC64FF">
        <w:rPr>
          <w:rFonts w:cs="Garamond"/>
          <w:color w:val="auto"/>
          <w:sz w:val="28"/>
          <w:szCs w:val="28"/>
          <w:lang w:val="en-US" w:eastAsia="ru-RU" w:bidi="ru-RU"/>
        </w:rPr>
        <w:t>the trends going up or down? Is that favorable or unfavorable?</w:t>
      </w:r>
    </w:p>
    <w:p w14:paraId="6E6AA5E7"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9.</w:t>
      </w:r>
      <w:r w:rsidRPr="00DC64FF">
        <w:rPr>
          <w:rFonts w:cs="Garamond"/>
          <w:color w:val="auto"/>
          <w:sz w:val="28"/>
          <w:szCs w:val="28"/>
          <w:lang w:val="en-US" w:eastAsia="ru-RU" w:bidi="ru-RU"/>
        </w:rPr>
        <w:t xml:space="preserve"> Analyze the market data about the company’s stock price and the price to earnings (P/E) ratio. Make analysis and research using charts and graphs about the stock market. </w:t>
      </w:r>
      <w:r w:rsidR="00200242">
        <w:rPr>
          <w:rFonts w:cs="Garamond"/>
          <w:color w:val="auto"/>
          <w:sz w:val="28"/>
          <w:szCs w:val="28"/>
          <w:lang w:val="en-US" w:eastAsia="ru-RU" w:bidi="ru-RU"/>
        </w:rPr>
        <w:t>Have</w:t>
      </w:r>
      <w:r w:rsidRPr="00DC64FF">
        <w:rPr>
          <w:rFonts w:cs="Garamond"/>
          <w:color w:val="auto"/>
          <w:sz w:val="28"/>
          <w:szCs w:val="28"/>
          <w:lang w:val="en-US" w:eastAsia="ru-RU" w:bidi="ru-RU"/>
        </w:rPr>
        <w:t xml:space="preserve"> there </w:t>
      </w:r>
      <w:r w:rsidR="00200242">
        <w:rPr>
          <w:rFonts w:cs="Garamond"/>
          <w:color w:val="auto"/>
          <w:sz w:val="28"/>
          <w:szCs w:val="28"/>
          <w:lang w:val="en-US" w:eastAsia="ru-RU" w:bidi="ru-RU"/>
        </w:rPr>
        <w:t>been</w:t>
      </w:r>
      <w:r w:rsidRPr="00DC64FF">
        <w:rPr>
          <w:rFonts w:cs="Garamond"/>
          <w:color w:val="auto"/>
          <w:sz w:val="28"/>
          <w:szCs w:val="28"/>
          <w:lang w:val="en-US" w:eastAsia="ru-RU" w:bidi="ru-RU"/>
        </w:rPr>
        <w:t xml:space="preserve"> any changes in the stock price and P/E over the period being analyzed? Does the stock market react favorably or unfavorably to the company’s performance and its strategies for doing business in the future?</w:t>
      </w:r>
    </w:p>
    <w:p w14:paraId="0C6B8C6D"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10.</w:t>
      </w:r>
      <w:r w:rsidRPr="00DC64FF">
        <w:rPr>
          <w:rFonts w:cs="Garamond"/>
          <w:color w:val="auto"/>
          <w:sz w:val="28"/>
          <w:szCs w:val="28"/>
          <w:lang w:val="en-US" w:eastAsia="ru-RU" w:bidi="ru-RU"/>
        </w:rPr>
        <w:t xml:space="preserve"> Analyze the dividend payout. Graph the dividend payout over the period being analyzed. Examine the company’s dividend policy.</w:t>
      </w:r>
    </w:p>
    <w:p w14:paraId="14F6EEAB"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11.</w:t>
      </w:r>
      <w:r w:rsidRPr="00DC64FF">
        <w:rPr>
          <w:rFonts w:cs="Garamond"/>
          <w:color w:val="auto"/>
          <w:sz w:val="28"/>
          <w:szCs w:val="28"/>
          <w:lang w:val="en-US" w:eastAsia="ru-RU" w:bidi="ru-RU"/>
        </w:rPr>
        <w:t xml:space="preserve"> Obtain data fo</w:t>
      </w:r>
      <w:r w:rsidR="00200242">
        <w:rPr>
          <w:rFonts w:cs="Garamond"/>
          <w:color w:val="auto"/>
          <w:sz w:val="28"/>
          <w:szCs w:val="28"/>
          <w:lang w:val="en-US" w:eastAsia="ru-RU" w:bidi="ru-RU"/>
        </w:rPr>
        <w:t>r the company’s key competitors</w:t>
      </w:r>
      <w:r w:rsidRPr="00DC64FF">
        <w:rPr>
          <w:rFonts w:cs="Garamond"/>
          <w:color w:val="auto"/>
          <w:sz w:val="28"/>
          <w:szCs w:val="28"/>
          <w:lang w:val="en-US" w:eastAsia="ru-RU" w:bidi="ru-RU"/>
        </w:rPr>
        <w:t xml:space="preserve"> or data about the industry. For competitor company, calculate the financial ratios in the same way as for the company being studied. Compare the financial ratios of the base company with those of the second company in the industry being studied. By doing so try to answer the following questions: What are </w:t>
      </w:r>
      <w:r w:rsidR="00200242">
        <w:rPr>
          <w:rFonts w:cs="Garamond"/>
          <w:color w:val="auto"/>
          <w:sz w:val="28"/>
          <w:szCs w:val="28"/>
          <w:lang w:val="en-US" w:eastAsia="ru-RU" w:bidi="ru-RU"/>
        </w:rPr>
        <w:t xml:space="preserve">the </w:t>
      </w:r>
      <w:r w:rsidRPr="00DC64FF">
        <w:rPr>
          <w:rFonts w:cs="Garamond"/>
          <w:color w:val="auto"/>
          <w:sz w:val="28"/>
          <w:szCs w:val="28"/>
          <w:lang w:val="en-US" w:eastAsia="ru-RU" w:bidi="ru-RU"/>
        </w:rPr>
        <w:t xml:space="preserve">two companies’ trends in revenues, costs, operating income, net income, earnings per share, and dividends? What is the relative ability of the two companies to meet their obligations as evidenced by working capital, acid test ratios, current ratios, and debt-to-asset ratios? What is relative performance of the two companies’ equity shares on the stock market? Is the base company favorable in comparison? Making a decision to invest in one of the two companies, which company will be chosen? </w:t>
      </w:r>
      <w:r w:rsidR="00200242">
        <w:rPr>
          <w:rFonts w:cs="Garamond"/>
          <w:color w:val="auto"/>
          <w:sz w:val="28"/>
          <w:szCs w:val="28"/>
          <w:lang w:val="en-US" w:eastAsia="ru-RU" w:bidi="ru-RU"/>
        </w:rPr>
        <w:t>W</w:t>
      </w:r>
      <w:r w:rsidR="00200242" w:rsidRPr="00DC64FF">
        <w:rPr>
          <w:rFonts w:cs="Garamond"/>
          <w:color w:val="auto"/>
          <w:sz w:val="28"/>
          <w:szCs w:val="28"/>
          <w:lang w:val="en-US" w:eastAsia="ru-RU" w:bidi="ru-RU"/>
        </w:rPr>
        <w:t xml:space="preserve">ill </w:t>
      </w:r>
      <w:r w:rsidR="00200242">
        <w:rPr>
          <w:rFonts w:cs="Garamond"/>
          <w:color w:val="auto"/>
          <w:sz w:val="28"/>
          <w:szCs w:val="28"/>
          <w:lang w:val="en-US" w:eastAsia="ru-RU" w:bidi="ru-RU"/>
        </w:rPr>
        <w:t>y</w:t>
      </w:r>
      <w:r w:rsidRPr="00DC64FF">
        <w:rPr>
          <w:rFonts w:cs="Garamond"/>
          <w:color w:val="auto"/>
          <w:sz w:val="28"/>
          <w:szCs w:val="28"/>
          <w:lang w:val="en-US" w:eastAsia="ru-RU" w:bidi="ru-RU"/>
        </w:rPr>
        <w:t>our answer differ if the investor is looking for short-term returns or long-term growth?</w:t>
      </w:r>
    </w:p>
    <w:p w14:paraId="602ECB05"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b/>
          <w:color w:val="auto"/>
          <w:sz w:val="28"/>
          <w:szCs w:val="28"/>
          <w:lang w:val="en-US" w:eastAsia="ru-RU" w:bidi="ru-RU"/>
        </w:rPr>
        <w:t>Step 12.</w:t>
      </w:r>
      <w:r w:rsidRPr="00DC64FF">
        <w:rPr>
          <w:rFonts w:cs="Garamond"/>
          <w:color w:val="auto"/>
          <w:sz w:val="28"/>
          <w:szCs w:val="28"/>
          <w:lang w:val="en-US" w:eastAsia="ru-RU" w:bidi="ru-RU"/>
        </w:rPr>
        <w:t xml:space="preserve"> Review and evaluate all of the data </w:t>
      </w:r>
      <w:r w:rsidR="00200242">
        <w:rPr>
          <w:rFonts w:cs="Garamond"/>
          <w:color w:val="auto"/>
          <w:sz w:val="28"/>
          <w:szCs w:val="28"/>
          <w:lang w:val="en-US" w:eastAsia="ru-RU" w:bidi="ru-RU"/>
        </w:rPr>
        <w:t>that have</w:t>
      </w:r>
      <w:r w:rsidRPr="00DC64FF">
        <w:rPr>
          <w:rFonts w:cs="Garamond"/>
          <w:color w:val="auto"/>
          <w:sz w:val="28"/>
          <w:szCs w:val="28"/>
          <w:lang w:val="en-US" w:eastAsia="ru-RU" w:bidi="ru-RU"/>
        </w:rPr>
        <w:t xml:space="preserve"> been generated. Identify and make a summary of the strengths, weaknesses</w:t>
      </w:r>
      <w:r w:rsidR="00200242">
        <w:rPr>
          <w:rFonts w:cs="Garamond"/>
          <w:color w:val="auto"/>
          <w:sz w:val="28"/>
          <w:szCs w:val="28"/>
          <w:lang w:val="en-US" w:eastAsia="ru-RU" w:bidi="ru-RU"/>
        </w:rPr>
        <w:t>,</w:t>
      </w:r>
      <w:r w:rsidRPr="00DC64FF">
        <w:rPr>
          <w:rFonts w:cs="Garamond"/>
          <w:color w:val="auto"/>
          <w:sz w:val="28"/>
          <w:szCs w:val="28"/>
          <w:lang w:val="en-US" w:eastAsia="ru-RU" w:bidi="ru-RU"/>
        </w:rPr>
        <w:t xml:space="preserve"> and opportunities of the company</w:t>
      </w:r>
      <w:r w:rsidR="00AC0394">
        <w:rPr>
          <w:rFonts w:cs="Garamond"/>
          <w:color w:val="auto"/>
          <w:sz w:val="28"/>
          <w:szCs w:val="28"/>
          <w:lang w:val="en-US" w:eastAsia="ru-RU" w:bidi="ru-RU"/>
        </w:rPr>
        <w:t>,</w:t>
      </w:r>
      <w:r w:rsidRPr="00DC64FF">
        <w:rPr>
          <w:rFonts w:cs="Garamond"/>
          <w:color w:val="auto"/>
          <w:sz w:val="28"/>
          <w:szCs w:val="28"/>
          <w:lang w:val="en-US" w:eastAsia="ru-RU" w:bidi="ru-RU"/>
        </w:rPr>
        <w:t xml:space="preserve"> using evidence to support your analysis.</w:t>
      </w:r>
    </w:p>
    <w:p w14:paraId="7E2F61CB" w14:textId="77777777" w:rsidR="00DC64FF" w:rsidRPr="00DC64FF" w:rsidRDefault="00DC64FF" w:rsidP="00DC64FF">
      <w:pPr>
        <w:spacing w:line="312" w:lineRule="auto"/>
        <w:ind w:firstLine="357"/>
        <w:contextualSpacing/>
        <w:jc w:val="both"/>
        <w:rPr>
          <w:rFonts w:cs="Garamond"/>
          <w:b/>
          <w:color w:val="auto"/>
          <w:sz w:val="28"/>
          <w:szCs w:val="28"/>
          <w:lang w:val="en-US" w:eastAsia="ru-RU" w:bidi="ru-RU"/>
        </w:rPr>
      </w:pPr>
      <w:r>
        <w:rPr>
          <w:rFonts w:cs="Garamond"/>
          <w:b/>
          <w:color w:val="auto"/>
          <w:sz w:val="28"/>
          <w:szCs w:val="28"/>
          <w:lang w:val="en-US" w:eastAsia="ru-RU" w:bidi="ru-RU"/>
        </w:rPr>
        <w:lastRenderedPageBreak/>
        <w:t>General n</w:t>
      </w:r>
      <w:r w:rsidRPr="00DC64FF">
        <w:rPr>
          <w:rFonts w:cs="Garamond"/>
          <w:b/>
          <w:color w:val="auto"/>
          <w:sz w:val="28"/>
          <w:szCs w:val="28"/>
          <w:lang w:val="en-US" w:eastAsia="ru-RU" w:bidi="ru-RU"/>
        </w:rPr>
        <w:t>ote</w:t>
      </w:r>
      <w:r>
        <w:rPr>
          <w:rFonts w:cs="Garamond"/>
          <w:b/>
          <w:color w:val="auto"/>
          <w:sz w:val="28"/>
          <w:szCs w:val="28"/>
          <w:lang w:val="en-US" w:eastAsia="ru-RU" w:bidi="ru-RU"/>
        </w:rPr>
        <w:t>s</w:t>
      </w:r>
      <w:r w:rsidRPr="00DC64FF">
        <w:rPr>
          <w:rFonts w:cs="Garamond"/>
          <w:b/>
          <w:color w:val="auto"/>
          <w:sz w:val="28"/>
          <w:szCs w:val="28"/>
          <w:lang w:val="en-US" w:eastAsia="ru-RU" w:bidi="ru-RU"/>
        </w:rPr>
        <w:t>:</w:t>
      </w:r>
    </w:p>
    <w:p w14:paraId="7AC7A6EC" w14:textId="77777777" w:rsidR="00DC64FF" w:rsidRPr="00DC64FF" w:rsidRDefault="00DC64FF" w:rsidP="00200242">
      <w:pPr>
        <w:pStyle w:val="ListParagraph"/>
        <w:numPr>
          <w:ilvl w:val="0"/>
          <w:numId w:val="273"/>
        </w:numPr>
        <w:spacing w:after="0" w:line="312" w:lineRule="auto"/>
        <w:ind w:left="709"/>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Students must submit the entire annual reports for each company for each year being analyzed.</w:t>
      </w:r>
    </w:p>
    <w:p w14:paraId="585BA771" w14:textId="77777777" w:rsidR="00DC64FF" w:rsidRPr="00DC64FF" w:rsidRDefault="00DC64FF" w:rsidP="00200242">
      <w:pPr>
        <w:pStyle w:val="ListParagraph"/>
        <w:numPr>
          <w:ilvl w:val="0"/>
          <w:numId w:val="273"/>
        </w:numPr>
        <w:spacing w:after="0" w:line="312" w:lineRule="auto"/>
        <w:ind w:left="709"/>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The analysis must include page references to relevant portions of the financial statements. The written report must also contain appropriate references and citations for material taken from sources outside the financial statements.</w:t>
      </w:r>
    </w:p>
    <w:p w14:paraId="4F336FB1" w14:textId="77777777" w:rsidR="00DC64FF" w:rsidRPr="00DC64FF" w:rsidRDefault="00DC64FF" w:rsidP="00200242">
      <w:pPr>
        <w:pStyle w:val="ListParagraph"/>
        <w:numPr>
          <w:ilvl w:val="0"/>
          <w:numId w:val="273"/>
        </w:numPr>
        <w:spacing w:after="0" w:line="312" w:lineRule="auto"/>
        <w:ind w:left="709"/>
        <w:jc w:val="both"/>
        <w:rPr>
          <w:rFonts w:ascii="Garamond" w:hAnsi="Garamond" w:cs="Garamond"/>
          <w:color w:val="auto"/>
          <w:szCs w:val="28"/>
          <w:lang w:val="en-US" w:eastAsia="ru-RU" w:bidi="ru-RU"/>
        </w:rPr>
      </w:pPr>
      <w:r w:rsidRPr="00DC64FF">
        <w:rPr>
          <w:rFonts w:ascii="Garamond" w:hAnsi="Garamond" w:cs="Garamond"/>
          <w:color w:val="auto"/>
          <w:szCs w:val="28"/>
          <w:lang w:val="en-US" w:eastAsia="ru-RU" w:bidi="ru-RU"/>
        </w:rPr>
        <w:t>The written report is limited to 15 (fi</w:t>
      </w:r>
      <w:r w:rsidR="00200242">
        <w:rPr>
          <w:rFonts w:ascii="Garamond" w:hAnsi="Garamond" w:cs="Garamond"/>
          <w:color w:val="auto"/>
          <w:szCs w:val="28"/>
          <w:lang w:val="en-US" w:eastAsia="ru-RU" w:bidi="ru-RU"/>
        </w:rPr>
        <w:t>fteen) pages, and must be typed 1.15-spaced</w:t>
      </w:r>
      <w:r w:rsidRPr="00DC64FF">
        <w:rPr>
          <w:rFonts w:ascii="Garamond" w:hAnsi="Garamond" w:cs="Garamond"/>
          <w:color w:val="auto"/>
          <w:szCs w:val="28"/>
          <w:lang w:val="en-US" w:eastAsia="ru-RU" w:bidi="ru-RU"/>
        </w:rPr>
        <w:t xml:space="preserve"> and 12-point font.</w:t>
      </w:r>
    </w:p>
    <w:p w14:paraId="0350CABF" w14:textId="77777777" w:rsidR="00DC64FF" w:rsidRPr="00DC64FF" w:rsidRDefault="00DC64FF" w:rsidP="00DC64FF">
      <w:pPr>
        <w:pStyle w:val="eng3"/>
        <w:rPr>
          <w:lang w:eastAsia="ru-RU" w:bidi="ru-RU"/>
        </w:rPr>
      </w:pPr>
      <w:r w:rsidRPr="00DC64FF">
        <w:rPr>
          <w:lang w:eastAsia="ru-RU" w:bidi="ru-RU"/>
        </w:rPr>
        <w:t>Project report presentation</w:t>
      </w:r>
    </w:p>
    <w:p w14:paraId="4D7EB503"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color w:val="auto"/>
          <w:sz w:val="28"/>
          <w:szCs w:val="28"/>
          <w:lang w:val="en-US" w:eastAsia="ru-RU" w:bidi="ru-RU"/>
        </w:rPr>
        <w:t>Each team of students should prepare a 15 minute presentation for the class summarizing the results of team’s project. Each member of the team must participate in the presentation. After the presentation</w:t>
      </w:r>
      <w:r w:rsidR="00AC0394">
        <w:rPr>
          <w:rFonts w:cs="Garamond"/>
          <w:color w:val="auto"/>
          <w:sz w:val="28"/>
          <w:szCs w:val="28"/>
          <w:lang w:val="en-US" w:eastAsia="ru-RU" w:bidi="ru-RU"/>
        </w:rPr>
        <w:t>,</w:t>
      </w:r>
      <w:r w:rsidRPr="00DC64FF">
        <w:rPr>
          <w:rFonts w:cs="Garamond"/>
          <w:color w:val="auto"/>
          <w:sz w:val="28"/>
          <w:szCs w:val="28"/>
          <w:lang w:val="en-US" w:eastAsia="ru-RU" w:bidi="ru-RU"/>
        </w:rPr>
        <w:t xml:space="preserve"> each team should answer the questions</w:t>
      </w:r>
      <w:r w:rsidR="00200242">
        <w:rPr>
          <w:rFonts w:cs="Garamond"/>
          <w:color w:val="auto"/>
          <w:sz w:val="28"/>
          <w:szCs w:val="28"/>
          <w:lang w:val="en-US" w:eastAsia="ru-RU" w:bidi="ru-RU"/>
        </w:rPr>
        <w:t>,</w:t>
      </w:r>
      <w:r w:rsidRPr="00DC64FF">
        <w:rPr>
          <w:rFonts w:cs="Garamond"/>
          <w:color w:val="auto"/>
          <w:sz w:val="28"/>
          <w:szCs w:val="28"/>
          <w:lang w:val="en-US" w:eastAsia="ru-RU" w:bidi="ru-RU"/>
        </w:rPr>
        <w:t xml:space="preserve"> for 5</w:t>
      </w:r>
      <w:r w:rsidR="00200242">
        <w:rPr>
          <w:rFonts w:cs="Garamond"/>
          <w:color w:val="auto"/>
          <w:sz w:val="28"/>
          <w:szCs w:val="28"/>
          <w:lang w:val="en-US" w:eastAsia="ru-RU" w:bidi="ru-RU"/>
        </w:rPr>
        <w:t>–</w:t>
      </w:r>
      <w:r w:rsidRPr="00DC64FF">
        <w:rPr>
          <w:rFonts w:cs="Garamond"/>
          <w:color w:val="auto"/>
          <w:sz w:val="28"/>
          <w:szCs w:val="28"/>
          <w:lang w:val="en-US" w:eastAsia="ru-RU" w:bidi="ru-RU"/>
        </w:rPr>
        <w:t>10 minutes</w:t>
      </w:r>
      <w:r w:rsidR="00200242">
        <w:rPr>
          <w:rFonts w:cs="Garamond"/>
          <w:color w:val="auto"/>
          <w:sz w:val="28"/>
          <w:szCs w:val="28"/>
          <w:lang w:val="en-US" w:eastAsia="ru-RU" w:bidi="ru-RU"/>
        </w:rPr>
        <w:t>,</w:t>
      </w:r>
      <w:r w:rsidRPr="00DC64FF">
        <w:rPr>
          <w:rFonts w:cs="Garamond"/>
          <w:color w:val="auto"/>
          <w:sz w:val="28"/>
          <w:szCs w:val="28"/>
          <w:lang w:val="en-US" w:eastAsia="ru-RU" w:bidi="ru-RU"/>
        </w:rPr>
        <w:t xml:space="preserve"> </w:t>
      </w:r>
      <w:r w:rsidR="00200242">
        <w:rPr>
          <w:rFonts w:cs="Garamond"/>
          <w:color w:val="auto"/>
          <w:sz w:val="28"/>
          <w:szCs w:val="28"/>
          <w:lang w:val="en-US" w:eastAsia="ru-RU" w:bidi="ru-RU"/>
        </w:rPr>
        <w:t>of</w:t>
      </w:r>
      <w:r w:rsidRPr="00DC64FF">
        <w:rPr>
          <w:rFonts w:cs="Garamond"/>
          <w:color w:val="auto"/>
          <w:sz w:val="28"/>
          <w:szCs w:val="28"/>
          <w:lang w:val="en-US" w:eastAsia="ru-RU" w:bidi="ru-RU"/>
        </w:rPr>
        <w:t xml:space="preserve"> both the </w:t>
      </w:r>
      <w:r w:rsidR="00200242">
        <w:rPr>
          <w:rFonts w:cs="Garamond"/>
          <w:color w:val="auto"/>
          <w:sz w:val="28"/>
          <w:szCs w:val="28"/>
          <w:lang w:val="en-US" w:eastAsia="ru-RU" w:bidi="ru-RU"/>
        </w:rPr>
        <w:t>students</w:t>
      </w:r>
      <w:r w:rsidRPr="00DC64FF">
        <w:rPr>
          <w:rFonts w:cs="Garamond"/>
          <w:color w:val="auto"/>
          <w:sz w:val="28"/>
          <w:szCs w:val="28"/>
          <w:lang w:val="en-US" w:eastAsia="ru-RU" w:bidi="ru-RU"/>
        </w:rPr>
        <w:t xml:space="preserve"> and the lecturer.</w:t>
      </w:r>
    </w:p>
    <w:p w14:paraId="10F313B4" w14:textId="77777777" w:rsidR="00DC64FF" w:rsidRPr="00DC64FF" w:rsidRDefault="00DC64FF" w:rsidP="00DC64FF">
      <w:pPr>
        <w:pStyle w:val="end2"/>
        <w:rPr>
          <w:lang w:eastAsia="ru-RU" w:bidi="ru-RU"/>
        </w:rPr>
      </w:pPr>
      <w:r w:rsidRPr="00DC64FF">
        <w:rPr>
          <w:lang w:eastAsia="ru-RU" w:bidi="ru-RU"/>
        </w:rPr>
        <w:t>Evaluation criteria</w:t>
      </w:r>
    </w:p>
    <w:p w14:paraId="5847A22D"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color w:val="auto"/>
          <w:sz w:val="28"/>
          <w:szCs w:val="28"/>
          <w:lang w:val="en-US" w:eastAsia="ru-RU" w:bidi="ru-RU"/>
        </w:rPr>
        <w:t>Each project team will receive one grade</w:t>
      </w:r>
      <w:r w:rsidR="00200242">
        <w:rPr>
          <w:rFonts w:cs="Garamond"/>
          <w:color w:val="auto"/>
          <w:sz w:val="28"/>
          <w:szCs w:val="28"/>
          <w:lang w:val="en-US" w:eastAsia="ru-RU" w:bidi="ru-RU"/>
        </w:rPr>
        <w:t>,</w:t>
      </w:r>
      <w:r w:rsidRPr="00DC64FF">
        <w:rPr>
          <w:rFonts w:cs="Garamond"/>
          <w:color w:val="auto"/>
          <w:sz w:val="28"/>
          <w:szCs w:val="28"/>
          <w:lang w:val="en-US" w:eastAsia="ru-RU" w:bidi="ru-RU"/>
        </w:rPr>
        <w:t xml:space="preserve"> and every team member will receive the same grade. No attempt will be made to allow for intra-team differences in effort.</w:t>
      </w:r>
    </w:p>
    <w:p w14:paraId="4F25849E" w14:textId="77777777" w:rsidR="00DC64FF" w:rsidRPr="00DC64FF" w:rsidRDefault="00DC64FF" w:rsidP="00DC64FF">
      <w:pPr>
        <w:spacing w:line="312" w:lineRule="auto"/>
        <w:ind w:firstLine="357"/>
        <w:contextualSpacing/>
        <w:jc w:val="both"/>
        <w:rPr>
          <w:rFonts w:cs="Garamond"/>
          <w:color w:val="auto"/>
          <w:sz w:val="28"/>
          <w:szCs w:val="28"/>
          <w:lang w:val="en-US" w:eastAsia="ru-RU" w:bidi="ru-RU"/>
        </w:rPr>
      </w:pPr>
      <w:r w:rsidRPr="00DC64FF">
        <w:rPr>
          <w:rFonts w:cs="Garamond"/>
          <w:color w:val="auto"/>
          <w:sz w:val="28"/>
          <w:szCs w:val="28"/>
          <w:lang w:val="en-US" w:eastAsia="ru-RU" w:bidi="ru-RU"/>
        </w:rPr>
        <w:t xml:space="preserve">The project </w:t>
      </w:r>
      <w:r w:rsidR="00200242">
        <w:rPr>
          <w:rFonts w:cs="Garamond"/>
          <w:color w:val="auto"/>
          <w:sz w:val="28"/>
          <w:szCs w:val="28"/>
          <w:lang w:val="en-US" w:eastAsia="ru-RU" w:bidi="ru-RU"/>
        </w:rPr>
        <w:t>will take place in three phases</w:t>
      </w:r>
      <w:r w:rsidRPr="00DC64FF">
        <w:rPr>
          <w:rFonts w:cs="Garamond"/>
          <w:color w:val="auto"/>
          <w:sz w:val="28"/>
          <w:szCs w:val="28"/>
          <w:lang w:val="en-US" w:eastAsia="ru-RU" w:bidi="ru-RU"/>
        </w:rPr>
        <w:t xml:space="preserve"> and will be worth a total of 100 points. The grading policy for the project will be as follows: 5</w:t>
      </w:r>
      <w:r w:rsidR="00200242">
        <w:rPr>
          <w:rFonts w:cs="Garamond"/>
          <w:color w:val="auto"/>
          <w:sz w:val="28"/>
          <w:szCs w:val="28"/>
          <w:lang w:val="en-US" w:eastAsia="ru-RU" w:bidi="ru-RU"/>
        </w:rPr>
        <w:t xml:space="preserve"> </w:t>
      </w:r>
      <w:r w:rsidRPr="00DC64FF">
        <w:rPr>
          <w:rFonts w:cs="Garamond"/>
          <w:color w:val="auto"/>
          <w:sz w:val="28"/>
          <w:szCs w:val="28"/>
          <w:lang w:val="en-US" w:eastAsia="ru-RU" w:bidi="ru-RU"/>
        </w:rPr>
        <w:t xml:space="preserve">% </w:t>
      </w:r>
      <w:r w:rsidR="00AC0394" w:rsidRPr="00200242">
        <w:rPr>
          <w:rFonts w:cs="Garamond"/>
          <w:color w:val="auto"/>
          <w:sz w:val="28"/>
          <w:szCs w:val="28"/>
          <w:lang w:val="en-US" w:eastAsia="ru-RU" w:bidi="ru-RU"/>
        </w:rPr>
        <w:t>–</w:t>
      </w:r>
      <w:r w:rsidR="00AC0394">
        <w:rPr>
          <w:rFonts w:cs="Garamond"/>
          <w:color w:val="auto"/>
          <w:sz w:val="28"/>
          <w:szCs w:val="28"/>
          <w:lang w:val="en-US" w:eastAsia="ru-RU" w:bidi="ru-RU"/>
        </w:rPr>
        <w:t xml:space="preserve"> </w:t>
      </w:r>
      <w:r w:rsidRPr="00DC64FF">
        <w:rPr>
          <w:rFonts w:cs="Garamond"/>
          <w:color w:val="auto"/>
          <w:sz w:val="28"/>
          <w:szCs w:val="28"/>
          <w:lang w:val="en-US" w:eastAsia="ru-RU" w:bidi="ru-RU"/>
        </w:rPr>
        <w:t>design, 80</w:t>
      </w:r>
      <w:r w:rsidR="00200242">
        <w:rPr>
          <w:rFonts w:cs="Garamond"/>
          <w:color w:val="auto"/>
          <w:sz w:val="28"/>
          <w:szCs w:val="28"/>
          <w:lang w:val="en-US" w:eastAsia="ru-RU" w:bidi="ru-RU"/>
        </w:rPr>
        <w:t xml:space="preserve"> </w:t>
      </w:r>
      <w:r w:rsidRPr="00DC64FF">
        <w:rPr>
          <w:rFonts w:cs="Garamond"/>
          <w:color w:val="auto"/>
          <w:sz w:val="28"/>
          <w:szCs w:val="28"/>
          <w:lang w:val="en-US" w:eastAsia="ru-RU" w:bidi="ru-RU"/>
        </w:rPr>
        <w:t xml:space="preserve">% </w:t>
      </w:r>
      <w:r w:rsidR="00200242" w:rsidRPr="00200242">
        <w:rPr>
          <w:rFonts w:cs="Garamond"/>
          <w:color w:val="auto"/>
          <w:sz w:val="28"/>
          <w:szCs w:val="28"/>
          <w:lang w:val="en-US" w:eastAsia="ru-RU" w:bidi="ru-RU"/>
        </w:rPr>
        <w:t>–</w:t>
      </w:r>
      <w:r w:rsidR="00200242">
        <w:rPr>
          <w:rFonts w:cs="Garamond"/>
          <w:color w:val="auto"/>
          <w:sz w:val="28"/>
          <w:szCs w:val="28"/>
          <w:lang w:val="en-US" w:eastAsia="ru-RU" w:bidi="ru-RU"/>
        </w:rPr>
        <w:t xml:space="preserve"> </w:t>
      </w:r>
      <w:r w:rsidRPr="00DC64FF">
        <w:rPr>
          <w:rFonts w:cs="Garamond"/>
          <w:color w:val="auto"/>
          <w:sz w:val="28"/>
          <w:szCs w:val="28"/>
          <w:lang w:val="en-US" w:eastAsia="ru-RU" w:bidi="ru-RU"/>
        </w:rPr>
        <w:t>content, and 15</w:t>
      </w:r>
      <w:r w:rsidR="00200242">
        <w:rPr>
          <w:rFonts w:cs="Garamond"/>
          <w:color w:val="auto"/>
          <w:sz w:val="28"/>
          <w:szCs w:val="28"/>
          <w:lang w:val="en-US" w:eastAsia="ru-RU" w:bidi="ru-RU"/>
        </w:rPr>
        <w:t xml:space="preserve"> </w:t>
      </w:r>
      <w:r w:rsidRPr="00DC64FF">
        <w:rPr>
          <w:rFonts w:cs="Garamond"/>
          <w:color w:val="auto"/>
          <w:sz w:val="28"/>
          <w:szCs w:val="28"/>
          <w:lang w:val="en-US" w:eastAsia="ru-RU" w:bidi="ru-RU"/>
        </w:rPr>
        <w:t xml:space="preserve">% </w:t>
      </w:r>
      <w:r w:rsidR="00200242">
        <w:rPr>
          <w:rFonts w:cs="Garamond"/>
          <w:color w:val="auto"/>
          <w:sz w:val="28"/>
          <w:szCs w:val="28"/>
          <w:lang w:val="en-US" w:eastAsia="ru-RU" w:bidi="ru-RU"/>
        </w:rPr>
        <w:t xml:space="preserve">– </w:t>
      </w:r>
      <w:r w:rsidRPr="00DC64FF">
        <w:rPr>
          <w:rFonts w:cs="Garamond"/>
          <w:color w:val="auto"/>
          <w:sz w:val="28"/>
          <w:szCs w:val="28"/>
          <w:lang w:val="en-US" w:eastAsia="ru-RU" w:bidi="ru-RU"/>
        </w:rPr>
        <w:t>presentation. The written team projects are worth 85 points and will be graded in two phases:</w:t>
      </w:r>
    </w:p>
    <w:p w14:paraId="6D5D8D4B" w14:textId="77777777" w:rsidR="00DC64FF" w:rsidRDefault="00200242" w:rsidP="00DC64FF">
      <w:pPr>
        <w:spacing w:line="312" w:lineRule="auto"/>
        <w:ind w:firstLine="357"/>
        <w:contextualSpacing/>
        <w:jc w:val="both"/>
        <w:rPr>
          <w:rFonts w:cs="Garamond"/>
          <w:color w:val="auto"/>
          <w:sz w:val="28"/>
          <w:szCs w:val="28"/>
          <w:lang w:val="en-US" w:eastAsia="ru-RU" w:bidi="ru-RU"/>
        </w:rPr>
      </w:pPr>
      <w:r>
        <w:rPr>
          <w:rFonts w:cs="Garamond"/>
          <w:b/>
          <w:color w:val="auto"/>
          <w:sz w:val="28"/>
          <w:szCs w:val="28"/>
          <w:lang w:val="en-US" w:eastAsia="ru-RU" w:bidi="ru-RU"/>
        </w:rPr>
        <w:t xml:space="preserve">Phase </w:t>
      </w:r>
      <w:r w:rsidR="00AC0394">
        <w:rPr>
          <w:rFonts w:cs="Garamond"/>
          <w:b/>
          <w:color w:val="auto"/>
          <w:sz w:val="28"/>
          <w:szCs w:val="28"/>
          <w:lang w:val="en-US" w:eastAsia="ru-RU" w:bidi="ru-RU"/>
        </w:rPr>
        <w:t>1:</w:t>
      </w:r>
      <w:r w:rsidR="00DC64FF" w:rsidRPr="00DC64FF">
        <w:rPr>
          <w:rFonts w:cs="Garamond"/>
          <w:color w:val="auto"/>
          <w:sz w:val="28"/>
          <w:szCs w:val="28"/>
          <w:lang w:val="en-US" w:eastAsia="ru-RU" w:bidi="ru-RU"/>
        </w:rPr>
        <w:t xml:space="preserve"> the projects will be reviewed for compliance with the basic requirements and for composition. </w:t>
      </w:r>
      <w:r>
        <w:rPr>
          <w:rFonts w:cs="Garamond"/>
          <w:color w:val="auto"/>
          <w:sz w:val="28"/>
          <w:szCs w:val="28"/>
          <w:lang w:val="en-US" w:eastAsia="ru-RU" w:bidi="ru-RU"/>
        </w:rPr>
        <w:t>The p</w:t>
      </w:r>
      <w:r w:rsidR="00DC64FF" w:rsidRPr="00DC64FF">
        <w:rPr>
          <w:rFonts w:cs="Garamond"/>
          <w:color w:val="auto"/>
          <w:sz w:val="28"/>
          <w:szCs w:val="28"/>
          <w:lang w:val="en-US" w:eastAsia="ru-RU" w:bidi="ru-RU"/>
        </w:rPr>
        <w:t>rojects submitted without the entire annual reports for both companies or</w:t>
      </w:r>
      <w:r>
        <w:rPr>
          <w:rFonts w:cs="Garamond"/>
          <w:color w:val="auto"/>
          <w:sz w:val="28"/>
          <w:szCs w:val="28"/>
          <w:lang w:val="en-US" w:eastAsia="ru-RU" w:bidi="ru-RU"/>
        </w:rPr>
        <w:t xml:space="preserve"> a</w:t>
      </w:r>
      <w:r w:rsidR="00DC64FF" w:rsidRPr="00DC64FF">
        <w:rPr>
          <w:rFonts w:cs="Garamond"/>
          <w:color w:val="auto"/>
          <w:sz w:val="28"/>
          <w:szCs w:val="28"/>
          <w:lang w:val="en-US" w:eastAsia="ru-RU" w:bidi="ru-RU"/>
        </w:rPr>
        <w:t xml:space="preserve"> company and industry being analyzed, without appropriate page references to the relevant portions of the financial statements, without appropriate citations for material taken from sources outside the annual reports, and/or with excessive composition errors</w:t>
      </w:r>
      <w:r>
        <w:rPr>
          <w:rFonts w:cs="Garamond"/>
          <w:color w:val="auto"/>
          <w:sz w:val="28"/>
          <w:szCs w:val="28"/>
          <w:lang w:val="en-US" w:eastAsia="ru-RU" w:bidi="ru-RU"/>
        </w:rPr>
        <w:t>,</w:t>
      </w:r>
      <w:r w:rsidR="00DC64FF" w:rsidRPr="00DC64FF">
        <w:rPr>
          <w:rFonts w:cs="Garamond"/>
          <w:color w:val="auto"/>
          <w:sz w:val="28"/>
          <w:szCs w:val="28"/>
          <w:lang w:val="en-US" w:eastAsia="ru-RU" w:bidi="ru-RU"/>
        </w:rPr>
        <w:t xml:space="preserve"> will have to be resubmitted. Projects will be reviewed for design </w:t>
      </w:r>
      <w:r>
        <w:rPr>
          <w:rFonts w:cs="Garamond"/>
          <w:color w:val="auto"/>
          <w:sz w:val="28"/>
          <w:szCs w:val="28"/>
          <w:lang w:val="en-US" w:eastAsia="ru-RU" w:bidi="ru-RU"/>
        </w:rPr>
        <w:t xml:space="preserve">and </w:t>
      </w:r>
      <w:r w:rsidR="00DC64FF" w:rsidRPr="003579F7">
        <w:rPr>
          <w:rFonts w:cs="Garamond"/>
          <w:color w:val="auto"/>
          <w:sz w:val="28"/>
          <w:szCs w:val="28"/>
          <w:lang w:val="en-US" w:eastAsia="ru-RU" w:bidi="ru-RU"/>
        </w:rPr>
        <w:t xml:space="preserve">will be graded using the following </w:t>
      </w:r>
      <w:r>
        <w:rPr>
          <w:rFonts w:cs="Garamond"/>
          <w:color w:val="auto"/>
          <w:sz w:val="28"/>
          <w:szCs w:val="28"/>
          <w:lang w:val="en-US" w:eastAsia="ru-RU" w:bidi="ru-RU"/>
        </w:rPr>
        <w:t>column</w:t>
      </w:r>
      <w:r w:rsidR="00AC0394">
        <w:rPr>
          <w:rFonts w:cs="Garamond"/>
          <w:color w:val="auto"/>
          <w:sz w:val="28"/>
          <w:szCs w:val="28"/>
          <w:lang w:val="en-US" w:eastAsia="ru-RU" w:bidi="ru-RU"/>
        </w:rPr>
        <w:t>s</w:t>
      </w:r>
      <w:r w:rsidR="00DC64FF" w:rsidRPr="003579F7">
        <w:rPr>
          <w:rFonts w:cs="Garamond"/>
          <w:color w:val="auto"/>
          <w:sz w:val="28"/>
          <w:szCs w:val="28"/>
          <w:lang w:val="en-US" w:eastAsia="ru-RU" w:bidi="ru-RU"/>
        </w:rPr>
        <w:t>:</w:t>
      </w:r>
    </w:p>
    <w:p w14:paraId="390265AA" w14:textId="77777777" w:rsidR="00AC0394" w:rsidRDefault="00AC0394" w:rsidP="00DC64FF">
      <w:pPr>
        <w:spacing w:line="312" w:lineRule="auto"/>
        <w:ind w:firstLine="357"/>
        <w:contextualSpacing/>
        <w:jc w:val="both"/>
        <w:rPr>
          <w:rFonts w:cs="Garamond"/>
          <w:color w:val="auto"/>
          <w:sz w:val="28"/>
          <w:szCs w:val="28"/>
          <w:lang w:val="en-US" w:eastAsia="ru-RU" w:bidi="ru-RU"/>
        </w:rPr>
      </w:pPr>
    </w:p>
    <w:p w14:paraId="2C03087F" w14:textId="77777777" w:rsidR="00AC0394" w:rsidRDefault="00AC0394" w:rsidP="00DC64FF">
      <w:pPr>
        <w:spacing w:line="312" w:lineRule="auto"/>
        <w:ind w:firstLine="357"/>
        <w:contextualSpacing/>
        <w:jc w:val="both"/>
        <w:rPr>
          <w:rFonts w:cs="Garamond"/>
          <w:color w:val="auto"/>
          <w:sz w:val="28"/>
          <w:szCs w:val="28"/>
          <w:lang w:val="en-US" w:eastAsia="ru-RU" w:bidi="ru-RU"/>
        </w:rPr>
      </w:pPr>
    </w:p>
    <w:p w14:paraId="0B69AC88" w14:textId="77777777" w:rsidR="00AC0394" w:rsidRDefault="00AC0394" w:rsidP="00DC64FF">
      <w:pPr>
        <w:spacing w:line="312" w:lineRule="auto"/>
        <w:ind w:firstLine="357"/>
        <w:contextualSpacing/>
        <w:jc w:val="both"/>
        <w:rPr>
          <w:rFonts w:cs="Garamond"/>
          <w:color w:val="auto"/>
          <w:sz w:val="28"/>
          <w:szCs w:val="28"/>
          <w:lang w:val="en-US" w:eastAsia="ru-RU" w:bidi="ru-RU"/>
        </w:rPr>
      </w:pPr>
    </w:p>
    <w:p w14:paraId="700CA051" w14:textId="77777777" w:rsidR="00350ECE" w:rsidRPr="003579F7" w:rsidRDefault="00350ECE" w:rsidP="00DC64FF">
      <w:pPr>
        <w:spacing w:line="312" w:lineRule="auto"/>
        <w:ind w:firstLine="357"/>
        <w:contextualSpacing/>
        <w:jc w:val="both"/>
        <w:rPr>
          <w:rFonts w:cs="Garamond"/>
          <w:color w:val="auto"/>
          <w:sz w:val="28"/>
          <w:szCs w:val="28"/>
          <w:lang w:val="en-US" w:eastAsia="ru-RU" w:bidi="ru-RU"/>
        </w:rPr>
      </w:pPr>
    </w:p>
    <w:tbl>
      <w:tblPr>
        <w:tblW w:w="0" w:type="auto"/>
        <w:tblLayout w:type="fixed"/>
        <w:tblCellMar>
          <w:top w:w="15" w:type="dxa"/>
          <w:left w:w="15" w:type="dxa"/>
          <w:bottom w:w="15" w:type="dxa"/>
          <w:right w:w="15" w:type="dxa"/>
        </w:tblCellMar>
        <w:tblLook w:val="04A0" w:firstRow="1" w:lastRow="0" w:firstColumn="1" w:lastColumn="0" w:noHBand="0" w:noVBand="1"/>
      </w:tblPr>
      <w:tblGrid>
        <w:gridCol w:w="1055"/>
        <w:gridCol w:w="8554"/>
      </w:tblGrid>
      <w:tr w:rsidR="00350ECE" w:rsidRPr="003579F7" w14:paraId="014B29CA" w14:textId="77777777" w:rsidTr="00350ECE">
        <w:tc>
          <w:tcPr>
            <w:tcW w:w="105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105" w:type="dxa"/>
              <w:left w:w="105" w:type="dxa"/>
              <w:bottom w:w="105" w:type="dxa"/>
              <w:right w:w="105" w:type="dxa"/>
            </w:tcMar>
            <w:vAlign w:val="center"/>
            <w:hideMark/>
          </w:tcPr>
          <w:p w14:paraId="2F6F2522" w14:textId="77777777" w:rsidR="003579F7" w:rsidRPr="003579F7" w:rsidRDefault="003579F7" w:rsidP="00350ECE">
            <w:pPr>
              <w:spacing w:line="0" w:lineRule="atLeast"/>
              <w:jc w:val="center"/>
              <w:rPr>
                <w:b/>
                <w:color w:val="auto"/>
                <w:szCs w:val="28"/>
                <w:lang w:val="en-US"/>
              </w:rPr>
            </w:pPr>
            <w:r w:rsidRPr="003579F7">
              <w:rPr>
                <w:b/>
                <w:szCs w:val="28"/>
                <w:lang w:val="en-US"/>
              </w:rPr>
              <w:lastRenderedPageBreak/>
              <w:t>Points</w:t>
            </w:r>
          </w:p>
        </w:tc>
        <w:tc>
          <w:tcPr>
            <w:tcW w:w="855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105" w:type="dxa"/>
              <w:left w:w="105" w:type="dxa"/>
              <w:bottom w:w="105" w:type="dxa"/>
              <w:right w:w="105" w:type="dxa"/>
            </w:tcMar>
            <w:vAlign w:val="center"/>
            <w:hideMark/>
          </w:tcPr>
          <w:p w14:paraId="55F05DCB" w14:textId="77777777" w:rsidR="003579F7" w:rsidRPr="003579F7" w:rsidRDefault="003579F7" w:rsidP="003579F7">
            <w:pPr>
              <w:spacing w:line="0" w:lineRule="atLeast"/>
              <w:jc w:val="center"/>
              <w:rPr>
                <w:b/>
                <w:color w:val="auto"/>
                <w:szCs w:val="28"/>
                <w:lang w:val="en-US"/>
              </w:rPr>
            </w:pPr>
            <w:r w:rsidRPr="003579F7">
              <w:rPr>
                <w:b/>
                <w:szCs w:val="28"/>
                <w:lang w:val="en-US"/>
              </w:rPr>
              <w:t>Description of evaluation criteria</w:t>
            </w:r>
          </w:p>
        </w:tc>
      </w:tr>
      <w:tr w:rsidR="00350ECE" w:rsidRPr="003579F7" w14:paraId="3AE17999" w14:textId="77777777" w:rsidTr="00350ECE">
        <w:tc>
          <w:tcPr>
            <w:tcW w:w="1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B8ED338" w14:textId="77777777" w:rsidR="003579F7" w:rsidRPr="003579F7" w:rsidRDefault="003579F7" w:rsidP="003579F7">
            <w:pPr>
              <w:spacing w:line="0" w:lineRule="atLeast"/>
              <w:jc w:val="center"/>
              <w:rPr>
                <w:color w:val="auto"/>
                <w:szCs w:val="28"/>
                <w:lang w:val="en-US"/>
              </w:rPr>
            </w:pPr>
            <w:r w:rsidRPr="003579F7">
              <w:rPr>
                <w:szCs w:val="28"/>
                <w:lang w:val="en-US"/>
              </w:rPr>
              <w:t>5</w:t>
            </w:r>
          </w:p>
        </w:tc>
        <w:tc>
          <w:tcPr>
            <w:tcW w:w="85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149E4F5" w14:textId="77777777" w:rsidR="003579F7" w:rsidRPr="003579F7" w:rsidRDefault="003579F7" w:rsidP="00350ECE">
            <w:pPr>
              <w:spacing w:line="0" w:lineRule="atLeast"/>
              <w:jc w:val="both"/>
              <w:rPr>
                <w:color w:val="auto"/>
                <w:szCs w:val="28"/>
                <w:lang w:val="en-US"/>
              </w:rPr>
            </w:pPr>
            <w:r w:rsidRPr="003579F7">
              <w:rPr>
                <w:szCs w:val="28"/>
                <w:lang w:val="en-US"/>
              </w:rPr>
              <w:t xml:space="preserve">The project report is well written, free of grammatical and other writing errors, and well organized. Illustrations, graphs, </w:t>
            </w:r>
            <w:r w:rsidR="00200242">
              <w:rPr>
                <w:szCs w:val="28"/>
                <w:lang w:val="en-US"/>
              </w:rPr>
              <w:t xml:space="preserve">and </w:t>
            </w:r>
            <w:r w:rsidRPr="003579F7">
              <w:rPr>
                <w:szCs w:val="28"/>
                <w:lang w:val="en-US"/>
              </w:rPr>
              <w:t xml:space="preserve">tables are </w:t>
            </w:r>
            <w:r w:rsidR="00200242">
              <w:rPr>
                <w:szCs w:val="28"/>
                <w:lang w:val="en-US"/>
              </w:rPr>
              <w:t xml:space="preserve">of a </w:t>
            </w:r>
            <w:r w:rsidRPr="003579F7">
              <w:rPr>
                <w:szCs w:val="28"/>
                <w:lang w:val="en-US"/>
              </w:rPr>
              <w:t>very good quality</w:t>
            </w:r>
          </w:p>
        </w:tc>
      </w:tr>
      <w:tr w:rsidR="00350ECE" w:rsidRPr="003579F7" w14:paraId="62F7BBFC" w14:textId="77777777" w:rsidTr="00350ECE">
        <w:tc>
          <w:tcPr>
            <w:tcW w:w="1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702C050" w14:textId="77777777" w:rsidR="003579F7" w:rsidRPr="003579F7" w:rsidRDefault="003579F7" w:rsidP="003579F7">
            <w:pPr>
              <w:spacing w:line="0" w:lineRule="atLeast"/>
              <w:jc w:val="center"/>
              <w:rPr>
                <w:color w:val="auto"/>
                <w:szCs w:val="28"/>
                <w:lang w:val="en-US"/>
              </w:rPr>
            </w:pPr>
            <w:r w:rsidRPr="003579F7">
              <w:rPr>
                <w:szCs w:val="28"/>
                <w:lang w:val="en-US"/>
              </w:rPr>
              <w:t>4</w:t>
            </w:r>
          </w:p>
        </w:tc>
        <w:tc>
          <w:tcPr>
            <w:tcW w:w="85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F98C62E" w14:textId="77777777" w:rsidR="003579F7" w:rsidRPr="003579F7" w:rsidRDefault="003579F7" w:rsidP="00200242">
            <w:pPr>
              <w:spacing w:line="0" w:lineRule="atLeast"/>
              <w:jc w:val="both"/>
              <w:rPr>
                <w:color w:val="auto"/>
                <w:szCs w:val="28"/>
                <w:lang w:val="en-US"/>
              </w:rPr>
            </w:pPr>
            <w:r w:rsidRPr="003579F7">
              <w:rPr>
                <w:szCs w:val="28"/>
                <w:lang w:val="en-US"/>
              </w:rPr>
              <w:t xml:space="preserve">The project report is </w:t>
            </w:r>
            <w:r w:rsidR="00200242" w:rsidRPr="003579F7">
              <w:rPr>
                <w:szCs w:val="28"/>
                <w:lang w:val="en-US"/>
              </w:rPr>
              <w:t xml:space="preserve">generally </w:t>
            </w:r>
            <w:r w:rsidRPr="003579F7">
              <w:rPr>
                <w:szCs w:val="28"/>
                <w:lang w:val="en-US"/>
              </w:rPr>
              <w:t>well written</w:t>
            </w:r>
            <w:r w:rsidR="00200242">
              <w:rPr>
                <w:szCs w:val="28"/>
                <w:lang w:val="en-US"/>
              </w:rPr>
              <w:t>,</w:t>
            </w:r>
            <w:r w:rsidRPr="003579F7">
              <w:rPr>
                <w:szCs w:val="28"/>
                <w:lang w:val="en-US"/>
              </w:rPr>
              <w:t xml:space="preserve"> but m</w:t>
            </w:r>
            <w:r w:rsidR="00200242">
              <w:rPr>
                <w:szCs w:val="28"/>
                <w:lang w:val="en-US"/>
              </w:rPr>
              <w:t>ight</w:t>
            </w:r>
            <w:r w:rsidRPr="003579F7">
              <w:rPr>
                <w:szCs w:val="28"/>
                <w:lang w:val="en-US"/>
              </w:rPr>
              <w:t xml:space="preserve"> have minor grammatical or other writing errors or lack</w:t>
            </w:r>
            <w:r w:rsidR="00EC39E7">
              <w:rPr>
                <w:szCs w:val="28"/>
                <w:lang w:val="en-US"/>
              </w:rPr>
              <w:t>s</w:t>
            </w:r>
            <w:r w:rsidRPr="003579F7">
              <w:rPr>
                <w:szCs w:val="28"/>
                <w:lang w:val="en-US"/>
              </w:rPr>
              <w:t xml:space="preserve"> smooth transitions. Illustrations, graphs, and tables</w:t>
            </w:r>
            <w:r w:rsidR="00EC39E7">
              <w:rPr>
                <w:szCs w:val="28"/>
                <w:lang w:val="en-US"/>
              </w:rPr>
              <w:t xml:space="preserve"> are</w:t>
            </w:r>
            <w:r w:rsidRPr="003579F7">
              <w:rPr>
                <w:szCs w:val="28"/>
                <w:lang w:val="en-US"/>
              </w:rPr>
              <w:t xml:space="preserve"> used appropriately, and tables are </w:t>
            </w:r>
            <w:r w:rsidR="00EC39E7">
              <w:rPr>
                <w:szCs w:val="28"/>
                <w:lang w:val="en-US"/>
              </w:rPr>
              <w:t xml:space="preserve">of a </w:t>
            </w:r>
            <w:r w:rsidRPr="003579F7">
              <w:rPr>
                <w:szCs w:val="28"/>
                <w:lang w:val="en-US"/>
              </w:rPr>
              <w:t>good quality</w:t>
            </w:r>
          </w:p>
        </w:tc>
      </w:tr>
      <w:tr w:rsidR="00350ECE" w:rsidRPr="003579F7" w14:paraId="3F714C20" w14:textId="77777777" w:rsidTr="00350ECE">
        <w:tc>
          <w:tcPr>
            <w:tcW w:w="1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4F39441" w14:textId="77777777" w:rsidR="003579F7" w:rsidRPr="003579F7" w:rsidRDefault="003579F7" w:rsidP="003579F7">
            <w:pPr>
              <w:spacing w:line="0" w:lineRule="atLeast"/>
              <w:jc w:val="center"/>
              <w:rPr>
                <w:color w:val="auto"/>
                <w:szCs w:val="28"/>
                <w:lang w:val="en-US"/>
              </w:rPr>
            </w:pPr>
            <w:r w:rsidRPr="003579F7">
              <w:rPr>
                <w:szCs w:val="28"/>
                <w:lang w:val="en-US"/>
              </w:rPr>
              <w:t>3</w:t>
            </w:r>
          </w:p>
        </w:tc>
        <w:tc>
          <w:tcPr>
            <w:tcW w:w="85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F8B560F" w14:textId="77777777" w:rsidR="003579F7" w:rsidRPr="003579F7" w:rsidRDefault="003579F7" w:rsidP="00EC39E7">
            <w:pPr>
              <w:spacing w:line="0" w:lineRule="atLeast"/>
              <w:jc w:val="both"/>
              <w:rPr>
                <w:color w:val="auto"/>
                <w:szCs w:val="28"/>
                <w:lang w:val="en-US"/>
              </w:rPr>
            </w:pPr>
            <w:r w:rsidRPr="003579F7">
              <w:rPr>
                <w:szCs w:val="28"/>
                <w:lang w:val="en-US"/>
              </w:rPr>
              <w:t xml:space="preserve">The project report does not have excessive grammatical or other writing errors. Illustrations, graphs, and tables </w:t>
            </w:r>
            <w:r w:rsidR="00EC39E7">
              <w:rPr>
                <w:szCs w:val="28"/>
                <w:lang w:val="en-US"/>
              </w:rPr>
              <w:t xml:space="preserve">are </w:t>
            </w:r>
            <w:r w:rsidRPr="003579F7">
              <w:rPr>
                <w:szCs w:val="28"/>
                <w:lang w:val="en-US"/>
              </w:rPr>
              <w:t xml:space="preserve">used appropriately, but </w:t>
            </w:r>
            <w:r w:rsidR="00EC39E7">
              <w:rPr>
                <w:szCs w:val="28"/>
                <w:lang w:val="en-US"/>
              </w:rPr>
              <w:t>have</w:t>
            </w:r>
            <w:r w:rsidRPr="003579F7">
              <w:rPr>
                <w:szCs w:val="28"/>
                <w:lang w:val="en-US"/>
              </w:rPr>
              <w:t xml:space="preserve"> minor errors in design</w:t>
            </w:r>
          </w:p>
        </w:tc>
      </w:tr>
      <w:tr w:rsidR="00350ECE" w:rsidRPr="003579F7" w14:paraId="1E2911D6" w14:textId="77777777" w:rsidTr="00350ECE">
        <w:tc>
          <w:tcPr>
            <w:tcW w:w="1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88236D2" w14:textId="77777777" w:rsidR="003579F7" w:rsidRPr="003579F7" w:rsidRDefault="003579F7" w:rsidP="003579F7">
            <w:pPr>
              <w:spacing w:line="0" w:lineRule="atLeast"/>
              <w:jc w:val="center"/>
              <w:rPr>
                <w:color w:val="auto"/>
                <w:szCs w:val="28"/>
                <w:lang w:val="en-US"/>
              </w:rPr>
            </w:pPr>
            <w:r w:rsidRPr="003579F7">
              <w:rPr>
                <w:szCs w:val="28"/>
                <w:lang w:val="en-US"/>
              </w:rPr>
              <w:t>2</w:t>
            </w:r>
          </w:p>
        </w:tc>
        <w:tc>
          <w:tcPr>
            <w:tcW w:w="85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67E1644" w14:textId="77777777" w:rsidR="003579F7" w:rsidRPr="003579F7" w:rsidRDefault="003579F7" w:rsidP="00EC39E7">
            <w:pPr>
              <w:spacing w:line="0" w:lineRule="atLeast"/>
              <w:jc w:val="both"/>
              <w:rPr>
                <w:color w:val="auto"/>
                <w:szCs w:val="28"/>
                <w:lang w:val="en-US"/>
              </w:rPr>
            </w:pPr>
            <w:r w:rsidRPr="003579F7">
              <w:rPr>
                <w:szCs w:val="28"/>
                <w:lang w:val="en-US"/>
              </w:rPr>
              <w:t xml:space="preserve">The project report does have excessive grammatical and other writing errors. Illustrations, graphs, and tables are </w:t>
            </w:r>
            <w:r w:rsidR="00EC39E7">
              <w:rPr>
                <w:szCs w:val="28"/>
                <w:lang w:val="en-US"/>
              </w:rPr>
              <w:t xml:space="preserve">of a </w:t>
            </w:r>
            <w:r w:rsidRPr="003579F7">
              <w:rPr>
                <w:szCs w:val="28"/>
                <w:lang w:val="en-US"/>
              </w:rPr>
              <w:t xml:space="preserve">poor quality and </w:t>
            </w:r>
            <w:r w:rsidR="00EC39E7">
              <w:rPr>
                <w:szCs w:val="28"/>
                <w:lang w:val="en-US"/>
              </w:rPr>
              <w:t xml:space="preserve">are </w:t>
            </w:r>
            <w:r w:rsidRPr="003579F7">
              <w:rPr>
                <w:szCs w:val="28"/>
                <w:lang w:val="en-US"/>
              </w:rPr>
              <w:t xml:space="preserve">used </w:t>
            </w:r>
            <w:r w:rsidR="00EC39E7">
              <w:rPr>
                <w:szCs w:val="28"/>
                <w:lang w:val="en-US"/>
              </w:rPr>
              <w:t>in</w:t>
            </w:r>
            <w:r w:rsidRPr="003579F7">
              <w:rPr>
                <w:szCs w:val="28"/>
                <w:lang w:val="en-US"/>
              </w:rPr>
              <w:t>appropriately</w:t>
            </w:r>
          </w:p>
        </w:tc>
      </w:tr>
      <w:tr w:rsidR="00350ECE" w:rsidRPr="003579F7" w14:paraId="232ED776" w14:textId="77777777" w:rsidTr="00350ECE">
        <w:tc>
          <w:tcPr>
            <w:tcW w:w="1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89DFE22" w14:textId="77777777" w:rsidR="003579F7" w:rsidRPr="003579F7" w:rsidRDefault="003579F7" w:rsidP="003579F7">
            <w:pPr>
              <w:spacing w:line="0" w:lineRule="atLeast"/>
              <w:jc w:val="center"/>
              <w:rPr>
                <w:color w:val="auto"/>
                <w:szCs w:val="28"/>
                <w:lang w:val="en-US"/>
              </w:rPr>
            </w:pPr>
            <w:r w:rsidRPr="003579F7">
              <w:rPr>
                <w:szCs w:val="28"/>
                <w:lang w:val="en-US"/>
              </w:rPr>
              <w:t>1</w:t>
            </w:r>
          </w:p>
        </w:tc>
        <w:tc>
          <w:tcPr>
            <w:tcW w:w="85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02B2B74" w14:textId="77777777" w:rsidR="003579F7" w:rsidRPr="003579F7" w:rsidRDefault="003579F7" w:rsidP="00EC39E7">
            <w:pPr>
              <w:spacing w:line="0" w:lineRule="atLeast"/>
              <w:jc w:val="both"/>
              <w:rPr>
                <w:color w:val="auto"/>
                <w:szCs w:val="28"/>
                <w:lang w:val="en-US"/>
              </w:rPr>
            </w:pPr>
            <w:r w:rsidRPr="003579F7">
              <w:rPr>
                <w:szCs w:val="28"/>
                <w:lang w:val="en-US"/>
              </w:rPr>
              <w:t>The project report is acceptable after resubmission due to</w:t>
            </w:r>
            <w:r w:rsidR="00EC39E7">
              <w:rPr>
                <w:szCs w:val="28"/>
                <w:lang w:val="en-US"/>
              </w:rPr>
              <w:t xml:space="preserve"> initial</w:t>
            </w:r>
            <w:r w:rsidRPr="003579F7">
              <w:rPr>
                <w:szCs w:val="28"/>
                <w:lang w:val="en-US"/>
              </w:rPr>
              <w:t xml:space="preserve"> failure to comply with the basic requirements to the design</w:t>
            </w:r>
          </w:p>
        </w:tc>
      </w:tr>
      <w:tr w:rsidR="00350ECE" w:rsidRPr="003579F7" w14:paraId="4709E0F9" w14:textId="77777777" w:rsidTr="00350ECE">
        <w:tc>
          <w:tcPr>
            <w:tcW w:w="10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70C86EF" w14:textId="77777777" w:rsidR="003579F7" w:rsidRPr="003579F7" w:rsidRDefault="003579F7" w:rsidP="003579F7">
            <w:pPr>
              <w:spacing w:line="0" w:lineRule="atLeast"/>
              <w:jc w:val="center"/>
              <w:rPr>
                <w:color w:val="auto"/>
                <w:szCs w:val="28"/>
                <w:lang w:val="en-US"/>
              </w:rPr>
            </w:pPr>
            <w:r w:rsidRPr="003579F7">
              <w:rPr>
                <w:szCs w:val="28"/>
                <w:lang w:val="en-US"/>
              </w:rPr>
              <w:t>0</w:t>
            </w:r>
          </w:p>
        </w:tc>
        <w:tc>
          <w:tcPr>
            <w:tcW w:w="85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6A15A17" w14:textId="77777777" w:rsidR="003579F7" w:rsidRPr="003579F7" w:rsidRDefault="003579F7" w:rsidP="003579F7">
            <w:pPr>
              <w:spacing w:line="0" w:lineRule="atLeast"/>
              <w:jc w:val="both"/>
              <w:rPr>
                <w:color w:val="auto"/>
                <w:szCs w:val="28"/>
                <w:lang w:val="en-US"/>
              </w:rPr>
            </w:pPr>
            <w:r w:rsidRPr="003579F7">
              <w:rPr>
                <w:szCs w:val="28"/>
                <w:lang w:val="en-US"/>
              </w:rPr>
              <w:t>The project report fails to meet the basic design requirements</w:t>
            </w:r>
          </w:p>
        </w:tc>
      </w:tr>
    </w:tbl>
    <w:p w14:paraId="61088845" w14:textId="77777777" w:rsidR="003579F7" w:rsidRDefault="003579F7" w:rsidP="00DC64FF">
      <w:pPr>
        <w:spacing w:line="312" w:lineRule="auto"/>
        <w:ind w:firstLine="357"/>
        <w:contextualSpacing/>
        <w:jc w:val="both"/>
        <w:rPr>
          <w:rFonts w:cs="Garamond"/>
          <w:color w:val="auto"/>
          <w:sz w:val="28"/>
          <w:szCs w:val="28"/>
          <w:lang w:val="en-US" w:eastAsia="ru-RU" w:bidi="ru-RU"/>
        </w:rPr>
      </w:pPr>
    </w:p>
    <w:p w14:paraId="1F60BAC6" w14:textId="77777777" w:rsidR="004948D5" w:rsidRDefault="00EC39E7" w:rsidP="004948D5">
      <w:pPr>
        <w:spacing w:line="312" w:lineRule="auto"/>
        <w:ind w:firstLine="357"/>
        <w:contextualSpacing/>
        <w:jc w:val="both"/>
        <w:rPr>
          <w:rFonts w:cs="Garamond"/>
          <w:color w:val="auto"/>
          <w:sz w:val="28"/>
          <w:szCs w:val="28"/>
          <w:lang w:val="en-US" w:eastAsia="ru-RU" w:bidi="ru-RU"/>
        </w:rPr>
      </w:pPr>
      <w:r>
        <w:rPr>
          <w:rFonts w:cs="Garamond"/>
          <w:b/>
          <w:color w:val="auto"/>
          <w:sz w:val="28"/>
          <w:szCs w:val="28"/>
          <w:lang w:val="en-US" w:eastAsia="ru-RU" w:bidi="ru-RU"/>
        </w:rPr>
        <w:t>Phase 2</w:t>
      </w:r>
      <w:r w:rsidR="00AC0394">
        <w:rPr>
          <w:rFonts w:cs="Garamond"/>
          <w:color w:val="auto"/>
          <w:sz w:val="28"/>
          <w:szCs w:val="28"/>
          <w:lang w:val="en-US" w:eastAsia="ru-RU" w:bidi="ru-RU"/>
        </w:rPr>
        <w:t>:</w:t>
      </w:r>
      <w:r w:rsidR="003579F7" w:rsidRPr="003579F7">
        <w:rPr>
          <w:rFonts w:cs="Garamond"/>
          <w:color w:val="auto"/>
          <w:sz w:val="28"/>
          <w:szCs w:val="28"/>
          <w:lang w:val="en-US" w:eastAsia="ru-RU" w:bidi="ru-RU"/>
        </w:rPr>
        <w:t xml:space="preserve"> the project report will be reviewed for content and will be graded using the following </w:t>
      </w:r>
      <w:r>
        <w:rPr>
          <w:rFonts w:cs="Garamond"/>
          <w:color w:val="auto"/>
          <w:sz w:val="28"/>
          <w:szCs w:val="28"/>
          <w:lang w:val="en-US" w:eastAsia="ru-RU" w:bidi="ru-RU"/>
        </w:rPr>
        <w:t>columns</w:t>
      </w:r>
      <w:r w:rsidR="003579F7" w:rsidRPr="003579F7">
        <w:rPr>
          <w:rFonts w:cs="Garamond"/>
          <w:color w:val="auto"/>
          <w:sz w:val="28"/>
          <w:szCs w:val="28"/>
          <w:lang w:val="en-US" w:eastAsia="ru-RU" w:bidi="ru-RU"/>
        </w:rPr>
        <w:t xml:space="preserve">: </w:t>
      </w:r>
    </w:p>
    <w:tbl>
      <w:tblPr>
        <w:tblpPr w:leftFromText="180" w:rightFromText="180" w:vertAnchor="text" w:horzAnchor="margin" w:tblpY="281"/>
        <w:tblW w:w="0" w:type="auto"/>
        <w:tblCellMar>
          <w:top w:w="15" w:type="dxa"/>
          <w:left w:w="15" w:type="dxa"/>
          <w:bottom w:w="15" w:type="dxa"/>
          <w:right w:w="15" w:type="dxa"/>
        </w:tblCellMar>
        <w:tblLook w:val="04A0" w:firstRow="1" w:lastRow="0" w:firstColumn="1" w:lastColumn="0" w:noHBand="0" w:noVBand="1"/>
      </w:tblPr>
      <w:tblGrid>
        <w:gridCol w:w="966"/>
        <w:gridCol w:w="8643"/>
      </w:tblGrid>
      <w:tr w:rsidR="00350ECE" w:rsidRPr="003579F7" w14:paraId="247B13C9" w14:textId="77777777" w:rsidTr="004948D5">
        <w:tc>
          <w:tcPr>
            <w:tcW w:w="96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105" w:type="dxa"/>
              <w:left w:w="105" w:type="dxa"/>
              <w:bottom w:w="105" w:type="dxa"/>
              <w:right w:w="105" w:type="dxa"/>
            </w:tcMar>
            <w:vAlign w:val="center"/>
            <w:hideMark/>
          </w:tcPr>
          <w:p w14:paraId="5CEA137F" w14:textId="77777777" w:rsidR="003579F7" w:rsidRPr="003579F7" w:rsidRDefault="00350ECE" w:rsidP="004948D5">
            <w:pPr>
              <w:spacing w:line="0" w:lineRule="atLeast"/>
              <w:jc w:val="center"/>
              <w:rPr>
                <w:b/>
                <w:color w:val="auto"/>
                <w:szCs w:val="28"/>
                <w:lang w:val="en-US"/>
              </w:rPr>
            </w:pPr>
            <w:r w:rsidRPr="003579F7">
              <w:rPr>
                <w:b/>
                <w:szCs w:val="28"/>
                <w:lang w:val="en-US"/>
              </w:rPr>
              <w:t>Points</w:t>
            </w:r>
          </w:p>
        </w:tc>
        <w:tc>
          <w:tcPr>
            <w:tcW w:w="864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105" w:type="dxa"/>
              <w:left w:w="105" w:type="dxa"/>
              <w:bottom w:w="105" w:type="dxa"/>
              <w:right w:w="105" w:type="dxa"/>
            </w:tcMar>
            <w:vAlign w:val="center"/>
            <w:hideMark/>
          </w:tcPr>
          <w:p w14:paraId="1AFAD99D" w14:textId="77777777" w:rsidR="003579F7" w:rsidRPr="003579F7" w:rsidRDefault="00350ECE" w:rsidP="004948D5">
            <w:pPr>
              <w:spacing w:line="0" w:lineRule="atLeast"/>
              <w:jc w:val="center"/>
              <w:rPr>
                <w:b/>
                <w:color w:val="auto"/>
                <w:szCs w:val="28"/>
                <w:lang w:val="en-US"/>
              </w:rPr>
            </w:pPr>
            <w:r w:rsidRPr="003579F7">
              <w:rPr>
                <w:b/>
                <w:szCs w:val="28"/>
                <w:lang w:val="en-US"/>
              </w:rPr>
              <w:t>Description of evaluation criteria</w:t>
            </w:r>
          </w:p>
        </w:tc>
      </w:tr>
      <w:tr w:rsidR="00350ECE" w:rsidRPr="003579F7" w14:paraId="59A9BCB7" w14:textId="77777777" w:rsidTr="004948D5">
        <w:tc>
          <w:tcPr>
            <w:tcW w:w="9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0B2BEE4" w14:textId="77777777" w:rsidR="003579F7" w:rsidRPr="003579F7" w:rsidRDefault="00350ECE" w:rsidP="004948D5">
            <w:pPr>
              <w:spacing w:line="0" w:lineRule="atLeast"/>
              <w:jc w:val="center"/>
              <w:rPr>
                <w:color w:val="auto"/>
                <w:szCs w:val="28"/>
                <w:lang w:val="en-US"/>
              </w:rPr>
            </w:pPr>
            <w:r w:rsidRPr="003579F7">
              <w:rPr>
                <w:szCs w:val="28"/>
                <w:lang w:val="en-US"/>
              </w:rPr>
              <w:t>76</w:t>
            </w:r>
            <w:r w:rsidR="00EC39E7">
              <w:rPr>
                <w:szCs w:val="28"/>
                <w:lang w:val="en-US"/>
              </w:rPr>
              <w:t>–</w:t>
            </w:r>
            <w:r w:rsidRPr="003579F7">
              <w:rPr>
                <w:szCs w:val="28"/>
                <w:lang w:val="en-US"/>
              </w:rPr>
              <w:t>85</w:t>
            </w:r>
          </w:p>
        </w:tc>
        <w:tc>
          <w:tcPr>
            <w:tcW w:w="864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4520580" w14:textId="77777777" w:rsidR="003579F7" w:rsidRPr="003579F7" w:rsidRDefault="00350ECE" w:rsidP="00EC39E7">
            <w:pPr>
              <w:spacing w:line="0" w:lineRule="atLeast"/>
              <w:jc w:val="both"/>
              <w:rPr>
                <w:color w:val="auto"/>
                <w:szCs w:val="28"/>
                <w:lang w:val="en-US"/>
              </w:rPr>
            </w:pPr>
            <w:r w:rsidRPr="003579F7">
              <w:rPr>
                <w:szCs w:val="28"/>
                <w:lang w:val="en-US"/>
              </w:rPr>
              <w:t xml:space="preserve">The project report addresses each of the issues specified in the requirements, uses appropriate examples to illustrate </w:t>
            </w:r>
            <w:r w:rsidR="00EC39E7">
              <w:rPr>
                <w:szCs w:val="28"/>
                <w:lang w:val="en-US"/>
              </w:rPr>
              <w:t xml:space="preserve">the </w:t>
            </w:r>
            <w:r w:rsidRPr="003579F7">
              <w:rPr>
                <w:szCs w:val="28"/>
                <w:lang w:val="en-US"/>
              </w:rPr>
              <w:t xml:space="preserve">concepts discussed, and integrates the annual report data with the narrative. The report focuses on </w:t>
            </w:r>
            <w:r w:rsidR="00EC39E7">
              <w:rPr>
                <w:szCs w:val="28"/>
                <w:lang w:val="en-US"/>
              </w:rPr>
              <w:t xml:space="preserve">the </w:t>
            </w:r>
            <w:r w:rsidRPr="003579F7">
              <w:rPr>
                <w:szCs w:val="28"/>
                <w:lang w:val="en-US"/>
              </w:rPr>
              <w:t xml:space="preserve">important items, demonstrates a thorough understanding of the relationships </w:t>
            </w:r>
            <w:r w:rsidR="00EC39E7">
              <w:rPr>
                <w:szCs w:val="28"/>
                <w:lang w:val="en-US"/>
              </w:rPr>
              <w:t>between</w:t>
            </w:r>
            <w:r w:rsidRPr="003579F7">
              <w:rPr>
                <w:szCs w:val="28"/>
                <w:lang w:val="en-US"/>
              </w:rPr>
              <w:t xml:space="preserve"> financial statement data, and is cohesive</w:t>
            </w:r>
          </w:p>
        </w:tc>
      </w:tr>
      <w:tr w:rsidR="00350ECE" w:rsidRPr="003579F7" w14:paraId="131FC4D8" w14:textId="77777777" w:rsidTr="004948D5">
        <w:tc>
          <w:tcPr>
            <w:tcW w:w="9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FB9A1AE" w14:textId="77777777" w:rsidR="003579F7" w:rsidRPr="003579F7" w:rsidRDefault="00350ECE" w:rsidP="004948D5">
            <w:pPr>
              <w:spacing w:line="0" w:lineRule="atLeast"/>
              <w:jc w:val="center"/>
              <w:rPr>
                <w:color w:val="auto"/>
                <w:szCs w:val="28"/>
                <w:lang w:val="en-US"/>
              </w:rPr>
            </w:pPr>
            <w:r w:rsidRPr="003579F7">
              <w:rPr>
                <w:szCs w:val="28"/>
                <w:lang w:val="en-US"/>
              </w:rPr>
              <w:t>68</w:t>
            </w:r>
            <w:r w:rsidR="00EC39E7">
              <w:rPr>
                <w:szCs w:val="28"/>
                <w:lang w:val="en-US"/>
              </w:rPr>
              <w:t>–</w:t>
            </w:r>
            <w:r w:rsidRPr="003579F7">
              <w:rPr>
                <w:szCs w:val="28"/>
                <w:lang w:val="en-US"/>
              </w:rPr>
              <w:t>75</w:t>
            </w:r>
          </w:p>
        </w:tc>
        <w:tc>
          <w:tcPr>
            <w:tcW w:w="864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F7C6AF2" w14:textId="77777777" w:rsidR="003579F7" w:rsidRPr="003579F7" w:rsidRDefault="00350ECE" w:rsidP="004948D5">
            <w:pPr>
              <w:spacing w:line="0" w:lineRule="atLeast"/>
              <w:jc w:val="both"/>
              <w:rPr>
                <w:color w:val="auto"/>
                <w:szCs w:val="28"/>
                <w:lang w:val="en-US"/>
              </w:rPr>
            </w:pPr>
            <w:r w:rsidRPr="003579F7">
              <w:rPr>
                <w:szCs w:val="28"/>
                <w:lang w:val="en-US"/>
              </w:rPr>
              <w:t>The project report addresses the issues specified in the requirements, demonstrates understanding, and focuses mainly on important items, but does not fully synthesize the material being discussed, and/or does not integrate the annual report data with the narrative</w:t>
            </w:r>
          </w:p>
        </w:tc>
      </w:tr>
      <w:tr w:rsidR="00350ECE" w:rsidRPr="003579F7" w14:paraId="033C36BE" w14:textId="77777777" w:rsidTr="004948D5">
        <w:tc>
          <w:tcPr>
            <w:tcW w:w="9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4CF60C5" w14:textId="77777777" w:rsidR="003579F7" w:rsidRPr="003579F7" w:rsidRDefault="00350ECE" w:rsidP="004948D5">
            <w:pPr>
              <w:spacing w:line="0" w:lineRule="atLeast"/>
              <w:jc w:val="center"/>
              <w:rPr>
                <w:color w:val="auto"/>
                <w:szCs w:val="28"/>
                <w:lang w:val="en-US"/>
              </w:rPr>
            </w:pPr>
            <w:r w:rsidRPr="003579F7">
              <w:rPr>
                <w:szCs w:val="28"/>
                <w:lang w:val="en-US"/>
              </w:rPr>
              <w:t>60</w:t>
            </w:r>
            <w:r w:rsidR="00EC39E7">
              <w:rPr>
                <w:szCs w:val="28"/>
                <w:lang w:val="en-US"/>
              </w:rPr>
              <w:t>–</w:t>
            </w:r>
            <w:r w:rsidRPr="003579F7">
              <w:rPr>
                <w:szCs w:val="28"/>
                <w:lang w:val="en-US"/>
              </w:rPr>
              <w:t>67</w:t>
            </w:r>
          </w:p>
        </w:tc>
        <w:tc>
          <w:tcPr>
            <w:tcW w:w="864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2C03849" w14:textId="77777777" w:rsidR="003579F7" w:rsidRPr="003579F7" w:rsidRDefault="00350ECE" w:rsidP="004948D5">
            <w:pPr>
              <w:spacing w:line="0" w:lineRule="atLeast"/>
              <w:jc w:val="both"/>
              <w:rPr>
                <w:color w:val="auto"/>
                <w:szCs w:val="28"/>
                <w:lang w:val="en-US"/>
              </w:rPr>
            </w:pPr>
            <w:r w:rsidRPr="003579F7">
              <w:rPr>
                <w:szCs w:val="28"/>
                <w:lang w:val="en-US"/>
              </w:rPr>
              <w:t>The project report addresses the issues specified in the requirements, but demonstrates only moderate understanding, and/or lacks integration</w:t>
            </w:r>
          </w:p>
        </w:tc>
      </w:tr>
      <w:tr w:rsidR="00350ECE" w:rsidRPr="003579F7" w14:paraId="041B158E" w14:textId="77777777" w:rsidTr="004948D5">
        <w:tc>
          <w:tcPr>
            <w:tcW w:w="9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80CD1EB" w14:textId="77777777" w:rsidR="003579F7" w:rsidRPr="003579F7" w:rsidRDefault="00350ECE" w:rsidP="004948D5">
            <w:pPr>
              <w:spacing w:line="0" w:lineRule="atLeast"/>
              <w:jc w:val="center"/>
              <w:rPr>
                <w:color w:val="auto"/>
                <w:szCs w:val="28"/>
                <w:lang w:val="en-US"/>
              </w:rPr>
            </w:pPr>
            <w:r w:rsidRPr="003579F7">
              <w:rPr>
                <w:szCs w:val="28"/>
                <w:lang w:val="en-US"/>
              </w:rPr>
              <w:t>52</w:t>
            </w:r>
            <w:r w:rsidR="00EC39E7">
              <w:rPr>
                <w:szCs w:val="28"/>
                <w:lang w:val="en-US"/>
              </w:rPr>
              <w:t>–</w:t>
            </w:r>
            <w:r w:rsidRPr="003579F7">
              <w:rPr>
                <w:szCs w:val="28"/>
                <w:lang w:val="en-US"/>
              </w:rPr>
              <w:t>59</w:t>
            </w:r>
          </w:p>
        </w:tc>
        <w:tc>
          <w:tcPr>
            <w:tcW w:w="864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EDDF55F" w14:textId="77777777" w:rsidR="003579F7" w:rsidRPr="003579F7" w:rsidRDefault="00350ECE" w:rsidP="004948D5">
            <w:pPr>
              <w:spacing w:line="0" w:lineRule="atLeast"/>
              <w:jc w:val="both"/>
              <w:rPr>
                <w:color w:val="auto"/>
                <w:szCs w:val="28"/>
                <w:lang w:val="en-US"/>
              </w:rPr>
            </w:pPr>
            <w:r w:rsidRPr="003579F7">
              <w:rPr>
                <w:szCs w:val="28"/>
                <w:lang w:val="en-US"/>
              </w:rPr>
              <w:t>The project report addresses the issues specified in the requirements, but demonstrates only minimal understanding of one or more of the issues</w:t>
            </w:r>
          </w:p>
        </w:tc>
      </w:tr>
      <w:tr w:rsidR="00350ECE" w:rsidRPr="003579F7" w14:paraId="3CF97B7E" w14:textId="77777777" w:rsidTr="004948D5">
        <w:tc>
          <w:tcPr>
            <w:tcW w:w="9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E16AC79" w14:textId="77777777" w:rsidR="003579F7" w:rsidRPr="003579F7" w:rsidRDefault="00350ECE" w:rsidP="004948D5">
            <w:pPr>
              <w:spacing w:line="0" w:lineRule="atLeast"/>
              <w:jc w:val="center"/>
              <w:rPr>
                <w:color w:val="auto"/>
                <w:szCs w:val="28"/>
                <w:lang w:val="en-US"/>
              </w:rPr>
            </w:pPr>
            <w:r w:rsidRPr="003579F7">
              <w:rPr>
                <w:szCs w:val="28"/>
                <w:lang w:val="en-US"/>
              </w:rPr>
              <w:t>44</w:t>
            </w:r>
            <w:r w:rsidR="00EC39E7">
              <w:rPr>
                <w:szCs w:val="28"/>
                <w:lang w:val="en-US"/>
              </w:rPr>
              <w:t>–</w:t>
            </w:r>
            <w:r w:rsidRPr="003579F7">
              <w:rPr>
                <w:szCs w:val="28"/>
                <w:lang w:val="en-US"/>
              </w:rPr>
              <w:t>51</w:t>
            </w:r>
          </w:p>
        </w:tc>
        <w:tc>
          <w:tcPr>
            <w:tcW w:w="864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6E36729" w14:textId="77777777" w:rsidR="003579F7" w:rsidRPr="003579F7" w:rsidRDefault="00350ECE" w:rsidP="00EC39E7">
            <w:pPr>
              <w:spacing w:line="0" w:lineRule="atLeast"/>
              <w:jc w:val="both"/>
              <w:rPr>
                <w:color w:val="auto"/>
                <w:szCs w:val="28"/>
                <w:lang w:val="en-US"/>
              </w:rPr>
            </w:pPr>
            <w:r w:rsidRPr="003579F7">
              <w:rPr>
                <w:szCs w:val="28"/>
                <w:lang w:val="en-US"/>
              </w:rPr>
              <w:t xml:space="preserve">The project report is acceptable after resubmission due to </w:t>
            </w:r>
            <w:r w:rsidR="00EC39E7">
              <w:rPr>
                <w:szCs w:val="28"/>
                <w:lang w:val="en-US"/>
              </w:rPr>
              <w:t xml:space="preserve">initial </w:t>
            </w:r>
            <w:r w:rsidRPr="003579F7">
              <w:rPr>
                <w:szCs w:val="28"/>
                <w:lang w:val="en-US"/>
              </w:rPr>
              <w:t>failure to comply with the basic requirements, excessive composition errors, or failure to demonstrate understanding of two or more of the issues required to be discussed</w:t>
            </w:r>
          </w:p>
        </w:tc>
      </w:tr>
      <w:tr w:rsidR="00350ECE" w:rsidRPr="003579F7" w14:paraId="65416C53" w14:textId="77777777" w:rsidTr="004948D5">
        <w:tc>
          <w:tcPr>
            <w:tcW w:w="966"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A036451" w14:textId="77777777" w:rsidR="003579F7" w:rsidRPr="003579F7" w:rsidRDefault="00350ECE" w:rsidP="004948D5">
            <w:pPr>
              <w:spacing w:line="0" w:lineRule="atLeast"/>
              <w:jc w:val="center"/>
              <w:rPr>
                <w:color w:val="auto"/>
                <w:szCs w:val="28"/>
                <w:lang w:val="en-US"/>
              </w:rPr>
            </w:pPr>
            <w:r w:rsidRPr="003579F7">
              <w:rPr>
                <w:szCs w:val="28"/>
                <w:lang w:val="en-US"/>
              </w:rPr>
              <w:t>0</w:t>
            </w:r>
            <w:r w:rsidR="00EC39E7">
              <w:rPr>
                <w:szCs w:val="28"/>
                <w:lang w:val="en-US"/>
              </w:rPr>
              <w:t>–</w:t>
            </w:r>
            <w:r w:rsidRPr="003579F7">
              <w:rPr>
                <w:szCs w:val="28"/>
                <w:lang w:val="en-US"/>
              </w:rPr>
              <w:t>43</w:t>
            </w:r>
          </w:p>
        </w:tc>
        <w:tc>
          <w:tcPr>
            <w:tcW w:w="8643"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F2C6591" w14:textId="77777777" w:rsidR="003579F7" w:rsidRPr="003579F7" w:rsidRDefault="00350ECE" w:rsidP="00EC39E7">
            <w:pPr>
              <w:spacing w:line="0" w:lineRule="atLeast"/>
              <w:jc w:val="both"/>
              <w:rPr>
                <w:color w:val="auto"/>
                <w:szCs w:val="28"/>
                <w:lang w:val="en-US"/>
              </w:rPr>
            </w:pPr>
            <w:r w:rsidRPr="003579F7">
              <w:rPr>
                <w:szCs w:val="28"/>
                <w:lang w:val="en-US"/>
              </w:rPr>
              <w:t xml:space="preserve">The project report fails to meet the basic requirements, has excessive composition errors, and/or fails to demonstrate understanding of two or more of the issues required to be discussed after </w:t>
            </w:r>
            <w:r w:rsidR="00EC39E7">
              <w:rPr>
                <w:szCs w:val="28"/>
                <w:lang w:val="en-US"/>
              </w:rPr>
              <w:t>the</w:t>
            </w:r>
            <w:r w:rsidRPr="003579F7">
              <w:rPr>
                <w:szCs w:val="28"/>
                <w:lang w:val="en-US"/>
              </w:rPr>
              <w:t xml:space="preserve"> first resubmission</w:t>
            </w:r>
          </w:p>
        </w:tc>
      </w:tr>
    </w:tbl>
    <w:p w14:paraId="19E5A7B6" w14:textId="77777777" w:rsidR="004948D5" w:rsidRPr="004948D5" w:rsidRDefault="00EC39E7" w:rsidP="004948D5">
      <w:pPr>
        <w:spacing w:line="312" w:lineRule="auto"/>
        <w:ind w:firstLine="357"/>
        <w:contextualSpacing/>
        <w:jc w:val="both"/>
        <w:rPr>
          <w:rFonts w:cs="Garamond"/>
          <w:color w:val="auto"/>
          <w:sz w:val="28"/>
          <w:szCs w:val="28"/>
          <w:lang w:val="en-US" w:eastAsia="ru-RU" w:bidi="ru-RU"/>
        </w:rPr>
      </w:pPr>
      <w:r>
        <w:rPr>
          <w:rFonts w:cs="Garamond"/>
          <w:b/>
          <w:color w:val="auto"/>
          <w:sz w:val="28"/>
          <w:szCs w:val="28"/>
          <w:lang w:val="en-US" w:eastAsia="ru-RU" w:bidi="ru-RU"/>
        </w:rPr>
        <w:lastRenderedPageBreak/>
        <w:t>Phase 3</w:t>
      </w:r>
      <w:r w:rsidR="00AC0394">
        <w:rPr>
          <w:rFonts w:cs="Garamond"/>
          <w:color w:val="auto"/>
          <w:sz w:val="28"/>
          <w:szCs w:val="28"/>
          <w:lang w:val="en-US" w:eastAsia="ru-RU" w:bidi="ru-RU"/>
        </w:rPr>
        <w:t>:</w:t>
      </w:r>
      <w:r w:rsidR="004948D5" w:rsidRPr="004948D5">
        <w:rPr>
          <w:rFonts w:cs="Garamond"/>
          <w:color w:val="auto"/>
          <w:sz w:val="28"/>
          <w:szCs w:val="28"/>
          <w:lang w:val="en-US" w:eastAsia="ru-RU" w:bidi="ru-RU"/>
        </w:rPr>
        <w:t xml:space="preserve"> the oral pr</w:t>
      </w:r>
      <w:r>
        <w:rPr>
          <w:rFonts w:cs="Garamond"/>
          <w:color w:val="auto"/>
          <w:sz w:val="28"/>
          <w:szCs w:val="28"/>
          <w:lang w:val="en-US" w:eastAsia="ru-RU" w:bidi="ru-RU"/>
        </w:rPr>
        <w:t>esentations are worth 10 points</w:t>
      </w:r>
      <w:r w:rsidR="004948D5" w:rsidRPr="004948D5">
        <w:rPr>
          <w:rFonts w:cs="Garamond"/>
          <w:color w:val="auto"/>
          <w:sz w:val="28"/>
          <w:szCs w:val="28"/>
          <w:lang w:val="en-US" w:eastAsia="ru-RU" w:bidi="ru-RU"/>
        </w:rPr>
        <w:t xml:space="preserve"> and will be gradin</w:t>
      </w:r>
      <w:r w:rsidR="004948D5">
        <w:rPr>
          <w:rFonts w:cs="Garamond"/>
          <w:color w:val="auto"/>
          <w:sz w:val="28"/>
          <w:szCs w:val="28"/>
          <w:lang w:val="en-US" w:eastAsia="ru-RU" w:bidi="ru-RU"/>
        </w:rPr>
        <w:t>g as follows: 5</w:t>
      </w:r>
      <w:r>
        <w:rPr>
          <w:rFonts w:cs="Garamond"/>
          <w:color w:val="auto"/>
          <w:sz w:val="28"/>
          <w:szCs w:val="28"/>
          <w:lang w:val="en-US" w:eastAsia="ru-RU" w:bidi="ru-RU"/>
        </w:rPr>
        <w:t xml:space="preserve"> </w:t>
      </w:r>
      <w:r w:rsidR="004948D5" w:rsidRPr="004948D5">
        <w:rPr>
          <w:rFonts w:cs="Garamond"/>
          <w:color w:val="auto"/>
          <w:sz w:val="28"/>
          <w:szCs w:val="28"/>
          <w:lang w:val="en-US" w:eastAsia="ru-RU" w:bidi="ru-RU"/>
        </w:rPr>
        <w:t xml:space="preserve">% </w:t>
      </w:r>
      <w:r>
        <w:rPr>
          <w:rFonts w:cs="Garamond"/>
          <w:color w:val="auto"/>
          <w:sz w:val="28"/>
          <w:szCs w:val="28"/>
          <w:lang w:val="en-US" w:eastAsia="ru-RU" w:bidi="ru-RU"/>
        </w:rPr>
        <w:t xml:space="preserve">should be </w:t>
      </w:r>
      <w:r w:rsidR="004948D5" w:rsidRPr="004948D5">
        <w:rPr>
          <w:rFonts w:cs="Garamond"/>
          <w:color w:val="auto"/>
          <w:sz w:val="28"/>
          <w:szCs w:val="28"/>
          <w:lang w:val="en-US" w:eastAsia="ru-RU" w:bidi="ru-RU"/>
        </w:rPr>
        <w:t>allocated to the importance and releva</w:t>
      </w:r>
      <w:r w:rsidR="004948D5">
        <w:rPr>
          <w:rFonts w:cs="Garamond"/>
          <w:color w:val="auto"/>
          <w:sz w:val="28"/>
          <w:szCs w:val="28"/>
          <w:lang w:val="en-US" w:eastAsia="ru-RU" w:bidi="ru-RU"/>
        </w:rPr>
        <w:t>nce of the matters discussed; 3</w:t>
      </w:r>
      <w:r>
        <w:rPr>
          <w:rFonts w:cs="Garamond"/>
          <w:color w:val="auto"/>
          <w:sz w:val="28"/>
          <w:szCs w:val="28"/>
          <w:lang w:val="en-US" w:eastAsia="ru-RU" w:bidi="ru-RU"/>
        </w:rPr>
        <w:t xml:space="preserve"> </w:t>
      </w:r>
      <w:r w:rsidR="004948D5" w:rsidRPr="004948D5">
        <w:rPr>
          <w:rFonts w:cs="Garamond"/>
          <w:color w:val="auto"/>
          <w:sz w:val="28"/>
          <w:szCs w:val="28"/>
          <w:lang w:val="en-US" w:eastAsia="ru-RU" w:bidi="ru-RU"/>
        </w:rPr>
        <w:t xml:space="preserve">% </w:t>
      </w:r>
      <w:r>
        <w:rPr>
          <w:rFonts w:cs="Garamond"/>
          <w:color w:val="auto"/>
          <w:sz w:val="28"/>
          <w:szCs w:val="28"/>
          <w:lang w:val="en-US" w:eastAsia="ru-RU" w:bidi="ru-RU"/>
        </w:rPr>
        <w:t>–</w:t>
      </w:r>
      <w:r w:rsidR="004948D5" w:rsidRPr="004948D5">
        <w:rPr>
          <w:rFonts w:cs="Garamond"/>
          <w:color w:val="auto"/>
          <w:sz w:val="28"/>
          <w:szCs w:val="28"/>
          <w:lang w:val="en-US" w:eastAsia="ru-RU" w:bidi="ru-RU"/>
        </w:rPr>
        <w:t xml:space="preserve"> to the professiona</w:t>
      </w:r>
      <w:r w:rsidR="004948D5">
        <w:rPr>
          <w:rFonts w:cs="Garamond"/>
          <w:color w:val="auto"/>
          <w:sz w:val="28"/>
          <w:szCs w:val="28"/>
          <w:lang w:val="en-US" w:eastAsia="ru-RU" w:bidi="ru-RU"/>
        </w:rPr>
        <w:t>lism of the presentation; and 2</w:t>
      </w:r>
      <w:r>
        <w:rPr>
          <w:rFonts w:cs="Garamond"/>
          <w:color w:val="auto"/>
          <w:sz w:val="28"/>
          <w:szCs w:val="28"/>
          <w:lang w:val="en-US" w:eastAsia="ru-RU" w:bidi="ru-RU"/>
        </w:rPr>
        <w:t xml:space="preserve"> </w:t>
      </w:r>
      <w:r w:rsidR="004948D5" w:rsidRPr="004948D5">
        <w:rPr>
          <w:rFonts w:cs="Garamond"/>
          <w:color w:val="auto"/>
          <w:sz w:val="28"/>
          <w:szCs w:val="28"/>
          <w:lang w:val="en-US" w:eastAsia="ru-RU" w:bidi="ru-RU"/>
        </w:rPr>
        <w:t xml:space="preserve">% </w:t>
      </w:r>
      <w:r>
        <w:rPr>
          <w:rFonts w:cs="Garamond"/>
          <w:color w:val="auto"/>
          <w:sz w:val="28"/>
          <w:szCs w:val="28"/>
          <w:lang w:val="en-US" w:eastAsia="ru-RU" w:bidi="ru-RU"/>
        </w:rPr>
        <w:t>–</w:t>
      </w:r>
      <w:r w:rsidR="004948D5" w:rsidRPr="004948D5">
        <w:rPr>
          <w:rFonts w:cs="Garamond"/>
          <w:color w:val="auto"/>
          <w:sz w:val="28"/>
          <w:szCs w:val="28"/>
          <w:lang w:val="en-US" w:eastAsia="ru-RU" w:bidi="ru-RU"/>
        </w:rPr>
        <w:t xml:space="preserve"> to the team’s responsiveness to questions. Every member of the team is required to participate in the presentation.</w:t>
      </w:r>
    </w:p>
    <w:p w14:paraId="1A5FB8C0" w14:textId="77777777" w:rsidR="004948D5" w:rsidRPr="004948D5" w:rsidRDefault="004948D5" w:rsidP="004948D5">
      <w:pPr>
        <w:spacing w:line="312" w:lineRule="auto"/>
        <w:ind w:firstLine="357"/>
        <w:contextualSpacing/>
        <w:jc w:val="both"/>
        <w:rPr>
          <w:rFonts w:cs="Garamond"/>
          <w:color w:val="auto"/>
          <w:sz w:val="28"/>
          <w:szCs w:val="28"/>
          <w:lang w:val="en-US" w:eastAsia="ru-RU" w:bidi="ru-RU"/>
        </w:rPr>
      </w:pPr>
      <w:r w:rsidRPr="004948D5">
        <w:rPr>
          <w:rFonts w:cs="Garamond"/>
          <w:color w:val="auto"/>
          <w:sz w:val="28"/>
          <w:szCs w:val="28"/>
          <w:lang w:val="en-US" w:eastAsia="ru-RU" w:bidi="ru-RU"/>
        </w:rPr>
        <w:t>The team project is awarded one of the following grades:</w:t>
      </w:r>
    </w:p>
    <w:p w14:paraId="653F6A1A" w14:textId="77777777" w:rsidR="004948D5" w:rsidRPr="004948D5" w:rsidRDefault="004948D5" w:rsidP="004948D5">
      <w:pPr>
        <w:spacing w:line="312" w:lineRule="auto"/>
        <w:ind w:firstLine="357"/>
        <w:contextualSpacing/>
        <w:jc w:val="both"/>
        <w:rPr>
          <w:rFonts w:cs="Garamond"/>
          <w:color w:val="auto"/>
          <w:sz w:val="28"/>
          <w:szCs w:val="28"/>
          <w:lang w:val="en-US" w:eastAsia="ru-RU" w:bidi="ru-RU"/>
        </w:rPr>
      </w:pPr>
      <w:r w:rsidRPr="004948D5">
        <w:rPr>
          <w:rFonts w:cs="Garamond"/>
          <w:color w:val="auto"/>
          <w:sz w:val="28"/>
          <w:szCs w:val="28"/>
          <w:lang w:val="en-US" w:eastAsia="ru-RU" w:bidi="ru-RU"/>
        </w:rPr>
        <w:t>High Distinction (Grade A, 91</w:t>
      </w:r>
      <w:r w:rsidR="00EC39E7">
        <w:rPr>
          <w:rFonts w:cs="Garamond"/>
          <w:color w:val="auto"/>
          <w:sz w:val="28"/>
          <w:szCs w:val="28"/>
          <w:lang w:val="en-US" w:eastAsia="ru-RU" w:bidi="ru-RU"/>
        </w:rPr>
        <w:t>–</w:t>
      </w:r>
      <w:r w:rsidRPr="004948D5">
        <w:rPr>
          <w:rFonts w:cs="Garamond"/>
          <w:color w:val="auto"/>
          <w:sz w:val="28"/>
          <w:szCs w:val="28"/>
          <w:lang w:val="en-US" w:eastAsia="ru-RU" w:bidi="ru-RU"/>
        </w:rPr>
        <w:t>100 points)</w:t>
      </w:r>
    </w:p>
    <w:p w14:paraId="4CD644CE" w14:textId="77777777" w:rsidR="004948D5" w:rsidRPr="004948D5" w:rsidRDefault="004948D5" w:rsidP="004948D5">
      <w:pPr>
        <w:spacing w:line="312" w:lineRule="auto"/>
        <w:ind w:firstLine="357"/>
        <w:contextualSpacing/>
        <w:jc w:val="both"/>
        <w:rPr>
          <w:rFonts w:cs="Garamond"/>
          <w:color w:val="auto"/>
          <w:sz w:val="28"/>
          <w:szCs w:val="28"/>
          <w:lang w:val="en-US" w:eastAsia="ru-RU" w:bidi="ru-RU"/>
        </w:rPr>
      </w:pPr>
      <w:r w:rsidRPr="004948D5">
        <w:rPr>
          <w:rFonts w:cs="Garamond"/>
          <w:color w:val="auto"/>
          <w:sz w:val="28"/>
          <w:szCs w:val="28"/>
          <w:lang w:val="en-US" w:eastAsia="ru-RU" w:bidi="ru-RU"/>
        </w:rPr>
        <w:t>Distinction (Grade B, 83</w:t>
      </w:r>
      <w:r w:rsidR="00EC39E7">
        <w:rPr>
          <w:rFonts w:cs="Garamond"/>
          <w:color w:val="auto"/>
          <w:sz w:val="28"/>
          <w:szCs w:val="28"/>
          <w:lang w:val="en-US" w:eastAsia="ru-RU" w:bidi="ru-RU"/>
        </w:rPr>
        <w:t>–</w:t>
      </w:r>
      <w:r w:rsidRPr="004948D5">
        <w:rPr>
          <w:rFonts w:cs="Garamond"/>
          <w:color w:val="auto"/>
          <w:sz w:val="28"/>
          <w:szCs w:val="28"/>
          <w:lang w:val="en-US" w:eastAsia="ru-RU" w:bidi="ru-RU"/>
        </w:rPr>
        <w:t>90 points)</w:t>
      </w:r>
    </w:p>
    <w:p w14:paraId="531A791D" w14:textId="77777777" w:rsidR="004948D5" w:rsidRPr="004948D5" w:rsidRDefault="004948D5" w:rsidP="004948D5">
      <w:pPr>
        <w:spacing w:line="312" w:lineRule="auto"/>
        <w:ind w:firstLine="357"/>
        <w:contextualSpacing/>
        <w:jc w:val="both"/>
        <w:rPr>
          <w:rFonts w:cs="Garamond"/>
          <w:color w:val="auto"/>
          <w:sz w:val="28"/>
          <w:szCs w:val="28"/>
          <w:lang w:val="en-US" w:eastAsia="ru-RU" w:bidi="ru-RU"/>
        </w:rPr>
      </w:pPr>
      <w:r w:rsidRPr="004948D5">
        <w:rPr>
          <w:rFonts w:cs="Garamond"/>
          <w:color w:val="auto"/>
          <w:sz w:val="28"/>
          <w:szCs w:val="28"/>
          <w:lang w:val="en-US" w:eastAsia="ru-RU" w:bidi="ru-RU"/>
        </w:rPr>
        <w:t>Credit (Grade C, 76</w:t>
      </w:r>
      <w:r w:rsidR="00EC39E7">
        <w:rPr>
          <w:rFonts w:cs="Garamond"/>
          <w:color w:val="auto"/>
          <w:sz w:val="28"/>
          <w:szCs w:val="28"/>
          <w:lang w:val="en-US" w:eastAsia="ru-RU" w:bidi="ru-RU"/>
        </w:rPr>
        <w:t>–</w:t>
      </w:r>
      <w:r w:rsidRPr="004948D5">
        <w:rPr>
          <w:rFonts w:cs="Garamond"/>
          <w:color w:val="auto"/>
          <w:sz w:val="28"/>
          <w:szCs w:val="28"/>
          <w:lang w:val="en-US" w:eastAsia="ru-RU" w:bidi="ru-RU"/>
        </w:rPr>
        <w:t>82 points)</w:t>
      </w:r>
    </w:p>
    <w:p w14:paraId="39A5250D" w14:textId="77777777" w:rsidR="004948D5" w:rsidRPr="004948D5" w:rsidRDefault="004948D5" w:rsidP="004948D5">
      <w:pPr>
        <w:spacing w:line="312" w:lineRule="auto"/>
        <w:ind w:firstLine="357"/>
        <w:contextualSpacing/>
        <w:jc w:val="both"/>
        <w:rPr>
          <w:rFonts w:cs="Garamond"/>
          <w:color w:val="auto"/>
          <w:sz w:val="28"/>
          <w:szCs w:val="28"/>
          <w:lang w:val="en-US" w:eastAsia="ru-RU" w:bidi="ru-RU"/>
        </w:rPr>
      </w:pPr>
      <w:r w:rsidRPr="004948D5">
        <w:rPr>
          <w:rFonts w:cs="Garamond"/>
          <w:color w:val="auto"/>
          <w:sz w:val="28"/>
          <w:szCs w:val="28"/>
          <w:lang w:val="en-US" w:eastAsia="ru-RU" w:bidi="ru-RU"/>
        </w:rPr>
        <w:t>Pass 1 (Grade D, 68</w:t>
      </w:r>
      <w:r w:rsidR="00EC39E7">
        <w:rPr>
          <w:rFonts w:cs="Garamond"/>
          <w:color w:val="auto"/>
          <w:sz w:val="28"/>
          <w:szCs w:val="28"/>
          <w:lang w:val="en-US" w:eastAsia="ru-RU" w:bidi="ru-RU"/>
        </w:rPr>
        <w:t>–</w:t>
      </w:r>
      <w:r w:rsidRPr="004948D5">
        <w:rPr>
          <w:rFonts w:cs="Garamond"/>
          <w:color w:val="auto"/>
          <w:sz w:val="28"/>
          <w:szCs w:val="28"/>
          <w:lang w:val="en-US" w:eastAsia="ru-RU" w:bidi="ru-RU"/>
        </w:rPr>
        <w:t>75 points)</w:t>
      </w:r>
    </w:p>
    <w:p w14:paraId="0F8B438F" w14:textId="77777777" w:rsidR="004948D5" w:rsidRPr="004948D5" w:rsidRDefault="004948D5" w:rsidP="004948D5">
      <w:pPr>
        <w:spacing w:line="312" w:lineRule="auto"/>
        <w:ind w:firstLine="357"/>
        <w:contextualSpacing/>
        <w:jc w:val="both"/>
        <w:rPr>
          <w:rFonts w:cs="Garamond"/>
          <w:color w:val="auto"/>
          <w:sz w:val="28"/>
          <w:szCs w:val="28"/>
          <w:lang w:val="en-US" w:eastAsia="ru-RU" w:bidi="ru-RU"/>
        </w:rPr>
      </w:pPr>
      <w:r w:rsidRPr="004948D5">
        <w:rPr>
          <w:rFonts w:cs="Garamond"/>
          <w:color w:val="auto"/>
          <w:sz w:val="28"/>
          <w:szCs w:val="28"/>
          <w:lang w:val="en-US" w:eastAsia="ru-RU" w:bidi="ru-RU"/>
        </w:rPr>
        <w:t>Pass 2 (Grade E, 60</w:t>
      </w:r>
      <w:r w:rsidR="00EC39E7">
        <w:rPr>
          <w:rFonts w:cs="Garamond"/>
          <w:color w:val="auto"/>
          <w:sz w:val="28"/>
          <w:szCs w:val="28"/>
          <w:lang w:val="en-US" w:eastAsia="ru-RU" w:bidi="ru-RU"/>
        </w:rPr>
        <w:t>–</w:t>
      </w:r>
      <w:r w:rsidRPr="004948D5">
        <w:rPr>
          <w:rFonts w:cs="Garamond"/>
          <w:color w:val="auto"/>
          <w:sz w:val="28"/>
          <w:szCs w:val="28"/>
          <w:lang w:val="en-US" w:eastAsia="ru-RU" w:bidi="ru-RU"/>
        </w:rPr>
        <w:t>67 points)</w:t>
      </w:r>
    </w:p>
    <w:p w14:paraId="6CAB84A3" w14:textId="77777777" w:rsidR="004948D5" w:rsidRPr="004948D5" w:rsidRDefault="004948D5" w:rsidP="004948D5">
      <w:pPr>
        <w:spacing w:line="312" w:lineRule="auto"/>
        <w:ind w:firstLine="357"/>
        <w:contextualSpacing/>
        <w:jc w:val="both"/>
        <w:rPr>
          <w:rFonts w:cs="Garamond"/>
          <w:color w:val="auto"/>
          <w:sz w:val="28"/>
          <w:szCs w:val="28"/>
          <w:lang w:val="en-US" w:eastAsia="ru-RU" w:bidi="ru-RU"/>
        </w:rPr>
      </w:pPr>
      <w:r w:rsidRPr="004948D5">
        <w:rPr>
          <w:rFonts w:cs="Garamond"/>
          <w:color w:val="auto"/>
          <w:sz w:val="28"/>
          <w:szCs w:val="28"/>
          <w:lang w:val="en-US" w:eastAsia="ru-RU" w:bidi="ru-RU"/>
        </w:rPr>
        <w:t>Fail (Grade F, 0</w:t>
      </w:r>
      <w:r w:rsidR="00EC39E7">
        <w:rPr>
          <w:rFonts w:cs="Garamond"/>
          <w:color w:val="auto"/>
          <w:sz w:val="28"/>
          <w:szCs w:val="28"/>
          <w:lang w:val="en-US" w:eastAsia="ru-RU" w:bidi="ru-RU"/>
        </w:rPr>
        <w:t>–</w:t>
      </w:r>
      <w:r w:rsidRPr="004948D5">
        <w:rPr>
          <w:rFonts w:cs="Garamond"/>
          <w:color w:val="auto"/>
          <w:sz w:val="28"/>
          <w:szCs w:val="28"/>
          <w:lang w:val="en-US" w:eastAsia="ru-RU" w:bidi="ru-RU"/>
        </w:rPr>
        <w:t>59 points)</w:t>
      </w:r>
    </w:p>
    <w:p w14:paraId="0B0C4A31" w14:textId="77777777" w:rsidR="004948D5" w:rsidRDefault="004948D5" w:rsidP="004948D5">
      <w:pPr>
        <w:spacing w:line="312" w:lineRule="auto"/>
        <w:ind w:firstLine="357"/>
        <w:contextualSpacing/>
        <w:jc w:val="both"/>
        <w:rPr>
          <w:rFonts w:cs="Garamond"/>
          <w:color w:val="auto"/>
          <w:sz w:val="28"/>
          <w:szCs w:val="28"/>
          <w:lang w:val="en-US" w:eastAsia="ru-RU" w:bidi="ru-RU"/>
        </w:rPr>
      </w:pPr>
      <w:r w:rsidRPr="004948D5">
        <w:rPr>
          <w:rFonts w:cs="Garamond"/>
          <w:color w:val="auto"/>
          <w:sz w:val="28"/>
          <w:szCs w:val="28"/>
          <w:lang w:val="en-US" w:eastAsia="ru-RU" w:bidi="ru-RU"/>
        </w:rPr>
        <w:t>If failing an assig</w:t>
      </w:r>
      <w:r w:rsidR="00EC39E7">
        <w:rPr>
          <w:rFonts w:cs="Garamond"/>
          <w:color w:val="auto"/>
          <w:sz w:val="28"/>
          <w:szCs w:val="28"/>
          <w:lang w:val="en-US" w:eastAsia="ru-RU" w:bidi="ru-RU"/>
        </w:rPr>
        <w:t>nment, it may be possible to re</w:t>
      </w:r>
      <w:r w:rsidRPr="004948D5">
        <w:rPr>
          <w:rFonts w:cs="Garamond"/>
          <w:color w:val="auto"/>
          <w:sz w:val="28"/>
          <w:szCs w:val="28"/>
          <w:lang w:val="en-US" w:eastAsia="ru-RU" w:bidi="ru-RU"/>
        </w:rPr>
        <w:t>sit the assignment later during the course</w:t>
      </w:r>
      <w:r>
        <w:rPr>
          <w:rFonts w:cs="Garamond"/>
          <w:color w:val="auto"/>
          <w:sz w:val="28"/>
          <w:szCs w:val="28"/>
          <w:lang w:val="en-US" w:eastAsia="ru-RU" w:bidi="ru-RU"/>
        </w:rPr>
        <w:t>.</w:t>
      </w:r>
    </w:p>
    <w:p w14:paraId="7186FFB5" w14:textId="77777777" w:rsidR="00350ECE" w:rsidRPr="00DC64FF" w:rsidRDefault="00350ECE" w:rsidP="00350ECE">
      <w:pPr>
        <w:pStyle w:val="end2"/>
        <w:rPr>
          <w:rFonts w:eastAsia="Garamond"/>
          <w:u w:color="000000"/>
          <w:bdr w:val="nil"/>
          <w:lang w:eastAsia="en-US"/>
        </w:rPr>
      </w:pPr>
      <w:r w:rsidRPr="00DC64FF">
        <w:rPr>
          <w:rFonts w:eastAsia="Garamond"/>
          <w:u w:color="000000"/>
          <w:bdr w:val="nil"/>
          <w:lang w:eastAsia="en-US"/>
        </w:rPr>
        <w:t>References</w:t>
      </w:r>
    </w:p>
    <w:p w14:paraId="630CAEA6" w14:textId="77777777" w:rsidR="00EC39E7" w:rsidRDefault="00EC39E7" w:rsidP="00350ECE">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Lermack, H., 2003,</w:t>
      </w:r>
      <w:r w:rsidR="00350ECE" w:rsidRPr="00DC64FF">
        <w:rPr>
          <w:rFonts w:cs="Garamond"/>
          <w:color w:val="auto"/>
          <w:sz w:val="28"/>
          <w:szCs w:val="28"/>
          <w:lang w:val="en-US" w:eastAsia="ru-RU" w:bidi="ru-RU"/>
        </w:rPr>
        <w:t xml:space="preserve"> </w:t>
      </w:r>
      <w:r w:rsidR="00350ECE" w:rsidRPr="00EC39E7">
        <w:rPr>
          <w:rFonts w:cs="Garamond"/>
          <w:i/>
          <w:color w:val="auto"/>
          <w:sz w:val="28"/>
          <w:szCs w:val="28"/>
          <w:lang w:val="en-US" w:eastAsia="ru-RU" w:bidi="ru-RU"/>
        </w:rPr>
        <w:t>Steps to a basic company financial analysis</w:t>
      </w:r>
      <w:r>
        <w:rPr>
          <w:rFonts w:cs="Garamond"/>
          <w:i/>
          <w:color w:val="auto"/>
          <w:sz w:val="28"/>
          <w:szCs w:val="28"/>
          <w:lang w:val="en-US" w:eastAsia="ru-RU" w:bidi="ru-RU"/>
        </w:rPr>
        <w:t>,</w:t>
      </w:r>
      <w:r w:rsidR="00350ECE" w:rsidRPr="00DC64FF">
        <w:rPr>
          <w:rFonts w:cs="Garamond"/>
          <w:color w:val="auto"/>
          <w:sz w:val="28"/>
          <w:szCs w:val="28"/>
          <w:lang w:val="en-US" w:eastAsia="ru-RU" w:bidi="ru-RU"/>
        </w:rPr>
        <w:t xml:space="preserve"> Philadelphia University, Philadelphia, USA. </w:t>
      </w:r>
    </w:p>
    <w:p w14:paraId="789505B8" w14:textId="77777777" w:rsidR="00350ECE" w:rsidRPr="00DC64FF" w:rsidRDefault="00350ECE" w:rsidP="00350ECE">
      <w:pPr>
        <w:spacing w:line="312" w:lineRule="auto"/>
        <w:ind w:firstLine="357"/>
        <w:contextualSpacing/>
        <w:jc w:val="both"/>
        <w:rPr>
          <w:rFonts w:cs="Garamond"/>
          <w:color w:val="auto"/>
          <w:sz w:val="28"/>
          <w:szCs w:val="28"/>
          <w:lang w:val="en-US" w:eastAsia="ru-RU" w:bidi="ru-RU"/>
        </w:rPr>
      </w:pPr>
      <w:r w:rsidRPr="00DC64FF">
        <w:rPr>
          <w:rFonts w:cs="Garamond"/>
          <w:color w:val="auto"/>
          <w:sz w:val="28"/>
          <w:szCs w:val="28"/>
          <w:lang w:val="en-US" w:eastAsia="ru-RU" w:bidi="ru-RU"/>
        </w:rPr>
        <w:t>Available: http://faculty.philau.edu/lermackh/financial_analysis.htm</w:t>
      </w:r>
    </w:p>
    <w:p w14:paraId="080967DF" w14:textId="77777777" w:rsidR="00350ECE" w:rsidRPr="00DC64FF" w:rsidRDefault="00350ECE" w:rsidP="00350ECE">
      <w:pPr>
        <w:spacing w:line="312" w:lineRule="auto"/>
        <w:ind w:firstLine="357"/>
        <w:contextualSpacing/>
        <w:jc w:val="both"/>
        <w:rPr>
          <w:rFonts w:cs="Garamond"/>
          <w:color w:val="auto"/>
          <w:sz w:val="28"/>
          <w:szCs w:val="28"/>
          <w:lang w:val="en-US" w:eastAsia="ru-RU" w:bidi="ru-RU"/>
        </w:rPr>
      </w:pPr>
      <w:r w:rsidRPr="00DC64FF">
        <w:rPr>
          <w:rFonts w:cs="Garamond"/>
          <w:color w:val="auto"/>
          <w:sz w:val="28"/>
          <w:szCs w:val="28"/>
          <w:lang w:val="en-US" w:eastAsia="ru-RU" w:bidi="ru-RU"/>
        </w:rPr>
        <w:t xml:space="preserve">Misch, M. B., </w:t>
      </w:r>
      <w:r w:rsidR="00EC39E7">
        <w:rPr>
          <w:rFonts w:cs="Garamond"/>
          <w:color w:val="auto"/>
          <w:sz w:val="28"/>
          <w:szCs w:val="28"/>
          <w:lang w:val="en-US" w:eastAsia="ru-RU" w:bidi="ru-RU"/>
        </w:rPr>
        <w:t>and Galantine, C. A., 2009,</w:t>
      </w:r>
      <w:r w:rsidRPr="00DC64FF">
        <w:rPr>
          <w:rFonts w:cs="Garamond"/>
          <w:color w:val="auto"/>
          <w:sz w:val="28"/>
          <w:szCs w:val="28"/>
          <w:lang w:val="en-US" w:eastAsia="ru-RU" w:bidi="ru-RU"/>
        </w:rPr>
        <w:t xml:space="preserve"> A Financial Statement Analysis Project for In</w:t>
      </w:r>
      <w:r w:rsidR="00EC39E7">
        <w:rPr>
          <w:rFonts w:cs="Garamond"/>
          <w:color w:val="auto"/>
          <w:sz w:val="28"/>
          <w:szCs w:val="28"/>
          <w:lang w:val="en-US" w:eastAsia="ru-RU" w:bidi="ru-RU"/>
        </w:rPr>
        <w:t>troductory Financial Accounting,</w:t>
      </w:r>
      <w:r w:rsidRPr="00DC64FF">
        <w:rPr>
          <w:rFonts w:cs="Garamond"/>
          <w:color w:val="auto"/>
          <w:sz w:val="28"/>
          <w:szCs w:val="28"/>
          <w:lang w:val="en-US" w:eastAsia="ru-RU" w:bidi="ru-RU"/>
        </w:rPr>
        <w:t xml:space="preserve"> </w:t>
      </w:r>
      <w:r w:rsidRPr="00DC64FF">
        <w:rPr>
          <w:rFonts w:cs="Garamond"/>
          <w:i/>
          <w:color w:val="auto"/>
          <w:sz w:val="28"/>
          <w:szCs w:val="28"/>
          <w:lang w:val="en-US" w:eastAsia="ru-RU" w:bidi="ru-RU"/>
        </w:rPr>
        <w:t>Global Perspectives on Accounting Education</w:t>
      </w:r>
      <w:r w:rsidR="00AC0394">
        <w:rPr>
          <w:rFonts w:cs="Garamond"/>
          <w:color w:val="auto"/>
          <w:sz w:val="28"/>
          <w:szCs w:val="28"/>
          <w:lang w:val="en-US" w:eastAsia="ru-RU" w:bidi="ru-RU"/>
        </w:rPr>
        <w:t>, 6(1).</w:t>
      </w:r>
    </w:p>
    <w:p w14:paraId="6BE28B6F" w14:textId="77777777" w:rsidR="00DC64FF" w:rsidRDefault="00DC64FF" w:rsidP="00350ECE">
      <w:pPr>
        <w:spacing w:line="312" w:lineRule="auto"/>
        <w:contextualSpacing/>
        <w:jc w:val="both"/>
        <w:rPr>
          <w:rFonts w:cs="Garamond"/>
          <w:color w:val="auto"/>
          <w:sz w:val="28"/>
          <w:szCs w:val="28"/>
          <w:lang w:val="en-US" w:eastAsia="ru-RU" w:bidi="ru-RU"/>
        </w:rPr>
      </w:pPr>
    </w:p>
    <w:p w14:paraId="6D0C0EB8" w14:textId="77777777" w:rsidR="00350ECE" w:rsidRDefault="00350ECE" w:rsidP="00350ECE">
      <w:pPr>
        <w:spacing w:line="312" w:lineRule="auto"/>
        <w:contextualSpacing/>
        <w:jc w:val="both"/>
        <w:rPr>
          <w:rFonts w:cs="Garamond"/>
          <w:color w:val="auto"/>
          <w:sz w:val="28"/>
          <w:szCs w:val="28"/>
          <w:lang w:val="en-US" w:eastAsia="ru-RU" w:bidi="ru-RU"/>
        </w:rPr>
      </w:pPr>
    </w:p>
    <w:p w14:paraId="029D8A2E" w14:textId="77777777" w:rsidR="00350ECE" w:rsidRDefault="00350ECE" w:rsidP="00350ECE">
      <w:pPr>
        <w:spacing w:line="312" w:lineRule="auto"/>
        <w:contextualSpacing/>
        <w:jc w:val="both"/>
        <w:rPr>
          <w:rFonts w:cs="Garamond"/>
          <w:color w:val="auto"/>
          <w:sz w:val="28"/>
          <w:szCs w:val="28"/>
          <w:lang w:val="en-US" w:eastAsia="ru-RU" w:bidi="ru-RU"/>
        </w:rPr>
      </w:pPr>
    </w:p>
    <w:p w14:paraId="70CAB863" w14:textId="77777777" w:rsidR="00350ECE" w:rsidRDefault="00350ECE" w:rsidP="00350ECE">
      <w:pPr>
        <w:spacing w:line="312" w:lineRule="auto"/>
        <w:contextualSpacing/>
        <w:jc w:val="both"/>
        <w:rPr>
          <w:rFonts w:cs="Garamond"/>
          <w:color w:val="auto"/>
          <w:sz w:val="28"/>
          <w:szCs w:val="28"/>
          <w:lang w:val="en-US" w:eastAsia="ru-RU" w:bidi="ru-RU"/>
        </w:rPr>
      </w:pPr>
    </w:p>
    <w:p w14:paraId="2C109838" w14:textId="77777777" w:rsidR="00350ECE" w:rsidRDefault="00350ECE" w:rsidP="00350ECE">
      <w:pPr>
        <w:spacing w:line="312" w:lineRule="auto"/>
        <w:contextualSpacing/>
        <w:jc w:val="both"/>
        <w:rPr>
          <w:rFonts w:cs="Garamond"/>
          <w:color w:val="auto"/>
          <w:sz w:val="28"/>
          <w:szCs w:val="28"/>
          <w:lang w:val="en-US" w:eastAsia="ru-RU" w:bidi="ru-RU"/>
        </w:rPr>
      </w:pPr>
    </w:p>
    <w:p w14:paraId="13AC561E" w14:textId="77777777" w:rsidR="00350ECE" w:rsidRDefault="00350ECE" w:rsidP="00350ECE">
      <w:pPr>
        <w:spacing w:line="312" w:lineRule="auto"/>
        <w:contextualSpacing/>
        <w:jc w:val="both"/>
        <w:rPr>
          <w:rFonts w:cs="Garamond"/>
          <w:color w:val="auto"/>
          <w:sz w:val="28"/>
          <w:szCs w:val="28"/>
          <w:lang w:val="en-US" w:eastAsia="ru-RU" w:bidi="ru-RU"/>
        </w:rPr>
      </w:pPr>
    </w:p>
    <w:p w14:paraId="55707219" w14:textId="77777777" w:rsidR="00350ECE" w:rsidRDefault="00350ECE" w:rsidP="00350ECE">
      <w:pPr>
        <w:spacing w:line="312" w:lineRule="auto"/>
        <w:contextualSpacing/>
        <w:jc w:val="both"/>
        <w:rPr>
          <w:rFonts w:cs="Garamond"/>
          <w:color w:val="auto"/>
          <w:sz w:val="28"/>
          <w:szCs w:val="28"/>
          <w:lang w:val="en-US" w:eastAsia="ru-RU" w:bidi="ru-RU"/>
        </w:rPr>
      </w:pPr>
    </w:p>
    <w:p w14:paraId="55D60192" w14:textId="77777777" w:rsidR="00350ECE" w:rsidRDefault="00350ECE" w:rsidP="00350ECE">
      <w:pPr>
        <w:spacing w:line="312" w:lineRule="auto"/>
        <w:contextualSpacing/>
        <w:jc w:val="both"/>
        <w:rPr>
          <w:rFonts w:cs="Garamond"/>
          <w:color w:val="auto"/>
          <w:sz w:val="28"/>
          <w:szCs w:val="28"/>
          <w:lang w:val="en-US" w:eastAsia="ru-RU" w:bidi="ru-RU"/>
        </w:rPr>
      </w:pPr>
    </w:p>
    <w:p w14:paraId="0E072BBD" w14:textId="77777777" w:rsidR="00350ECE" w:rsidRDefault="00350ECE" w:rsidP="00350ECE">
      <w:pPr>
        <w:spacing w:line="312" w:lineRule="auto"/>
        <w:contextualSpacing/>
        <w:jc w:val="both"/>
        <w:rPr>
          <w:rFonts w:cs="Garamond"/>
          <w:color w:val="auto"/>
          <w:sz w:val="28"/>
          <w:szCs w:val="28"/>
          <w:lang w:val="en-US" w:eastAsia="ru-RU" w:bidi="ru-RU"/>
        </w:rPr>
      </w:pPr>
    </w:p>
    <w:p w14:paraId="4425A224" w14:textId="77777777" w:rsidR="00350ECE" w:rsidRDefault="00350ECE" w:rsidP="00350ECE">
      <w:pPr>
        <w:spacing w:line="312" w:lineRule="auto"/>
        <w:contextualSpacing/>
        <w:jc w:val="both"/>
        <w:rPr>
          <w:rFonts w:cs="Garamond"/>
          <w:color w:val="auto"/>
          <w:sz w:val="28"/>
          <w:szCs w:val="28"/>
          <w:lang w:val="en-US" w:eastAsia="ru-RU" w:bidi="ru-RU"/>
        </w:rPr>
      </w:pPr>
    </w:p>
    <w:p w14:paraId="72CA068F" w14:textId="77777777" w:rsidR="00350ECE" w:rsidRDefault="00350ECE" w:rsidP="00350ECE">
      <w:pPr>
        <w:spacing w:line="312" w:lineRule="auto"/>
        <w:contextualSpacing/>
        <w:jc w:val="both"/>
        <w:rPr>
          <w:rFonts w:cs="Garamond"/>
          <w:color w:val="auto"/>
          <w:sz w:val="28"/>
          <w:szCs w:val="28"/>
          <w:lang w:val="en-US" w:eastAsia="ru-RU" w:bidi="ru-RU"/>
        </w:rPr>
      </w:pPr>
    </w:p>
    <w:p w14:paraId="4B6A80BA" w14:textId="77777777" w:rsidR="00397933" w:rsidRPr="00397933" w:rsidRDefault="00350ECE" w:rsidP="004948D5">
      <w:pPr>
        <w:pStyle w:val="eng"/>
        <w:rPr>
          <w:lang w:val="en-US" w:eastAsia="ru-RU"/>
        </w:rPr>
      </w:pPr>
      <w:r>
        <w:rPr>
          <w:rFonts w:cs="Garamond"/>
          <w:color w:val="auto"/>
          <w:sz w:val="28"/>
          <w:szCs w:val="28"/>
          <w:lang w:val="en-US" w:eastAsia="ru-RU" w:bidi="ru-RU"/>
        </w:rPr>
        <w:br w:type="page"/>
      </w:r>
      <w:r w:rsidR="00397933" w:rsidRPr="00397933">
        <w:rPr>
          <w:lang w:val="en-US" w:eastAsia="ru-RU"/>
        </w:rPr>
        <w:lastRenderedPageBreak/>
        <w:t xml:space="preserve">Assignment </w:t>
      </w:r>
      <w:r w:rsidR="008C107D">
        <w:rPr>
          <w:lang w:val="en-US" w:eastAsia="ru-RU"/>
        </w:rPr>
        <w:t>4</w:t>
      </w:r>
      <w:r w:rsidR="00AC0394">
        <w:rPr>
          <w:lang w:val="en-US" w:eastAsia="ru-RU"/>
        </w:rPr>
        <w:t>:</w:t>
      </w:r>
      <w:r w:rsidR="00397933" w:rsidRPr="00397933">
        <w:rPr>
          <w:lang w:val="en-US" w:eastAsia="ru-RU"/>
        </w:rPr>
        <w:t xml:space="preserve"> </w:t>
      </w:r>
    </w:p>
    <w:p w14:paraId="4FD9453F" w14:textId="77777777" w:rsidR="00397933" w:rsidRPr="00397933" w:rsidRDefault="00397933" w:rsidP="004948D5">
      <w:pPr>
        <w:pStyle w:val="eng"/>
        <w:rPr>
          <w:lang w:val="en-US" w:eastAsia="ru-RU"/>
        </w:rPr>
      </w:pPr>
      <w:r w:rsidRPr="00397933">
        <w:rPr>
          <w:lang w:val="en-US" w:eastAsia="ru-RU"/>
        </w:rPr>
        <w:t>finance of developed countries</w:t>
      </w:r>
    </w:p>
    <w:p w14:paraId="5D426E62" w14:textId="77777777" w:rsidR="00397933" w:rsidRPr="00397933" w:rsidRDefault="00397933" w:rsidP="00397933">
      <w:pPr>
        <w:pStyle w:val="end2"/>
        <w:rPr>
          <w:lang w:eastAsia="ru-RU"/>
        </w:rPr>
      </w:pPr>
      <w:r w:rsidRPr="00397933">
        <w:rPr>
          <w:lang w:eastAsia="ru-RU"/>
        </w:rPr>
        <w:t xml:space="preserve">Description </w:t>
      </w:r>
    </w:p>
    <w:p w14:paraId="5891800A"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Each country has particular qualities of its financial system, organization of the financial market, budget and tax systems. It reveals in such macroeconomic indicators as GDP, gross savings, investments, revenues</w:t>
      </w:r>
      <w:r w:rsidR="00FB3AE0">
        <w:rPr>
          <w:rFonts w:cs="Garamond"/>
          <w:color w:val="auto"/>
          <w:sz w:val="28"/>
          <w:szCs w:val="28"/>
          <w:lang w:val="en-US" w:eastAsia="ru-RU" w:bidi="ru-RU"/>
        </w:rPr>
        <w:t>,</w:t>
      </w:r>
      <w:r w:rsidRPr="00397933">
        <w:rPr>
          <w:rFonts w:cs="Garamond"/>
          <w:color w:val="auto"/>
          <w:sz w:val="28"/>
          <w:szCs w:val="28"/>
          <w:lang w:val="en-US" w:eastAsia="ru-RU" w:bidi="ru-RU"/>
        </w:rPr>
        <w:t xml:space="preserve"> and expenditures of the state. </w:t>
      </w:r>
    </w:p>
    <w:p w14:paraId="60E9E2B0"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In this assignment</w:t>
      </w:r>
      <w:r w:rsidR="00FB3AE0">
        <w:rPr>
          <w:rFonts w:cs="Garamond"/>
          <w:color w:val="auto"/>
          <w:sz w:val="28"/>
          <w:szCs w:val="28"/>
          <w:lang w:val="en-US" w:eastAsia="ru-RU" w:bidi="ru-RU"/>
        </w:rPr>
        <w:t>,</w:t>
      </w:r>
      <w:r w:rsidRPr="00397933">
        <w:rPr>
          <w:rFonts w:cs="Garamond"/>
          <w:color w:val="auto"/>
          <w:sz w:val="28"/>
          <w:szCs w:val="28"/>
          <w:lang w:val="en-US" w:eastAsia="ru-RU" w:bidi="ru-RU"/>
        </w:rPr>
        <w:t xml:space="preserve"> you will be asked to choose one country from the list and conduct a comprehensive analysis of its economic development, tax system, state expenditures</w:t>
      </w:r>
      <w:r w:rsidR="00FB3AE0">
        <w:rPr>
          <w:rFonts w:cs="Garamond"/>
          <w:color w:val="auto"/>
          <w:sz w:val="28"/>
          <w:szCs w:val="28"/>
          <w:lang w:val="en-US" w:eastAsia="ru-RU" w:bidi="ru-RU"/>
        </w:rPr>
        <w:t>,</w:t>
      </w:r>
      <w:r w:rsidRPr="00397933">
        <w:rPr>
          <w:rFonts w:cs="Garamond"/>
          <w:color w:val="auto"/>
          <w:sz w:val="28"/>
          <w:szCs w:val="28"/>
          <w:lang w:val="en-US" w:eastAsia="ru-RU" w:bidi="ru-RU"/>
        </w:rPr>
        <w:t xml:space="preserve"> and debt policy. A comparative analysis of the selected country and Ukraine is desirable.</w:t>
      </w:r>
    </w:p>
    <w:p w14:paraId="07AA58BA"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The recommended list of countries for analysis:</w:t>
      </w:r>
    </w:p>
    <w:p w14:paraId="2D1A826E"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sectPr w:rsidR="00397933" w:rsidRPr="00397933" w:rsidSect="00B56753">
          <w:pgSz w:w="11907" w:h="16839"/>
          <w:pgMar w:top="1440" w:right="1253" w:bottom="1440" w:left="1253" w:header="720" w:footer="964" w:gutter="0"/>
          <w:pgNumType w:start="3"/>
          <w:cols w:space="708"/>
          <w:docGrid w:linePitch="326"/>
        </w:sectPr>
      </w:pPr>
    </w:p>
    <w:p w14:paraId="6D0A8BE7"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Austria</w:t>
      </w:r>
    </w:p>
    <w:p w14:paraId="48A603DF"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Belgium</w:t>
      </w:r>
    </w:p>
    <w:p w14:paraId="23EF4B85"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UK</w:t>
      </w:r>
    </w:p>
    <w:p w14:paraId="2E30E810"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USA</w:t>
      </w:r>
    </w:p>
    <w:p w14:paraId="254370E0"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Canada</w:t>
      </w:r>
    </w:p>
    <w:p w14:paraId="274E0AA8"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China</w:t>
      </w:r>
    </w:p>
    <w:p w14:paraId="77FB9B3B"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Czech Republic</w:t>
      </w:r>
    </w:p>
    <w:p w14:paraId="0A7F1C39"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Denmark</w:t>
      </w:r>
    </w:p>
    <w:p w14:paraId="496A7EDD"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Finland</w:t>
      </w:r>
    </w:p>
    <w:p w14:paraId="1591BB0E"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France</w:t>
      </w:r>
    </w:p>
    <w:p w14:paraId="12C1C89A"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Germany</w:t>
      </w:r>
    </w:p>
    <w:p w14:paraId="2F397E7C"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Greece</w:t>
      </w:r>
    </w:p>
    <w:p w14:paraId="4BB619E9"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Italy</w:t>
      </w:r>
    </w:p>
    <w:p w14:paraId="240CE8B2"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Japan</w:t>
      </w:r>
    </w:p>
    <w:p w14:paraId="1E47C178"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Netherlands</w:t>
      </w:r>
    </w:p>
    <w:p w14:paraId="41D5D30A"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Norway</w:t>
      </w:r>
    </w:p>
    <w:p w14:paraId="430DF42F"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Poland</w:t>
      </w:r>
    </w:p>
    <w:p w14:paraId="095D88D8"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397933" w:rsidRPr="00397933">
        <w:rPr>
          <w:rFonts w:cs="Garamond"/>
          <w:color w:val="auto"/>
          <w:sz w:val="28"/>
          <w:szCs w:val="28"/>
          <w:lang w:val="en-US" w:eastAsia="ru-RU" w:bidi="ru-RU"/>
        </w:rPr>
        <w:t xml:space="preserve"> </w:t>
      </w:r>
      <w:r w:rsidR="00FB3AE0">
        <w:rPr>
          <w:rFonts w:cs="Garamond"/>
          <w:color w:val="auto"/>
          <w:sz w:val="28"/>
          <w:szCs w:val="28"/>
          <w:lang w:val="en-US" w:eastAsia="ru-RU" w:bidi="ru-RU"/>
        </w:rPr>
        <w:t>Spain</w:t>
      </w:r>
    </w:p>
    <w:p w14:paraId="64576ACF" w14:textId="77777777" w:rsidR="00397933" w:rsidRPr="00397933" w:rsidRDefault="002B21FB" w:rsidP="00397933">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Sweden</w:t>
      </w:r>
    </w:p>
    <w:p w14:paraId="08A964B7" w14:textId="77777777" w:rsidR="00397933" w:rsidRDefault="002B21FB" w:rsidP="00FB3AE0">
      <w:pPr>
        <w:spacing w:line="312" w:lineRule="auto"/>
        <w:ind w:firstLine="357"/>
        <w:contextualSpacing/>
        <w:jc w:val="both"/>
        <w:rPr>
          <w:rFonts w:cs="Garamond"/>
          <w:color w:val="auto"/>
          <w:sz w:val="28"/>
          <w:szCs w:val="28"/>
          <w:lang w:val="en-US" w:eastAsia="ru-RU" w:bidi="ru-RU"/>
        </w:rPr>
      </w:pPr>
      <w:r>
        <w:rPr>
          <w:rFonts w:cs="Garamond"/>
          <w:color w:val="auto"/>
          <w:sz w:val="28"/>
          <w:szCs w:val="28"/>
          <w:lang w:val="en-US" w:eastAsia="ru-RU" w:bidi="ru-RU"/>
        </w:rPr>
        <w:t>–</w:t>
      </w:r>
      <w:r w:rsidR="00FB3AE0">
        <w:rPr>
          <w:rFonts w:cs="Garamond"/>
          <w:color w:val="auto"/>
          <w:sz w:val="28"/>
          <w:szCs w:val="28"/>
          <w:lang w:val="en-US" w:eastAsia="ru-RU" w:bidi="ru-RU"/>
        </w:rPr>
        <w:t xml:space="preserve"> Switzerland</w:t>
      </w:r>
    </w:p>
    <w:p w14:paraId="658967F7" w14:textId="77777777" w:rsidR="00FB3AE0" w:rsidRPr="00397933" w:rsidRDefault="00FB3AE0" w:rsidP="00FB3AE0">
      <w:pPr>
        <w:spacing w:line="312" w:lineRule="auto"/>
        <w:ind w:firstLine="357"/>
        <w:contextualSpacing/>
        <w:jc w:val="both"/>
        <w:rPr>
          <w:rFonts w:cs="Garamond"/>
          <w:color w:val="auto"/>
          <w:sz w:val="28"/>
          <w:szCs w:val="28"/>
          <w:lang w:val="en-US" w:eastAsia="ru-RU" w:bidi="ru-RU"/>
        </w:rPr>
        <w:sectPr w:rsidR="00FB3AE0" w:rsidRPr="00397933" w:rsidSect="003771E6">
          <w:headerReference w:type="even" r:id="rId90"/>
          <w:headerReference w:type="default" r:id="rId91"/>
          <w:headerReference w:type="first" r:id="rId92"/>
          <w:type w:val="continuous"/>
          <w:pgSz w:w="11907" w:h="16839"/>
          <w:pgMar w:top="1440" w:right="708" w:bottom="1440" w:left="1800" w:header="720" w:footer="965" w:gutter="0"/>
          <w:pgNumType w:start="1"/>
          <w:cols w:num="2" w:space="708"/>
          <w:titlePg/>
        </w:sectPr>
      </w:pPr>
    </w:p>
    <w:p w14:paraId="6366645E"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 xml:space="preserve">It is advisable to use data for the analysis from the official sources. For example, it is recommended to use databases of the World Bank </w:t>
      </w:r>
      <w:r w:rsidR="00FB3AE0">
        <w:rPr>
          <w:rFonts w:cs="Garamond"/>
          <w:color w:val="auto"/>
          <w:sz w:val="28"/>
          <w:szCs w:val="28"/>
          <w:lang w:val="en-US" w:eastAsia="ru-RU" w:bidi="ru-RU"/>
        </w:rPr>
        <w:t>at</w:t>
      </w:r>
      <w:r w:rsidRPr="00397933">
        <w:rPr>
          <w:rFonts w:cs="Garamond"/>
          <w:color w:val="auto"/>
          <w:sz w:val="28"/>
          <w:szCs w:val="28"/>
          <w:lang w:val="en-US" w:eastAsia="ru-RU" w:bidi="ru-RU"/>
        </w:rPr>
        <w:t xml:space="preserve"> the following link:</w:t>
      </w:r>
      <w:r w:rsidR="001700CC">
        <w:rPr>
          <w:rFonts w:cs="Garamond"/>
          <w:color w:val="auto"/>
          <w:sz w:val="28"/>
          <w:szCs w:val="28"/>
          <w:lang w:val="en-US" w:eastAsia="ru-RU" w:bidi="ru-RU"/>
        </w:rPr>
        <w:t xml:space="preserve"> </w:t>
      </w:r>
      <w:hyperlink r:id="rId93" w:history="1">
        <w:r>
          <w:rPr>
            <w:rFonts w:cs="Garamond"/>
            <w:color w:val="auto"/>
            <w:sz w:val="28"/>
            <w:szCs w:val="28"/>
            <w:lang w:val="en-US" w:eastAsia="ru-RU" w:bidi="ru-RU"/>
          </w:rPr>
          <w:t>w.w.w.</w:t>
        </w:r>
        <w:r w:rsidRPr="00397933">
          <w:rPr>
            <w:rFonts w:cs="Garamond"/>
            <w:color w:val="auto"/>
            <w:sz w:val="28"/>
            <w:szCs w:val="28"/>
            <w:lang w:val="en-US" w:eastAsia="ru-RU" w:bidi="ru-RU"/>
          </w:rPr>
          <w:t>data.worldbank.org/country</w:t>
        </w:r>
      </w:hyperlink>
    </w:p>
    <w:p w14:paraId="6A254ABB" w14:textId="77777777" w:rsid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Final paperwork should be about 7</w:t>
      </w:r>
      <w:r w:rsidR="00FB3AE0">
        <w:rPr>
          <w:rFonts w:cs="Garamond"/>
          <w:color w:val="auto"/>
          <w:sz w:val="28"/>
          <w:szCs w:val="28"/>
          <w:lang w:val="en-US" w:eastAsia="ru-RU" w:bidi="ru-RU"/>
        </w:rPr>
        <w:t>–</w:t>
      </w:r>
      <w:r w:rsidRPr="00397933">
        <w:rPr>
          <w:rFonts w:cs="Garamond"/>
          <w:color w:val="auto"/>
          <w:sz w:val="28"/>
          <w:szCs w:val="28"/>
          <w:lang w:val="en-US" w:eastAsia="ru-RU" w:bidi="ru-RU"/>
        </w:rPr>
        <w:t>10 pages of typed text; each part of the assignment (</w:t>
      </w:r>
      <w:r w:rsidR="008C107D">
        <w:rPr>
          <w:rFonts w:cs="Garamond"/>
          <w:color w:val="auto"/>
          <w:sz w:val="28"/>
          <w:szCs w:val="28"/>
          <w:lang w:val="en-US" w:eastAsia="ru-RU" w:bidi="ru-RU"/>
        </w:rPr>
        <w:t>4</w:t>
      </w:r>
      <w:r w:rsidRPr="00397933">
        <w:rPr>
          <w:rFonts w:cs="Garamond"/>
          <w:color w:val="auto"/>
          <w:sz w:val="28"/>
          <w:szCs w:val="28"/>
          <w:lang w:val="en-US" w:eastAsia="ru-RU" w:bidi="ru-RU"/>
        </w:rPr>
        <w:t>.1</w:t>
      </w:r>
      <w:r w:rsidR="00FB3AE0">
        <w:rPr>
          <w:rFonts w:cs="Garamond"/>
          <w:color w:val="auto"/>
          <w:sz w:val="28"/>
          <w:szCs w:val="28"/>
          <w:lang w:val="en-US" w:eastAsia="ru-RU" w:bidi="ru-RU"/>
        </w:rPr>
        <w:t>–</w:t>
      </w:r>
      <w:r w:rsidR="008C107D">
        <w:rPr>
          <w:rFonts w:cs="Garamond"/>
          <w:color w:val="auto"/>
          <w:sz w:val="28"/>
          <w:szCs w:val="28"/>
          <w:lang w:val="en-US" w:eastAsia="ru-RU" w:bidi="ru-RU"/>
        </w:rPr>
        <w:t>4</w:t>
      </w:r>
      <w:r w:rsidRPr="00397933">
        <w:rPr>
          <w:rFonts w:cs="Garamond"/>
          <w:color w:val="auto"/>
          <w:sz w:val="28"/>
          <w:szCs w:val="28"/>
          <w:lang w:val="en-US" w:eastAsia="ru-RU" w:bidi="ru-RU"/>
        </w:rPr>
        <w:t xml:space="preserve">.5) </w:t>
      </w:r>
      <w:r w:rsidR="00FB3AE0">
        <w:rPr>
          <w:rFonts w:cs="Garamond"/>
          <w:color w:val="auto"/>
          <w:sz w:val="28"/>
          <w:szCs w:val="28"/>
          <w:lang w:val="en-US" w:eastAsia="ru-RU" w:bidi="ru-RU"/>
        </w:rPr>
        <w:t>should be</w:t>
      </w:r>
      <w:r w:rsidRPr="00397933">
        <w:rPr>
          <w:rFonts w:cs="Garamond"/>
          <w:color w:val="auto"/>
          <w:sz w:val="28"/>
          <w:szCs w:val="28"/>
          <w:lang w:val="en-US" w:eastAsia="ru-RU" w:bidi="ru-RU"/>
        </w:rPr>
        <w:t xml:space="preserve"> approximately equal.</w:t>
      </w:r>
    </w:p>
    <w:p w14:paraId="33B0C6F2" w14:textId="77777777" w:rsidR="00FB3AE0" w:rsidRDefault="00FB3AE0" w:rsidP="00397933">
      <w:pPr>
        <w:spacing w:line="312" w:lineRule="auto"/>
        <w:ind w:firstLine="357"/>
        <w:contextualSpacing/>
        <w:jc w:val="both"/>
        <w:rPr>
          <w:rFonts w:cs="Garamond"/>
          <w:color w:val="auto"/>
          <w:sz w:val="28"/>
          <w:szCs w:val="28"/>
          <w:lang w:val="en-US" w:eastAsia="ru-RU" w:bidi="ru-RU"/>
        </w:rPr>
      </w:pPr>
    </w:p>
    <w:p w14:paraId="1FCCF1AE" w14:textId="77777777" w:rsidR="00FB3AE0" w:rsidRDefault="00FB3AE0" w:rsidP="00397933">
      <w:pPr>
        <w:spacing w:line="312" w:lineRule="auto"/>
        <w:ind w:firstLine="357"/>
        <w:contextualSpacing/>
        <w:jc w:val="both"/>
        <w:rPr>
          <w:rFonts w:cs="Garamond"/>
          <w:color w:val="auto"/>
          <w:sz w:val="28"/>
          <w:szCs w:val="28"/>
          <w:lang w:val="en-US" w:eastAsia="ru-RU" w:bidi="ru-RU"/>
        </w:rPr>
      </w:pPr>
    </w:p>
    <w:p w14:paraId="146069CB" w14:textId="77777777" w:rsidR="00FB3AE0" w:rsidRPr="00397933" w:rsidRDefault="00FB3AE0" w:rsidP="00397933">
      <w:pPr>
        <w:spacing w:line="312" w:lineRule="auto"/>
        <w:ind w:firstLine="357"/>
        <w:contextualSpacing/>
        <w:jc w:val="both"/>
        <w:rPr>
          <w:rFonts w:cs="Garamond"/>
          <w:color w:val="auto"/>
          <w:sz w:val="28"/>
          <w:szCs w:val="28"/>
          <w:lang w:val="en-US" w:eastAsia="ru-RU" w:bidi="ru-RU"/>
        </w:rPr>
      </w:pPr>
    </w:p>
    <w:p w14:paraId="51C75275" w14:textId="77777777" w:rsidR="00397933" w:rsidRPr="00397933" w:rsidRDefault="00397933" w:rsidP="00397933">
      <w:pPr>
        <w:pStyle w:val="end2"/>
        <w:rPr>
          <w:lang w:eastAsia="ru-RU"/>
        </w:rPr>
      </w:pPr>
      <w:r w:rsidRPr="00397933">
        <w:rPr>
          <w:lang w:eastAsia="ru-RU"/>
        </w:rPr>
        <w:lastRenderedPageBreak/>
        <w:t xml:space="preserve">Guidelines: some practical tips </w:t>
      </w:r>
    </w:p>
    <w:p w14:paraId="66B337CE" w14:textId="77777777" w:rsidR="00397933" w:rsidRPr="00397933" w:rsidRDefault="00397933" w:rsidP="00397933">
      <w:pPr>
        <w:spacing w:line="312" w:lineRule="auto"/>
        <w:ind w:firstLine="357"/>
        <w:contextualSpacing/>
        <w:jc w:val="both"/>
        <w:rPr>
          <w:rFonts w:cs="Garamond"/>
          <w:b/>
          <w:color w:val="auto"/>
          <w:sz w:val="28"/>
          <w:szCs w:val="28"/>
          <w:lang w:val="en-US" w:eastAsia="ru-RU" w:bidi="ru-RU"/>
        </w:rPr>
      </w:pPr>
      <w:r w:rsidRPr="00397933">
        <w:rPr>
          <w:rFonts w:cs="Garamond"/>
          <w:b/>
          <w:color w:val="auto"/>
          <w:sz w:val="28"/>
          <w:szCs w:val="28"/>
          <w:lang w:val="en-US" w:eastAsia="ru-RU" w:bidi="ru-RU"/>
        </w:rPr>
        <w:t xml:space="preserve">Assignment </w:t>
      </w:r>
      <w:r w:rsidR="008C107D">
        <w:rPr>
          <w:rFonts w:cs="Garamond"/>
          <w:b/>
          <w:color w:val="auto"/>
          <w:sz w:val="28"/>
          <w:szCs w:val="28"/>
          <w:lang w:val="en-US" w:eastAsia="ru-RU" w:bidi="ru-RU"/>
        </w:rPr>
        <w:t>4</w:t>
      </w:r>
      <w:r w:rsidRPr="00397933">
        <w:rPr>
          <w:rFonts w:cs="Garamond"/>
          <w:b/>
          <w:color w:val="auto"/>
          <w:sz w:val="28"/>
          <w:szCs w:val="28"/>
          <w:lang w:val="en-US" w:eastAsia="ru-RU" w:bidi="ru-RU"/>
        </w:rPr>
        <w:t>.1. General description of the country's economic development</w:t>
      </w:r>
    </w:p>
    <w:p w14:paraId="0470C9DC"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b/>
          <w:color w:val="auto"/>
          <w:sz w:val="28"/>
          <w:szCs w:val="28"/>
          <w:lang w:val="en-US" w:eastAsia="ru-RU" w:bidi="ru-RU"/>
        </w:rPr>
        <w:t>Required:</w:t>
      </w:r>
      <w:r w:rsidRPr="00397933">
        <w:rPr>
          <w:rFonts w:cs="Garamond"/>
          <w:color w:val="auto"/>
          <w:sz w:val="28"/>
          <w:szCs w:val="28"/>
          <w:lang w:val="en-US" w:eastAsia="ru-RU" w:bidi="ru-RU"/>
        </w:rPr>
        <w:t xml:space="preserve"> Provide the review of the country on the following criteria: </w:t>
      </w:r>
      <w:r w:rsidR="00FB3AE0">
        <w:rPr>
          <w:rFonts w:cs="Garamond"/>
          <w:color w:val="auto"/>
          <w:sz w:val="28"/>
          <w:szCs w:val="28"/>
          <w:lang w:val="en-US" w:eastAsia="ru-RU" w:bidi="ru-RU"/>
        </w:rPr>
        <w:t xml:space="preserve">the </w:t>
      </w:r>
      <w:r w:rsidRPr="00397933">
        <w:rPr>
          <w:rFonts w:cs="Garamond"/>
          <w:color w:val="auto"/>
          <w:sz w:val="28"/>
          <w:szCs w:val="28"/>
          <w:lang w:val="en-US" w:eastAsia="ru-RU" w:bidi="ru-RU"/>
        </w:rPr>
        <w:t>level of economic development, political system, development of industries, living standards, social security system.</w:t>
      </w:r>
      <w:r w:rsidR="001700CC">
        <w:rPr>
          <w:rFonts w:cs="Garamond"/>
          <w:color w:val="auto"/>
          <w:sz w:val="28"/>
          <w:szCs w:val="28"/>
          <w:lang w:val="en-US" w:eastAsia="ru-RU" w:bidi="ru-RU"/>
        </w:rPr>
        <w:t xml:space="preserve"> </w:t>
      </w:r>
      <w:r w:rsidRPr="00397933">
        <w:rPr>
          <w:rFonts w:cs="Garamond"/>
          <w:color w:val="auto"/>
          <w:sz w:val="28"/>
          <w:szCs w:val="28"/>
          <w:lang w:val="en-US" w:eastAsia="ru-RU" w:bidi="ru-RU"/>
        </w:rPr>
        <w:t xml:space="preserve">Determine the model of </w:t>
      </w:r>
      <w:r w:rsidR="00FB3AE0">
        <w:rPr>
          <w:rFonts w:cs="Garamond"/>
          <w:color w:val="auto"/>
          <w:sz w:val="28"/>
          <w:szCs w:val="28"/>
          <w:lang w:val="en-US" w:eastAsia="ru-RU" w:bidi="ru-RU"/>
        </w:rPr>
        <w:t xml:space="preserve">the </w:t>
      </w:r>
      <w:r w:rsidRPr="00397933">
        <w:rPr>
          <w:rFonts w:cs="Garamond"/>
          <w:color w:val="auto"/>
          <w:sz w:val="28"/>
          <w:szCs w:val="28"/>
          <w:lang w:val="en-US" w:eastAsia="ru-RU" w:bidi="ru-RU"/>
        </w:rPr>
        <w:t xml:space="preserve">financial system (bank-based or stock-market-based); analyze the role and development of various financial institutions. Summarize economic development indicators in the </w:t>
      </w:r>
      <w:r>
        <w:rPr>
          <w:rFonts w:cs="Garamond"/>
          <w:color w:val="auto"/>
          <w:sz w:val="28"/>
          <w:szCs w:val="28"/>
          <w:lang w:val="en-US" w:eastAsia="ru-RU" w:bidi="ru-RU"/>
        </w:rPr>
        <w:t>box below</w:t>
      </w:r>
      <w:r w:rsidRPr="00397933">
        <w:rPr>
          <w:rFonts w:cs="Garamond"/>
          <w:color w:val="auto"/>
          <w:sz w:val="28"/>
          <w:szCs w:val="28"/>
          <w:lang w:val="en-US" w:eastAsia="ru-RU" w:bidi="ru-RU"/>
        </w:rPr>
        <w:t xml:space="preserve">. You need to perform </w:t>
      </w:r>
      <w:r w:rsidR="00FB3AE0">
        <w:rPr>
          <w:rFonts w:cs="Garamond"/>
          <w:color w:val="auto"/>
          <w:sz w:val="28"/>
          <w:szCs w:val="28"/>
          <w:lang w:val="en-US" w:eastAsia="ru-RU" w:bidi="ru-RU"/>
        </w:rPr>
        <w:t xml:space="preserve">the </w:t>
      </w:r>
      <w:r w:rsidRPr="00397933">
        <w:rPr>
          <w:rFonts w:cs="Garamond"/>
          <w:color w:val="auto"/>
          <w:sz w:val="28"/>
          <w:szCs w:val="28"/>
          <w:lang w:val="en-US" w:eastAsia="ru-RU" w:bidi="ru-RU"/>
        </w:rPr>
        <w:t>analysis for at least 3 years in a row.</w:t>
      </w:r>
    </w:p>
    <w:p w14:paraId="75FC9F3C" w14:textId="77777777" w:rsidR="00397933" w:rsidRDefault="00397933" w:rsidP="00397933">
      <w:pPr>
        <w:spacing w:line="312" w:lineRule="auto"/>
        <w:ind w:firstLine="357"/>
        <w:contextualSpacing/>
        <w:jc w:val="center"/>
        <w:rPr>
          <w:rFonts w:cs="Garamond"/>
          <w:color w:val="auto"/>
          <w:sz w:val="28"/>
          <w:szCs w:val="28"/>
          <w:lang w:val="en-US" w:eastAsia="ru-RU" w:bidi="ru-RU"/>
        </w:rPr>
      </w:pPr>
    </w:p>
    <w:p w14:paraId="7775C857" w14:textId="77777777" w:rsidR="00397933" w:rsidRPr="007F249B" w:rsidRDefault="00397933" w:rsidP="007F249B">
      <w:pPr>
        <w:spacing w:line="312" w:lineRule="auto"/>
        <w:contextualSpacing/>
        <w:jc w:val="center"/>
        <w:rPr>
          <w:rFonts w:cs="Garamond"/>
          <w:b/>
          <w:color w:val="auto"/>
          <w:sz w:val="28"/>
          <w:szCs w:val="28"/>
          <w:lang w:val="en-US" w:eastAsia="ru-RU" w:bidi="ru-RU"/>
        </w:rPr>
      </w:pPr>
      <w:r w:rsidRPr="007F249B">
        <w:rPr>
          <w:rFonts w:cs="Garamond"/>
          <w:b/>
          <w:color w:val="auto"/>
          <w:sz w:val="28"/>
          <w:szCs w:val="28"/>
          <w:lang w:val="en-US" w:eastAsia="ru-RU" w:bidi="ru-RU"/>
        </w:rPr>
        <w:t xml:space="preserve">Indicators of economic development </w:t>
      </w:r>
      <w:r w:rsidR="00FB3AE0">
        <w:rPr>
          <w:rFonts w:cs="Garamond"/>
          <w:b/>
          <w:color w:val="auto"/>
          <w:sz w:val="28"/>
          <w:szCs w:val="28"/>
          <w:lang w:val="en-US" w:eastAsia="ru-RU" w:bidi="ru-RU"/>
        </w:rPr>
        <w:t>for</w:t>
      </w:r>
      <w:r w:rsidRPr="007F249B">
        <w:rPr>
          <w:rFonts w:cs="Garamond"/>
          <w:b/>
          <w:color w:val="auto"/>
          <w:sz w:val="28"/>
          <w:szCs w:val="28"/>
          <w:lang w:val="en-US" w:eastAsia="ru-RU" w:bidi="ru-RU"/>
        </w:rPr>
        <w:t xml:space="preserve"> (selected country)</w:t>
      </w:r>
    </w:p>
    <w:tbl>
      <w:tblPr>
        <w:tblStyle w:val="90"/>
        <w:tblW w:w="0" w:type="auto"/>
        <w:tblCellMar>
          <w:top w:w="28" w:type="dxa"/>
          <w:bottom w:w="28" w:type="dxa"/>
        </w:tblCellMar>
        <w:tblLook w:val="04A0" w:firstRow="1" w:lastRow="0" w:firstColumn="1" w:lastColumn="0" w:noHBand="0" w:noVBand="1"/>
      </w:tblPr>
      <w:tblGrid>
        <w:gridCol w:w="2760"/>
        <w:gridCol w:w="1323"/>
        <w:gridCol w:w="1323"/>
        <w:gridCol w:w="1323"/>
        <w:gridCol w:w="1443"/>
        <w:gridCol w:w="1443"/>
      </w:tblGrid>
      <w:tr w:rsidR="00397933" w:rsidRPr="001700CC" w14:paraId="3867DADD" w14:textId="77777777" w:rsidTr="00397933">
        <w:tc>
          <w:tcPr>
            <w:tcW w:w="2760" w:type="dxa"/>
            <w:vMerge w:val="restart"/>
            <w:shd w:val="clear" w:color="auto" w:fill="D9D9D9" w:themeFill="background1" w:themeFillShade="D9"/>
            <w:vAlign w:val="center"/>
          </w:tcPr>
          <w:p w14:paraId="7C93A212"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Indicator</w:t>
            </w:r>
          </w:p>
        </w:tc>
        <w:tc>
          <w:tcPr>
            <w:tcW w:w="3969" w:type="dxa"/>
            <w:gridSpan w:val="3"/>
            <w:shd w:val="clear" w:color="auto" w:fill="D9D9D9" w:themeFill="background1" w:themeFillShade="D9"/>
            <w:vAlign w:val="center"/>
          </w:tcPr>
          <w:p w14:paraId="46BD7F1B"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Year </w:t>
            </w:r>
            <w:r w:rsidRPr="001700CC">
              <w:rPr>
                <w:rFonts w:ascii="Garamond" w:hAnsi="Garamond" w:cs="Garamond"/>
                <w:b/>
                <w:i/>
                <w:sz w:val="24"/>
                <w:szCs w:val="24"/>
                <w:lang w:val="en-US" w:bidi="ru-RU"/>
              </w:rPr>
              <w:t>(at least three in a row)</w:t>
            </w:r>
          </w:p>
        </w:tc>
        <w:tc>
          <w:tcPr>
            <w:tcW w:w="1443" w:type="dxa"/>
            <w:vMerge w:val="restart"/>
            <w:shd w:val="clear" w:color="auto" w:fill="D9D9D9" w:themeFill="background1" w:themeFillShade="D9"/>
            <w:vAlign w:val="center"/>
          </w:tcPr>
          <w:p w14:paraId="6EC1FE4E"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Absolute change</w:t>
            </w:r>
          </w:p>
        </w:tc>
        <w:tc>
          <w:tcPr>
            <w:tcW w:w="1443" w:type="dxa"/>
            <w:vMerge w:val="restart"/>
            <w:shd w:val="clear" w:color="auto" w:fill="D9D9D9" w:themeFill="background1" w:themeFillShade="D9"/>
            <w:vAlign w:val="center"/>
          </w:tcPr>
          <w:p w14:paraId="2345EBD3"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Growth </w:t>
            </w:r>
          </w:p>
          <w:p w14:paraId="4C74D04C"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rate, %</w:t>
            </w:r>
          </w:p>
        </w:tc>
      </w:tr>
      <w:tr w:rsidR="00397933" w:rsidRPr="001700CC" w14:paraId="17D49C54" w14:textId="77777777" w:rsidTr="00397933">
        <w:tc>
          <w:tcPr>
            <w:tcW w:w="2760" w:type="dxa"/>
            <w:vMerge/>
            <w:vAlign w:val="center"/>
          </w:tcPr>
          <w:p w14:paraId="03440F4E" w14:textId="77777777" w:rsidR="00397933" w:rsidRPr="001700CC" w:rsidRDefault="00397933" w:rsidP="00397933">
            <w:pPr>
              <w:contextualSpacing/>
              <w:jc w:val="center"/>
              <w:rPr>
                <w:rFonts w:ascii="Garamond" w:hAnsi="Garamond" w:cs="Garamond"/>
                <w:sz w:val="24"/>
                <w:szCs w:val="24"/>
                <w:lang w:val="en-US" w:bidi="ru-RU"/>
              </w:rPr>
            </w:pPr>
          </w:p>
        </w:tc>
        <w:tc>
          <w:tcPr>
            <w:tcW w:w="1323" w:type="dxa"/>
            <w:shd w:val="clear" w:color="auto" w:fill="D9D9D9" w:themeFill="background1" w:themeFillShade="D9"/>
            <w:vAlign w:val="center"/>
          </w:tcPr>
          <w:p w14:paraId="650BCD98"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20__</w:t>
            </w:r>
          </w:p>
        </w:tc>
        <w:tc>
          <w:tcPr>
            <w:tcW w:w="1323" w:type="dxa"/>
            <w:shd w:val="clear" w:color="auto" w:fill="D9D9D9" w:themeFill="background1" w:themeFillShade="D9"/>
            <w:vAlign w:val="center"/>
          </w:tcPr>
          <w:p w14:paraId="10DB2B26"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20__</w:t>
            </w:r>
          </w:p>
        </w:tc>
        <w:tc>
          <w:tcPr>
            <w:tcW w:w="1323" w:type="dxa"/>
            <w:shd w:val="clear" w:color="auto" w:fill="D9D9D9" w:themeFill="background1" w:themeFillShade="D9"/>
            <w:vAlign w:val="center"/>
          </w:tcPr>
          <w:p w14:paraId="4312FCA3"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20__</w:t>
            </w:r>
          </w:p>
        </w:tc>
        <w:tc>
          <w:tcPr>
            <w:tcW w:w="1443" w:type="dxa"/>
            <w:vMerge/>
            <w:vAlign w:val="center"/>
          </w:tcPr>
          <w:p w14:paraId="4A72DD05" w14:textId="77777777" w:rsidR="00397933" w:rsidRPr="001700CC" w:rsidRDefault="00397933" w:rsidP="00397933">
            <w:pPr>
              <w:contextualSpacing/>
              <w:jc w:val="center"/>
              <w:rPr>
                <w:rFonts w:ascii="Garamond" w:hAnsi="Garamond" w:cs="Garamond"/>
                <w:sz w:val="24"/>
                <w:szCs w:val="24"/>
                <w:lang w:val="en-US" w:bidi="ru-RU"/>
              </w:rPr>
            </w:pPr>
          </w:p>
        </w:tc>
        <w:tc>
          <w:tcPr>
            <w:tcW w:w="1443" w:type="dxa"/>
            <w:vMerge/>
            <w:vAlign w:val="center"/>
          </w:tcPr>
          <w:p w14:paraId="3395E08F" w14:textId="77777777" w:rsidR="00397933" w:rsidRPr="001700CC" w:rsidRDefault="00397933" w:rsidP="00397933">
            <w:pPr>
              <w:contextualSpacing/>
              <w:jc w:val="center"/>
              <w:rPr>
                <w:rFonts w:ascii="Garamond" w:hAnsi="Garamond" w:cs="Garamond"/>
                <w:sz w:val="24"/>
                <w:szCs w:val="24"/>
                <w:lang w:val="en-US" w:bidi="ru-RU"/>
              </w:rPr>
            </w:pPr>
          </w:p>
        </w:tc>
      </w:tr>
      <w:tr w:rsidR="00397933" w:rsidRPr="001700CC" w14:paraId="50CDCD9C" w14:textId="77777777" w:rsidTr="00397933">
        <w:tc>
          <w:tcPr>
            <w:tcW w:w="2760" w:type="dxa"/>
            <w:vAlign w:val="center"/>
          </w:tcPr>
          <w:p w14:paraId="527DF5D7"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GDP</w:t>
            </w:r>
          </w:p>
        </w:tc>
        <w:tc>
          <w:tcPr>
            <w:tcW w:w="1323" w:type="dxa"/>
          </w:tcPr>
          <w:p w14:paraId="454D2334"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3B4C6386"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7C92D927"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28A1A654"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5C76B36A"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0781636D" w14:textId="77777777" w:rsidTr="00397933">
        <w:tc>
          <w:tcPr>
            <w:tcW w:w="2760" w:type="dxa"/>
            <w:vAlign w:val="center"/>
          </w:tcPr>
          <w:p w14:paraId="0255CD4A"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GDP per capita</w:t>
            </w:r>
          </w:p>
        </w:tc>
        <w:tc>
          <w:tcPr>
            <w:tcW w:w="1323" w:type="dxa"/>
          </w:tcPr>
          <w:p w14:paraId="30B14DC6"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1D01801F"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5D9CF1E9"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68F970E0"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446C3D88"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65C2E1B7" w14:textId="77777777" w:rsidTr="00397933">
        <w:tc>
          <w:tcPr>
            <w:tcW w:w="2760" w:type="dxa"/>
            <w:vAlign w:val="center"/>
          </w:tcPr>
          <w:p w14:paraId="09CFF7FC"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 xml:space="preserve">Gross savings </w:t>
            </w:r>
          </w:p>
        </w:tc>
        <w:tc>
          <w:tcPr>
            <w:tcW w:w="1323" w:type="dxa"/>
          </w:tcPr>
          <w:p w14:paraId="0A69388C"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01AAF69B"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16C33E13"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5B31275C"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07BFD7B5"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6CF44604" w14:textId="77777777" w:rsidTr="00397933">
        <w:tc>
          <w:tcPr>
            <w:tcW w:w="2760" w:type="dxa"/>
            <w:vAlign w:val="center"/>
          </w:tcPr>
          <w:p w14:paraId="005A14B5"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Gross savings, % of GDP</w:t>
            </w:r>
          </w:p>
        </w:tc>
        <w:tc>
          <w:tcPr>
            <w:tcW w:w="1323" w:type="dxa"/>
          </w:tcPr>
          <w:p w14:paraId="1AD91476"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14F2A8E5"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3C4619A1"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6852176B"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30594D39"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5A40CB67" w14:textId="77777777" w:rsidTr="00397933">
        <w:tc>
          <w:tcPr>
            <w:tcW w:w="2760" w:type="dxa"/>
            <w:vAlign w:val="center"/>
          </w:tcPr>
          <w:p w14:paraId="722EFE23"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Net savings</w:t>
            </w:r>
          </w:p>
        </w:tc>
        <w:tc>
          <w:tcPr>
            <w:tcW w:w="1323" w:type="dxa"/>
          </w:tcPr>
          <w:p w14:paraId="0FD87A21"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7ED20FBD"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5BB2B800"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7249B8E1"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11468AA0"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41681598" w14:textId="77777777" w:rsidTr="00397933">
        <w:tc>
          <w:tcPr>
            <w:tcW w:w="2760" w:type="dxa"/>
            <w:vAlign w:val="center"/>
          </w:tcPr>
          <w:p w14:paraId="02C81FDD"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Net savings,% of GDP</w:t>
            </w:r>
          </w:p>
        </w:tc>
        <w:tc>
          <w:tcPr>
            <w:tcW w:w="1323" w:type="dxa"/>
          </w:tcPr>
          <w:p w14:paraId="527B14E9"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56DE0E41"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1FD5BBC4"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6591141C"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09BD6212"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671BF396" w14:textId="77777777" w:rsidTr="00397933">
        <w:tc>
          <w:tcPr>
            <w:tcW w:w="2760" w:type="dxa"/>
            <w:vAlign w:val="center"/>
          </w:tcPr>
          <w:p w14:paraId="511145E1"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Current account balance</w:t>
            </w:r>
          </w:p>
        </w:tc>
        <w:tc>
          <w:tcPr>
            <w:tcW w:w="1323" w:type="dxa"/>
          </w:tcPr>
          <w:p w14:paraId="1EB2A487"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465E9613" w14:textId="77777777" w:rsidR="00397933" w:rsidRPr="001700CC" w:rsidRDefault="00397933" w:rsidP="00397933">
            <w:pPr>
              <w:contextualSpacing/>
              <w:jc w:val="both"/>
              <w:rPr>
                <w:rFonts w:ascii="Garamond" w:hAnsi="Garamond" w:cs="Garamond"/>
                <w:sz w:val="24"/>
                <w:szCs w:val="24"/>
                <w:lang w:val="en-US" w:bidi="ru-RU"/>
              </w:rPr>
            </w:pPr>
          </w:p>
        </w:tc>
        <w:tc>
          <w:tcPr>
            <w:tcW w:w="1323" w:type="dxa"/>
          </w:tcPr>
          <w:p w14:paraId="35B0383C"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446A2DC3" w14:textId="77777777" w:rsidR="00397933" w:rsidRPr="001700CC" w:rsidRDefault="00397933" w:rsidP="00397933">
            <w:pPr>
              <w:contextualSpacing/>
              <w:jc w:val="both"/>
              <w:rPr>
                <w:rFonts w:ascii="Garamond" w:hAnsi="Garamond" w:cs="Garamond"/>
                <w:sz w:val="24"/>
                <w:szCs w:val="24"/>
                <w:lang w:val="en-US" w:bidi="ru-RU"/>
              </w:rPr>
            </w:pPr>
          </w:p>
        </w:tc>
        <w:tc>
          <w:tcPr>
            <w:tcW w:w="1443" w:type="dxa"/>
          </w:tcPr>
          <w:p w14:paraId="386A751F" w14:textId="77777777" w:rsidR="00397933" w:rsidRPr="001700CC" w:rsidRDefault="00397933" w:rsidP="00397933">
            <w:pPr>
              <w:contextualSpacing/>
              <w:jc w:val="both"/>
              <w:rPr>
                <w:rFonts w:ascii="Garamond" w:hAnsi="Garamond" w:cs="Garamond"/>
                <w:sz w:val="24"/>
                <w:szCs w:val="24"/>
                <w:lang w:val="en-US" w:bidi="ru-RU"/>
              </w:rPr>
            </w:pPr>
          </w:p>
        </w:tc>
      </w:tr>
    </w:tbl>
    <w:p w14:paraId="365CACB7"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p>
    <w:p w14:paraId="1C5ABF8D" w14:textId="77777777" w:rsidR="00397933" w:rsidRPr="001700CC" w:rsidRDefault="00397933" w:rsidP="00397933">
      <w:pPr>
        <w:spacing w:line="312" w:lineRule="auto"/>
        <w:ind w:firstLine="357"/>
        <w:contextualSpacing/>
        <w:jc w:val="both"/>
        <w:rPr>
          <w:rFonts w:cs="Garamond"/>
          <w:b/>
          <w:color w:val="auto"/>
          <w:sz w:val="28"/>
          <w:szCs w:val="28"/>
          <w:lang w:val="en-US" w:eastAsia="ru-RU" w:bidi="ru-RU"/>
        </w:rPr>
      </w:pPr>
      <w:r w:rsidRPr="001700CC">
        <w:rPr>
          <w:rFonts w:cs="Garamond"/>
          <w:b/>
          <w:color w:val="auto"/>
          <w:sz w:val="28"/>
          <w:szCs w:val="28"/>
          <w:lang w:val="en-US" w:eastAsia="ru-RU" w:bidi="ru-RU"/>
        </w:rPr>
        <w:t xml:space="preserve">Assignment </w:t>
      </w:r>
      <w:r w:rsidR="008C107D">
        <w:rPr>
          <w:rFonts w:cs="Garamond"/>
          <w:b/>
          <w:color w:val="auto"/>
          <w:sz w:val="28"/>
          <w:szCs w:val="28"/>
          <w:lang w:val="en-US" w:eastAsia="ru-RU" w:bidi="ru-RU"/>
        </w:rPr>
        <w:t>4</w:t>
      </w:r>
      <w:r w:rsidRPr="001700CC">
        <w:rPr>
          <w:rFonts w:cs="Garamond"/>
          <w:b/>
          <w:color w:val="auto"/>
          <w:sz w:val="28"/>
          <w:szCs w:val="28"/>
          <w:lang w:val="en-US" w:eastAsia="ru-RU" w:bidi="ru-RU"/>
        </w:rPr>
        <w:t>.2. Central government revenues</w:t>
      </w:r>
    </w:p>
    <w:p w14:paraId="60733A3F" w14:textId="77777777" w:rsidR="00397933" w:rsidRDefault="00397933" w:rsidP="00397933">
      <w:pPr>
        <w:spacing w:line="312" w:lineRule="auto"/>
        <w:ind w:firstLine="357"/>
        <w:contextualSpacing/>
        <w:jc w:val="both"/>
        <w:rPr>
          <w:rFonts w:cs="Garamond"/>
          <w:color w:val="auto"/>
          <w:sz w:val="28"/>
          <w:szCs w:val="28"/>
          <w:lang w:val="en-US" w:eastAsia="ru-RU" w:bidi="ru-RU"/>
        </w:rPr>
      </w:pPr>
      <w:r w:rsidRPr="001700CC">
        <w:rPr>
          <w:rFonts w:cs="Garamond"/>
          <w:b/>
          <w:color w:val="auto"/>
          <w:sz w:val="28"/>
          <w:szCs w:val="28"/>
          <w:lang w:val="en-US" w:eastAsia="ru-RU" w:bidi="ru-RU"/>
        </w:rPr>
        <w:t>Required:</w:t>
      </w:r>
      <w:r w:rsidRPr="001700CC">
        <w:rPr>
          <w:rFonts w:cs="Garamond"/>
          <w:color w:val="auto"/>
          <w:sz w:val="28"/>
          <w:szCs w:val="28"/>
          <w:lang w:val="en-US" w:eastAsia="ru-RU" w:bidi="ru-RU"/>
        </w:rPr>
        <w:t xml:space="preserve"> Investigate the dynamics and the structure of central government (state budget) revenues in the selected country for several years. Identify key sources of revenue and make a conclusion about their stability. Determine the proportion of revenues to GDP and make a conclusion about the level of GDP redistribution through the budget. Present the results in </w:t>
      </w:r>
      <w:r w:rsidR="001700CC" w:rsidRPr="001700CC">
        <w:rPr>
          <w:rFonts w:cs="Garamond"/>
          <w:color w:val="auto"/>
          <w:sz w:val="28"/>
          <w:szCs w:val="28"/>
          <w:lang w:val="en-US" w:eastAsia="ru-RU" w:bidi="ru-RU"/>
        </w:rPr>
        <w:t>the box below</w:t>
      </w:r>
      <w:r w:rsidRPr="001700CC">
        <w:rPr>
          <w:rFonts w:cs="Garamond"/>
          <w:color w:val="auto"/>
          <w:sz w:val="28"/>
          <w:szCs w:val="28"/>
          <w:lang w:val="en-US" w:eastAsia="ru-RU" w:bidi="ru-RU"/>
        </w:rPr>
        <w:t>.</w:t>
      </w:r>
    </w:p>
    <w:p w14:paraId="3F8E5B4D" w14:textId="77777777" w:rsidR="00FB3AE0" w:rsidRDefault="00FB3AE0" w:rsidP="00397933">
      <w:pPr>
        <w:spacing w:line="312" w:lineRule="auto"/>
        <w:ind w:firstLine="357"/>
        <w:contextualSpacing/>
        <w:jc w:val="both"/>
        <w:rPr>
          <w:rFonts w:cs="Garamond"/>
          <w:color w:val="auto"/>
          <w:sz w:val="28"/>
          <w:szCs w:val="28"/>
          <w:lang w:val="en-US" w:eastAsia="ru-RU" w:bidi="ru-RU"/>
        </w:rPr>
      </w:pPr>
    </w:p>
    <w:p w14:paraId="53517FB3" w14:textId="77777777" w:rsidR="00FB3AE0" w:rsidRDefault="00FB3AE0" w:rsidP="00397933">
      <w:pPr>
        <w:spacing w:line="312" w:lineRule="auto"/>
        <w:ind w:firstLine="357"/>
        <w:contextualSpacing/>
        <w:jc w:val="both"/>
        <w:rPr>
          <w:rFonts w:cs="Garamond"/>
          <w:color w:val="auto"/>
          <w:sz w:val="28"/>
          <w:szCs w:val="28"/>
          <w:lang w:val="en-US" w:eastAsia="ru-RU" w:bidi="ru-RU"/>
        </w:rPr>
      </w:pPr>
    </w:p>
    <w:p w14:paraId="789CD0FD" w14:textId="77777777" w:rsidR="00FB3AE0" w:rsidRDefault="00FB3AE0" w:rsidP="00397933">
      <w:pPr>
        <w:spacing w:line="312" w:lineRule="auto"/>
        <w:ind w:firstLine="357"/>
        <w:contextualSpacing/>
        <w:jc w:val="both"/>
        <w:rPr>
          <w:rFonts w:cs="Garamond"/>
          <w:color w:val="auto"/>
          <w:sz w:val="28"/>
          <w:szCs w:val="28"/>
          <w:lang w:val="en-US" w:eastAsia="ru-RU" w:bidi="ru-RU"/>
        </w:rPr>
      </w:pPr>
    </w:p>
    <w:p w14:paraId="330A6762" w14:textId="77777777" w:rsidR="00FB3AE0" w:rsidRDefault="00FB3AE0" w:rsidP="00397933">
      <w:pPr>
        <w:spacing w:line="312" w:lineRule="auto"/>
        <w:ind w:firstLine="357"/>
        <w:contextualSpacing/>
        <w:jc w:val="both"/>
        <w:rPr>
          <w:rFonts w:cs="Garamond"/>
          <w:color w:val="auto"/>
          <w:sz w:val="28"/>
          <w:szCs w:val="28"/>
          <w:lang w:val="en-US" w:eastAsia="ru-RU" w:bidi="ru-RU"/>
        </w:rPr>
      </w:pPr>
    </w:p>
    <w:p w14:paraId="312CDC9D" w14:textId="77777777" w:rsidR="00FB3AE0" w:rsidRPr="00397933" w:rsidRDefault="00FB3AE0" w:rsidP="00397933">
      <w:pPr>
        <w:spacing w:line="312" w:lineRule="auto"/>
        <w:ind w:firstLine="357"/>
        <w:contextualSpacing/>
        <w:jc w:val="both"/>
        <w:rPr>
          <w:rFonts w:cs="Garamond"/>
          <w:color w:val="auto"/>
          <w:sz w:val="28"/>
          <w:szCs w:val="28"/>
          <w:lang w:val="en-US" w:eastAsia="ru-RU" w:bidi="ru-RU"/>
        </w:rPr>
      </w:pPr>
    </w:p>
    <w:p w14:paraId="21184DDA" w14:textId="77777777" w:rsidR="001700CC" w:rsidRDefault="001700CC" w:rsidP="00397933">
      <w:pPr>
        <w:spacing w:line="312" w:lineRule="auto"/>
        <w:ind w:firstLine="357"/>
        <w:contextualSpacing/>
        <w:jc w:val="center"/>
        <w:rPr>
          <w:rFonts w:cs="Garamond"/>
          <w:color w:val="auto"/>
          <w:sz w:val="28"/>
          <w:szCs w:val="28"/>
          <w:lang w:val="en-US" w:eastAsia="ru-RU" w:bidi="ru-RU"/>
        </w:rPr>
      </w:pPr>
    </w:p>
    <w:p w14:paraId="3C6F5D5E" w14:textId="77777777" w:rsidR="00202F88" w:rsidRDefault="00202F88" w:rsidP="00397933">
      <w:pPr>
        <w:spacing w:line="312" w:lineRule="auto"/>
        <w:ind w:firstLine="357"/>
        <w:contextualSpacing/>
        <w:jc w:val="center"/>
        <w:rPr>
          <w:rFonts w:cs="Garamond"/>
          <w:color w:val="auto"/>
          <w:sz w:val="28"/>
          <w:szCs w:val="28"/>
          <w:lang w:val="en-US" w:eastAsia="ru-RU" w:bidi="ru-RU"/>
        </w:rPr>
      </w:pPr>
    </w:p>
    <w:p w14:paraId="175DA955" w14:textId="77777777" w:rsidR="00202F88" w:rsidRDefault="00202F88" w:rsidP="00397933">
      <w:pPr>
        <w:spacing w:line="312" w:lineRule="auto"/>
        <w:ind w:firstLine="357"/>
        <w:contextualSpacing/>
        <w:jc w:val="center"/>
        <w:rPr>
          <w:rFonts w:cs="Garamond"/>
          <w:color w:val="auto"/>
          <w:sz w:val="28"/>
          <w:szCs w:val="28"/>
          <w:lang w:val="en-US" w:eastAsia="ru-RU" w:bidi="ru-RU"/>
        </w:rPr>
      </w:pPr>
    </w:p>
    <w:p w14:paraId="7F35CE9C" w14:textId="77777777" w:rsidR="00397933" w:rsidRPr="007F249B" w:rsidRDefault="00397933" w:rsidP="007F249B">
      <w:pPr>
        <w:spacing w:line="312" w:lineRule="auto"/>
        <w:contextualSpacing/>
        <w:jc w:val="center"/>
        <w:rPr>
          <w:rFonts w:cs="Garamond"/>
          <w:b/>
          <w:color w:val="auto"/>
          <w:sz w:val="28"/>
          <w:szCs w:val="28"/>
          <w:lang w:val="en-US" w:eastAsia="ru-RU" w:bidi="ru-RU"/>
        </w:rPr>
      </w:pPr>
      <w:r w:rsidRPr="007F249B">
        <w:rPr>
          <w:rFonts w:cs="Garamond"/>
          <w:b/>
          <w:color w:val="auto"/>
          <w:sz w:val="28"/>
          <w:szCs w:val="28"/>
          <w:lang w:val="en-US" w:eastAsia="ru-RU" w:bidi="ru-RU"/>
        </w:rPr>
        <w:lastRenderedPageBreak/>
        <w:t>Dynamics and structure</w:t>
      </w:r>
      <w:r w:rsidR="007F249B">
        <w:rPr>
          <w:rFonts w:cs="Garamond"/>
          <w:b/>
          <w:color w:val="auto"/>
          <w:sz w:val="28"/>
          <w:szCs w:val="28"/>
          <w:lang w:val="en-US" w:eastAsia="ru-RU" w:bidi="ru-RU"/>
        </w:rPr>
        <w:t xml:space="preserve"> </w:t>
      </w:r>
      <w:r w:rsidRPr="007F249B">
        <w:rPr>
          <w:rFonts w:cs="Garamond"/>
          <w:b/>
          <w:color w:val="auto"/>
          <w:sz w:val="28"/>
          <w:szCs w:val="28"/>
          <w:lang w:val="en-US" w:eastAsia="ru-RU" w:bidi="ru-RU"/>
        </w:rPr>
        <w:t>of centra</w:t>
      </w:r>
      <w:r w:rsidR="001700CC" w:rsidRPr="007F249B">
        <w:rPr>
          <w:rFonts w:cs="Garamond"/>
          <w:b/>
          <w:color w:val="auto"/>
          <w:sz w:val="28"/>
          <w:szCs w:val="28"/>
          <w:lang w:val="en-US" w:eastAsia="ru-RU" w:bidi="ru-RU"/>
        </w:rPr>
        <w:t xml:space="preserve">l government revenues in </w:t>
      </w:r>
      <w:r w:rsidRPr="007F249B">
        <w:rPr>
          <w:rFonts w:cs="Garamond"/>
          <w:b/>
          <w:color w:val="auto"/>
          <w:sz w:val="28"/>
          <w:szCs w:val="28"/>
          <w:lang w:val="en-US" w:eastAsia="ru-RU" w:bidi="ru-RU"/>
        </w:rPr>
        <w:t>(selected country)</w:t>
      </w:r>
    </w:p>
    <w:tbl>
      <w:tblPr>
        <w:tblStyle w:val="90"/>
        <w:tblW w:w="0" w:type="auto"/>
        <w:tblCellMar>
          <w:top w:w="28" w:type="dxa"/>
          <w:bottom w:w="28" w:type="dxa"/>
        </w:tblCellMar>
        <w:tblLook w:val="04A0" w:firstRow="1" w:lastRow="0" w:firstColumn="1" w:lastColumn="0" w:noHBand="0" w:noVBand="1"/>
      </w:tblPr>
      <w:tblGrid>
        <w:gridCol w:w="3445"/>
        <w:gridCol w:w="732"/>
        <w:gridCol w:w="567"/>
        <w:gridCol w:w="709"/>
        <w:gridCol w:w="567"/>
        <w:gridCol w:w="709"/>
        <w:gridCol w:w="567"/>
        <w:gridCol w:w="1275"/>
        <w:gridCol w:w="1044"/>
      </w:tblGrid>
      <w:tr w:rsidR="00397933" w:rsidRPr="001700CC" w14:paraId="6C6A403B" w14:textId="77777777" w:rsidTr="00202F88">
        <w:tc>
          <w:tcPr>
            <w:tcW w:w="3445" w:type="dxa"/>
            <w:vMerge w:val="restart"/>
            <w:shd w:val="clear" w:color="auto" w:fill="D9D9D9" w:themeFill="background1" w:themeFillShade="D9"/>
            <w:vAlign w:val="center"/>
          </w:tcPr>
          <w:p w14:paraId="4E44215F"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Indicator</w:t>
            </w:r>
          </w:p>
        </w:tc>
        <w:tc>
          <w:tcPr>
            <w:tcW w:w="3851" w:type="dxa"/>
            <w:gridSpan w:val="6"/>
            <w:shd w:val="clear" w:color="auto" w:fill="D9D9D9" w:themeFill="background1" w:themeFillShade="D9"/>
            <w:vAlign w:val="center"/>
          </w:tcPr>
          <w:p w14:paraId="26C1062A"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Year </w:t>
            </w:r>
            <w:r w:rsidRPr="001700CC">
              <w:rPr>
                <w:rFonts w:ascii="Garamond" w:hAnsi="Garamond" w:cs="Garamond"/>
                <w:b/>
                <w:i/>
                <w:sz w:val="24"/>
                <w:szCs w:val="24"/>
                <w:lang w:val="en-US" w:bidi="ru-RU"/>
              </w:rPr>
              <w:t>(at least three in a row)</w:t>
            </w:r>
          </w:p>
        </w:tc>
        <w:tc>
          <w:tcPr>
            <w:tcW w:w="1275" w:type="dxa"/>
            <w:vMerge w:val="restart"/>
            <w:shd w:val="clear" w:color="auto" w:fill="D9D9D9" w:themeFill="background1" w:themeFillShade="D9"/>
            <w:vAlign w:val="center"/>
          </w:tcPr>
          <w:p w14:paraId="56164C21"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Absolute change</w:t>
            </w:r>
          </w:p>
        </w:tc>
        <w:tc>
          <w:tcPr>
            <w:tcW w:w="1044" w:type="dxa"/>
            <w:vMerge w:val="restart"/>
            <w:shd w:val="clear" w:color="auto" w:fill="D9D9D9" w:themeFill="background1" w:themeFillShade="D9"/>
            <w:vAlign w:val="center"/>
          </w:tcPr>
          <w:p w14:paraId="307363C8"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Growth </w:t>
            </w:r>
          </w:p>
          <w:p w14:paraId="55C7C8AC"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rate, %</w:t>
            </w:r>
          </w:p>
        </w:tc>
      </w:tr>
      <w:tr w:rsidR="00397933" w:rsidRPr="001700CC" w14:paraId="54DCC598" w14:textId="77777777" w:rsidTr="00202F88">
        <w:tc>
          <w:tcPr>
            <w:tcW w:w="3445" w:type="dxa"/>
            <w:vMerge/>
            <w:vAlign w:val="center"/>
          </w:tcPr>
          <w:p w14:paraId="432EF7CB" w14:textId="77777777" w:rsidR="00397933" w:rsidRPr="001700CC" w:rsidRDefault="00397933" w:rsidP="00397933">
            <w:pPr>
              <w:contextualSpacing/>
              <w:jc w:val="center"/>
              <w:rPr>
                <w:rFonts w:ascii="Garamond" w:hAnsi="Garamond" w:cs="Garamond"/>
                <w:b/>
                <w:sz w:val="24"/>
                <w:szCs w:val="24"/>
                <w:lang w:val="en-US" w:bidi="ru-RU"/>
              </w:rPr>
            </w:pPr>
          </w:p>
        </w:tc>
        <w:tc>
          <w:tcPr>
            <w:tcW w:w="1299" w:type="dxa"/>
            <w:gridSpan w:val="2"/>
            <w:shd w:val="clear" w:color="auto" w:fill="D9D9D9" w:themeFill="background1" w:themeFillShade="D9"/>
            <w:vAlign w:val="center"/>
          </w:tcPr>
          <w:p w14:paraId="7BE4F0D9"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1276" w:type="dxa"/>
            <w:gridSpan w:val="2"/>
            <w:shd w:val="clear" w:color="auto" w:fill="D9D9D9" w:themeFill="background1" w:themeFillShade="D9"/>
            <w:vAlign w:val="center"/>
          </w:tcPr>
          <w:p w14:paraId="18F8A753"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1276" w:type="dxa"/>
            <w:gridSpan w:val="2"/>
            <w:shd w:val="clear" w:color="auto" w:fill="D9D9D9" w:themeFill="background1" w:themeFillShade="D9"/>
            <w:vAlign w:val="center"/>
          </w:tcPr>
          <w:p w14:paraId="1637E39C" w14:textId="77777777" w:rsidR="00397933" w:rsidRPr="001700CC" w:rsidRDefault="00397933"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1275" w:type="dxa"/>
            <w:vMerge/>
            <w:vAlign w:val="center"/>
          </w:tcPr>
          <w:p w14:paraId="7923A3F2" w14:textId="77777777" w:rsidR="00397933" w:rsidRPr="001700CC" w:rsidRDefault="00397933" w:rsidP="00397933">
            <w:pPr>
              <w:contextualSpacing/>
              <w:jc w:val="center"/>
              <w:rPr>
                <w:rFonts w:ascii="Garamond" w:hAnsi="Garamond" w:cs="Garamond"/>
                <w:sz w:val="24"/>
                <w:szCs w:val="24"/>
                <w:lang w:val="en-US" w:bidi="ru-RU"/>
              </w:rPr>
            </w:pPr>
          </w:p>
        </w:tc>
        <w:tc>
          <w:tcPr>
            <w:tcW w:w="1044" w:type="dxa"/>
            <w:vMerge/>
            <w:vAlign w:val="center"/>
          </w:tcPr>
          <w:p w14:paraId="675577AB" w14:textId="77777777" w:rsidR="00397933" w:rsidRPr="001700CC" w:rsidRDefault="00397933" w:rsidP="00397933">
            <w:pPr>
              <w:contextualSpacing/>
              <w:jc w:val="center"/>
              <w:rPr>
                <w:rFonts w:ascii="Garamond" w:hAnsi="Garamond" w:cs="Garamond"/>
                <w:sz w:val="24"/>
                <w:szCs w:val="24"/>
                <w:lang w:val="en-US" w:bidi="ru-RU"/>
              </w:rPr>
            </w:pPr>
          </w:p>
        </w:tc>
      </w:tr>
      <w:tr w:rsidR="00397933" w:rsidRPr="001700CC" w14:paraId="52C14E68" w14:textId="77777777" w:rsidTr="00202F88">
        <w:tc>
          <w:tcPr>
            <w:tcW w:w="3445" w:type="dxa"/>
            <w:vAlign w:val="center"/>
          </w:tcPr>
          <w:p w14:paraId="34953654"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Revenue</w:t>
            </w:r>
          </w:p>
        </w:tc>
        <w:tc>
          <w:tcPr>
            <w:tcW w:w="1299" w:type="dxa"/>
            <w:gridSpan w:val="2"/>
          </w:tcPr>
          <w:p w14:paraId="5B5213C0" w14:textId="77777777" w:rsidR="00397933" w:rsidRPr="001700CC" w:rsidRDefault="00397933" w:rsidP="00397933">
            <w:pPr>
              <w:contextualSpacing/>
              <w:jc w:val="both"/>
              <w:rPr>
                <w:rFonts w:ascii="Garamond" w:hAnsi="Garamond" w:cs="Garamond"/>
                <w:sz w:val="24"/>
                <w:szCs w:val="24"/>
                <w:lang w:val="en-US" w:bidi="ru-RU"/>
              </w:rPr>
            </w:pPr>
          </w:p>
        </w:tc>
        <w:tc>
          <w:tcPr>
            <w:tcW w:w="1276" w:type="dxa"/>
            <w:gridSpan w:val="2"/>
          </w:tcPr>
          <w:p w14:paraId="76CC816A" w14:textId="77777777" w:rsidR="00397933" w:rsidRPr="001700CC" w:rsidRDefault="00397933" w:rsidP="00397933">
            <w:pPr>
              <w:contextualSpacing/>
              <w:jc w:val="both"/>
              <w:rPr>
                <w:rFonts w:ascii="Garamond" w:hAnsi="Garamond" w:cs="Garamond"/>
                <w:sz w:val="24"/>
                <w:szCs w:val="24"/>
                <w:lang w:val="en-US" w:bidi="ru-RU"/>
              </w:rPr>
            </w:pPr>
          </w:p>
        </w:tc>
        <w:tc>
          <w:tcPr>
            <w:tcW w:w="1276" w:type="dxa"/>
            <w:gridSpan w:val="2"/>
          </w:tcPr>
          <w:p w14:paraId="1E8DC974" w14:textId="77777777" w:rsidR="00397933" w:rsidRPr="001700CC" w:rsidRDefault="00397933" w:rsidP="00397933">
            <w:pPr>
              <w:contextualSpacing/>
              <w:jc w:val="both"/>
              <w:rPr>
                <w:rFonts w:ascii="Garamond" w:hAnsi="Garamond" w:cs="Garamond"/>
                <w:sz w:val="24"/>
                <w:szCs w:val="24"/>
                <w:lang w:val="en-US" w:bidi="ru-RU"/>
              </w:rPr>
            </w:pPr>
          </w:p>
        </w:tc>
        <w:tc>
          <w:tcPr>
            <w:tcW w:w="1275" w:type="dxa"/>
          </w:tcPr>
          <w:p w14:paraId="40762A0D" w14:textId="77777777" w:rsidR="00397933" w:rsidRPr="001700CC" w:rsidRDefault="00397933" w:rsidP="00397933">
            <w:pPr>
              <w:contextualSpacing/>
              <w:jc w:val="both"/>
              <w:rPr>
                <w:rFonts w:ascii="Garamond" w:hAnsi="Garamond" w:cs="Garamond"/>
                <w:sz w:val="24"/>
                <w:szCs w:val="24"/>
                <w:lang w:val="en-US" w:bidi="ru-RU"/>
              </w:rPr>
            </w:pPr>
          </w:p>
        </w:tc>
        <w:tc>
          <w:tcPr>
            <w:tcW w:w="1044" w:type="dxa"/>
          </w:tcPr>
          <w:p w14:paraId="1038166F"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6BBFADC2" w14:textId="77777777" w:rsidTr="00202F88">
        <w:tc>
          <w:tcPr>
            <w:tcW w:w="3445" w:type="dxa"/>
            <w:vAlign w:val="center"/>
          </w:tcPr>
          <w:p w14:paraId="5CE9BA74"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Revenue, % of GDP</w:t>
            </w:r>
          </w:p>
        </w:tc>
        <w:tc>
          <w:tcPr>
            <w:tcW w:w="1299" w:type="dxa"/>
            <w:gridSpan w:val="2"/>
          </w:tcPr>
          <w:p w14:paraId="0DA2E9B5" w14:textId="77777777" w:rsidR="00397933" w:rsidRPr="001700CC" w:rsidRDefault="00397933" w:rsidP="00397933">
            <w:pPr>
              <w:contextualSpacing/>
              <w:jc w:val="both"/>
              <w:rPr>
                <w:rFonts w:ascii="Garamond" w:hAnsi="Garamond" w:cs="Garamond"/>
                <w:sz w:val="24"/>
                <w:szCs w:val="24"/>
                <w:lang w:val="en-US" w:bidi="ru-RU"/>
              </w:rPr>
            </w:pPr>
          </w:p>
        </w:tc>
        <w:tc>
          <w:tcPr>
            <w:tcW w:w="1276" w:type="dxa"/>
            <w:gridSpan w:val="2"/>
          </w:tcPr>
          <w:p w14:paraId="3DEC7801" w14:textId="77777777" w:rsidR="00397933" w:rsidRPr="001700CC" w:rsidRDefault="00397933" w:rsidP="00397933">
            <w:pPr>
              <w:contextualSpacing/>
              <w:jc w:val="both"/>
              <w:rPr>
                <w:rFonts w:ascii="Garamond" w:hAnsi="Garamond" w:cs="Garamond"/>
                <w:sz w:val="24"/>
                <w:szCs w:val="24"/>
                <w:lang w:val="en-US" w:bidi="ru-RU"/>
              </w:rPr>
            </w:pPr>
          </w:p>
        </w:tc>
        <w:tc>
          <w:tcPr>
            <w:tcW w:w="1276" w:type="dxa"/>
            <w:gridSpan w:val="2"/>
          </w:tcPr>
          <w:p w14:paraId="33C4A17F" w14:textId="77777777" w:rsidR="00397933" w:rsidRPr="001700CC" w:rsidRDefault="00397933" w:rsidP="00397933">
            <w:pPr>
              <w:contextualSpacing/>
              <w:jc w:val="both"/>
              <w:rPr>
                <w:rFonts w:ascii="Garamond" w:hAnsi="Garamond" w:cs="Garamond"/>
                <w:sz w:val="24"/>
                <w:szCs w:val="24"/>
                <w:lang w:val="en-US" w:bidi="ru-RU"/>
              </w:rPr>
            </w:pPr>
          </w:p>
        </w:tc>
        <w:tc>
          <w:tcPr>
            <w:tcW w:w="1275" w:type="dxa"/>
          </w:tcPr>
          <w:p w14:paraId="19744487" w14:textId="77777777" w:rsidR="00397933" w:rsidRPr="001700CC" w:rsidRDefault="00397933" w:rsidP="00397933">
            <w:pPr>
              <w:contextualSpacing/>
              <w:jc w:val="both"/>
              <w:rPr>
                <w:rFonts w:ascii="Garamond" w:hAnsi="Garamond" w:cs="Garamond"/>
                <w:sz w:val="24"/>
                <w:szCs w:val="24"/>
                <w:lang w:val="en-US" w:bidi="ru-RU"/>
              </w:rPr>
            </w:pPr>
          </w:p>
        </w:tc>
        <w:tc>
          <w:tcPr>
            <w:tcW w:w="1044" w:type="dxa"/>
          </w:tcPr>
          <w:p w14:paraId="1C75BC26"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5C816965" w14:textId="77777777" w:rsidTr="00202F88">
        <w:tc>
          <w:tcPr>
            <w:tcW w:w="3445" w:type="dxa"/>
            <w:vAlign w:val="center"/>
          </w:tcPr>
          <w:p w14:paraId="3379CEE8"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Structure of revenues</w:t>
            </w:r>
          </w:p>
        </w:tc>
        <w:tc>
          <w:tcPr>
            <w:tcW w:w="732" w:type="dxa"/>
            <w:vAlign w:val="center"/>
          </w:tcPr>
          <w:p w14:paraId="6303759E"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p>
        </w:tc>
        <w:tc>
          <w:tcPr>
            <w:tcW w:w="567" w:type="dxa"/>
            <w:vAlign w:val="center"/>
          </w:tcPr>
          <w:p w14:paraId="16C4185A"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p>
        </w:tc>
        <w:tc>
          <w:tcPr>
            <w:tcW w:w="709" w:type="dxa"/>
            <w:vAlign w:val="center"/>
          </w:tcPr>
          <w:p w14:paraId="7BE6E206"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p>
        </w:tc>
        <w:tc>
          <w:tcPr>
            <w:tcW w:w="567" w:type="dxa"/>
            <w:vAlign w:val="center"/>
          </w:tcPr>
          <w:p w14:paraId="6379FC42"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p>
        </w:tc>
        <w:tc>
          <w:tcPr>
            <w:tcW w:w="709" w:type="dxa"/>
            <w:vAlign w:val="center"/>
          </w:tcPr>
          <w:p w14:paraId="59CF6863"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p>
        </w:tc>
        <w:tc>
          <w:tcPr>
            <w:tcW w:w="567" w:type="dxa"/>
            <w:vAlign w:val="center"/>
          </w:tcPr>
          <w:p w14:paraId="04E473D6"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p>
        </w:tc>
        <w:tc>
          <w:tcPr>
            <w:tcW w:w="1275" w:type="dxa"/>
            <w:vAlign w:val="center"/>
          </w:tcPr>
          <w:p w14:paraId="4B3C925D"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Absolute change</w:t>
            </w:r>
          </w:p>
        </w:tc>
        <w:tc>
          <w:tcPr>
            <w:tcW w:w="1044" w:type="dxa"/>
            <w:vAlign w:val="center"/>
          </w:tcPr>
          <w:p w14:paraId="6DC7C769"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 xml:space="preserve">Growth </w:t>
            </w:r>
          </w:p>
          <w:p w14:paraId="2439E7E1" w14:textId="77777777" w:rsidR="00397933" w:rsidRPr="001700CC" w:rsidRDefault="00397933" w:rsidP="00397933">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rate, %</w:t>
            </w:r>
          </w:p>
        </w:tc>
      </w:tr>
      <w:tr w:rsidR="00397933" w:rsidRPr="001700CC" w14:paraId="144E571B" w14:textId="77777777" w:rsidTr="00202F88">
        <w:tc>
          <w:tcPr>
            <w:tcW w:w="3445" w:type="dxa"/>
            <w:vAlign w:val="center"/>
          </w:tcPr>
          <w:p w14:paraId="6BB52C8B" w14:textId="77777777" w:rsidR="00397933" w:rsidRPr="001700CC" w:rsidRDefault="00397933" w:rsidP="00397933">
            <w:pPr>
              <w:ind w:left="284"/>
              <w:rPr>
                <w:rFonts w:ascii="Garamond" w:hAnsi="Garamond" w:cs="Garamond"/>
                <w:sz w:val="24"/>
                <w:szCs w:val="24"/>
                <w:lang w:val="en-US" w:bidi="ru-RU"/>
              </w:rPr>
            </w:pPr>
            <w:r w:rsidRPr="001700CC">
              <w:rPr>
                <w:rFonts w:ascii="Garamond" w:hAnsi="Garamond" w:cs="Garamond"/>
                <w:sz w:val="24"/>
                <w:szCs w:val="24"/>
                <w:lang w:val="en-US" w:bidi="ru-RU"/>
              </w:rPr>
              <w:t>Taxes on income, profits and capital gains</w:t>
            </w:r>
          </w:p>
        </w:tc>
        <w:tc>
          <w:tcPr>
            <w:tcW w:w="732" w:type="dxa"/>
          </w:tcPr>
          <w:p w14:paraId="207ABD12"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1FB416A9"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5AD610EF"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61547BDC"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01209B5D"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5AF4FC9A" w14:textId="77777777" w:rsidR="00397933" w:rsidRPr="001700CC" w:rsidRDefault="00397933" w:rsidP="00397933">
            <w:pPr>
              <w:contextualSpacing/>
              <w:jc w:val="both"/>
              <w:rPr>
                <w:rFonts w:ascii="Garamond" w:hAnsi="Garamond" w:cs="Garamond"/>
                <w:sz w:val="24"/>
                <w:szCs w:val="24"/>
                <w:lang w:val="en-US" w:bidi="ru-RU"/>
              </w:rPr>
            </w:pPr>
          </w:p>
        </w:tc>
        <w:tc>
          <w:tcPr>
            <w:tcW w:w="1275" w:type="dxa"/>
          </w:tcPr>
          <w:p w14:paraId="038B742B" w14:textId="77777777" w:rsidR="00397933" w:rsidRPr="001700CC" w:rsidRDefault="00397933" w:rsidP="00397933">
            <w:pPr>
              <w:contextualSpacing/>
              <w:jc w:val="both"/>
              <w:rPr>
                <w:rFonts w:ascii="Garamond" w:hAnsi="Garamond" w:cs="Garamond"/>
                <w:sz w:val="24"/>
                <w:szCs w:val="24"/>
                <w:lang w:val="en-US" w:bidi="ru-RU"/>
              </w:rPr>
            </w:pPr>
          </w:p>
        </w:tc>
        <w:tc>
          <w:tcPr>
            <w:tcW w:w="1044" w:type="dxa"/>
          </w:tcPr>
          <w:p w14:paraId="17F45ADC"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15263729" w14:textId="77777777" w:rsidTr="00202F88">
        <w:tc>
          <w:tcPr>
            <w:tcW w:w="3445" w:type="dxa"/>
            <w:vAlign w:val="center"/>
          </w:tcPr>
          <w:p w14:paraId="1C706E98" w14:textId="77777777" w:rsidR="00397933" w:rsidRPr="001700CC" w:rsidRDefault="00397933" w:rsidP="00397933">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Taxes on goods and services</w:t>
            </w:r>
          </w:p>
        </w:tc>
        <w:tc>
          <w:tcPr>
            <w:tcW w:w="732" w:type="dxa"/>
          </w:tcPr>
          <w:p w14:paraId="204F7125"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22B46D90"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7EDBEDF9"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5645604B"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3E8BFA3C"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1B0B933C" w14:textId="77777777" w:rsidR="00397933" w:rsidRPr="001700CC" w:rsidRDefault="00397933" w:rsidP="00397933">
            <w:pPr>
              <w:contextualSpacing/>
              <w:jc w:val="both"/>
              <w:rPr>
                <w:rFonts w:ascii="Garamond" w:hAnsi="Garamond" w:cs="Garamond"/>
                <w:sz w:val="24"/>
                <w:szCs w:val="24"/>
                <w:lang w:val="en-US" w:bidi="ru-RU"/>
              </w:rPr>
            </w:pPr>
          </w:p>
        </w:tc>
        <w:tc>
          <w:tcPr>
            <w:tcW w:w="1275" w:type="dxa"/>
          </w:tcPr>
          <w:p w14:paraId="261C2A8F" w14:textId="77777777" w:rsidR="00397933" w:rsidRPr="001700CC" w:rsidRDefault="00397933" w:rsidP="00397933">
            <w:pPr>
              <w:contextualSpacing/>
              <w:jc w:val="both"/>
              <w:rPr>
                <w:rFonts w:ascii="Garamond" w:hAnsi="Garamond" w:cs="Garamond"/>
                <w:sz w:val="24"/>
                <w:szCs w:val="24"/>
                <w:lang w:val="en-US" w:bidi="ru-RU"/>
              </w:rPr>
            </w:pPr>
          </w:p>
        </w:tc>
        <w:tc>
          <w:tcPr>
            <w:tcW w:w="1044" w:type="dxa"/>
          </w:tcPr>
          <w:p w14:paraId="2199678C"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7F319D0C" w14:textId="77777777" w:rsidTr="00202F88">
        <w:tc>
          <w:tcPr>
            <w:tcW w:w="3445" w:type="dxa"/>
            <w:vAlign w:val="center"/>
          </w:tcPr>
          <w:p w14:paraId="761ED670" w14:textId="77777777" w:rsidR="00397933" w:rsidRPr="001700CC" w:rsidRDefault="00397933" w:rsidP="00397933">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Taxes on international trade</w:t>
            </w:r>
          </w:p>
        </w:tc>
        <w:tc>
          <w:tcPr>
            <w:tcW w:w="732" w:type="dxa"/>
          </w:tcPr>
          <w:p w14:paraId="18158FE2"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0E3D9B0F"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6C724CA3"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77F30046"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405E6F65"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01E45A2D" w14:textId="77777777" w:rsidR="00397933" w:rsidRPr="001700CC" w:rsidRDefault="00397933" w:rsidP="00397933">
            <w:pPr>
              <w:contextualSpacing/>
              <w:jc w:val="both"/>
              <w:rPr>
                <w:rFonts w:ascii="Garamond" w:hAnsi="Garamond" w:cs="Garamond"/>
                <w:sz w:val="24"/>
                <w:szCs w:val="24"/>
                <w:lang w:val="en-US" w:bidi="ru-RU"/>
              </w:rPr>
            </w:pPr>
          </w:p>
        </w:tc>
        <w:tc>
          <w:tcPr>
            <w:tcW w:w="1275" w:type="dxa"/>
          </w:tcPr>
          <w:p w14:paraId="306413B7" w14:textId="77777777" w:rsidR="00397933" w:rsidRPr="001700CC" w:rsidRDefault="00397933" w:rsidP="00397933">
            <w:pPr>
              <w:contextualSpacing/>
              <w:jc w:val="both"/>
              <w:rPr>
                <w:rFonts w:ascii="Garamond" w:hAnsi="Garamond" w:cs="Garamond"/>
                <w:sz w:val="24"/>
                <w:szCs w:val="24"/>
                <w:lang w:val="en-US" w:bidi="ru-RU"/>
              </w:rPr>
            </w:pPr>
          </w:p>
        </w:tc>
        <w:tc>
          <w:tcPr>
            <w:tcW w:w="1044" w:type="dxa"/>
          </w:tcPr>
          <w:p w14:paraId="0A552323"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5AEE1C16" w14:textId="77777777" w:rsidTr="00202F88">
        <w:tc>
          <w:tcPr>
            <w:tcW w:w="3445" w:type="dxa"/>
            <w:vAlign w:val="center"/>
          </w:tcPr>
          <w:p w14:paraId="2D62E36D" w14:textId="77777777" w:rsidR="00397933" w:rsidRPr="001700CC" w:rsidRDefault="00397933" w:rsidP="00397933">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Other taxes</w:t>
            </w:r>
          </w:p>
        </w:tc>
        <w:tc>
          <w:tcPr>
            <w:tcW w:w="732" w:type="dxa"/>
          </w:tcPr>
          <w:p w14:paraId="45BB8F0F"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476C10B5"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17C9DCED"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362D3C87"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0077C503"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0DCDBFE3" w14:textId="77777777" w:rsidR="00397933" w:rsidRPr="001700CC" w:rsidRDefault="00397933" w:rsidP="00397933">
            <w:pPr>
              <w:contextualSpacing/>
              <w:jc w:val="both"/>
              <w:rPr>
                <w:rFonts w:ascii="Garamond" w:hAnsi="Garamond" w:cs="Garamond"/>
                <w:sz w:val="24"/>
                <w:szCs w:val="24"/>
                <w:lang w:val="en-US" w:bidi="ru-RU"/>
              </w:rPr>
            </w:pPr>
          </w:p>
        </w:tc>
        <w:tc>
          <w:tcPr>
            <w:tcW w:w="1275" w:type="dxa"/>
          </w:tcPr>
          <w:p w14:paraId="294718FF" w14:textId="77777777" w:rsidR="00397933" w:rsidRPr="001700CC" w:rsidRDefault="00397933" w:rsidP="00397933">
            <w:pPr>
              <w:contextualSpacing/>
              <w:jc w:val="both"/>
              <w:rPr>
                <w:rFonts w:ascii="Garamond" w:hAnsi="Garamond" w:cs="Garamond"/>
                <w:sz w:val="24"/>
                <w:szCs w:val="24"/>
                <w:lang w:val="en-US" w:bidi="ru-RU"/>
              </w:rPr>
            </w:pPr>
          </w:p>
        </w:tc>
        <w:tc>
          <w:tcPr>
            <w:tcW w:w="1044" w:type="dxa"/>
          </w:tcPr>
          <w:p w14:paraId="2796B017"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44741918" w14:textId="77777777" w:rsidTr="00202F88">
        <w:tc>
          <w:tcPr>
            <w:tcW w:w="3445" w:type="dxa"/>
            <w:vAlign w:val="center"/>
          </w:tcPr>
          <w:p w14:paraId="7BB86340" w14:textId="77777777" w:rsidR="00397933" w:rsidRPr="001700CC" w:rsidRDefault="00397933" w:rsidP="00397933">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Social contributions</w:t>
            </w:r>
          </w:p>
        </w:tc>
        <w:tc>
          <w:tcPr>
            <w:tcW w:w="732" w:type="dxa"/>
          </w:tcPr>
          <w:p w14:paraId="6BC47C05"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6BD6A9B3"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253928CC"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1CDEDBD3"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2CA3EC98"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27B84CE0" w14:textId="77777777" w:rsidR="00397933" w:rsidRPr="001700CC" w:rsidRDefault="00397933" w:rsidP="00397933">
            <w:pPr>
              <w:contextualSpacing/>
              <w:jc w:val="both"/>
              <w:rPr>
                <w:rFonts w:ascii="Garamond" w:hAnsi="Garamond" w:cs="Garamond"/>
                <w:sz w:val="24"/>
                <w:szCs w:val="24"/>
                <w:lang w:val="en-US" w:bidi="ru-RU"/>
              </w:rPr>
            </w:pPr>
          </w:p>
        </w:tc>
        <w:tc>
          <w:tcPr>
            <w:tcW w:w="1275" w:type="dxa"/>
          </w:tcPr>
          <w:p w14:paraId="6469F60E" w14:textId="77777777" w:rsidR="00397933" w:rsidRPr="001700CC" w:rsidRDefault="00397933" w:rsidP="00397933">
            <w:pPr>
              <w:contextualSpacing/>
              <w:jc w:val="both"/>
              <w:rPr>
                <w:rFonts w:ascii="Garamond" w:hAnsi="Garamond" w:cs="Garamond"/>
                <w:sz w:val="24"/>
                <w:szCs w:val="24"/>
                <w:lang w:val="en-US" w:bidi="ru-RU"/>
              </w:rPr>
            </w:pPr>
          </w:p>
        </w:tc>
        <w:tc>
          <w:tcPr>
            <w:tcW w:w="1044" w:type="dxa"/>
          </w:tcPr>
          <w:p w14:paraId="50115844"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408285A0" w14:textId="77777777" w:rsidTr="00202F88">
        <w:tc>
          <w:tcPr>
            <w:tcW w:w="3445" w:type="dxa"/>
            <w:vAlign w:val="center"/>
          </w:tcPr>
          <w:p w14:paraId="34F3993E" w14:textId="77777777" w:rsidR="00397933" w:rsidRPr="001700CC" w:rsidRDefault="00397933" w:rsidP="00397933">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Grants and other revenue</w:t>
            </w:r>
            <w:r w:rsidR="00FB3AE0">
              <w:rPr>
                <w:rFonts w:ascii="Garamond" w:hAnsi="Garamond" w:cs="Garamond"/>
                <w:sz w:val="24"/>
                <w:szCs w:val="24"/>
                <w:lang w:val="en-US" w:bidi="ru-RU"/>
              </w:rPr>
              <w:t>s</w:t>
            </w:r>
          </w:p>
        </w:tc>
        <w:tc>
          <w:tcPr>
            <w:tcW w:w="732" w:type="dxa"/>
          </w:tcPr>
          <w:p w14:paraId="004AAC1B"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4BB92D59"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1A0D8940"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14571CEB" w14:textId="77777777" w:rsidR="00397933" w:rsidRPr="001700CC" w:rsidRDefault="00397933" w:rsidP="00397933">
            <w:pPr>
              <w:contextualSpacing/>
              <w:jc w:val="both"/>
              <w:rPr>
                <w:rFonts w:ascii="Garamond" w:hAnsi="Garamond" w:cs="Garamond"/>
                <w:sz w:val="24"/>
                <w:szCs w:val="24"/>
                <w:lang w:val="en-US" w:bidi="ru-RU"/>
              </w:rPr>
            </w:pPr>
          </w:p>
        </w:tc>
        <w:tc>
          <w:tcPr>
            <w:tcW w:w="709" w:type="dxa"/>
          </w:tcPr>
          <w:p w14:paraId="6CFD0D7A" w14:textId="77777777" w:rsidR="00397933" w:rsidRPr="001700CC" w:rsidRDefault="00397933" w:rsidP="00397933">
            <w:pPr>
              <w:contextualSpacing/>
              <w:jc w:val="both"/>
              <w:rPr>
                <w:rFonts w:ascii="Garamond" w:hAnsi="Garamond" w:cs="Garamond"/>
                <w:sz w:val="24"/>
                <w:szCs w:val="24"/>
                <w:lang w:val="en-US" w:bidi="ru-RU"/>
              </w:rPr>
            </w:pPr>
          </w:p>
        </w:tc>
        <w:tc>
          <w:tcPr>
            <w:tcW w:w="567" w:type="dxa"/>
          </w:tcPr>
          <w:p w14:paraId="42FB04AB" w14:textId="77777777" w:rsidR="00397933" w:rsidRPr="001700CC" w:rsidRDefault="00397933" w:rsidP="00397933">
            <w:pPr>
              <w:contextualSpacing/>
              <w:jc w:val="both"/>
              <w:rPr>
                <w:rFonts w:ascii="Garamond" w:hAnsi="Garamond" w:cs="Garamond"/>
                <w:sz w:val="24"/>
                <w:szCs w:val="24"/>
                <w:lang w:val="en-US" w:bidi="ru-RU"/>
              </w:rPr>
            </w:pPr>
          </w:p>
        </w:tc>
        <w:tc>
          <w:tcPr>
            <w:tcW w:w="1275" w:type="dxa"/>
          </w:tcPr>
          <w:p w14:paraId="32EEFDFF" w14:textId="77777777" w:rsidR="00397933" w:rsidRPr="001700CC" w:rsidRDefault="00397933" w:rsidP="00397933">
            <w:pPr>
              <w:contextualSpacing/>
              <w:jc w:val="both"/>
              <w:rPr>
                <w:rFonts w:ascii="Garamond" w:hAnsi="Garamond" w:cs="Garamond"/>
                <w:sz w:val="24"/>
                <w:szCs w:val="24"/>
                <w:lang w:val="en-US" w:bidi="ru-RU"/>
              </w:rPr>
            </w:pPr>
          </w:p>
        </w:tc>
        <w:tc>
          <w:tcPr>
            <w:tcW w:w="1044" w:type="dxa"/>
          </w:tcPr>
          <w:p w14:paraId="1592EC5E" w14:textId="77777777" w:rsidR="00397933" w:rsidRPr="001700CC" w:rsidRDefault="00397933" w:rsidP="00397933">
            <w:pPr>
              <w:contextualSpacing/>
              <w:jc w:val="both"/>
              <w:rPr>
                <w:rFonts w:ascii="Garamond" w:hAnsi="Garamond" w:cs="Garamond"/>
                <w:sz w:val="24"/>
                <w:szCs w:val="24"/>
                <w:lang w:val="en-US" w:bidi="ru-RU"/>
              </w:rPr>
            </w:pPr>
          </w:p>
        </w:tc>
      </w:tr>
    </w:tbl>
    <w:p w14:paraId="6A4D1CCB"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p>
    <w:p w14:paraId="2B569780" w14:textId="77777777" w:rsidR="00397933" w:rsidRPr="001700CC" w:rsidRDefault="00397933" w:rsidP="00397933">
      <w:pPr>
        <w:spacing w:line="312" w:lineRule="auto"/>
        <w:ind w:firstLine="357"/>
        <w:contextualSpacing/>
        <w:jc w:val="both"/>
        <w:rPr>
          <w:rFonts w:cs="Garamond"/>
          <w:b/>
          <w:color w:val="auto"/>
          <w:sz w:val="28"/>
          <w:szCs w:val="28"/>
          <w:lang w:val="en-US" w:eastAsia="ru-RU" w:bidi="ru-RU"/>
        </w:rPr>
      </w:pPr>
      <w:r w:rsidRPr="001700CC">
        <w:rPr>
          <w:rFonts w:cs="Garamond"/>
          <w:b/>
          <w:color w:val="auto"/>
          <w:sz w:val="28"/>
          <w:szCs w:val="28"/>
          <w:lang w:val="en-US" w:eastAsia="ru-RU" w:bidi="ru-RU"/>
        </w:rPr>
        <w:t xml:space="preserve">Assignment </w:t>
      </w:r>
      <w:r w:rsidR="008C107D">
        <w:rPr>
          <w:rFonts w:cs="Garamond"/>
          <w:b/>
          <w:color w:val="auto"/>
          <w:sz w:val="28"/>
          <w:szCs w:val="28"/>
          <w:lang w:val="en-US" w:eastAsia="ru-RU" w:bidi="ru-RU"/>
        </w:rPr>
        <w:t>4</w:t>
      </w:r>
      <w:r w:rsidRPr="001700CC">
        <w:rPr>
          <w:rFonts w:cs="Garamond"/>
          <w:b/>
          <w:color w:val="auto"/>
          <w:sz w:val="28"/>
          <w:szCs w:val="28"/>
          <w:lang w:val="en-US" w:eastAsia="ru-RU" w:bidi="ru-RU"/>
        </w:rPr>
        <w:t>.3. Central government expenditure</w:t>
      </w:r>
    </w:p>
    <w:p w14:paraId="33FED7BA" w14:textId="77777777" w:rsidR="00202F88" w:rsidRDefault="00397933" w:rsidP="00397933">
      <w:pPr>
        <w:spacing w:line="312" w:lineRule="auto"/>
        <w:ind w:firstLine="357"/>
        <w:contextualSpacing/>
        <w:jc w:val="both"/>
        <w:rPr>
          <w:rFonts w:cs="Garamond"/>
          <w:color w:val="auto"/>
          <w:sz w:val="28"/>
          <w:szCs w:val="28"/>
          <w:lang w:val="en-US" w:eastAsia="ru-RU" w:bidi="ru-RU"/>
        </w:rPr>
      </w:pPr>
      <w:r w:rsidRPr="001700CC">
        <w:rPr>
          <w:rFonts w:cs="Garamond"/>
          <w:b/>
          <w:color w:val="auto"/>
          <w:sz w:val="28"/>
          <w:szCs w:val="28"/>
          <w:lang w:val="en-US" w:eastAsia="ru-RU" w:bidi="ru-RU"/>
        </w:rPr>
        <w:t>Required:</w:t>
      </w:r>
      <w:r w:rsidRPr="001700CC">
        <w:rPr>
          <w:rFonts w:cs="Garamond"/>
          <w:color w:val="auto"/>
          <w:sz w:val="28"/>
          <w:szCs w:val="28"/>
          <w:lang w:val="en-US" w:eastAsia="ru-RU" w:bidi="ru-RU"/>
        </w:rPr>
        <w:t xml:space="preserve"> Investigate the dynamics and the structure of central government (state budget) expenditure in the selected country and identify the key areas of expenditure. </w:t>
      </w:r>
    </w:p>
    <w:p w14:paraId="52A6C652" w14:textId="77777777" w:rsidR="00397933" w:rsidRPr="001700CC" w:rsidRDefault="00397933" w:rsidP="00397933">
      <w:pPr>
        <w:spacing w:line="312" w:lineRule="auto"/>
        <w:ind w:firstLine="357"/>
        <w:contextualSpacing/>
        <w:jc w:val="both"/>
        <w:rPr>
          <w:rFonts w:cs="Garamond"/>
          <w:color w:val="auto"/>
          <w:sz w:val="28"/>
          <w:szCs w:val="28"/>
          <w:lang w:val="en-US" w:eastAsia="ru-RU" w:bidi="ru-RU"/>
        </w:rPr>
      </w:pPr>
      <w:r w:rsidRPr="001700CC">
        <w:rPr>
          <w:rFonts w:cs="Garamond"/>
          <w:color w:val="auto"/>
          <w:sz w:val="28"/>
          <w:szCs w:val="28"/>
          <w:lang w:val="en-US" w:eastAsia="ru-RU" w:bidi="ru-RU"/>
        </w:rPr>
        <w:t xml:space="preserve">Calculate the ratio of expenses to GDP and make a conclusion about the level of </w:t>
      </w:r>
      <w:r w:rsidR="00FB3AE0">
        <w:rPr>
          <w:rFonts w:cs="Garamond"/>
          <w:color w:val="auto"/>
          <w:sz w:val="28"/>
          <w:szCs w:val="28"/>
          <w:lang w:val="en-US" w:eastAsia="ru-RU" w:bidi="ru-RU"/>
        </w:rPr>
        <w:t xml:space="preserve">the </w:t>
      </w:r>
      <w:r w:rsidRPr="001700CC">
        <w:rPr>
          <w:rFonts w:cs="Garamond"/>
          <w:color w:val="auto"/>
          <w:sz w:val="28"/>
          <w:szCs w:val="28"/>
          <w:lang w:val="en-US" w:eastAsia="ru-RU" w:bidi="ru-RU"/>
        </w:rPr>
        <w:t xml:space="preserve">state intervention in the economy through </w:t>
      </w:r>
      <w:r w:rsidR="00FB3AE0">
        <w:rPr>
          <w:rFonts w:cs="Garamond"/>
          <w:color w:val="auto"/>
          <w:sz w:val="28"/>
          <w:szCs w:val="28"/>
          <w:lang w:val="en-US" w:eastAsia="ru-RU" w:bidi="ru-RU"/>
        </w:rPr>
        <w:t xml:space="preserve">the </w:t>
      </w:r>
      <w:r w:rsidRPr="001700CC">
        <w:rPr>
          <w:rFonts w:cs="Garamond"/>
          <w:color w:val="auto"/>
          <w:sz w:val="28"/>
          <w:szCs w:val="28"/>
          <w:lang w:val="en-US" w:eastAsia="ru-RU" w:bidi="ru-RU"/>
        </w:rPr>
        <w:t xml:space="preserve">government spending. </w:t>
      </w:r>
    </w:p>
    <w:p w14:paraId="63132A21"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1700CC">
        <w:rPr>
          <w:rFonts w:cs="Garamond"/>
          <w:color w:val="auto"/>
          <w:sz w:val="28"/>
          <w:szCs w:val="28"/>
          <w:lang w:val="en-US" w:eastAsia="ru-RU" w:bidi="ru-RU"/>
        </w:rPr>
        <w:t xml:space="preserve">Present the results </w:t>
      </w:r>
      <w:r w:rsidR="001700CC" w:rsidRPr="001700CC">
        <w:rPr>
          <w:rFonts w:cs="Garamond"/>
          <w:color w:val="auto"/>
          <w:sz w:val="28"/>
          <w:szCs w:val="28"/>
          <w:lang w:val="en-US" w:eastAsia="ru-RU" w:bidi="ru-RU"/>
        </w:rPr>
        <w:t>in the box below</w:t>
      </w:r>
      <w:r w:rsidRPr="001700CC">
        <w:rPr>
          <w:rFonts w:cs="Garamond"/>
          <w:color w:val="auto"/>
          <w:sz w:val="28"/>
          <w:szCs w:val="28"/>
          <w:lang w:val="en-US" w:eastAsia="ru-RU" w:bidi="ru-RU"/>
        </w:rPr>
        <w:t>.</w:t>
      </w:r>
    </w:p>
    <w:p w14:paraId="714414DE" w14:textId="77777777" w:rsidR="001700CC" w:rsidRDefault="001700CC" w:rsidP="00397933">
      <w:pPr>
        <w:spacing w:line="312" w:lineRule="auto"/>
        <w:ind w:firstLine="357"/>
        <w:contextualSpacing/>
        <w:jc w:val="center"/>
        <w:rPr>
          <w:rFonts w:cs="Garamond"/>
          <w:color w:val="auto"/>
          <w:sz w:val="28"/>
          <w:szCs w:val="28"/>
          <w:lang w:val="en-US" w:eastAsia="ru-RU" w:bidi="ru-RU"/>
        </w:rPr>
      </w:pPr>
    </w:p>
    <w:p w14:paraId="5BE18388" w14:textId="77777777" w:rsidR="00397933" w:rsidRPr="007F249B" w:rsidRDefault="00397933" w:rsidP="007F249B">
      <w:pPr>
        <w:spacing w:line="312" w:lineRule="auto"/>
        <w:contextualSpacing/>
        <w:jc w:val="center"/>
        <w:rPr>
          <w:rFonts w:cs="Garamond"/>
          <w:b/>
          <w:color w:val="auto"/>
          <w:sz w:val="28"/>
          <w:szCs w:val="28"/>
          <w:lang w:val="en-US" w:eastAsia="ru-RU" w:bidi="ru-RU"/>
        </w:rPr>
      </w:pPr>
      <w:r w:rsidRPr="007F249B">
        <w:rPr>
          <w:rFonts w:cs="Garamond"/>
          <w:b/>
          <w:color w:val="auto"/>
          <w:sz w:val="28"/>
          <w:szCs w:val="28"/>
          <w:lang w:val="en-US" w:eastAsia="ru-RU" w:bidi="ru-RU"/>
        </w:rPr>
        <w:t>Dynamics and structure of central government expenditure in (selected country)</w:t>
      </w:r>
    </w:p>
    <w:tbl>
      <w:tblPr>
        <w:tblStyle w:val="90"/>
        <w:tblW w:w="0" w:type="auto"/>
        <w:tblLayout w:type="fixed"/>
        <w:tblCellMar>
          <w:top w:w="28" w:type="dxa"/>
          <w:bottom w:w="28" w:type="dxa"/>
        </w:tblCellMar>
        <w:tblLook w:val="04A0" w:firstRow="1" w:lastRow="0" w:firstColumn="1" w:lastColumn="0" w:noHBand="0" w:noVBand="1"/>
      </w:tblPr>
      <w:tblGrid>
        <w:gridCol w:w="3610"/>
        <w:gridCol w:w="709"/>
        <w:gridCol w:w="567"/>
        <w:gridCol w:w="709"/>
        <w:gridCol w:w="567"/>
        <w:gridCol w:w="708"/>
        <w:gridCol w:w="567"/>
        <w:gridCol w:w="1134"/>
        <w:gridCol w:w="1044"/>
      </w:tblGrid>
      <w:tr w:rsidR="00397933" w:rsidRPr="001700CC" w14:paraId="128B3A93" w14:textId="77777777" w:rsidTr="00202F88">
        <w:tc>
          <w:tcPr>
            <w:tcW w:w="3610" w:type="dxa"/>
            <w:vMerge w:val="restart"/>
            <w:shd w:val="clear" w:color="auto" w:fill="D9D9D9" w:themeFill="background1" w:themeFillShade="D9"/>
            <w:vAlign w:val="center"/>
          </w:tcPr>
          <w:p w14:paraId="757FCE0C" w14:textId="77777777" w:rsidR="00397933" w:rsidRPr="001700CC" w:rsidRDefault="00397933" w:rsidP="001700CC">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Indicator</w:t>
            </w:r>
          </w:p>
        </w:tc>
        <w:tc>
          <w:tcPr>
            <w:tcW w:w="3827" w:type="dxa"/>
            <w:gridSpan w:val="6"/>
            <w:shd w:val="clear" w:color="auto" w:fill="D9D9D9" w:themeFill="background1" w:themeFillShade="D9"/>
            <w:vAlign w:val="center"/>
          </w:tcPr>
          <w:p w14:paraId="431093CD" w14:textId="77777777" w:rsidR="00397933" w:rsidRPr="001700CC" w:rsidRDefault="00397933" w:rsidP="001700CC">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Year </w:t>
            </w:r>
            <w:r w:rsidRPr="001700CC">
              <w:rPr>
                <w:rFonts w:ascii="Garamond" w:hAnsi="Garamond" w:cs="Garamond"/>
                <w:b/>
                <w:i/>
                <w:sz w:val="24"/>
                <w:szCs w:val="24"/>
                <w:lang w:val="en-US" w:bidi="ru-RU"/>
              </w:rPr>
              <w:t>(at least three in a row)</w:t>
            </w:r>
          </w:p>
        </w:tc>
        <w:tc>
          <w:tcPr>
            <w:tcW w:w="1134" w:type="dxa"/>
            <w:vMerge w:val="restart"/>
            <w:shd w:val="clear" w:color="auto" w:fill="D9D9D9" w:themeFill="background1" w:themeFillShade="D9"/>
            <w:vAlign w:val="center"/>
          </w:tcPr>
          <w:p w14:paraId="6E02F976" w14:textId="77777777" w:rsidR="00397933" w:rsidRPr="001700CC" w:rsidRDefault="00397933" w:rsidP="001700CC">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Absolute change</w:t>
            </w:r>
          </w:p>
        </w:tc>
        <w:tc>
          <w:tcPr>
            <w:tcW w:w="1044" w:type="dxa"/>
            <w:vMerge w:val="restart"/>
            <w:shd w:val="clear" w:color="auto" w:fill="D9D9D9" w:themeFill="background1" w:themeFillShade="D9"/>
            <w:vAlign w:val="center"/>
          </w:tcPr>
          <w:p w14:paraId="0329037B" w14:textId="77777777" w:rsidR="00397933" w:rsidRPr="001700CC" w:rsidRDefault="00397933" w:rsidP="001700CC">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Growth </w:t>
            </w:r>
          </w:p>
          <w:p w14:paraId="57773077" w14:textId="77777777" w:rsidR="00397933" w:rsidRPr="001700CC" w:rsidRDefault="00397933" w:rsidP="001700CC">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rate, %</w:t>
            </w:r>
          </w:p>
        </w:tc>
      </w:tr>
      <w:tr w:rsidR="00397933" w:rsidRPr="001700CC" w14:paraId="62CFCC54" w14:textId="77777777" w:rsidTr="00202F88">
        <w:tc>
          <w:tcPr>
            <w:tcW w:w="3610" w:type="dxa"/>
            <w:vMerge/>
            <w:vAlign w:val="center"/>
          </w:tcPr>
          <w:p w14:paraId="0252CEC1" w14:textId="77777777" w:rsidR="00397933" w:rsidRPr="001700CC" w:rsidRDefault="00397933" w:rsidP="001700CC">
            <w:pPr>
              <w:contextualSpacing/>
              <w:jc w:val="center"/>
              <w:rPr>
                <w:rFonts w:ascii="Garamond" w:hAnsi="Garamond" w:cs="Garamond"/>
                <w:sz w:val="24"/>
                <w:szCs w:val="24"/>
                <w:lang w:val="en-US" w:bidi="ru-RU"/>
              </w:rPr>
            </w:pPr>
          </w:p>
        </w:tc>
        <w:tc>
          <w:tcPr>
            <w:tcW w:w="1276" w:type="dxa"/>
            <w:gridSpan w:val="2"/>
            <w:shd w:val="clear" w:color="auto" w:fill="D9D9D9" w:themeFill="background1" w:themeFillShade="D9"/>
            <w:vAlign w:val="center"/>
          </w:tcPr>
          <w:p w14:paraId="3DD2822D" w14:textId="77777777" w:rsidR="00397933" w:rsidRPr="001700CC" w:rsidRDefault="00397933" w:rsidP="001700CC">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1276" w:type="dxa"/>
            <w:gridSpan w:val="2"/>
            <w:shd w:val="clear" w:color="auto" w:fill="D9D9D9" w:themeFill="background1" w:themeFillShade="D9"/>
            <w:vAlign w:val="center"/>
          </w:tcPr>
          <w:p w14:paraId="4FD8DDCD" w14:textId="77777777" w:rsidR="00397933" w:rsidRPr="001700CC" w:rsidRDefault="00397933" w:rsidP="001700CC">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1275" w:type="dxa"/>
            <w:gridSpan w:val="2"/>
            <w:shd w:val="clear" w:color="auto" w:fill="D9D9D9" w:themeFill="background1" w:themeFillShade="D9"/>
            <w:vAlign w:val="center"/>
          </w:tcPr>
          <w:p w14:paraId="4DC1F011" w14:textId="77777777" w:rsidR="00397933" w:rsidRPr="001700CC" w:rsidRDefault="00397933" w:rsidP="001700CC">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1134" w:type="dxa"/>
            <w:vMerge/>
            <w:vAlign w:val="center"/>
          </w:tcPr>
          <w:p w14:paraId="242399EA" w14:textId="77777777" w:rsidR="00397933" w:rsidRPr="001700CC" w:rsidRDefault="00397933" w:rsidP="001700CC">
            <w:pPr>
              <w:contextualSpacing/>
              <w:jc w:val="center"/>
              <w:rPr>
                <w:rFonts w:ascii="Garamond" w:hAnsi="Garamond" w:cs="Garamond"/>
                <w:sz w:val="24"/>
                <w:szCs w:val="24"/>
                <w:lang w:val="en-US" w:bidi="ru-RU"/>
              </w:rPr>
            </w:pPr>
          </w:p>
        </w:tc>
        <w:tc>
          <w:tcPr>
            <w:tcW w:w="1044" w:type="dxa"/>
            <w:vMerge/>
            <w:vAlign w:val="center"/>
          </w:tcPr>
          <w:p w14:paraId="04D46267" w14:textId="77777777" w:rsidR="00397933" w:rsidRPr="001700CC" w:rsidRDefault="00397933" w:rsidP="001700CC">
            <w:pPr>
              <w:contextualSpacing/>
              <w:jc w:val="center"/>
              <w:rPr>
                <w:rFonts w:ascii="Garamond" w:hAnsi="Garamond" w:cs="Garamond"/>
                <w:sz w:val="24"/>
                <w:szCs w:val="24"/>
                <w:lang w:val="en-US" w:bidi="ru-RU"/>
              </w:rPr>
            </w:pPr>
          </w:p>
        </w:tc>
      </w:tr>
      <w:tr w:rsidR="00397933" w:rsidRPr="001700CC" w14:paraId="16627D5A" w14:textId="77777777" w:rsidTr="00202F88">
        <w:tc>
          <w:tcPr>
            <w:tcW w:w="3610" w:type="dxa"/>
            <w:vAlign w:val="center"/>
          </w:tcPr>
          <w:p w14:paraId="58DE9439" w14:textId="77777777" w:rsidR="00397933" w:rsidRPr="001700CC" w:rsidRDefault="00397933" w:rsidP="001700CC">
            <w:pPr>
              <w:contextualSpacing/>
              <w:rPr>
                <w:rFonts w:ascii="Garamond" w:hAnsi="Garamond" w:cs="Garamond"/>
                <w:sz w:val="24"/>
                <w:szCs w:val="24"/>
                <w:lang w:val="en-US" w:bidi="ru-RU"/>
              </w:rPr>
            </w:pPr>
            <w:r w:rsidRPr="001700CC">
              <w:rPr>
                <w:rFonts w:ascii="Garamond" w:hAnsi="Garamond" w:cs="Garamond"/>
                <w:sz w:val="24"/>
                <w:szCs w:val="24"/>
                <w:lang w:val="en-US" w:bidi="ru-RU"/>
              </w:rPr>
              <w:t>Expense</w:t>
            </w:r>
          </w:p>
        </w:tc>
        <w:tc>
          <w:tcPr>
            <w:tcW w:w="1276" w:type="dxa"/>
            <w:gridSpan w:val="2"/>
          </w:tcPr>
          <w:p w14:paraId="6DE92326" w14:textId="77777777" w:rsidR="00397933" w:rsidRPr="001700CC" w:rsidRDefault="00397933" w:rsidP="001700CC">
            <w:pPr>
              <w:contextualSpacing/>
              <w:jc w:val="both"/>
              <w:rPr>
                <w:rFonts w:ascii="Garamond" w:hAnsi="Garamond" w:cs="Garamond"/>
                <w:sz w:val="24"/>
                <w:szCs w:val="24"/>
                <w:lang w:val="en-US" w:bidi="ru-RU"/>
              </w:rPr>
            </w:pPr>
          </w:p>
        </w:tc>
        <w:tc>
          <w:tcPr>
            <w:tcW w:w="1276" w:type="dxa"/>
            <w:gridSpan w:val="2"/>
          </w:tcPr>
          <w:p w14:paraId="23F65DD8" w14:textId="77777777" w:rsidR="00397933" w:rsidRPr="001700CC" w:rsidRDefault="00397933" w:rsidP="001700CC">
            <w:pPr>
              <w:contextualSpacing/>
              <w:jc w:val="both"/>
              <w:rPr>
                <w:rFonts w:ascii="Garamond" w:hAnsi="Garamond" w:cs="Garamond"/>
                <w:sz w:val="24"/>
                <w:szCs w:val="24"/>
                <w:lang w:val="en-US" w:bidi="ru-RU"/>
              </w:rPr>
            </w:pPr>
          </w:p>
        </w:tc>
        <w:tc>
          <w:tcPr>
            <w:tcW w:w="1275" w:type="dxa"/>
            <w:gridSpan w:val="2"/>
          </w:tcPr>
          <w:p w14:paraId="3D7AF6AB" w14:textId="77777777" w:rsidR="00397933" w:rsidRPr="001700CC" w:rsidRDefault="00397933" w:rsidP="001700CC">
            <w:pPr>
              <w:contextualSpacing/>
              <w:jc w:val="both"/>
              <w:rPr>
                <w:rFonts w:ascii="Garamond" w:hAnsi="Garamond" w:cs="Garamond"/>
                <w:sz w:val="24"/>
                <w:szCs w:val="24"/>
                <w:lang w:val="en-US" w:bidi="ru-RU"/>
              </w:rPr>
            </w:pPr>
          </w:p>
        </w:tc>
        <w:tc>
          <w:tcPr>
            <w:tcW w:w="1134" w:type="dxa"/>
          </w:tcPr>
          <w:p w14:paraId="3155D7BD" w14:textId="77777777" w:rsidR="00397933" w:rsidRPr="001700CC" w:rsidRDefault="00397933" w:rsidP="001700CC">
            <w:pPr>
              <w:contextualSpacing/>
              <w:jc w:val="both"/>
              <w:rPr>
                <w:rFonts w:ascii="Garamond" w:hAnsi="Garamond" w:cs="Garamond"/>
                <w:sz w:val="24"/>
                <w:szCs w:val="24"/>
                <w:lang w:val="en-US" w:bidi="ru-RU"/>
              </w:rPr>
            </w:pPr>
          </w:p>
        </w:tc>
        <w:tc>
          <w:tcPr>
            <w:tcW w:w="1044" w:type="dxa"/>
          </w:tcPr>
          <w:p w14:paraId="45422A6D" w14:textId="77777777" w:rsidR="00397933" w:rsidRPr="001700CC" w:rsidRDefault="00397933" w:rsidP="001700CC">
            <w:pPr>
              <w:contextualSpacing/>
              <w:jc w:val="both"/>
              <w:rPr>
                <w:rFonts w:ascii="Garamond" w:hAnsi="Garamond" w:cs="Garamond"/>
                <w:sz w:val="24"/>
                <w:szCs w:val="24"/>
                <w:lang w:val="en-US" w:bidi="ru-RU"/>
              </w:rPr>
            </w:pPr>
          </w:p>
        </w:tc>
      </w:tr>
      <w:tr w:rsidR="00397933" w:rsidRPr="001700CC" w14:paraId="57C1725E" w14:textId="77777777" w:rsidTr="00202F88">
        <w:tc>
          <w:tcPr>
            <w:tcW w:w="3610" w:type="dxa"/>
            <w:vAlign w:val="center"/>
          </w:tcPr>
          <w:p w14:paraId="5B6FB2CC" w14:textId="77777777" w:rsidR="00397933" w:rsidRPr="001700CC" w:rsidRDefault="00397933" w:rsidP="001700CC">
            <w:pPr>
              <w:contextualSpacing/>
              <w:rPr>
                <w:rFonts w:ascii="Garamond" w:hAnsi="Garamond" w:cs="Garamond"/>
                <w:sz w:val="24"/>
                <w:szCs w:val="24"/>
                <w:lang w:val="en-US" w:bidi="ru-RU"/>
              </w:rPr>
            </w:pPr>
            <w:r w:rsidRPr="001700CC">
              <w:rPr>
                <w:rFonts w:ascii="Garamond" w:hAnsi="Garamond" w:cs="Garamond"/>
                <w:sz w:val="24"/>
                <w:szCs w:val="24"/>
                <w:lang w:val="en-US" w:bidi="ru-RU"/>
              </w:rPr>
              <w:t>Expense, % of GDP</w:t>
            </w:r>
          </w:p>
        </w:tc>
        <w:tc>
          <w:tcPr>
            <w:tcW w:w="1276" w:type="dxa"/>
            <w:gridSpan w:val="2"/>
          </w:tcPr>
          <w:p w14:paraId="672B126D" w14:textId="77777777" w:rsidR="00397933" w:rsidRPr="001700CC" w:rsidRDefault="00397933" w:rsidP="001700CC">
            <w:pPr>
              <w:contextualSpacing/>
              <w:jc w:val="both"/>
              <w:rPr>
                <w:rFonts w:ascii="Garamond" w:hAnsi="Garamond" w:cs="Garamond"/>
                <w:sz w:val="24"/>
                <w:szCs w:val="24"/>
                <w:lang w:val="en-US" w:bidi="ru-RU"/>
              </w:rPr>
            </w:pPr>
          </w:p>
        </w:tc>
        <w:tc>
          <w:tcPr>
            <w:tcW w:w="1276" w:type="dxa"/>
            <w:gridSpan w:val="2"/>
          </w:tcPr>
          <w:p w14:paraId="7A6EC306" w14:textId="77777777" w:rsidR="00397933" w:rsidRPr="001700CC" w:rsidRDefault="00397933" w:rsidP="001700CC">
            <w:pPr>
              <w:contextualSpacing/>
              <w:jc w:val="both"/>
              <w:rPr>
                <w:rFonts w:ascii="Garamond" w:hAnsi="Garamond" w:cs="Garamond"/>
                <w:sz w:val="24"/>
                <w:szCs w:val="24"/>
                <w:lang w:val="en-US" w:bidi="ru-RU"/>
              </w:rPr>
            </w:pPr>
          </w:p>
        </w:tc>
        <w:tc>
          <w:tcPr>
            <w:tcW w:w="1275" w:type="dxa"/>
            <w:gridSpan w:val="2"/>
          </w:tcPr>
          <w:p w14:paraId="063CBECF" w14:textId="77777777" w:rsidR="00397933" w:rsidRPr="001700CC" w:rsidRDefault="00397933" w:rsidP="001700CC">
            <w:pPr>
              <w:contextualSpacing/>
              <w:jc w:val="both"/>
              <w:rPr>
                <w:rFonts w:ascii="Garamond" w:hAnsi="Garamond" w:cs="Garamond"/>
                <w:sz w:val="24"/>
                <w:szCs w:val="24"/>
                <w:lang w:val="en-US" w:bidi="ru-RU"/>
              </w:rPr>
            </w:pPr>
          </w:p>
        </w:tc>
        <w:tc>
          <w:tcPr>
            <w:tcW w:w="1134" w:type="dxa"/>
          </w:tcPr>
          <w:p w14:paraId="6370C7D0" w14:textId="77777777" w:rsidR="00397933" w:rsidRPr="001700CC" w:rsidRDefault="00397933" w:rsidP="001700CC">
            <w:pPr>
              <w:contextualSpacing/>
              <w:jc w:val="both"/>
              <w:rPr>
                <w:rFonts w:ascii="Garamond" w:hAnsi="Garamond" w:cs="Garamond"/>
                <w:sz w:val="24"/>
                <w:szCs w:val="24"/>
                <w:lang w:val="en-US" w:bidi="ru-RU"/>
              </w:rPr>
            </w:pPr>
          </w:p>
        </w:tc>
        <w:tc>
          <w:tcPr>
            <w:tcW w:w="1044" w:type="dxa"/>
          </w:tcPr>
          <w:p w14:paraId="78AE74BD" w14:textId="77777777" w:rsidR="00397933" w:rsidRPr="001700CC" w:rsidRDefault="00397933" w:rsidP="001700CC">
            <w:pPr>
              <w:contextualSpacing/>
              <w:jc w:val="both"/>
              <w:rPr>
                <w:rFonts w:ascii="Garamond" w:hAnsi="Garamond" w:cs="Garamond"/>
                <w:sz w:val="24"/>
                <w:szCs w:val="24"/>
                <w:lang w:val="en-US" w:bidi="ru-RU"/>
              </w:rPr>
            </w:pPr>
          </w:p>
        </w:tc>
      </w:tr>
      <w:tr w:rsidR="00397933" w:rsidRPr="001700CC" w14:paraId="09C4E244" w14:textId="77777777" w:rsidTr="00202F88">
        <w:tc>
          <w:tcPr>
            <w:tcW w:w="3610" w:type="dxa"/>
            <w:vAlign w:val="center"/>
          </w:tcPr>
          <w:p w14:paraId="334D55CB" w14:textId="77777777" w:rsidR="00397933" w:rsidRPr="001700CC" w:rsidRDefault="00397933" w:rsidP="001700CC">
            <w:pPr>
              <w:contextualSpacing/>
              <w:rPr>
                <w:rFonts w:ascii="Garamond" w:hAnsi="Garamond" w:cs="Garamond"/>
                <w:sz w:val="24"/>
                <w:szCs w:val="24"/>
                <w:lang w:val="en-US" w:bidi="ru-RU"/>
              </w:rPr>
            </w:pPr>
            <w:r w:rsidRPr="001700CC">
              <w:rPr>
                <w:rFonts w:ascii="Garamond" w:hAnsi="Garamond" w:cs="Garamond"/>
                <w:sz w:val="24"/>
                <w:szCs w:val="24"/>
                <w:lang w:val="en-US" w:bidi="ru-RU"/>
              </w:rPr>
              <w:t>Structure of expenses</w:t>
            </w:r>
          </w:p>
        </w:tc>
        <w:tc>
          <w:tcPr>
            <w:tcW w:w="709" w:type="dxa"/>
            <w:vAlign w:val="center"/>
          </w:tcPr>
          <w:p w14:paraId="38E117D3" w14:textId="77777777" w:rsidR="00397933" w:rsidRPr="001700CC" w:rsidRDefault="00397933" w:rsidP="001700CC">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r w:rsidR="00FB3AE0">
              <w:rPr>
                <w:rFonts w:ascii="Garamond" w:hAnsi="Garamond" w:cs="Garamond"/>
                <w:sz w:val="24"/>
                <w:szCs w:val="24"/>
                <w:lang w:val="en-US" w:bidi="ru-RU"/>
              </w:rPr>
              <w:t>US</w:t>
            </w:r>
          </w:p>
        </w:tc>
        <w:tc>
          <w:tcPr>
            <w:tcW w:w="567" w:type="dxa"/>
            <w:vAlign w:val="center"/>
          </w:tcPr>
          <w:p w14:paraId="2E5BD3A5" w14:textId="77777777" w:rsidR="00397933" w:rsidRPr="001700CC" w:rsidRDefault="00397933" w:rsidP="001700CC">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p>
        </w:tc>
        <w:tc>
          <w:tcPr>
            <w:tcW w:w="709" w:type="dxa"/>
            <w:vAlign w:val="center"/>
          </w:tcPr>
          <w:p w14:paraId="13D31A31" w14:textId="77777777" w:rsidR="00397933" w:rsidRPr="001700CC" w:rsidRDefault="00397933" w:rsidP="00FB3AE0">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r w:rsidR="00FB3AE0">
              <w:rPr>
                <w:rFonts w:ascii="Garamond" w:hAnsi="Garamond" w:cs="Garamond"/>
                <w:sz w:val="24"/>
                <w:szCs w:val="24"/>
                <w:lang w:val="en-US" w:bidi="ru-RU"/>
              </w:rPr>
              <w:t>US</w:t>
            </w:r>
          </w:p>
        </w:tc>
        <w:tc>
          <w:tcPr>
            <w:tcW w:w="567" w:type="dxa"/>
            <w:vAlign w:val="center"/>
          </w:tcPr>
          <w:p w14:paraId="24A07496" w14:textId="77777777" w:rsidR="00397933" w:rsidRPr="001700CC" w:rsidRDefault="00397933" w:rsidP="001700CC">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p>
        </w:tc>
        <w:tc>
          <w:tcPr>
            <w:tcW w:w="708" w:type="dxa"/>
            <w:vAlign w:val="center"/>
          </w:tcPr>
          <w:p w14:paraId="3AA56D78" w14:textId="77777777" w:rsidR="00397933" w:rsidRPr="001700CC" w:rsidRDefault="00397933" w:rsidP="001700CC">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r w:rsidR="00FB3AE0">
              <w:rPr>
                <w:rFonts w:ascii="Garamond" w:hAnsi="Garamond" w:cs="Garamond"/>
                <w:sz w:val="24"/>
                <w:szCs w:val="24"/>
                <w:lang w:val="en-US" w:bidi="ru-RU"/>
              </w:rPr>
              <w:t>US</w:t>
            </w:r>
          </w:p>
        </w:tc>
        <w:tc>
          <w:tcPr>
            <w:tcW w:w="567" w:type="dxa"/>
            <w:vAlign w:val="center"/>
          </w:tcPr>
          <w:p w14:paraId="7765594D" w14:textId="77777777" w:rsidR="00397933" w:rsidRPr="001700CC" w:rsidRDefault="00397933" w:rsidP="001700CC">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w:t>
            </w:r>
          </w:p>
        </w:tc>
        <w:tc>
          <w:tcPr>
            <w:tcW w:w="1134" w:type="dxa"/>
            <w:vAlign w:val="center"/>
          </w:tcPr>
          <w:p w14:paraId="061FCE78" w14:textId="77777777" w:rsidR="00397933" w:rsidRPr="001700CC" w:rsidRDefault="00397933" w:rsidP="001700CC">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Absolute change</w:t>
            </w:r>
          </w:p>
        </w:tc>
        <w:tc>
          <w:tcPr>
            <w:tcW w:w="1044" w:type="dxa"/>
            <w:vAlign w:val="center"/>
          </w:tcPr>
          <w:p w14:paraId="0D408FDD" w14:textId="77777777" w:rsidR="00397933" w:rsidRPr="001700CC" w:rsidRDefault="00397933" w:rsidP="001700CC">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 xml:space="preserve">Growth </w:t>
            </w:r>
          </w:p>
          <w:p w14:paraId="00DBC298" w14:textId="77777777" w:rsidR="00397933" w:rsidRPr="001700CC" w:rsidRDefault="00397933" w:rsidP="001700CC">
            <w:pPr>
              <w:contextualSpacing/>
              <w:jc w:val="center"/>
              <w:rPr>
                <w:rFonts w:ascii="Garamond" w:hAnsi="Garamond" w:cs="Garamond"/>
                <w:sz w:val="24"/>
                <w:szCs w:val="24"/>
                <w:lang w:val="en-US" w:bidi="ru-RU"/>
              </w:rPr>
            </w:pPr>
            <w:r w:rsidRPr="001700CC">
              <w:rPr>
                <w:rFonts w:ascii="Garamond" w:hAnsi="Garamond" w:cs="Garamond"/>
                <w:sz w:val="24"/>
                <w:szCs w:val="24"/>
                <w:lang w:val="en-US" w:bidi="ru-RU"/>
              </w:rPr>
              <w:t>rate, %</w:t>
            </w:r>
          </w:p>
        </w:tc>
      </w:tr>
      <w:tr w:rsidR="00397933" w:rsidRPr="001700CC" w14:paraId="339106F7" w14:textId="77777777" w:rsidTr="00202F88">
        <w:tc>
          <w:tcPr>
            <w:tcW w:w="3610" w:type="dxa"/>
            <w:vAlign w:val="center"/>
          </w:tcPr>
          <w:p w14:paraId="61290226" w14:textId="77777777" w:rsidR="00397933" w:rsidRPr="001700CC" w:rsidRDefault="00397933" w:rsidP="001700CC">
            <w:pPr>
              <w:ind w:left="284"/>
              <w:rPr>
                <w:rFonts w:ascii="Garamond" w:hAnsi="Garamond" w:cs="Garamond"/>
                <w:sz w:val="24"/>
                <w:szCs w:val="24"/>
                <w:lang w:val="en-US" w:bidi="ru-RU"/>
              </w:rPr>
            </w:pPr>
            <w:r w:rsidRPr="001700CC">
              <w:rPr>
                <w:rFonts w:ascii="Garamond" w:hAnsi="Garamond" w:cs="Garamond"/>
                <w:sz w:val="24"/>
                <w:szCs w:val="24"/>
                <w:lang w:val="en-US" w:bidi="ru-RU"/>
              </w:rPr>
              <w:t>Goods and services</w:t>
            </w:r>
          </w:p>
        </w:tc>
        <w:tc>
          <w:tcPr>
            <w:tcW w:w="709" w:type="dxa"/>
          </w:tcPr>
          <w:p w14:paraId="7D446107"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434B3D62" w14:textId="77777777" w:rsidR="00397933" w:rsidRPr="001700CC" w:rsidRDefault="00397933" w:rsidP="001700CC">
            <w:pPr>
              <w:contextualSpacing/>
              <w:jc w:val="both"/>
              <w:rPr>
                <w:rFonts w:ascii="Garamond" w:hAnsi="Garamond" w:cs="Garamond"/>
                <w:sz w:val="24"/>
                <w:szCs w:val="24"/>
                <w:lang w:val="en-US" w:bidi="ru-RU"/>
              </w:rPr>
            </w:pPr>
          </w:p>
        </w:tc>
        <w:tc>
          <w:tcPr>
            <w:tcW w:w="709" w:type="dxa"/>
          </w:tcPr>
          <w:p w14:paraId="387EAB66"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6E8236E0" w14:textId="77777777" w:rsidR="00397933" w:rsidRPr="001700CC" w:rsidRDefault="00397933" w:rsidP="001700CC">
            <w:pPr>
              <w:contextualSpacing/>
              <w:jc w:val="both"/>
              <w:rPr>
                <w:rFonts w:ascii="Garamond" w:hAnsi="Garamond" w:cs="Garamond"/>
                <w:sz w:val="24"/>
                <w:szCs w:val="24"/>
                <w:lang w:val="en-US" w:bidi="ru-RU"/>
              </w:rPr>
            </w:pPr>
          </w:p>
        </w:tc>
        <w:tc>
          <w:tcPr>
            <w:tcW w:w="708" w:type="dxa"/>
          </w:tcPr>
          <w:p w14:paraId="148032E1"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152C8CD3" w14:textId="77777777" w:rsidR="00397933" w:rsidRPr="001700CC" w:rsidRDefault="00397933" w:rsidP="001700CC">
            <w:pPr>
              <w:contextualSpacing/>
              <w:jc w:val="both"/>
              <w:rPr>
                <w:rFonts w:ascii="Garamond" w:hAnsi="Garamond" w:cs="Garamond"/>
                <w:sz w:val="24"/>
                <w:szCs w:val="24"/>
                <w:lang w:val="en-US" w:bidi="ru-RU"/>
              </w:rPr>
            </w:pPr>
          </w:p>
        </w:tc>
        <w:tc>
          <w:tcPr>
            <w:tcW w:w="1134" w:type="dxa"/>
          </w:tcPr>
          <w:p w14:paraId="69233F22" w14:textId="77777777" w:rsidR="00397933" w:rsidRPr="001700CC" w:rsidRDefault="00397933" w:rsidP="001700CC">
            <w:pPr>
              <w:contextualSpacing/>
              <w:jc w:val="both"/>
              <w:rPr>
                <w:rFonts w:ascii="Garamond" w:hAnsi="Garamond" w:cs="Garamond"/>
                <w:sz w:val="24"/>
                <w:szCs w:val="24"/>
                <w:lang w:val="en-US" w:bidi="ru-RU"/>
              </w:rPr>
            </w:pPr>
          </w:p>
        </w:tc>
        <w:tc>
          <w:tcPr>
            <w:tcW w:w="1044" w:type="dxa"/>
          </w:tcPr>
          <w:p w14:paraId="0839FC4F" w14:textId="77777777" w:rsidR="00397933" w:rsidRPr="001700CC" w:rsidRDefault="00397933" w:rsidP="001700CC">
            <w:pPr>
              <w:contextualSpacing/>
              <w:jc w:val="both"/>
              <w:rPr>
                <w:rFonts w:ascii="Garamond" w:hAnsi="Garamond" w:cs="Garamond"/>
                <w:sz w:val="24"/>
                <w:szCs w:val="24"/>
                <w:lang w:val="en-US" w:bidi="ru-RU"/>
              </w:rPr>
            </w:pPr>
          </w:p>
        </w:tc>
      </w:tr>
      <w:tr w:rsidR="00397933" w:rsidRPr="001700CC" w14:paraId="454E607A" w14:textId="77777777" w:rsidTr="00202F88">
        <w:tc>
          <w:tcPr>
            <w:tcW w:w="3610" w:type="dxa"/>
            <w:vAlign w:val="center"/>
          </w:tcPr>
          <w:p w14:paraId="5DC50845" w14:textId="77777777" w:rsidR="00397933" w:rsidRPr="001700CC" w:rsidRDefault="00397933" w:rsidP="001700CC">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Compensation of employees</w:t>
            </w:r>
          </w:p>
        </w:tc>
        <w:tc>
          <w:tcPr>
            <w:tcW w:w="709" w:type="dxa"/>
          </w:tcPr>
          <w:p w14:paraId="6ADB3766"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76E93950" w14:textId="77777777" w:rsidR="00397933" w:rsidRPr="001700CC" w:rsidRDefault="00397933" w:rsidP="001700CC">
            <w:pPr>
              <w:contextualSpacing/>
              <w:jc w:val="both"/>
              <w:rPr>
                <w:rFonts w:ascii="Garamond" w:hAnsi="Garamond" w:cs="Garamond"/>
                <w:sz w:val="24"/>
                <w:szCs w:val="24"/>
                <w:lang w:val="en-US" w:bidi="ru-RU"/>
              </w:rPr>
            </w:pPr>
          </w:p>
        </w:tc>
        <w:tc>
          <w:tcPr>
            <w:tcW w:w="709" w:type="dxa"/>
          </w:tcPr>
          <w:p w14:paraId="6C48BC9A"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3D785A9A" w14:textId="77777777" w:rsidR="00397933" w:rsidRPr="001700CC" w:rsidRDefault="00397933" w:rsidP="001700CC">
            <w:pPr>
              <w:contextualSpacing/>
              <w:jc w:val="both"/>
              <w:rPr>
                <w:rFonts w:ascii="Garamond" w:hAnsi="Garamond" w:cs="Garamond"/>
                <w:sz w:val="24"/>
                <w:szCs w:val="24"/>
                <w:lang w:val="en-US" w:bidi="ru-RU"/>
              </w:rPr>
            </w:pPr>
          </w:p>
        </w:tc>
        <w:tc>
          <w:tcPr>
            <w:tcW w:w="708" w:type="dxa"/>
          </w:tcPr>
          <w:p w14:paraId="4D38AD1F"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12565CAD" w14:textId="77777777" w:rsidR="00397933" w:rsidRPr="001700CC" w:rsidRDefault="00397933" w:rsidP="001700CC">
            <w:pPr>
              <w:contextualSpacing/>
              <w:jc w:val="both"/>
              <w:rPr>
                <w:rFonts w:ascii="Garamond" w:hAnsi="Garamond" w:cs="Garamond"/>
                <w:sz w:val="24"/>
                <w:szCs w:val="24"/>
                <w:lang w:val="en-US" w:bidi="ru-RU"/>
              </w:rPr>
            </w:pPr>
          </w:p>
        </w:tc>
        <w:tc>
          <w:tcPr>
            <w:tcW w:w="1134" w:type="dxa"/>
          </w:tcPr>
          <w:p w14:paraId="162E073B" w14:textId="77777777" w:rsidR="00397933" w:rsidRPr="001700CC" w:rsidRDefault="00397933" w:rsidP="001700CC">
            <w:pPr>
              <w:contextualSpacing/>
              <w:jc w:val="both"/>
              <w:rPr>
                <w:rFonts w:ascii="Garamond" w:hAnsi="Garamond" w:cs="Garamond"/>
                <w:sz w:val="24"/>
                <w:szCs w:val="24"/>
                <w:lang w:val="en-US" w:bidi="ru-RU"/>
              </w:rPr>
            </w:pPr>
          </w:p>
        </w:tc>
        <w:tc>
          <w:tcPr>
            <w:tcW w:w="1044" w:type="dxa"/>
          </w:tcPr>
          <w:p w14:paraId="7ED8269D" w14:textId="77777777" w:rsidR="00397933" w:rsidRPr="001700CC" w:rsidRDefault="00397933" w:rsidP="001700CC">
            <w:pPr>
              <w:contextualSpacing/>
              <w:jc w:val="both"/>
              <w:rPr>
                <w:rFonts w:ascii="Garamond" w:hAnsi="Garamond" w:cs="Garamond"/>
                <w:sz w:val="24"/>
                <w:szCs w:val="24"/>
                <w:lang w:val="en-US" w:bidi="ru-RU"/>
              </w:rPr>
            </w:pPr>
          </w:p>
        </w:tc>
      </w:tr>
      <w:tr w:rsidR="00397933" w:rsidRPr="001700CC" w14:paraId="76382B9B" w14:textId="77777777" w:rsidTr="00202F88">
        <w:tc>
          <w:tcPr>
            <w:tcW w:w="3610" w:type="dxa"/>
            <w:vAlign w:val="center"/>
          </w:tcPr>
          <w:p w14:paraId="6AD80381" w14:textId="77777777" w:rsidR="00397933" w:rsidRPr="001700CC" w:rsidRDefault="00397933" w:rsidP="001700CC">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Interest payments</w:t>
            </w:r>
          </w:p>
        </w:tc>
        <w:tc>
          <w:tcPr>
            <w:tcW w:w="709" w:type="dxa"/>
          </w:tcPr>
          <w:p w14:paraId="7C0B6E3C"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5D90F618" w14:textId="77777777" w:rsidR="00397933" w:rsidRPr="001700CC" w:rsidRDefault="00397933" w:rsidP="001700CC">
            <w:pPr>
              <w:contextualSpacing/>
              <w:jc w:val="both"/>
              <w:rPr>
                <w:rFonts w:ascii="Garamond" w:hAnsi="Garamond" w:cs="Garamond"/>
                <w:sz w:val="24"/>
                <w:szCs w:val="24"/>
                <w:lang w:val="en-US" w:bidi="ru-RU"/>
              </w:rPr>
            </w:pPr>
          </w:p>
        </w:tc>
        <w:tc>
          <w:tcPr>
            <w:tcW w:w="709" w:type="dxa"/>
          </w:tcPr>
          <w:p w14:paraId="1D3DF221"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6C7E95AE" w14:textId="77777777" w:rsidR="00397933" w:rsidRPr="001700CC" w:rsidRDefault="00397933" w:rsidP="001700CC">
            <w:pPr>
              <w:contextualSpacing/>
              <w:jc w:val="both"/>
              <w:rPr>
                <w:rFonts w:ascii="Garamond" w:hAnsi="Garamond" w:cs="Garamond"/>
                <w:sz w:val="24"/>
                <w:szCs w:val="24"/>
                <w:lang w:val="en-US" w:bidi="ru-RU"/>
              </w:rPr>
            </w:pPr>
          </w:p>
        </w:tc>
        <w:tc>
          <w:tcPr>
            <w:tcW w:w="708" w:type="dxa"/>
          </w:tcPr>
          <w:p w14:paraId="4F412F2B"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12BB614F" w14:textId="77777777" w:rsidR="00397933" w:rsidRPr="001700CC" w:rsidRDefault="00397933" w:rsidP="001700CC">
            <w:pPr>
              <w:contextualSpacing/>
              <w:jc w:val="both"/>
              <w:rPr>
                <w:rFonts w:ascii="Garamond" w:hAnsi="Garamond" w:cs="Garamond"/>
                <w:sz w:val="24"/>
                <w:szCs w:val="24"/>
                <w:lang w:val="en-US" w:bidi="ru-RU"/>
              </w:rPr>
            </w:pPr>
          </w:p>
        </w:tc>
        <w:tc>
          <w:tcPr>
            <w:tcW w:w="1134" w:type="dxa"/>
          </w:tcPr>
          <w:p w14:paraId="3990E1A0" w14:textId="77777777" w:rsidR="00397933" w:rsidRPr="001700CC" w:rsidRDefault="00397933" w:rsidP="001700CC">
            <w:pPr>
              <w:contextualSpacing/>
              <w:jc w:val="both"/>
              <w:rPr>
                <w:rFonts w:ascii="Garamond" w:hAnsi="Garamond" w:cs="Garamond"/>
                <w:sz w:val="24"/>
                <w:szCs w:val="24"/>
                <w:lang w:val="en-US" w:bidi="ru-RU"/>
              </w:rPr>
            </w:pPr>
          </w:p>
        </w:tc>
        <w:tc>
          <w:tcPr>
            <w:tcW w:w="1044" w:type="dxa"/>
          </w:tcPr>
          <w:p w14:paraId="062C8D5F" w14:textId="77777777" w:rsidR="00397933" w:rsidRPr="001700CC" w:rsidRDefault="00397933" w:rsidP="001700CC">
            <w:pPr>
              <w:contextualSpacing/>
              <w:jc w:val="both"/>
              <w:rPr>
                <w:rFonts w:ascii="Garamond" w:hAnsi="Garamond" w:cs="Garamond"/>
                <w:sz w:val="24"/>
                <w:szCs w:val="24"/>
                <w:lang w:val="en-US" w:bidi="ru-RU"/>
              </w:rPr>
            </w:pPr>
          </w:p>
        </w:tc>
      </w:tr>
      <w:tr w:rsidR="00397933" w:rsidRPr="001700CC" w14:paraId="4E31327D" w14:textId="77777777" w:rsidTr="00202F88">
        <w:tc>
          <w:tcPr>
            <w:tcW w:w="3610" w:type="dxa"/>
            <w:vAlign w:val="center"/>
          </w:tcPr>
          <w:p w14:paraId="63EDDF0E" w14:textId="77777777" w:rsidR="00397933" w:rsidRPr="001700CC" w:rsidRDefault="00397933" w:rsidP="001700CC">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Subsidies and other transfers</w:t>
            </w:r>
          </w:p>
        </w:tc>
        <w:tc>
          <w:tcPr>
            <w:tcW w:w="709" w:type="dxa"/>
          </w:tcPr>
          <w:p w14:paraId="3792FEC4"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1D448783" w14:textId="77777777" w:rsidR="00397933" w:rsidRPr="001700CC" w:rsidRDefault="00397933" w:rsidP="001700CC">
            <w:pPr>
              <w:contextualSpacing/>
              <w:jc w:val="both"/>
              <w:rPr>
                <w:rFonts w:ascii="Garamond" w:hAnsi="Garamond" w:cs="Garamond"/>
                <w:sz w:val="24"/>
                <w:szCs w:val="24"/>
                <w:lang w:val="en-US" w:bidi="ru-RU"/>
              </w:rPr>
            </w:pPr>
          </w:p>
        </w:tc>
        <w:tc>
          <w:tcPr>
            <w:tcW w:w="709" w:type="dxa"/>
          </w:tcPr>
          <w:p w14:paraId="690F6C0D"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0FB12929" w14:textId="77777777" w:rsidR="00397933" w:rsidRPr="001700CC" w:rsidRDefault="00397933" w:rsidP="001700CC">
            <w:pPr>
              <w:contextualSpacing/>
              <w:jc w:val="both"/>
              <w:rPr>
                <w:rFonts w:ascii="Garamond" w:hAnsi="Garamond" w:cs="Garamond"/>
                <w:sz w:val="24"/>
                <w:szCs w:val="24"/>
                <w:lang w:val="en-US" w:bidi="ru-RU"/>
              </w:rPr>
            </w:pPr>
          </w:p>
        </w:tc>
        <w:tc>
          <w:tcPr>
            <w:tcW w:w="708" w:type="dxa"/>
          </w:tcPr>
          <w:p w14:paraId="1A84B5BB"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703C845F" w14:textId="77777777" w:rsidR="00397933" w:rsidRPr="001700CC" w:rsidRDefault="00397933" w:rsidP="001700CC">
            <w:pPr>
              <w:contextualSpacing/>
              <w:jc w:val="both"/>
              <w:rPr>
                <w:rFonts w:ascii="Garamond" w:hAnsi="Garamond" w:cs="Garamond"/>
                <w:sz w:val="24"/>
                <w:szCs w:val="24"/>
                <w:lang w:val="en-US" w:bidi="ru-RU"/>
              </w:rPr>
            </w:pPr>
          </w:p>
        </w:tc>
        <w:tc>
          <w:tcPr>
            <w:tcW w:w="1134" w:type="dxa"/>
          </w:tcPr>
          <w:p w14:paraId="5CAF2E9D" w14:textId="77777777" w:rsidR="00397933" w:rsidRPr="001700CC" w:rsidRDefault="00397933" w:rsidP="001700CC">
            <w:pPr>
              <w:contextualSpacing/>
              <w:jc w:val="both"/>
              <w:rPr>
                <w:rFonts w:ascii="Garamond" w:hAnsi="Garamond" w:cs="Garamond"/>
                <w:sz w:val="24"/>
                <w:szCs w:val="24"/>
                <w:lang w:val="en-US" w:bidi="ru-RU"/>
              </w:rPr>
            </w:pPr>
          </w:p>
        </w:tc>
        <w:tc>
          <w:tcPr>
            <w:tcW w:w="1044" w:type="dxa"/>
          </w:tcPr>
          <w:p w14:paraId="479C31D9" w14:textId="77777777" w:rsidR="00397933" w:rsidRPr="001700CC" w:rsidRDefault="00397933" w:rsidP="001700CC">
            <w:pPr>
              <w:contextualSpacing/>
              <w:jc w:val="both"/>
              <w:rPr>
                <w:rFonts w:ascii="Garamond" w:hAnsi="Garamond" w:cs="Garamond"/>
                <w:sz w:val="24"/>
                <w:szCs w:val="24"/>
                <w:lang w:val="en-US" w:bidi="ru-RU"/>
              </w:rPr>
            </w:pPr>
          </w:p>
        </w:tc>
      </w:tr>
      <w:tr w:rsidR="00397933" w:rsidRPr="001700CC" w14:paraId="79C95600" w14:textId="77777777" w:rsidTr="00202F88">
        <w:tc>
          <w:tcPr>
            <w:tcW w:w="3610" w:type="dxa"/>
            <w:vAlign w:val="center"/>
          </w:tcPr>
          <w:p w14:paraId="506ACB63" w14:textId="77777777" w:rsidR="00397933" w:rsidRPr="001700CC" w:rsidRDefault="00397933" w:rsidP="001700CC">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Other expense</w:t>
            </w:r>
            <w:r w:rsidR="00FB3AE0">
              <w:rPr>
                <w:rFonts w:ascii="Garamond" w:hAnsi="Garamond" w:cs="Garamond"/>
                <w:sz w:val="24"/>
                <w:szCs w:val="24"/>
                <w:lang w:val="en-US" w:bidi="ru-RU"/>
              </w:rPr>
              <w:t>s</w:t>
            </w:r>
          </w:p>
        </w:tc>
        <w:tc>
          <w:tcPr>
            <w:tcW w:w="709" w:type="dxa"/>
          </w:tcPr>
          <w:p w14:paraId="2C0976F9"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0225F86A" w14:textId="77777777" w:rsidR="00397933" w:rsidRPr="001700CC" w:rsidRDefault="00397933" w:rsidP="001700CC">
            <w:pPr>
              <w:contextualSpacing/>
              <w:jc w:val="both"/>
              <w:rPr>
                <w:rFonts w:ascii="Garamond" w:hAnsi="Garamond" w:cs="Garamond"/>
                <w:sz w:val="24"/>
                <w:szCs w:val="24"/>
                <w:lang w:val="en-US" w:bidi="ru-RU"/>
              </w:rPr>
            </w:pPr>
          </w:p>
        </w:tc>
        <w:tc>
          <w:tcPr>
            <w:tcW w:w="709" w:type="dxa"/>
          </w:tcPr>
          <w:p w14:paraId="05B7B8B4"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74357BB9" w14:textId="77777777" w:rsidR="00397933" w:rsidRPr="001700CC" w:rsidRDefault="00397933" w:rsidP="001700CC">
            <w:pPr>
              <w:contextualSpacing/>
              <w:jc w:val="both"/>
              <w:rPr>
                <w:rFonts w:ascii="Garamond" w:hAnsi="Garamond" w:cs="Garamond"/>
                <w:sz w:val="24"/>
                <w:szCs w:val="24"/>
                <w:lang w:val="en-US" w:bidi="ru-RU"/>
              </w:rPr>
            </w:pPr>
          </w:p>
        </w:tc>
        <w:tc>
          <w:tcPr>
            <w:tcW w:w="708" w:type="dxa"/>
          </w:tcPr>
          <w:p w14:paraId="42D87119" w14:textId="77777777" w:rsidR="00397933" w:rsidRPr="001700CC" w:rsidRDefault="00397933" w:rsidP="001700CC">
            <w:pPr>
              <w:contextualSpacing/>
              <w:jc w:val="both"/>
              <w:rPr>
                <w:rFonts w:ascii="Garamond" w:hAnsi="Garamond" w:cs="Garamond"/>
                <w:sz w:val="24"/>
                <w:szCs w:val="24"/>
                <w:lang w:val="en-US" w:bidi="ru-RU"/>
              </w:rPr>
            </w:pPr>
          </w:p>
        </w:tc>
        <w:tc>
          <w:tcPr>
            <w:tcW w:w="567" w:type="dxa"/>
          </w:tcPr>
          <w:p w14:paraId="047798E3" w14:textId="77777777" w:rsidR="00397933" w:rsidRPr="001700CC" w:rsidRDefault="00397933" w:rsidP="001700CC">
            <w:pPr>
              <w:contextualSpacing/>
              <w:jc w:val="both"/>
              <w:rPr>
                <w:rFonts w:ascii="Garamond" w:hAnsi="Garamond" w:cs="Garamond"/>
                <w:sz w:val="24"/>
                <w:szCs w:val="24"/>
                <w:lang w:val="en-US" w:bidi="ru-RU"/>
              </w:rPr>
            </w:pPr>
          </w:p>
        </w:tc>
        <w:tc>
          <w:tcPr>
            <w:tcW w:w="1134" w:type="dxa"/>
          </w:tcPr>
          <w:p w14:paraId="7B30F6E8" w14:textId="77777777" w:rsidR="00397933" w:rsidRPr="001700CC" w:rsidRDefault="00397933" w:rsidP="001700CC">
            <w:pPr>
              <w:contextualSpacing/>
              <w:jc w:val="both"/>
              <w:rPr>
                <w:rFonts w:ascii="Garamond" w:hAnsi="Garamond" w:cs="Garamond"/>
                <w:sz w:val="24"/>
                <w:szCs w:val="24"/>
                <w:lang w:val="en-US" w:bidi="ru-RU"/>
              </w:rPr>
            </w:pPr>
          </w:p>
        </w:tc>
        <w:tc>
          <w:tcPr>
            <w:tcW w:w="1044" w:type="dxa"/>
          </w:tcPr>
          <w:p w14:paraId="207D1633" w14:textId="77777777" w:rsidR="00397933" w:rsidRPr="001700CC" w:rsidRDefault="00397933" w:rsidP="001700CC">
            <w:pPr>
              <w:contextualSpacing/>
              <w:jc w:val="both"/>
              <w:rPr>
                <w:rFonts w:ascii="Garamond" w:hAnsi="Garamond" w:cs="Garamond"/>
                <w:sz w:val="24"/>
                <w:szCs w:val="24"/>
                <w:lang w:val="en-US" w:bidi="ru-RU"/>
              </w:rPr>
            </w:pPr>
          </w:p>
        </w:tc>
      </w:tr>
    </w:tbl>
    <w:p w14:paraId="3BF53609" w14:textId="77777777" w:rsidR="00202F88" w:rsidRDefault="00202F88" w:rsidP="00397933">
      <w:pPr>
        <w:spacing w:line="312" w:lineRule="auto"/>
        <w:ind w:firstLine="357"/>
        <w:contextualSpacing/>
        <w:jc w:val="both"/>
        <w:rPr>
          <w:rFonts w:cs="Garamond"/>
          <w:b/>
          <w:color w:val="auto"/>
          <w:sz w:val="28"/>
          <w:szCs w:val="28"/>
          <w:lang w:val="en-US" w:eastAsia="ru-RU" w:bidi="ru-RU"/>
        </w:rPr>
      </w:pPr>
    </w:p>
    <w:p w14:paraId="4926D0A9" w14:textId="77777777" w:rsidR="00DC1D05" w:rsidRDefault="00DC1D05" w:rsidP="00397933">
      <w:pPr>
        <w:spacing w:line="312" w:lineRule="auto"/>
        <w:ind w:firstLine="357"/>
        <w:contextualSpacing/>
        <w:jc w:val="both"/>
        <w:rPr>
          <w:rFonts w:cs="Garamond"/>
          <w:b/>
          <w:color w:val="auto"/>
          <w:sz w:val="28"/>
          <w:szCs w:val="28"/>
          <w:lang w:val="en-US" w:eastAsia="ru-RU" w:bidi="ru-RU"/>
        </w:rPr>
      </w:pPr>
    </w:p>
    <w:p w14:paraId="711FB19E" w14:textId="77777777" w:rsidR="00DC1D05" w:rsidRDefault="00DC1D05" w:rsidP="00397933">
      <w:pPr>
        <w:spacing w:line="312" w:lineRule="auto"/>
        <w:ind w:firstLine="357"/>
        <w:contextualSpacing/>
        <w:jc w:val="both"/>
        <w:rPr>
          <w:rFonts w:cs="Garamond"/>
          <w:b/>
          <w:color w:val="auto"/>
          <w:sz w:val="28"/>
          <w:szCs w:val="28"/>
          <w:lang w:val="en-US" w:eastAsia="ru-RU" w:bidi="ru-RU"/>
        </w:rPr>
      </w:pPr>
    </w:p>
    <w:p w14:paraId="67EDEC83" w14:textId="77777777" w:rsidR="00397933" w:rsidRPr="001700CC" w:rsidRDefault="00397933" w:rsidP="00397933">
      <w:pPr>
        <w:spacing w:line="312" w:lineRule="auto"/>
        <w:ind w:firstLine="357"/>
        <w:contextualSpacing/>
        <w:jc w:val="both"/>
        <w:rPr>
          <w:rFonts w:cs="Garamond"/>
          <w:b/>
          <w:color w:val="auto"/>
          <w:sz w:val="28"/>
          <w:szCs w:val="28"/>
          <w:lang w:val="en-US" w:eastAsia="ru-RU" w:bidi="ru-RU"/>
        </w:rPr>
      </w:pPr>
      <w:r w:rsidRPr="001700CC">
        <w:rPr>
          <w:rFonts w:cs="Garamond"/>
          <w:b/>
          <w:color w:val="auto"/>
          <w:sz w:val="28"/>
          <w:szCs w:val="28"/>
          <w:lang w:val="en-US" w:eastAsia="ru-RU" w:bidi="ru-RU"/>
        </w:rPr>
        <w:lastRenderedPageBreak/>
        <w:t xml:space="preserve">Assignment </w:t>
      </w:r>
      <w:r w:rsidR="008C107D">
        <w:rPr>
          <w:rFonts w:cs="Garamond"/>
          <w:b/>
          <w:color w:val="auto"/>
          <w:sz w:val="28"/>
          <w:szCs w:val="28"/>
          <w:lang w:val="en-US" w:eastAsia="ru-RU" w:bidi="ru-RU"/>
        </w:rPr>
        <w:t>4</w:t>
      </w:r>
      <w:r w:rsidRPr="001700CC">
        <w:rPr>
          <w:rFonts w:cs="Garamond"/>
          <w:b/>
          <w:color w:val="auto"/>
          <w:sz w:val="28"/>
          <w:szCs w:val="28"/>
          <w:lang w:val="en-US" w:eastAsia="ru-RU" w:bidi="ru-RU"/>
        </w:rPr>
        <w:t>.4. Central government finances and debt policy</w:t>
      </w:r>
    </w:p>
    <w:p w14:paraId="2D975002" w14:textId="77777777" w:rsidR="001700CC" w:rsidRDefault="00397933" w:rsidP="00397933">
      <w:pPr>
        <w:spacing w:line="312" w:lineRule="auto"/>
        <w:ind w:firstLine="357"/>
        <w:contextualSpacing/>
        <w:jc w:val="both"/>
        <w:rPr>
          <w:rFonts w:cs="Garamond"/>
          <w:color w:val="auto"/>
          <w:sz w:val="28"/>
          <w:szCs w:val="28"/>
          <w:lang w:val="en-US" w:eastAsia="ru-RU" w:bidi="ru-RU"/>
        </w:rPr>
      </w:pPr>
      <w:r w:rsidRPr="001700CC">
        <w:rPr>
          <w:rFonts w:cs="Garamond"/>
          <w:b/>
          <w:color w:val="auto"/>
          <w:sz w:val="28"/>
          <w:szCs w:val="28"/>
          <w:lang w:val="en-US" w:eastAsia="ru-RU" w:bidi="ru-RU"/>
        </w:rPr>
        <w:t>Required:</w:t>
      </w:r>
      <w:r w:rsidRPr="001700CC">
        <w:rPr>
          <w:rFonts w:cs="Garamond"/>
          <w:color w:val="auto"/>
          <w:sz w:val="28"/>
          <w:szCs w:val="28"/>
          <w:lang w:val="en-US" w:eastAsia="ru-RU" w:bidi="ru-RU"/>
        </w:rPr>
        <w:t xml:space="preserve"> Compare revenues and expenditures of the state budget and determine the level of the budget deficit/surplus. Make a conclusion about the state budget balance over several years.</w:t>
      </w:r>
      <w:r w:rsidR="001700CC">
        <w:rPr>
          <w:rFonts w:cs="Garamond"/>
          <w:color w:val="auto"/>
          <w:sz w:val="28"/>
          <w:szCs w:val="28"/>
          <w:lang w:val="en-US" w:eastAsia="ru-RU" w:bidi="ru-RU"/>
        </w:rPr>
        <w:t xml:space="preserve"> </w:t>
      </w:r>
      <w:r w:rsidRPr="001700CC">
        <w:rPr>
          <w:rFonts w:cs="Garamond"/>
          <w:color w:val="auto"/>
          <w:sz w:val="28"/>
          <w:szCs w:val="28"/>
          <w:lang w:val="en-US" w:eastAsia="ru-RU" w:bidi="ru-RU"/>
        </w:rPr>
        <w:t xml:space="preserve">Explore the debt policy of the state; determine the size and the level of </w:t>
      </w:r>
      <w:r w:rsidR="00FB3AE0">
        <w:rPr>
          <w:rFonts w:cs="Garamond"/>
          <w:color w:val="auto"/>
          <w:sz w:val="28"/>
          <w:szCs w:val="28"/>
          <w:lang w:val="en-US" w:eastAsia="ru-RU" w:bidi="ru-RU"/>
        </w:rPr>
        <w:t xml:space="preserve">the </w:t>
      </w:r>
      <w:r w:rsidRPr="001700CC">
        <w:rPr>
          <w:rFonts w:cs="Garamond"/>
          <w:color w:val="auto"/>
          <w:sz w:val="28"/>
          <w:szCs w:val="28"/>
          <w:lang w:val="en-US" w:eastAsia="ru-RU" w:bidi="ru-RU"/>
        </w:rPr>
        <w:t xml:space="preserve">total government debt and its structure. Make a conclusion about the impact of </w:t>
      </w:r>
      <w:r w:rsidR="00FB3AE0">
        <w:rPr>
          <w:rFonts w:cs="Garamond"/>
          <w:color w:val="auto"/>
          <w:sz w:val="28"/>
          <w:szCs w:val="28"/>
          <w:lang w:val="en-US" w:eastAsia="ru-RU" w:bidi="ru-RU"/>
        </w:rPr>
        <w:t xml:space="preserve">the </w:t>
      </w:r>
      <w:r w:rsidRPr="001700CC">
        <w:rPr>
          <w:rFonts w:cs="Garamond"/>
          <w:color w:val="auto"/>
          <w:sz w:val="28"/>
          <w:szCs w:val="28"/>
          <w:lang w:val="en-US" w:eastAsia="ru-RU" w:bidi="ru-RU"/>
        </w:rPr>
        <w:t>government debt on economic development of the country.</w:t>
      </w:r>
      <w:r w:rsidR="001700CC">
        <w:rPr>
          <w:rFonts w:cs="Garamond"/>
          <w:color w:val="auto"/>
          <w:sz w:val="28"/>
          <w:szCs w:val="28"/>
          <w:lang w:val="en-US" w:eastAsia="ru-RU" w:bidi="ru-RU"/>
        </w:rPr>
        <w:t xml:space="preserve"> </w:t>
      </w:r>
    </w:p>
    <w:p w14:paraId="20E51E37" w14:textId="77777777" w:rsidR="00397933" w:rsidRDefault="00397933" w:rsidP="00397933">
      <w:pPr>
        <w:spacing w:line="312" w:lineRule="auto"/>
        <w:ind w:firstLine="357"/>
        <w:contextualSpacing/>
        <w:jc w:val="both"/>
        <w:rPr>
          <w:rFonts w:cs="Garamond"/>
          <w:color w:val="auto"/>
          <w:sz w:val="28"/>
          <w:szCs w:val="28"/>
          <w:lang w:val="en-US" w:eastAsia="ru-RU" w:bidi="ru-RU"/>
        </w:rPr>
      </w:pPr>
      <w:r w:rsidRPr="001700CC">
        <w:rPr>
          <w:rFonts w:cs="Garamond"/>
          <w:color w:val="auto"/>
          <w:sz w:val="28"/>
          <w:szCs w:val="28"/>
          <w:lang w:val="en-US" w:eastAsia="ru-RU" w:bidi="ru-RU"/>
        </w:rPr>
        <w:t xml:space="preserve">Present the figures </w:t>
      </w:r>
      <w:r w:rsidR="001700CC" w:rsidRPr="001700CC">
        <w:rPr>
          <w:rFonts w:cs="Garamond"/>
          <w:color w:val="auto"/>
          <w:sz w:val="28"/>
          <w:szCs w:val="28"/>
          <w:lang w:val="en-US" w:eastAsia="ru-RU" w:bidi="ru-RU"/>
        </w:rPr>
        <w:t>in the box below</w:t>
      </w:r>
      <w:r w:rsidRPr="001700CC">
        <w:rPr>
          <w:rFonts w:cs="Garamond"/>
          <w:color w:val="auto"/>
          <w:sz w:val="28"/>
          <w:szCs w:val="28"/>
          <w:lang w:val="en-US" w:eastAsia="ru-RU" w:bidi="ru-RU"/>
        </w:rPr>
        <w:t>.</w:t>
      </w:r>
    </w:p>
    <w:p w14:paraId="10C4F462" w14:textId="77777777" w:rsidR="00202F88" w:rsidRPr="00397933" w:rsidRDefault="00202F88" w:rsidP="00397933">
      <w:pPr>
        <w:spacing w:line="312" w:lineRule="auto"/>
        <w:ind w:firstLine="357"/>
        <w:contextualSpacing/>
        <w:jc w:val="both"/>
        <w:rPr>
          <w:rFonts w:cs="Garamond"/>
          <w:color w:val="auto"/>
          <w:sz w:val="28"/>
          <w:szCs w:val="28"/>
          <w:lang w:val="en-US" w:eastAsia="ru-RU" w:bidi="ru-RU"/>
        </w:rPr>
      </w:pPr>
    </w:p>
    <w:p w14:paraId="6EE00341" w14:textId="77777777" w:rsidR="00397933" w:rsidRPr="007F249B" w:rsidRDefault="00397933" w:rsidP="007F249B">
      <w:pPr>
        <w:spacing w:line="312" w:lineRule="auto"/>
        <w:contextualSpacing/>
        <w:jc w:val="center"/>
        <w:rPr>
          <w:rFonts w:cs="Garamond"/>
          <w:b/>
          <w:color w:val="auto"/>
          <w:sz w:val="28"/>
          <w:szCs w:val="28"/>
          <w:lang w:val="en-US" w:eastAsia="ru-RU" w:bidi="ru-RU"/>
        </w:rPr>
      </w:pPr>
      <w:r w:rsidRPr="007F249B">
        <w:rPr>
          <w:rFonts w:cs="Garamond"/>
          <w:b/>
          <w:color w:val="auto"/>
          <w:sz w:val="28"/>
          <w:szCs w:val="28"/>
          <w:lang w:val="en-US" w:eastAsia="ru-RU" w:bidi="ru-RU"/>
        </w:rPr>
        <w:t>Central government finances and debt policy in (selected country)</w:t>
      </w:r>
    </w:p>
    <w:tbl>
      <w:tblPr>
        <w:tblStyle w:val="90"/>
        <w:tblW w:w="0" w:type="auto"/>
        <w:tblLayout w:type="fixed"/>
        <w:tblCellMar>
          <w:top w:w="28" w:type="dxa"/>
          <w:bottom w:w="28" w:type="dxa"/>
        </w:tblCellMar>
        <w:tblLook w:val="04A0" w:firstRow="1" w:lastRow="0" w:firstColumn="1" w:lastColumn="0" w:noHBand="0" w:noVBand="1"/>
      </w:tblPr>
      <w:tblGrid>
        <w:gridCol w:w="4361"/>
        <w:gridCol w:w="1134"/>
        <w:gridCol w:w="992"/>
        <w:gridCol w:w="992"/>
        <w:gridCol w:w="1134"/>
        <w:gridCol w:w="1002"/>
      </w:tblGrid>
      <w:tr w:rsidR="001700CC" w:rsidRPr="001700CC" w14:paraId="245688B1" w14:textId="77777777" w:rsidTr="00DC1D05">
        <w:tc>
          <w:tcPr>
            <w:tcW w:w="4361" w:type="dxa"/>
            <w:vMerge w:val="restart"/>
            <w:shd w:val="clear" w:color="auto" w:fill="D9D9D9" w:themeFill="background1" w:themeFillShade="D9"/>
            <w:vAlign w:val="center"/>
          </w:tcPr>
          <w:p w14:paraId="22E9C289"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Indicator</w:t>
            </w:r>
          </w:p>
        </w:tc>
        <w:tc>
          <w:tcPr>
            <w:tcW w:w="3118" w:type="dxa"/>
            <w:gridSpan w:val="3"/>
            <w:shd w:val="clear" w:color="auto" w:fill="D9D9D9" w:themeFill="background1" w:themeFillShade="D9"/>
            <w:vAlign w:val="center"/>
          </w:tcPr>
          <w:p w14:paraId="7CD8C73A"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Year </w:t>
            </w:r>
            <w:r w:rsidRPr="001700CC">
              <w:rPr>
                <w:rFonts w:ascii="Garamond" w:hAnsi="Garamond" w:cs="Garamond"/>
                <w:b/>
                <w:i/>
                <w:sz w:val="24"/>
                <w:szCs w:val="24"/>
                <w:lang w:val="en-US" w:bidi="ru-RU"/>
              </w:rPr>
              <w:t>(at least three in a row)</w:t>
            </w:r>
          </w:p>
        </w:tc>
        <w:tc>
          <w:tcPr>
            <w:tcW w:w="1134" w:type="dxa"/>
            <w:vMerge w:val="restart"/>
            <w:shd w:val="clear" w:color="auto" w:fill="D9D9D9" w:themeFill="background1" w:themeFillShade="D9"/>
            <w:vAlign w:val="center"/>
          </w:tcPr>
          <w:p w14:paraId="235FE486"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Absolute change</w:t>
            </w:r>
          </w:p>
        </w:tc>
        <w:tc>
          <w:tcPr>
            <w:tcW w:w="1002" w:type="dxa"/>
            <w:vMerge w:val="restart"/>
            <w:shd w:val="clear" w:color="auto" w:fill="D9D9D9" w:themeFill="background1" w:themeFillShade="D9"/>
            <w:vAlign w:val="center"/>
          </w:tcPr>
          <w:p w14:paraId="30CEA419"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Growth </w:t>
            </w:r>
          </w:p>
          <w:p w14:paraId="027A2E80"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rate, %</w:t>
            </w:r>
          </w:p>
        </w:tc>
      </w:tr>
      <w:tr w:rsidR="001700CC" w:rsidRPr="001700CC" w14:paraId="17153AE1" w14:textId="77777777" w:rsidTr="00DC1D05">
        <w:tc>
          <w:tcPr>
            <w:tcW w:w="4361" w:type="dxa"/>
            <w:vMerge/>
            <w:shd w:val="clear" w:color="auto" w:fill="D9D9D9" w:themeFill="background1" w:themeFillShade="D9"/>
            <w:vAlign w:val="center"/>
          </w:tcPr>
          <w:p w14:paraId="26C6BDE1" w14:textId="77777777" w:rsidR="001700CC" w:rsidRPr="001700CC" w:rsidRDefault="001700CC" w:rsidP="00397933">
            <w:pPr>
              <w:contextualSpacing/>
              <w:jc w:val="center"/>
              <w:rPr>
                <w:rFonts w:ascii="Garamond" w:hAnsi="Garamond" w:cs="Garamond"/>
                <w:b/>
                <w:sz w:val="24"/>
                <w:szCs w:val="24"/>
                <w:lang w:val="en-US" w:bidi="ru-RU"/>
              </w:rPr>
            </w:pPr>
          </w:p>
        </w:tc>
        <w:tc>
          <w:tcPr>
            <w:tcW w:w="1134" w:type="dxa"/>
            <w:shd w:val="clear" w:color="auto" w:fill="D9D9D9" w:themeFill="background1" w:themeFillShade="D9"/>
            <w:vAlign w:val="center"/>
          </w:tcPr>
          <w:p w14:paraId="316F2779"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992" w:type="dxa"/>
            <w:shd w:val="clear" w:color="auto" w:fill="D9D9D9" w:themeFill="background1" w:themeFillShade="D9"/>
            <w:vAlign w:val="center"/>
          </w:tcPr>
          <w:p w14:paraId="104A126B"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992" w:type="dxa"/>
            <w:shd w:val="clear" w:color="auto" w:fill="D9D9D9" w:themeFill="background1" w:themeFillShade="D9"/>
            <w:vAlign w:val="center"/>
          </w:tcPr>
          <w:p w14:paraId="04B154F6"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1134" w:type="dxa"/>
            <w:vMerge/>
            <w:shd w:val="clear" w:color="auto" w:fill="D9D9D9" w:themeFill="background1" w:themeFillShade="D9"/>
            <w:vAlign w:val="center"/>
          </w:tcPr>
          <w:p w14:paraId="22151CCA" w14:textId="77777777" w:rsidR="001700CC" w:rsidRPr="001700CC" w:rsidRDefault="001700CC" w:rsidP="00397933">
            <w:pPr>
              <w:contextualSpacing/>
              <w:jc w:val="center"/>
              <w:rPr>
                <w:rFonts w:ascii="Garamond" w:hAnsi="Garamond" w:cs="Garamond"/>
                <w:b/>
                <w:sz w:val="24"/>
                <w:szCs w:val="24"/>
                <w:lang w:val="en-US" w:bidi="ru-RU"/>
              </w:rPr>
            </w:pPr>
          </w:p>
        </w:tc>
        <w:tc>
          <w:tcPr>
            <w:tcW w:w="1002" w:type="dxa"/>
            <w:vMerge/>
            <w:shd w:val="clear" w:color="auto" w:fill="D9D9D9" w:themeFill="background1" w:themeFillShade="D9"/>
            <w:vAlign w:val="center"/>
          </w:tcPr>
          <w:p w14:paraId="1EFE266F" w14:textId="77777777" w:rsidR="001700CC" w:rsidRPr="001700CC" w:rsidRDefault="001700CC" w:rsidP="00397933">
            <w:pPr>
              <w:contextualSpacing/>
              <w:jc w:val="center"/>
              <w:rPr>
                <w:rFonts w:ascii="Garamond" w:hAnsi="Garamond" w:cs="Garamond"/>
                <w:b/>
                <w:sz w:val="24"/>
                <w:szCs w:val="24"/>
                <w:lang w:val="en-US" w:bidi="ru-RU"/>
              </w:rPr>
            </w:pPr>
          </w:p>
        </w:tc>
      </w:tr>
      <w:tr w:rsidR="00397933" w:rsidRPr="001700CC" w14:paraId="4F146C8A" w14:textId="77777777" w:rsidTr="00DC1D05">
        <w:tc>
          <w:tcPr>
            <w:tcW w:w="4361" w:type="dxa"/>
            <w:vAlign w:val="center"/>
          </w:tcPr>
          <w:p w14:paraId="24809950"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Revenue</w:t>
            </w:r>
          </w:p>
        </w:tc>
        <w:tc>
          <w:tcPr>
            <w:tcW w:w="1134" w:type="dxa"/>
          </w:tcPr>
          <w:p w14:paraId="74866827"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6356950E"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0BA121B7"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3F9724F9"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247246D7"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743E672C" w14:textId="77777777" w:rsidTr="00DC1D05">
        <w:tc>
          <w:tcPr>
            <w:tcW w:w="4361" w:type="dxa"/>
            <w:vAlign w:val="center"/>
          </w:tcPr>
          <w:p w14:paraId="5D94BA14"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Expense</w:t>
            </w:r>
          </w:p>
        </w:tc>
        <w:tc>
          <w:tcPr>
            <w:tcW w:w="1134" w:type="dxa"/>
          </w:tcPr>
          <w:p w14:paraId="2DB38A34"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5BC9A6CF"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62113CB2"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4A526F46"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5783BEDF"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484AEC39" w14:textId="77777777" w:rsidTr="00DC1D05">
        <w:tc>
          <w:tcPr>
            <w:tcW w:w="4361" w:type="dxa"/>
            <w:vAlign w:val="center"/>
          </w:tcPr>
          <w:p w14:paraId="1908EDFC" w14:textId="77777777" w:rsidR="00397933" w:rsidRPr="001700CC" w:rsidRDefault="00397933" w:rsidP="00DC1D05">
            <w:pPr>
              <w:contextualSpacing/>
              <w:rPr>
                <w:rFonts w:ascii="Garamond" w:hAnsi="Garamond" w:cs="Garamond"/>
                <w:sz w:val="24"/>
                <w:szCs w:val="24"/>
                <w:lang w:val="en-US" w:bidi="ru-RU"/>
              </w:rPr>
            </w:pPr>
            <w:r w:rsidRPr="001700CC">
              <w:rPr>
                <w:rFonts w:ascii="Garamond" w:hAnsi="Garamond" w:cs="Garamond"/>
                <w:sz w:val="24"/>
                <w:szCs w:val="24"/>
                <w:lang w:val="en-US" w:bidi="ru-RU"/>
              </w:rPr>
              <w:t xml:space="preserve">Budget balance </w:t>
            </w:r>
            <w:r w:rsidR="00DC1D05">
              <w:rPr>
                <w:rFonts w:ascii="Garamond" w:hAnsi="Garamond" w:cs="Garamond"/>
                <w:sz w:val="24"/>
                <w:szCs w:val="24"/>
                <w:lang w:val="en-US" w:bidi="ru-RU"/>
              </w:rPr>
              <w:t>(</w:t>
            </w:r>
            <w:r w:rsidRPr="001700CC">
              <w:rPr>
                <w:rFonts w:ascii="Garamond" w:hAnsi="Garamond" w:cs="Garamond"/>
                <w:sz w:val="24"/>
                <w:szCs w:val="24"/>
                <w:lang w:val="en-US" w:bidi="ru-RU"/>
              </w:rPr>
              <w:t>deficit/surplus/balanced)</w:t>
            </w:r>
          </w:p>
        </w:tc>
        <w:tc>
          <w:tcPr>
            <w:tcW w:w="1134" w:type="dxa"/>
          </w:tcPr>
          <w:p w14:paraId="069E9EB6"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0E3B6E82"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190B2228"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5B2A2375"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7A9F31EB"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781A6274" w14:textId="77777777" w:rsidTr="00DC1D05">
        <w:tc>
          <w:tcPr>
            <w:tcW w:w="4361" w:type="dxa"/>
            <w:vAlign w:val="center"/>
          </w:tcPr>
          <w:p w14:paraId="7D55171A"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Total debt</w:t>
            </w:r>
          </w:p>
        </w:tc>
        <w:tc>
          <w:tcPr>
            <w:tcW w:w="1134" w:type="dxa"/>
          </w:tcPr>
          <w:p w14:paraId="44643CD4"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547E5892"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0E18C4CA"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67423480"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71E4F866"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7F9357A6" w14:textId="77777777" w:rsidTr="00DC1D05">
        <w:tc>
          <w:tcPr>
            <w:tcW w:w="4361" w:type="dxa"/>
            <w:vAlign w:val="center"/>
          </w:tcPr>
          <w:p w14:paraId="273FF0A8"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Total debt, % of GDP</w:t>
            </w:r>
          </w:p>
        </w:tc>
        <w:tc>
          <w:tcPr>
            <w:tcW w:w="1134" w:type="dxa"/>
          </w:tcPr>
          <w:p w14:paraId="5B0021E4"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2F20FEE5"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1FDF7395"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5A61CD2E"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7509446F"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598B543B" w14:textId="77777777" w:rsidTr="00DC1D05">
        <w:tc>
          <w:tcPr>
            <w:tcW w:w="4361" w:type="dxa"/>
            <w:vAlign w:val="center"/>
          </w:tcPr>
          <w:p w14:paraId="529668C6"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Interest payments, % of revenue</w:t>
            </w:r>
          </w:p>
        </w:tc>
        <w:tc>
          <w:tcPr>
            <w:tcW w:w="1134" w:type="dxa"/>
          </w:tcPr>
          <w:p w14:paraId="6F3E5C4D"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4667F726"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1D814C57"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045A6FCA"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1C7F451E" w14:textId="77777777" w:rsidR="00397933" w:rsidRPr="001700CC" w:rsidRDefault="00397933" w:rsidP="00397933">
            <w:pPr>
              <w:contextualSpacing/>
              <w:jc w:val="both"/>
              <w:rPr>
                <w:rFonts w:ascii="Garamond" w:hAnsi="Garamond" w:cs="Garamond"/>
                <w:sz w:val="24"/>
                <w:szCs w:val="24"/>
                <w:lang w:val="en-US" w:bidi="ru-RU"/>
              </w:rPr>
            </w:pPr>
          </w:p>
        </w:tc>
      </w:tr>
    </w:tbl>
    <w:p w14:paraId="512B4E73" w14:textId="77777777" w:rsidR="00397933" w:rsidRPr="00397933" w:rsidRDefault="00397933" w:rsidP="00397933">
      <w:pPr>
        <w:spacing w:line="312" w:lineRule="auto"/>
        <w:ind w:firstLine="357"/>
        <w:contextualSpacing/>
        <w:jc w:val="center"/>
        <w:rPr>
          <w:rFonts w:cs="Garamond"/>
          <w:color w:val="auto"/>
          <w:sz w:val="28"/>
          <w:szCs w:val="28"/>
          <w:lang w:val="en-US" w:eastAsia="ru-RU" w:bidi="ru-RU"/>
        </w:rPr>
      </w:pPr>
    </w:p>
    <w:p w14:paraId="056D64A7" w14:textId="77777777" w:rsidR="00397933" w:rsidRPr="00397933" w:rsidRDefault="00397933" w:rsidP="00397933">
      <w:pPr>
        <w:spacing w:line="312" w:lineRule="auto"/>
        <w:ind w:firstLine="357"/>
        <w:contextualSpacing/>
        <w:jc w:val="both"/>
        <w:rPr>
          <w:rFonts w:cs="Garamond"/>
          <w:b/>
          <w:color w:val="auto"/>
          <w:sz w:val="28"/>
          <w:szCs w:val="28"/>
          <w:lang w:val="en-US" w:eastAsia="ru-RU" w:bidi="ru-RU"/>
        </w:rPr>
      </w:pPr>
      <w:r w:rsidRPr="001700CC">
        <w:rPr>
          <w:rFonts w:cs="Garamond"/>
          <w:b/>
          <w:color w:val="auto"/>
          <w:sz w:val="28"/>
          <w:szCs w:val="28"/>
          <w:lang w:val="en-US" w:eastAsia="ru-RU" w:bidi="ru-RU"/>
        </w:rPr>
        <w:t xml:space="preserve">Assignment </w:t>
      </w:r>
      <w:r w:rsidR="008C107D">
        <w:rPr>
          <w:rFonts w:cs="Garamond"/>
          <w:b/>
          <w:color w:val="auto"/>
          <w:sz w:val="28"/>
          <w:szCs w:val="28"/>
          <w:lang w:val="en-US" w:eastAsia="ru-RU" w:bidi="ru-RU"/>
        </w:rPr>
        <w:t>4</w:t>
      </w:r>
      <w:r w:rsidRPr="001700CC">
        <w:rPr>
          <w:rFonts w:cs="Garamond"/>
          <w:b/>
          <w:color w:val="auto"/>
          <w:sz w:val="28"/>
          <w:szCs w:val="28"/>
          <w:lang w:val="en-US" w:eastAsia="ru-RU" w:bidi="ru-RU"/>
        </w:rPr>
        <w:t>.5. Tax</w:t>
      </w:r>
      <w:r w:rsidRPr="00397933">
        <w:rPr>
          <w:rFonts w:cs="Garamond"/>
          <w:b/>
          <w:color w:val="auto"/>
          <w:sz w:val="28"/>
          <w:szCs w:val="28"/>
          <w:lang w:val="en-US" w:eastAsia="ru-RU" w:bidi="ru-RU"/>
        </w:rPr>
        <w:t xml:space="preserve"> and social security policy</w:t>
      </w:r>
    </w:p>
    <w:p w14:paraId="50BB0A19"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b/>
          <w:color w:val="auto"/>
          <w:sz w:val="28"/>
          <w:szCs w:val="28"/>
          <w:lang w:val="en-US" w:eastAsia="ru-RU" w:bidi="ru-RU"/>
        </w:rPr>
        <w:t>Required:</w:t>
      </w:r>
      <w:r w:rsidRPr="00397933">
        <w:rPr>
          <w:rFonts w:cs="Garamond"/>
          <w:color w:val="auto"/>
          <w:sz w:val="28"/>
          <w:szCs w:val="28"/>
          <w:lang w:val="en-US" w:eastAsia="ru-RU" w:bidi="ru-RU"/>
        </w:rPr>
        <w:t xml:space="preserve"> Examine the tax system of the country. Identify the main taxes imposed on the national and local levels. Analyze the revenues from major taxes.</w:t>
      </w:r>
      <w:r w:rsidR="001700CC">
        <w:rPr>
          <w:rFonts w:cs="Garamond"/>
          <w:color w:val="auto"/>
          <w:sz w:val="28"/>
          <w:szCs w:val="28"/>
          <w:lang w:val="en-US" w:eastAsia="ru-RU" w:bidi="ru-RU"/>
        </w:rPr>
        <w:t xml:space="preserve"> </w:t>
      </w:r>
      <w:r w:rsidRPr="00397933">
        <w:rPr>
          <w:rFonts w:cs="Garamond"/>
          <w:color w:val="auto"/>
          <w:sz w:val="28"/>
          <w:szCs w:val="28"/>
          <w:lang w:val="en-US" w:eastAsia="ru-RU" w:bidi="ru-RU"/>
        </w:rPr>
        <w:t>Calculate the total tax rate and draw conclusions about the level of tax burden.</w:t>
      </w:r>
      <w:r w:rsidR="007B5371">
        <w:rPr>
          <w:rFonts w:cs="Garamond"/>
          <w:color w:val="auto"/>
          <w:sz w:val="28"/>
          <w:szCs w:val="28"/>
          <w:lang w:val="en-US" w:eastAsia="ru-RU" w:bidi="ru-RU"/>
        </w:rPr>
        <w:t xml:space="preserve"> </w:t>
      </w:r>
    </w:p>
    <w:p w14:paraId="327F3A19"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Explore the type of social security system and the level of social contributions.</w:t>
      </w:r>
    </w:p>
    <w:p w14:paraId="55E4A2D4"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 xml:space="preserve">Present the indicators of tax system </w:t>
      </w:r>
      <w:r w:rsidR="001700CC" w:rsidRPr="001700CC">
        <w:rPr>
          <w:rFonts w:cs="Garamond"/>
          <w:color w:val="auto"/>
          <w:sz w:val="28"/>
          <w:szCs w:val="28"/>
          <w:lang w:val="en-US" w:eastAsia="ru-RU" w:bidi="ru-RU"/>
        </w:rPr>
        <w:t>in the box below</w:t>
      </w:r>
      <w:r w:rsidRPr="00397933">
        <w:rPr>
          <w:rFonts w:cs="Garamond"/>
          <w:color w:val="auto"/>
          <w:sz w:val="28"/>
          <w:szCs w:val="28"/>
          <w:lang w:val="en-US" w:eastAsia="ru-RU" w:bidi="ru-RU"/>
        </w:rPr>
        <w:t>.</w:t>
      </w:r>
    </w:p>
    <w:p w14:paraId="3F477F60" w14:textId="77777777" w:rsidR="001700CC" w:rsidRDefault="001700CC" w:rsidP="00397933">
      <w:pPr>
        <w:spacing w:line="312" w:lineRule="auto"/>
        <w:ind w:firstLine="357"/>
        <w:contextualSpacing/>
        <w:jc w:val="center"/>
        <w:rPr>
          <w:rFonts w:cs="Garamond"/>
          <w:color w:val="auto"/>
          <w:sz w:val="28"/>
          <w:szCs w:val="28"/>
          <w:lang w:val="en-US" w:eastAsia="ru-RU" w:bidi="ru-RU"/>
        </w:rPr>
      </w:pPr>
    </w:p>
    <w:p w14:paraId="34EE4FFB" w14:textId="77777777" w:rsidR="00397933" w:rsidRPr="007F249B" w:rsidRDefault="00397933" w:rsidP="007F249B">
      <w:pPr>
        <w:spacing w:line="312" w:lineRule="auto"/>
        <w:contextualSpacing/>
        <w:jc w:val="center"/>
        <w:rPr>
          <w:rFonts w:cs="Garamond"/>
          <w:b/>
          <w:color w:val="auto"/>
          <w:sz w:val="28"/>
          <w:szCs w:val="28"/>
          <w:lang w:val="en-US" w:eastAsia="ru-RU" w:bidi="ru-RU"/>
        </w:rPr>
        <w:sectPr w:rsidR="00397933" w:rsidRPr="007F249B" w:rsidSect="007B5371">
          <w:type w:val="continuous"/>
          <w:pgSz w:w="11907" w:h="16839"/>
          <w:pgMar w:top="1440" w:right="708" w:bottom="1440" w:left="1800" w:header="720" w:footer="965" w:gutter="0"/>
          <w:pgNumType w:start="255"/>
          <w:cols w:space="708"/>
          <w:titlePg/>
          <w:docGrid w:linePitch="326"/>
        </w:sectPr>
      </w:pPr>
      <w:r w:rsidRPr="007F249B">
        <w:rPr>
          <w:rFonts w:cs="Garamond"/>
          <w:b/>
          <w:color w:val="auto"/>
          <w:sz w:val="28"/>
          <w:szCs w:val="28"/>
          <w:lang w:val="en-US" w:eastAsia="ru-RU" w:bidi="ru-RU"/>
        </w:rPr>
        <w:t>Tax policy indicators in (selected country)</w:t>
      </w:r>
    </w:p>
    <w:tbl>
      <w:tblPr>
        <w:tblStyle w:val="90"/>
        <w:tblW w:w="0" w:type="auto"/>
        <w:tblLayout w:type="fixed"/>
        <w:tblCellMar>
          <w:top w:w="28" w:type="dxa"/>
          <w:bottom w:w="28" w:type="dxa"/>
        </w:tblCellMar>
        <w:tblLook w:val="04A0" w:firstRow="1" w:lastRow="0" w:firstColumn="1" w:lastColumn="0" w:noHBand="0" w:noVBand="1"/>
      </w:tblPr>
      <w:tblGrid>
        <w:gridCol w:w="4361"/>
        <w:gridCol w:w="1134"/>
        <w:gridCol w:w="992"/>
        <w:gridCol w:w="992"/>
        <w:gridCol w:w="1134"/>
        <w:gridCol w:w="1002"/>
      </w:tblGrid>
      <w:tr w:rsidR="001700CC" w:rsidRPr="001700CC" w14:paraId="1BEC70AF" w14:textId="77777777" w:rsidTr="00FB3AE0">
        <w:tc>
          <w:tcPr>
            <w:tcW w:w="4361" w:type="dxa"/>
            <w:vMerge w:val="restart"/>
            <w:shd w:val="clear" w:color="auto" w:fill="D9D9D9" w:themeFill="background1" w:themeFillShade="D9"/>
            <w:vAlign w:val="center"/>
          </w:tcPr>
          <w:p w14:paraId="357F1C50"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Indicator</w:t>
            </w:r>
          </w:p>
        </w:tc>
        <w:tc>
          <w:tcPr>
            <w:tcW w:w="3118" w:type="dxa"/>
            <w:gridSpan w:val="3"/>
            <w:shd w:val="clear" w:color="auto" w:fill="D9D9D9" w:themeFill="background1" w:themeFillShade="D9"/>
            <w:vAlign w:val="center"/>
          </w:tcPr>
          <w:p w14:paraId="686DF184"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Year </w:t>
            </w:r>
            <w:r w:rsidRPr="001700CC">
              <w:rPr>
                <w:rFonts w:ascii="Garamond" w:hAnsi="Garamond" w:cs="Garamond"/>
                <w:b/>
                <w:i/>
                <w:sz w:val="24"/>
                <w:szCs w:val="24"/>
                <w:lang w:val="en-US" w:bidi="ru-RU"/>
              </w:rPr>
              <w:t>(at least three in a row)</w:t>
            </w:r>
          </w:p>
        </w:tc>
        <w:tc>
          <w:tcPr>
            <w:tcW w:w="1134" w:type="dxa"/>
            <w:vMerge w:val="restart"/>
            <w:shd w:val="clear" w:color="auto" w:fill="D9D9D9" w:themeFill="background1" w:themeFillShade="D9"/>
            <w:vAlign w:val="center"/>
          </w:tcPr>
          <w:p w14:paraId="5CD74798"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Absolute change</w:t>
            </w:r>
          </w:p>
        </w:tc>
        <w:tc>
          <w:tcPr>
            <w:tcW w:w="1002" w:type="dxa"/>
            <w:vMerge w:val="restart"/>
            <w:shd w:val="clear" w:color="auto" w:fill="D9D9D9" w:themeFill="background1" w:themeFillShade="D9"/>
            <w:vAlign w:val="center"/>
          </w:tcPr>
          <w:p w14:paraId="49E2689C"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 xml:space="preserve">Growth </w:t>
            </w:r>
          </w:p>
          <w:p w14:paraId="0DD41313"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rate, %</w:t>
            </w:r>
          </w:p>
        </w:tc>
      </w:tr>
      <w:tr w:rsidR="001700CC" w:rsidRPr="001700CC" w14:paraId="473C4222" w14:textId="77777777" w:rsidTr="00FB3AE0">
        <w:tc>
          <w:tcPr>
            <w:tcW w:w="4361" w:type="dxa"/>
            <w:vMerge/>
            <w:shd w:val="clear" w:color="auto" w:fill="D9D9D9" w:themeFill="background1" w:themeFillShade="D9"/>
            <w:vAlign w:val="center"/>
          </w:tcPr>
          <w:p w14:paraId="58ABA691" w14:textId="77777777" w:rsidR="001700CC" w:rsidRPr="001700CC" w:rsidRDefault="001700CC" w:rsidP="00397933">
            <w:pPr>
              <w:contextualSpacing/>
              <w:jc w:val="center"/>
              <w:rPr>
                <w:rFonts w:ascii="Garamond" w:hAnsi="Garamond" w:cs="Garamond"/>
                <w:b/>
                <w:sz w:val="24"/>
                <w:szCs w:val="24"/>
                <w:lang w:val="en-US" w:bidi="ru-RU"/>
              </w:rPr>
            </w:pPr>
          </w:p>
        </w:tc>
        <w:tc>
          <w:tcPr>
            <w:tcW w:w="1134" w:type="dxa"/>
            <w:shd w:val="clear" w:color="auto" w:fill="D9D9D9" w:themeFill="background1" w:themeFillShade="D9"/>
            <w:vAlign w:val="center"/>
          </w:tcPr>
          <w:p w14:paraId="4C21DCF8"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992" w:type="dxa"/>
            <w:shd w:val="clear" w:color="auto" w:fill="D9D9D9" w:themeFill="background1" w:themeFillShade="D9"/>
            <w:vAlign w:val="center"/>
          </w:tcPr>
          <w:p w14:paraId="4A26FD32"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992" w:type="dxa"/>
            <w:shd w:val="clear" w:color="auto" w:fill="D9D9D9" w:themeFill="background1" w:themeFillShade="D9"/>
            <w:vAlign w:val="center"/>
          </w:tcPr>
          <w:p w14:paraId="54CC3E9B" w14:textId="77777777" w:rsidR="001700CC" w:rsidRPr="001700CC" w:rsidRDefault="001700CC" w:rsidP="00397933">
            <w:pPr>
              <w:contextualSpacing/>
              <w:jc w:val="center"/>
              <w:rPr>
                <w:rFonts w:ascii="Garamond" w:hAnsi="Garamond" w:cs="Garamond"/>
                <w:b/>
                <w:sz w:val="24"/>
                <w:szCs w:val="24"/>
                <w:lang w:val="en-US" w:bidi="ru-RU"/>
              </w:rPr>
            </w:pPr>
            <w:r w:rsidRPr="001700CC">
              <w:rPr>
                <w:rFonts w:ascii="Garamond" w:hAnsi="Garamond" w:cs="Garamond"/>
                <w:b/>
                <w:sz w:val="24"/>
                <w:szCs w:val="24"/>
                <w:lang w:val="en-US" w:bidi="ru-RU"/>
              </w:rPr>
              <w:t>20__</w:t>
            </w:r>
          </w:p>
        </w:tc>
        <w:tc>
          <w:tcPr>
            <w:tcW w:w="1134" w:type="dxa"/>
            <w:vMerge/>
            <w:shd w:val="clear" w:color="auto" w:fill="D9D9D9" w:themeFill="background1" w:themeFillShade="D9"/>
            <w:vAlign w:val="center"/>
          </w:tcPr>
          <w:p w14:paraId="3A8A992D" w14:textId="77777777" w:rsidR="001700CC" w:rsidRPr="001700CC" w:rsidRDefault="001700CC" w:rsidP="00397933">
            <w:pPr>
              <w:contextualSpacing/>
              <w:jc w:val="center"/>
              <w:rPr>
                <w:rFonts w:ascii="Garamond" w:hAnsi="Garamond" w:cs="Garamond"/>
                <w:b/>
                <w:sz w:val="24"/>
                <w:szCs w:val="24"/>
                <w:lang w:val="en-US" w:bidi="ru-RU"/>
              </w:rPr>
            </w:pPr>
          </w:p>
        </w:tc>
        <w:tc>
          <w:tcPr>
            <w:tcW w:w="1002" w:type="dxa"/>
            <w:vMerge/>
            <w:shd w:val="clear" w:color="auto" w:fill="D9D9D9" w:themeFill="background1" w:themeFillShade="D9"/>
            <w:vAlign w:val="center"/>
          </w:tcPr>
          <w:p w14:paraId="72231728" w14:textId="77777777" w:rsidR="001700CC" w:rsidRPr="001700CC" w:rsidRDefault="001700CC" w:rsidP="00397933">
            <w:pPr>
              <w:contextualSpacing/>
              <w:jc w:val="center"/>
              <w:rPr>
                <w:rFonts w:ascii="Garamond" w:hAnsi="Garamond" w:cs="Garamond"/>
                <w:b/>
                <w:sz w:val="24"/>
                <w:szCs w:val="24"/>
                <w:lang w:val="en-US" w:bidi="ru-RU"/>
              </w:rPr>
            </w:pPr>
          </w:p>
        </w:tc>
      </w:tr>
      <w:tr w:rsidR="00397933" w:rsidRPr="001700CC" w14:paraId="6F4AC70C" w14:textId="77777777" w:rsidTr="00FB3AE0">
        <w:tc>
          <w:tcPr>
            <w:tcW w:w="4361" w:type="dxa"/>
            <w:vAlign w:val="center"/>
          </w:tcPr>
          <w:p w14:paraId="6DC1DBB4"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Tax revenue collected by central government</w:t>
            </w:r>
          </w:p>
        </w:tc>
        <w:tc>
          <w:tcPr>
            <w:tcW w:w="1134" w:type="dxa"/>
          </w:tcPr>
          <w:p w14:paraId="411681ED"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17832C67"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1E4B33F3"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4614C486"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25C41AF4"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2A1B087D" w14:textId="77777777" w:rsidTr="00FB3AE0">
        <w:tc>
          <w:tcPr>
            <w:tcW w:w="4361" w:type="dxa"/>
            <w:vAlign w:val="center"/>
          </w:tcPr>
          <w:p w14:paraId="22C31158"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Tax revenue collected by central government, % of GDP</w:t>
            </w:r>
          </w:p>
        </w:tc>
        <w:tc>
          <w:tcPr>
            <w:tcW w:w="1134" w:type="dxa"/>
          </w:tcPr>
          <w:p w14:paraId="307D2BB8"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4D030803"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08573096"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13EFA7A3"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6BFED415"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3D53C019" w14:textId="77777777" w:rsidTr="00FB3AE0">
        <w:tc>
          <w:tcPr>
            <w:tcW w:w="4361" w:type="dxa"/>
            <w:vAlign w:val="center"/>
          </w:tcPr>
          <w:p w14:paraId="6A217B99" w14:textId="77777777" w:rsidR="00397933" w:rsidRPr="001700CC" w:rsidRDefault="00397933" w:rsidP="00397933">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Profit tax</w:t>
            </w:r>
          </w:p>
        </w:tc>
        <w:tc>
          <w:tcPr>
            <w:tcW w:w="1134" w:type="dxa"/>
          </w:tcPr>
          <w:p w14:paraId="218F94C5"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1C4B0A88"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05DFC965"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753DCDD4"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5F0E2950"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16B8B40D" w14:textId="77777777" w:rsidTr="00FB3AE0">
        <w:tc>
          <w:tcPr>
            <w:tcW w:w="4361" w:type="dxa"/>
            <w:vAlign w:val="center"/>
          </w:tcPr>
          <w:p w14:paraId="50FD5759" w14:textId="77777777" w:rsidR="00397933" w:rsidRPr="001700CC" w:rsidRDefault="00397933" w:rsidP="00397933">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Labor tax and contributions</w:t>
            </w:r>
          </w:p>
        </w:tc>
        <w:tc>
          <w:tcPr>
            <w:tcW w:w="1134" w:type="dxa"/>
          </w:tcPr>
          <w:p w14:paraId="220CCA20"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5FB2EA77"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6DD9C3F3"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563F309F"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51391A74"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253C9EC5" w14:textId="77777777" w:rsidTr="00FB3AE0">
        <w:tc>
          <w:tcPr>
            <w:tcW w:w="4361" w:type="dxa"/>
            <w:vAlign w:val="center"/>
          </w:tcPr>
          <w:p w14:paraId="46E01D61" w14:textId="77777777" w:rsidR="00397933" w:rsidRPr="001700CC" w:rsidRDefault="00397933" w:rsidP="00397933">
            <w:pPr>
              <w:ind w:left="284"/>
              <w:contextualSpacing/>
              <w:rPr>
                <w:rFonts w:ascii="Garamond" w:hAnsi="Garamond" w:cs="Garamond"/>
                <w:sz w:val="24"/>
                <w:szCs w:val="24"/>
                <w:lang w:val="en-US" w:bidi="ru-RU"/>
              </w:rPr>
            </w:pPr>
            <w:r w:rsidRPr="001700CC">
              <w:rPr>
                <w:rFonts w:ascii="Garamond" w:hAnsi="Garamond" w:cs="Garamond"/>
                <w:sz w:val="24"/>
                <w:szCs w:val="24"/>
                <w:lang w:val="en-US" w:bidi="ru-RU"/>
              </w:rPr>
              <w:t>Other taxes</w:t>
            </w:r>
          </w:p>
        </w:tc>
        <w:tc>
          <w:tcPr>
            <w:tcW w:w="1134" w:type="dxa"/>
          </w:tcPr>
          <w:p w14:paraId="1ED3F718"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44BB19ED"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58DE7A81"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6A0E85CC"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4A2FC245"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3CBC5CE5" w14:textId="77777777" w:rsidTr="00FB3AE0">
        <w:tc>
          <w:tcPr>
            <w:tcW w:w="4361" w:type="dxa"/>
            <w:vAlign w:val="center"/>
          </w:tcPr>
          <w:p w14:paraId="21A3ACE8"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Number of payments</w:t>
            </w:r>
          </w:p>
        </w:tc>
        <w:tc>
          <w:tcPr>
            <w:tcW w:w="1134" w:type="dxa"/>
          </w:tcPr>
          <w:p w14:paraId="1F2D02BF"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1CCF1149"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4ED6E454"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250236F2"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61029FE1" w14:textId="77777777" w:rsidR="00397933" w:rsidRPr="001700CC" w:rsidRDefault="00397933" w:rsidP="00397933">
            <w:pPr>
              <w:contextualSpacing/>
              <w:jc w:val="both"/>
              <w:rPr>
                <w:rFonts w:ascii="Garamond" w:hAnsi="Garamond" w:cs="Garamond"/>
                <w:sz w:val="24"/>
                <w:szCs w:val="24"/>
                <w:lang w:val="en-US" w:bidi="ru-RU"/>
              </w:rPr>
            </w:pPr>
          </w:p>
        </w:tc>
      </w:tr>
      <w:tr w:rsidR="00397933" w:rsidRPr="001700CC" w14:paraId="7D48C402" w14:textId="77777777" w:rsidTr="00FB3AE0">
        <w:tc>
          <w:tcPr>
            <w:tcW w:w="4361" w:type="dxa"/>
            <w:vAlign w:val="center"/>
          </w:tcPr>
          <w:p w14:paraId="21449516" w14:textId="77777777" w:rsidR="00397933" w:rsidRPr="001700CC" w:rsidRDefault="00397933" w:rsidP="00397933">
            <w:pPr>
              <w:contextualSpacing/>
              <w:rPr>
                <w:rFonts w:ascii="Garamond" w:hAnsi="Garamond" w:cs="Garamond"/>
                <w:sz w:val="24"/>
                <w:szCs w:val="24"/>
                <w:lang w:val="en-US" w:bidi="ru-RU"/>
              </w:rPr>
            </w:pPr>
            <w:r w:rsidRPr="001700CC">
              <w:rPr>
                <w:rFonts w:ascii="Garamond" w:hAnsi="Garamond" w:cs="Garamond"/>
                <w:sz w:val="24"/>
                <w:szCs w:val="24"/>
                <w:lang w:val="en-US" w:bidi="ru-RU"/>
              </w:rPr>
              <w:t>Total tax rate, %</w:t>
            </w:r>
          </w:p>
        </w:tc>
        <w:tc>
          <w:tcPr>
            <w:tcW w:w="1134" w:type="dxa"/>
          </w:tcPr>
          <w:p w14:paraId="5F1822F0"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3C014900" w14:textId="77777777" w:rsidR="00397933" w:rsidRPr="001700CC" w:rsidRDefault="00397933" w:rsidP="00397933">
            <w:pPr>
              <w:contextualSpacing/>
              <w:jc w:val="both"/>
              <w:rPr>
                <w:rFonts w:ascii="Garamond" w:hAnsi="Garamond" w:cs="Garamond"/>
                <w:sz w:val="24"/>
                <w:szCs w:val="24"/>
                <w:lang w:val="en-US" w:bidi="ru-RU"/>
              </w:rPr>
            </w:pPr>
          </w:p>
        </w:tc>
        <w:tc>
          <w:tcPr>
            <w:tcW w:w="992" w:type="dxa"/>
          </w:tcPr>
          <w:p w14:paraId="185A497D" w14:textId="77777777" w:rsidR="00397933" w:rsidRPr="001700CC" w:rsidRDefault="00397933" w:rsidP="00397933">
            <w:pPr>
              <w:contextualSpacing/>
              <w:jc w:val="both"/>
              <w:rPr>
                <w:rFonts w:ascii="Garamond" w:hAnsi="Garamond" w:cs="Garamond"/>
                <w:sz w:val="24"/>
                <w:szCs w:val="24"/>
                <w:lang w:val="en-US" w:bidi="ru-RU"/>
              </w:rPr>
            </w:pPr>
          </w:p>
        </w:tc>
        <w:tc>
          <w:tcPr>
            <w:tcW w:w="1134" w:type="dxa"/>
          </w:tcPr>
          <w:p w14:paraId="5AC1F4A2" w14:textId="77777777" w:rsidR="00397933" w:rsidRPr="001700CC" w:rsidRDefault="00397933" w:rsidP="00397933">
            <w:pPr>
              <w:contextualSpacing/>
              <w:jc w:val="both"/>
              <w:rPr>
                <w:rFonts w:ascii="Garamond" w:hAnsi="Garamond" w:cs="Garamond"/>
                <w:sz w:val="24"/>
                <w:szCs w:val="24"/>
                <w:lang w:val="en-US" w:bidi="ru-RU"/>
              </w:rPr>
            </w:pPr>
          </w:p>
        </w:tc>
        <w:tc>
          <w:tcPr>
            <w:tcW w:w="1002" w:type="dxa"/>
          </w:tcPr>
          <w:p w14:paraId="5DD2DBD8" w14:textId="77777777" w:rsidR="00397933" w:rsidRPr="001700CC" w:rsidRDefault="00397933" w:rsidP="00397933">
            <w:pPr>
              <w:contextualSpacing/>
              <w:jc w:val="both"/>
              <w:rPr>
                <w:rFonts w:ascii="Garamond" w:hAnsi="Garamond" w:cs="Garamond"/>
                <w:sz w:val="24"/>
                <w:szCs w:val="24"/>
                <w:lang w:val="en-US" w:bidi="ru-RU"/>
              </w:rPr>
            </w:pPr>
          </w:p>
        </w:tc>
      </w:tr>
    </w:tbl>
    <w:p w14:paraId="6B94790F" w14:textId="77777777" w:rsidR="00397933" w:rsidRPr="001700CC" w:rsidRDefault="00397933" w:rsidP="001700CC">
      <w:pPr>
        <w:pStyle w:val="end2"/>
      </w:pPr>
      <w:r w:rsidRPr="001700CC">
        <w:lastRenderedPageBreak/>
        <w:t>Evaluation criteria</w:t>
      </w:r>
    </w:p>
    <w:p w14:paraId="39F529B6"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Each part of the assignment (</w:t>
      </w:r>
      <w:r w:rsidR="008C107D">
        <w:rPr>
          <w:rFonts w:cs="Garamond"/>
          <w:color w:val="auto"/>
          <w:sz w:val="28"/>
          <w:szCs w:val="28"/>
          <w:lang w:val="en-US" w:eastAsia="ru-RU" w:bidi="ru-RU"/>
        </w:rPr>
        <w:t>4</w:t>
      </w:r>
      <w:r w:rsidRPr="00397933">
        <w:rPr>
          <w:rFonts w:cs="Garamond"/>
          <w:color w:val="auto"/>
          <w:sz w:val="28"/>
          <w:szCs w:val="28"/>
          <w:lang w:val="en-US" w:eastAsia="ru-RU" w:bidi="ru-RU"/>
        </w:rPr>
        <w:t>.1</w:t>
      </w:r>
      <w:r w:rsidR="00202F88" w:rsidRPr="00397933">
        <w:rPr>
          <w:rFonts w:cs="Garamond"/>
          <w:color w:val="auto"/>
          <w:sz w:val="28"/>
          <w:szCs w:val="28"/>
          <w:lang w:val="en-US" w:eastAsia="ru-RU" w:bidi="ru-RU"/>
        </w:rPr>
        <w:t>–</w:t>
      </w:r>
      <w:r w:rsidR="008C107D">
        <w:rPr>
          <w:rFonts w:cs="Garamond"/>
          <w:color w:val="auto"/>
          <w:sz w:val="28"/>
          <w:szCs w:val="28"/>
          <w:lang w:val="en-US" w:eastAsia="ru-RU" w:bidi="ru-RU"/>
        </w:rPr>
        <w:t>4</w:t>
      </w:r>
      <w:r w:rsidRPr="00397933">
        <w:rPr>
          <w:rFonts w:cs="Garamond"/>
          <w:color w:val="auto"/>
          <w:sz w:val="28"/>
          <w:szCs w:val="28"/>
          <w:lang w:val="en-US" w:eastAsia="ru-RU" w:bidi="ru-RU"/>
        </w:rPr>
        <w:t>.5) is evaluated in 10 points according to the following criteria:</w:t>
      </w:r>
    </w:p>
    <w:p w14:paraId="0D4E0F4D" w14:textId="77777777" w:rsidR="00397933" w:rsidRPr="00397933" w:rsidRDefault="00397933" w:rsidP="006F749C">
      <w:pPr>
        <w:numPr>
          <w:ilvl w:val="0"/>
          <w:numId w:val="260"/>
        </w:numPr>
        <w:spacing w:line="312" w:lineRule="auto"/>
        <w:ind w:left="714" w:hanging="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complete disclosure of the issue – 3 points;</w:t>
      </w:r>
    </w:p>
    <w:p w14:paraId="06ADAAD5" w14:textId="77777777" w:rsidR="00397933" w:rsidRPr="00397933" w:rsidRDefault="00397933" w:rsidP="006F749C">
      <w:pPr>
        <w:numPr>
          <w:ilvl w:val="0"/>
          <w:numId w:val="260"/>
        </w:numPr>
        <w:spacing w:line="312" w:lineRule="auto"/>
        <w:ind w:left="714" w:hanging="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the accuracy of calculations – 3 point;</w:t>
      </w:r>
    </w:p>
    <w:p w14:paraId="4F7F6726" w14:textId="77777777" w:rsidR="00397933" w:rsidRPr="00397933" w:rsidRDefault="00397933" w:rsidP="006F749C">
      <w:pPr>
        <w:numPr>
          <w:ilvl w:val="0"/>
          <w:numId w:val="260"/>
        </w:numPr>
        <w:spacing w:line="312" w:lineRule="auto"/>
        <w:ind w:left="714" w:hanging="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the depth of analysis, identification of linkages – 4 points.</w:t>
      </w:r>
    </w:p>
    <w:p w14:paraId="65A4F85D" w14:textId="77777777" w:rsidR="00397933" w:rsidRPr="00397933" w:rsidRDefault="00397933" w:rsidP="00397933">
      <w:pPr>
        <w:spacing w:line="312" w:lineRule="auto"/>
        <w:ind w:firstLine="357"/>
        <w:contextualSpacing/>
        <w:jc w:val="both"/>
        <w:rPr>
          <w:rFonts w:cs="Garamond"/>
          <w:color w:val="auto"/>
          <w:sz w:val="28"/>
          <w:szCs w:val="28"/>
          <w:highlight w:val="yellow"/>
          <w:lang w:val="en-US" w:eastAsia="ru-RU" w:bidi="ru-RU"/>
        </w:rPr>
      </w:pPr>
      <w:r w:rsidRPr="00397933">
        <w:rPr>
          <w:rFonts w:cs="Garamond"/>
          <w:color w:val="auto"/>
          <w:sz w:val="28"/>
          <w:szCs w:val="28"/>
          <w:lang w:val="en-US" w:eastAsia="ru-RU" w:bidi="ru-RU"/>
        </w:rPr>
        <w:t xml:space="preserve">Description of the evaluation criteria </w:t>
      </w:r>
      <w:r w:rsidR="002B21FB">
        <w:rPr>
          <w:rFonts w:cs="Garamond"/>
          <w:color w:val="auto"/>
          <w:sz w:val="28"/>
          <w:szCs w:val="28"/>
          <w:lang w:val="en-US" w:eastAsia="ru-RU" w:bidi="ru-RU"/>
        </w:rPr>
        <w:t xml:space="preserve">is </w:t>
      </w:r>
      <w:r w:rsidRPr="00397933">
        <w:rPr>
          <w:rFonts w:cs="Garamond"/>
          <w:color w:val="auto"/>
          <w:sz w:val="28"/>
          <w:szCs w:val="28"/>
          <w:lang w:val="en-US" w:eastAsia="ru-RU" w:bidi="ru-RU"/>
        </w:rPr>
        <w:t xml:space="preserve">presented </w:t>
      </w:r>
      <w:r w:rsidR="001700CC" w:rsidRPr="001700CC">
        <w:rPr>
          <w:rFonts w:cs="Garamond"/>
          <w:color w:val="auto"/>
          <w:sz w:val="28"/>
          <w:szCs w:val="28"/>
          <w:lang w:val="en-US" w:eastAsia="ru-RU" w:bidi="ru-RU"/>
        </w:rPr>
        <w:t>in the box below</w:t>
      </w:r>
      <w:r w:rsidR="001700CC">
        <w:rPr>
          <w:rFonts w:cs="Garamond"/>
          <w:color w:val="auto"/>
          <w:sz w:val="28"/>
          <w:szCs w:val="28"/>
          <w:lang w:val="en-US" w:eastAsia="ru-RU" w:bidi="ru-RU"/>
        </w:rPr>
        <w:t>.</w:t>
      </w:r>
    </w:p>
    <w:p w14:paraId="04D906A5" w14:textId="77777777" w:rsidR="001700CC" w:rsidRDefault="001700CC" w:rsidP="00397933">
      <w:pPr>
        <w:contextualSpacing/>
        <w:jc w:val="center"/>
        <w:rPr>
          <w:rFonts w:cs="Garamond"/>
          <w:color w:val="auto"/>
          <w:sz w:val="28"/>
          <w:szCs w:val="28"/>
          <w:lang w:val="en-US" w:eastAsia="ru-RU" w:bidi="ru-RU"/>
        </w:rPr>
      </w:pPr>
    </w:p>
    <w:p w14:paraId="14E088EA" w14:textId="77777777" w:rsidR="00397933" w:rsidRPr="007F249B" w:rsidRDefault="00397933" w:rsidP="00397933">
      <w:pPr>
        <w:contextualSpacing/>
        <w:jc w:val="center"/>
        <w:rPr>
          <w:rFonts w:cs="Garamond"/>
          <w:b/>
          <w:color w:val="auto"/>
          <w:sz w:val="28"/>
          <w:szCs w:val="28"/>
          <w:lang w:val="en-US" w:eastAsia="ru-RU" w:bidi="ru-RU"/>
        </w:rPr>
      </w:pPr>
      <w:r w:rsidRPr="007F249B">
        <w:rPr>
          <w:rFonts w:cs="Garamond"/>
          <w:b/>
          <w:color w:val="auto"/>
          <w:sz w:val="28"/>
          <w:szCs w:val="28"/>
          <w:lang w:val="en-US" w:eastAsia="ru-RU" w:bidi="ru-RU"/>
        </w:rPr>
        <w:t>Evaluation criteria for the assignment</w:t>
      </w:r>
    </w:p>
    <w:tbl>
      <w:tblPr>
        <w:tblStyle w:val="TableNormal3"/>
        <w:tblW w:w="947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firstRow="1" w:lastRow="0" w:firstColumn="1" w:lastColumn="0" w:noHBand="0" w:noVBand="1"/>
      </w:tblPr>
      <w:tblGrid>
        <w:gridCol w:w="1915"/>
        <w:gridCol w:w="2214"/>
        <w:gridCol w:w="2215"/>
        <w:gridCol w:w="2215"/>
        <w:gridCol w:w="911"/>
      </w:tblGrid>
      <w:tr w:rsidR="00397933" w:rsidRPr="001700CC" w14:paraId="759ABF8A" w14:textId="77777777" w:rsidTr="001700CC">
        <w:trPr>
          <w:trHeight w:val="485"/>
        </w:trPr>
        <w:tc>
          <w:tcPr>
            <w:tcW w:w="1915"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80" w:type="dxa"/>
              <w:left w:w="80" w:type="dxa"/>
              <w:bottom w:w="80" w:type="dxa"/>
              <w:right w:w="80" w:type="dxa"/>
            </w:tcMar>
            <w:vAlign w:val="center"/>
            <w:hideMark/>
          </w:tcPr>
          <w:p w14:paraId="04F1297E" w14:textId="77777777" w:rsidR="00397933" w:rsidRPr="001700CC" w:rsidRDefault="00397933" w:rsidP="00397933">
            <w:pPr>
              <w:jc w:val="center"/>
              <w:rPr>
                <w:rFonts w:ascii="Garamond" w:hAnsi="Garamond"/>
                <w:b/>
                <w:sz w:val="24"/>
                <w:szCs w:val="24"/>
                <w:lang w:val="en-US"/>
              </w:rPr>
            </w:pPr>
            <w:r w:rsidRPr="001700CC">
              <w:rPr>
                <w:rFonts w:ascii="Garamond" w:hAnsi="Garamond" w:cs="Arial Unicode MS"/>
                <w:b/>
                <w:sz w:val="24"/>
                <w:szCs w:val="24"/>
                <w:lang w:val="en-US"/>
              </w:rPr>
              <w:t>Evaluation criteria</w:t>
            </w:r>
          </w:p>
        </w:tc>
        <w:tc>
          <w:tcPr>
            <w:tcW w:w="2214"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80" w:type="dxa"/>
              <w:left w:w="80" w:type="dxa"/>
              <w:bottom w:w="80" w:type="dxa"/>
              <w:right w:w="80" w:type="dxa"/>
            </w:tcMar>
            <w:vAlign w:val="center"/>
            <w:hideMark/>
          </w:tcPr>
          <w:p w14:paraId="32D167E5" w14:textId="77777777" w:rsidR="00397933" w:rsidRPr="001700CC" w:rsidRDefault="00397933" w:rsidP="00397933">
            <w:pPr>
              <w:jc w:val="center"/>
              <w:rPr>
                <w:rFonts w:ascii="Garamond" w:hAnsi="Garamond"/>
                <w:b/>
                <w:sz w:val="24"/>
                <w:szCs w:val="24"/>
                <w:lang w:val="en-US"/>
              </w:rPr>
            </w:pPr>
            <w:r w:rsidRPr="001700CC">
              <w:rPr>
                <w:rFonts w:ascii="Garamond" w:hAnsi="Garamond"/>
                <w:b/>
                <w:sz w:val="24"/>
                <w:szCs w:val="24"/>
                <w:lang w:val="en-US"/>
              </w:rPr>
              <w:t>Needs Improvement</w:t>
            </w:r>
          </w:p>
        </w:tc>
        <w:tc>
          <w:tcPr>
            <w:tcW w:w="2215"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80" w:type="dxa"/>
              <w:left w:w="80" w:type="dxa"/>
              <w:bottom w:w="80" w:type="dxa"/>
              <w:right w:w="80" w:type="dxa"/>
            </w:tcMar>
            <w:vAlign w:val="center"/>
            <w:hideMark/>
          </w:tcPr>
          <w:p w14:paraId="268B7A9C" w14:textId="77777777" w:rsidR="00397933" w:rsidRPr="001700CC" w:rsidRDefault="00397933" w:rsidP="00397933">
            <w:pPr>
              <w:jc w:val="center"/>
              <w:rPr>
                <w:rFonts w:ascii="Garamond" w:hAnsi="Garamond"/>
                <w:b/>
                <w:sz w:val="24"/>
                <w:szCs w:val="24"/>
                <w:lang w:val="en-US"/>
              </w:rPr>
            </w:pPr>
            <w:r w:rsidRPr="001700CC">
              <w:rPr>
                <w:rFonts w:ascii="Garamond" w:hAnsi="Garamond"/>
                <w:b/>
                <w:sz w:val="24"/>
                <w:szCs w:val="24"/>
                <w:lang w:val="en-US"/>
              </w:rPr>
              <w:t>Acceptable</w:t>
            </w:r>
          </w:p>
        </w:tc>
        <w:tc>
          <w:tcPr>
            <w:tcW w:w="2215"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80" w:type="dxa"/>
              <w:left w:w="80" w:type="dxa"/>
              <w:bottom w:w="80" w:type="dxa"/>
              <w:right w:w="80" w:type="dxa"/>
            </w:tcMar>
            <w:vAlign w:val="center"/>
            <w:hideMark/>
          </w:tcPr>
          <w:p w14:paraId="4FEB71E9" w14:textId="77777777" w:rsidR="00397933" w:rsidRPr="001700CC" w:rsidRDefault="00397933" w:rsidP="00397933">
            <w:pPr>
              <w:jc w:val="center"/>
              <w:rPr>
                <w:rFonts w:ascii="Garamond" w:hAnsi="Garamond"/>
                <w:b/>
                <w:sz w:val="24"/>
                <w:szCs w:val="24"/>
                <w:lang w:val="en-US"/>
              </w:rPr>
            </w:pPr>
            <w:r w:rsidRPr="001700CC">
              <w:rPr>
                <w:rFonts w:ascii="Garamond" w:hAnsi="Garamond"/>
                <w:b/>
                <w:sz w:val="24"/>
                <w:szCs w:val="24"/>
                <w:lang w:val="en-US"/>
              </w:rPr>
              <w:t>Outstanding</w:t>
            </w:r>
          </w:p>
        </w:tc>
        <w:tc>
          <w:tcPr>
            <w:tcW w:w="911" w:type="dxa"/>
            <w:tcBorders>
              <w:top w:val="single" w:sz="2" w:space="0" w:color="000000"/>
              <w:left w:val="single" w:sz="2" w:space="0" w:color="000000"/>
              <w:bottom w:val="single" w:sz="2" w:space="0" w:color="000000"/>
              <w:right w:val="single" w:sz="2" w:space="0" w:color="000000"/>
            </w:tcBorders>
            <w:shd w:val="clear" w:color="auto" w:fill="D9D9D9" w:themeFill="background1" w:themeFillShade="D9"/>
            <w:vAlign w:val="center"/>
          </w:tcPr>
          <w:p w14:paraId="167DDD2D" w14:textId="77777777" w:rsidR="00397933" w:rsidRPr="001700CC" w:rsidRDefault="00397933" w:rsidP="00397933">
            <w:pPr>
              <w:jc w:val="center"/>
              <w:rPr>
                <w:rFonts w:ascii="Garamond" w:hAnsi="Garamond"/>
                <w:b/>
                <w:sz w:val="24"/>
                <w:szCs w:val="24"/>
                <w:lang w:val="en-US"/>
              </w:rPr>
            </w:pPr>
            <w:r w:rsidRPr="001700CC">
              <w:rPr>
                <w:rFonts w:ascii="Garamond" w:hAnsi="Garamond"/>
                <w:b/>
                <w:sz w:val="24"/>
                <w:szCs w:val="24"/>
                <w:lang w:val="en-US"/>
              </w:rPr>
              <w:t>Points Possible</w:t>
            </w:r>
          </w:p>
        </w:tc>
      </w:tr>
      <w:tr w:rsidR="00397933" w:rsidRPr="001700CC" w14:paraId="20261DDA" w14:textId="77777777" w:rsidTr="00397933">
        <w:trPr>
          <w:trHeight w:val="1445"/>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4CB31A2D" w14:textId="77777777" w:rsidR="00397933" w:rsidRPr="001700CC" w:rsidRDefault="00397933" w:rsidP="00397933">
            <w:pPr>
              <w:rPr>
                <w:rFonts w:ascii="Garamond" w:hAnsi="Garamond"/>
                <w:sz w:val="24"/>
                <w:szCs w:val="24"/>
                <w:lang w:val="en-US"/>
              </w:rPr>
            </w:pPr>
            <w:r w:rsidRPr="001700CC">
              <w:rPr>
                <w:rFonts w:ascii="Garamond" w:hAnsi="Garamond" w:cs="Arial Unicode MS"/>
                <w:sz w:val="24"/>
                <w:szCs w:val="24"/>
                <w:lang w:val="en-US"/>
              </w:rPr>
              <w:t>Complete disclosure of the issue</w:t>
            </w:r>
          </w:p>
        </w:tc>
        <w:tc>
          <w:tcPr>
            <w:tcW w:w="221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0E0012BB" w14:textId="77777777" w:rsidR="00397933" w:rsidRPr="001700CC" w:rsidRDefault="00397933" w:rsidP="00397933">
            <w:pPr>
              <w:rPr>
                <w:rFonts w:ascii="Garamond" w:hAnsi="Garamond"/>
                <w:sz w:val="24"/>
                <w:szCs w:val="24"/>
                <w:lang w:val="en-US" w:eastAsia="en-US"/>
              </w:rPr>
            </w:pPr>
            <w:r w:rsidRPr="001700CC">
              <w:rPr>
                <w:rFonts w:ascii="Garamond" w:hAnsi="Garamond"/>
                <w:sz w:val="24"/>
                <w:szCs w:val="24"/>
                <w:lang w:val="en-US" w:eastAsia="en-US"/>
              </w:rPr>
              <w:t>Task has not been completed (0 points) or the issue is poorly described.</w:t>
            </w:r>
          </w:p>
          <w:p w14:paraId="33DB565E" w14:textId="77777777" w:rsidR="00397933" w:rsidRPr="001700CC" w:rsidRDefault="00202F88" w:rsidP="00397933">
            <w:pPr>
              <w:rPr>
                <w:rFonts w:ascii="Garamond" w:hAnsi="Garamond"/>
                <w:sz w:val="24"/>
                <w:szCs w:val="24"/>
                <w:lang w:val="en-US"/>
              </w:rPr>
            </w:pPr>
            <w:r>
              <w:rPr>
                <w:rFonts w:ascii="Garamond" w:hAnsi="Garamond"/>
                <w:sz w:val="24"/>
                <w:szCs w:val="24"/>
                <w:lang w:val="en-US"/>
              </w:rPr>
              <w:t>0–</w:t>
            </w:r>
            <w:r w:rsidR="00397933" w:rsidRPr="001700CC">
              <w:rPr>
                <w:rFonts w:ascii="Garamond" w:hAnsi="Garamond"/>
                <w:sz w:val="24"/>
                <w:szCs w:val="24"/>
                <w:lang w:val="en-US"/>
              </w:rPr>
              <w:t>1 points</w:t>
            </w:r>
          </w:p>
        </w:tc>
        <w:tc>
          <w:tcPr>
            <w:tcW w:w="22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008D241A" w14:textId="77777777" w:rsidR="00397933" w:rsidRPr="001700CC" w:rsidRDefault="00397933" w:rsidP="00397933">
            <w:pPr>
              <w:rPr>
                <w:rFonts w:ascii="Garamond" w:hAnsi="Garamond"/>
                <w:sz w:val="24"/>
                <w:szCs w:val="24"/>
                <w:lang w:val="en-US" w:eastAsia="en-US"/>
              </w:rPr>
            </w:pPr>
            <w:r w:rsidRPr="001700CC">
              <w:rPr>
                <w:rFonts w:ascii="Garamond" w:hAnsi="Garamond"/>
                <w:sz w:val="24"/>
                <w:szCs w:val="24"/>
                <w:lang w:val="en-US" w:eastAsia="en-US"/>
              </w:rPr>
              <w:t>Study</w:t>
            </w:r>
            <w:r w:rsidR="00202F88">
              <w:rPr>
                <w:rFonts w:ascii="Garamond" w:hAnsi="Garamond"/>
                <w:sz w:val="24"/>
                <w:szCs w:val="24"/>
                <w:lang w:val="en-US" w:eastAsia="en-US"/>
              </w:rPr>
              <w:t xml:space="preserve"> does not cover</w:t>
            </w:r>
            <w:r w:rsidRPr="001700CC">
              <w:rPr>
                <w:rFonts w:ascii="Garamond" w:hAnsi="Garamond"/>
                <w:sz w:val="24"/>
                <w:szCs w:val="24"/>
                <w:lang w:val="en-US" w:eastAsia="en-US"/>
              </w:rPr>
              <w:t xml:space="preserve"> all aspects of the issue or there are theoretical inaccuracies</w:t>
            </w:r>
            <w:r w:rsidR="00202F88">
              <w:rPr>
                <w:rFonts w:ascii="Garamond" w:hAnsi="Garamond"/>
                <w:sz w:val="24"/>
                <w:szCs w:val="24"/>
                <w:lang w:val="en-US" w:eastAsia="en-US"/>
              </w:rPr>
              <w:t xml:space="preserve"> and an</w:t>
            </w:r>
            <w:r w:rsidRPr="001700CC">
              <w:rPr>
                <w:rFonts w:ascii="Garamond" w:hAnsi="Garamond"/>
                <w:sz w:val="24"/>
                <w:szCs w:val="24"/>
                <w:lang w:val="en-US" w:eastAsia="en-US"/>
              </w:rPr>
              <w:t xml:space="preserve"> outdated information is used.</w:t>
            </w:r>
          </w:p>
          <w:p w14:paraId="41AEA5A7" w14:textId="77777777" w:rsidR="00397933" w:rsidRPr="001700CC" w:rsidRDefault="00397933" w:rsidP="00397933">
            <w:pPr>
              <w:rPr>
                <w:rFonts w:ascii="Garamond" w:hAnsi="Garamond"/>
                <w:sz w:val="24"/>
                <w:szCs w:val="24"/>
                <w:lang w:val="en-US"/>
              </w:rPr>
            </w:pPr>
            <w:r w:rsidRPr="001700CC">
              <w:rPr>
                <w:rFonts w:ascii="Garamond" w:hAnsi="Garamond"/>
                <w:sz w:val="24"/>
                <w:szCs w:val="24"/>
                <w:lang w:val="en-US"/>
              </w:rPr>
              <w:t>2 points</w:t>
            </w:r>
          </w:p>
        </w:tc>
        <w:tc>
          <w:tcPr>
            <w:tcW w:w="22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6415D7F3" w14:textId="77777777" w:rsidR="00397933" w:rsidRPr="001700CC" w:rsidRDefault="00397933" w:rsidP="00397933">
            <w:pPr>
              <w:rPr>
                <w:rFonts w:ascii="Garamond" w:hAnsi="Garamond"/>
                <w:sz w:val="24"/>
                <w:szCs w:val="24"/>
                <w:lang w:val="en-US" w:eastAsia="en-US"/>
              </w:rPr>
            </w:pPr>
            <w:r w:rsidRPr="001700CC">
              <w:rPr>
                <w:rFonts w:ascii="Garamond" w:hAnsi="Garamond"/>
                <w:sz w:val="24"/>
                <w:szCs w:val="24"/>
                <w:lang w:val="en-US" w:eastAsia="en-US"/>
              </w:rPr>
              <w:t>The issue is comprehensively covered; all aspects are taken into account.</w:t>
            </w:r>
          </w:p>
          <w:p w14:paraId="350A7A3E" w14:textId="77777777" w:rsidR="00397933" w:rsidRPr="001700CC" w:rsidRDefault="00397933" w:rsidP="00397933">
            <w:pPr>
              <w:rPr>
                <w:rFonts w:ascii="Garamond" w:hAnsi="Garamond"/>
                <w:sz w:val="24"/>
                <w:szCs w:val="24"/>
                <w:lang w:val="en-US"/>
              </w:rPr>
            </w:pPr>
            <w:r w:rsidRPr="001700CC">
              <w:rPr>
                <w:rFonts w:ascii="Garamond" w:hAnsi="Garamond"/>
                <w:sz w:val="24"/>
                <w:szCs w:val="24"/>
                <w:lang w:val="en-US"/>
              </w:rPr>
              <w:t>3 points</w:t>
            </w:r>
          </w:p>
        </w:tc>
        <w:tc>
          <w:tcPr>
            <w:tcW w:w="911" w:type="dxa"/>
            <w:tcBorders>
              <w:top w:val="single" w:sz="2" w:space="0" w:color="000000"/>
              <w:left w:val="single" w:sz="2" w:space="0" w:color="000000"/>
              <w:bottom w:val="single" w:sz="2" w:space="0" w:color="000000"/>
              <w:right w:val="single" w:sz="2" w:space="0" w:color="000000"/>
            </w:tcBorders>
            <w:shd w:val="clear" w:color="auto" w:fill="FFFFFF"/>
          </w:tcPr>
          <w:p w14:paraId="6E0064C0" w14:textId="77777777" w:rsidR="00397933" w:rsidRPr="001700CC" w:rsidRDefault="00397933" w:rsidP="00397933">
            <w:pPr>
              <w:jc w:val="center"/>
              <w:rPr>
                <w:rFonts w:ascii="Garamond" w:hAnsi="Garamond"/>
                <w:sz w:val="24"/>
                <w:szCs w:val="24"/>
                <w:lang w:val="en-US" w:eastAsia="en-US"/>
              </w:rPr>
            </w:pPr>
            <w:r w:rsidRPr="001700CC">
              <w:rPr>
                <w:rFonts w:ascii="Garamond" w:hAnsi="Garamond" w:cs="Arial Unicode MS"/>
                <w:sz w:val="24"/>
                <w:szCs w:val="24"/>
                <w:lang w:val="en-US" w:eastAsia="en-US"/>
              </w:rPr>
              <w:t>3</w:t>
            </w:r>
          </w:p>
        </w:tc>
      </w:tr>
      <w:tr w:rsidR="00397933" w:rsidRPr="001700CC" w14:paraId="49A32F35" w14:textId="77777777" w:rsidTr="00397933">
        <w:trPr>
          <w:trHeight w:val="1685"/>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7153F0A9" w14:textId="77777777" w:rsidR="00397933" w:rsidRPr="001700CC" w:rsidRDefault="00397933" w:rsidP="00397933">
            <w:pPr>
              <w:rPr>
                <w:rFonts w:ascii="Garamond" w:hAnsi="Garamond"/>
                <w:sz w:val="24"/>
                <w:szCs w:val="24"/>
                <w:highlight w:val="yellow"/>
                <w:lang w:val="en-US"/>
              </w:rPr>
            </w:pPr>
            <w:r w:rsidRPr="001700CC">
              <w:rPr>
                <w:rFonts w:ascii="Garamond" w:hAnsi="Garamond" w:cs="Garamond"/>
                <w:sz w:val="24"/>
                <w:szCs w:val="24"/>
                <w:lang w:val="en-US" w:eastAsia="ru-RU" w:bidi="ru-RU"/>
              </w:rPr>
              <w:t>Accuracy of calculations</w:t>
            </w:r>
          </w:p>
        </w:tc>
        <w:tc>
          <w:tcPr>
            <w:tcW w:w="221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3C4473A3" w14:textId="77777777" w:rsidR="00397933" w:rsidRPr="001700CC" w:rsidRDefault="00397933" w:rsidP="00397933">
            <w:pPr>
              <w:rPr>
                <w:rFonts w:ascii="Garamond" w:hAnsi="Garamond"/>
                <w:sz w:val="24"/>
                <w:szCs w:val="24"/>
                <w:lang w:val="en-US" w:eastAsia="en-US"/>
              </w:rPr>
            </w:pPr>
            <w:r w:rsidRPr="001700CC">
              <w:rPr>
                <w:rFonts w:ascii="Garamond" w:hAnsi="Garamond"/>
                <w:sz w:val="24"/>
                <w:szCs w:val="24"/>
                <w:lang w:val="en-US" w:eastAsia="en-US"/>
              </w:rPr>
              <w:t xml:space="preserve">Calculations are performed incompletely, there are gross </w:t>
            </w:r>
            <w:r w:rsidR="00202F88">
              <w:rPr>
                <w:rFonts w:ascii="Garamond" w:hAnsi="Garamond"/>
                <w:sz w:val="24"/>
                <w:szCs w:val="24"/>
                <w:lang w:val="en-US" w:eastAsia="en-US"/>
              </w:rPr>
              <w:t>errors</w:t>
            </w:r>
            <w:r w:rsidRPr="001700CC">
              <w:rPr>
                <w:rFonts w:ascii="Garamond" w:hAnsi="Garamond"/>
                <w:sz w:val="24"/>
                <w:szCs w:val="24"/>
                <w:lang w:val="en-US" w:eastAsia="en-US"/>
              </w:rPr>
              <w:t xml:space="preserve"> in calculations.</w:t>
            </w:r>
          </w:p>
          <w:p w14:paraId="291511CD" w14:textId="77777777" w:rsidR="00397933" w:rsidRPr="001700CC" w:rsidRDefault="00397933" w:rsidP="00397933">
            <w:pPr>
              <w:rPr>
                <w:rFonts w:ascii="Garamond" w:hAnsi="Garamond"/>
                <w:sz w:val="24"/>
                <w:szCs w:val="24"/>
                <w:lang w:val="en-US"/>
              </w:rPr>
            </w:pPr>
            <w:r w:rsidRPr="001700CC">
              <w:rPr>
                <w:rFonts w:ascii="Garamond" w:hAnsi="Garamond"/>
                <w:sz w:val="24"/>
                <w:szCs w:val="24"/>
                <w:lang w:val="en-US"/>
              </w:rPr>
              <w:t>0</w:t>
            </w:r>
            <w:r w:rsidR="00202F88">
              <w:rPr>
                <w:rFonts w:ascii="Garamond" w:hAnsi="Garamond"/>
                <w:sz w:val="24"/>
                <w:szCs w:val="24"/>
                <w:lang w:val="en-US"/>
              </w:rPr>
              <w:t>–</w:t>
            </w:r>
            <w:r w:rsidRPr="001700CC">
              <w:rPr>
                <w:rFonts w:ascii="Garamond" w:hAnsi="Garamond"/>
                <w:sz w:val="24"/>
                <w:szCs w:val="24"/>
                <w:lang w:val="en-US"/>
              </w:rPr>
              <w:t>1 points</w:t>
            </w:r>
          </w:p>
        </w:tc>
        <w:tc>
          <w:tcPr>
            <w:tcW w:w="22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2858BA4B" w14:textId="77777777" w:rsidR="00397933" w:rsidRPr="001700CC" w:rsidRDefault="00397933" w:rsidP="00397933">
            <w:pPr>
              <w:rPr>
                <w:rFonts w:ascii="Garamond" w:hAnsi="Garamond"/>
                <w:sz w:val="24"/>
                <w:szCs w:val="24"/>
                <w:lang w:val="en-US" w:eastAsia="en-US"/>
              </w:rPr>
            </w:pPr>
            <w:r w:rsidRPr="001700CC">
              <w:rPr>
                <w:rFonts w:ascii="Garamond" w:hAnsi="Garamond"/>
                <w:sz w:val="24"/>
                <w:szCs w:val="24"/>
                <w:lang w:val="en-US" w:eastAsia="en-US"/>
              </w:rPr>
              <w:t xml:space="preserve">Calculations are performed completely, but there are several insignificant </w:t>
            </w:r>
            <w:r w:rsidR="00202F88">
              <w:rPr>
                <w:rFonts w:ascii="Garamond" w:hAnsi="Garamond"/>
                <w:sz w:val="24"/>
                <w:szCs w:val="24"/>
                <w:lang w:val="en-US" w:eastAsia="en-US"/>
              </w:rPr>
              <w:t>errors</w:t>
            </w:r>
          </w:p>
          <w:p w14:paraId="6EEF9A66" w14:textId="77777777" w:rsidR="00397933" w:rsidRPr="001700CC" w:rsidRDefault="00397933" w:rsidP="00397933">
            <w:pPr>
              <w:rPr>
                <w:rFonts w:ascii="Garamond" w:hAnsi="Garamond"/>
                <w:sz w:val="24"/>
                <w:szCs w:val="24"/>
                <w:lang w:val="en-US"/>
              </w:rPr>
            </w:pPr>
            <w:r w:rsidRPr="001700CC">
              <w:rPr>
                <w:rFonts w:ascii="Garamond" w:hAnsi="Garamond"/>
                <w:sz w:val="24"/>
                <w:szCs w:val="24"/>
                <w:lang w:val="en-US"/>
              </w:rPr>
              <w:t>2 points</w:t>
            </w:r>
          </w:p>
        </w:tc>
        <w:tc>
          <w:tcPr>
            <w:tcW w:w="22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79031C02" w14:textId="77777777" w:rsidR="00397933" w:rsidRPr="001700CC" w:rsidRDefault="00397933" w:rsidP="00397933">
            <w:pPr>
              <w:rPr>
                <w:rFonts w:ascii="Garamond" w:hAnsi="Garamond"/>
                <w:sz w:val="24"/>
                <w:szCs w:val="24"/>
                <w:lang w:val="en-US" w:eastAsia="en-US"/>
              </w:rPr>
            </w:pPr>
            <w:r w:rsidRPr="001700CC">
              <w:rPr>
                <w:rFonts w:ascii="Garamond" w:hAnsi="Garamond"/>
                <w:sz w:val="24"/>
                <w:szCs w:val="24"/>
                <w:lang w:val="en-US" w:eastAsia="en-US"/>
              </w:rPr>
              <w:t>Calculations are performed completely, no mistakes, may have arithmetical inaccuracies.</w:t>
            </w:r>
          </w:p>
          <w:p w14:paraId="07567A95" w14:textId="77777777" w:rsidR="00397933" w:rsidRPr="001700CC" w:rsidRDefault="00397933" w:rsidP="00397933">
            <w:pPr>
              <w:rPr>
                <w:rFonts w:ascii="Garamond" w:hAnsi="Garamond"/>
                <w:sz w:val="24"/>
                <w:szCs w:val="24"/>
                <w:lang w:val="en-US"/>
              </w:rPr>
            </w:pPr>
            <w:r w:rsidRPr="001700CC">
              <w:rPr>
                <w:rFonts w:ascii="Garamond" w:hAnsi="Garamond"/>
                <w:sz w:val="24"/>
                <w:szCs w:val="24"/>
                <w:lang w:val="en-US"/>
              </w:rPr>
              <w:t>3 points</w:t>
            </w:r>
          </w:p>
        </w:tc>
        <w:tc>
          <w:tcPr>
            <w:tcW w:w="911" w:type="dxa"/>
            <w:tcBorders>
              <w:top w:val="single" w:sz="2" w:space="0" w:color="000000"/>
              <w:left w:val="single" w:sz="2" w:space="0" w:color="000000"/>
              <w:bottom w:val="single" w:sz="2" w:space="0" w:color="000000"/>
              <w:right w:val="single" w:sz="2" w:space="0" w:color="000000"/>
            </w:tcBorders>
            <w:shd w:val="clear" w:color="auto" w:fill="FFFFFF"/>
          </w:tcPr>
          <w:p w14:paraId="1BA9515D" w14:textId="77777777" w:rsidR="00397933" w:rsidRPr="001700CC" w:rsidRDefault="00397933" w:rsidP="00397933">
            <w:pPr>
              <w:jc w:val="center"/>
              <w:rPr>
                <w:rFonts w:ascii="Garamond" w:hAnsi="Garamond"/>
                <w:sz w:val="24"/>
                <w:szCs w:val="24"/>
                <w:lang w:val="en-US" w:eastAsia="en-US"/>
              </w:rPr>
            </w:pPr>
            <w:r w:rsidRPr="001700CC">
              <w:rPr>
                <w:rFonts w:ascii="Garamond" w:hAnsi="Garamond" w:cs="Arial Unicode MS"/>
                <w:sz w:val="24"/>
                <w:szCs w:val="24"/>
                <w:lang w:val="en-US" w:eastAsia="en-US"/>
              </w:rPr>
              <w:t>3</w:t>
            </w:r>
          </w:p>
        </w:tc>
      </w:tr>
      <w:tr w:rsidR="00397933" w:rsidRPr="001700CC" w14:paraId="216B3DF1" w14:textId="77777777" w:rsidTr="00397933">
        <w:trPr>
          <w:trHeight w:val="1445"/>
        </w:trPr>
        <w:tc>
          <w:tcPr>
            <w:tcW w:w="19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1456D69A" w14:textId="77777777" w:rsidR="00397933" w:rsidRPr="001700CC" w:rsidRDefault="00397933" w:rsidP="00397933">
            <w:pPr>
              <w:rPr>
                <w:rFonts w:ascii="Garamond" w:hAnsi="Garamond"/>
                <w:sz w:val="24"/>
                <w:szCs w:val="24"/>
                <w:highlight w:val="yellow"/>
                <w:lang w:val="en-US"/>
              </w:rPr>
            </w:pPr>
            <w:r w:rsidRPr="001700CC">
              <w:rPr>
                <w:rFonts w:ascii="Garamond" w:hAnsi="Garamond" w:cs="Garamond"/>
                <w:sz w:val="24"/>
                <w:szCs w:val="24"/>
                <w:lang w:val="en-US" w:eastAsia="ru-RU" w:bidi="ru-RU"/>
              </w:rPr>
              <w:t>Depth of analysis, identification of linkages</w:t>
            </w:r>
          </w:p>
        </w:tc>
        <w:tc>
          <w:tcPr>
            <w:tcW w:w="2214"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62739D52" w14:textId="77777777" w:rsidR="00397933" w:rsidRPr="001700CC" w:rsidRDefault="002B21FB" w:rsidP="00397933">
            <w:pPr>
              <w:rPr>
                <w:rFonts w:ascii="Garamond" w:hAnsi="Garamond"/>
                <w:sz w:val="24"/>
                <w:szCs w:val="24"/>
                <w:lang w:val="en-US" w:eastAsia="en-US"/>
              </w:rPr>
            </w:pPr>
            <w:r>
              <w:rPr>
                <w:rFonts w:ascii="Garamond" w:hAnsi="Garamond"/>
                <w:sz w:val="24"/>
                <w:szCs w:val="24"/>
                <w:lang w:val="en-US" w:eastAsia="en-US"/>
              </w:rPr>
              <w:t>There are no conclusions (0 </w:t>
            </w:r>
            <w:r w:rsidR="00397933" w:rsidRPr="001700CC">
              <w:rPr>
                <w:rFonts w:ascii="Garamond" w:hAnsi="Garamond"/>
                <w:sz w:val="24"/>
                <w:szCs w:val="24"/>
                <w:lang w:val="en-US" w:eastAsia="en-US"/>
              </w:rPr>
              <w:t>points)</w:t>
            </w:r>
            <w:r w:rsidR="00202F88">
              <w:rPr>
                <w:rFonts w:ascii="Garamond" w:hAnsi="Garamond"/>
                <w:sz w:val="24"/>
                <w:szCs w:val="24"/>
                <w:lang w:val="en-US" w:eastAsia="en-US"/>
              </w:rPr>
              <w:t>,</w:t>
            </w:r>
            <w:r w:rsidR="00397933" w:rsidRPr="001700CC">
              <w:rPr>
                <w:rFonts w:ascii="Garamond" w:hAnsi="Garamond"/>
                <w:sz w:val="24"/>
                <w:szCs w:val="24"/>
                <w:lang w:val="en-US" w:eastAsia="en-US"/>
              </w:rPr>
              <w:t xml:space="preserve"> or the analysis is superficial.</w:t>
            </w:r>
          </w:p>
          <w:p w14:paraId="086748A8" w14:textId="77777777" w:rsidR="00397933" w:rsidRPr="001700CC" w:rsidRDefault="00397933" w:rsidP="00397933">
            <w:pPr>
              <w:rPr>
                <w:rFonts w:ascii="Garamond" w:hAnsi="Garamond"/>
                <w:sz w:val="24"/>
                <w:szCs w:val="24"/>
                <w:lang w:val="en-US"/>
              </w:rPr>
            </w:pPr>
            <w:r w:rsidRPr="001700CC">
              <w:rPr>
                <w:rFonts w:ascii="Garamond" w:hAnsi="Garamond"/>
                <w:sz w:val="24"/>
                <w:szCs w:val="24"/>
                <w:lang w:val="en-US" w:eastAsia="en-US"/>
              </w:rPr>
              <w:t xml:space="preserve"> </w:t>
            </w:r>
            <w:r w:rsidRPr="001700CC">
              <w:rPr>
                <w:rFonts w:ascii="Garamond" w:hAnsi="Garamond"/>
                <w:sz w:val="24"/>
                <w:szCs w:val="24"/>
                <w:lang w:val="en-US"/>
              </w:rPr>
              <w:t>0</w:t>
            </w:r>
            <w:r w:rsidR="00202F88">
              <w:rPr>
                <w:rFonts w:ascii="Garamond" w:hAnsi="Garamond"/>
                <w:sz w:val="24"/>
                <w:szCs w:val="24"/>
                <w:lang w:val="en-US"/>
              </w:rPr>
              <w:t>–</w:t>
            </w:r>
            <w:r w:rsidRPr="001700CC">
              <w:rPr>
                <w:rFonts w:ascii="Garamond" w:hAnsi="Garamond"/>
                <w:sz w:val="24"/>
                <w:szCs w:val="24"/>
                <w:lang w:val="en-US"/>
              </w:rPr>
              <w:t>1 points</w:t>
            </w:r>
          </w:p>
        </w:tc>
        <w:tc>
          <w:tcPr>
            <w:tcW w:w="22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7D5AFDCA" w14:textId="77777777" w:rsidR="00397933" w:rsidRPr="001700CC" w:rsidRDefault="00397933" w:rsidP="00397933">
            <w:pPr>
              <w:rPr>
                <w:rFonts w:ascii="Garamond" w:hAnsi="Garamond"/>
                <w:sz w:val="24"/>
                <w:szCs w:val="24"/>
                <w:lang w:val="en-US" w:eastAsia="en-US"/>
              </w:rPr>
            </w:pPr>
            <w:r w:rsidRPr="001700CC">
              <w:rPr>
                <w:rFonts w:ascii="Garamond" w:hAnsi="Garamond"/>
                <w:sz w:val="24"/>
                <w:szCs w:val="24"/>
                <w:lang w:val="en-US" w:eastAsia="en-US"/>
              </w:rPr>
              <w:t>There are mistakes in findings, causal links are not identified.</w:t>
            </w:r>
          </w:p>
          <w:p w14:paraId="26C72765" w14:textId="77777777" w:rsidR="00397933" w:rsidRPr="001700CC" w:rsidRDefault="00397933" w:rsidP="00397933">
            <w:pPr>
              <w:rPr>
                <w:rFonts w:ascii="Garamond" w:hAnsi="Garamond"/>
                <w:sz w:val="24"/>
                <w:szCs w:val="24"/>
                <w:lang w:val="en-US"/>
              </w:rPr>
            </w:pPr>
            <w:r w:rsidRPr="001700CC">
              <w:rPr>
                <w:rFonts w:ascii="Garamond" w:hAnsi="Garamond"/>
                <w:sz w:val="24"/>
                <w:szCs w:val="24"/>
                <w:lang w:val="en-US"/>
              </w:rPr>
              <w:t>2</w:t>
            </w:r>
            <w:r w:rsidR="00202F88">
              <w:rPr>
                <w:rFonts w:ascii="Garamond" w:hAnsi="Garamond"/>
                <w:sz w:val="24"/>
                <w:szCs w:val="24"/>
                <w:lang w:val="en-US"/>
              </w:rPr>
              <w:t>–</w:t>
            </w:r>
            <w:r w:rsidRPr="001700CC">
              <w:rPr>
                <w:rFonts w:ascii="Garamond" w:hAnsi="Garamond"/>
                <w:sz w:val="24"/>
                <w:szCs w:val="24"/>
                <w:lang w:val="en-US"/>
              </w:rPr>
              <w:t>3 points</w:t>
            </w:r>
          </w:p>
        </w:tc>
        <w:tc>
          <w:tcPr>
            <w:tcW w:w="2215" w:type="dxa"/>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413F0EA8" w14:textId="77777777" w:rsidR="00397933" w:rsidRPr="001700CC" w:rsidRDefault="00397933" w:rsidP="00397933">
            <w:pPr>
              <w:rPr>
                <w:rFonts w:ascii="Garamond" w:hAnsi="Garamond"/>
                <w:sz w:val="24"/>
                <w:szCs w:val="24"/>
                <w:lang w:val="en-US" w:eastAsia="en-US"/>
              </w:rPr>
            </w:pPr>
            <w:r w:rsidRPr="001700CC">
              <w:rPr>
                <w:rFonts w:ascii="Garamond" w:hAnsi="Garamond"/>
                <w:sz w:val="24"/>
                <w:szCs w:val="24"/>
                <w:lang w:val="en-US" w:eastAsia="en-US"/>
              </w:rPr>
              <w:t>The analysis is deep, conclusions are correct, causal links are identified.</w:t>
            </w:r>
          </w:p>
          <w:p w14:paraId="2B220904" w14:textId="77777777" w:rsidR="00397933" w:rsidRPr="001700CC" w:rsidRDefault="00397933" w:rsidP="00397933">
            <w:pPr>
              <w:rPr>
                <w:rFonts w:ascii="Garamond" w:hAnsi="Garamond"/>
                <w:sz w:val="24"/>
                <w:szCs w:val="24"/>
                <w:lang w:val="en-US"/>
              </w:rPr>
            </w:pPr>
            <w:r w:rsidRPr="001700CC">
              <w:rPr>
                <w:rFonts w:ascii="Garamond" w:hAnsi="Garamond"/>
                <w:sz w:val="24"/>
                <w:szCs w:val="24"/>
                <w:lang w:val="en-US"/>
              </w:rPr>
              <w:t>4 points</w:t>
            </w:r>
          </w:p>
        </w:tc>
        <w:tc>
          <w:tcPr>
            <w:tcW w:w="911" w:type="dxa"/>
            <w:tcBorders>
              <w:top w:val="single" w:sz="2" w:space="0" w:color="000000"/>
              <w:left w:val="single" w:sz="2" w:space="0" w:color="000000"/>
              <w:bottom w:val="single" w:sz="2" w:space="0" w:color="000000"/>
              <w:right w:val="single" w:sz="2" w:space="0" w:color="000000"/>
            </w:tcBorders>
            <w:shd w:val="clear" w:color="auto" w:fill="FFFFFF"/>
          </w:tcPr>
          <w:p w14:paraId="53C0AAF4" w14:textId="77777777" w:rsidR="00397933" w:rsidRPr="001700CC" w:rsidRDefault="00397933" w:rsidP="00397933">
            <w:pPr>
              <w:jc w:val="center"/>
              <w:rPr>
                <w:rFonts w:ascii="Garamond" w:hAnsi="Garamond"/>
                <w:sz w:val="24"/>
                <w:szCs w:val="24"/>
                <w:lang w:val="en-US" w:eastAsia="en-US"/>
              </w:rPr>
            </w:pPr>
            <w:r w:rsidRPr="001700CC">
              <w:rPr>
                <w:rFonts w:ascii="Garamond" w:hAnsi="Garamond" w:cs="Arial Unicode MS"/>
                <w:sz w:val="24"/>
                <w:szCs w:val="24"/>
                <w:lang w:val="en-US" w:eastAsia="en-US"/>
              </w:rPr>
              <w:t>4</w:t>
            </w:r>
          </w:p>
        </w:tc>
      </w:tr>
      <w:tr w:rsidR="00397933" w:rsidRPr="001700CC" w14:paraId="25DB3140" w14:textId="77777777" w:rsidTr="00397933">
        <w:trPr>
          <w:trHeight w:val="279"/>
        </w:trPr>
        <w:tc>
          <w:tcPr>
            <w:tcW w:w="8559" w:type="dxa"/>
            <w:gridSpan w:val="4"/>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hideMark/>
          </w:tcPr>
          <w:p w14:paraId="2A33FE39" w14:textId="77777777" w:rsidR="00397933" w:rsidRPr="001700CC" w:rsidRDefault="00397933" w:rsidP="00397933">
            <w:pPr>
              <w:rPr>
                <w:rFonts w:ascii="Garamond" w:hAnsi="Garamond"/>
                <w:sz w:val="24"/>
                <w:szCs w:val="24"/>
                <w:lang w:val="en-US" w:eastAsia="en-US"/>
              </w:rPr>
            </w:pPr>
            <w:r w:rsidRPr="001700CC">
              <w:rPr>
                <w:rFonts w:ascii="Garamond" w:hAnsi="Garamond"/>
                <w:sz w:val="24"/>
                <w:szCs w:val="24"/>
                <w:lang w:val="en-US"/>
              </w:rPr>
              <w:t>Total points earned for e</w:t>
            </w:r>
            <w:r w:rsidRPr="001700CC">
              <w:rPr>
                <w:rFonts w:ascii="Garamond" w:hAnsi="Garamond" w:cs="Garamond"/>
                <w:sz w:val="24"/>
                <w:szCs w:val="24"/>
                <w:lang w:val="en-US" w:eastAsia="ru-RU" w:bidi="ru-RU"/>
              </w:rPr>
              <w:t>ach part of the assignment</w:t>
            </w:r>
          </w:p>
        </w:tc>
        <w:tc>
          <w:tcPr>
            <w:tcW w:w="911" w:type="dxa"/>
            <w:tcBorders>
              <w:top w:val="single" w:sz="2" w:space="0" w:color="000000"/>
              <w:left w:val="single" w:sz="2" w:space="0" w:color="000000"/>
              <w:bottom w:val="single" w:sz="2" w:space="0" w:color="000000"/>
              <w:right w:val="single" w:sz="2" w:space="0" w:color="000000"/>
            </w:tcBorders>
            <w:shd w:val="clear" w:color="auto" w:fill="FFFFFF"/>
          </w:tcPr>
          <w:p w14:paraId="27ACA8F9" w14:textId="77777777" w:rsidR="00397933" w:rsidRPr="001700CC" w:rsidRDefault="00397933" w:rsidP="00397933">
            <w:pPr>
              <w:jc w:val="center"/>
              <w:rPr>
                <w:rFonts w:ascii="Garamond" w:hAnsi="Garamond"/>
                <w:sz w:val="24"/>
                <w:szCs w:val="24"/>
                <w:lang w:val="en-US" w:eastAsia="en-US"/>
              </w:rPr>
            </w:pPr>
            <w:r w:rsidRPr="001700CC">
              <w:rPr>
                <w:rFonts w:ascii="Garamond" w:hAnsi="Garamond" w:cs="Arial Unicode MS"/>
                <w:sz w:val="24"/>
                <w:szCs w:val="24"/>
                <w:lang w:val="en-US" w:eastAsia="en-US"/>
              </w:rPr>
              <w:t>10</w:t>
            </w:r>
          </w:p>
        </w:tc>
      </w:tr>
      <w:tr w:rsidR="00397933" w:rsidRPr="001700CC" w14:paraId="2938343F" w14:textId="77777777" w:rsidTr="00397933">
        <w:trPr>
          <w:trHeight w:val="279"/>
        </w:trPr>
        <w:tc>
          <w:tcPr>
            <w:tcW w:w="8559" w:type="dxa"/>
            <w:gridSpan w:val="4"/>
            <w:tcBorders>
              <w:top w:val="single" w:sz="2" w:space="0" w:color="000000"/>
              <w:left w:val="single" w:sz="2" w:space="0" w:color="000000"/>
              <w:bottom w:val="single" w:sz="2" w:space="0" w:color="000000"/>
              <w:right w:val="single" w:sz="2" w:space="0" w:color="000000"/>
            </w:tcBorders>
            <w:shd w:val="clear" w:color="auto" w:fill="FFFFFF"/>
            <w:tcMar>
              <w:top w:w="80" w:type="dxa"/>
              <w:left w:w="80" w:type="dxa"/>
              <w:bottom w:w="80" w:type="dxa"/>
              <w:right w:w="80" w:type="dxa"/>
            </w:tcMar>
          </w:tcPr>
          <w:p w14:paraId="64FD2117" w14:textId="77777777" w:rsidR="00397933" w:rsidRPr="001700CC" w:rsidRDefault="00397933" w:rsidP="00397933">
            <w:pPr>
              <w:rPr>
                <w:rFonts w:ascii="Garamond" w:hAnsi="Garamond"/>
                <w:b/>
                <w:sz w:val="24"/>
                <w:szCs w:val="24"/>
                <w:lang w:val="en-US"/>
              </w:rPr>
            </w:pPr>
            <w:r w:rsidRPr="001700CC">
              <w:rPr>
                <w:rFonts w:ascii="Garamond" w:hAnsi="Garamond"/>
                <w:b/>
                <w:sz w:val="24"/>
                <w:szCs w:val="24"/>
                <w:lang w:val="en-US"/>
              </w:rPr>
              <w:t>Total points earned</w:t>
            </w:r>
          </w:p>
        </w:tc>
        <w:tc>
          <w:tcPr>
            <w:tcW w:w="911" w:type="dxa"/>
            <w:tcBorders>
              <w:top w:val="single" w:sz="2" w:space="0" w:color="000000"/>
              <w:left w:val="single" w:sz="2" w:space="0" w:color="000000"/>
              <w:bottom w:val="single" w:sz="2" w:space="0" w:color="000000"/>
              <w:right w:val="single" w:sz="2" w:space="0" w:color="000000"/>
            </w:tcBorders>
            <w:shd w:val="clear" w:color="auto" w:fill="FFFFFF"/>
          </w:tcPr>
          <w:p w14:paraId="5DEB5C13" w14:textId="77777777" w:rsidR="00397933" w:rsidRPr="001700CC" w:rsidRDefault="00397933" w:rsidP="00397933">
            <w:pPr>
              <w:jc w:val="center"/>
              <w:rPr>
                <w:rFonts w:ascii="Garamond" w:hAnsi="Garamond" w:cs="Arial Unicode MS"/>
                <w:b/>
                <w:sz w:val="24"/>
                <w:szCs w:val="24"/>
                <w:lang w:val="en-US" w:eastAsia="en-US"/>
              </w:rPr>
            </w:pPr>
            <w:r w:rsidRPr="001700CC">
              <w:rPr>
                <w:rFonts w:ascii="Garamond" w:hAnsi="Garamond" w:cs="Arial Unicode MS"/>
                <w:b/>
                <w:sz w:val="24"/>
                <w:szCs w:val="24"/>
                <w:lang w:val="en-US" w:eastAsia="en-US"/>
              </w:rPr>
              <w:t>50</w:t>
            </w:r>
          </w:p>
        </w:tc>
      </w:tr>
    </w:tbl>
    <w:p w14:paraId="6C392B94" w14:textId="77777777" w:rsidR="00397933" w:rsidRPr="00397933" w:rsidRDefault="00397933" w:rsidP="00397933">
      <w:pPr>
        <w:contextualSpacing/>
        <w:jc w:val="both"/>
        <w:rPr>
          <w:color w:val="auto"/>
          <w:sz w:val="28"/>
          <w:szCs w:val="28"/>
          <w:lang w:val="en-GB" w:eastAsia="ru-RU"/>
        </w:rPr>
      </w:pPr>
    </w:p>
    <w:p w14:paraId="6849ACAC"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Individual assignment project is awarded one of the following grades:</w:t>
      </w:r>
    </w:p>
    <w:p w14:paraId="6D722F81"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High Distinction (Grade A, 45</w:t>
      </w:r>
      <w:r w:rsidR="00202F88">
        <w:rPr>
          <w:lang w:val="en-US"/>
        </w:rPr>
        <w:t>–</w:t>
      </w:r>
      <w:r w:rsidRPr="00397933">
        <w:rPr>
          <w:rFonts w:cs="Garamond"/>
          <w:color w:val="auto"/>
          <w:sz w:val="28"/>
          <w:szCs w:val="28"/>
          <w:lang w:val="en-US" w:eastAsia="ru-RU" w:bidi="ru-RU"/>
        </w:rPr>
        <w:t>50 points)</w:t>
      </w:r>
    </w:p>
    <w:p w14:paraId="50954CB7"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Distinction (Grade B, 41</w:t>
      </w:r>
      <w:r w:rsidR="00202F88">
        <w:rPr>
          <w:lang w:val="en-US"/>
        </w:rPr>
        <w:t>–</w:t>
      </w:r>
      <w:r w:rsidRPr="00397933">
        <w:rPr>
          <w:rFonts w:cs="Garamond"/>
          <w:color w:val="auto"/>
          <w:sz w:val="28"/>
          <w:szCs w:val="28"/>
          <w:lang w:val="en-US" w:eastAsia="ru-RU" w:bidi="ru-RU"/>
        </w:rPr>
        <w:t>44 points)</w:t>
      </w:r>
    </w:p>
    <w:p w14:paraId="0AACF50E"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Credit (Grade C, 37</w:t>
      </w:r>
      <w:r w:rsidR="00202F88">
        <w:rPr>
          <w:lang w:val="en-US"/>
        </w:rPr>
        <w:t>–</w:t>
      </w:r>
      <w:r w:rsidRPr="00397933">
        <w:rPr>
          <w:rFonts w:cs="Garamond"/>
          <w:color w:val="auto"/>
          <w:sz w:val="28"/>
          <w:szCs w:val="28"/>
          <w:lang w:val="en-US" w:eastAsia="ru-RU" w:bidi="ru-RU"/>
        </w:rPr>
        <w:t>40 points)</w:t>
      </w:r>
    </w:p>
    <w:p w14:paraId="2841D522" w14:textId="77777777" w:rsidR="00397933" w:rsidRPr="00841A5E" w:rsidRDefault="00397933" w:rsidP="00397933">
      <w:pPr>
        <w:spacing w:line="312" w:lineRule="auto"/>
        <w:ind w:firstLine="357"/>
        <w:contextualSpacing/>
        <w:jc w:val="both"/>
        <w:rPr>
          <w:rFonts w:cs="Garamond"/>
          <w:color w:val="auto"/>
          <w:sz w:val="28"/>
          <w:szCs w:val="28"/>
          <w:lang w:val="en-US" w:eastAsia="ru-RU" w:bidi="ru-RU"/>
        </w:rPr>
      </w:pPr>
      <w:r w:rsidRPr="00841A5E">
        <w:rPr>
          <w:rFonts w:cs="Garamond"/>
          <w:color w:val="auto"/>
          <w:sz w:val="28"/>
          <w:szCs w:val="28"/>
          <w:lang w:val="en-US" w:eastAsia="ru-RU" w:bidi="ru-RU"/>
        </w:rPr>
        <w:t>Pass 1 (Grade D, 33</w:t>
      </w:r>
      <w:r w:rsidR="00202F88">
        <w:rPr>
          <w:lang w:val="en-US"/>
        </w:rPr>
        <w:t>–</w:t>
      </w:r>
      <w:r w:rsidRPr="00841A5E">
        <w:rPr>
          <w:rFonts w:cs="Garamond"/>
          <w:color w:val="auto"/>
          <w:sz w:val="28"/>
          <w:szCs w:val="28"/>
          <w:lang w:val="en-US" w:eastAsia="ru-RU" w:bidi="ru-RU"/>
        </w:rPr>
        <w:t>36 points)</w:t>
      </w:r>
    </w:p>
    <w:p w14:paraId="009A31ED" w14:textId="77777777" w:rsidR="00397933" w:rsidRPr="00841A5E" w:rsidRDefault="00397933" w:rsidP="00397933">
      <w:pPr>
        <w:spacing w:line="312" w:lineRule="auto"/>
        <w:ind w:firstLine="357"/>
        <w:contextualSpacing/>
        <w:jc w:val="both"/>
        <w:rPr>
          <w:rFonts w:cs="Garamond"/>
          <w:color w:val="auto"/>
          <w:sz w:val="28"/>
          <w:szCs w:val="28"/>
          <w:lang w:val="en-US" w:eastAsia="ru-RU" w:bidi="ru-RU"/>
        </w:rPr>
      </w:pPr>
      <w:r w:rsidRPr="00841A5E">
        <w:rPr>
          <w:rFonts w:cs="Garamond"/>
          <w:color w:val="auto"/>
          <w:sz w:val="28"/>
          <w:szCs w:val="28"/>
          <w:lang w:val="en-US" w:eastAsia="ru-RU" w:bidi="ru-RU"/>
        </w:rPr>
        <w:lastRenderedPageBreak/>
        <w:t>Pass 2 (Grade E, 30</w:t>
      </w:r>
      <w:r w:rsidR="00202F88">
        <w:rPr>
          <w:lang w:val="en-US"/>
        </w:rPr>
        <w:t>–</w:t>
      </w:r>
      <w:r w:rsidRPr="00841A5E">
        <w:rPr>
          <w:rFonts w:cs="Garamond"/>
          <w:color w:val="auto"/>
          <w:sz w:val="28"/>
          <w:szCs w:val="28"/>
          <w:lang w:val="en-US" w:eastAsia="ru-RU" w:bidi="ru-RU"/>
        </w:rPr>
        <w:t>32 points)</w:t>
      </w:r>
    </w:p>
    <w:p w14:paraId="367A09E5"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Fail (Grade F, 0</w:t>
      </w:r>
      <w:r w:rsidR="00202F88">
        <w:rPr>
          <w:lang w:val="en-US"/>
        </w:rPr>
        <w:t>–</w:t>
      </w:r>
      <w:r w:rsidRPr="00397933">
        <w:rPr>
          <w:rFonts w:cs="Garamond"/>
          <w:color w:val="auto"/>
          <w:sz w:val="28"/>
          <w:szCs w:val="28"/>
          <w:lang w:val="en-US" w:eastAsia="ru-RU" w:bidi="ru-RU"/>
        </w:rPr>
        <w:t>29 points)</w:t>
      </w:r>
    </w:p>
    <w:p w14:paraId="02DA63E6" w14:textId="77777777" w:rsidR="00397933" w:rsidRPr="00397933" w:rsidRDefault="00397933" w:rsidP="00397933">
      <w:pPr>
        <w:spacing w:line="312" w:lineRule="auto"/>
        <w:ind w:firstLine="357"/>
        <w:contextualSpacing/>
        <w:jc w:val="both"/>
        <w:rPr>
          <w:rFonts w:cs="Garamond"/>
          <w:color w:val="auto"/>
          <w:sz w:val="28"/>
          <w:szCs w:val="28"/>
          <w:lang w:val="en-US" w:eastAsia="ru-RU" w:bidi="ru-RU"/>
        </w:rPr>
      </w:pPr>
      <w:r w:rsidRPr="00397933">
        <w:rPr>
          <w:rFonts w:cs="Garamond"/>
          <w:color w:val="auto"/>
          <w:sz w:val="28"/>
          <w:szCs w:val="28"/>
          <w:lang w:val="en-US" w:eastAsia="ru-RU" w:bidi="ru-RU"/>
        </w:rPr>
        <w:t xml:space="preserve">If failing an assignment, it may </w:t>
      </w:r>
      <w:r w:rsidR="00202F88">
        <w:rPr>
          <w:rFonts w:cs="Garamond"/>
          <w:color w:val="auto"/>
          <w:sz w:val="28"/>
          <w:szCs w:val="28"/>
          <w:lang w:val="en-US" w:eastAsia="ru-RU" w:bidi="ru-RU"/>
        </w:rPr>
        <w:t>be possible to re</w:t>
      </w:r>
      <w:r w:rsidRPr="00397933">
        <w:rPr>
          <w:rFonts w:cs="Garamond"/>
          <w:color w:val="auto"/>
          <w:sz w:val="28"/>
          <w:szCs w:val="28"/>
          <w:lang w:val="en-US" w:eastAsia="ru-RU" w:bidi="ru-RU"/>
        </w:rPr>
        <w:t xml:space="preserve">sit the assignment later during the course. </w:t>
      </w:r>
    </w:p>
    <w:p w14:paraId="0F3714FF" w14:textId="77777777" w:rsidR="00715FD4" w:rsidRDefault="00715FD4">
      <w:pPr>
        <w:rPr>
          <w:rFonts w:eastAsia="Garamond" w:cs="Garamond"/>
          <w:sz w:val="28"/>
          <w:szCs w:val="28"/>
          <w:u w:color="000000"/>
          <w:bdr w:val="nil"/>
          <w:lang w:val="en-US" w:eastAsia="en-US"/>
        </w:rPr>
      </w:pPr>
      <w:r>
        <w:rPr>
          <w:rFonts w:eastAsia="Garamond" w:cs="Garamond"/>
          <w:sz w:val="28"/>
          <w:szCs w:val="28"/>
          <w:u w:color="000000"/>
          <w:bdr w:val="nil"/>
          <w:lang w:val="en-US" w:eastAsia="en-US"/>
        </w:rPr>
        <w:br w:type="page"/>
      </w:r>
    </w:p>
    <w:p w14:paraId="4F2D3515" w14:textId="77777777" w:rsidR="00715FD4" w:rsidRPr="00715FD4" w:rsidRDefault="00715FD4" w:rsidP="00715FD4">
      <w:pPr>
        <w:pStyle w:val="end2"/>
      </w:pPr>
      <w:r w:rsidRPr="00715FD4">
        <w:lastRenderedPageBreak/>
        <w:t>REFERENCES</w:t>
      </w:r>
    </w:p>
    <w:p w14:paraId="145A4B30"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Adao, B., Correia, I., </w:t>
      </w:r>
      <w:r w:rsidR="00E66974">
        <w:rPr>
          <w:sz w:val="28"/>
          <w:lang w:val="en-US"/>
        </w:rPr>
        <w:t>and Teles, P., 2009,</w:t>
      </w:r>
      <w:r w:rsidRPr="00715FD4">
        <w:rPr>
          <w:sz w:val="28"/>
          <w:lang w:val="en-US"/>
        </w:rPr>
        <w:t xml:space="preserve"> On the relevance of exchange rate r</w:t>
      </w:r>
      <w:r w:rsidR="00E66974">
        <w:rPr>
          <w:sz w:val="28"/>
          <w:lang w:val="en-US"/>
        </w:rPr>
        <w:t>egimes for stabilization policy,</w:t>
      </w:r>
      <w:r w:rsidRPr="00715FD4">
        <w:rPr>
          <w:sz w:val="28"/>
          <w:lang w:val="en-US"/>
        </w:rPr>
        <w:t xml:space="preserve"> </w:t>
      </w:r>
      <w:r w:rsidRPr="00715FD4">
        <w:rPr>
          <w:i/>
          <w:sz w:val="28"/>
          <w:lang w:val="en-US"/>
        </w:rPr>
        <w:t>Journal of Economic Theory</w:t>
      </w:r>
      <w:r w:rsidRPr="00715FD4">
        <w:rPr>
          <w:sz w:val="28"/>
          <w:lang w:val="en-US"/>
        </w:rPr>
        <w:t xml:space="preserve">, 144(4), </w:t>
      </w:r>
      <w:r w:rsidR="00E66974">
        <w:rPr>
          <w:sz w:val="28"/>
          <w:lang w:val="en-US"/>
        </w:rPr>
        <w:t xml:space="preserve">pp. </w:t>
      </w:r>
      <w:r w:rsidRPr="00715FD4">
        <w:rPr>
          <w:sz w:val="28"/>
          <w:lang w:val="en-US"/>
        </w:rPr>
        <w:t>1468</w:t>
      </w:r>
      <w:r w:rsidR="00E66974">
        <w:rPr>
          <w:sz w:val="28"/>
          <w:lang w:val="en-US"/>
        </w:rPr>
        <w:t>–</w:t>
      </w:r>
      <w:r w:rsidRPr="00715FD4">
        <w:rPr>
          <w:sz w:val="28"/>
          <w:lang w:val="en-US"/>
        </w:rPr>
        <w:t xml:space="preserve">1488. </w:t>
      </w:r>
    </w:p>
    <w:p w14:paraId="67031AC5"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Afonso, A., </w:t>
      </w:r>
      <w:r w:rsidR="00E66974">
        <w:rPr>
          <w:sz w:val="28"/>
          <w:lang w:val="en-US"/>
        </w:rPr>
        <w:t>and</w:t>
      </w:r>
      <w:r w:rsidRPr="00715FD4">
        <w:rPr>
          <w:sz w:val="28"/>
          <w:lang w:val="en-US"/>
        </w:rPr>
        <w:t xml:space="preserve"> Sousa, </w:t>
      </w:r>
      <w:r w:rsidR="00E66974">
        <w:rPr>
          <w:sz w:val="28"/>
          <w:lang w:val="en-US"/>
        </w:rPr>
        <w:t>R. M., 2012,</w:t>
      </w:r>
      <w:r w:rsidRPr="00715FD4">
        <w:rPr>
          <w:sz w:val="28"/>
          <w:lang w:val="en-US"/>
        </w:rPr>
        <w:t xml:space="preserve"> The macroeconomic effects of fiscal policy. </w:t>
      </w:r>
      <w:r w:rsidRPr="00715FD4">
        <w:rPr>
          <w:i/>
          <w:sz w:val="28"/>
          <w:lang w:val="en-US"/>
        </w:rPr>
        <w:t>Applied Economics</w:t>
      </w:r>
      <w:r w:rsidRPr="00715FD4">
        <w:rPr>
          <w:sz w:val="28"/>
          <w:lang w:val="en-US"/>
        </w:rPr>
        <w:t xml:space="preserve">, 44(34), </w:t>
      </w:r>
      <w:r w:rsidR="00E66974">
        <w:rPr>
          <w:sz w:val="28"/>
          <w:lang w:val="en-US"/>
        </w:rPr>
        <w:t xml:space="preserve">pp. </w:t>
      </w:r>
      <w:r w:rsidRPr="00715FD4">
        <w:rPr>
          <w:sz w:val="28"/>
          <w:lang w:val="en-US"/>
        </w:rPr>
        <w:t>4439</w:t>
      </w:r>
      <w:r w:rsidR="00E66974">
        <w:rPr>
          <w:sz w:val="28"/>
          <w:lang w:val="en-US"/>
        </w:rPr>
        <w:t>–</w:t>
      </w:r>
      <w:r w:rsidRPr="00715FD4">
        <w:rPr>
          <w:sz w:val="28"/>
          <w:lang w:val="en-US"/>
        </w:rPr>
        <w:t xml:space="preserve">4454. </w:t>
      </w:r>
    </w:p>
    <w:p w14:paraId="7D26E974" w14:textId="77777777" w:rsidR="00715FD4" w:rsidRPr="00715FD4" w:rsidRDefault="00715FD4" w:rsidP="006F749C">
      <w:pPr>
        <w:numPr>
          <w:ilvl w:val="0"/>
          <w:numId w:val="264"/>
        </w:numPr>
        <w:spacing w:line="240" w:lineRule="atLeast"/>
        <w:ind w:hanging="578"/>
        <w:contextualSpacing/>
        <w:jc w:val="both"/>
        <w:rPr>
          <w:sz w:val="28"/>
          <w:szCs w:val="28"/>
          <w:lang w:val="en-GB"/>
        </w:rPr>
      </w:pPr>
      <w:r w:rsidRPr="00715FD4">
        <w:rPr>
          <w:sz w:val="28"/>
          <w:szCs w:val="28"/>
          <w:lang w:val="fr-BE"/>
        </w:rPr>
        <w:t xml:space="preserve">Alesina, A. F., </w:t>
      </w:r>
      <w:r w:rsidR="00E66974">
        <w:rPr>
          <w:sz w:val="28"/>
          <w:szCs w:val="28"/>
          <w:lang w:val="fr-BE"/>
        </w:rPr>
        <w:t>and Perotti, R., 1999,</w:t>
      </w:r>
      <w:r w:rsidRPr="00715FD4">
        <w:rPr>
          <w:sz w:val="28"/>
          <w:szCs w:val="28"/>
          <w:lang w:val="fr-BE"/>
        </w:rPr>
        <w:t xml:space="preserve"> </w:t>
      </w:r>
      <w:r w:rsidRPr="002B21FB">
        <w:rPr>
          <w:sz w:val="28"/>
          <w:szCs w:val="28"/>
          <w:lang w:val="en-GB"/>
        </w:rPr>
        <w:t>Budget de</w:t>
      </w:r>
      <w:r w:rsidR="002B21FB" w:rsidRPr="002B21FB">
        <w:rPr>
          <w:sz w:val="28"/>
          <w:szCs w:val="28"/>
          <w:lang w:val="en-GB"/>
        </w:rPr>
        <w:t>ficits and budget institutions, i</w:t>
      </w:r>
      <w:r w:rsidRPr="002B21FB">
        <w:rPr>
          <w:sz w:val="28"/>
          <w:szCs w:val="28"/>
          <w:lang w:val="en-GB"/>
        </w:rPr>
        <w:t>n Fiscal institutions and fiscal performance</w:t>
      </w:r>
      <w:r w:rsidR="00E66974">
        <w:rPr>
          <w:sz w:val="28"/>
          <w:szCs w:val="28"/>
          <w:lang w:val="en-GB"/>
        </w:rPr>
        <w:t>,</w:t>
      </w:r>
      <w:r w:rsidRPr="00715FD4">
        <w:rPr>
          <w:sz w:val="28"/>
          <w:szCs w:val="28"/>
          <w:lang w:val="en-GB"/>
        </w:rPr>
        <w:t xml:space="preserve"> </w:t>
      </w:r>
      <w:r w:rsidRPr="002B21FB">
        <w:rPr>
          <w:i/>
          <w:sz w:val="28"/>
          <w:szCs w:val="28"/>
          <w:lang w:val="en-GB"/>
        </w:rPr>
        <w:t>University of Chicago Press</w:t>
      </w:r>
      <w:r w:rsidR="00E66974">
        <w:rPr>
          <w:sz w:val="28"/>
          <w:szCs w:val="28"/>
          <w:lang w:val="en-GB"/>
        </w:rPr>
        <w:t>, pp. 13</w:t>
      </w:r>
      <w:r w:rsidR="00E66974">
        <w:rPr>
          <w:lang w:val="en-US"/>
        </w:rPr>
        <w:t>–36.</w:t>
      </w:r>
    </w:p>
    <w:p w14:paraId="58D70AF0"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fr-BE"/>
        </w:rPr>
        <w:t>Allen,</w:t>
      </w:r>
      <w:r w:rsidR="00E66974">
        <w:rPr>
          <w:rFonts w:eastAsia="Calibri" w:cs="Calibri"/>
          <w:sz w:val="28"/>
          <w:szCs w:val="28"/>
          <w:bdr w:val="none" w:sz="0" w:space="0" w:color="auto" w:frame="1"/>
          <w:lang w:val="fr-BE"/>
        </w:rPr>
        <w:t xml:space="preserve"> F., Carletti, E., Marquez, R., 2011,</w:t>
      </w:r>
      <w:r w:rsidRPr="00715FD4">
        <w:rPr>
          <w:rFonts w:eastAsia="Calibri" w:cs="Calibri"/>
          <w:sz w:val="28"/>
          <w:szCs w:val="28"/>
          <w:bdr w:val="none" w:sz="0" w:space="0" w:color="auto" w:frame="1"/>
          <w:lang w:val="fr-BE"/>
        </w:rPr>
        <w:t xml:space="preserve"> </w:t>
      </w:r>
      <w:r w:rsidRPr="00715FD4">
        <w:rPr>
          <w:rFonts w:eastAsia="Calibri" w:cs="Calibri"/>
          <w:sz w:val="28"/>
          <w:szCs w:val="28"/>
          <w:bdr w:val="none" w:sz="0" w:space="0" w:color="auto" w:frame="1"/>
          <w:lang w:val="en-US"/>
        </w:rPr>
        <w:t>Credit market com</w:t>
      </w:r>
      <w:r w:rsidR="00E66974">
        <w:rPr>
          <w:rFonts w:eastAsia="Calibri" w:cs="Calibri"/>
          <w:sz w:val="28"/>
          <w:szCs w:val="28"/>
          <w:bdr w:val="none" w:sz="0" w:space="0" w:color="auto" w:frame="1"/>
          <w:lang w:val="en-US"/>
        </w:rPr>
        <w:t>petition and capital regulation,</w:t>
      </w:r>
      <w:r w:rsidRPr="00715FD4">
        <w:rPr>
          <w:rFonts w:eastAsia="Calibri" w:cs="Calibri"/>
          <w:sz w:val="28"/>
          <w:szCs w:val="28"/>
          <w:bdr w:val="none" w:sz="0" w:space="0" w:color="auto" w:frame="1"/>
          <w:lang w:val="en-US"/>
        </w:rPr>
        <w:t xml:space="preserve"> </w:t>
      </w:r>
      <w:r w:rsidRPr="00715FD4">
        <w:rPr>
          <w:rFonts w:eastAsia="Calibri" w:cs="Calibri"/>
          <w:i/>
          <w:iCs/>
          <w:sz w:val="28"/>
          <w:szCs w:val="28"/>
          <w:bdr w:val="none" w:sz="0" w:space="0" w:color="auto" w:frame="1"/>
          <w:lang w:val="en-US"/>
        </w:rPr>
        <w:t>Review of Financial Studies</w:t>
      </w:r>
      <w:r w:rsidRPr="00715FD4">
        <w:rPr>
          <w:rFonts w:eastAsia="Calibri" w:cs="Calibri"/>
          <w:sz w:val="28"/>
          <w:szCs w:val="28"/>
          <w:bdr w:val="none" w:sz="0" w:space="0" w:color="auto" w:frame="1"/>
          <w:lang w:val="en-US"/>
        </w:rPr>
        <w:t xml:space="preserve">, 24(4), </w:t>
      </w:r>
      <w:r w:rsidR="00E66974">
        <w:rPr>
          <w:rFonts w:eastAsia="Calibri" w:cs="Calibri"/>
          <w:sz w:val="28"/>
          <w:szCs w:val="28"/>
          <w:bdr w:val="none" w:sz="0" w:space="0" w:color="auto" w:frame="1"/>
          <w:lang w:val="en-US"/>
        </w:rPr>
        <w:t xml:space="preserve">pp. </w:t>
      </w:r>
      <w:r w:rsidRPr="00715FD4">
        <w:rPr>
          <w:rFonts w:eastAsia="Calibri" w:cs="Calibri"/>
          <w:sz w:val="28"/>
          <w:szCs w:val="28"/>
          <w:bdr w:val="none" w:sz="0" w:space="0" w:color="auto" w:frame="1"/>
          <w:lang w:val="en-US"/>
        </w:rPr>
        <w:t>983</w:t>
      </w:r>
      <w:r w:rsidR="00E66974">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1018.</w:t>
      </w:r>
    </w:p>
    <w:p w14:paraId="4CCB8682" w14:textId="77777777" w:rsidR="00715FD4" w:rsidRPr="00715FD4" w:rsidRDefault="00E62166" w:rsidP="006F749C">
      <w:pPr>
        <w:numPr>
          <w:ilvl w:val="0"/>
          <w:numId w:val="264"/>
        </w:numPr>
        <w:spacing w:line="240" w:lineRule="atLeast"/>
        <w:ind w:hanging="578"/>
        <w:contextualSpacing/>
        <w:jc w:val="both"/>
        <w:rPr>
          <w:sz w:val="28"/>
          <w:szCs w:val="28"/>
          <w:lang w:val="en-GB"/>
        </w:rPr>
      </w:pPr>
      <w:r>
        <w:rPr>
          <w:sz w:val="28"/>
          <w:szCs w:val="28"/>
          <w:lang w:val="en-GB"/>
        </w:rPr>
        <w:t>Allison, John W. F., 1997,</w:t>
      </w:r>
      <w:r w:rsidR="00715FD4" w:rsidRPr="00715FD4">
        <w:rPr>
          <w:sz w:val="28"/>
          <w:szCs w:val="28"/>
          <w:lang w:val="en-GB"/>
        </w:rPr>
        <w:t xml:space="preserve"> </w:t>
      </w:r>
      <w:r w:rsidR="00715FD4" w:rsidRPr="00E62166">
        <w:rPr>
          <w:i/>
          <w:sz w:val="28"/>
          <w:szCs w:val="28"/>
          <w:lang w:val="en-GB"/>
        </w:rPr>
        <w:t>Cultural Divergence, The Separation of Powers and the Public-Private Divide</w:t>
      </w:r>
      <w:r>
        <w:rPr>
          <w:sz w:val="28"/>
          <w:szCs w:val="28"/>
          <w:lang w:val="en-GB"/>
        </w:rPr>
        <w:t>,</w:t>
      </w:r>
      <w:r w:rsidR="00715FD4" w:rsidRPr="00E62166">
        <w:rPr>
          <w:sz w:val="28"/>
          <w:szCs w:val="28"/>
          <w:lang w:val="en-GB"/>
        </w:rPr>
        <w:t xml:space="preserve"> Esperia Publications</w:t>
      </w:r>
      <w:r w:rsidR="00715FD4" w:rsidRPr="00715FD4">
        <w:rPr>
          <w:sz w:val="28"/>
          <w:szCs w:val="28"/>
          <w:lang w:val="en-GB"/>
        </w:rPr>
        <w:t xml:space="preserve">, Athens, Greece, 9(2), </w:t>
      </w:r>
      <w:r>
        <w:rPr>
          <w:sz w:val="28"/>
          <w:szCs w:val="28"/>
          <w:lang w:val="en-GB"/>
        </w:rPr>
        <w:t xml:space="preserve">pp. </w:t>
      </w:r>
      <w:r w:rsidR="00715FD4" w:rsidRPr="00715FD4">
        <w:rPr>
          <w:sz w:val="28"/>
          <w:szCs w:val="28"/>
          <w:lang w:val="en-GB"/>
        </w:rPr>
        <w:t>305</w:t>
      </w:r>
      <w:r w:rsidR="00E66974">
        <w:rPr>
          <w:sz w:val="28"/>
          <w:szCs w:val="28"/>
          <w:lang w:val="en-GB"/>
        </w:rPr>
        <w:t>–</w:t>
      </w:r>
      <w:r>
        <w:rPr>
          <w:sz w:val="28"/>
          <w:szCs w:val="28"/>
          <w:lang w:val="en-GB"/>
        </w:rPr>
        <w:t xml:space="preserve">333. </w:t>
      </w:r>
    </w:p>
    <w:p w14:paraId="36F40397" w14:textId="77777777" w:rsidR="00715FD4" w:rsidRPr="00715FD4" w:rsidRDefault="00E62166" w:rsidP="006F749C">
      <w:pPr>
        <w:numPr>
          <w:ilvl w:val="0"/>
          <w:numId w:val="264"/>
        </w:numPr>
        <w:spacing w:line="240" w:lineRule="atLeast"/>
        <w:ind w:hanging="578"/>
        <w:contextualSpacing/>
        <w:jc w:val="both"/>
        <w:rPr>
          <w:sz w:val="28"/>
          <w:lang w:val="en-US"/>
        </w:rPr>
      </w:pPr>
      <w:r>
        <w:rPr>
          <w:sz w:val="28"/>
          <w:lang w:val="en-US"/>
        </w:rPr>
        <w:t>Altman, E. I., 1968,</w:t>
      </w:r>
      <w:r w:rsidR="00715FD4" w:rsidRPr="00715FD4">
        <w:rPr>
          <w:sz w:val="28"/>
          <w:lang w:val="en-US"/>
        </w:rPr>
        <w:t xml:space="preserve"> Financial ratios, discriminant analysis and the pre</w:t>
      </w:r>
      <w:r>
        <w:rPr>
          <w:sz w:val="28"/>
          <w:lang w:val="en-US"/>
        </w:rPr>
        <w:t>diction of corporate bankruptcy,</w:t>
      </w:r>
      <w:r w:rsidR="00715FD4" w:rsidRPr="00715FD4">
        <w:rPr>
          <w:sz w:val="28"/>
          <w:lang w:val="en-US"/>
        </w:rPr>
        <w:t xml:space="preserve"> </w:t>
      </w:r>
      <w:r>
        <w:rPr>
          <w:i/>
          <w:sz w:val="28"/>
          <w:lang w:val="en-US"/>
        </w:rPr>
        <w:t>The Journal of F</w:t>
      </w:r>
      <w:r w:rsidR="00715FD4" w:rsidRPr="00715FD4">
        <w:rPr>
          <w:i/>
          <w:sz w:val="28"/>
          <w:lang w:val="en-US"/>
        </w:rPr>
        <w:t>inance</w:t>
      </w:r>
      <w:r w:rsidR="00715FD4" w:rsidRPr="00715FD4">
        <w:rPr>
          <w:sz w:val="28"/>
          <w:lang w:val="en-US"/>
        </w:rPr>
        <w:t xml:space="preserve">, 23(4), </w:t>
      </w:r>
      <w:r>
        <w:rPr>
          <w:sz w:val="28"/>
          <w:lang w:val="en-US"/>
        </w:rPr>
        <w:t xml:space="preserve">pp. </w:t>
      </w:r>
      <w:r w:rsidR="00715FD4" w:rsidRPr="00715FD4">
        <w:rPr>
          <w:sz w:val="28"/>
          <w:lang w:val="en-US"/>
        </w:rPr>
        <w:t>589</w:t>
      </w:r>
      <w:r w:rsidR="00E66974">
        <w:rPr>
          <w:sz w:val="28"/>
          <w:lang w:val="en-US"/>
        </w:rPr>
        <w:t>–</w:t>
      </w:r>
      <w:r w:rsidR="00715FD4" w:rsidRPr="00715FD4">
        <w:rPr>
          <w:sz w:val="28"/>
          <w:lang w:val="en-US"/>
        </w:rPr>
        <w:t>609.</w:t>
      </w:r>
    </w:p>
    <w:p w14:paraId="4A3A93F1" w14:textId="77777777" w:rsidR="00715FD4" w:rsidRPr="00E62166" w:rsidRDefault="00715FD4" w:rsidP="006F749C">
      <w:pPr>
        <w:numPr>
          <w:ilvl w:val="0"/>
          <w:numId w:val="264"/>
        </w:numPr>
        <w:spacing w:line="240" w:lineRule="atLeast"/>
        <w:ind w:hanging="578"/>
        <w:contextualSpacing/>
        <w:jc w:val="both"/>
        <w:rPr>
          <w:rFonts w:cs="Garamond"/>
          <w:sz w:val="28"/>
          <w:szCs w:val="28"/>
          <w:lang w:val="en-US" w:eastAsia="ru-RU"/>
        </w:rPr>
      </w:pPr>
      <w:r w:rsidRPr="00E62166">
        <w:rPr>
          <w:rFonts w:cs="Garamond"/>
          <w:i/>
          <w:sz w:val="28"/>
          <w:szCs w:val="28"/>
          <w:lang w:val="en-US" w:eastAsia="ru-RU"/>
        </w:rPr>
        <w:t>An introduction to reinsuranc</w:t>
      </w:r>
      <w:r w:rsidR="00E62166">
        <w:rPr>
          <w:rFonts w:cs="Garamond"/>
          <w:i/>
          <w:sz w:val="28"/>
          <w:szCs w:val="28"/>
          <w:lang w:val="en-US" w:eastAsia="ru-RU"/>
        </w:rPr>
        <w:t xml:space="preserve">e, </w:t>
      </w:r>
      <w:r w:rsidR="00E62166">
        <w:rPr>
          <w:rFonts w:cs="Garamond"/>
          <w:sz w:val="28"/>
          <w:szCs w:val="28"/>
          <w:lang w:val="en-US" w:eastAsia="ru-RU"/>
        </w:rPr>
        <w:t>2013,</w:t>
      </w:r>
      <w:r w:rsidRPr="00715FD4">
        <w:rPr>
          <w:rFonts w:cs="Garamond"/>
          <w:sz w:val="28"/>
          <w:szCs w:val="28"/>
          <w:lang w:val="en-US" w:eastAsia="ru-RU"/>
        </w:rPr>
        <w:t xml:space="preserve"> </w:t>
      </w:r>
      <w:r w:rsidRPr="00E62166">
        <w:rPr>
          <w:rFonts w:cs="Garamond"/>
          <w:sz w:val="28"/>
          <w:szCs w:val="28"/>
          <w:lang w:val="en-US" w:eastAsia="ru-RU"/>
        </w:rPr>
        <w:t>Institute of Insurance Sciences; Fundación MAPFRE, Madrid.</w:t>
      </w:r>
    </w:p>
    <w:p w14:paraId="444A6775" w14:textId="77777777" w:rsidR="00715FD4" w:rsidRPr="00715FD4" w:rsidRDefault="00E62166" w:rsidP="006F749C">
      <w:pPr>
        <w:numPr>
          <w:ilvl w:val="0"/>
          <w:numId w:val="264"/>
        </w:numPr>
        <w:spacing w:line="240" w:lineRule="atLeast"/>
        <w:ind w:hanging="578"/>
        <w:contextualSpacing/>
        <w:jc w:val="both"/>
        <w:rPr>
          <w:sz w:val="28"/>
          <w:lang w:val="en-US"/>
        </w:rPr>
      </w:pPr>
      <w:r>
        <w:rPr>
          <w:sz w:val="28"/>
          <w:lang w:val="en-US"/>
        </w:rPr>
        <w:t xml:space="preserve">IMF, 2009, </w:t>
      </w:r>
      <w:r w:rsidR="00715FD4" w:rsidRPr="00E62166">
        <w:rPr>
          <w:i/>
          <w:sz w:val="28"/>
          <w:lang w:val="en-US"/>
        </w:rPr>
        <w:t>Balance of payments and international investment position manual</w:t>
      </w:r>
      <w:r>
        <w:rPr>
          <w:sz w:val="28"/>
          <w:lang w:val="en-US"/>
        </w:rPr>
        <w:t xml:space="preserve">, </w:t>
      </w:r>
      <w:r w:rsidR="00715FD4" w:rsidRPr="00E62166">
        <w:rPr>
          <w:sz w:val="28"/>
          <w:lang w:val="en-US"/>
        </w:rPr>
        <w:t>International Monetary Fund,</w:t>
      </w:r>
      <w:r w:rsidR="00715FD4" w:rsidRPr="00715FD4">
        <w:rPr>
          <w:i/>
          <w:sz w:val="28"/>
          <w:lang w:val="en-US"/>
        </w:rPr>
        <w:t xml:space="preserve"> </w:t>
      </w:r>
      <w:r w:rsidR="00715FD4" w:rsidRPr="00715FD4">
        <w:rPr>
          <w:sz w:val="28"/>
          <w:lang w:val="en-US"/>
        </w:rPr>
        <w:t>Washington, D.C.</w:t>
      </w:r>
      <w:r>
        <w:rPr>
          <w:sz w:val="28"/>
          <w:lang w:val="en-US"/>
        </w:rPr>
        <w:t>, 371 p.</w:t>
      </w:r>
    </w:p>
    <w:p w14:paraId="756FC459" w14:textId="77777777" w:rsidR="00715FD4" w:rsidRPr="00715FD4" w:rsidRDefault="00E62166" w:rsidP="006F749C">
      <w:pPr>
        <w:numPr>
          <w:ilvl w:val="0"/>
          <w:numId w:val="264"/>
        </w:numPr>
        <w:spacing w:line="240" w:lineRule="atLeast"/>
        <w:ind w:hanging="578"/>
        <w:contextualSpacing/>
        <w:jc w:val="both"/>
        <w:rPr>
          <w:sz w:val="28"/>
          <w:szCs w:val="28"/>
          <w:lang w:val="en-GB"/>
        </w:rPr>
      </w:pPr>
      <w:r>
        <w:rPr>
          <w:sz w:val="28"/>
          <w:szCs w:val="28"/>
          <w:lang w:val="en-GB"/>
        </w:rPr>
        <w:t>Baskaran, T., 2012,</w:t>
      </w:r>
      <w:r w:rsidR="00715FD4" w:rsidRPr="00715FD4">
        <w:rPr>
          <w:sz w:val="28"/>
          <w:szCs w:val="28"/>
          <w:lang w:val="en-GB"/>
        </w:rPr>
        <w:t xml:space="preserve"> Tax decentralization and public deficits in OECD countries, </w:t>
      </w:r>
      <w:r w:rsidR="00715FD4" w:rsidRPr="00715FD4">
        <w:rPr>
          <w:i/>
          <w:sz w:val="28"/>
          <w:szCs w:val="28"/>
          <w:lang w:val="en-GB"/>
        </w:rPr>
        <w:t>Publius: The Journal of Federalism</w:t>
      </w:r>
      <w:r w:rsidR="00715FD4" w:rsidRPr="00715FD4">
        <w:rPr>
          <w:sz w:val="28"/>
          <w:szCs w:val="28"/>
          <w:lang w:val="en-GB"/>
        </w:rPr>
        <w:t>.</w:t>
      </w:r>
      <w:r w:rsidR="00715FD4" w:rsidRPr="00715FD4">
        <w:rPr>
          <w:sz w:val="28"/>
          <w:szCs w:val="28"/>
          <w:lang w:val="en-GB"/>
        </w:rPr>
        <w:tab/>
      </w:r>
    </w:p>
    <w:p w14:paraId="5BCC8A29"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 xml:space="preserve">Bekaert, G., Harvey, C. R., Lundblad, C. T., </w:t>
      </w:r>
      <w:r w:rsidR="00E62166">
        <w:rPr>
          <w:rFonts w:eastAsia="Calibri" w:cs="Calibri"/>
          <w:sz w:val="28"/>
          <w:szCs w:val="28"/>
          <w:bdr w:val="none" w:sz="0" w:space="0" w:color="auto" w:frame="1"/>
          <w:lang w:val="en-US"/>
        </w:rPr>
        <w:t>and Siegel, S., 2011,</w:t>
      </w:r>
      <w:r w:rsidRPr="00715FD4">
        <w:rPr>
          <w:rFonts w:eastAsia="Calibri" w:cs="Calibri"/>
          <w:sz w:val="28"/>
          <w:szCs w:val="28"/>
          <w:bdr w:val="none" w:sz="0" w:space="0" w:color="auto" w:frame="1"/>
          <w:lang w:val="en-US"/>
        </w:rPr>
        <w:t xml:space="preserve"> What segments equity markets?, </w:t>
      </w:r>
      <w:r w:rsidRPr="00715FD4">
        <w:rPr>
          <w:rFonts w:eastAsia="Calibri" w:cs="Calibri"/>
          <w:i/>
          <w:iCs/>
          <w:sz w:val="28"/>
          <w:szCs w:val="28"/>
          <w:bdr w:val="none" w:sz="0" w:space="0" w:color="auto" w:frame="1"/>
          <w:lang w:val="en-US"/>
        </w:rPr>
        <w:t>Review of Financial Studies</w:t>
      </w:r>
      <w:r w:rsidRPr="00715FD4">
        <w:rPr>
          <w:rFonts w:eastAsia="Calibri" w:cs="Calibri"/>
          <w:sz w:val="28"/>
          <w:szCs w:val="28"/>
          <w:bdr w:val="none" w:sz="0" w:space="0" w:color="auto" w:frame="1"/>
          <w:lang w:val="en-US"/>
        </w:rPr>
        <w:t xml:space="preserve">, 24(12), </w:t>
      </w:r>
      <w:r w:rsidR="00E62166">
        <w:rPr>
          <w:rFonts w:eastAsia="Calibri" w:cs="Calibri"/>
          <w:sz w:val="28"/>
          <w:szCs w:val="28"/>
          <w:bdr w:val="none" w:sz="0" w:space="0" w:color="auto" w:frame="1"/>
          <w:lang w:val="en-US"/>
        </w:rPr>
        <w:t xml:space="preserve">pp. </w:t>
      </w:r>
      <w:r w:rsidRPr="00715FD4">
        <w:rPr>
          <w:rFonts w:eastAsia="Calibri" w:cs="Calibri"/>
          <w:sz w:val="28"/>
          <w:szCs w:val="28"/>
          <w:bdr w:val="none" w:sz="0" w:space="0" w:color="auto" w:frame="1"/>
          <w:lang w:val="en-US"/>
        </w:rPr>
        <w:t>3841</w:t>
      </w:r>
      <w:r w:rsidR="00E66974">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3890.</w:t>
      </w:r>
    </w:p>
    <w:p w14:paraId="50DD1C16"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 xml:space="preserve">Bekaert, G., Harvey, C. R., Lundblad, C. T., </w:t>
      </w:r>
      <w:r w:rsidR="00E62166">
        <w:rPr>
          <w:rFonts w:eastAsia="Calibri" w:cs="Calibri"/>
          <w:sz w:val="28"/>
          <w:szCs w:val="28"/>
          <w:bdr w:val="none" w:sz="0" w:space="0" w:color="auto" w:frame="1"/>
          <w:lang w:val="en-US"/>
        </w:rPr>
        <w:t>and Siegel, S., 2013,</w:t>
      </w:r>
      <w:r w:rsidRPr="00715FD4">
        <w:rPr>
          <w:rFonts w:eastAsia="Calibri" w:cs="Calibri"/>
          <w:sz w:val="28"/>
          <w:szCs w:val="28"/>
          <w:bdr w:val="none" w:sz="0" w:space="0" w:color="auto" w:frame="1"/>
          <w:lang w:val="en-US"/>
        </w:rPr>
        <w:t xml:space="preserve"> The European Union, the Euro, and equ</w:t>
      </w:r>
      <w:r w:rsidR="00E62166">
        <w:rPr>
          <w:rFonts w:eastAsia="Calibri" w:cs="Calibri"/>
          <w:sz w:val="28"/>
          <w:szCs w:val="28"/>
          <w:bdr w:val="none" w:sz="0" w:space="0" w:color="auto" w:frame="1"/>
          <w:lang w:val="en-US"/>
        </w:rPr>
        <w:t>ity market integration,</w:t>
      </w:r>
      <w:r w:rsidRPr="00715FD4">
        <w:rPr>
          <w:rFonts w:eastAsia="Calibri" w:cs="Calibri"/>
          <w:sz w:val="28"/>
          <w:szCs w:val="28"/>
          <w:bdr w:val="none" w:sz="0" w:space="0" w:color="auto" w:frame="1"/>
          <w:lang w:val="en-US"/>
        </w:rPr>
        <w:t xml:space="preserve"> </w:t>
      </w:r>
      <w:r w:rsidRPr="00715FD4">
        <w:rPr>
          <w:rFonts w:eastAsia="Calibri" w:cs="Calibri"/>
          <w:i/>
          <w:iCs/>
          <w:sz w:val="28"/>
          <w:szCs w:val="28"/>
          <w:bdr w:val="none" w:sz="0" w:space="0" w:color="auto" w:frame="1"/>
          <w:lang w:val="en-US"/>
        </w:rPr>
        <w:t>Journal of Financial Economics</w:t>
      </w:r>
      <w:r w:rsidRPr="00715FD4">
        <w:rPr>
          <w:rFonts w:eastAsia="Calibri" w:cs="Calibri"/>
          <w:sz w:val="28"/>
          <w:szCs w:val="28"/>
          <w:bdr w:val="none" w:sz="0" w:space="0" w:color="auto" w:frame="1"/>
          <w:lang w:val="en-US"/>
        </w:rPr>
        <w:t xml:space="preserve">, 109(3), </w:t>
      </w:r>
      <w:r w:rsidR="00E62166">
        <w:rPr>
          <w:rFonts w:eastAsia="Calibri" w:cs="Calibri"/>
          <w:sz w:val="28"/>
          <w:szCs w:val="28"/>
          <w:bdr w:val="none" w:sz="0" w:space="0" w:color="auto" w:frame="1"/>
          <w:lang w:val="en-US"/>
        </w:rPr>
        <w:t xml:space="preserve">pp. </w:t>
      </w:r>
      <w:r w:rsidRPr="00715FD4">
        <w:rPr>
          <w:rFonts w:eastAsia="Calibri" w:cs="Calibri"/>
          <w:sz w:val="28"/>
          <w:szCs w:val="28"/>
          <w:bdr w:val="none" w:sz="0" w:space="0" w:color="auto" w:frame="1"/>
          <w:lang w:val="en-US"/>
        </w:rPr>
        <w:t>583</w:t>
      </w:r>
      <w:r w:rsidR="00E66974">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603.</w:t>
      </w:r>
    </w:p>
    <w:p w14:paraId="4D8B65FD" w14:textId="77777777" w:rsidR="00715FD4" w:rsidRPr="00E62166" w:rsidRDefault="00E62166" w:rsidP="00E62166">
      <w:pPr>
        <w:numPr>
          <w:ilvl w:val="0"/>
          <w:numId w:val="264"/>
        </w:numPr>
        <w:spacing w:line="240" w:lineRule="atLeast"/>
        <w:ind w:hanging="578"/>
        <w:contextualSpacing/>
        <w:jc w:val="both"/>
        <w:rPr>
          <w:sz w:val="28"/>
          <w:lang w:val="en-US"/>
        </w:rPr>
      </w:pPr>
      <w:r>
        <w:rPr>
          <w:sz w:val="28"/>
          <w:lang w:val="en-US"/>
        </w:rPr>
        <w:t xml:space="preserve">Goldstein, M., 2005, </w:t>
      </w:r>
      <w:r w:rsidRPr="00715FD4">
        <w:rPr>
          <w:sz w:val="28"/>
          <w:lang w:val="en-US"/>
        </w:rPr>
        <w:t>The Inter</w:t>
      </w:r>
      <w:r>
        <w:rPr>
          <w:sz w:val="28"/>
          <w:lang w:val="en-US"/>
        </w:rPr>
        <w:t xml:space="preserve">national Financial Architecture, </w:t>
      </w:r>
      <w:r w:rsidRPr="00715FD4">
        <w:rPr>
          <w:sz w:val="28"/>
          <w:lang w:val="en-US"/>
        </w:rPr>
        <w:t>Chapter 12</w:t>
      </w:r>
      <w:r>
        <w:rPr>
          <w:sz w:val="28"/>
          <w:lang w:val="en-US"/>
        </w:rPr>
        <w:t xml:space="preserve"> in </w:t>
      </w:r>
      <w:r w:rsidR="00715FD4" w:rsidRPr="00E62166">
        <w:rPr>
          <w:sz w:val="28"/>
          <w:lang w:val="en-US"/>
        </w:rPr>
        <w:t>Bergsten, C. Fred</w:t>
      </w:r>
      <w:r>
        <w:rPr>
          <w:sz w:val="28"/>
          <w:lang w:val="en-US"/>
        </w:rPr>
        <w:t xml:space="preserve">, </w:t>
      </w:r>
      <w:r w:rsidR="00715FD4" w:rsidRPr="00E62166">
        <w:rPr>
          <w:i/>
          <w:sz w:val="28"/>
          <w:lang w:val="en-US"/>
        </w:rPr>
        <w:t>The United States and the world economy: foreign economic policy for the next decade</w:t>
      </w:r>
      <w:r w:rsidR="00715FD4" w:rsidRPr="00E62166">
        <w:rPr>
          <w:sz w:val="28"/>
          <w:lang w:val="en-US"/>
        </w:rPr>
        <w:t>, The Institute for International Economics,</w:t>
      </w:r>
      <w:r w:rsidR="00715FD4" w:rsidRPr="00E62166">
        <w:rPr>
          <w:i/>
          <w:sz w:val="28"/>
          <w:lang w:val="en-US"/>
        </w:rPr>
        <w:t xml:space="preserve"> </w:t>
      </w:r>
      <w:r>
        <w:rPr>
          <w:sz w:val="28"/>
          <w:lang w:val="en-US"/>
        </w:rPr>
        <w:t>Washington, DC</w:t>
      </w:r>
      <w:r w:rsidR="00715FD4" w:rsidRPr="00E62166">
        <w:rPr>
          <w:sz w:val="28"/>
          <w:lang w:val="en-US"/>
        </w:rPr>
        <w:t xml:space="preserve">, </w:t>
      </w:r>
      <w:r>
        <w:rPr>
          <w:sz w:val="28"/>
          <w:lang w:val="en-US"/>
        </w:rPr>
        <w:t>pp.</w:t>
      </w:r>
      <w:r>
        <w:rPr>
          <w:lang w:val="en-US"/>
        </w:rPr>
        <w:t> </w:t>
      </w:r>
      <w:r w:rsidR="00715FD4" w:rsidRPr="00E62166">
        <w:rPr>
          <w:sz w:val="28"/>
          <w:lang w:val="en-US"/>
        </w:rPr>
        <w:t>373</w:t>
      </w:r>
      <w:r w:rsidR="00E66974" w:rsidRPr="00E62166">
        <w:rPr>
          <w:sz w:val="28"/>
          <w:lang w:val="en-US"/>
        </w:rPr>
        <w:t>–</w:t>
      </w:r>
      <w:r>
        <w:rPr>
          <w:sz w:val="28"/>
          <w:lang w:val="en-US"/>
        </w:rPr>
        <w:t>407</w:t>
      </w:r>
      <w:r w:rsidR="00715FD4" w:rsidRPr="00E62166">
        <w:rPr>
          <w:sz w:val="28"/>
          <w:lang w:val="en-US"/>
        </w:rPr>
        <w:t>.</w:t>
      </w:r>
    </w:p>
    <w:p w14:paraId="77D46742"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Berk, J. B.,</w:t>
      </w:r>
      <w:r w:rsidR="00B66F28">
        <w:rPr>
          <w:rFonts w:eastAsia="Calibri" w:cs="Calibri"/>
          <w:sz w:val="28"/>
          <w:szCs w:val="28"/>
          <w:bdr w:val="none" w:sz="0" w:space="0" w:color="auto" w:frame="1"/>
          <w:lang w:val="en-US"/>
        </w:rPr>
        <w:t xml:space="preserve"> and DeMarzo, P. M., 2014,</w:t>
      </w:r>
      <w:r w:rsidRPr="00715FD4">
        <w:rPr>
          <w:rFonts w:eastAsia="Calibri" w:cs="Calibri"/>
          <w:sz w:val="28"/>
          <w:szCs w:val="28"/>
          <w:bdr w:val="none" w:sz="0" w:space="0" w:color="auto" w:frame="1"/>
          <w:lang w:val="en-US"/>
        </w:rPr>
        <w:t xml:space="preserve"> </w:t>
      </w:r>
      <w:r w:rsidR="00B66F28">
        <w:rPr>
          <w:rFonts w:eastAsia="Calibri" w:cs="Calibri"/>
          <w:i/>
          <w:sz w:val="28"/>
          <w:szCs w:val="28"/>
          <w:bdr w:val="none" w:sz="0" w:space="0" w:color="auto" w:frame="1"/>
          <w:lang w:val="en-US"/>
        </w:rPr>
        <w:t>Corporate finance,</w:t>
      </w:r>
      <w:r w:rsidRPr="00B66F28">
        <w:rPr>
          <w:rFonts w:eastAsia="Calibri" w:cs="Calibri"/>
          <w:i/>
          <w:sz w:val="28"/>
          <w:szCs w:val="28"/>
          <w:bdr w:val="none" w:sz="0" w:space="0" w:color="auto" w:frame="1"/>
          <w:lang w:val="en-US"/>
        </w:rPr>
        <w:t xml:space="preserve"> </w:t>
      </w:r>
      <w:r w:rsidRPr="00B66F28">
        <w:rPr>
          <w:rFonts w:eastAsia="Calibri" w:cs="Calibri"/>
          <w:iCs/>
          <w:sz w:val="28"/>
          <w:szCs w:val="28"/>
          <w:bdr w:val="none" w:sz="0" w:space="0" w:color="auto" w:frame="1"/>
          <w:lang w:val="en-US"/>
        </w:rPr>
        <w:t>Pearson</w:t>
      </w:r>
      <w:r w:rsidR="00B66F28">
        <w:rPr>
          <w:rFonts w:eastAsia="Calibri" w:cs="Calibri"/>
          <w:iCs/>
          <w:sz w:val="28"/>
          <w:szCs w:val="28"/>
          <w:bdr w:val="none" w:sz="0" w:space="0" w:color="auto" w:frame="1"/>
          <w:lang w:val="en-US"/>
        </w:rPr>
        <w:t>, 1136 p</w:t>
      </w:r>
      <w:r w:rsidRPr="00B66F28">
        <w:rPr>
          <w:rFonts w:eastAsia="Calibri" w:cs="Calibri"/>
          <w:sz w:val="28"/>
          <w:szCs w:val="28"/>
          <w:bdr w:val="none" w:sz="0" w:space="0" w:color="auto" w:frame="1"/>
          <w:lang w:val="en-US"/>
        </w:rPr>
        <w:t>.</w:t>
      </w:r>
    </w:p>
    <w:p w14:paraId="2A8A52B4" w14:textId="77777777" w:rsidR="00715FD4" w:rsidRPr="00715FD4" w:rsidRDefault="00B66F28" w:rsidP="006F749C">
      <w:pPr>
        <w:numPr>
          <w:ilvl w:val="0"/>
          <w:numId w:val="264"/>
        </w:numPr>
        <w:spacing w:line="240" w:lineRule="atLeast"/>
        <w:ind w:hanging="578"/>
        <w:contextualSpacing/>
        <w:jc w:val="both"/>
        <w:rPr>
          <w:sz w:val="28"/>
          <w:lang w:val="en-US"/>
        </w:rPr>
      </w:pPr>
      <w:r>
        <w:rPr>
          <w:sz w:val="28"/>
          <w:lang w:val="en-US"/>
        </w:rPr>
        <w:t>Bernstein, L. A., 1989,</w:t>
      </w:r>
      <w:r w:rsidR="00715FD4" w:rsidRPr="00715FD4">
        <w:rPr>
          <w:sz w:val="28"/>
          <w:lang w:val="en-US"/>
        </w:rPr>
        <w:t xml:space="preserve"> </w:t>
      </w:r>
      <w:r w:rsidR="00715FD4" w:rsidRPr="00B66F28">
        <w:rPr>
          <w:i/>
          <w:sz w:val="28"/>
          <w:lang w:val="en-US"/>
        </w:rPr>
        <w:t>Financial statement analysis</w:t>
      </w:r>
      <w:r w:rsidRPr="00B66F28">
        <w:rPr>
          <w:i/>
          <w:sz w:val="28"/>
          <w:lang w:val="en-US"/>
        </w:rPr>
        <w:t>:</w:t>
      </w:r>
      <w:r w:rsidR="00715FD4" w:rsidRPr="00B66F28">
        <w:rPr>
          <w:i/>
          <w:sz w:val="28"/>
          <w:lang w:val="en-US"/>
        </w:rPr>
        <w:t xml:space="preserve"> theory, application, and interpretation</w:t>
      </w:r>
      <w:r>
        <w:rPr>
          <w:sz w:val="28"/>
          <w:lang w:val="en-US"/>
        </w:rPr>
        <w:t>, 4</w:t>
      </w:r>
      <w:r w:rsidRPr="00B66F28">
        <w:rPr>
          <w:sz w:val="28"/>
          <w:lang w:val="en-US"/>
        </w:rPr>
        <w:t>th</w:t>
      </w:r>
      <w:r>
        <w:rPr>
          <w:sz w:val="28"/>
          <w:lang w:val="en-US"/>
        </w:rPr>
        <w:t xml:space="preserve"> edition, Irwin Publishing.</w:t>
      </w:r>
    </w:p>
    <w:p w14:paraId="1793834F" w14:textId="77777777" w:rsidR="00715FD4" w:rsidRPr="00715FD4" w:rsidRDefault="00B66F28" w:rsidP="006F749C">
      <w:pPr>
        <w:numPr>
          <w:ilvl w:val="0"/>
          <w:numId w:val="264"/>
        </w:numPr>
        <w:spacing w:line="240" w:lineRule="atLeast"/>
        <w:ind w:hanging="578"/>
        <w:contextualSpacing/>
        <w:jc w:val="both"/>
        <w:rPr>
          <w:sz w:val="28"/>
          <w:lang w:val="en-US"/>
        </w:rPr>
      </w:pPr>
      <w:r>
        <w:rPr>
          <w:sz w:val="28"/>
          <w:lang w:val="en-US"/>
        </w:rPr>
        <w:t>Bhargava, V. K., 2006,</w:t>
      </w:r>
      <w:r w:rsidR="00715FD4" w:rsidRPr="00715FD4">
        <w:rPr>
          <w:sz w:val="28"/>
          <w:lang w:val="en-US"/>
        </w:rPr>
        <w:t xml:space="preserve"> </w:t>
      </w:r>
      <w:r w:rsidR="00715FD4" w:rsidRPr="00020053">
        <w:rPr>
          <w:i/>
          <w:sz w:val="28"/>
          <w:lang w:val="en-US"/>
        </w:rPr>
        <w:t xml:space="preserve">Global issues for global citizens: an introduction to key development challenges, </w:t>
      </w:r>
      <w:r w:rsidR="00715FD4" w:rsidRPr="00020053">
        <w:rPr>
          <w:sz w:val="28"/>
          <w:lang w:val="en-US"/>
        </w:rPr>
        <w:t>The World Bank</w:t>
      </w:r>
      <w:r w:rsidR="00715FD4" w:rsidRPr="00715FD4">
        <w:rPr>
          <w:sz w:val="28"/>
          <w:lang w:val="en-US"/>
        </w:rPr>
        <w:t xml:space="preserve">, Washington, DC, </w:t>
      </w:r>
      <w:r w:rsidR="00020053">
        <w:rPr>
          <w:sz w:val="28"/>
          <w:lang w:val="en-US"/>
        </w:rPr>
        <w:t xml:space="preserve">pp. </w:t>
      </w:r>
      <w:r w:rsidR="00715FD4" w:rsidRPr="00715FD4">
        <w:rPr>
          <w:sz w:val="28"/>
          <w:lang w:val="en-US"/>
        </w:rPr>
        <w:t>393</w:t>
      </w:r>
      <w:r w:rsidR="00E66974">
        <w:rPr>
          <w:sz w:val="28"/>
          <w:lang w:val="en-US"/>
        </w:rPr>
        <w:t>–</w:t>
      </w:r>
      <w:r w:rsidR="00020053">
        <w:rPr>
          <w:sz w:val="28"/>
          <w:lang w:val="en-US"/>
        </w:rPr>
        <w:t>409</w:t>
      </w:r>
      <w:r w:rsidR="00715FD4" w:rsidRPr="00715FD4">
        <w:rPr>
          <w:sz w:val="28"/>
          <w:lang w:val="en-US"/>
        </w:rPr>
        <w:t>.</w:t>
      </w:r>
    </w:p>
    <w:p w14:paraId="11211EDB" w14:textId="77777777" w:rsidR="00715FD4" w:rsidRPr="00715FD4" w:rsidRDefault="00020053" w:rsidP="006F749C">
      <w:pPr>
        <w:numPr>
          <w:ilvl w:val="0"/>
          <w:numId w:val="264"/>
        </w:numPr>
        <w:spacing w:line="240" w:lineRule="atLeast"/>
        <w:ind w:hanging="578"/>
        <w:contextualSpacing/>
        <w:jc w:val="both"/>
        <w:rPr>
          <w:rFonts w:eastAsia="Garamond"/>
          <w:sz w:val="28"/>
          <w:szCs w:val="28"/>
          <w:bdr w:val="none" w:sz="0" w:space="0" w:color="auto" w:frame="1"/>
          <w:lang w:val="en-US"/>
        </w:rPr>
      </w:pPr>
      <w:r>
        <w:rPr>
          <w:rFonts w:eastAsia="Calibri" w:cs="Calibri"/>
          <w:sz w:val="28"/>
          <w:szCs w:val="28"/>
          <w:bdr w:val="none" w:sz="0" w:space="0" w:color="auto" w:frame="1"/>
          <w:lang w:val="en-US"/>
        </w:rPr>
        <w:t>Blake, D., 2000,</w:t>
      </w:r>
      <w:r w:rsidR="00715FD4" w:rsidRPr="00715FD4">
        <w:rPr>
          <w:rFonts w:eastAsia="Calibri" w:cs="Calibri"/>
          <w:sz w:val="28"/>
          <w:szCs w:val="28"/>
          <w:bdr w:val="none" w:sz="0" w:space="0" w:color="auto" w:frame="1"/>
          <w:lang w:val="en-US"/>
        </w:rPr>
        <w:t xml:space="preserve"> </w:t>
      </w:r>
      <w:r w:rsidR="00715FD4" w:rsidRPr="00020053">
        <w:rPr>
          <w:rFonts w:eastAsia="Calibri" w:cs="Calibri"/>
          <w:i/>
          <w:sz w:val="28"/>
          <w:szCs w:val="28"/>
          <w:bdr w:val="none" w:sz="0" w:space="0" w:color="auto" w:frame="1"/>
          <w:lang w:val="en-US"/>
        </w:rPr>
        <w:t>Financial market analysis</w:t>
      </w:r>
      <w:r>
        <w:rPr>
          <w:rFonts w:eastAsia="Calibri" w:cs="Calibri"/>
          <w:i/>
          <w:sz w:val="28"/>
          <w:szCs w:val="28"/>
          <w:bdr w:val="none" w:sz="0" w:space="0" w:color="auto" w:frame="1"/>
          <w:lang w:val="en-US"/>
        </w:rPr>
        <w:t>,</w:t>
      </w:r>
      <w:r>
        <w:rPr>
          <w:rFonts w:eastAsia="Calibri" w:cs="Calibri"/>
          <w:i/>
          <w:iCs/>
          <w:sz w:val="28"/>
          <w:szCs w:val="28"/>
          <w:bdr w:val="none" w:sz="0" w:space="0" w:color="auto" w:frame="1"/>
          <w:lang w:val="en-US"/>
        </w:rPr>
        <w:t xml:space="preserve"> </w:t>
      </w:r>
      <w:r w:rsidR="00715FD4" w:rsidRPr="00020053">
        <w:rPr>
          <w:rFonts w:eastAsia="Calibri" w:cs="Calibri"/>
          <w:iCs/>
          <w:sz w:val="28"/>
          <w:szCs w:val="28"/>
          <w:bdr w:val="none" w:sz="0" w:space="0" w:color="auto" w:frame="1"/>
          <w:lang w:val="en-US"/>
        </w:rPr>
        <w:t>Wiley</w:t>
      </w:r>
      <w:r w:rsidRPr="00020053">
        <w:rPr>
          <w:rFonts w:eastAsia="Calibri" w:cs="Calibri"/>
          <w:iCs/>
          <w:sz w:val="28"/>
          <w:szCs w:val="28"/>
          <w:bdr w:val="none" w:sz="0" w:space="0" w:color="auto" w:frame="1"/>
          <w:lang w:val="en-US"/>
        </w:rPr>
        <w:t>, New York</w:t>
      </w:r>
      <w:r>
        <w:rPr>
          <w:rFonts w:eastAsia="Calibri" w:cs="Calibri"/>
          <w:sz w:val="28"/>
          <w:szCs w:val="28"/>
          <w:bdr w:val="none" w:sz="0" w:space="0" w:color="auto" w:frame="1"/>
          <w:lang w:val="en-US"/>
        </w:rPr>
        <w:t>, 748 p.</w:t>
      </w:r>
      <w:r w:rsidR="00715FD4" w:rsidRPr="00715FD4">
        <w:rPr>
          <w:rFonts w:eastAsia="Calibri" w:cs="Calibri"/>
          <w:sz w:val="28"/>
          <w:szCs w:val="28"/>
          <w:bdr w:val="none" w:sz="0" w:space="0" w:color="auto" w:frame="1"/>
          <w:lang w:val="en-US"/>
        </w:rPr>
        <w:t xml:space="preserve"> </w:t>
      </w:r>
    </w:p>
    <w:p w14:paraId="3EA97107"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Blinder, A. S., </w:t>
      </w:r>
      <w:r w:rsidR="00E66974">
        <w:rPr>
          <w:sz w:val="28"/>
          <w:lang w:val="en-US"/>
        </w:rPr>
        <w:t>and</w:t>
      </w:r>
      <w:r w:rsidR="00020053">
        <w:rPr>
          <w:sz w:val="28"/>
          <w:lang w:val="en-US"/>
        </w:rPr>
        <w:t xml:space="preserve"> Solow, R. M., 1973,</w:t>
      </w:r>
      <w:r w:rsidRPr="00715FD4">
        <w:rPr>
          <w:sz w:val="28"/>
          <w:lang w:val="en-US"/>
        </w:rPr>
        <w:t xml:space="preserve"> Does fiscal policy matter? </w:t>
      </w:r>
      <w:r w:rsidRPr="00715FD4">
        <w:rPr>
          <w:i/>
          <w:sz w:val="28"/>
          <w:lang w:val="en-US"/>
        </w:rPr>
        <w:t>Journal of Public Economics</w:t>
      </w:r>
      <w:r w:rsidRPr="00715FD4">
        <w:rPr>
          <w:sz w:val="28"/>
          <w:lang w:val="en-US"/>
        </w:rPr>
        <w:t>, 2(4),</w:t>
      </w:r>
      <w:r w:rsidR="00020053">
        <w:rPr>
          <w:sz w:val="28"/>
          <w:lang w:val="en-US"/>
        </w:rPr>
        <w:t xml:space="preserve"> pp.</w:t>
      </w:r>
      <w:r w:rsidRPr="00715FD4">
        <w:rPr>
          <w:sz w:val="28"/>
          <w:lang w:val="en-US"/>
        </w:rPr>
        <w:t xml:space="preserve"> 319</w:t>
      </w:r>
      <w:r w:rsidR="00E66974">
        <w:rPr>
          <w:sz w:val="28"/>
          <w:lang w:val="en-US"/>
        </w:rPr>
        <w:t>–</w:t>
      </w:r>
      <w:r w:rsidRPr="00715FD4">
        <w:rPr>
          <w:sz w:val="28"/>
          <w:lang w:val="en-US"/>
        </w:rPr>
        <w:t xml:space="preserve">337. </w:t>
      </w:r>
    </w:p>
    <w:p w14:paraId="0561FF99" w14:textId="77777777" w:rsidR="00715FD4" w:rsidRPr="00715FD4" w:rsidRDefault="00715FD4" w:rsidP="006F749C">
      <w:pPr>
        <w:numPr>
          <w:ilvl w:val="0"/>
          <w:numId w:val="264"/>
        </w:numPr>
        <w:spacing w:line="240" w:lineRule="atLeast"/>
        <w:ind w:hanging="578"/>
        <w:contextualSpacing/>
        <w:jc w:val="both"/>
        <w:rPr>
          <w:sz w:val="28"/>
          <w:szCs w:val="28"/>
          <w:lang w:val="en-GB"/>
        </w:rPr>
      </w:pPr>
      <w:r w:rsidRPr="00715FD4">
        <w:rPr>
          <w:sz w:val="28"/>
          <w:szCs w:val="28"/>
          <w:lang w:val="en-GB"/>
        </w:rPr>
        <w:t xml:space="preserve">Bohn, H., </w:t>
      </w:r>
      <w:r w:rsidR="00E66974">
        <w:rPr>
          <w:sz w:val="28"/>
          <w:szCs w:val="28"/>
          <w:lang w:val="en-GB"/>
        </w:rPr>
        <w:t>and</w:t>
      </w:r>
      <w:r w:rsidR="00020053">
        <w:rPr>
          <w:sz w:val="28"/>
          <w:szCs w:val="28"/>
          <w:lang w:val="en-GB"/>
        </w:rPr>
        <w:t xml:space="preserve"> Inman, R. P., 1996,</w:t>
      </w:r>
      <w:r w:rsidRPr="00715FD4">
        <w:rPr>
          <w:sz w:val="28"/>
          <w:szCs w:val="28"/>
          <w:lang w:val="en-GB"/>
        </w:rPr>
        <w:t xml:space="preserve"> Balanced-budget rules and public deficits: evidence from the US states</w:t>
      </w:r>
      <w:r w:rsidR="00020053">
        <w:rPr>
          <w:sz w:val="28"/>
          <w:szCs w:val="28"/>
          <w:lang w:val="en-GB"/>
        </w:rPr>
        <w:t xml:space="preserve">, </w:t>
      </w:r>
      <w:r w:rsidRPr="00715FD4">
        <w:rPr>
          <w:i/>
          <w:sz w:val="28"/>
          <w:szCs w:val="28"/>
          <w:lang w:val="en-GB"/>
        </w:rPr>
        <w:t>Carnegie-Rochester conference series on public policy</w:t>
      </w:r>
      <w:r w:rsidRPr="00715FD4">
        <w:rPr>
          <w:sz w:val="28"/>
          <w:szCs w:val="28"/>
          <w:lang w:val="en-GB"/>
        </w:rPr>
        <w:t xml:space="preserve">, 45, </w:t>
      </w:r>
      <w:r w:rsidR="00020053">
        <w:rPr>
          <w:sz w:val="28"/>
          <w:szCs w:val="28"/>
          <w:lang w:val="en-GB"/>
        </w:rPr>
        <w:t xml:space="preserve">pp. </w:t>
      </w:r>
      <w:r w:rsidRPr="00715FD4">
        <w:rPr>
          <w:sz w:val="28"/>
          <w:szCs w:val="28"/>
          <w:lang w:val="en-GB"/>
        </w:rPr>
        <w:t>13</w:t>
      </w:r>
      <w:r w:rsidR="00E66974">
        <w:rPr>
          <w:sz w:val="28"/>
          <w:szCs w:val="28"/>
          <w:lang w:val="en-GB"/>
        </w:rPr>
        <w:t>–</w:t>
      </w:r>
      <w:r w:rsidRPr="00715FD4">
        <w:rPr>
          <w:sz w:val="28"/>
          <w:szCs w:val="28"/>
          <w:lang w:val="en-GB"/>
        </w:rPr>
        <w:t xml:space="preserve">76. </w:t>
      </w:r>
    </w:p>
    <w:p w14:paraId="1B975332" w14:textId="77777777" w:rsidR="00715FD4" w:rsidRPr="00715FD4" w:rsidRDefault="00020053" w:rsidP="006F749C">
      <w:pPr>
        <w:numPr>
          <w:ilvl w:val="0"/>
          <w:numId w:val="264"/>
        </w:numPr>
        <w:spacing w:line="240" w:lineRule="atLeast"/>
        <w:ind w:hanging="578"/>
        <w:contextualSpacing/>
        <w:jc w:val="both"/>
        <w:rPr>
          <w:rFonts w:eastAsia="Garamond"/>
          <w:sz w:val="28"/>
          <w:szCs w:val="28"/>
          <w:bdr w:val="none" w:sz="0" w:space="0" w:color="auto" w:frame="1"/>
          <w:lang w:val="en-US"/>
        </w:rPr>
      </w:pPr>
      <w:r>
        <w:rPr>
          <w:rFonts w:eastAsia="Calibri" w:cs="Calibri"/>
          <w:sz w:val="28"/>
          <w:szCs w:val="28"/>
          <w:bdr w:val="none" w:sz="0" w:space="0" w:color="auto" w:frame="1"/>
          <w:lang w:val="fr-BE"/>
        </w:rPr>
        <w:t>Bolton, P., Scharfstein, D. S., 1998,</w:t>
      </w:r>
      <w:r w:rsidR="00715FD4" w:rsidRPr="00715FD4">
        <w:rPr>
          <w:rFonts w:eastAsia="Calibri" w:cs="Calibri"/>
          <w:sz w:val="28"/>
          <w:szCs w:val="28"/>
          <w:bdr w:val="none" w:sz="0" w:space="0" w:color="auto" w:frame="1"/>
          <w:lang w:val="fr-BE"/>
        </w:rPr>
        <w:t xml:space="preserve"> </w:t>
      </w:r>
      <w:r w:rsidR="00715FD4" w:rsidRPr="00715FD4">
        <w:rPr>
          <w:rFonts w:eastAsia="Calibri" w:cs="Calibri"/>
          <w:sz w:val="28"/>
          <w:szCs w:val="28"/>
          <w:bdr w:val="none" w:sz="0" w:space="0" w:color="auto" w:frame="1"/>
          <w:lang w:val="en-US"/>
        </w:rPr>
        <w:t>Corporate finance, the theory of the firm, and organizations</w:t>
      </w:r>
      <w:r>
        <w:rPr>
          <w:rFonts w:eastAsia="Calibri" w:cs="Calibri"/>
          <w:sz w:val="28"/>
          <w:szCs w:val="28"/>
          <w:bdr w:val="none" w:sz="0" w:space="0" w:color="auto" w:frame="1"/>
          <w:lang w:val="en-US"/>
        </w:rPr>
        <w:t>,</w:t>
      </w:r>
      <w:r w:rsidR="00715FD4" w:rsidRPr="00715FD4">
        <w:rPr>
          <w:rFonts w:eastAsia="Calibri" w:cs="Calibri"/>
          <w:sz w:val="28"/>
          <w:szCs w:val="28"/>
          <w:bdr w:val="none" w:sz="0" w:space="0" w:color="auto" w:frame="1"/>
          <w:lang w:val="en-US"/>
        </w:rPr>
        <w:t xml:space="preserve"> </w:t>
      </w:r>
      <w:r w:rsidR="00715FD4" w:rsidRPr="00715FD4">
        <w:rPr>
          <w:rFonts w:eastAsia="Calibri" w:cs="Calibri"/>
          <w:i/>
          <w:iCs/>
          <w:sz w:val="28"/>
          <w:szCs w:val="28"/>
          <w:bdr w:val="none" w:sz="0" w:space="0" w:color="auto" w:frame="1"/>
          <w:lang w:val="en-US"/>
        </w:rPr>
        <w:t>The Journal of Economic Perspectives</w:t>
      </w:r>
      <w:r w:rsidR="00715FD4" w:rsidRPr="00715FD4">
        <w:rPr>
          <w:rFonts w:eastAsia="Calibri" w:cs="Calibri"/>
          <w:sz w:val="28"/>
          <w:szCs w:val="28"/>
          <w:bdr w:val="none" w:sz="0" w:space="0" w:color="auto" w:frame="1"/>
          <w:lang w:val="en-US"/>
        </w:rPr>
        <w:t xml:space="preserve">, </w:t>
      </w:r>
      <w:r>
        <w:rPr>
          <w:rFonts w:eastAsia="Calibri" w:cs="Calibri"/>
          <w:sz w:val="28"/>
          <w:szCs w:val="28"/>
          <w:bdr w:val="none" w:sz="0" w:space="0" w:color="auto" w:frame="1"/>
          <w:lang w:val="en-US"/>
        </w:rPr>
        <w:t xml:space="preserve">12(4), pp. </w:t>
      </w:r>
      <w:r w:rsidR="00715FD4" w:rsidRPr="00715FD4">
        <w:rPr>
          <w:rFonts w:eastAsia="Calibri" w:cs="Calibri"/>
          <w:sz w:val="28"/>
          <w:szCs w:val="28"/>
          <w:bdr w:val="none" w:sz="0" w:space="0" w:color="auto" w:frame="1"/>
          <w:lang w:val="en-US"/>
        </w:rPr>
        <w:t>95</w:t>
      </w:r>
      <w:r w:rsidR="00E66974">
        <w:rPr>
          <w:rFonts w:eastAsia="Calibri" w:cs="Calibri"/>
          <w:sz w:val="28"/>
          <w:szCs w:val="28"/>
          <w:bdr w:val="none" w:sz="0" w:space="0" w:color="auto" w:frame="1"/>
          <w:lang w:val="en-US"/>
        </w:rPr>
        <w:t>–</w:t>
      </w:r>
      <w:r w:rsidR="00715FD4" w:rsidRPr="00715FD4">
        <w:rPr>
          <w:rFonts w:eastAsia="Calibri" w:cs="Calibri"/>
          <w:sz w:val="28"/>
          <w:szCs w:val="28"/>
          <w:bdr w:val="none" w:sz="0" w:space="0" w:color="auto" w:frame="1"/>
          <w:lang w:val="en-US"/>
        </w:rPr>
        <w:t>114.</w:t>
      </w:r>
    </w:p>
    <w:p w14:paraId="175F6B00"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lastRenderedPageBreak/>
        <w:t xml:space="preserve">Brigham, E., </w:t>
      </w:r>
      <w:r w:rsidR="00E66974">
        <w:rPr>
          <w:sz w:val="28"/>
          <w:lang w:val="en-US"/>
        </w:rPr>
        <w:t>and</w:t>
      </w:r>
      <w:r w:rsidR="00020053">
        <w:rPr>
          <w:sz w:val="28"/>
          <w:lang w:val="en-US"/>
        </w:rPr>
        <w:t xml:space="preserve"> Ehrhardt, M., 2013,</w:t>
      </w:r>
      <w:r w:rsidRPr="00715FD4">
        <w:rPr>
          <w:sz w:val="28"/>
          <w:lang w:val="en-US"/>
        </w:rPr>
        <w:t xml:space="preserve"> </w:t>
      </w:r>
      <w:r w:rsidRPr="00020053">
        <w:rPr>
          <w:i/>
          <w:sz w:val="28"/>
          <w:lang w:val="en-US"/>
        </w:rPr>
        <w:t xml:space="preserve">Financial management: theory </w:t>
      </w:r>
      <w:r w:rsidR="00E66974" w:rsidRPr="00020053">
        <w:rPr>
          <w:i/>
          <w:sz w:val="28"/>
          <w:lang w:val="en-US"/>
        </w:rPr>
        <w:t>and</w:t>
      </w:r>
      <w:r w:rsidRPr="00020053">
        <w:rPr>
          <w:i/>
          <w:sz w:val="28"/>
          <w:lang w:val="en-US"/>
        </w:rPr>
        <w:t xml:space="preserve"> practice</w:t>
      </w:r>
      <w:r w:rsidR="00020053">
        <w:rPr>
          <w:sz w:val="28"/>
          <w:lang w:val="en-US"/>
        </w:rPr>
        <w:t xml:space="preserve">, South-Western </w:t>
      </w:r>
      <w:r w:rsidRPr="00020053">
        <w:rPr>
          <w:sz w:val="28"/>
          <w:lang w:val="en-US"/>
        </w:rPr>
        <w:t>Cengage Learning</w:t>
      </w:r>
      <w:r w:rsidR="00020053">
        <w:rPr>
          <w:sz w:val="28"/>
          <w:lang w:val="en-US"/>
        </w:rPr>
        <w:t>, 1167 p.</w:t>
      </w:r>
    </w:p>
    <w:p w14:paraId="42989D91" w14:textId="77777777" w:rsidR="00715FD4" w:rsidRDefault="00715FD4" w:rsidP="006F749C">
      <w:pPr>
        <w:numPr>
          <w:ilvl w:val="0"/>
          <w:numId w:val="264"/>
        </w:numPr>
        <w:spacing w:line="240" w:lineRule="atLeast"/>
        <w:ind w:hanging="578"/>
        <w:contextualSpacing/>
        <w:jc w:val="both"/>
        <w:rPr>
          <w:sz w:val="28"/>
          <w:lang w:val="en-US"/>
        </w:rPr>
      </w:pPr>
      <w:r w:rsidRPr="00715FD4">
        <w:rPr>
          <w:sz w:val="28"/>
          <w:lang w:val="fr-BE"/>
        </w:rPr>
        <w:t xml:space="preserve">Brochet, F., Jagolinzer, A. D., </w:t>
      </w:r>
      <w:r w:rsidR="00E66974">
        <w:rPr>
          <w:sz w:val="28"/>
          <w:lang w:val="fr-BE"/>
        </w:rPr>
        <w:t>and</w:t>
      </w:r>
      <w:r w:rsidR="00020053">
        <w:rPr>
          <w:sz w:val="28"/>
          <w:lang w:val="fr-BE"/>
        </w:rPr>
        <w:t xml:space="preserve"> Riedl, E. J., 2013,</w:t>
      </w:r>
      <w:r w:rsidRPr="00715FD4">
        <w:rPr>
          <w:sz w:val="28"/>
          <w:lang w:val="fr-BE"/>
        </w:rPr>
        <w:t xml:space="preserve"> </w:t>
      </w:r>
      <w:r w:rsidRPr="00715FD4">
        <w:rPr>
          <w:sz w:val="28"/>
          <w:lang w:val="en-US"/>
        </w:rPr>
        <w:t>Mandatory IFRS adoption and financial statement comparability</w:t>
      </w:r>
      <w:r w:rsidR="00020053">
        <w:rPr>
          <w:sz w:val="28"/>
          <w:lang w:val="en-US"/>
        </w:rPr>
        <w:t>,</w:t>
      </w:r>
      <w:r w:rsidRPr="00715FD4">
        <w:rPr>
          <w:sz w:val="28"/>
          <w:lang w:val="en-US"/>
        </w:rPr>
        <w:t xml:space="preserve"> </w:t>
      </w:r>
      <w:r w:rsidRPr="00715FD4">
        <w:rPr>
          <w:i/>
          <w:sz w:val="28"/>
          <w:lang w:val="en-US"/>
        </w:rPr>
        <w:t>Contemporary Accounting Research</w:t>
      </w:r>
      <w:r w:rsidRPr="00715FD4">
        <w:rPr>
          <w:sz w:val="28"/>
          <w:lang w:val="en-US"/>
        </w:rPr>
        <w:t xml:space="preserve">, 30(4), </w:t>
      </w:r>
      <w:r w:rsidR="00020053">
        <w:rPr>
          <w:sz w:val="28"/>
          <w:lang w:val="en-US"/>
        </w:rPr>
        <w:t>pp. </w:t>
      </w:r>
      <w:r w:rsidRPr="00715FD4">
        <w:rPr>
          <w:sz w:val="28"/>
          <w:lang w:val="en-US"/>
        </w:rPr>
        <w:t>1373</w:t>
      </w:r>
      <w:r w:rsidR="00E66974">
        <w:rPr>
          <w:sz w:val="28"/>
          <w:lang w:val="en-US"/>
        </w:rPr>
        <w:t>–</w:t>
      </w:r>
      <w:r w:rsidRPr="00715FD4">
        <w:rPr>
          <w:sz w:val="28"/>
          <w:lang w:val="en-US"/>
        </w:rPr>
        <w:t>1400.</w:t>
      </w:r>
    </w:p>
    <w:p w14:paraId="73E190D9" w14:textId="77777777" w:rsidR="0097122B" w:rsidRPr="00612A90" w:rsidRDefault="00020053" w:rsidP="002B21FB">
      <w:pPr>
        <w:numPr>
          <w:ilvl w:val="0"/>
          <w:numId w:val="264"/>
        </w:numPr>
        <w:spacing w:line="240" w:lineRule="atLeast"/>
        <w:ind w:left="709" w:hanging="567"/>
        <w:contextualSpacing/>
        <w:jc w:val="both"/>
        <w:rPr>
          <w:sz w:val="28"/>
          <w:lang w:val="ru-RU"/>
        </w:rPr>
      </w:pPr>
      <w:r>
        <w:rPr>
          <w:sz w:val="28"/>
          <w:lang w:val="en-US"/>
        </w:rPr>
        <w:t>Brychko, M., 2014,</w:t>
      </w:r>
      <w:r w:rsidR="0097122B">
        <w:rPr>
          <w:sz w:val="28"/>
          <w:lang w:val="en-US"/>
        </w:rPr>
        <w:t xml:space="preserve"> </w:t>
      </w:r>
      <w:r w:rsidR="0097122B" w:rsidRPr="0097122B">
        <w:rPr>
          <w:sz w:val="28"/>
          <w:lang w:val="en-US"/>
        </w:rPr>
        <w:t>Methodical approaches to formation of the system of banks’ financial relationships with their stakeholders</w:t>
      </w:r>
      <w:r>
        <w:rPr>
          <w:sz w:val="28"/>
          <w:lang w:val="en-US"/>
        </w:rPr>
        <w:t>,</w:t>
      </w:r>
      <w:r w:rsidR="003B4919">
        <w:rPr>
          <w:sz w:val="28"/>
          <w:lang w:val="en-US"/>
        </w:rPr>
        <w:t xml:space="preserve"> </w:t>
      </w:r>
      <w:r w:rsidR="003B4919" w:rsidRPr="00020053">
        <w:rPr>
          <w:i/>
          <w:sz w:val="28"/>
          <w:lang w:val="en-US"/>
        </w:rPr>
        <w:t>Business inform</w:t>
      </w:r>
      <w:r w:rsidR="003B4919">
        <w:rPr>
          <w:sz w:val="28"/>
          <w:lang w:val="en-US"/>
        </w:rPr>
        <w:t xml:space="preserve">, 12, </w:t>
      </w:r>
      <w:r>
        <w:rPr>
          <w:sz w:val="28"/>
          <w:lang w:val="en-US"/>
        </w:rPr>
        <w:t>pp. </w:t>
      </w:r>
      <w:r w:rsidR="003B4919">
        <w:rPr>
          <w:sz w:val="28"/>
          <w:lang w:val="en-US"/>
        </w:rPr>
        <w:t>405</w:t>
      </w:r>
      <w:r w:rsidR="00E66974">
        <w:rPr>
          <w:sz w:val="28"/>
          <w:lang w:val="en-US"/>
        </w:rPr>
        <w:t>–</w:t>
      </w:r>
      <w:r w:rsidR="003B4919">
        <w:rPr>
          <w:sz w:val="28"/>
          <w:lang w:val="en-US"/>
        </w:rPr>
        <w:t xml:space="preserve">410. </w:t>
      </w:r>
      <w:r w:rsidR="0097122B" w:rsidRPr="00612A90">
        <w:rPr>
          <w:sz w:val="28"/>
          <w:lang w:val="ru-RU"/>
        </w:rPr>
        <w:t>[</w:t>
      </w:r>
      <w:r w:rsidR="0097122B" w:rsidRPr="0097122B">
        <w:rPr>
          <w:sz w:val="28"/>
          <w:lang w:val="ru-RU"/>
        </w:rPr>
        <w:t>Бричко</w:t>
      </w:r>
      <w:r w:rsidR="0097122B" w:rsidRPr="00612A90">
        <w:rPr>
          <w:sz w:val="28"/>
          <w:lang w:val="ru-RU"/>
        </w:rPr>
        <w:t xml:space="preserve">, </w:t>
      </w:r>
      <w:r w:rsidR="0097122B" w:rsidRPr="0097122B">
        <w:rPr>
          <w:sz w:val="28"/>
          <w:lang w:val="ru-RU"/>
        </w:rPr>
        <w:t>М</w:t>
      </w:r>
      <w:r w:rsidR="0097122B" w:rsidRPr="00612A90">
        <w:rPr>
          <w:sz w:val="28"/>
          <w:lang w:val="ru-RU"/>
        </w:rPr>
        <w:t xml:space="preserve">. </w:t>
      </w:r>
      <w:r w:rsidR="0097122B" w:rsidRPr="0097122B">
        <w:rPr>
          <w:sz w:val="28"/>
          <w:lang w:val="ru-RU"/>
        </w:rPr>
        <w:t>М</w:t>
      </w:r>
      <w:r w:rsidR="0097122B" w:rsidRPr="00612A90">
        <w:rPr>
          <w:sz w:val="28"/>
          <w:lang w:val="ru-RU"/>
        </w:rPr>
        <w:t xml:space="preserve">. </w:t>
      </w:r>
      <w:r w:rsidR="0097122B" w:rsidRPr="0097122B">
        <w:rPr>
          <w:sz w:val="28"/>
          <w:lang w:val="ru-RU"/>
        </w:rPr>
        <w:t>Методичні</w:t>
      </w:r>
      <w:r w:rsidR="0097122B" w:rsidRPr="00612A90">
        <w:rPr>
          <w:sz w:val="28"/>
          <w:lang w:val="ru-RU"/>
        </w:rPr>
        <w:t xml:space="preserve"> </w:t>
      </w:r>
      <w:r w:rsidR="0097122B" w:rsidRPr="0097122B">
        <w:rPr>
          <w:sz w:val="28"/>
          <w:lang w:val="ru-RU"/>
        </w:rPr>
        <w:t>підходи</w:t>
      </w:r>
      <w:r w:rsidR="0097122B" w:rsidRPr="00612A90">
        <w:rPr>
          <w:sz w:val="28"/>
          <w:lang w:val="ru-RU"/>
        </w:rPr>
        <w:t xml:space="preserve"> </w:t>
      </w:r>
      <w:r w:rsidR="0097122B" w:rsidRPr="0097122B">
        <w:rPr>
          <w:sz w:val="28"/>
          <w:lang w:val="ru-RU"/>
        </w:rPr>
        <w:t>до</w:t>
      </w:r>
      <w:r w:rsidR="0097122B" w:rsidRPr="00612A90">
        <w:rPr>
          <w:sz w:val="28"/>
          <w:lang w:val="ru-RU"/>
        </w:rPr>
        <w:t xml:space="preserve"> </w:t>
      </w:r>
      <w:r w:rsidR="0097122B" w:rsidRPr="0097122B">
        <w:rPr>
          <w:sz w:val="28"/>
          <w:lang w:val="ru-RU"/>
        </w:rPr>
        <w:t>формування</w:t>
      </w:r>
      <w:r w:rsidR="0097122B" w:rsidRPr="00612A90">
        <w:rPr>
          <w:sz w:val="28"/>
          <w:lang w:val="ru-RU"/>
        </w:rPr>
        <w:t xml:space="preserve"> </w:t>
      </w:r>
      <w:r w:rsidR="0097122B" w:rsidRPr="0097122B">
        <w:rPr>
          <w:sz w:val="28"/>
          <w:lang w:val="ru-RU"/>
        </w:rPr>
        <w:t>системи</w:t>
      </w:r>
      <w:r w:rsidR="0097122B" w:rsidRPr="00612A90">
        <w:rPr>
          <w:sz w:val="28"/>
          <w:lang w:val="ru-RU"/>
        </w:rPr>
        <w:t xml:space="preserve"> </w:t>
      </w:r>
      <w:r w:rsidR="0097122B" w:rsidRPr="0097122B">
        <w:rPr>
          <w:sz w:val="28"/>
          <w:lang w:val="ru-RU"/>
        </w:rPr>
        <w:t>фінансових</w:t>
      </w:r>
      <w:r w:rsidR="0097122B" w:rsidRPr="00612A90">
        <w:rPr>
          <w:sz w:val="28"/>
          <w:lang w:val="ru-RU"/>
        </w:rPr>
        <w:t xml:space="preserve"> </w:t>
      </w:r>
      <w:r w:rsidR="0097122B" w:rsidRPr="0097122B">
        <w:rPr>
          <w:sz w:val="28"/>
          <w:lang w:val="ru-RU"/>
        </w:rPr>
        <w:t>відносин</w:t>
      </w:r>
      <w:r w:rsidR="0097122B" w:rsidRPr="00612A90">
        <w:rPr>
          <w:sz w:val="28"/>
          <w:lang w:val="ru-RU"/>
        </w:rPr>
        <w:t xml:space="preserve"> </w:t>
      </w:r>
      <w:r w:rsidR="0097122B" w:rsidRPr="0097122B">
        <w:rPr>
          <w:sz w:val="28"/>
          <w:lang w:val="ru-RU"/>
        </w:rPr>
        <w:t>банку</w:t>
      </w:r>
      <w:r w:rsidR="0097122B" w:rsidRPr="00612A90">
        <w:rPr>
          <w:sz w:val="28"/>
          <w:lang w:val="ru-RU"/>
        </w:rPr>
        <w:t xml:space="preserve"> </w:t>
      </w:r>
      <w:r w:rsidR="0097122B" w:rsidRPr="0097122B">
        <w:rPr>
          <w:sz w:val="28"/>
          <w:lang w:val="ru-RU"/>
        </w:rPr>
        <w:t>зі</w:t>
      </w:r>
      <w:r w:rsidR="0097122B" w:rsidRPr="00612A90">
        <w:rPr>
          <w:sz w:val="28"/>
          <w:lang w:val="ru-RU"/>
        </w:rPr>
        <w:t xml:space="preserve"> </w:t>
      </w:r>
      <w:r w:rsidR="0097122B" w:rsidRPr="0097122B">
        <w:rPr>
          <w:sz w:val="28"/>
          <w:lang w:val="ru-RU"/>
        </w:rPr>
        <w:t>стейкхолдерами</w:t>
      </w:r>
      <w:r w:rsidR="0097122B" w:rsidRPr="00612A90">
        <w:rPr>
          <w:sz w:val="28"/>
          <w:lang w:val="ru-RU"/>
        </w:rPr>
        <w:t xml:space="preserve"> // </w:t>
      </w:r>
      <w:r w:rsidR="0097122B" w:rsidRPr="0097122B">
        <w:rPr>
          <w:sz w:val="28"/>
          <w:lang w:val="ru-RU"/>
        </w:rPr>
        <w:t>Бізнес</w:t>
      </w:r>
      <w:r w:rsidR="0097122B" w:rsidRPr="00612A90">
        <w:rPr>
          <w:sz w:val="28"/>
          <w:lang w:val="ru-RU"/>
        </w:rPr>
        <w:t xml:space="preserve"> </w:t>
      </w:r>
      <w:r w:rsidR="0097122B" w:rsidRPr="0097122B">
        <w:rPr>
          <w:sz w:val="28"/>
          <w:lang w:val="ru-RU"/>
        </w:rPr>
        <w:t>Інформ</w:t>
      </w:r>
      <w:r w:rsidR="0097122B" w:rsidRPr="00612A90">
        <w:rPr>
          <w:sz w:val="28"/>
          <w:lang w:val="ru-RU"/>
        </w:rPr>
        <w:t xml:space="preserve">. – 2014. – №12. – </w:t>
      </w:r>
      <w:r w:rsidR="0097122B" w:rsidRPr="0097122B">
        <w:rPr>
          <w:sz w:val="28"/>
          <w:lang w:val="en-US"/>
        </w:rPr>
        <w:t>C</w:t>
      </w:r>
      <w:r w:rsidR="0097122B" w:rsidRPr="00612A90">
        <w:rPr>
          <w:sz w:val="28"/>
          <w:lang w:val="ru-RU"/>
        </w:rPr>
        <w:t>. 405</w:t>
      </w:r>
      <w:r w:rsidR="00E66974" w:rsidRPr="00612A90">
        <w:rPr>
          <w:sz w:val="28"/>
          <w:lang w:val="ru-RU"/>
        </w:rPr>
        <w:t>–</w:t>
      </w:r>
      <w:r w:rsidR="0097122B" w:rsidRPr="00612A90">
        <w:rPr>
          <w:sz w:val="28"/>
          <w:lang w:val="ru-RU"/>
        </w:rPr>
        <w:t>410.]</w:t>
      </w:r>
    </w:p>
    <w:p w14:paraId="2F7ED87B"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Buiter, W. H.,</w:t>
      </w:r>
      <w:r w:rsidR="00020053">
        <w:rPr>
          <w:sz w:val="28"/>
          <w:lang w:val="en-US"/>
        </w:rPr>
        <w:t xml:space="preserve"> and Lankes, H. P., 2001,</w:t>
      </w:r>
      <w:r w:rsidRPr="00715FD4">
        <w:rPr>
          <w:sz w:val="28"/>
          <w:lang w:val="en-US"/>
        </w:rPr>
        <w:t xml:space="preserve"> International financial Institutions adapting to a world of private capit</w:t>
      </w:r>
      <w:r w:rsidR="00020053">
        <w:rPr>
          <w:sz w:val="28"/>
          <w:lang w:val="en-US"/>
        </w:rPr>
        <w:t>al flows,</w:t>
      </w:r>
      <w:r w:rsidRPr="00715FD4">
        <w:rPr>
          <w:sz w:val="28"/>
          <w:lang w:val="en-US"/>
        </w:rPr>
        <w:t xml:space="preserve"> </w:t>
      </w:r>
      <w:r w:rsidRPr="00715FD4">
        <w:rPr>
          <w:i/>
          <w:sz w:val="28"/>
          <w:lang w:val="en-US"/>
        </w:rPr>
        <w:t>Perspectives in Global Finance</w:t>
      </w:r>
      <w:r w:rsidRPr="00715FD4">
        <w:rPr>
          <w:sz w:val="28"/>
          <w:lang w:val="en-US"/>
        </w:rPr>
        <w:t xml:space="preserve">, Routledge, London </w:t>
      </w:r>
      <w:r w:rsidR="00E66974">
        <w:rPr>
          <w:sz w:val="28"/>
          <w:lang w:val="en-US"/>
        </w:rPr>
        <w:t>and</w:t>
      </w:r>
      <w:r w:rsidRPr="00715FD4">
        <w:rPr>
          <w:sz w:val="28"/>
          <w:lang w:val="en-US"/>
        </w:rPr>
        <w:t xml:space="preserve"> New York.</w:t>
      </w:r>
    </w:p>
    <w:p w14:paraId="3043C612" w14:textId="77777777" w:rsidR="00715FD4" w:rsidRPr="00715FD4" w:rsidRDefault="00020053" w:rsidP="006F749C">
      <w:pPr>
        <w:numPr>
          <w:ilvl w:val="0"/>
          <w:numId w:val="264"/>
        </w:numPr>
        <w:spacing w:line="240" w:lineRule="atLeast"/>
        <w:ind w:hanging="578"/>
        <w:contextualSpacing/>
        <w:jc w:val="both"/>
        <w:rPr>
          <w:color w:val="000000" w:themeColor="text1"/>
          <w:sz w:val="28"/>
          <w:szCs w:val="28"/>
          <w:lang w:val="en-US"/>
        </w:rPr>
      </w:pPr>
      <w:r>
        <w:rPr>
          <w:color w:val="000000" w:themeColor="text1"/>
          <w:sz w:val="28"/>
          <w:szCs w:val="28"/>
          <w:lang w:val="en-US"/>
        </w:rPr>
        <w:t>Chang, S. J., 2005,</w:t>
      </w:r>
      <w:r w:rsidR="00715FD4" w:rsidRPr="00715FD4">
        <w:rPr>
          <w:color w:val="000000" w:themeColor="text1"/>
          <w:sz w:val="28"/>
          <w:szCs w:val="28"/>
          <w:lang w:val="en-US"/>
        </w:rPr>
        <w:t xml:space="preserve"> A Theoretical Discussion on Financial Theory: What Should We Teach and How? </w:t>
      </w:r>
      <w:r w:rsidR="00715FD4" w:rsidRPr="00715FD4">
        <w:rPr>
          <w:i/>
          <w:color w:val="000000" w:themeColor="text1"/>
          <w:sz w:val="28"/>
          <w:szCs w:val="28"/>
          <w:lang w:val="en-US"/>
        </w:rPr>
        <w:t>Journal of Economics and Finance Education,</w:t>
      </w:r>
      <w:r w:rsidR="00715FD4" w:rsidRPr="00715FD4">
        <w:rPr>
          <w:color w:val="000000" w:themeColor="text1"/>
          <w:sz w:val="28"/>
          <w:szCs w:val="28"/>
          <w:lang w:val="en-US"/>
        </w:rPr>
        <w:t xml:space="preserve"> 4(2), </w:t>
      </w:r>
      <w:r>
        <w:rPr>
          <w:color w:val="000000" w:themeColor="text1"/>
          <w:sz w:val="28"/>
          <w:szCs w:val="28"/>
          <w:lang w:val="en-US"/>
        </w:rPr>
        <w:t xml:space="preserve">pp. </w:t>
      </w:r>
      <w:r w:rsidR="00715FD4" w:rsidRPr="00715FD4">
        <w:rPr>
          <w:color w:val="000000" w:themeColor="text1"/>
          <w:sz w:val="28"/>
          <w:szCs w:val="28"/>
          <w:lang w:val="en-US"/>
        </w:rPr>
        <w:t>39</w:t>
      </w:r>
      <w:r w:rsidR="00E66974">
        <w:rPr>
          <w:color w:val="000000" w:themeColor="text1"/>
          <w:sz w:val="28"/>
          <w:szCs w:val="28"/>
          <w:lang w:val="en-US"/>
        </w:rPr>
        <w:t>–</w:t>
      </w:r>
      <w:r w:rsidR="00715FD4" w:rsidRPr="00715FD4">
        <w:rPr>
          <w:color w:val="000000" w:themeColor="text1"/>
          <w:sz w:val="28"/>
          <w:szCs w:val="28"/>
          <w:lang w:val="en-US"/>
        </w:rPr>
        <w:t>48.</w:t>
      </w:r>
    </w:p>
    <w:p w14:paraId="33125CC8" w14:textId="77777777" w:rsidR="00715FD4" w:rsidRPr="00715FD4"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en-US"/>
        </w:rPr>
        <w:t xml:space="preserve">Dimitris, </w:t>
      </w:r>
      <w:r w:rsidR="00020053">
        <w:rPr>
          <w:sz w:val="28"/>
          <w:szCs w:val="28"/>
          <w:lang w:val="en-US"/>
        </w:rPr>
        <w:t xml:space="preserve">C., </w:t>
      </w:r>
      <w:r w:rsidRPr="00715FD4">
        <w:rPr>
          <w:sz w:val="28"/>
          <w:szCs w:val="28"/>
          <w:lang w:val="en-US"/>
        </w:rPr>
        <w:t xml:space="preserve">Georgarakos, </w:t>
      </w:r>
      <w:r w:rsidR="00020053">
        <w:rPr>
          <w:sz w:val="28"/>
          <w:szCs w:val="28"/>
          <w:lang w:val="en-US"/>
        </w:rPr>
        <w:t xml:space="preserve">D., </w:t>
      </w:r>
      <w:r w:rsidRPr="00715FD4">
        <w:rPr>
          <w:sz w:val="28"/>
          <w:szCs w:val="28"/>
          <w:lang w:val="en-US"/>
        </w:rPr>
        <w:t>and Haliassos</w:t>
      </w:r>
      <w:r w:rsidR="00020053">
        <w:rPr>
          <w:sz w:val="28"/>
          <w:szCs w:val="28"/>
          <w:lang w:val="en-US"/>
        </w:rPr>
        <w:t>, M.,</w:t>
      </w:r>
      <w:r w:rsidRPr="00715FD4">
        <w:rPr>
          <w:sz w:val="28"/>
          <w:szCs w:val="28"/>
          <w:lang w:val="en-US"/>
        </w:rPr>
        <w:t xml:space="preserve"> </w:t>
      </w:r>
      <w:r w:rsidR="00020053">
        <w:rPr>
          <w:sz w:val="28"/>
          <w:szCs w:val="28"/>
          <w:lang w:val="en-US"/>
        </w:rPr>
        <w:t xml:space="preserve">2013, </w:t>
      </w:r>
      <w:r w:rsidRPr="00715FD4">
        <w:rPr>
          <w:sz w:val="28"/>
          <w:szCs w:val="28"/>
          <w:lang w:val="en-US"/>
        </w:rPr>
        <w:t>Differences in Portfolios Across Countries: Economic Environment v</w:t>
      </w:r>
      <w:r w:rsidR="00020053">
        <w:rPr>
          <w:sz w:val="28"/>
          <w:szCs w:val="28"/>
          <w:lang w:val="en-US"/>
        </w:rPr>
        <w:t>ersus Household Characteristics</w:t>
      </w:r>
      <w:r w:rsidRPr="00715FD4">
        <w:rPr>
          <w:sz w:val="28"/>
          <w:szCs w:val="28"/>
          <w:lang w:val="en-US"/>
        </w:rPr>
        <w:t xml:space="preserve">, </w:t>
      </w:r>
      <w:r w:rsidRPr="00715FD4">
        <w:rPr>
          <w:i/>
          <w:sz w:val="28"/>
          <w:szCs w:val="28"/>
          <w:lang w:val="en-US"/>
        </w:rPr>
        <w:t>The Review of Economics and Statistics</w:t>
      </w:r>
      <w:r w:rsidRPr="00715FD4">
        <w:rPr>
          <w:sz w:val="28"/>
          <w:szCs w:val="28"/>
          <w:lang w:val="en-US"/>
        </w:rPr>
        <w:t xml:space="preserve">, 95(1), </w:t>
      </w:r>
      <w:r w:rsidR="00020053">
        <w:rPr>
          <w:sz w:val="28"/>
          <w:szCs w:val="28"/>
          <w:lang w:val="en-US"/>
        </w:rPr>
        <w:t xml:space="preserve">pp. </w:t>
      </w:r>
      <w:r w:rsidRPr="00715FD4">
        <w:rPr>
          <w:sz w:val="28"/>
          <w:szCs w:val="28"/>
          <w:lang w:val="en-US"/>
        </w:rPr>
        <w:t>220</w:t>
      </w:r>
      <w:r w:rsidR="00E66974">
        <w:rPr>
          <w:sz w:val="28"/>
          <w:szCs w:val="28"/>
          <w:lang w:val="en-US"/>
        </w:rPr>
        <w:t>–</w:t>
      </w:r>
      <w:r w:rsidRPr="00715FD4">
        <w:rPr>
          <w:sz w:val="28"/>
          <w:szCs w:val="28"/>
          <w:lang w:val="en-US"/>
        </w:rPr>
        <w:t>36.</w:t>
      </w:r>
    </w:p>
    <w:p w14:paraId="627E3FFE"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 xml:space="preserve">Clayman, M. R., Fridson, M. S., Troughton, G. H. </w:t>
      </w:r>
      <w:r w:rsidR="00020053">
        <w:rPr>
          <w:rFonts w:eastAsia="Calibri" w:cs="Calibri"/>
          <w:sz w:val="28"/>
          <w:szCs w:val="28"/>
          <w:bdr w:val="none" w:sz="0" w:space="0" w:color="auto" w:frame="1"/>
          <w:lang w:val="en-US"/>
        </w:rPr>
        <w:t>and Scanlan, M., 2012,</w:t>
      </w:r>
      <w:r w:rsidRPr="00715FD4">
        <w:rPr>
          <w:rFonts w:eastAsia="Calibri" w:cs="Calibri"/>
          <w:sz w:val="28"/>
          <w:szCs w:val="28"/>
          <w:bdr w:val="none" w:sz="0" w:space="0" w:color="auto" w:frame="1"/>
          <w:lang w:val="en-US"/>
        </w:rPr>
        <w:t xml:space="preserve"> </w:t>
      </w:r>
      <w:r w:rsidRPr="00020053">
        <w:rPr>
          <w:rFonts w:eastAsia="Calibri" w:cs="Calibri"/>
          <w:i/>
          <w:sz w:val="28"/>
          <w:szCs w:val="28"/>
          <w:bdr w:val="none" w:sz="0" w:space="0" w:color="auto" w:frame="1"/>
          <w:lang w:val="en-US"/>
        </w:rPr>
        <w:t>Corporate finance: A practical approach</w:t>
      </w:r>
      <w:r w:rsidRPr="00715FD4">
        <w:rPr>
          <w:rFonts w:eastAsia="Calibri" w:cs="Calibri"/>
          <w:sz w:val="28"/>
          <w:szCs w:val="28"/>
          <w:bdr w:val="none" w:sz="0" w:space="0" w:color="auto" w:frame="1"/>
          <w:lang w:val="en-US"/>
        </w:rPr>
        <w:t xml:space="preserve">, </w:t>
      </w:r>
      <w:r w:rsidR="00020053">
        <w:rPr>
          <w:rFonts w:eastAsia="Calibri" w:cs="Calibri"/>
          <w:iCs/>
          <w:sz w:val="28"/>
          <w:szCs w:val="28"/>
          <w:bdr w:val="none" w:sz="0" w:space="0" w:color="auto" w:frame="1"/>
          <w:lang w:val="en-US"/>
        </w:rPr>
        <w:t>2</w:t>
      </w:r>
      <w:r w:rsidR="00020053" w:rsidRPr="00020053">
        <w:rPr>
          <w:rFonts w:eastAsia="Calibri" w:cs="Calibri"/>
          <w:iCs/>
          <w:sz w:val="28"/>
          <w:szCs w:val="28"/>
          <w:bdr w:val="none" w:sz="0" w:space="0" w:color="auto" w:frame="1"/>
          <w:lang w:val="en-US"/>
        </w:rPr>
        <w:t>nd</w:t>
      </w:r>
      <w:r w:rsidR="00020053">
        <w:rPr>
          <w:rFonts w:eastAsia="Calibri" w:cs="Calibri"/>
          <w:iCs/>
          <w:sz w:val="28"/>
          <w:szCs w:val="28"/>
          <w:bdr w:val="none" w:sz="0" w:space="0" w:color="auto" w:frame="1"/>
          <w:lang w:val="en-US"/>
        </w:rPr>
        <w:t xml:space="preserve"> </w:t>
      </w:r>
      <w:r w:rsidR="00797229">
        <w:rPr>
          <w:rFonts w:eastAsia="Calibri" w:cs="Calibri"/>
          <w:iCs/>
          <w:sz w:val="28"/>
          <w:szCs w:val="28"/>
          <w:bdr w:val="none" w:sz="0" w:space="0" w:color="auto" w:frame="1"/>
          <w:lang w:val="en-US"/>
        </w:rPr>
        <w:t xml:space="preserve">Edition, CFA Institute, Wiley, 528 p. </w:t>
      </w:r>
    </w:p>
    <w:p w14:paraId="2069DD39" w14:textId="77777777" w:rsidR="00715FD4" w:rsidRPr="00715FD4" w:rsidRDefault="00715FD4" w:rsidP="006F749C">
      <w:pPr>
        <w:numPr>
          <w:ilvl w:val="0"/>
          <w:numId w:val="264"/>
        </w:numPr>
        <w:spacing w:line="240" w:lineRule="atLeast"/>
        <w:ind w:hanging="578"/>
        <w:contextualSpacing/>
        <w:jc w:val="both"/>
        <w:rPr>
          <w:sz w:val="28"/>
          <w:szCs w:val="28"/>
          <w:lang w:val="en-GB"/>
        </w:rPr>
      </w:pPr>
      <w:r w:rsidRPr="00715FD4">
        <w:rPr>
          <w:sz w:val="28"/>
          <w:szCs w:val="28"/>
          <w:lang w:val="en-GB"/>
        </w:rPr>
        <w:t xml:space="preserve">Costello, A. M., Petacchi, R., </w:t>
      </w:r>
      <w:r w:rsidR="00E66974">
        <w:rPr>
          <w:sz w:val="28"/>
          <w:szCs w:val="28"/>
          <w:lang w:val="en-GB"/>
        </w:rPr>
        <w:t>and</w:t>
      </w:r>
      <w:r w:rsidR="00797229">
        <w:rPr>
          <w:sz w:val="28"/>
          <w:szCs w:val="28"/>
          <w:lang w:val="en-GB"/>
        </w:rPr>
        <w:t xml:space="preserve"> Weber, J., 2012,</w:t>
      </w:r>
      <w:r w:rsidRPr="00715FD4">
        <w:rPr>
          <w:sz w:val="28"/>
          <w:szCs w:val="28"/>
          <w:lang w:val="en-GB"/>
        </w:rPr>
        <w:t xml:space="preserve"> The Hidden Consequences </w:t>
      </w:r>
      <w:r w:rsidR="00797229">
        <w:rPr>
          <w:sz w:val="28"/>
          <w:szCs w:val="28"/>
          <w:lang w:val="en-GB"/>
        </w:rPr>
        <w:t>of Balanced Budget Requirements, Available at SSRN 2151598.</w:t>
      </w:r>
    </w:p>
    <w:p w14:paraId="1858A768" w14:textId="77777777" w:rsidR="00715FD4" w:rsidRPr="00715FD4" w:rsidRDefault="00715FD4" w:rsidP="006F749C">
      <w:pPr>
        <w:numPr>
          <w:ilvl w:val="0"/>
          <w:numId w:val="264"/>
        </w:numPr>
        <w:spacing w:line="240" w:lineRule="atLeast"/>
        <w:ind w:hanging="578"/>
        <w:contextualSpacing/>
        <w:jc w:val="both"/>
        <w:rPr>
          <w:spacing w:val="-2"/>
          <w:sz w:val="28"/>
          <w:szCs w:val="28"/>
          <w:lang w:val="en-US"/>
        </w:rPr>
      </w:pPr>
      <w:r w:rsidRPr="00797229">
        <w:rPr>
          <w:i/>
          <w:spacing w:val="-2"/>
          <w:sz w:val="28"/>
          <w:szCs w:val="28"/>
          <w:lang w:val="en-US"/>
        </w:rPr>
        <w:t>Customs Code of Ukraine</w:t>
      </w:r>
      <w:r w:rsidR="00797229">
        <w:rPr>
          <w:spacing w:val="-2"/>
          <w:sz w:val="28"/>
          <w:szCs w:val="28"/>
          <w:lang w:val="en-US"/>
        </w:rPr>
        <w:t>, 2014, Кyiv,</w:t>
      </w:r>
      <w:r w:rsidRPr="00715FD4">
        <w:rPr>
          <w:spacing w:val="-2"/>
          <w:sz w:val="28"/>
          <w:szCs w:val="28"/>
          <w:lang w:val="en-US"/>
        </w:rPr>
        <w:t xml:space="preserve"> </w:t>
      </w:r>
      <w:r w:rsidRPr="00797229">
        <w:rPr>
          <w:spacing w:val="-2"/>
          <w:sz w:val="28"/>
          <w:szCs w:val="28"/>
          <w:lang w:val="en-US"/>
        </w:rPr>
        <w:t>SOE “SPC MinRD of Ukraine”</w:t>
      </w:r>
      <w:r w:rsidRPr="00715FD4">
        <w:rPr>
          <w:i/>
          <w:spacing w:val="-2"/>
          <w:sz w:val="28"/>
          <w:szCs w:val="28"/>
          <w:lang w:val="en-US"/>
        </w:rPr>
        <w:t xml:space="preserve"> </w:t>
      </w:r>
      <w:r w:rsidRPr="00715FD4">
        <w:rPr>
          <w:spacing w:val="-2"/>
          <w:sz w:val="28"/>
          <w:szCs w:val="28"/>
          <w:lang w:val="en-US"/>
        </w:rPr>
        <w:t>[</w:t>
      </w:r>
      <w:r w:rsidRPr="00715FD4">
        <w:rPr>
          <w:spacing w:val="-2"/>
          <w:sz w:val="28"/>
          <w:szCs w:val="28"/>
        </w:rPr>
        <w:t>Митний кодекс України. К. : Міністерство регіонального розвитку України, 2014. – 400 с</w:t>
      </w:r>
      <w:r w:rsidRPr="00715FD4">
        <w:rPr>
          <w:spacing w:val="-2"/>
          <w:sz w:val="28"/>
          <w:szCs w:val="28"/>
          <w:lang w:val="en-US"/>
        </w:rPr>
        <w:t>]</w:t>
      </w:r>
      <w:r w:rsidRPr="00715FD4">
        <w:rPr>
          <w:i/>
          <w:spacing w:val="-2"/>
          <w:sz w:val="28"/>
          <w:szCs w:val="28"/>
          <w:lang w:val="en-US"/>
        </w:rPr>
        <w:t>.</w:t>
      </w:r>
    </w:p>
    <w:p w14:paraId="1C1AF023" w14:textId="77777777" w:rsidR="00715FD4" w:rsidRPr="00715FD4" w:rsidRDefault="00715FD4" w:rsidP="00543EEA">
      <w:pPr>
        <w:numPr>
          <w:ilvl w:val="0"/>
          <w:numId w:val="264"/>
        </w:numPr>
        <w:spacing w:line="240" w:lineRule="atLeast"/>
        <w:ind w:left="709" w:hanging="567"/>
        <w:contextualSpacing/>
        <w:jc w:val="both"/>
        <w:rPr>
          <w:rFonts w:eastAsia="Garamond"/>
          <w:color w:val="FF0000"/>
          <w:spacing w:val="-2"/>
          <w:sz w:val="28"/>
          <w:szCs w:val="28"/>
          <w:bdr w:val="none" w:sz="0" w:space="0" w:color="auto" w:frame="1"/>
          <w:lang w:val="ru-RU"/>
        </w:rPr>
      </w:pPr>
      <w:r w:rsidRPr="00715FD4">
        <w:rPr>
          <w:spacing w:val="-2"/>
          <w:sz w:val="28"/>
          <w:lang w:val="en-US"/>
        </w:rPr>
        <w:t>D’yakonova I.</w:t>
      </w:r>
      <w:r w:rsidR="00797229">
        <w:rPr>
          <w:spacing w:val="-2"/>
          <w:sz w:val="28"/>
          <w:lang w:val="en-US"/>
        </w:rPr>
        <w:t xml:space="preserve"> </w:t>
      </w:r>
      <w:r w:rsidRPr="00715FD4">
        <w:rPr>
          <w:spacing w:val="-2"/>
          <w:sz w:val="28"/>
          <w:lang w:val="en-US"/>
        </w:rPr>
        <w:t>I., Makarenko M.</w:t>
      </w:r>
      <w:r w:rsidR="00797229">
        <w:rPr>
          <w:spacing w:val="-2"/>
          <w:sz w:val="28"/>
          <w:lang w:val="en-US"/>
        </w:rPr>
        <w:t xml:space="preserve"> </w:t>
      </w:r>
      <w:r w:rsidRPr="00715FD4">
        <w:rPr>
          <w:spacing w:val="-2"/>
          <w:sz w:val="28"/>
          <w:lang w:val="en-US"/>
        </w:rPr>
        <w:t xml:space="preserve">I., </w:t>
      </w:r>
      <w:r w:rsidR="00797229">
        <w:rPr>
          <w:spacing w:val="-2"/>
          <w:sz w:val="28"/>
          <w:lang w:val="en-US"/>
        </w:rPr>
        <w:t xml:space="preserve">and </w:t>
      </w:r>
      <w:r w:rsidRPr="00715FD4">
        <w:rPr>
          <w:spacing w:val="-2"/>
          <w:sz w:val="28"/>
          <w:lang w:val="en-US"/>
        </w:rPr>
        <w:t>Zhuravka F.</w:t>
      </w:r>
      <w:r w:rsidR="00797229">
        <w:rPr>
          <w:spacing w:val="-2"/>
          <w:sz w:val="28"/>
          <w:lang w:val="en-US"/>
        </w:rPr>
        <w:t xml:space="preserve"> O., 2013,</w:t>
      </w:r>
      <w:r w:rsidRPr="00715FD4">
        <w:rPr>
          <w:spacing w:val="-2"/>
          <w:sz w:val="28"/>
          <w:lang w:val="en-US"/>
        </w:rPr>
        <w:t xml:space="preserve"> </w:t>
      </w:r>
      <w:r w:rsidRPr="00797229">
        <w:rPr>
          <w:i/>
          <w:spacing w:val="-2"/>
          <w:sz w:val="28"/>
          <w:lang w:val="en-US"/>
        </w:rPr>
        <w:t>International Finance</w:t>
      </w:r>
      <w:r w:rsidR="00797229">
        <w:rPr>
          <w:i/>
          <w:spacing w:val="-2"/>
          <w:sz w:val="28"/>
          <w:lang w:val="en-US"/>
        </w:rPr>
        <w:t>,</w:t>
      </w:r>
      <w:r w:rsidR="00797229">
        <w:rPr>
          <w:spacing w:val="-2"/>
          <w:sz w:val="28"/>
          <w:lang w:val="en-US"/>
        </w:rPr>
        <w:t xml:space="preserve"> Kyiv,</w:t>
      </w:r>
      <w:r w:rsidRPr="00715FD4">
        <w:rPr>
          <w:spacing w:val="-2"/>
          <w:sz w:val="28"/>
          <w:lang w:val="en-US"/>
        </w:rPr>
        <w:t xml:space="preserve"> Centre of educational literature. </w:t>
      </w:r>
      <w:r w:rsidRPr="00715FD4">
        <w:rPr>
          <w:spacing w:val="-2"/>
          <w:sz w:val="28"/>
          <w:lang w:val="ru-RU"/>
        </w:rPr>
        <w:t>[Міжна</w:t>
      </w:r>
      <w:r w:rsidR="00797229">
        <w:rPr>
          <w:spacing w:val="-2"/>
          <w:sz w:val="28"/>
          <w:lang w:val="ru-RU"/>
        </w:rPr>
        <w:t xml:space="preserve">родні фінанси : навч. посіб. / </w:t>
      </w:r>
      <w:r w:rsidRPr="00715FD4">
        <w:rPr>
          <w:spacing w:val="-2"/>
          <w:sz w:val="28"/>
          <w:lang w:val="ru-RU"/>
        </w:rPr>
        <w:t>І.</w:t>
      </w:r>
      <w:r w:rsidR="00543EEA">
        <w:rPr>
          <w:spacing w:val="-2"/>
          <w:sz w:val="28"/>
          <w:lang w:val="ru-RU"/>
        </w:rPr>
        <w:t> </w:t>
      </w:r>
      <w:r w:rsidRPr="00715FD4">
        <w:rPr>
          <w:spacing w:val="-2"/>
          <w:sz w:val="28"/>
          <w:lang w:val="ru-RU"/>
        </w:rPr>
        <w:t>І.</w:t>
      </w:r>
      <w:r w:rsidR="00543EEA">
        <w:rPr>
          <w:spacing w:val="-2"/>
          <w:sz w:val="28"/>
          <w:lang w:val="ru-RU"/>
        </w:rPr>
        <w:t> </w:t>
      </w:r>
      <w:r w:rsidRPr="00715FD4">
        <w:rPr>
          <w:spacing w:val="-2"/>
          <w:sz w:val="28"/>
          <w:lang w:val="ru-RU"/>
        </w:rPr>
        <w:t>Д’яконова, М.</w:t>
      </w:r>
      <w:r w:rsidR="00797229" w:rsidRPr="00797229">
        <w:rPr>
          <w:spacing w:val="-2"/>
          <w:sz w:val="28"/>
          <w:lang w:val="ru-RU"/>
        </w:rPr>
        <w:t xml:space="preserve"> </w:t>
      </w:r>
      <w:r w:rsidRPr="00715FD4">
        <w:rPr>
          <w:spacing w:val="-2"/>
          <w:sz w:val="28"/>
          <w:lang w:val="ru-RU"/>
        </w:rPr>
        <w:t>І. Макаренко, Ф.</w:t>
      </w:r>
      <w:r w:rsidR="00797229" w:rsidRPr="00797229">
        <w:rPr>
          <w:spacing w:val="-2"/>
          <w:sz w:val="28"/>
          <w:lang w:val="ru-RU"/>
        </w:rPr>
        <w:t xml:space="preserve"> </w:t>
      </w:r>
      <w:r w:rsidR="00797229">
        <w:rPr>
          <w:spacing w:val="-2"/>
          <w:sz w:val="28"/>
          <w:lang w:val="ru-RU"/>
        </w:rPr>
        <w:t>О. Журавка та ін.</w:t>
      </w:r>
      <w:r w:rsidRPr="00715FD4">
        <w:rPr>
          <w:spacing w:val="-2"/>
          <w:sz w:val="28"/>
          <w:lang w:val="ru-RU"/>
        </w:rPr>
        <w:t>; за ред. М.</w:t>
      </w:r>
      <w:r w:rsidR="00543EEA">
        <w:rPr>
          <w:spacing w:val="-2"/>
          <w:sz w:val="28"/>
          <w:lang w:val="ru-RU"/>
        </w:rPr>
        <w:t> </w:t>
      </w:r>
      <w:r w:rsidRPr="00715FD4">
        <w:rPr>
          <w:spacing w:val="-2"/>
          <w:sz w:val="28"/>
          <w:lang w:val="ru-RU"/>
        </w:rPr>
        <w:t>І.</w:t>
      </w:r>
      <w:r w:rsidR="00543EEA">
        <w:rPr>
          <w:spacing w:val="-2"/>
          <w:sz w:val="28"/>
          <w:lang w:val="ru-RU"/>
        </w:rPr>
        <w:t> </w:t>
      </w:r>
      <w:r w:rsidRPr="00715FD4">
        <w:rPr>
          <w:spacing w:val="-2"/>
          <w:sz w:val="28"/>
          <w:lang w:val="ru-RU"/>
        </w:rPr>
        <w:t>Макаренка та І. І. Д’яконової. – К.</w:t>
      </w:r>
      <w:r w:rsidR="00797229" w:rsidRPr="00797229">
        <w:rPr>
          <w:spacing w:val="-2"/>
          <w:sz w:val="28"/>
          <w:lang w:val="ru-RU"/>
        </w:rPr>
        <w:t xml:space="preserve"> </w:t>
      </w:r>
      <w:r w:rsidRPr="00715FD4">
        <w:rPr>
          <w:spacing w:val="-2"/>
          <w:sz w:val="28"/>
          <w:lang w:val="ru-RU"/>
        </w:rPr>
        <w:t>: «Центр учбової літератури», 2013. – 548 с.]</w:t>
      </w:r>
    </w:p>
    <w:p w14:paraId="507B40C3" w14:textId="77777777" w:rsidR="00715FD4" w:rsidRPr="00797229" w:rsidRDefault="00797229" w:rsidP="006F749C">
      <w:pPr>
        <w:numPr>
          <w:ilvl w:val="0"/>
          <w:numId w:val="264"/>
        </w:numPr>
        <w:spacing w:line="240" w:lineRule="atLeast"/>
        <w:ind w:hanging="578"/>
        <w:contextualSpacing/>
        <w:jc w:val="both"/>
        <w:rPr>
          <w:rFonts w:eastAsia="Garamond"/>
          <w:sz w:val="28"/>
          <w:szCs w:val="28"/>
          <w:bdr w:val="none" w:sz="0" w:space="0" w:color="auto" w:frame="1"/>
          <w:lang w:val="en-US"/>
        </w:rPr>
      </w:pPr>
      <w:r>
        <w:rPr>
          <w:rFonts w:eastAsia="Calibri" w:cs="Calibri"/>
          <w:sz w:val="28"/>
          <w:szCs w:val="28"/>
          <w:bdr w:val="none" w:sz="0" w:space="0" w:color="auto" w:frame="1"/>
          <w:lang w:val="en-US"/>
        </w:rPr>
        <w:t>Damodaran, A., 1996,</w:t>
      </w:r>
      <w:r w:rsidR="00715FD4" w:rsidRPr="00715FD4">
        <w:rPr>
          <w:rFonts w:eastAsia="Calibri" w:cs="Calibri"/>
          <w:sz w:val="28"/>
          <w:szCs w:val="28"/>
          <w:bdr w:val="none" w:sz="0" w:space="0" w:color="auto" w:frame="1"/>
          <w:lang w:val="en-US"/>
        </w:rPr>
        <w:t xml:space="preserve"> </w:t>
      </w:r>
      <w:r w:rsidR="00715FD4" w:rsidRPr="00797229">
        <w:rPr>
          <w:rFonts w:eastAsia="Calibri" w:cs="Calibri"/>
          <w:i/>
          <w:sz w:val="28"/>
          <w:szCs w:val="28"/>
          <w:bdr w:val="none" w:sz="0" w:space="0" w:color="auto" w:frame="1"/>
          <w:lang w:val="en-US"/>
        </w:rPr>
        <w:t xml:space="preserve">Corporate </w:t>
      </w:r>
      <w:r>
        <w:rPr>
          <w:rFonts w:eastAsia="Calibri" w:cs="Calibri"/>
          <w:i/>
          <w:sz w:val="28"/>
          <w:szCs w:val="28"/>
          <w:bdr w:val="none" w:sz="0" w:space="0" w:color="auto" w:frame="1"/>
          <w:lang w:val="en-US"/>
        </w:rPr>
        <w:t>F</w:t>
      </w:r>
      <w:r w:rsidR="00715FD4" w:rsidRPr="00797229">
        <w:rPr>
          <w:rFonts w:eastAsia="Calibri" w:cs="Calibri"/>
          <w:i/>
          <w:sz w:val="28"/>
          <w:szCs w:val="28"/>
          <w:bdr w:val="none" w:sz="0" w:space="0" w:color="auto" w:frame="1"/>
          <w:lang w:val="en-US"/>
        </w:rPr>
        <w:t>inance</w:t>
      </w:r>
      <w:r w:rsidR="002B21FB">
        <w:rPr>
          <w:rFonts w:eastAsia="Calibri" w:cs="Calibri"/>
          <w:i/>
          <w:sz w:val="28"/>
          <w:szCs w:val="28"/>
          <w:bdr w:val="none" w:sz="0" w:space="0" w:color="auto" w:frame="1"/>
          <w:lang w:val="en-US"/>
        </w:rPr>
        <w:t>:</w:t>
      </w:r>
      <w:r>
        <w:rPr>
          <w:rFonts w:eastAsia="Calibri" w:cs="Calibri"/>
          <w:i/>
          <w:sz w:val="28"/>
          <w:szCs w:val="28"/>
          <w:bdr w:val="none" w:sz="0" w:space="0" w:color="auto" w:frame="1"/>
          <w:lang w:val="en-US"/>
        </w:rPr>
        <w:t xml:space="preserve"> Theory and Practice</w:t>
      </w:r>
      <w:r w:rsidR="00715FD4" w:rsidRPr="00715FD4">
        <w:rPr>
          <w:rFonts w:eastAsia="Calibri" w:cs="Calibri"/>
          <w:sz w:val="28"/>
          <w:szCs w:val="28"/>
          <w:bdr w:val="none" w:sz="0" w:space="0" w:color="auto" w:frame="1"/>
          <w:lang w:val="en-US"/>
        </w:rPr>
        <w:t xml:space="preserve">, </w:t>
      </w:r>
      <w:r w:rsidR="00715FD4" w:rsidRPr="00797229">
        <w:rPr>
          <w:rFonts w:eastAsia="Calibri" w:cs="Calibri"/>
          <w:iCs/>
          <w:sz w:val="28"/>
          <w:szCs w:val="28"/>
          <w:bdr w:val="none" w:sz="0" w:space="0" w:color="auto" w:frame="1"/>
          <w:lang w:val="en-US"/>
        </w:rPr>
        <w:t>Wiley</w:t>
      </w:r>
      <w:r w:rsidR="00715FD4" w:rsidRPr="00797229">
        <w:rPr>
          <w:rFonts w:eastAsia="Calibri" w:cs="Calibri"/>
          <w:sz w:val="28"/>
          <w:szCs w:val="28"/>
          <w:bdr w:val="none" w:sz="0" w:space="0" w:color="auto" w:frame="1"/>
          <w:lang w:val="en-US"/>
        </w:rPr>
        <w:t>.</w:t>
      </w:r>
    </w:p>
    <w:p w14:paraId="23704EB6"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Davig, T., </w:t>
      </w:r>
      <w:r w:rsidR="00E66974">
        <w:rPr>
          <w:sz w:val="28"/>
          <w:lang w:val="en-US"/>
        </w:rPr>
        <w:t>and</w:t>
      </w:r>
      <w:r w:rsidR="00797229">
        <w:rPr>
          <w:sz w:val="28"/>
          <w:lang w:val="en-US"/>
        </w:rPr>
        <w:t xml:space="preserve"> Leeper, E. M., 2011, </w:t>
      </w:r>
      <w:r w:rsidRPr="00715FD4">
        <w:rPr>
          <w:sz w:val="28"/>
          <w:lang w:val="en-US"/>
        </w:rPr>
        <w:t>Monetary</w:t>
      </w:r>
      <w:r w:rsidR="00797229">
        <w:rPr>
          <w:sz w:val="28"/>
          <w:lang w:val="en-US"/>
        </w:rPr>
        <w:t>-</w:t>
      </w:r>
      <w:r w:rsidRPr="00715FD4">
        <w:rPr>
          <w:sz w:val="28"/>
          <w:lang w:val="en-US"/>
        </w:rPr>
        <w:t>fiscal policy interactions and fi</w:t>
      </w:r>
      <w:r w:rsidR="00797229">
        <w:rPr>
          <w:sz w:val="28"/>
          <w:lang w:val="en-US"/>
        </w:rPr>
        <w:t>scal stimulus,</w:t>
      </w:r>
      <w:r w:rsidRPr="00715FD4">
        <w:rPr>
          <w:sz w:val="28"/>
          <w:lang w:val="en-US"/>
        </w:rPr>
        <w:t xml:space="preserve"> </w:t>
      </w:r>
      <w:r w:rsidRPr="00715FD4">
        <w:rPr>
          <w:i/>
          <w:sz w:val="28"/>
          <w:lang w:val="en-US"/>
        </w:rPr>
        <w:t>European Economic Review</w:t>
      </w:r>
      <w:r w:rsidRPr="00715FD4">
        <w:rPr>
          <w:sz w:val="28"/>
          <w:lang w:val="en-US"/>
        </w:rPr>
        <w:t xml:space="preserve">, 55(2), </w:t>
      </w:r>
      <w:r w:rsidR="00797229">
        <w:rPr>
          <w:sz w:val="28"/>
          <w:lang w:val="en-US"/>
        </w:rPr>
        <w:t xml:space="preserve">pp. </w:t>
      </w:r>
      <w:r w:rsidRPr="00715FD4">
        <w:rPr>
          <w:sz w:val="28"/>
          <w:lang w:val="en-US"/>
        </w:rPr>
        <w:t>211</w:t>
      </w:r>
      <w:r w:rsidR="00E66974">
        <w:rPr>
          <w:sz w:val="28"/>
          <w:lang w:val="en-US"/>
        </w:rPr>
        <w:t>–</w:t>
      </w:r>
      <w:r w:rsidRPr="00715FD4">
        <w:rPr>
          <w:sz w:val="28"/>
          <w:lang w:val="en-US"/>
        </w:rPr>
        <w:t>227.</w:t>
      </w:r>
    </w:p>
    <w:p w14:paraId="268855BD" w14:textId="77777777" w:rsidR="00797229" w:rsidRDefault="00797229" w:rsidP="006F749C">
      <w:pPr>
        <w:numPr>
          <w:ilvl w:val="0"/>
          <w:numId w:val="264"/>
        </w:numPr>
        <w:spacing w:line="240" w:lineRule="atLeast"/>
        <w:ind w:hanging="578"/>
        <w:contextualSpacing/>
        <w:jc w:val="both"/>
        <w:rPr>
          <w:sz w:val="28"/>
          <w:szCs w:val="28"/>
          <w:lang w:val="en-US"/>
        </w:rPr>
      </w:pPr>
      <w:r>
        <w:rPr>
          <w:sz w:val="28"/>
          <w:szCs w:val="28"/>
          <w:lang w:val="en-US"/>
        </w:rPr>
        <w:t xml:space="preserve">Deaton, A., 1992, </w:t>
      </w:r>
      <w:r w:rsidRPr="00797229">
        <w:rPr>
          <w:i/>
          <w:sz w:val="28"/>
          <w:szCs w:val="28"/>
          <w:lang w:val="en-US"/>
        </w:rPr>
        <w:t>Understanding Consumption</w:t>
      </w:r>
      <w:r>
        <w:rPr>
          <w:sz w:val="28"/>
          <w:szCs w:val="28"/>
          <w:lang w:val="en-US"/>
        </w:rPr>
        <w:t xml:space="preserve">, </w:t>
      </w:r>
      <w:r w:rsidR="00715FD4" w:rsidRPr="00797229">
        <w:rPr>
          <w:sz w:val="28"/>
          <w:szCs w:val="28"/>
          <w:lang w:val="en-US"/>
        </w:rPr>
        <w:t>Oxford University Press</w:t>
      </w:r>
      <w:r w:rsidRPr="00797229">
        <w:rPr>
          <w:sz w:val="28"/>
          <w:szCs w:val="28"/>
          <w:lang w:val="en-US"/>
        </w:rPr>
        <w:t>,</w:t>
      </w:r>
      <w:r w:rsidR="00715FD4" w:rsidRPr="00797229">
        <w:rPr>
          <w:sz w:val="28"/>
          <w:szCs w:val="28"/>
          <w:lang w:val="en-US"/>
        </w:rPr>
        <w:t xml:space="preserve"> </w:t>
      </w:r>
      <w:r w:rsidRPr="00797229">
        <w:rPr>
          <w:sz w:val="28"/>
          <w:szCs w:val="28"/>
          <w:lang w:val="en-US"/>
        </w:rPr>
        <w:t>Oxford</w:t>
      </w:r>
      <w:r>
        <w:rPr>
          <w:sz w:val="28"/>
          <w:szCs w:val="28"/>
          <w:lang w:val="en-US"/>
        </w:rPr>
        <w:t>.</w:t>
      </w:r>
    </w:p>
    <w:p w14:paraId="574E0149" w14:textId="77777777" w:rsidR="00715FD4" w:rsidRPr="00715FD4" w:rsidRDefault="00797229" w:rsidP="006F749C">
      <w:pPr>
        <w:numPr>
          <w:ilvl w:val="0"/>
          <w:numId w:val="264"/>
        </w:numPr>
        <w:spacing w:line="240" w:lineRule="atLeast"/>
        <w:ind w:hanging="578"/>
        <w:contextualSpacing/>
        <w:jc w:val="both"/>
        <w:rPr>
          <w:sz w:val="28"/>
          <w:szCs w:val="28"/>
          <w:lang w:val="en-GB"/>
        </w:rPr>
      </w:pPr>
      <w:r>
        <w:rPr>
          <w:sz w:val="28"/>
          <w:szCs w:val="28"/>
          <w:lang w:val="en-GB"/>
        </w:rPr>
        <w:t>Diamond, J., 2006,</w:t>
      </w:r>
      <w:r w:rsidR="00715FD4" w:rsidRPr="00715FD4">
        <w:rPr>
          <w:sz w:val="28"/>
          <w:szCs w:val="28"/>
          <w:lang w:val="en-GB"/>
        </w:rPr>
        <w:t xml:space="preserve"> </w:t>
      </w:r>
      <w:r w:rsidR="00715FD4" w:rsidRPr="00797229">
        <w:rPr>
          <w:i/>
          <w:sz w:val="28"/>
          <w:szCs w:val="28"/>
          <w:lang w:val="en-GB"/>
        </w:rPr>
        <w:t>Budget System Reform in Emerging Economies; The Challenges and the Reform Agenda</w:t>
      </w:r>
      <w:r>
        <w:rPr>
          <w:sz w:val="28"/>
          <w:szCs w:val="28"/>
          <w:lang w:val="en-GB"/>
        </w:rPr>
        <w:t>,</w:t>
      </w:r>
      <w:r w:rsidR="00715FD4" w:rsidRPr="00715FD4">
        <w:rPr>
          <w:sz w:val="28"/>
          <w:szCs w:val="28"/>
          <w:lang w:val="en-GB"/>
        </w:rPr>
        <w:t xml:space="preserve"> </w:t>
      </w:r>
      <w:r w:rsidR="00715FD4" w:rsidRPr="00797229">
        <w:rPr>
          <w:sz w:val="28"/>
          <w:szCs w:val="28"/>
          <w:lang w:val="en-GB"/>
        </w:rPr>
        <w:t>International Monetary Fund</w:t>
      </w:r>
      <w:r>
        <w:rPr>
          <w:sz w:val="28"/>
          <w:szCs w:val="28"/>
          <w:lang w:val="en-GB"/>
        </w:rPr>
        <w:t>, Washington, D. C., USA.</w:t>
      </w:r>
      <w:r w:rsidR="00715FD4" w:rsidRPr="00797229">
        <w:rPr>
          <w:sz w:val="28"/>
          <w:szCs w:val="28"/>
          <w:lang w:val="en-GB"/>
        </w:rPr>
        <w:tab/>
      </w:r>
    </w:p>
    <w:p w14:paraId="66942E40" w14:textId="77777777" w:rsidR="00715FD4" w:rsidRPr="00715FD4" w:rsidRDefault="00715FD4" w:rsidP="006F749C">
      <w:pPr>
        <w:numPr>
          <w:ilvl w:val="0"/>
          <w:numId w:val="264"/>
        </w:numPr>
        <w:spacing w:line="240" w:lineRule="atLeast"/>
        <w:ind w:hanging="578"/>
        <w:contextualSpacing/>
        <w:jc w:val="both"/>
        <w:rPr>
          <w:color w:val="000000" w:themeColor="text1"/>
          <w:sz w:val="28"/>
          <w:szCs w:val="28"/>
          <w:lang w:val="en-US"/>
        </w:rPr>
      </w:pPr>
      <w:r w:rsidRPr="00797229">
        <w:rPr>
          <w:i/>
          <w:color w:val="000000" w:themeColor="text1"/>
          <w:sz w:val="28"/>
          <w:szCs w:val="28"/>
          <w:lang w:val="en-US"/>
        </w:rPr>
        <w:t>Dictionary of Finance and Banking</w:t>
      </w:r>
      <w:r w:rsidR="00797229">
        <w:rPr>
          <w:color w:val="000000" w:themeColor="text1"/>
          <w:sz w:val="28"/>
          <w:szCs w:val="28"/>
          <w:lang w:val="en-US"/>
        </w:rPr>
        <w:t>, 2014,</w:t>
      </w:r>
      <w:r w:rsidRPr="00715FD4">
        <w:rPr>
          <w:color w:val="000000" w:themeColor="text1"/>
          <w:sz w:val="28"/>
          <w:szCs w:val="28"/>
          <w:lang w:val="en-US"/>
        </w:rPr>
        <w:t xml:space="preserve"> </w:t>
      </w:r>
      <w:r w:rsidRPr="00797229">
        <w:rPr>
          <w:color w:val="000000" w:themeColor="text1"/>
          <w:sz w:val="28"/>
          <w:szCs w:val="28"/>
          <w:lang w:val="en-US"/>
        </w:rPr>
        <w:t>Oxford University Press</w:t>
      </w:r>
      <w:r w:rsidR="00797229" w:rsidRPr="00797229">
        <w:rPr>
          <w:color w:val="000000" w:themeColor="text1"/>
          <w:sz w:val="28"/>
          <w:szCs w:val="28"/>
          <w:lang w:val="en-US"/>
        </w:rPr>
        <w:t>, Un</w:t>
      </w:r>
      <w:r w:rsidR="00797229" w:rsidRPr="00715FD4">
        <w:rPr>
          <w:color w:val="000000" w:themeColor="text1"/>
          <w:sz w:val="28"/>
          <w:szCs w:val="28"/>
          <w:lang w:val="en-US"/>
        </w:rPr>
        <w:t>ited Kingdom</w:t>
      </w:r>
      <w:r w:rsidR="00797229">
        <w:rPr>
          <w:color w:val="000000" w:themeColor="text1"/>
          <w:sz w:val="28"/>
          <w:szCs w:val="28"/>
          <w:lang w:val="en-US"/>
        </w:rPr>
        <w:t>.</w:t>
      </w:r>
    </w:p>
    <w:p w14:paraId="5DBF3A32" w14:textId="77777777" w:rsidR="00715FD4" w:rsidRPr="00715FD4"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en-US"/>
        </w:rPr>
        <w:t xml:space="preserve">Doerrenberg, P., </w:t>
      </w:r>
      <w:r w:rsidR="00E66974">
        <w:rPr>
          <w:sz w:val="28"/>
          <w:szCs w:val="28"/>
          <w:lang w:val="en-US"/>
        </w:rPr>
        <w:t>and</w:t>
      </w:r>
      <w:r w:rsidRPr="00715FD4">
        <w:rPr>
          <w:sz w:val="28"/>
          <w:szCs w:val="28"/>
          <w:lang w:val="en-US"/>
        </w:rPr>
        <w:t xml:space="preserve"> Peichl, A.</w:t>
      </w:r>
      <w:r w:rsidR="00557F5F">
        <w:rPr>
          <w:sz w:val="28"/>
          <w:szCs w:val="28"/>
          <w:lang w:val="en-US"/>
        </w:rPr>
        <w:t xml:space="preserve">, </w:t>
      </w:r>
      <w:r w:rsidRPr="00715FD4">
        <w:rPr>
          <w:sz w:val="28"/>
          <w:szCs w:val="28"/>
          <w:lang w:val="en-US"/>
        </w:rPr>
        <w:t>2013</w:t>
      </w:r>
      <w:r w:rsidR="00557F5F">
        <w:rPr>
          <w:sz w:val="28"/>
          <w:szCs w:val="28"/>
          <w:lang w:val="en-US"/>
        </w:rPr>
        <w:t>,</w:t>
      </w:r>
      <w:r w:rsidRPr="00715FD4">
        <w:rPr>
          <w:sz w:val="28"/>
          <w:szCs w:val="28"/>
          <w:lang w:val="en-US"/>
        </w:rPr>
        <w:t xml:space="preserve"> Progressiv</w:t>
      </w:r>
      <w:r w:rsidR="00557F5F">
        <w:rPr>
          <w:sz w:val="28"/>
          <w:szCs w:val="28"/>
          <w:lang w:val="en-US"/>
        </w:rPr>
        <w:t>e taxation and tax moral,</w:t>
      </w:r>
      <w:r w:rsidRPr="00715FD4">
        <w:rPr>
          <w:sz w:val="28"/>
          <w:szCs w:val="28"/>
          <w:lang w:val="en-US"/>
        </w:rPr>
        <w:t xml:space="preserve"> </w:t>
      </w:r>
      <w:r w:rsidRPr="00715FD4">
        <w:rPr>
          <w:i/>
          <w:sz w:val="28"/>
          <w:szCs w:val="28"/>
          <w:lang w:val="en-US"/>
        </w:rPr>
        <w:t>Public Choice</w:t>
      </w:r>
      <w:r w:rsidRPr="00715FD4">
        <w:rPr>
          <w:sz w:val="28"/>
          <w:szCs w:val="28"/>
          <w:lang w:val="en-US"/>
        </w:rPr>
        <w:t>, 155(3</w:t>
      </w:r>
      <w:r w:rsidR="00E66974">
        <w:rPr>
          <w:sz w:val="28"/>
          <w:szCs w:val="28"/>
          <w:lang w:val="en-US"/>
        </w:rPr>
        <w:t>–</w:t>
      </w:r>
      <w:r w:rsidRPr="00715FD4">
        <w:rPr>
          <w:sz w:val="28"/>
          <w:szCs w:val="28"/>
          <w:lang w:val="en-US"/>
        </w:rPr>
        <w:t xml:space="preserve">4), </w:t>
      </w:r>
      <w:r w:rsidR="00557F5F">
        <w:rPr>
          <w:sz w:val="28"/>
          <w:szCs w:val="28"/>
          <w:lang w:val="en-US"/>
        </w:rPr>
        <w:t xml:space="preserve">pp. </w:t>
      </w:r>
      <w:r w:rsidRPr="00715FD4">
        <w:rPr>
          <w:sz w:val="28"/>
          <w:szCs w:val="28"/>
          <w:lang w:val="en-US"/>
        </w:rPr>
        <w:t>293</w:t>
      </w:r>
      <w:r w:rsidR="00E66974">
        <w:rPr>
          <w:sz w:val="28"/>
          <w:szCs w:val="28"/>
          <w:lang w:val="en-US"/>
        </w:rPr>
        <w:t>–</w:t>
      </w:r>
      <w:r w:rsidRPr="00715FD4">
        <w:rPr>
          <w:sz w:val="28"/>
          <w:szCs w:val="28"/>
          <w:lang w:val="en-US"/>
        </w:rPr>
        <w:t>316.</w:t>
      </w:r>
    </w:p>
    <w:p w14:paraId="0C286E0D"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 xml:space="preserve">Duenwald, C. K., Gueorguiev N., </w:t>
      </w:r>
      <w:r w:rsidR="00557F5F">
        <w:rPr>
          <w:rFonts w:eastAsia="Calibri" w:cs="Calibri"/>
          <w:sz w:val="28"/>
          <w:szCs w:val="28"/>
          <w:bdr w:val="none" w:sz="0" w:space="0" w:color="auto" w:frame="1"/>
          <w:lang w:val="en-US"/>
        </w:rPr>
        <w:t>and Schaechter, A., 2005,</w:t>
      </w:r>
      <w:r w:rsidRPr="00715FD4">
        <w:rPr>
          <w:rFonts w:eastAsia="Calibri" w:cs="Calibri"/>
          <w:sz w:val="28"/>
          <w:szCs w:val="28"/>
          <w:bdr w:val="none" w:sz="0" w:space="0" w:color="auto" w:frame="1"/>
          <w:lang w:val="en-US"/>
        </w:rPr>
        <w:t xml:space="preserve"> Too much of a good thing? Credit booms in transition economies: The cases of</w:t>
      </w:r>
      <w:r w:rsidR="0074264E">
        <w:rPr>
          <w:rFonts w:eastAsia="Calibri" w:cs="Calibri"/>
          <w:sz w:val="28"/>
          <w:szCs w:val="28"/>
          <w:bdr w:val="none" w:sz="0" w:space="0" w:color="auto" w:frame="1"/>
          <w:lang w:val="en-US"/>
        </w:rPr>
        <w:t xml:space="preserve"> Bulgaria, Romania, and Ukraine, </w:t>
      </w:r>
      <w:r w:rsidR="0074264E" w:rsidRPr="0074264E">
        <w:rPr>
          <w:rFonts w:eastAsia="Calibri" w:cs="Calibri"/>
          <w:i/>
          <w:sz w:val="28"/>
          <w:szCs w:val="28"/>
          <w:bdr w:val="none" w:sz="0" w:space="0" w:color="auto" w:frame="1"/>
          <w:lang w:val="en-US"/>
        </w:rPr>
        <w:t>IMF Working paper</w:t>
      </w:r>
      <w:r w:rsidR="0074264E">
        <w:rPr>
          <w:rFonts w:eastAsia="Calibri" w:cs="Calibri"/>
          <w:sz w:val="28"/>
          <w:szCs w:val="28"/>
          <w:bdr w:val="none" w:sz="0" w:space="0" w:color="auto" w:frame="1"/>
          <w:lang w:val="en-US"/>
        </w:rPr>
        <w:t>.</w:t>
      </w:r>
    </w:p>
    <w:p w14:paraId="0612B30E"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lastRenderedPageBreak/>
        <w:t xml:space="preserve">Easterly, W., </w:t>
      </w:r>
      <w:r w:rsidR="00E66974">
        <w:rPr>
          <w:sz w:val="28"/>
          <w:lang w:val="en-US"/>
        </w:rPr>
        <w:t>and</w:t>
      </w:r>
      <w:r w:rsidR="00557F5F">
        <w:rPr>
          <w:sz w:val="28"/>
          <w:lang w:val="en-US"/>
        </w:rPr>
        <w:t xml:space="preserve"> Rebelo, S., </w:t>
      </w:r>
      <w:r w:rsidRPr="00715FD4">
        <w:rPr>
          <w:sz w:val="28"/>
          <w:lang w:val="en-US"/>
        </w:rPr>
        <w:t>1993</w:t>
      </w:r>
      <w:r w:rsidR="00557F5F">
        <w:rPr>
          <w:sz w:val="28"/>
          <w:lang w:val="en-US"/>
        </w:rPr>
        <w:t>,</w:t>
      </w:r>
      <w:r w:rsidRPr="00715FD4">
        <w:rPr>
          <w:sz w:val="28"/>
          <w:lang w:val="en-US"/>
        </w:rPr>
        <w:t xml:space="preserve"> Fi</w:t>
      </w:r>
      <w:r w:rsidR="00557F5F">
        <w:rPr>
          <w:sz w:val="28"/>
          <w:lang w:val="en-US"/>
        </w:rPr>
        <w:t>scal policy and economic growth,</w:t>
      </w:r>
      <w:r w:rsidRPr="00715FD4">
        <w:rPr>
          <w:sz w:val="28"/>
          <w:lang w:val="en-US"/>
        </w:rPr>
        <w:t xml:space="preserve"> </w:t>
      </w:r>
      <w:r w:rsidR="0074264E">
        <w:rPr>
          <w:i/>
          <w:sz w:val="28"/>
          <w:lang w:val="en-US"/>
        </w:rPr>
        <w:t>Journal of Monetary E</w:t>
      </w:r>
      <w:r w:rsidRPr="00715FD4">
        <w:rPr>
          <w:i/>
          <w:sz w:val="28"/>
          <w:lang w:val="en-US"/>
        </w:rPr>
        <w:t>conomics</w:t>
      </w:r>
      <w:r w:rsidRPr="00715FD4">
        <w:rPr>
          <w:sz w:val="28"/>
          <w:lang w:val="en-US"/>
        </w:rPr>
        <w:t>, 32(3),</w:t>
      </w:r>
      <w:r w:rsidR="00557F5F">
        <w:rPr>
          <w:sz w:val="28"/>
          <w:lang w:val="en-US"/>
        </w:rPr>
        <w:t xml:space="preserve"> pp.</w:t>
      </w:r>
      <w:r w:rsidRPr="00715FD4">
        <w:rPr>
          <w:sz w:val="28"/>
          <w:lang w:val="en-US"/>
        </w:rPr>
        <w:t xml:space="preserve"> 417</w:t>
      </w:r>
      <w:r w:rsidR="00E66974">
        <w:rPr>
          <w:sz w:val="28"/>
          <w:lang w:val="en-US"/>
        </w:rPr>
        <w:t>–</w:t>
      </w:r>
      <w:r w:rsidRPr="00715FD4">
        <w:rPr>
          <w:sz w:val="28"/>
          <w:lang w:val="en-US"/>
        </w:rPr>
        <w:t xml:space="preserve">458. </w:t>
      </w:r>
    </w:p>
    <w:p w14:paraId="166BDAC2" w14:textId="77777777" w:rsid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Eijffinger, S., </w:t>
      </w:r>
      <w:r w:rsidR="00E66974">
        <w:rPr>
          <w:sz w:val="28"/>
          <w:lang w:val="en-US"/>
        </w:rPr>
        <w:t>and</w:t>
      </w:r>
      <w:r w:rsidR="0074264E">
        <w:rPr>
          <w:sz w:val="28"/>
          <w:lang w:val="en-US"/>
        </w:rPr>
        <w:t xml:space="preserve"> Haan, J. D., 2000,</w:t>
      </w:r>
      <w:r w:rsidRPr="00715FD4">
        <w:rPr>
          <w:sz w:val="28"/>
          <w:lang w:val="en-US"/>
        </w:rPr>
        <w:t xml:space="preserve"> Euro</w:t>
      </w:r>
      <w:r w:rsidR="0074264E">
        <w:rPr>
          <w:sz w:val="28"/>
          <w:lang w:val="en-US"/>
        </w:rPr>
        <w:t>pean monetary and fiscal policy,</w:t>
      </w:r>
      <w:r w:rsidRPr="00715FD4">
        <w:rPr>
          <w:sz w:val="28"/>
          <w:lang w:val="en-US"/>
        </w:rPr>
        <w:t xml:space="preserve"> </w:t>
      </w:r>
      <w:r w:rsidRPr="00715FD4">
        <w:rPr>
          <w:i/>
          <w:sz w:val="28"/>
          <w:lang w:val="en-US"/>
        </w:rPr>
        <w:t>OUP Catalogue</w:t>
      </w:r>
      <w:r w:rsidRPr="00715FD4">
        <w:rPr>
          <w:sz w:val="28"/>
          <w:lang w:val="en-US"/>
        </w:rPr>
        <w:t xml:space="preserve">. </w:t>
      </w:r>
    </w:p>
    <w:p w14:paraId="42B40092" w14:textId="77777777" w:rsidR="00242FCC" w:rsidRPr="00DA7DB5" w:rsidRDefault="0074264E" w:rsidP="006F749C">
      <w:pPr>
        <w:numPr>
          <w:ilvl w:val="0"/>
          <w:numId w:val="264"/>
        </w:numPr>
        <w:spacing w:line="240" w:lineRule="atLeast"/>
        <w:ind w:hanging="578"/>
        <w:contextualSpacing/>
        <w:jc w:val="both"/>
        <w:rPr>
          <w:sz w:val="28"/>
          <w:szCs w:val="28"/>
          <w:lang w:val="en-GB"/>
        </w:rPr>
      </w:pPr>
      <w:r w:rsidRPr="00DA7DB5">
        <w:rPr>
          <w:sz w:val="28"/>
          <w:szCs w:val="28"/>
          <w:lang w:val="en-GB"/>
        </w:rPr>
        <w:t>Makarenko, M.</w:t>
      </w:r>
      <w:r>
        <w:rPr>
          <w:sz w:val="28"/>
          <w:szCs w:val="28"/>
          <w:lang w:val="en-GB"/>
        </w:rPr>
        <w:t>,</w:t>
      </w:r>
      <w:r w:rsidRPr="00DA7DB5">
        <w:rPr>
          <w:sz w:val="28"/>
          <w:szCs w:val="28"/>
          <w:lang w:val="en-GB"/>
        </w:rPr>
        <w:t xml:space="preserve"> Kostyuk, A.</w:t>
      </w:r>
      <w:r>
        <w:rPr>
          <w:sz w:val="28"/>
          <w:szCs w:val="28"/>
          <w:lang w:val="en-GB"/>
        </w:rPr>
        <w:t>,</w:t>
      </w:r>
      <w:r w:rsidRPr="00DA7DB5">
        <w:rPr>
          <w:sz w:val="28"/>
          <w:szCs w:val="28"/>
          <w:lang w:val="en-GB"/>
        </w:rPr>
        <w:t xml:space="preserve"> Dyakonova</w:t>
      </w:r>
      <w:r>
        <w:rPr>
          <w:sz w:val="28"/>
          <w:szCs w:val="28"/>
          <w:lang w:val="en-GB"/>
        </w:rPr>
        <w:t>,</w:t>
      </w:r>
      <w:r w:rsidRPr="00DA7DB5">
        <w:rPr>
          <w:sz w:val="28"/>
          <w:szCs w:val="28"/>
          <w:lang w:val="en-GB"/>
        </w:rPr>
        <w:t xml:space="preserve"> I.</w:t>
      </w:r>
      <w:r>
        <w:rPr>
          <w:sz w:val="28"/>
          <w:szCs w:val="28"/>
          <w:lang w:val="en-GB"/>
        </w:rPr>
        <w:t>,</w:t>
      </w:r>
      <w:r w:rsidRPr="00DA7DB5">
        <w:rPr>
          <w:sz w:val="28"/>
          <w:szCs w:val="28"/>
          <w:lang w:val="en-GB"/>
        </w:rPr>
        <w:t xml:space="preserve"> and others</w:t>
      </w:r>
      <w:r>
        <w:rPr>
          <w:sz w:val="28"/>
          <w:szCs w:val="28"/>
          <w:lang w:val="en-GB"/>
        </w:rPr>
        <w:t xml:space="preserve">, 2011, </w:t>
      </w:r>
      <w:r w:rsidR="00242FCC" w:rsidRPr="0074264E">
        <w:rPr>
          <w:i/>
          <w:sz w:val="28"/>
          <w:szCs w:val="28"/>
          <w:lang w:val="en-GB"/>
        </w:rPr>
        <w:t>Euroasian perspectives of the banking systems deve</w:t>
      </w:r>
      <w:r w:rsidR="0097122B" w:rsidRPr="0074264E">
        <w:rPr>
          <w:i/>
          <w:sz w:val="28"/>
          <w:szCs w:val="28"/>
          <w:lang w:val="en-GB"/>
        </w:rPr>
        <w:t>lopment</w:t>
      </w:r>
      <w:r>
        <w:rPr>
          <w:sz w:val="28"/>
          <w:szCs w:val="28"/>
          <w:lang w:val="en-GB"/>
        </w:rPr>
        <w:t xml:space="preserve">, </w:t>
      </w:r>
      <w:r w:rsidR="00242FCC" w:rsidRPr="0074264E">
        <w:rPr>
          <w:sz w:val="28"/>
          <w:szCs w:val="28"/>
          <w:lang w:val="en-GB"/>
        </w:rPr>
        <w:t>Virtus Interpress</w:t>
      </w:r>
      <w:r>
        <w:rPr>
          <w:sz w:val="28"/>
          <w:szCs w:val="28"/>
          <w:lang w:val="en-GB"/>
        </w:rPr>
        <w:t>,</w:t>
      </w:r>
      <w:r w:rsidR="00242FCC" w:rsidRPr="00DA7DB5">
        <w:rPr>
          <w:sz w:val="28"/>
          <w:szCs w:val="28"/>
          <w:lang w:val="en-GB"/>
        </w:rPr>
        <w:t xml:space="preserve"> </w:t>
      </w:r>
      <w:r w:rsidRPr="0074264E">
        <w:rPr>
          <w:sz w:val="28"/>
          <w:szCs w:val="28"/>
          <w:lang w:val="en-GB"/>
        </w:rPr>
        <w:t>Sumy</w:t>
      </w:r>
      <w:r>
        <w:rPr>
          <w:sz w:val="28"/>
          <w:szCs w:val="28"/>
          <w:lang w:val="en-GB"/>
        </w:rPr>
        <w:t xml:space="preserve">, </w:t>
      </w:r>
      <w:r w:rsidR="00242FCC" w:rsidRPr="00DA7DB5">
        <w:rPr>
          <w:sz w:val="28"/>
          <w:szCs w:val="28"/>
          <w:lang w:val="en-GB"/>
        </w:rPr>
        <w:t>167 p.</w:t>
      </w:r>
    </w:p>
    <w:p w14:paraId="0E86AE71" w14:textId="77777777" w:rsidR="00797229" w:rsidRPr="002B21FB" w:rsidRDefault="00797229" w:rsidP="00797229">
      <w:pPr>
        <w:numPr>
          <w:ilvl w:val="0"/>
          <w:numId w:val="264"/>
        </w:numPr>
        <w:spacing w:line="240" w:lineRule="atLeast"/>
        <w:ind w:hanging="578"/>
        <w:contextualSpacing/>
        <w:jc w:val="both"/>
        <w:rPr>
          <w:sz w:val="28"/>
          <w:szCs w:val="28"/>
          <w:lang w:val="en-US"/>
        </w:rPr>
      </w:pPr>
      <w:r w:rsidRPr="00715FD4">
        <w:rPr>
          <w:sz w:val="28"/>
          <w:szCs w:val="28"/>
          <w:lang w:val="en-US"/>
        </w:rPr>
        <w:t xml:space="preserve">Eymann, A. and </w:t>
      </w:r>
      <w:r w:rsidR="0074264E">
        <w:rPr>
          <w:sz w:val="28"/>
          <w:szCs w:val="28"/>
          <w:lang w:val="en-US"/>
        </w:rPr>
        <w:t>Boersch-Supan,</w:t>
      </w:r>
      <w:r w:rsidRPr="00715FD4">
        <w:rPr>
          <w:sz w:val="28"/>
          <w:szCs w:val="28"/>
          <w:lang w:val="en-US"/>
        </w:rPr>
        <w:t xml:space="preserve"> </w:t>
      </w:r>
      <w:r w:rsidR="0074264E">
        <w:rPr>
          <w:sz w:val="28"/>
          <w:szCs w:val="28"/>
          <w:lang w:val="en-US"/>
        </w:rPr>
        <w:t>A., 2002,</w:t>
      </w:r>
      <w:r w:rsidRPr="00715FD4">
        <w:rPr>
          <w:sz w:val="28"/>
          <w:szCs w:val="28"/>
          <w:lang w:val="en-US"/>
        </w:rPr>
        <w:t xml:space="preserve"> </w:t>
      </w:r>
      <w:r w:rsidRPr="002B21FB">
        <w:rPr>
          <w:sz w:val="28"/>
          <w:szCs w:val="28"/>
          <w:lang w:val="en-US"/>
        </w:rPr>
        <w:t>Household Portfolios in Germany</w:t>
      </w:r>
      <w:r w:rsidR="0074264E" w:rsidRPr="002B21FB">
        <w:rPr>
          <w:sz w:val="28"/>
          <w:szCs w:val="28"/>
          <w:lang w:val="en-US"/>
        </w:rPr>
        <w:t>,</w:t>
      </w:r>
      <w:r w:rsidRPr="002B21FB">
        <w:rPr>
          <w:sz w:val="28"/>
          <w:szCs w:val="28"/>
          <w:lang w:val="en-US"/>
        </w:rPr>
        <w:t xml:space="preserve"> </w:t>
      </w:r>
      <w:r w:rsidRPr="002B21FB">
        <w:rPr>
          <w:i/>
          <w:sz w:val="28"/>
          <w:szCs w:val="28"/>
          <w:lang w:val="en-US"/>
        </w:rPr>
        <w:t>Household Portfolios</w:t>
      </w:r>
      <w:r w:rsidR="002B21FB" w:rsidRPr="002B21FB">
        <w:rPr>
          <w:sz w:val="28"/>
          <w:szCs w:val="28"/>
          <w:lang w:val="en-US"/>
        </w:rPr>
        <w:t>, Cambridge, MA: MIT Press.</w:t>
      </w:r>
    </w:p>
    <w:p w14:paraId="5FDEF0E0"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Fabozzi, F. J., </w:t>
      </w:r>
      <w:r w:rsidR="00E66974">
        <w:rPr>
          <w:sz w:val="28"/>
          <w:lang w:val="en-US"/>
        </w:rPr>
        <w:t>and</w:t>
      </w:r>
      <w:r w:rsidR="0074264E">
        <w:rPr>
          <w:sz w:val="28"/>
          <w:lang w:val="en-US"/>
        </w:rPr>
        <w:t xml:space="preserve"> Peterson, P. P., 2013,</w:t>
      </w:r>
      <w:r w:rsidRPr="00715FD4">
        <w:rPr>
          <w:sz w:val="28"/>
          <w:lang w:val="en-US"/>
        </w:rPr>
        <w:t xml:space="preserve"> </w:t>
      </w:r>
      <w:r w:rsidRPr="0074264E">
        <w:rPr>
          <w:i/>
          <w:sz w:val="28"/>
          <w:lang w:val="en-US"/>
        </w:rPr>
        <w:t>Analysis of Financial Statements</w:t>
      </w:r>
      <w:r w:rsidR="0074264E">
        <w:rPr>
          <w:i/>
          <w:sz w:val="28"/>
          <w:lang w:val="en-US"/>
        </w:rPr>
        <w:t>,</w:t>
      </w:r>
      <w:r w:rsidRPr="00715FD4">
        <w:rPr>
          <w:sz w:val="28"/>
          <w:lang w:val="en-US"/>
        </w:rPr>
        <w:t xml:space="preserve"> </w:t>
      </w:r>
      <w:r w:rsidRPr="0074264E">
        <w:rPr>
          <w:sz w:val="28"/>
          <w:lang w:val="en-US"/>
        </w:rPr>
        <w:t>Wiley.</w:t>
      </w:r>
    </w:p>
    <w:p w14:paraId="06CBBAB0" w14:textId="77777777" w:rsidR="00715FD4" w:rsidRPr="00715FD4"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en-US"/>
        </w:rPr>
        <w:t xml:space="preserve">Yang. </w:t>
      </w:r>
      <w:r w:rsidR="0074264E" w:rsidRPr="00715FD4">
        <w:rPr>
          <w:sz w:val="28"/>
          <w:szCs w:val="28"/>
          <w:lang w:val="en-US"/>
        </w:rPr>
        <w:t>F</w:t>
      </w:r>
      <w:r w:rsidR="0074264E">
        <w:rPr>
          <w:sz w:val="28"/>
          <w:szCs w:val="28"/>
          <w:lang w:val="en-US"/>
        </w:rPr>
        <w:t>.</w:t>
      </w:r>
      <w:r w:rsidR="0074264E" w:rsidRPr="00715FD4">
        <w:rPr>
          <w:sz w:val="28"/>
          <w:szCs w:val="28"/>
          <w:lang w:val="en-US"/>
        </w:rPr>
        <w:t xml:space="preserve">, </w:t>
      </w:r>
      <w:r w:rsidR="0074264E">
        <w:rPr>
          <w:sz w:val="28"/>
          <w:szCs w:val="28"/>
          <w:lang w:val="en-US"/>
        </w:rPr>
        <w:t>2009,</w:t>
      </w:r>
      <w:r w:rsidRPr="00715FD4">
        <w:rPr>
          <w:sz w:val="28"/>
          <w:szCs w:val="28"/>
          <w:lang w:val="en-US"/>
        </w:rPr>
        <w:t xml:space="preserve"> Consumption over the Life Cycle: How Different is Housing? </w:t>
      </w:r>
      <w:r w:rsidRPr="00715FD4">
        <w:rPr>
          <w:i/>
          <w:sz w:val="28"/>
          <w:szCs w:val="28"/>
          <w:lang w:val="en-US"/>
        </w:rPr>
        <w:t>Review of Economic Dynamics</w:t>
      </w:r>
      <w:r w:rsidRPr="00715FD4">
        <w:rPr>
          <w:sz w:val="28"/>
          <w:szCs w:val="28"/>
          <w:lang w:val="en-US"/>
        </w:rPr>
        <w:t xml:space="preserve">, 12, </w:t>
      </w:r>
      <w:r w:rsidR="007F656E">
        <w:rPr>
          <w:sz w:val="28"/>
          <w:szCs w:val="28"/>
          <w:lang w:val="en-US"/>
        </w:rPr>
        <w:t xml:space="preserve">pp. </w:t>
      </w:r>
      <w:r w:rsidRPr="00715FD4">
        <w:rPr>
          <w:sz w:val="28"/>
          <w:szCs w:val="28"/>
          <w:lang w:val="en-US"/>
        </w:rPr>
        <w:t>423–443.</w:t>
      </w:r>
    </w:p>
    <w:p w14:paraId="50C5A856" w14:textId="77777777" w:rsidR="00715FD4" w:rsidRPr="00715FD4" w:rsidRDefault="007F656E" w:rsidP="006F749C">
      <w:pPr>
        <w:numPr>
          <w:ilvl w:val="0"/>
          <w:numId w:val="264"/>
        </w:numPr>
        <w:spacing w:line="240" w:lineRule="atLeast"/>
        <w:ind w:hanging="578"/>
        <w:contextualSpacing/>
        <w:jc w:val="both"/>
        <w:rPr>
          <w:rFonts w:eastAsia="Garamond"/>
          <w:sz w:val="28"/>
          <w:szCs w:val="28"/>
          <w:bdr w:val="none" w:sz="0" w:space="0" w:color="auto" w:frame="1"/>
          <w:lang w:val="en-US"/>
        </w:rPr>
      </w:pPr>
      <w:r>
        <w:rPr>
          <w:rFonts w:eastAsia="Calibri" w:cs="Calibri"/>
          <w:sz w:val="28"/>
          <w:szCs w:val="28"/>
          <w:bdr w:val="none" w:sz="0" w:space="0" w:color="auto" w:frame="1"/>
          <w:lang w:val="en-US"/>
        </w:rPr>
        <w:t>Farmer, R. E., 2012,</w:t>
      </w:r>
      <w:r w:rsidR="00715FD4" w:rsidRPr="00715FD4">
        <w:rPr>
          <w:rFonts w:eastAsia="Calibri" w:cs="Calibri"/>
          <w:sz w:val="28"/>
          <w:szCs w:val="28"/>
          <w:bdr w:val="none" w:sz="0" w:space="0" w:color="auto" w:frame="1"/>
          <w:lang w:val="en-US"/>
        </w:rPr>
        <w:t xml:space="preserve"> The stock market crash of 2008 caused the Great</w:t>
      </w:r>
      <w:r>
        <w:rPr>
          <w:rFonts w:eastAsia="Calibri" w:cs="Calibri"/>
          <w:sz w:val="28"/>
          <w:szCs w:val="28"/>
          <w:bdr w:val="none" w:sz="0" w:space="0" w:color="auto" w:frame="1"/>
          <w:lang w:val="en-US"/>
        </w:rPr>
        <w:t xml:space="preserve"> Recession: Theory and evidence,</w:t>
      </w:r>
      <w:r w:rsidR="00715FD4" w:rsidRPr="00715FD4">
        <w:rPr>
          <w:rFonts w:eastAsia="Calibri" w:cs="Calibri"/>
          <w:sz w:val="28"/>
          <w:szCs w:val="28"/>
          <w:bdr w:val="none" w:sz="0" w:space="0" w:color="auto" w:frame="1"/>
          <w:lang w:val="en-US"/>
        </w:rPr>
        <w:t xml:space="preserve"> </w:t>
      </w:r>
      <w:r w:rsidR="00715FD4" w:rsidRPr="00715FD4">
        <w:rPr>
          <w:rFonts w:eastAsia="Calibri" w:cs="Calibri"/>
          <w:i/>
          <w:iCs/>
          <w:sz w:val="28"/>
          <w:szCs w:val="28"/>
          <w:bdr w:val="none" w:sz="0" w:space="0" w:color="auto" w:frame="1"/>
          <w:lang w:val="en-US"/>
        </w:rPr>
        <w:t>Journal of Economic Dynamics and Control</w:t>
      </w:r>
      <w:r w:rsidR="00715FD4" w:rsidRPr="00715FD4">
        <w:rPr>
          <w:rFonts w:eastAsia="Calibri" w:cs="Calibri"/>
          <w:sz w:val="28"/>
          <w:szCs w:val="28"/>
          <w:bdr w:val="none" w:sz="0" w:space="0" w:color="auto" w:frame="1"/>
          <w:lang w:val="en-US"/>
        </w:rPr>
        <w:t xml:space="preserve">, 36(5), </w:t>
      </w:r>
      <w:r>
        <w:rPr>
          <w:rFonts w:eastAsia="Calibri" w:cs="Calibri"/>
          <w:sz w:val="28"/>
          <w:szCs w:val="28"/>
          <w:bdr w:val="none" w:sz="0" w:space="0" w:color="auto" w:frame="1"/>
          <w:lang w:val="en-US"/>
        </w:rPr>
        <w:t xml:space="preserve">pp. </w:t>
      </w:r>
      <w:r w:rsidR="00715FD4" w:rsidRPr="00715FD4">
        <w:rPr>
          <w:rFonts w:eastAsia="Calibri" w:cs="Calibri"/>
          <w:sz w:val="28"/>
          <w:szCs w:val="28"/>
          <w:bdr w:val="none" w:sz="0" w:space="0" w:color="auto" w:frame="1"/>
          <w:lang w:val="en-US"/>
        </w:rPr>
        <w:t>693</w:t>
      </w:r>
      <w:r w:rsidR="00E66974">
        <w:rPr>
          <w:rFonts w:eastAsia="Calibri" w:cs="Calibri"/>
          <w:sz w:val="28"/>
          <w:szCs w:val="28"/>
          <w:bdr w:val="none" w:sz="0" w:space="0" w:color="auto" w:frame="1"/>
          <w:lang w:val="en-US"/>
        </w:rPr>
        <w:t>–</w:t>
      </w:r>
      <w:r w:rsidR="00715FD4" w:rsidRPr="00715FD4">
        <w:rPr>
          <w:rFonts w:eastAsia="Calibri" w:cs="Calibri"/>
          <w:sz w:val="28"/>
          <w:szCs w:val="28"/>
          <w:bdr w:val="none" w:sz="0" w:space="0" w:color="auto" w:frame="1"/>
          <w:lang w:val="en-US"/>
        </w:rPr>
        <w:t>707.</w:t>
      </w:r>
    </w:p>
    <w:p w14:paraId="49D7C023" w14:textId="77777777" w:rsidR="00715FD4" w:rsidRPr="007F656E"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en-US"/>
        </w:rPr>
        <w:t xml:space="preserve">Fuest, C., </w:t>
      </w:r>
      <w:r w:rsidR="007F656E">
        <w:rPr>
          <w:sz w:val="28"/>
          <w:szCs w:val="28"/>
          <w:lang w:val="en-US"/>
        </w:rPr>
        <w:t xml:space="preserve">and Zodrow, G. R., </w:t>
      </w:r>
      <w:r w:rsidRPr="00715FD4">
        <w:rPr>
          <w:sz w:val="28"/>
          <w:szCs w:val="28"/>
          <w:lang w:val="en-US"/>
        </w:rPr>
        <w:t>201</w:t>
      </w:r>
      <w:r w:rsidR="007F656E">
        <w:rPr>
          <w:sz w:val="28"/>
          <w:szCs w:val="28"/>
          <w:lang w:val="en-US"/>
        </w:rPr>
        <w:t>3,</w:t>
      </w:r>
      <w:r w:rsidRPr="00715FD4">
        <w:rPr>
          <w:sz w:val="28"/>
          <w:szCs w:val="28"/>
          <w:lang w:val="en-US"/>
        </w:rPr>
        <w:t xml:space="preserve"> </w:t>
      </w:r>
      <w:r w:rsidRPr="007F656E">
        <w:rPr>
          <w:i/>
          <w:sz w:val="28"/>
          <w:szCs w:val="28"/>
          <w:lang w:val="en-US"/>
        </w:rPr>
        <w:t>Critical iss</w:t>
      </w:r>
      <w:r w:rsidR="007F656E">
        <w:rPr>
          <w:i/>
          <w:sz w:val="28"/>
          <w:szCs w:val="28"/>
          <w:lang w:val="en-US"/>
        </w:rPr>
        <w:t>ues in taxation and development,</w:t>
      </w:r>
      <w:r w:rsidRPr="007F656E">
        <w:rPr>
          <w:i/>
          <w:sz w:val="28"/>
          <w:szCs w:val="28"/>
          <w:lang w:val="en-US"/>
        </w:rPr>
        <w:t xml:space="preserve"> </w:t>
      </w:r>
      <w:r w:rsidRPr="007F656E">
        <w:rPr>
          <w:sz w:val="28"/>
          <w:szCs w:val="28"/>
          <w:lang w:val="en-US"/>
        </w:rPr>
        <w:t>MIT Press.</w:t>
      </w:r>
    </w:p>
    <w:p w14:paraId="74F2D0D5"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 xml:space="preserve">Gitman, L. J., Juchau, R., </w:t>
      </w:r>
      <w:r w:rsidR="007F656E">
        <w:rPr>
          <w:rFonts w:eastAsia="Calibri" w:cs="Calibri"/>
          <w:sz w:val="28"/>
          <w:szCs w:val="28"/>
          <w:bdr w:val="none" w:sz="0" w:space="0" w:color="auto" w:frame="1"/>
          <w:lang w:val="en-US"/>
        </w:rPr>
        <w:t>and Flanagan, J., 2010,</w:t>
      </w:r>
      <w:r w:rsidRPr="00715FD4">
        <w:rPr>
          <w:rFonts w:eastAsia="Calibri" w:cs="Calibri"/>
          <w:sz w:val="28"/>
          <w:szCs w:val="28"/>
          <w:bdr w:val="none" w:sz="0" w:space="0" w:color="auto" w:frame="1"/>
          <w:lang w:val="en-US"/>
        </w:rPr>
        <w:t xml:space="preserve"> </w:t>
      </w:r>
      <w:r w:rsidRPr="007F656E">
        <w:rPr>
          <w:rFonts w:eastAsia="Calibri" w:cs="Calibri"/>
          <w:i/>
          <w:sz w:val="28"/>
          <w:szCs w:val="28"/>
          <w:bdr w:val="none" w:sz="0" w:space="0" w:color="auto" w:frame="1"/>
          <w:lang w:val="en-US"/>
        </w:rPr>
        <w:t>P</w:t>
      </w:r>
      <w:r w:rsidR="007F656E" w:rsidRPr="007F656E">
        <w:rPr>
          <w:rFonts w:eastAsia="Calibri" w:cs="Calibri"/>
          <w:i/>
          <w:sz w:val="28"/>
          <w:szCs w:val="28"/>
          <w:bdr w:val="none" w:sz="0" w:space="0" w:color="auto" w:frame="1"/>
          <w:lang w:val="en-US"/>
        </w:rPr>
        <w:t>rinciples of managerial finance</w:t>
      </w:r>
      <w:r w:rsidR="007F656E">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 xml:space="preserve"> </w:t>
      </w:r>
      <w:r w:rsidRPr="007F656E">
        <w:rPr>
          <w:rFonts w:eastAsia="Calibri" w:cs="Calibri"/>
          <w:iCs/>
          <w:sz w:val="28"/>
          <w:szCs w:val="28"/>
          <w:bdr w:val="none" w:sz="0" w:space="0" w:color="auto" w:frame="1"/>
          <w:lang w:val="en-US"/>
        </w:rPr>
        <w:t>Pearson Higher Education AU</w:t>
      </w:r>
      <w:r w:rsidR="007F656E">
        <w:rPr>
          <w:rFonts w:eastAsia="Calibri" w:cs="Calibri"/>
          <w:sz w:val="28"/>
          <w:szCs w:val="28"/>
          <w:bdr w:val="none" w:sz="0" w:space="0" w:color="auto" w:frame="1"/>
          <w:lang w:val="en-US"/>
        </w:rPr>
        <w:t>, 895 p.</w:t>
      </w:r>
    </w:p>
    <w:p w14:paraId="22427E95" w14:textId="77777777" w:rsidR="00715FD4" w:rsidRPr="00715FD4" w:rsidRDefault="007F656E" w:rsidP="006F749C">
      <w:pPr>
        <w:numPr>
          <w:ilvl w:val="0"/>
          <w:numId w:val="264"/>
        </w:numPr>
        <w:spacing w:line="240" w:lineRule="atLeast"/>
        <w:ind w:hanging="578"/>
        <w:contextualSpacing/>
        <w:jc w:val="both"/>
        <w:rPr>
          <w:sz w:val="28"/>
          <w:szCs w:val="28"/>
          <w:lang w:val="en-GB"/>
        </w:rPr>
      </w:pPr>
      <w:r>
        <w:rPr>
          <w:sz w:val="28"/>
          <w:szCs w:val="28"/>
          <w:lang w:val="en-GB"/>
        </w:rPr>
        <w:t>Gleich, H., 2003,</w:t>
      </w:r>
      <w:r w:rsidR="00715FD4" w:rsidRPr="00715FD4">
        <w:rPr>
          <w:sz w:val="28"/>
          <w:szCs w:val="28"/>
          <w:lang w:val="en-GB"/>
        </w:rPr>
        <w:t xml:space="preserve"> </w:t>
      </w:r>
      <w:r w:rsidR="00715FD4" w:rsidRPr="007F656E">
        <w:rPr>
          <w:sz w:val="28"/>
          <w:szCs w:val="28"/>
          <w:lang w:val="en-GB"/>
        </w:rPr>
        <w:t>Budget institutions and fiscal performance in Central and Eastern European countries</w:t>
      </w:r>
      <w:r w:rsidRPr="007F656E">
        <w:rPr>
          <w:sz w:val="28"/>
          <w:szCs w:val="28"/>
          <w:lang w:val="en-GB"/>
        </w:rPr>
        <w:t>,</w:t>
      </w:r>
      <w:r w:rsidR="00715FD4" w:rsidRPr="00715FD4">
        <w:rPr>
          <w:sz w:val="28"/>
          <w:szCs w:val="28"/>
          <w:lang w:val="en-GB"/>
        </w:rPr>
        <w:t xml:space="preserve"> </w:t>
      </w:r>
      <w:r w:rsidR="00715FD4" w:rsidRPr="007F656E">
        <w:rPr>
          <w:sz w:val="28"/>
          <w:szCs w:val="28"/>
          <w:lang w:val="en-GB"/>
        </w:rPr>
        <w:t>Working Paper 215</w:t>
      </w:r>
      <w:r w:rsidR="00715FD4" w:rsidRPr="00715FD4">
        <w:rPr>
          <w:sz w:val="28"/>
          <w:szCs w:val="28"/>
          <w:lang w:val="en-GB"/>
        </w:rPr>
        <w:t xml:space="preserve">, </w:t>
      </w:r>
      <w:r w:rsidR="00715FD4" w:rsidRPr="007F656E">
        <w:rPr>
          <w:i/>
          <w:sz w:val="28"/>
          <w:szCs w:val="28"/>
          <w:lang w:val="en-GB"/>
        </w:rPr>
        <w:t>European Central Bank</w:t>
      </w:r>
      <w:r w:rsidR="00715FD4" w:rsidRPr="00715FD4">
        <w:rPr>
          <w:sz w:val="28"/>
          <w:szCs w:val="28"/>
          <w:lang w:val="en-GB"/>
        </w:rPr>
        <w:t xml:space="preserve">, Frankfurt, Germany, February. </w:t>
      </w:r>
    </w:p>
    <w:p w14:paraId="6BFECFB3" w14:textId="77777777" w:rsidR="00715FD4" w:rsidRPr="007F656E" w:rsidRDefault="007F656E" w:rsidP="006F749C">
      <w:pPr>
        <w:numPr>
          <w:ilvl w:val="0"/>
          <w:numId w:val="264"/>
        </w:numPr>
        <w:spacing w:line="240" w:lineRule="atLeast"/>
        <w:ind w:hanging="578"/>
        <w:contextualSpacing/>
        <w:jc w:val="both"/>
        <w:rPr>
          <w:sz w:val="28"/>
          <w:lang w:val="en-GB"/>
        </w:rPr>
      </w:pPr>
      <w:r>
        <w:rPr>
          <w:sz w:val="28"/>
          <w:lang w:val="en-US"/>
        </w:rPr>
        <w:t>Goryunova, E. O., 2013, Eurointeagration,</w:t>
      </w:r>
      <w:r w:rsidR="00715FD4" w:rsidRPr="00715FD4">
        <w:rPr>
          <w:sz w:val="28"/>
          <w:lang w:val="en-US"/>
        </w:rPr>
        <w:t xml:space="preserve"> </w:t>
      </w:r>
      <w:r w:rsidRPr="00715FD4">
        <w:rPr>
          <w:sz w:val="28"/>
          <w:lang w:val="en-US"/>
        </w:rPr>
        <w:t>Academv</w:t>
      </w:r>
      <w:r w:rsidR="002B21FB">
        <w:rPr>
          <w:sz w:val="28"/>
          <w:lang w:val="en-US"/>
        </w:rPr>
        <w:t>y</w:t>
      </w:r>
      <w:r w:rsidRPr="00715FD4">
        <w:rPr>
          <w:sz w:val="28"/>
          <w:lang w:val="en-US"/>
        </w:rPr>
        <w:t>dav</w:t>
      </w:r>
      <w:r>
        <w:rPr>
          <w:sz w:val="28"/>
          <w:lang w:val="en-US"/>
        </w:rPr>
        <w:t>nytstvo,</w:t>
      </w:r>
      <w:r w:rsidRPr="00715FD4">
        <w:rPr>
          <w:sz w:val="28"/>
          <w:lang w:val="en-US"/>
        </w:rPr>
        <w:t xml:space="preserve"> </w:t>
      </w:r>
      <w:r>
        <w:rPr>
          <w:sz w:val="28"/>
          <w:lang w:val="en-US"/>
        </w:rPr>
        <w:t>Kyiv,</w:t>
      </w:r>
      <w:r w:rsidR="00715FD4" w:rsidRPr="00715FD4">
        <w:rPr>
          <w:sz w:val="28"/>
          <w:lang w:val="en-US"/>
        </w:rPr>
        <w:t xml:space="preserve"> </w:t>
      </w:r>
      <w:r w:rsidR="00715FD4" w:rsidRPr="007F656E">
        <w:rPr>
          <w:sz w:val="28"/>
          <w:lang w:val="en-GB"/>
        </w:rPr>
        <w:t>[</w:t>
      </w:r>
      <w:r w:rsidR="00715FD4" w:rsidRPr="00715FD4">
        <w:rPr>
          <w:sz w:val="28"/>
          <w:lang w:val="ru-RU"/>
        </w:rPr>
        <w:t>Горюнова</w:t>
      </w:r>
      <w:r w:rsidR="00715FD4" w:rsidRPr="007F656E">
        <w:rPr>
          <w:sz w:val="28"/>
          <w:lang w:val="en-GB"/>
        </w:rPr>
        <w:t xml:space="preserve"> </w:t>
      </w:r>
      <w:r w:rsidR="00715FD4" w:rsidRPr="00715FD4">
        <w:rPr>
          <w:sz w:val="28"/>
          <w:lang w:val="ru-RU"/>
        </w:rPr>
        <w:t>Є</w:t>
      </w:r>
      <w:r w:rsidR="00715FD4" w:rsidRPr="007F656E">
        <w:rPr>
          <w:sz w:val="28"/>
          <w:lang w:val="en-GB"/>
        </w:rPr>
        <w:t xml:space="preserve">. </w:t>
      </w:r>
      <w:r w:rsidR="00715FD4" w:rsidRPr="00715FD4">
        <w:rPr>
          <w:sz w:val="28"/>
          <w:lang w:val="ru-RU"/>
        </w:rPr>
        <w:t>О</w:t>
      </w:r>
      <w:r w:rsidR="00715FD4" w:rsidRPr="007F656E">
        <w:rPr>
          <w:sz w:val="28"/>
          <w:lang w:val="en-GB"/>
        </w:rPr>
        <w:t xml:space="preserve">. </w:t>
      </w:r>
      <w:r w:rsidR="00715FD4" w:rsidRPr="00715FD4">
        <w:rPr>
          <w:sz w:val="28"/>
          <w:lang w:val="ru-RU"/>
        </w:rPr>
        <w:t>Євроінтеграція</w:t>
      </w:r>
      <w:r w:rsidR="00715FD4" w:rsidRPr="007F656E">
        <w:rPr>
          <w:sz w:val="28"/>
          <w:lang w:val="en-GB"/>
        </w:rPr>
        <w:t xml:space="preserve"> : </w:t>
      </w:r>
      <w:r w:rsidR="00715FD4" w:rsidRPr="00715FD4">
        <w:rPr>
          <w:sz w:val="28"/>
          <w:lang w:val="ru-RU"/>
        </w:rPr>
        <w:t>навч</w:t>
      </w:r>
      <w:r w:rsidR="00715FD4" w:rsidRPr="007F656E">
        <w:rPr>
          <w:sz w:val="28"/>
          <w:lang w:val="en-GB"/>
        </w:rPr>
        <w:t xml:space="preserve">. </w:t>
      </w:r>
      <w:r w:rsidR="00715FD4" w:rsidRPr="00715FD4">
        <w:rPr>
          <w:sz w:val="28"/>
          <w:lang w:val="ru-RU"/>
        </w:rPr>
        <w:t>посіб</w:t>
      </w:r>
      <w:r w:rsidR="00715FD4" w:rsidRPr="007F656E">
        <w:rPr>
          <w:sz w:val="28"/>
          <w:lang w:val="en-GB"/>
        </w:rPr>
        <w:t xml:space="preserve">. / </w:t>
      </w:r>
      <w:r w:rsidR="00715FD4" w:rsidRPr="00715FD4">
        <w:rPr>
          <w:sz w:val="28"/>
          <w:lang w:val="ru-RU"/>
        </w:rPr>
        <w:t>Є</w:t>
      </w:r>
      <w:r w:rsidR="00715FD4" w:rsidRPr="007F656E">
        <w:rPr>
          <w:sz w:val="28"/>
          <w:lang w:val="en-GB"/>
        </w:rPr>
        <w:t xml:space="preserve">. </w:t>
      </w:r>
      <w:r w:rsidR="00715FD4" w:rsidRPr="00715FD4">
        <w:rPr>
          <w:sz w:val="28"/>
          <w:lang w:val="ru-RU"/>
        </w:rPr>
        <w:t>О</w:t>
      </w:r>
      <w:r w:rsidR="00715FD4" w:rsidRPr="007F656E">
        <w:rPr>
          <w:sz w:val="28"/>
          <w:lang w:val="en-GB"/>
        </w:rPr>
        <w:t xml:space="preserve">. </w:t>
      </w:r>
      <w:r w:rsidR="00715FD4" w:rsidRPr="00715FD4">
        <w:rPr>
          <w:sz w:val="28"/>
          <w:lang w:val="ru-RU"/>
        </w:rPr>
        <w:t>Горюнова</w:t>
      </w:r>
      <w:r w:rsidR="00715FD4" w:rsidRPr="007F656E">
        <w:rPr>
          <w:sz w:val="28"/>
          <w:lang w:val="en-GB"/>
        </w:rPr>
        <w:t xml:space="preserve">. – </w:t>
      </w:r>
      <w:r w:rsidR="00715FD4" w:rsidRPr="00715FD4">
        <w:rPr>
          <w:sz w:val="28"/>
          <w:lang w:val="ru-RU"/>
        </w:rPr>
        <w:t>К</w:t>
      </w:r>
      <w:r w:rsidR="00715FD4" w:rsidRPr="007F656E">
        <w:rPr>
          <w:sz w:val="28"/>
          <w:lang w:val="en-GB"/>
        </w:rPr>
        <w:t xml:space="preserve">. : </w:t>
      </w:r>
      <w:r w:rsidR="00715FD4" w:rsidRPr="00715FD4">
        <w:rPr>
          <w:sz w:val="28"/>
          <w:lang w:val="ru-RU"/>
        </w:rPr>
        <w:t>Академвидав</w:t>
      </w:r>
      <w:r w:rsidR="002B21FB">
        <w:rPr>
          <w:sz w:val="28"/>
          <w:lang w:val="en-US"/>
        </w:rPr>
        <w:t>.,</w:t>
      </w:r>
      <w:r w:rsidR="00715FD4" w:rsidRPr="007F656E">
        <w:rPr>
          <w:sz w:val="28"/>
          <w:lang w:val="en-GB"/>
        </w:rPr>
        <w:t xml:space="preserve"> 2013. – 224 </w:t>
      </w:r>
      <w:r w:rsidR="00715FD4" w:rsidRPr="00715FD4">
        <w:rPr>
          <w:sz w:val="28"/>
          <w:lang w:val="ru-RU"/>
        </w:rPr>
        <w:t>с</w:t>
      </w:r>
      <w:r w:rsidR="00715FD4" w:rsidRPr="007F656E">
        <w:rPr>
          <w:sz w:val="28"/>
          <w:lang w:val="en-GB"/>
        </w:rPr>
        <w:t>. – (</w:t>
      </w:r>
      <w:r w:rsidR="00715FD4" w:rsidRPr="00715FD4">
        <w:rPr>
          <w:sz w:val="28"/>
          <w:lang w:val="ru-RU"/>
        </w:rPr>
        <w:t>Серія</w:t>
      </w:r>
      <w:r w:rsidR="00715FD4" w:rsidRPr="007F656E">
        <w:rPr>
          <w:sz w:val="28"/>
          <w:lang w:val="en-GB"/>
        </w:rPr>
        <w:t xml:space="preserve"> «</w:t>
      </w:r>
      <w:r w:rsidR="00715FD4" w:rsidRPr="00715FD4">
        <w:rPr>
          <w:sz w:val="28"/>
          <w:lang w:val="ru-RU"/>
        </w:rPr>
        <w:t>Альма</w:t>
      </w:r>
      <w:r w:rsidR="00715FD4" w:rsidRPr="007F656E">
        <w:rPr>
          <w:sz w:val="28"/>
          <w:lang w:val="en-GB"/>
        </w:rPr>
        <w:t>-</w:t>
      </w:r>
      <w:r w:rsidR="00715FD4" w:rsidRPr="00715FD4">
        <w:rPr>
          <w:sz w:val="28"/>
          <w:lang w:val="ru-RU"/>
        </w:rPr>
        <w:t>матер</w:t>
      </w:r>
      <w:r w:rsidR="00715FD4" w:rsidRPr="007F656E">
        <w:rPr>
          <w:sz w:val="28"/>
          <w:lang w:val="en-GB"/>
        </w:rPr>
        <w:t>»)].</w:t>
      </w:r>
    </w:p>
    <w:p w14:paraId="2973015C" w14:textId="77777777" w:rsidR="00715FD4" w:rsidRPr="00715FD4" w:rsidRDefault="007F656E" w:rsidP="006F749C">
      <w:pPr>
        <w:numPr>
          <w:ilvl w:val="0"/>
          <w:numId w:val="264"/>
        </w:numPr>
        <w:spacing w:line="240" w:lineRule="atLeast"/>
        <w:ind w:hanging="578"/>
        <w:contextualSpacing/>
        <w:jc w:val="both"/>
        <w:rPr>
          <w:rFonts w:eastAsia="Garamond"/>
          <w:sz w:val="28"/>
          <w:szCs w:val="28"/>
          <w:bdr w:val="none" w:sz="0" w:space="0" w:color="auto" w:frame="1"/>
          <w:lang w:val="en-US"/>
        </w:rPr>
      </w:pPr>
      <w:r>
        <w:rPr>
          <w:rFonts w:eastAsia="Calibri" w:cs="Calibri"/>
          <w:sz w:val="28"/>
          <w:szCs w:val="28"/>
          <w:bdr w:val="none" w:sz="0" w:space="0" w:color="auto" w:frame="1"/>
          <w:lang w:val="en-US"/>
        </w:rPr>
        <w:t>Graham, J. R., 2003,</w:t>
      </w:r>
      <w:r w:rsidR="00715FD4" w:rsidRPr="00715FD4">
        <w:rPr>
          <w:rFonts w:eastAsia="Calibri" w:cs="Calibri"/>
          <w:sz w:val="28"/>
          <w:szCs w:val="28"/>
          <w:bdr w:val="none" w:sz="0" w:space="0" w:color="auto" w:frame="1"/>
          <w:lang w:val="en-US"/>
        </w:rPr>
        <w:t xml:space="preserve"> Taxes </w:t>
      </w:r>
      <w:r>
        <w:rPr>
          <w:rFonts w:eastAsia="Calibri" w:cs="Calibri"/>
          <w:sz w:val="28"/>
          <w:szCs w:val="28"/>
          <w:bdr w:val="none" w:sz="0" w:space="0" w:color="auto" w:frame="1"/>
          <w:lang w:val="en-US"/>
        </w:rPr>
        <w:t>and corporate finance: A review,</w:t>
      </w:r>
      <w:r w:rsidR="00715FD4" w:rsidRPr="00715FD4">
        <w:rPr>
          <w:rFonts w:eastAsia="Calibri" w:cs="Calibri"/>
          <w:sz w:val="28"/>
          <w:szCs w:val="28"/>
          <w:bdr w:val="none" w:sz="0" w:space="0" w:color="auto" w:frame="1"/>
          <w:lang w:val="en-US"/>
        </w:rPr>
        <w:t xml:space="preserve"> </w:t>
      </w:r>
      <w:r w:rsidR="00715FD4" w:rsidRPr="00715FD4">
        <w:rPr>
          <w:rFonts w:eastAsia="Calibri" w:cs="Calibri"/>
          <w:i/>
          <w:iCs/>
          <w:sz w:val="28"/>
          <w:szCs w:val="28"/>
          <w:bdr w:val="none" w:sz="0" w:space="0" w:color="auto" w:frame="1"/>
          <w:lang w:val="en-US"/>
        </w:rPr>
        <w:t>Review of Financial studies</w:t>
      </w:r>
      <w:r w:rsidR="00715FD4" w:rsidRPr="00715FD4">
        <w:rPr>
          <w:rFonts w:eastAsia="Calibri" w:cs="Calibri"/>
          <w:sz w:val="28"/>
          <w:szCs w:val="28"/>
          <w:bdr w:val="none" w:sz="0" w:space="0" w:color="auto" w:frame="1"/>
          <w:lang w:val="en-US"/>
        </w:rPr>
        <w:t xml:space="preserve">, 16(4), </w:t>
      </w:r>
      <w:r>
        <w:rPr>
          <w:rFonts w:eastAsia="Calibri" w:cs="Calibri"/>
          <w:sz w:val="28"/>
          <w:szCs w:val="28"/>
          <w:bdr w:val="none" w:sz="0" w:space="0" w:color="auto" w:frame="1"/>
          <w:lang w:val="en-US"/>
        </w:rPr>
        <w:t xml:space="preserve">pp. </w:t>
      </w:r>
      <w:r w:rsidR="00715FD4" w:rsidRPr="00715FD4">
        <w:rPr>
          <w:rFonts w:eastAsia="Calibri" w:cs="Calibri"/>
          <w:sz w:val="28"/>
          <w:szCs w:val="28"/>
          <w:bdr w:val="none" w:sz="0" w:space="0" w:color="auto" w:frame="1"/>
          <w:lang w:val="en-US"/>
        </w:rPr>
        <w:t>1075</w:t>
      </w:r>
      <w:r w:rsidR="00E66974">
        <w:rPr>
          <w:rFonts w:eastAsia="Calibri" w:cs="Calibri"/>
          <w:sz w:val="28"/>
          <w:szCs w:val="28"/>
          <w:bdr w:val="none" w:sz="0" w:space="0" w:color="auto" w:frame="1"/>
          <w:lang w:val="en-US"/>
        </w:rPr>
        <w:t>–</w:t>
      </w:r>
      <w:r w:rsidR="00715FD4" w:rsidRPr="00715FD4">
        <w:rPr>
          <w:rFonts w:eastAsia="Calibri" w:cs="Calibri"/>
          <w:sz w:val="28"/>
          <w:szCs w:val="28"/>
          <w:bdr w:val="none" w:sz="0" w:space="0" w:color="auto" w:frame="1"/>
          <w:lang w:val="en-US"/>
        </w:rPr>
        <w:t>1129.</w:t>
      </w:r>
    </w:p>
    <w:p w14:paraId="3C07FF83"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 xml:space="preserve">Graham, J. R., </w:t>
      </w:r>
      <w:r w:rsidR="007F656E">
        <w:rPr>
          <w:rFonts w:eastAsia="Calibri" w:cs="Calibri"/>
          <w:sz w:val="28"/>
          <w:szCs w:val="28"/>
          <w:bdr w:val="none" w:sz="0" w:space="0" w:color="auto" w:frame="1"/>
          <w:lang w:val="en-US"/>
        </w:rPr>
        <w:t>and Harvey, C. R., 2001,</w:t>
      </w:r>
      <w:r w:rsidRPr="00715FD4">
        <w:rPr>
          <w:rFonts w:eastAsia="Calibri" w:cs="Calibri"/>
          <w:sz w:val="28"/>
          <w:szCs w:val="28"/>
          <w:bdr w:val="none" w:sz="0" w:space="0" w:color="auto" w:frame="1"/>
          <w:lang w:val="en-US"/>
        </w:rPr>
        <w:t xml:space="preserve"> The theory and practice of corporate f</w:t>
      </w:r>
      <w:r w:rsidR="007F656E">
        <w:rPr>
          <w:rFonts w:eastAsia="Calibri" w:cs="Calibri"/>
          <w:sz w:val="28"/>
          <w:szCs w:val="28"/>
          <w:bdr w:val="none" w:sz="0" w:space="0" w:color="auto" w:frame="1"/>
          <w:lang w:val="en-US"/>
        </w:rPr>
        <w:t>inance: Evidence from the field,</w:t>
      </w:r>
      <w:r w:rsidRPr="00715FD4">
        <w:rPr>
          <w:rFonts w:eastAsia="Calibri" w:cs="Calibri"/>
          <w:sz w:val="28"/>
          <w:szCs w:val="28"/>
          <w:bdr w:val="none" w:sz="0" w:space="0" w:color="auto" w:frame="1"/>
          <w:lang w:val="en-US"/>
        </w:rPr>
        <w:t xml:space="preserve"> </w:t>
      </w:r>
      <w:r w:rsidRPr="00715FD4">
        <w:rPr>
          <w:rFonts w:eastAsia="Calibri" w:cs="Calibri"/>
          <w:i/>
          <w:iCs/>
          <w:sz w:val="28"/>
          <w:szCs w:val="28"/>
          <w:bdr w:val="none" w:sz="0" w:space="0" w:color="auto" w:frame="1"/>
          <w:lang w:val="en-US"/>
        </w:rPr>
        <w:t xml:space="preserve">Journal of </w:t>
      </w:r>
      <w:r w:rsidR="007F656E">
        <w:rPr>
          <w:rFonts w:eastAsia="Calibri" w:cs="Calibri"/>
          <w:i/>
          <w:iCs/>
          <w:sz w:val="28"/>
          <w:szCs w:val="28"/>
          <w:bdr w:val="none" w:sz="0" w:space="0" w:color="auto" w:frame="1"/>
          <w:lang w:val="en-US"/>
        </w:rPr>
        <w:t>F</w:t>
      </w:r>
      <w:r w:rsidRPr="00715FD4">
        <w:rPr>
          <w:rFonts w:eastAsia="Calibri" w:cs="Calibri"/>
          <w:i/>
          <w:iCs/>
          <w:sz w:val="28"/>
          <w:szCs w:val="28"/>
          <w:bdr w:val="none" w:sz="0" w:space="0" w:color="auto" w:frame="1"/>
          <w:lang w:val="en-US"/>
        </w:rPr>
        <w:t xml:space="preserve">inancial </w:t>
      </w:r>
      <w:r w:rsidR="007F656E">
        <w:rPr>
          <w:rFonts w:eastAsia="Calibri" w:cs="Calibri"/>
          <w:i/>
          <w:iCs/>
          <w:sz w:val="28"/>
          <w:szCs w:val="28"/>
          <w:bdr w:val="none" w:sz="0" w:space="0" w:color="auto" w:frame="1"/>
          <w:lang w:val="en-US"/>
        </w:rPr>
        <w:t>E</w:t>
      </w:r>
      <w:r w:rsidRPr="00715FD4">
        <w:rPr>
          <w:rFonts w:eastAsia="Calibri" w:cs="Calibri"/>
          <w:i/>
          <w:iCs/>
          <w:sz w:val="28"/>
          <w:szCs w:val="28"/>
          <w:bdr w:val="none" w:sz="0" w:space="0" w:color="auto" w:frame="1"/>
          <w:lang w:val="en-US"/>
        </w:rPr>
        <w:t>conomics</w:t>
      </w:r>
      <w:r w:rsidRPr="00715FD4">
        <w:rPr>
          <w:rFonts w:eastAsia="Calibri" w:cs="Calibri"/>
          <w:sz w:val="28"/>
          <w:szCs w:val="28"/>
          <w:bdr w:val="none" w:sz="0" w:space="0" w:color="auto" w:frame="1"/>
          <w:lang w:val="en-US"/>
        </w:rPr>
        <w:t xml:space="preserve">, 60(2), </w:t>
      </w:r>
      <w:r w:rsidR="007F656E">
        <w:rPr>
          <w:rFonts w:eastAsia="Calibri" w:cs="Calibri"/>
          <w:sz w:val="28"/>
          <w:szCs w:val="28"/>
          <w:bdr w:val="none" w:sz="0" w:space="0" w:color="auto" w:frame="1"/>
          <w:lang w:val="en-US"/>
        </w:rPr>
        <w:t xml:space="preserve">pp. </w:t>
      </w:r>
      <w:r w:rsidRPr="00715FD4">
        <w:rPr>
          <w:rFonts w:eastAsia="Calibri" w:cs="Calibri"/>
          <w:sz w:val="28"/>
          <w:szCs w:val="28"/>
          <w:bdr w:val="none" w:sz="0" w:space="0" w:color="auto" w:frame="1"/>
          <w:lang w:val="en-US"/>
        </w:rPr>
        <w:t>187</w:t>
      </w:r>
      <w:r w:rsidR="00E66974">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243.</w:t>
      </w:r>
    </w:p>
    <w:p w14:paraId="19E21D4F"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 xml:space="preserve">Graham, M., Kiviaho, J., </w:t>
      </w:r>
      <w:r w:rsidR="007F656E">
        <w:rPr>
          <w:rFonts w:eastAsia="Calibri" w:cs="Calibri"/>
          <w:sz w:val="28"/>
          <w:szCs w:val="28"/>
          <w:bdr w:val="none" w:sz="0" w:space="0" w:color="auto" w:frame="1"/>
          <w:lang w:val="en-US"/>
        </w:rPr>
        <w:t>and Nikkinen, J., 2012,</w:t>
      </w:r>
      <w:r w:rsidRPr="00715FD4">
        <w:rPr>
          <w:rFonts w:eastAsia="Calibri" w:cs="Calibri"/>
          <w:sz w:val="28"/>
          <w:szCs w:val="28"/>
          <w:bdr w:val="none" w:sz="0" w:space="0" w:color="auto" w:frame="1"/>
          <w:lang w:val="en-US"/>
        </w:rPr>
        <w:t xml:space="preserve"> Integration of 22 emerging stock markets: A three-dimensional analysis</w:t>
      </w:r>
      <w:r w:rsidR="007F656E">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 xml:space="preserve"> </w:t>
      </w:r>
      <w:r w:rsidRPr="00715FD4">
        <w:rPr>
          <w:rFonts w:eastAsia="Calibri" w:cs="Calibri"/>
          <w:i/>
          <w:iCs/>
          <w:sz w:val="28"/>
          <w:szCs w:val="28"/>
          <w:bdr w:val="none" w:sz="0" w:space="0" w:color="auto" w:frame="1"/>
          <w:lang w:val="en-US"/>
        </w:rPr>
        <w:t>Global Finance Journal</w:t>
      </w:r>
      <w:r w:rsidRPr="00715FD4">
        <w:rPr>
          <w:rFonts w:eastAsia="Calibri" w:cs="Calibri"/>
          <w:sz w:val="28"/>
          <w:szCs w:val="28"/>
          <w:bdr w:val="none" w:sz="0" w:space="0" w:color="auto" w:frame="1"/>
          <w:lang w:val="en-US"/>
        </w:rPr>
        <w:t xml:space="preserve">, 23(1), </w:t>
      </w:r>
      <w:r w:rsidR="007F656E">
        <w:rPr>
          <w:rFonts w:eastAsia="Calibri" w:cs="Calibri"/>
          <w:sz w:val="28"/>
          <w:szCs w:val="28"/>
          <w:bdr w:val="none" w:sz="0" w:space="0" w:color="auto" w:frame="1"/>
          <w:lang w:val="en-US"/>
        </w:rPr>
        <w:t>pp.</w:t>
      </w:r>
      <w:r w:rsidRPr="00715FD4">
        <w:rPr>
          <w:rFonts w:eastAsia="Calibri" w:cs="Calibri"/>
          <w:sz w:val="28"/>
          <w:szCs w:val="28"/>
          <w:bdr w:val="none" w:sz="0" w:space="0" w:color="auto" w:frame="1"/>
          <w:lang w:val="en-US"/>
        </w:rPr>
        <w:t>34</w:t>
      </w:r>
      <w:r w:rsidR="00E66974">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47.</w:t>
      </w:r>
    </w:p>
    <w:p w14:paraId="128B1593" w14:textId="77777777" w:rsidR="00715FD4" w:rsidRPr="002B21FB"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en-US"/>
        </w:rPr>
        <w:t>Guiso</w:t>
      </w:r>
      <w:r w:rsidR="00A21682">
        <w:rPr>
          <w:sz w:val="28"/>
          <w:szCs w:val="28"/>
          <w:lang w:val="en-US"/>
        </w:rPr>
        <w:t>,</w:t>
      </w:r>
      <w:r w:rsidRPr="00715FD4">
        <w:rPr>
          <w:sz w:val="28"/>
          <w:szCs w:val="28"/>
          <w:lang w:val="en-US"/>
        </w:rPr>
        <w:t xml:space="preserve"> L.</w:t>
      </w:r>
      <w:r w:rsidR="00A21682">
        <w:rPr>
          <w:sz w:val="28"/>
          <w:szCs w:val="28"/>
          <w:lang w:val="en-US"/>
        </w:rPr>
        <w:t>,</w:t>
      </w:r>
      <w:r w:rsidRPr="00715FD4">
        <w:rPr>
          <w:sz w:val="28"/>
          <w:szCs w:val="28"/>
          <w:lang w:val="en-US"/>
        </w:rPr>
        <w:t xml:space="preserve"> and </w:t>
      </w:r>
      <w:r w:rsidR="00A21682">
        <w:rPr>
          <w:sz w:val="28"/>
          <w:szCs w:val="28"/>
          <w:lang w:val="en-US"/>
        </w:rPr>
        <w:t>Jappelli, T., 2002,</w:t>
      </w:r>
      <w:r w:rsidRPr="00715FD4">
        <w:rPr>
          <w:sz w:val="28"/>
          <w:szCs w:val="28"/>
          <w:lang w:val="en-US"/>
        </w:rPr>
        <w:t xml:space="preserve"> </w:t>
      </w:r>
      <w:r w:rsidRPr="002B21FB">
        <w:rPr>
          <w:sz w:val="28"/>
          <w:szCs w:val="28"/>
          <w:lang w:val="en-US"/>
        </w:rPr>
        <w:t>Household Portfolios in Italy</w:t>
      </w:r>
      <w:r w:rsidR="00A21682" w:rsidRPr="002B21FB">
        <w:rPr>
          <w:sz w:val="28"/>
          <w:szCs w:val="28"/>
          <w:lang w:val="en-US"/>
        </w:rPr>
        <w:t>,</w:t>
      </w:r>
      <w:r w:rsidRPr="002B21FB">
        <w:rPr>
          <w:sz w:val="28"/>
          <w:szCs w:val="28"/>
          <w:lang w:val="en-US"/>
        </w:rPr>
        <w:t xml:space="preserve"> </w:t>
      </w:r>
      <w:r w:rsidR="002B21FB">
        <w:rPr>
          <w:sz w:val="28"/>
          <w:szCs w:val="28"/>
          <w:lang w:val="en-US"/>
        </w:rPr>
        <w:t xml:space="preserve">In L. Guiso, M. </w:t>
      </w:r>
      <w:r w:rsidR="000552CE">
        <w:rPr>
          <w:sz w:val="28"/>
          <w:szCs w:val="28"/>
          <w:lang w:val="en-US"/>
        </w:rPr>
        <w:t>Halliases, and T. Jappelli</w:t>
      </w:r>
      <w:r w:rsidR="000552CE" w:rsidRPr="002B21FB">
        <w:rPr>
          <w:sz w:val="28"/>
          <w:szCs w:val="28"/>
          <w:lang w:val="en-US"/>
        </w:rPr>
        <w:t xml:space="preserve"> </w:t>
      </w:r>
      <w:r w:rsidR="000552CE">
        <w:rPr>
          <w:sz w:val="28"/>
          <w:szCs w:val="28"/>
          <w:lang w:val="en-US"/>
        </w:rPr>
        <w:t xml:space="preserve">(eds.), </w:t>
      </w:r>
      <w:r w:rsidRPr="000552CE">
        <w:rPr>
          <w:i/>
          <w:sz w:val="28"/>
          <w:szCs w:val="28"/>
          <w:lang w:val="en-US"/>
        </w:rPr>
        <w:t>Household Portfolios</w:t>
      </w:r>
      <w:r w:rsidR="000552CE">
        <w:rPr>
          <w:sz w:val="28"/>
          <w:szCs w:val="28"/>
          <w:lang w:val="en-US"/>
        </w:rPr>
        <w:t>, Cambriadge, MA: MIT Press.</w:t>
      </w:r>
    </w:p>
    <w:p w14:paraId="7CC772E1" w14:textId="77777777" w:rsidR="00715FD4" w:rsidRPr="00715FD4"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en-US"/>
        </w:rPr>
        <w:t>Guiso, L</w:t>
      </w:r>
      <w:r w:rsidR="00A21682">
        <w:rPr>
          <w:sz w:val="28"/>
          <w:szCs w:val="28"/>
          <w:lang w:val="en-US"/>
        </w:rPr>
        <w:t>.</w:t>
      </w:r>
      <w:r w:rsidRPr="00715FD4">
        <w:rPr>
          <w:sz w:val="28"/>
          <w:szCs w:val="28"/>
          <w:lang w:val="en-US"/>
        </w:rPr>
        <w:t>, and Sodini</w:t>
      </w:r>
      <w:r w:rsidR="00A21682">
        <w:rPr>
          <w:sz w:val="28"/>
          <w:szCs w:val="28"/>
          <w:lang w:val="en-US"/>
        </w:rPr>
        <w:t>,</w:t>
      </w:r>
      <w:r w:rsidR="00A21682" w:rsidRPr="00A21682">
        <w:rPr>
          <w:sz w:val="28"/>
          <w:szCs w:val="28"/>
          <w:lang w:val="en-US"/>
        </w:rPr>
        <w:t xml:space="preserve"> </w:t>
      </w:r>
      <w:r w:rsidR="00A21682" w:rsidRPr="00715FD4">
        <w:rPr>
          <w:sz w:val="28"/>
          <w:szCs w:val="28"/>
          <w:lang w:val="en-US"/>
        </w:rPr>
        <w:t>P</w:t>
      </w:r>
      <w:r w:rsidR="00A21682">
        <w:rPr>
          <w:sz w:val="28"/>
          <w:szCs w:val="28"/>
          <w:lang w:val="en-US"/>
        </w:rPr>
        <w:t>., 2013,</w:t>
      </w:r>
      <w:r w:rsidRPr="00715FD4">
        <w:rPr>
          <w:sz w:val="28"/>
          <w:szCs w:val="28"/>
          <w:lang w:val="en-US"/>
        </w:rPr>
        <w:t xml:space="preserve"> </w:t>
      </w:r>
      <w:r w:rsidRPr="00A21682">
        <w:rPr>
          <w:i/>
          <w:sz w:val="28"/>
          <w:szCs w:val="28"/>
          <w:lang w:val="en-US"/>
        </w:rPr>
        <w:t>Household Finance: An Emerging Field. In Handbook of the Economics of Finance</w:t>
      </w:r>
      <w:r w:rsidR="00543EEA">
        <w:rPr>
          <w:sz w:val="28"/>
          <w:szCs w:val="28"/>
          <w:lang w:val="en-US"/>
        </w:rPr>
        <w:t>,</w:t>
      </w:r>
      <w:r w:rsidRPr="00543EEA">
        <w:rPr>
          <w:sz w:val="28"/>
          <w:szCs w:val="28"/>
          <w:lang w:val="en-US"/>
        </w:rPr>
        <w:t xml:space="preserve"> Elsevier, </w:t>
      </w:r>
      <w:r w:rsidR="00A21682" w:rsidRPr="00543EEA">
        <w:rPr>
          <w:sz w:val="28"/>
          <w:szCs w:val="28"/>
          <w:lang w:val="en-US"/>
        </w:rPr>
        <w:t>Amsterdam</w:t>
      </w:r>
      <w:r w:rsidR="00543EEA">
        <w:rPr>
          <w:sz w:val="28"/>
          <w:szCs w:val="28"/>
          <w:lang w:val="en-US"/>
        </w:rPr>
        <w:t>,</w:t>
      </w:r>
      <w:r w:rsidR="00A21682" w:rsidRPr="00A21682">
        <w:rPr>
          <w:i/>
          <w:sz w:val="28"/>
          <w:szCs w:val="28"/>
          <w:lang w:val="en-US"/>
        </w:rPr>
        <w:t xml:space="preserve"> </w:t>
      </w:r>
      <w:r w:rsidR="00543EEA">
        <w:rPr>
          <w:sz w:val="28"/>
          <w:szCs w:val="28"/>
          <w:lang w:val="en-US"/>
        </w:rPr>
        <w:t>2</w:t>
      </w:r>
      <w:r w:rsidRPr="00715FD4">
        <w:rPr>
          <w:sz w:val="28"/>
          <w:szCs w:val="28"/>
          <w:lang w:val="en-US"/>
        </w:rPr>
        <w:t xml:space="preserve">(B), </w:t>
      </w:r>
      <w:r w:rsidR="00543EEA">
        <w:rPr>
          <w:sz w:val="28"/>
          <w:szCs w:val="28"/>
          <w:lang w:val="en-US"/>
        </w:rPr>
        <w:t xml:space="preserve">pp. </w:t>
      </w:r>
      <w:r w:rsidRPr="00715FD4">
        <w:rPr>
          <w:sz w:val="28"/>
          <w:szCs w:val="28"/>
          <w:lang w:val="en-US"/>
        </w:rPr>
        <w:t xml:space="preserve">1349–1532. </w:t>
      </w:r>
    </w:p>
    <w:p w14:paraId="0A8F10B6" w14:textId="77777777" w:rsidR="00715FD4" w:rsidRPr="00543EEA"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en-US"/>
        </w:rPr>
        <w:t>Guiso, L</w:t>
      </w:r>
      <w:r w:rsidR="00543EEA">
        <w:rPr>
          <w:sz w:val="28"/>
          <w:szCs w:val="28"/>
          <w:lang w:val="en-US"/>
        </w:rPr>
        <w:t>.</w:t>
      </w:r>
      <w:r w:rsidRPr="00715FD4">
        <w:rPr>
          <w:sz w:val="28"/>
          <w:szCs w:val="28"/>
          <w:lang w:val="en-US"/>
        </w:rPr>
        <w:t>, Haliassos,</w:t>
      </w:r>
      <w:r w:rsidR="00543EEA">
        <w:rPr>
          <w:sz w:val="28"/>
          <w:szCs w:val="28"/>
          <w:lang w:val="en-US"/>
        </w:rPr>
        <w:t xml:space="preserve"> M.,</w:t>
      </w:r>
      <w:r w:rsidRPr="00715FD4">
        <w:rPr>
          <w:sz w:val="28"/>
          <w:szCs w:val="28"/>
          <w:lang w:val="en-US"/>
        </w:rPr>
        <w:t xml:space="preserve"> and Jappelli</w:t>
      </w:r>
      <w:r w:rsidR="00543EEA">
        <w:rPr>
          <w:sz w:val="28"/>
          <w:szCs w:val="28"/>
          <w:lang w:val="en-US"/>
        </w:rPr>
        <w:t>, T., 2001,</w:t>
      </w:r>
      <w:r w:rsidRPr="00715FD4">
        <w:rPr>
          <w:sz w:val="28"/>
          <w:szCs w:val="28"/>
          <w:lang w:val="en-US"/>
        </w:rPr>
        <w:t xml:space="preserve"> </w:t>
      </w:r>
      <w:r w:rsidRPr="00543EEA">
        <w:rPr>
          <w:i/>
          <w:sz w:val="28"/>
          <w:szCs w:val="28"/>
          <w:lang w:val="en-US"/>
        </w:rPr>
        <w:t>Household Portfolios</w:t>
      </w:r>
      <w:r w:rsidRPr="00715FD4">
        <w:rPr>
          <w:sz w:val="28"/>
          <w:szCs w:val="28"/>
          <w:lang w:val="en-US"/>
        </w:rPr>
        <w:t xml:space="preserve">, </w:t>
      </w:r>
      <w:r w:rsidRPr="00543EEA">
        <w:rPr>
          <w:sz w:val="28"/>
          <w:szCs w:val="28"/>
          <w:lang w:val="en-US"/>
        </w:rPr>
        <w:t>Cambridge, MA: MIT Press.</w:t>
      </w:r>
    </w:p>
    <w:p w14:paraId="2D80CA0B"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Henry, E., </w:t>
      </w:r>
      <w:r w:rsidR="00E66974">
        <w:rPr>
          <w:sz w:val="28"/>
          <w:lang w:val="en-US"/>
        </w:rPr>
        <w:t>and</w:t>
      </w:r>
      <w:r w:rsidR="00543EEA">
        <w:rPr>
          <w:sz w:val="28"/>
          <w:lang w:val="en-US"/>
        </w:rPr>
        <w:t xml:space="preserve"> Robinson, T. R., 2015,</w:t>
      </w:r>
      <w:r w:rsidRPr="00715FD4">
        <w:rPr>
          <w:sz w:val="28"/>
          <w:lang w:val="en-US"/>
        </w:rPr>
        <w:t xml:space="preserve"> Chapter 1. Financial Stat</w:t>
      </w:r>
      <w:r w:rsidR="00543EEA">
        <w:rPr>
          <w:sz w:val="28"/>
          <w:lang w:val="en-US"/>
        </w:rPr>
        <w:t>ement Analysis: An Introduction,</w:t>
      </w:r>
      <w:r w:rsidRPr="00715FD4">
        <w:rPr>
          <w:sz w:val="28"/>
          <w:lang w:val="en-US"/>
        </w:rPr>
        <w:t xml:space="preserve"> </w:t>
      </w:r>
      <w:r w:rsidRPr="00715FD4">
        <w:rPr>
          <w:i/>
          <w:sz w:val="28"/>
          <w:lang w:val="en-US"/>
        </w:rPr>
        <w:t>CFA Institute Investment Books</w:t>
      </w:r>
      <w:r w:rsidRPr="00715FD4">
        <w:rPr>
          <w:sz w:val="28"/>
          <w:lang w:val="en-US"/>
        </w:rPr>
        <w:t xml:space="preserve">, </w:t>
      </w:r>
      <w:r w:rsidR="00543EEA">
        <w:rPr>
          <w:sz w:val="28"/>
          <w:lang w:val="en-US"/>
        </w:rPr>
        <w:t xml:space="preserve">pp. </w:t>
      </w:r>
      <w:r w:rsidRPr="00715FD4">
        <w:rPr>
          <w:sz w:val="28"/>
          <w:lang w:val="en-US"/>
        </w:rPr>
        <w:t>1</w:t>
      </w:r>
      <w:r w:rsidR="00E66974">
        <w:rPr>
          <w:sz w:val="28"/>
          <w:lang w:val="en-US"/>
        </w:rPr>
        <w:t>–</w:t>
      </w:r>
      <w:r w:rsidRPr="00715FD4">
        <w:rPr>
          <w:sz w:val="28"/>
          <w:lang w:val="en-US"/>
        </w:rPr>
        <w:t>35.</w:t>
      </w:r>
    </w:p>
    <w:p w14:paraId="40D3DD1D" w14:textId="77777777" w:rsidR="00715FD4" w:rsidRPr="00715FD4" w:rsidRDefault="00715FD4" w:rsidP="006F749C">
      <w:pPr>
        <w:numPr>
          <w:ilvl w:val="0"/>
          <w:numId w:val="264"/>
        </w:numPr>
        <w:spacing w:line="240" w:lineRule="atLeast"/>
        <w:ind w:hanging="578"/>
        <w:contextualSpacing/>
        <w:jc w:val="both"/>
        <w:rPr>
          <w:rFonts w:cs="Garamond"/>
          <w:sz w:val="28"/>
          <w:szCs w:val="28"/>
          <w:lang w:val="en-US" w:eastAsia="ru-RU"/>
        </w:rPr>
      </w:pPr>
      <w:r w:rsidRPr="00543EEA">
        <w:rPr>
          <w:rFonts w:cs="Garamond"/>
          <w:i/>
          <w:sz w:val="28"/>
          <w:szCs w:val="28"/>
          <w:lang w:val="en-US" w:eastAsia="ru-RU"/>
        </w:rPr>
        <w:t>How insurance works</w:t>
      </w:r>
      <w:r w:rsidR="00543EEA">
        <w:rPr>
          <w:rFonts w:cs="Garamond"/>
          <w:i/>
          <w:sz w:val="28"/>
          <w:szCs w:val="28"/>
          <w:lang w:val="en-US" w:eastAsia="ru-RU"/>
        </w:rPr>
        <w:t>,</w:t>
      </w:r>
      <w:r w:rsidR="00543EEA">
        <w:rPr>
          <w:rFonts w:cs="Garamond"/>
          <w:sz w:val="28"/>
          <w:szCs w:val="28"/>
          <w:lang w:val="en-US" w:eastAsia="ru-RU"/>
        </w:rPr>
        <w:t xml:space="preserve"> 2012,</w:t>
      </w:r>
      <w:r w:rsidRPr="00715FD4">
        <w:rPr>
          <w:rFonts w:cs="Garamond"/>
          <w:sz w:val="28"/>
          <w:szCs w:val="28"/>
          <w:lang w:val="en-US" w:eastAsia="ru-RU"/>
        </w:rPr>
        <w:t xml:space="preserve"> </w:t>
      </w:r>
      <w:r w:rsidRPr="00543EEA">
        <w:rPr>
          <w:rFonts w:cs="Garamond"/>
          <w:sz w:val="28"/>
          <w:szCs w:val="28"/>
          <w:lang w:val="en-US" w:eastAsia="ru-RU"/>
        </w:rPr>
        <w:t>Insurance Europe aisbl, Brussels</w:t>
      </w:r>
      <w:r w:rsidRPr="00715FD4">
        <w:rPr>
          <w:rFonts w:cs="Garamond"/>
          <w:sz w:val="28"/>
          <w:szCs w:val="28"/>
          <w:lang w:val="en-US" w:eastAsia="ru-RU"/>
        </w:rPr>
        <w:t>.</w:t>
      </w:r>
    </w:p>
    <w:p w14:paraId="1AD68890" w14:textId="77777777" w:rsidR="00715FD4" w:rsidRPr="00715FD4"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en-US"/>
        </w:rPr>
        <w:lastRenderedPageBreak/>
        <w:t>Huggett, M</w:t>
      </w:r>
      <w:r w:rsidR="00543EEA">
        <w:rPr>
          <w:sz w:val="28"/>
          <w:szCs w:val="28"/>
          <w:lang w:val="en-US"/>
        </w:rPr>
        <w:t>.,</w:t>
      </w:r>
      <w:r w:rsidRPr="00715FD4">
        <w:rPr>
          <w:sz w:val="28"/>
          <w:szCs w:val="28"/>
          <w:lang w:val="en-US"/>
        </w:rPr>
        <w:t xml:space="preserve"> and Ventura</w:t>
      </w:r>
      <w:r w:rsidR="00543EEA">
        <w:rPr>
          <w:sz w:val="28"/>
          <w:szCs w:val="28"/>
          <w:lang w:val="en-US"/>
        </w:rPr>
        <w:t>, G</w:t>
      </w:r>
      <w:r w:rsidRPr="00715FD4">
        <w:rPr>
          <w:sz w:val="28"/>
          <w:szCs w:val="28"/>
          <w:lang w:val="en-US"/>
        </w:rPr>
        <w:t>.</w:t>
      </w:r>
      <w:r w:rsidR="00543EEA">
        <w:rPr>
          <w:sz w:val="28"/>
          <w:szCs w:val="28"/>
          <w:lang w:val="en-US"/>
        </w:rPr>
        <w:t>, 2000,</w:t>
      </w:r>
      <w:r w:rsidRPr="00715FD4">
        <w:rPr>
          <w:sz w:val="28"/>
          <w:szCs w:val="28"/>
          <w:lang w:val="en-US"/>
        </w:rPr>
        <w:t xml:space="preserve"> Understanding why High-Income Households Save More than Low-Income Households</w:t>
      </w:r>
      <w:r w:rsidR="00543EEA">
        <w:rPr>
          <w:sz w:val="28"/>
          <w:szCs w:val="28"/>
          <w:lang w:val="en-US"/>
        </w:rPr>
        <w:t>,</w:t>
      </w:r>
      <w:r w:rsidRPr="00715FD4">
        <w:rPr>
          <w:sz w:val="28"/>
          <w:szCs w:val="28"/>
          <w:lang w:val="en-US"/>
        </w:rPr>
        <w:t xml:space="preserve"> </w:t>
      </w:r>
      <w:r w:rsidRPr="00715FD4">
        <w:rPr>
          <w:i/>
          <w:sz w:val="28"/>
          <w:szCs w:val="28"/>
          <w:lang w:val="en-US"/>
        </w:rPr>
        <w:t>Journal of Monetary Economics</w:t>
      </w:r>
      <w:r w:rsidRPr="00715FD4">
        <w:rPr>
          <w:sz w:val="28"/>
          <w:szCs w:val="28"/>
          <w:lang w:val="en-US"/>
        </w:rPr>
        <w:t xml:space="preserve">, 45, </w:t>
      </w:r>
      <w:r w:rsidR="00543EEA">
        <w:rPr>
          <w:sz w:val="28"/>
          <w:szCs w:val="28"/>
          <w:lang w:val="en-US"/>
        </w:rPr>
        <w:t xml:space="preserve">pp. </w:t>
      </w:r>
      <w:r w:rsidRPr="00715FD4">
        <w:rPr>
          <w:sz w:val="28"/>
          <w:szCs w:val="28"/>
          <w:lang w:val="en-US"/>
        </w:rPr>
        <w:t>361</w:t>
      </w:r>
      <w:r w:rsidR="00E66974">
        <w:rPr>
          <w:sz w:val="28"/>
          <w:szCs w:val="28"/>
          <w:lang w:val="en-US"/>
        </w:rPr>
        <w:t>–</w:t>
      </w:r>
      <w:r w:rsidRPr="00715FD4">
        <w:rPr>
          <w:sz w:val="28"/>
          <w:szCs w:val="28"/>
          <w:lang w:val="en-US"/>
        </w:rPr>
        <w:t>397.</w:t>
      </w:r>
    </w:p>
    <w:p w14:paraId="3341CCC9" w14:textId="77777777" w:rsidR="00715FD4" w:rsidRPr="00543EEA" w:rsidRDefault="00715FD4" w:rsidP="006F749C">
      <w:pPr>
        <w:numPr>
          <w:ilvl w:val="0"/>
          <w:numId w:val="264"/>
        </w:numPr>
        <w:spacing w:line="240" w:lineRule="atLeast"/>
        <w:ind w:hanging="578"/>
        <w:contextualSpacing/>
        <w:jc w:val="both"/>
        <w:rPr>
          <w:rFonts w:cs="Garamond"/>
          <w:sz w:val="28"/>
          <w:szCs w:val="28"/>
          <w:lang w:val="en-US" w:eastAsia="ru-RU"/>
        </w:rPr>
      </w:pPr>
      <w:r w:rsidRPr="00543EEA">
        <w:rPr>
          <w:rFonts w:cs="Garamond"/>
          <w:i/>
          <w:sz w:val="28"/>
          <w:szCs w:val="28"/>
          <w:lang w:val="en-US" w:eastAsia="ru-RU"/>
        </w:rPr>
        <w:t>Insurance handbook. A guide to insurance: what it does and how it works</w:t>
      </w:r>
      <w:r w:rsidR="00543EEA">
        <w:rPr>
          <w:rFonts w:cs="Garamond"/>
          <w:i/>
          <w:sz w:val="28"/>
          <w:szCs w:val="28"/>
          <w:lang w:val="en-US" w:eastAsia="ru-RU"/>
        </w:rPr>
        <w:t xml:space="preserve">, </w:t>
      </w:r>
      <w:r w:rsidR="00543EEA">
        <w:rPr>
          <w:rFonts w:cs="Garamond"/>
          <w:sz w:val="28"/>
          <w:szCs w:val="28"/>
          <w:lang w:val="en-US" w:eastAsia="ru-RU"/>
        </w:rPr>
        <w:t>2010,</w:t>
      </w:r>
      <w:r w:rsidRPr="00715FD4">
        <w:rPr>
          <w:rFonts w:cs="Garamond"/>
          <w:sz w:val="28"/>
          <w:szCs w:val="28"/>
          <w:lang w:val="en-US" w:eastAsia="ru-RU"/>
        </w:rPr>
        <w:t xml:space="preserve"> </w:t>
      </w:r>
      <w:r w:rsidRPr="00543EEA">
        <w:rPr>
          <w:rFonts w:cs="Garamond"/>
          <w:sz w:val="28"/>
          <w:szCs w:val="28"/>
          <w:lang w:val="en-US" w:eastAsia="ru-RU"/>
        </w:rPr>
        <w:t>Insurance Information Institute, New York, NY.</w:t>
      </w:r>
    </w:p>
    <w:p w14:paraId="7E5A1801" w14:textId="77777777" w:rsidR="00715FD4" w:rsidRPr="00543EEA" w:rsidRDefault="00715FD4" w:rsidP="006F749C">
      <w:pPr>
        <w:numPr>
          <w:ilvl w:val="0"/>
          <w:numId w:val="264"/>
        </w:numPr>
        <w:spacing w:line="240" w:lineRule="atLeast"/>
        <w:ind w:hanging="578"/>
        <w:contextualSpacing/>
        <w:jc w:val="both"/>
        <w:rPr>
          <w:color w:val="000000" w:themeColor="text1"/>
          <w:sz w:val="28"/>
          <w:szCs w:val="28"/>
          <w:lang w:val="en-US"/>
        </w:rPr>
      </w:pPr>
      <w:r w:rsidRPr="00715FD4">
        <w:rPr>
          <w:color w:val="000000" w:themeColor="text1"/>
          <w:sz w:val="28"/>
          <w:szCs w:val="28"/>
          <w:lang w:val="en-US"/>
        </w:rPr>
        <w:t xml:space="preserve">Jensen, M. C. </w:t>
      </w:r>
      <w:r w:rsidR="00E66974">
        <w:rPr>
          <w:color w:val="000000" w:themeColor="text1"/>
          <w:sz w:val="28"/>
          <w:szCs w:val="28"/>
          <w:lang w:val="en-US"/>
        </w:rPr>
        <w:t>and</w:t>
      </w:r>
      <w:r w:rsidR="00543EEA">
        <w:rPr>
          <w:color w:val="000000" w:themeColor="text1"/>
          <w:sz w:val="28"/>
          <w:szCs w:val="28"/>
          <w:lang w:val="en-US"/>
        </w:rPr>
        <w:t xml:space="preserve"> Smith, C. W., 1984,</w:t>
      </w:r>
      <w:r w:rsidRPr="00715FD4">
        <w:rPr>
          <w:color w:val="000000" w:themeColor="text1"/>
          <w:sz w:val="28"/>
          <w:szCs w:val="28"/>
          <w:lang w:val="en-US"/>
        </w:rPr>
        <w:t xml:space="preserve"> </w:t>
      </w:r>
      <w:r w:rsidRPr="00543EEA">
        <w:rPr>
          <w:i/>
          <w:color w:val="000000" w:themeColor="text1"/>
          <w:sz w:val="28"/>
          <w:szCs w:val="28"/>
          <w:lang w:val="en-US"/>
        </w:rPr>
        <w:t>The Modern Theory of Corporate Finance</w:t>
      </w:r>
      <w:r w:rsidR="00543EEA">
        <w:rPr>
          <w:i/>
          <w:color w:val="000000" w:themeColor="text1"/>
          <w:sz w:val="28"/>
          <w:szCs w:val="28"/>
          <w:lang w:val="en-US"/>
        </w:rPr>
        <w:t>,</w:t>
      </w:r>
      <w:r w:rsidR="00543EEA">
        <w:rPr>
          <w:color w:val="000000" w:themeColor="text1"/>
          <w:sz w:val="28"/>
          <w:szCs w:val="28"/>
          <w:lang w:val="en-US"/>
        </w:rPr>
        <w:t xml:space="preserve"> </w:t>
      </w:r>
      <w:r w:rsidRPr="00543EEA">
        <w:rPr>
          <w:color w:val="000000" w:themeColor="text1"/>
          <w:sz w:val="28"/>
          <w:szCs w:val="28"/>
          <w:lang w:val="en-US"/>
        </w:rPr>
        <w:t>McGraw-Hill Inc.</w:t>
      </w:r>
      <w:r w:rsidR="00543EEA" w:rsidRPr="00543EEA">
        <w:rPr>
          <w:color w:val="000000" w:themeColor="text1"/>
          <w:sz w:val="28"/>
          <w:szCs w:val="28"/>
          <w:lang w:val="en-US"/>
        </w:rPr>
        <w:t>, New York</w:t>
      </w:r>
    </w:p>
    <w:p w14:paraId="6157C829" w14:textId="77777777" w:rsidR="00715FD4" w:rsidRPr="00543EEA" w:rsidRDefault="00715FD4" w:rsidP="006F749C">
      <w:pPr>
        <w:numPr>
          <w:ilvl w:val="0"/>
          <w:numId w:val="264"/>
        </w:numPr>
        <w:spacing w:line="240" w:lineRule="atLeast"/>
        <w:ind w:hanging="578"/>
        <w:contextualSpacing/>
        <w:jc w:val="both"/>
        <w:rPr>
          <w:sz w:val="28"/>
          <w:lang w:val="en-US"/>
        </w:rPr>
      </w:pPr>
      <w:r w:rsidRPr="00543EEA">
        <w:rPr>
          <w:sz w:val="28"/>
          <w:lang w:val="en-US"/>
        </w:rPr>
        <w:t xml:space="preserve">Kremen, O. S., </w:t>
      </w:r>
      <w:r w:rsidR="00543EEA">
        <w:rPr>
          <w:sz w:val="28"/>
          <w:lang w:val="en-US"/>
        </w:rPr>
        <w:t xml:space="preserve">and </w:t>
      </w:r>
      <w:r w:rsidRPr="00543EEA">
        <w:rPr>
          <w:sz w:val="28"/>
          <w:lang w:val="en-US"/>
        </w:rPr>
        <w:t>Kremen</w:t>
      </w:r>
      <w:r w:rsidR="00543EEA">
        <w:rPr>
          <w:sz w:val="28"/>
          <w:lang w:val="en-US"/>
        </w:rPr>
        <w:t>, V. M., 2011,</w:t>
      </w:r>
      <w:r w:rsidRPr="00715FD4">
        <w:rPr>
          <w:sz w:val="28"/>
          <w:lang w:val="en-US"/>
        </w:rPr>
        <w:t xml:space="preserve"> </w:t>
      </w:r>
      <w:r w:rsidRPr="00543EEA">
        <w:rPr>
          <w:i/>
          <w:sz w:val="28"/>
          <w:lang w:val="en-US"/>
        </w:rPr>
        <w:t>Finance</w:t>
      </w:r>
      <w:r w:rsidR="00543EEA">
        <w:rPr>
          <w:i/>
          <w:sz w:val="28"/>
          <w:lang w:val="en-US"/>
        </w:rPr>
        <w:t>,</w:t>
      </w:r>
      <w:r w:rsidRPr="00715FD4">
        <w:rPr>
          <w:sz w:val="28"/>
          <w:lang w:val="en-US"/>
        </w:rPr>
        <w:t xml:space="preserve"> Centre of educational literature</w:t>
      </w:r>
      <w:r w:rsidR="00543EEA">
        <w:rPr>
          <w:sz w:val="28"/>
          <w:lang w:val="en-US"/>
        </w:rPr>
        <w:t>,</w:t>
      </w:r>
      <w:r w:rsidRPr="00715FD4">
        <w:rPr>
          <w:sz w:val="28"/>
          <w:lang w:val="en-US"/>
        </w:rPr>
        <w:t xml:space="preserve"> </w:t>
      </w:r>
      <w:r w:rsidR="00543EEA" w:rsidRPr="00715FD4">
        <w:rPr>
          <w:sz w:val="28"/>
          <w:lang w:val="en-US"/>
        </w:rPr>
        <w:t>Kyiv</w:t>
      </w:r>
      <w:r w:rsidR="00543EEA" w:rsidRPr="00543EEA">
        <w:rPr>
          <w:sz w:val="28"/>
          <w:lang w:val="en-US"/>
        </w:rPr>
        <w:t xml:space="preserve"> </w:t>
      </w:r>
      <w:r w:rsidRPr="00543EEA">
        <w:rPr>
          <w:sz w:val="28"/>
          <w:lang w:val="en-US"/>
        </w:rPr>
        <w:t>[</w:t>
      </w:r>
      <w:r w:rsidRPr="00715FD4">
        <w:rPr>
          <w:sz w:val="28"/>
          <w:lang w:val="ru-RU"/>
        </w:rPr>
        <w:t>Кремень</w:t>
      </w:r>
      <w:r w:rsidRPr="00543EEA">
        <w:rPr>
          <w:sz w:val="28"/>
          <w:lang w:val="en-US"/>
        </w:rPr>
        <w:t xml:space="preserve"> </w:t>
      </w:r>
      <w:r w:rsidRPr="00715FD4">
        <w:rPr>
          <w:sz w:val="28"/>
          <w:lang w:val="ru-RU"/>
        </w:rPr>
        <w:t>О</w:t>
      </w:r>
      <w:r w:rsidRPr="00543EEA">
        <w:rPr>
          <w:sz w:val="28"/>
          <w:lang w:val="en-US"/>
        </w:rPr>
        <w:t xml:space="preserve">. </w:t>
      </w:r>
      <w:r w:rsidRPr="00715FD4">
        <w:rPr>
          <w:sz w:val="28"/>
          <w:lang w:val="ru-RU"/>
        </w:rPr>
        <w:t>І</w:t>
      </w:r>
      <w:r w:rsidRPr="00543EEA">
        <w:rPr>
          <w:sz w:val="28"/>
          <w:lang w:val="en-US"/>
        </w:rPr>
        <w:t xml:space="preserve">., </w:t>
      </w:r>
      <w:r w:rsidRPr="00715FD4">
        <w:rPr>
          <w:sz w:val="28"/>
          <w:lang w:val="ru-RU"/>
        </w:rPr>
        <w:t>Кремень</w:t>
      </w:r>
      <w:r w:rsidRPr="00543EEA">
        <w:rPr>
          <w:sz w:val="28"/>
          <w:lang w:val="en-US"/>
        </w:rPr>
        <w:t xml:space="preserve"> </w:t>
      </w:r>
      <w:r w:rsidRPr="00715FD4">
        <w:rPr>
          <w:sz w:val="28"/>
          <w:lang w:val="ru-RU"/>
        </w:rPr>
        <w:t>В</w:t>
      </w:r>
      <w:r w:rsidRPr="00543EEA">
        <w:rPr>
          <w:sz w:val="28"/>
          <w:lang w:val="en-US"/>
        </w:rPr>
        <w:t xml:space="preserve">. </w:t>
      </w:r>
      <w:r w:rsidRPr="00715FD4">
        <w:rPr>
          <w:sz w:val="28"/>
          <w:lang w:val="ru-RU"/>
        </w:rPr>
        <w:t>М</w:t>
      </w:r>
      <w:r w:rsidRPr="00543EEA">
        <w:rPr>
          <w:sz w:val="28"/>
          <w:lang w:val="en-US"/>
        </w:rPr>
        <w:t xml:space="preserve">. </w:t>
      </w:r>
      <w:r w:rsidRPr="00715FD4">
        <w:rPr>
          <w:sz w:val="28"/>
          <w:lang w:val="ru-RU"/>
        </w:rPr>
        <w:t>Фінанси</w:t>
      </w:r>
      <w:r w:rsidR="00543EEA">
        <w:rPr>
          <w:sz w:val="28"/>
          <w:lang w:val="en-US"/>
        </w:rPr>
        <w:t xml:space="preserve"> </w:t>
      </w:r>
      <w:r w:rsidRPr="00543EEA">
        <w:rPr>
          <w:sz w:val="28"/>
          <w:lang w:val="en-US"/>
        </w:rPr>
        <w:t xml:space="preserve">: </w:t>
      </w:r>
      <w:r w:rsidR="00543EEA" w:rsidRPr="00715FD4">
        <w:rPr>
          <w:sz w:val="28"/>
          <w:lang w:val="ru-RU"/>
        </w:rPr>
        <w:t>н</w:t>
      </w:r>
      <w:r w:rsidRPr="00715FD4">
        <w:rPr>
          <w:sz w:val="28"/>
          <w:lang w:val="ru-RU"/>
        </w:rPr>
        <w:t>авч</w:t>
      </w:r>
      <w:r w:rsidRPr="00543EEA">
        <w:rPr>
          <w:sz w:val="28"/>
          <w:lang w:val="en-US"/>
        </w:rPr>
        <w:t xml:space="preserve">. </w:t>
      </w:r>
      <w:r w:rsidRPr="00715FD4">
        <w:rPr>
          <w:sz w:val="28"/>
          <w:lang w:val="ru-RU"/>
        </w:rPr>
        <w:t>посіб</w:t>
      </w:r>
      <w:r w:rsidRPr="00543EEA">
        <w:rPr>
          <w:sz w:val="28"/>
          <w:lang w:val="en-US"/>
        </w:rPr>
        <w:t xml:space="preserve">. – </w:t>
      </w:r>
      <w:r w:rsidRPr="00715FD4">
        <w:rPr>
          <w:sz w:val="28"/>
          <w:lang w:val="ru-RU"/>
        </w:rPr>
        <w:t>К</w:t>
      </w:r>
      <w:r w:rsidRPr="00543EEA">
        <w:rPr>
          <w:sz w:val="28"/>
          <w:lang w:val="en-US"/>
        </w:rPr>
        <w:t>.</w:t>
      </w:r>
      <w:r w:rsidR="00543EEA">
        <w:rPr>
          <w:sz w:val="28"/>
          <w:lang w:val="en-US"/>
        </w:rPr>
        <w:t xml:space="preserve"> </w:t>
      </w:r>
      <w:r w:rsidRPr="00543EEA">
        <w:rPr>
          <w:sz w:val="28"/>
          <w:lang w:val="en-US"/>
        </w:rPr>
        <w:t xml:space="preserve">: </w:t>
      </w:r>
      <w:r w:rsidRPr="00715FD4">
        <w:rPr>
          <w:sz w:val="28"/>
          <w:lang w:val="ru-RU"/>
        </w:rPr>
        <w:t>Центр</w:t>
      </w:r>
      <w:r w:rsidRPr="00543EEA">
        <w:rPr>
          <w:sz w:val="28"/>
          <w:lang w:val="en-US"/>
        </w:rPr>
        <w:t xml:space="preserve"> </w:t>
      </w:r>
      <w:r w:rsidRPr="00715FD4">
        <w:rPr>
          <w:sz w:val="28"/>
          <w:lang w:val="ru-RU"/>
        </w:rPr>
        <w:t>учбової</w:t>
      </w:r>
      <w:r w:rsidRPr="00543EEA">
        <w:rPr>
          <w:sz w:val="28"/>
          <w:lang w:val="en-US"/>
        </w:rPr>
        <w:t xml:space="preserve"> </w:t>
      </w:r>
      <w:r w:rsidRPr="00715FD4">
        <w:rPr>
          <w:sz w:val="28"/>
          <w:lang w:val="ru-RU"/>
        </w:rPr>
        <w:t>літератури</w:t>
      </w:r>
      <w:r w:rsidRPr="00543EEA">
        <w:rPr>
          <w:sz w:val="28"/>
          <w:lang w:val="en-US"/>
        </w:rPr>
        <w:t xml:space="preserve">, 2011. – 424 </w:t>
      </w:r>
      <w:r w:rsidRPr="00715FD4">
        <w:rPr>
          <w:sz w:val="28"/>
          <w:lang w:val="ru-RU"/>
        </w:rPr>
        <w:t>с</w:t>
      </w:r>
      <w:r w:rsidRPr="00543EEA">
        <w:rPr>
          <w:sz w:val="28"/>
          <w:lang w:val="en-US"/>
        </w:rPr>
        <w:t>].</w:t>
      </w:r>
    </w:p>
    <w:p w14:paraId="7FA6B903" w14:textId="77777777" w:rsidR="00715FD4" w:rsidRPr="00543EEA" w:rsidRDefault="00543EEA" w:rsidP="006F749C">
      <w:pPr>
        <w:numPr>
          <w:ilvl w:val="0"/>
          <w:numId w:val="264"/>
        </w:numPr>
        <w:spacing w:line="240" w:lineRule="atLeast"/>
        <w:ind w:hanging="578"/>
        <w:contextualSpacing/>
        <w:jc w:val="both"/>
        <w:rPr>
          <w:sz w:val="28"/>
          <w:lang w:val="en-US"/>
        </w:rPr>
      </w:pPr>
      <w:r>
        <w:rPr>
          <w:sz w:val="28"/>
          <w:lang w:val="en-US"/>
        </w:rPr>
        <w:t>Kremen, V. M., 2014,</w:t>
      </w:r>
      <w:r w:rsidR="00715FD4" w:rsidRPr="00715FD4">
        <w:rPr>
          <w:sz w:val="28"/>
          <w:lang w:val="en-US"/>
        </w:rPr>
        <w:t xml:space="preserve"> </w:t>
      </w:r>
      <w:r w:rsidR="00715FD4" w:rsidRPr="00543EEA">
        <w:rPr>
          <w:i/>
          <w:sz w:val="28"/>
          <w:lang w:val="en-US"/>
        </w:rPr>
        <w:t>Financial Statistics</w:t>
      </w:r>
      <w:r>
        <w:rPr>
          <w:i/>
          <w:sz w:val="28"/>
          <w:lang w:val="en-US"/>
        </w:rPr>
        <w:t>,</w:t>
      </w:r>
      <w:r w:rsidR="00715FD4" w:rsidRPr="00715FD4">
        <w:rPr>
          <w:sz w:val="28"/>
          <w:lang w:val="en-US"/>
        </w:rPr>
        <w:t xml:space="preserve"> Ce</w:t>
      </w:r>
      <w:r>
        <w:rPr>
          <w:sz w:val="28"/>
          <w:lang w:val="en-US"/>
        </w:rPr>
        <w:t xml:space="preserve">ntre of educational literature, </w:t>
      </w:r>
      <w:r w:rsidRPr="00715FD4">
        <w:rPr>
          <w:sz w:val="28"/>
          <w:lang w:val="en-US"/>
        </w:rPr>
        <w:t>Kyiv</w:t>
      </w:r>
      <w:r w:rsidRPr="00543EEA">
        <w:rPr>
          <w:sz w:val="28"/>
          <w:lang w:val="en-US"/>
        </w:rPr>
        <w:t xml:space="preserve"> </w:t>
      </w:r>
      <w:r w:rsidR="00715FD4" w:rsidRPr="00543EEA">
        <w:rPr>
          <w:sz w:val="28"/>
          <w:lang w:val="en-US"/>
        </w:rPr>
        <w:t>[</w:t>
      </w:r>
      <w:r w:rsidR="00715FD4" w:rsidRPr="00715FD4">
        <w:rPr>
          <w:sz w:val="28"/>
          <w:lang w:val="ru-RU"/>
        </w:rPr>
        <w:t>Кремень</w:t>
      </w:r>
      <w:r w:rsidR="00715FD4" w:rsidRPr="00543EEA">
        <w:rPr>
          <w:sz w:val="28"/>
          <w:lang w:val="en-US"/>
        </w:rPr>
        <w:t xml:space="preserve"> </w:t>
      </w:r>
      <w:r w:rsidR="00715FD4" w:rsidRPr="00715FD4">
        <w:rPr>
          <w:sz w:val="28"/>
          <w:lang w:val="ru-RU"/>
        </w:rPr>
        <w:t>В</w:t>
      </w:r>
      <w:r w:rsidR="00715FD4" w:rsidRPr="00543EEA">
        <w:rPr>
          <w:sz w:val="28"/>
          <w:lang w:val="en-US"/>
        </w:rPr>
        <w:t xml:space="preserve">. </w:t>
      </w:r>
      <w:r w:rsidR="00715FD4" w:rsidRPr="00715FD4">
        <w:rPr>
          <w:sz w:val="28"/>
          <w:lang w:val="ru-RU"/>
        </w:rPr>
        <w:t>М</w:t>
      </w:r>
      <w:r w:rsidR="00715FD4" w:rsidRPr="00543EEA">
        <w:rPr>
          <w:sz w:val="28"/>
          <w:lang w:val="en-US"/>
        </w:rPr>
        <w:t xml:space="preserve">. </w:t>
      </w:r>
      <w:r w:rsidR="00715FD4" w:rsidRPr="00715FD4">
        <w:rPr>
          <w:sz w:val="28"/>
          <w:lang w:val="ru-RU"/>
        </w:rPr>
        <w:t>Фінансова</w:t>
      </w:r>
      <w:r w:rsidR="00715FD4" w:rsidRPr="00543EEA">
        <w:rPr>
          <w:sz w:val="28"/>
          <w:lang w:val="en-US"/>
        </w:rPr>
        <w:t xml:space="preserve"> </w:t>
      </w:r>
      <w:r w:rsidR="00715FD4" w:rsidRPr="00715FD4">
        <w:rPr>
          <w:sz w:val="28"/>
          <w:lang w:val="ru-RU"/>
        </w:rPr>
        <w:t>статистика</w:t>
      </w:r>
      <w:r w:rsidR="00715FD4" w:rsidRPr="00543EEA">
        <w:rPr>
          <w:sz w:val="28"/>
          <w:lang w:val="en-US"/>
        </w:rPr>
        <w:t xml:space="preserve"> : </w:t>
      </w:r>
      <w:r w:rsidR="00715FD4" w:rsidRPr="00715FD4">
        <w:rPr>
          <w:sz w:val="28"/>
          <w:lang w:val="ru-RU"/>
        </w:rPr>
        <w:t>навч</w:t>
      </w:r>
      <w:r w:rsidR="00715FD4" w:rsidRPr="00543EEA">
        <w:rPr>
          <w:sz w:val="28"/>
          <w:lang w:val="en-US"/>
        </w:rPr>
        <w:t xml:space="preserve">. </w:t>
      </w:r>
      <w:r w:rsidR="00715FD4" w:rsidRPr="00715FD4">
        <w:rPr>
          <w:sz w:val="28"/>
          <w:lang w:val="ru-RU"/>
        </w:rPr>
        <w:t>посіб</w:t>
      </w:r>
      <w:r w:rsidR="00715FD4" w:rsidRPr="00543EEA">
        <w:rPr>
          <w:sz w:val="28"/>
          <w:lang w:val="en-US"/>
        </w:rPr>
        <w:t xml:space="preserve">. / </w:t>
      </w:r>
      <w:r w:rsidR="00715FD4" w:rsidRPr="00715FD4">
        <w:rPr>
          <w:sz w:val="28"/>
          <w:lang w:val="ru-RU"/>
        </w:rPr>
        <w:t>В</w:t>
      </w:r>
      <w:r w:rsidR="00715FD4" w:rsidRPr="00543EEA">
        <w:rPr>
          <w:sz w:val="28"/>
          <w:lang w:val="en-US"/>
        </w:rPr>
        <w:t xml:space="preserve">. </w:t>
      </w:r>
      <w:r w:rsidR="00715FD4" w:rsidRPr="00715FD4">
        <w:rPr>
          <w:sz w:val="28"/>
          <w:lang w:val="ru-RU"/>
        </w:rPr>
        <w:t>М</w:t>
      </w:r>
      <w:r w:rsidR="00715FD4" w:rsidRPr="00543EEA">
        <w:rPr>
          <w:sz w:val="28"/>
          <w:lang w:val="en-US"/>
        </w:rPr>
        <w:t xml:space="preserve">. </w:t>
      </w:r>
      <w:r w:rsidR="00715FD4" w:rsidRPr="00715FD4">
        <w:rPr>
          <w:sz w:val="28"/>
          <w:lang w:val="ru-RU"/>
        </w:rPr>
        <w:t>Кремень</w:t>
      </w:r>
      <w:r w:rsidR="00715FD4" w:rsidRPr="00543EEA">
        <w:rPr>
          <w:sz w:val="28"/>
          <w:lang w:val="en-US"/>
        </w:rPr>
        <w:t xml:space="preserve">, </w:t>
      </w:r>
      <w:r w:rsidR="00715FD4" w:rsidRPr="00715FD4">
        <w:rPr>
          <w:sz w:val="28"/>
          <w:lang w:val="ru-RU"/>
        </w:rPr>
        <w:t>О</w:t>
      </w:r>
      <w:r w:rsidR="00715FD4" w:rsidRPr="00543EEA">
        <w:rPr>
          <w:sz w:val="28"/>
          <w:lang w:val="en-US"/>
        </w:rPr>
        <w:t>.</w:t>
      </w:r>
      <w:r>
        <w:rPr>
          <w:sz w:val="28"/>
          <w:lang w:val="en-US"/>
        </w:rPr>
        <w:t> </w:t>
      </w:r>
      <w:r w:rsidR="00715FD4" w:rsidRPr="00715FD4">
        <w:rPr>
          <w:sz w:val="28"/>
          <w:lang w:val="ru-RU"/>
        </w:rPr>
        <w:t>І</w:t>
      </w:r>
      <w:r w:rsidR="00715FD4" w:rsidRPr="00543EEA">
        <w:rPr>
          <w:sz w:val="28"/>
          <w:lang w:val="en-US"/>
        </w:rPr>
        <w:t>.</w:t>
      </w:r>
      <w:r w:rsidRPr="00543EEA">
        <w:rPr>
          <w:lang w:val="en-US"/>
        </w:rPr>
        <w:t> </w:t>
      </w:r>
      <w:r w:rsidR="00715FD4" w:rsidRPr="00715FD4">
        <w:rPr>
          <w:sz w:val="28"/>
          <w:lang w:val="ru-RU"/>
        </w:rPr>
        <w:t>Кремень</w:t>
      </w:r>
      <w:r w:rsidR="00715FD4" w:rsidRPr="00543EEA">
        <w:rPr>
          <w:sz w:val="28"/>
          <w:lang w:val="en-US"/>
        </w:rPr>
        <w:t xml:space="preserve">. – </w:t>
      </w:r>
      <w:r w:rsidR="00715FD4" w:rsidRPr="00715FD4">
        <w:rPr>
          <w:sz w:val="28"/>
          <w:lang w:val="ru-RU"/>
        </w:rPr>
        <w:t>К</w:t>
      </w:r>
      <w:r>
        <w:rPr>
          <w:sz w:val="28"/>
          <w:lang w:val="en-US"/>
        </w:rPr>
        <w:t xml:space="preserve">. : </w:t>
      </w:r>
      <w:r w:rsidR="00715FD4" w:rsidRPr="00715FD4">
        <w:rPr>
          <w:sz w:val="28"/>
          <w:lang w:val="ru-RU"/>
        </w:rPr>
        <w:t>Центр</w:t>
      </w:r>
      <w:r w:rsidR="00715FD4" w:rsidRPr="00543EEA">
        <w:rPr>
          <w:sz w:val="28"/>
          <w:lang w:val="en-US"/>
        </w:rPr>
        <w:t xml:space="preserve"> </w:t>
      </w:r>
      <w:r w:rsidR="00715FD4" w:rsidRPr="00715FD4">
        <w:rPr>
          <w:sz w:val="28"/>
          <w:lang w:val="ru-RU"/>
        </w:rPr>
        <w:t>учбової</w:t>
      </w:r>
      <w:r w:rsidR="00715FD4" w:rsidRPr="00543EEA">
        <w:rPr>
          <w:sz w:val="28"/>
          <w:lang w:val="en-US"/>
        </w:rPr>
        <w:t xml:space="preserve"> </w:t>
      </w:r>
      <w:r w:rsidR="00715FD4" w:rsidRPr="00715FD4">
        <w:rPr>
          <w:sz w:val="28"/>
          <w:lang w:val="ru-RU"/>
        </w:rPr>
        <w:t>літератури</w:t>
      </w:r>
      <w:r w:rsidR="00715FD4" w:rsidRPr="00543EEA">
        <w:rPr>
          <w:sz w:val="28"/>
          <w:lang w:val="en-US"/>
        </w:rPr>
        <w:t xml:space="preserve">, 2014. – 368 </w:t>
      </w:r>
      <w:r w:rsidR="00715FD4" w:rsidRPr="00715FD4">
        <w:rPr>
          <w:sz w:val="28"/>
          <w:lang w:val="ru-RU"/>
        </w:rPr>
        <w:t>с</w:t>
      </w:r>
      <w:r w:rsidR="00715FD4" w:rsidRPr="00543EEA">
        <w:rPr>
          <w:sz w:val="28"/>
          <w:lang w:val="en-US"/>
        </w:rPr>
        <w:t>].</w:t>
      </w:r>
    </w:p>
    <w:p w14:paraId="3A14AC6A"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Krugman, P., </w:t>
      </w:r>
      <w:r w:rsidR="00543EEA">
        <w:rPr>
          <w:sz w:val="28"/>
          <w:lang w:val="en-US"/>
        </w:rPr>
        <w:t>and Obstfeld, M., 2003,</w:t>
      </w:r>
      <w:r w:rsidRPr="00715FD4">
        <w:rPr>
          <w:sz w:val="28"/>
          <w:lang w:val="en-US"/>
        </w:rPr>
        <w:t xml:space="preserve"> </w:t>
      </w:r>
      <w:r w:rsidRPr="00543EEA">
        <w:rPr>
          <w:i/>
          <w:sz w:val="28"/>
          <w:lang w:val="en-US"/>
        </w:rPr>
        <w:t>International Economics: Theory and Policy</w:t>
      </w:r>
      <w:r w:rsidR="00543EEA">
        <w:rPr>
          <w:sz w:val="28"/>
          <w:lang w:val="en-US"/>
        </w:rPr>
        <w:t>, 6th Edition,</w:t>
      </w:r>
      <w:r w:rsidRPr="00543EEA">
        <w:rPr>
          <w:sz w:val="28"/>
          <w:lang w:val="en-US"/>
        </w:rPr>
        <w:t xml:space="preserve"> Addison Wesley World Student Series.</w:t>
      </w:r>
    </w:p>
    <w:p w14:paraId="46272FCE" w14:textId="77777777" w:rsidR="00715FD4" w:rsidRPr="00543EEA" w:rsidRDefault="00715FD4" w:rsidP="006F749C">
      <w:pPr>
        <w:numPr>
          <w:ilvl w:val="0"/>
          <w:numId w:val="264"/>
        </w:numPr>
        <w:spacing w:line="240" w:lineRule="atLeast"/>
        <w:ind w:hanging="578"/>
        <w:contextualSpacing/>
        <w:jc w:val="both"/>
        <w:rPr>
          <w:i/>
          <w:sz w:val="28"/>
          <w:szCs w:val="28"/>
          <w:lang w:val="en-US"/>
        </w:rPr>
      </w:pPr>
      <w:r w:rsidRPr="00715FD4">
        <w:rPr>
          <w:sz w:val="28"/>
          <w:szCs w:val="28"/>
          <w:lang w:val="en-US"/>
        </w:rPr>
        <w:t xml:space="preserve">Lang, M., Pistone, P., Schuch, J., </w:t>
      </w:r>
      <w:r w:rsidR="00543EEA">
        <w:rPr>
          <w:sz w:val="28"/>
          <w:szCs w:val="28"/>
          <w:lang w:val="en-US"/>
        </w:rPr>
        <w:t>and Staringer, C., 2013,</w:t>
      </w:r>
      <w:r w:rsidRPr="00715FD4">
        <w:rPr>
          <w:sz w:val="28"/>
          <w:szCs w:val="28"/>
          <w:lang w:val="en-US"/>
        </w:rPr>
        <w:t xml:space="preserve"> </w:t>
      </w:r>
      <w:r w:rsidRPr="00543EEA">
        <w:rPr>
          <w:i/>
          <w:sz w:val="28"/>
          <w:szCs w:val="28"/>
          <w:lang w:val="en-US"/>
        </w:rPr>
        <w:t>Introduction to European tax law: direct taxatio</w:t>
      </w:r>
      <w:r w:rsidR="00543EEA">
        <w:rPr>
          <w:i/>
          <w:sz w:val="28"/>
          <w:szCs w:val="28"/>
          <w:lang w:val="en-US"/>
        </w:rPr>
        <w:t>n,</w:t>
      </w:r>
      <w:r w:rsidRPr="00543EEA">
        <w:rPr>
          <w:i/>
          <w:sz w:val="28"/>
          <w:szCs w:val="28"/>
          <w:lang w:val="en-US"/>
        </w:rPr>
        <w:t xml:space="preserve"> </w:t>
      </w:r>
      <w:r w:rsidRPr="00543EEA">
        <w:rPr>
          <w:sz w:val="28"/>
          <w:szCs w:val="28"/>
          <w:lang w:val="en-US"/>
        </w:rPr>
        <w:t>Spiramus Press Ltd.</w:t>
      </w:r>
    </w:p>
    <w:p w14:paraId="6861CEBF" w14:textId="77777777" w:rsidR="00715FD4" w:rsidRPr="00715FD4" w:rsidRDefault="00715FD4" w:rsidP="006F749C">
      <w:pPr>
        <w:numPr>
          <w:ilvl w:val="0"/>
          <w:numId w:val="264"/>
        </w:numPr>
        <w:spacing w:line="240" w:lineRule="atLeast"/>
        <w:ind w:hanging="578"/>
        <w:contextualSpacing/>
        <w:jc w:val="both"/>
        <w:rPr>
          <w:rFonts w:eastAsia="Arial Unicode MS" w:cs="Arial Unicode MS"/>
          <w:sz w:val="28"/>
          <w:bdr w:val="none" w:sz="0" w:space="0" w:color="auto" w:frame="1"/>
          <w:lang w:val="en-US" w:eastAsia="en-US"/>
        </w:rPr>
      </w:pPr>
      <w:r w:rsidRPr="00715FD4">
        <w:rPr>
          <w:color w:val="000000" w:themeColor="text1"/>
          <w:sz w:val="28"/>
          <w:szCs w:val="28"/>
          <w:lang w:val="fr-BE"/>
        </w:rPr>
        <w:t xml:space="preserve">Leveau, D., Gander, P., </w:t>
      </w:r>
      <w:r w:rsidR="00543EEA">
        <w:rPr>
          <w:color w:val="000000" w:themeColor="text1"/>
          <w:sz w:val="28"/>
          <w:szCs w:val="28"/>
          <w:lang w:val="fr-BE"/>
        </w:rPr>
        <w:t>and Orgland, M., 2010,</w:t>
      </w:r>
      <w:r w:rsidRPr="00715FD4">
        <w:rPr>
          <w:color w:val="000000" w:themeColor="text1"/>
          <w:sz w:val="28"/>
          <w:szCs w:val="28"/>
          <w:lang w:val="fr-BE"/>
        </w:rPr>
        <w:t xml:space="preserve"> </w:t>
      </w:r>
      <w:r w:rsidRPr="00715FD4">
        <w:rPr>
          <w:color w:val="000000" w:themeColor="text1"/>
          <w:sz w:val="28"/>
          <w:szCs w:val="28"/>
          <w:lang w:val="en-US"/>
        </w:rPr>
        <w:t>Evolution of Financial Theory. Available at SSRN: http://ssrn.com/abstract=1927124.</w:t>
      </w:r>
      <w:r w:rsidRPr="00715FD4">
        <w:rPr>
          <w:rFonts w:eastAsia="Arial Unicode MS" w:cs="Arial Unicode MS"/>
          <w:sz w:val="28"/>
          <w:bdr w:val="none" w:sz="0" w:space="0" w:color="auto" w:frame="1"/>
          <w:lang w:val="en-US" w:eastAsia="en-US"/>
        </w:rPr>
        <w:t xml:space="preserve"> </w:t>
      </w:r>
    </w:p>
    <w:p w14:paraId="0B455838" w14:textId="77777777" w:rsidR="00715FD4" w:rsidRPr="00715FD4"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en-US"/>
        </w:rPr>
        <w:t xml:space="preserve">Lymer, A., </w:t>
      </w:r>
      <w:r w:rsidR="00F811E1">
        <w:rPr>
          <w:sz w:val="28"/>
          <w:szCs w:val="28"/>
          <w:lang w:val="en-US"/>
        </w:rPr>
        <w:t>and Hasseldine, J., 2002,</w:t>
      </w:r>
      <w:r w:rsidRPr="00715FD4">
        <w:rPr>
          <w:sz w:val="28"/>
          <w:szCs w:val="28"/>
          <w:lang w:val="en-US"/>
        </w:rPr>
        <w:t xml:space="preserve"> Introduction to taxat</w:t>
      </w:r>
      <w:r w:rsidR="00F811E1">
        <w:rPr>
          <w:sz w:val="28"/>
          <w:szCs w:val="28"/>
          <w:lang w:val="en-US"/>
        </w:rPr>
        <w:t>ion in an international context,</w:t>
      </w:r>
      <w:r w:rsidRPr="00715FD4">
        <w:rPr>
          <w:sz w:val="28"/>
          <w:szCs w:val="28"/>
          <w:lang w:val="en-US"/>
        </w:rPr>
        <w:t xml:space="preserve"> </w:t>
      </w:r>
      <w:r w:rsidRPr="00715FD4">
        <w:rPr>
          <w:i/>
          <w:sz w:val="28"/>
          <w:szCs w:val="28"/>
          <w:lang w:val="en-US"/>
        </w:rPr>
        <w:t>The International Taxation System</w:t>
      </w:r>
      <w:r w:rsidRPr="00715FD4">
        <w:rPr>
          <w:sz w:val="28"/>
          <w:szCs w:val="28"/>
          <w:lang w:val="en-US"/>
        </w:rPr>
        <w:t xml:space="preserve">, </w:t>
      </w:r>
      <w:r w:rsidR="00F811E1">
        <w:rPr>
          <w:sz w:val="28"/>
          <w:szCs w:val="28"/>
          <w:lang w:val="en-US"/>
        </w:rPr>
        <w:t xml:space="preserve">pp. </w:t>
      </w:r>
      <w:r w:rsidR="000552CE">
        <w:rPr>
          <w:sz w:val="28"/>
          <w:szCs w:val="28"/>
          <w:lang w:val="en-US"/>
        </w:rPr>
        <w:t>1</w:t>
      </w:r>
      <w:r w:rsidR="000552CE" w:rsidRPr="00543EEA">
        <w:rPr>
          <w:sz w:val="28"/>
          <w:lang w:val="en-US"/>
        </w:rPr>
        <w:t>–</w:t>
      </w:r>
      <w:r w:rsidRPr="00715FD4">
        <w:rPr>
          <w:sz w:val="28"/>
          <w:szCs w:val="28"/>
          <w:lang w:val="en-US"/>
        </w:rPr>
        <w:t xml:space="preserve">17. </w:t>
      </w:r>
    </w:p>
    <w:p w14:paraId="7E562638" w14:textId="77777777" w:rsidR="00715FD4" w:rsidRPr="00F811E1" w:rsidRDefault="00F811E1" w:rsidP="006F749C">
      <w:pPr>
        <w:numPr>
          <w:ilvl w:val="0"/>
          <w:numId w:val="264"/>
        </w:numPr>
        <w:spacing w:line="240" w:lineRule="atLeast"/>
        <w:ind w:hanging="578"/>
        <w:contextualSpacing/>
        <w:jc w:val="both"/>
        <w:rPr>
          <w:sz w:val="28"/>
          <w:lang w:val="en-US"/>
        </w:rPr>
      </w:pPr>
      <w:r>
        <w:rPr>
          <w:sz w:val="28"/>
          <w:lang w:val="fr-BE"/>
        </w:rPr>
        <w:t>Madura, J., 2007,</w:t>
      </w:r>
      <w:r w:rsidR="00715FD4" w:rsidRPr="00715FD4">
        <w:rPr>
          <w:sz w:val="28"/>
          <w:lang w:val="fr-BE"/>
        </w:rPr>
        <w:t xml:space="preserve"> </w:t>
      </w:r>
      <w:r w:rsidR="00715FD4" w:rsidRPr="00F811E1">
        <w:rPr>
          <w:i/>
          <w:sz w:val="28"/>
          <w:lang w:val="fr-BE"/>
        </w:rPr>
        <w:t>Int</w:t>
      </w:r>
      <w:r>
        <w:rPr>
          <w:i/>
          <w:sz w:val="28"/>
          <w:lang w:val="fr-BE"/>
        </w:rPr>
        <w:t>ernational Financial Management,</w:t>
      </w:r>
      <w:r w:rsidR="00715FD4" w:rsidRPr="00F811E1">
        <w:rPr>
          <w:i/>
          <w:sz w:val="28"/>
          <w:lang w:val="fr-BE"/>
        </w:rPr>
        <w:t xml:space="preserve"> </w:t>
      </w:r>
      <w:r>
        <w:rPr>
          <w:sz w:val="28"/>
          <w:lang w:val="en-US"/>
        </w:rPr>
        <w:t xml:space="preserve">Abridged 8th Edition, </w:t>
      </w:r>
      <w:r w:rsidR="00715FD4" w:rsidRPr="00F811E1">
        <w:rPr>
          <w:sz w:val="28"/>
          <w:lang w:val="en-US"/>
        </w:rPr>
        <w:t>Mason, OH: Thomson South</w:t>
      </w:r>
      <w:r w:rsidR="00E66974" w:rsidRPr="00F811E1">
        <w:rPr>
          <w:sz w:val="28"/>
          <w:lang w:val="en-US"/>
        </w:rPr>
        <w:t>–</w:t>
      </w:r>
      <w:r w:rsidR="00715FD4" w:rsidRPr="00F811E1">
        <w:rPr>
          <w:sz w:val="28"/>
          <w:lang w:val="en-US"/>
        </w:rPr>
        <w:t>Western.</w:t>
      </w:r>
    </w:p>
    <w:p w14:paraId="4A05364B" w14:textId="77777777" w:rsidR="00715FD4" w:rsidRPr="00715FD4" w:rsidRDefault="00F811E1" w:rsidP="006F749C">
      <w:pPr>
        <w:numPr>
          <w:ilvl w:val="0"/>
          <w:numId w:val="264"/>
        </w:numPr>
        <w:spacing w:line="240" w:lineRule="atLeast"/>
        <w:ind w:hanging="578"/>
        <w:contextualSpacing/>
        <w:jc w:val="both"/>
        <w:rPr>
          <w:rFonts w:eastAsia="Garamond"/>
          <w:sz w:val="28"/>
          <w:szCs w:val="28"/>
          <w:bdr w:val="none" w:sz="0" w:space="0" w:color="auto" w:frame="1"/>
          <w:lang w:val="en-US"/>
        </w:rPr>
      </w:pPr>
      <w:r>
        <w:rPr>
          <w:rFonts w:eastAsia="Calibri" w:cs="Calibri"/>
          <w:sz w:val="28"/>
          <w:szCs w:val="28"/>
          <w:bdr w:val="none" w:sz="0" w:space="0" w:color="auto" w:frame="1"/>
          <w:lang w:val="en-US"/>
        </w:rPr>
        <w:t>Madura, J., 2014,</w:t>
      </w:r>
      <w:r w:rsidR="00715FD4" w:rsidRPr="00715FD4">
        <w:rPr>
          <w:rFonts w:eastAsia="Calibri" w:cs="Calibri"/>
          <w:sz w:val="28"/>
          <w:szCs w:val="28"/>
          <w:bdr w:val="none" w:sz="0" w:space="0" w:color="auto" w:frame="1"/>
          <w:lang w:val="en-US"/>
        </w:rPr>
        <w:t xml:space="preserve"> </w:t>
      </w:r>
      <w:r w:rsidR="00715FD4" w:rsidRPr="00F811E1">
        <w:rPr>
          <w:rFonts w:eastAsia="Calibri" w:cs="Calibri"/>
          <w:i/>
          <w:sz w:val="28"/>
          <w:szCs w:val="28"/>
          <w:bdr w:val="none" w:sz="0" w:space="0" w:color="auto" w:frame="1"/>
          <w:lang w:val="en-US"/>
        </w:rPr>
        <w:t>Fin</w:t>
      </w:r>
      <w:r>
        <w:rPr>
          <w:rFonts w:eastAsia="Calibri" w:cs="Calibri"/>
          <w:i/>
          <w:sz w:val="28"/>
          <w:szCs w:val="28"/>
          <w:bdr w:val="none" w:sz="0" w:space="0" w:color="auto" w:frame="1"/>
          <w:lang w:val="en-US"/>
        </w:rPr>
        <w:t>ancial markets and institutions,</w:t>
      </w:r>
      <w:r w:rsidR="00715FD4" w:rsidRPr="00F811E1">
        <w:rPr>
          <w:rFonts w:eastAsia="Calibri" w:cs="Calibri"/>
          <w:i/>
          <w:sz w:val="28"/>
          <w:szCs w:val="28"/>
          <w:bdr w:val="none" w:sz="0" w:space="0" w:color="auto" w:frame="1"/>
          <w:lang w:val="en-US"/>
        </w:rPr>
        <w:t xml:space="preserve"> </w:t>
      </w:r>
      <w:r w:rsidR="00715FD4" w:rsidRPr="00F811E1">
        <w:rPr>
          <w:rFonts w:eastAsia="Calibri" w:cs="Calibri"/>
          <w:sz w:val="28"/>
          <w:szCs w:val="28"/>
          <w:bdr w:val="none" w:sz="0" w:space="0" w:color="auto" w:frame="1"/>
          <w:lang w:val="en-US"/>
        </w:rPr>
        <w:t>Cengage learning.</w:t>
      </w:r>
    </w:p>
    <w:p w14:paraId="4500B024" w14:textId="77777777" w:rsidR="00715FD4" w:rsidRPr="00F811E1" w:rsidRDefault="00715FD4" w:rsidP="006F749C">
      <w:pPr>
        <w:numPr>
          <w:ilvl w:val="0"/>
          <w:numId w:val="264"/>
        </w:numPr>
        <w:spacing w:line="240" w:lineRule="atLeast"/>
        <w:ind w:hanging="578"/>
        <w:contextualSpacing/>
        <w:jc w:val="both"/>
        <w:rPr>
          <w:sz w:val="28"/>
          <w:lang w:val="ru-RU"/>
        </w:rPr>
      </w:pPr>
      <w:r w:rsidRPr="00715FD4">
        <w:rPr>
          <w:sz w:val="28"/>
          <w:lang w:val="en-US"/>
        </w:rPr>
        <w:t>Makarenko, M. I., Homutenko, L. I., D’yakonova I. I.</w:t>
      </w:r>
      <w:r w:rsidR="00F811E1">
        <w:rPr>
          <w:sz w:val="28"/>
          <w:lang w:val="en-US"/>
        </w:rPr>
        <w:t>, and others, 2014,</w:t>
      </w:r>
      <w:r w:rsidRPr="00715FD4">
        <w:rPr>
          <w:sz w:val="28"/>
          <w:lang w:val="en-US"/>
        </w:rPr>
        <w:t xml:space="preserve">  </w:t>
      </w:r>
      <w:r w:rsidRPr="00F811E1">
        <w:rPr>
          <w:i/>
          <w:sz w:val="28"/>
          <w:lang w:val="en-US"/>
        </w:rPr>
        <w:t>European Inteagration</w:t>
      </w:r>
      <w:r w:rsidR="00F811E1">
        <w:rPr>
          <w:sz w:val="28"/>
          <w:lang w:val="en-US"/>
        </w:rPr>
        <w:t>,</w:t>
      </w:r>
      <w:r w:rsidRPr="00715FD4">
        <w:rPr>
          <w:sz w:val="28"/>
          <w:lang w:val="en-US"/>
        </w:rPr>
        <w:t xml:space="preserve"> Centre of educational literature</w:t>
      </w:r>
      <w:r w:rsidR="00F811E1">
        <w:rPr>
          <w:sz w:val="28"/>
          <w:lang w:val="en-US"/>
        </w:rPr>
        <w:t>,</w:t>
      </w:r>
      <w:r w:rsidR="00F811E1" w:rsidRPr="00F811E1">
        <w:rPr>
          <w:sz w:val="28"/>
          <w:lang w:val="en-US"/>
        </w:rPr>
        <w:t xml:space="preserve"> </w:t>
      </w:r>
      <w:r w:rsidR="00F811E1" w:rsidRPr="00715FD4">
        <w:rPr>
          <w:sz w:val="28"/>
          <w:lang w:val="en-US"/>
        </w:rPr>
        <w:t>Kyiv</w:t>
      </w:r>
      <w:r w:rsidRPr="00715FD4">
        <w:rPr>
          <w:sz w:val="28"/>
          <w:lang w:val="en-US"/>
        </w:rPr>
        <w:t xml:space="preserve"> [Європейська інтеграція </w:t>
      </w:r>
      <w:r w:rsidR="00F811E1">
        <w:rPr>
          <w:sz w:val="28"/>
          <w:lang w:val="en-US"/>
        </w:rPr>
        <w:t xml:space="preserve">: </w:t>
      </w:r>
      <w:r w:rsidRPr="00715FD4">
        <w:rPr>
          <w:sz w:val="28"/>
          <w:lang w:val="en-US"/>
        </w:rPr>
        <w:t>навч. посіб. /</w:t>
      </w:r>
      <w:r w:rsidRPr="00715FD4">
        <w:rPr>
          <w:sz w:val="28"/>
          <w:lang w:val="ru-RU"/>
        </w:rPr>
        <w:t>М</w:t>
      </w:r>
      <w:r w:rsidRPr="00F811E1">
        <w:rPr>
          <w:sz w:val="28"/>
          <w:lang w:val="en-US"/>
        </w:rPr>
        <w:t xml:space="preserve">. </w:t>
      </w:r>
      <w:r w:rsidRPr="00715FD4">
        <w:rPr>
          <w:sz w:val="28"/>
          <w:lang w:val="ru-RU"/>
        </w:rPr>
        <w:t>І</w:t>
      </w:r>
      <w:r w:rsidRPr="00F811E1">
        <w:rPr>
          <w:sz w:val="28"/>
          <w:lang w:val="en-US"/>
        </w:rPr>
        <w:t xml:space="preserve">. </w:t>
      </w:r>
      <w:r w:rsidRPr="00715FD4">
        <w:rPr>
          <w:sz w:val="28"/>
          <w:lang w:val="ru-RU"/>
        </w:rPr>
        <w:t>Макаренко</w:t>
      </w:r>
      <w:r w:rsidRPr="00F811E1">
        <w:rPr>
          <w:sz w:val="28"/>
          <w:lang w:val="en-US"/>
        </w:rPr>
        <w:t xml:space="preserve">, </w:t>
      </w:r>
      <w:r w:rsidRPr="00715FD4">
        <w:rPr>
          <w:sz w:val="28"/>
          <w:lang w:val="ru-RU"/>
        </w:rPr>
        <w:t>Л</w:t>
      </w:r>
      <w:r w:rsidRPr="00F811E1">
        <w:rPr>
          <w:sz w:val="28"/>
          <w:lang w:val="en-US"/>
        </w:rPr>
        <w:t xml:space="preserve">. </w:t>
      </w:r>
      <w:r w:rsidRPr="00715FD4">
        <w:rPr>
          <w:sz w:val="28"/>
          <w:lang w:val="ru-RU"/>
        </w:rPr>
        <w:t>І</w:t>
      </w:r>
      <w:r w:rsidRPr="00F811E1">
        <w:rPr>
          <w:sz w:val="28"/>
          <w:lang w:val="en-US"/>
        </w:rPr>
        <w:t xml:space="preserve">. </w:t>
      </w:r>
      <w:r w:rsidRPr="00715FD4">
        <w:rPr>
          <w:sz w:val="28"/>
          <w:lang w:val="ru-RU"/>
        </w:rPr>
        <w:t>Хомутенко</w:t>
      </w:r>
      <w:r w:rsidRPr="00F811E1">
        <w:rPr>
          <w:sz w:val="28"/>
          <w:lang w:val="en-US"/>
        </w:rPr>
        <w:t xml:space="preserve">, </w:t>
      </w:r>
      <w:r w:rsidRPr="00715FD4">
        <w:rPr>
          <w:sz w:val="28"/>
          <w:lang w:val="ru-RU"/>
        </w:rPr>
        <w:t>І</w:t>
      </w:r>
      <w:r w:rsidRPr="00F811E1">
        <w:rPr>
          <w:sz w:val="28"/>
          <w:lang w:val="en-US"/>
        </w:rPr>
        <w:t xml:space="preserve">. </w:t>
      </w:r>
      <w:r w:rsidRPr="00715FD4">
        <w:rPr>
          <w:sz w:val="28"/>
          <w:lang w:val="ru-RU"/>
        </w:rPr>
        <w:t>І</w:t>
      </w:r>
      <w:r w:rsidRPr="00F811E1">
        <w:rPr>
          <w:sz w:val="28"/>
          <w:lang w:val="en-US"/>
        </w:rPr>
        <w:t xml:space="preserve">. </w:t>
      </w:r>
      <w:r w:rsidRPr="00715FD4">
        <w:rPr>
          <w:sz w:val="28"/>
          <w:lang w:val="ru-RU"/>
        </w:rPr>
        <w:t>Д</w:t>
      </w:r>
      <w:r w:rsidRPr="00F811E1">
        <w:rPr>
          <w:sz w:val="28"/>
          <w:lang w:val="en-US"/>
        </w:rPr>
        <w:t>’</w:t>
      </w:r>
      <w:r w:rsidRPr="00715FD4">
        <w:rPr>
          <w:sz w:val="28"/>
          <w:lang w:val="ru-RU"/>
        </w:rPr>
        <w:t>яконова</w:t>
      </w:r>
      <w:r w:rsidRPr="00F811E1">
        <w:rPr>
          <w:sz w:val="28"/>
          <w:lang w:val="en-US"/>
        </w:rPr>
        <w:t xml:space="preserve"> </w:t>
      </w:r>
      <w:r w:rsidRPr="00715FD4">
        <w:rPr>
          <w:sz w:val="28"/>
          <w:lang w:val="ru-RU"/>
        </w:rPr>
        <w:t>та</w:t>
      </w:r>
      <w:r w:rsidRPr="00F811E1">
        <w:rPr>
          <w:sz w:val="28"/>
          <w:lang w:val="en-US"/>
        </w:rPr>
        <w:t xml:space="preserve"> </w:t>
      </w:r>
      <w:r w:rsidRPr="00715FD4">
        <w:rPr>
          <w:sz w:val="28"/>
          <w:lang w:val="ru-RU"/>
        </w:rPr>
        <w:t>ін</w:t>
      </w:r>
      <w:r w:rsidR="00F811E1">
        <w:rPr>
          <w:sz w:val="28"/>
          <w:lang w:val="en-US"/>
        </w:rPr>
        <w:t xml:space="preserve">.; </w:t>
      </w:r>
      <w:r w:rsidR="00F811E1" w:rsidRPr="00715FD4">
        <w:rPr>
          <w:sz w:val="28"/>
          <w:lang w:val="en-US"/>
        </w:rPr>
        <w:t xml:space="preserve">за ред. </w:t>
      </w:r>
      <w:r w:rsidR="00F811E1" w:rsidRPr="00715FD4">
        <w:rPr>
          <w:sz w:val="28"/>
          <w:lang w:val="ru-RU"/>
        </w:rPr>
        <w:t>М. І. Макаренка, Л. І. Хомутенко</w:t>
      </w:r>
      <w:r w:rsidR="00F811E1" w:rsidRPr="00F811E1">
        <w:rPr>
          <w:sz w:val="28"/>
          <w:lang w:val="ru-RU"/>
        </w:rPr>
        <w:t>.</w:t>
      </w:r>
      <w:r w:rsidRPr="00F811E1">
        <w:rPr>
          <w:sz w:val="28"/>
          <w:lang w:val="ru-RU"/>
        </w:rPr>
        <w:t xml:space="preserve"> – </w:t>
      </w:r>
      <w:r w:rsidRPr="00715FD4">
        <w:rPr>
          <w:sz w:val="28"/>
          <w:lang w:val="ru-RU"/>
        </w:rPr>
        <w:t>К</w:t>
      </w:r>
      <w:r w:rsidR="00F811E1">
        <w:rPr>
          <w:sz w:val="28"/>
          <w:lang w:val="ru-RU"/>
        </w:rPr>
        <w:t xml:space="preserve">. : </w:t>
      </w:r>
      <w:r w:rsidRPr="00715FD4">
        <w:rPr>
          <w:sz w:val="28"/>
          <w:lang w:val="ru-RU"/>
        </w:rPr>
        <w:t>Центр</w:t>
      </w:r>
      <w:r w:rsidRPr="00F811E1">
        <w:rPr>
          <w:sz w:val="28"/>
          <w:lang w:val="ru-RU"/>
        </w:rPr>
        <w:t xml:space="preserve"> </w:t>
      </w:r>
      <w:r w:rsidRPr="00715FD4">
        <w:rPr>
          <w:sz w:val="28"/>
          <w:lang w:val="ru-RU"/>
        </w:rPr>
        <w:t>учбової</w:t>
      </w:r>
      <w:r w:rsidRPr="00F811E1">
        <w:rPr>
          <w:sz w:val="28"/>
          <w:lang w:val="ru-RU"/>
        </w:rPr>
        <w:t xml:space="preserve"> </w:t>
      </w:r>
      <w:r w:rsidRPr="00715FD4">
        <w:rPr>
          <w:sz w:val="28"/>
          <w:lang w:val="ru-RU"/>
        </w:rPr>
        <w:t>літератури</w:t>
      </w:r>
      <w:r w:rsidRPr="00F811E1">
        <w:rPr>
          <w:sz w:val="28"/>
          <w:lang w:val="ru-RU"/>
        </w:rPr>
        <w:t xml:space="preserve">, 2014. – 344 </w:t>
      </w:r>
      <w:r w:rsidRPr="00715FD4">
        <w:rPr>
          <w:sz w:val="28"/>
          <w:lang w:val="ru-RU"/>
        </w:rPr>
        <w:t>с</w:t>
      </w:r>
      <w:r w:rsidR="00F811E1" w:rsidRPr="00F811E1">
        <w:rPr>
          <w:sz w:val="28"/>
          <w:lang w:val="ru-RU"/>
        </w:rPr>
        <w:t>.</w:t>
      </w:r>
    </w:p>
    <w:p w14:paraId="46722733"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Markiewicz, M., Gorski, U., </w:t>
      </w:r>
      <w:r w:rsidR="00E66974">
        <w:rPr>
          <w:sz w:val="28"/>
          <w:lang w:val="en-US"/>
        </w:rPr>
        <w:t>and</w:t>
      </w:r>
      <w:r w:rsidR="00F811E1">
        <w:rPr>
          <w:sz w:val="28"/>
          <w:lang w:val="en-US"/>
        </w:rPr>
        <w:t xml:space="preserve"> Dekhtiarchuk, M., 2009,</w:t>
      </w:r>
      <w:r w:rsidRPr="00715FD4">
        <w:rPr>
          <w:sz w:val="28"/>
          <w:lang w:val="en-US"/>
        </w:rPr>
        <w:t xml:space="preserve"> </w:t>
      </w:r>
      <w:r w:rsidRPr="00F811E1">
        <w:rPr>
          <w:i/>
          <w:sz w:val="28"/>
          <w:lang w:val="en-US"/>
        </w:rPr>
        <w:t>Monetary policy in Ukraine in 1996</w:t>
      </w:r>
      <w:r w:rsidR="00E66974" w:rsidRPr="00F811E1">
        <w:rPr>
          <w:i/>
          <w:sz w:val="28"/>
          <w:lang w:val="en-US"/>
        </w:rPr>
        <w:t>–</w:t>
      </w:r>
      <w:r w:rsidRPr="00F811E1">
        <w:rPr>
          <w:i/>
          <w:sz w:val="28"/>
          <w:lang w:val="en-US"/>
        </w:rPr>
        <w:t>1999</w:t>
      </w:r>
      <w:r w:rsidR="00F811E1">
        <w:rPr>
          <w:sz w:val="28"/>
          <w:lang w:val="en-US"/>
        </w:rPr>
        <w:t>,</w:t>
      </w:r>
      <w:r w:rsidRPr="00715FD4">
        <w:rPr>
          <w:sz w:val="28"/>
          <w:lang w:val="en-US"/>
        </w:rPr>
        <w:t xml:space="preserve"> </w:t>
      </w:r>
      <w:r w:rsidRPr="00F811E1">
        <w:rPr>
          <w:sz w:val="28"/>
          <w:lang w:val="en-US"/>
        </w:rPr>
        <w:t>CASE Network Studies and Analyses.</w:t>
      </w:r>
    </w:p>
    <w:p w14:paraId="2456AC5E" w14:textId="77777777" w:rsidR="00715FD4" w:rsidRPr="00F811E1" w:rsidRDefault="00715FD4" w:rsidP="006F749C">
      <w:pPr>
        <w:numPr>
          <w:ilvl w:val="0"/>
          <w:numId w:val="264"/>
        </w:numPr>
        <w:spacing w:line="240" w:lineRule="atLeast"/>
        <w:ind w:hanging="578"/>
        <w:contextualSpacing/>
        <w:jc w:val="both"/>
        <w:rPr>
          <w:rFonts w:eastAsia="Garamond"/>
          <w:sz w:val="28"/>
          <w:bdr w:val="none" w:sz="0" w:space="0" w:color="auto" w:frame="1"/>
          <w:lang w:val="en-US" w:eastAsia="en-US"/>
        </w:rPr>
      </w:pPr>
      <w:r w:rsidRPr="00715FD4">
        <w:rPr>
          <w:rFonts w:eastAsia="Arial Unicode MS" w:cs="Arial Unicode MS"/>
          <w:sz w:val="28"/>
          <w:bdr w:val="none" w:sz="0" w:space="0" w:color="auto" w:frame="1"/>
          <w:lang w:val="en-US" w:eastAsia="en-US"/>
        </w:rPr>
        <w:t xml:space="preserve">Martin, J., Cox, S., </w:t>
      </w:r>
      <w:r w:rsidR="00F811E1">
        <w:rPr>
          <w:rFonts w:eastAsia="Arial Unicode MS" w:cs="Arial Unicode MS"/>
          <w:sz w:val="28"/>
          <w:bdr w:val="none" w:sz="0" w:space="0" w:color="auto" w:frame="1"/>
          <w:lang w:val="en-US" w:eastAsia="en-US"/>
        </w:rPr>
        <w:t>and MacMinn, R., 1988,</w:t>
      </w:r>
      <w:r w:rsidRPr="00715FD4">
        <w:rPr>
          <w:rFonts w:eastAsia="Arial Unicode MS" w:cs="Arial Unicode MS"/>
          <w:sz w:val="28"/>
          <w:bdr w:val="none" w:sz="0" w:space="0" w:color="auto" w:frame="1"/>
          <w:lang w:val="en-US" w:eastAsia="en-US"/>
        </w:rPr>
        <w:t xml:space="preserve"> </w:t>
      </w:r>
      <w:r w:rsidRPr="00F811E1">
        <w:rPr>
          <w:rFonts w:eastAsia="Arial Unicode MS" w:cs="Arial Unicode MS"/>
          <w:i/>
          <w:sz w:val="28"/>
          <w:bdr w:val="none" w:sz="0" w:space="0" w:color="auto" w:frame="1"/>
          <w:lang w:val="en-US" w:eastAsia="en-US"/>
        </w:rPr>
        <w:t>The Theory of Finance</w:t>
      </w:r>
      <w:r w:rsidR="00F811E1">
        <w:rPr>
          <w:rFonts w:eastAsia="Arial Unicode MS" w:cs="Arial Unicode MS"/>
          <w:i/>
          <w:sz w:val="28"/>
          <w:bdr w:val="none" w:sz="0" w:space="0" w:color="auto" w:frame="1"/>
          <w:lang w:val="en-US" w:eastAsia="en-US"/>
        </w:rPr>
        <w:t>,</w:t>
      </w:r>
      <w:r w:rsidR="00F811E1">
        <w:rPr>
          <w:rFonts w:eastAsia="Arial Unicode MS" w:cs="Arial Unicode MS"/>
          <w:sz w:val="28"/>
          <w:bdr w:val="none" w:sz="0" w:space="0" w:color="auto" w:frame="1"/>
          <w:lang w:val="en-US" w:eastAsia="en-US"/>
        </w:rPr>
        <w:t xml:space="preserve"> </w:t>
      </w:r>
      <w:r w:rsidRPr="00F811E1">
        <w:rPr>
          <w:rFonts w:eastAsia="Arial Unicode MS" w:cs="Arial Unicode MS"/>
          <w:iCs/>
          <w:sz w:val="28"/>
          <w:bdr w:val="none" w:sz="0" w:space="0" w:color="auto" w:frame="1"/>
          <w:lang w:val="en-US" w:eastAsia="en-US"/>
        </w:rPr>
        <w:t>Dryden Press</w:t>
      </w:r>
      <w:r w:rsidR="00F811E1">
        <w:rPr>
          <w:rFonts w:eastAsia="Arial Unicode MS" w:cs="Arial Unicode MS"/>
          <w:iCs/>
          <w:sz w:val="28"/>
          <w:bdr w:val="none" w:sz="0" w:space="0" w:color="auto" w:frame="1"/>
          <w:lang w:val="en-US" w:eastAsia="en-US"/>
        </w:rPr>
        <w:t>,</w:t>
      </w:r>
      <w:r w:rsidR="00F811E1" w:rsidRPr="00F811E1">
        <w:rPr>
          <w:rFonts w:eastAsia="Arial Unicode MS" w:cs="Arial Unicode MS"/>
          <w:sz w:val="28"/>
          <w:bdr w:val="none" w:sz="0" w:space="0" w:color="auto" w:frame="1"/>
          <w:lang w:val="en-US" w:eastAsia="en-US"/>
        </w:rPr>
        <w:t xml:space="preserve"> New York</w:t>
      </w:r>
      <w:r w:rsidR="00F811E1">
        <w:rPr>
          <w:rFonts w:eastAsia="Arial Unicode MS" w:cs="Arial Unicode MS"/>
          <w:sz w:val="28"/>
          <w:bdr w:val="none" w:sz="0" w:space="0" w:color="auto" w:frame="1"/>
          <w:lang w:val="en-US" w:eastAsia="en-US"/>
        </w:rPr>
        <w:t>.</w:t>
      </w:r>
    </w:p>
    <w:p w14:paraId="2C1F47A6"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Mayer, C.</w:t>
      </w:r>
      <w:r w:rsidR="00F811E1">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 xml:space="preserve"> </w:t>
      </w:r>
      <w:r w:rsidR="00F811E1">
        <w:rPr>
          <w:rFonts w:eastAsia="Calibri" w:cs="Calibri"/>
          <w:sz w:val="28"/>
          <w:szCs w:val="28"/>
          <w:bdr w:val="none" w:sz="0" w:space="0" w:color="auto" w:frame="1"/>
          <w:lang w:val="en-US"/>
        </w:rPr>
        <w:t>1988,</w:t>
      </w:r>
      <w:r w:rsidRPr="00715FD4">
        <w:rPr>
          <w:rFonts w:eastAsia="Calibri" w:cs="Calibri"/>
          <w:sz w:val="28"/>
          <w:szCs w:val="28"/>
          <w:bdr w:val="none" w:sz="0" w:space="0" w:color="auto" w:frame="1"/>
          <w:lang w:val="en-US"/>
        </w:rPr>
        <w:t xml:space="preserve"> </w:t>
      </w:r>
      <w:r w:rsidR="00F811E1">
        <w:rPr>
          <w:rFonts w:eastAsia="Calibri" w:cs="Calibri"/>
          <w:sz w:val="28"/>
          <w:szCs w:val="28"/>
          <w:bdr w:val="none" w:sz="0" w:space="0" w:color="auto" w:frame="1"/>
          <w:lang w:val="en-US"/>
        </w:rPr>
        <w:t>New issues in corporate finance,</w:t>
      </w:r>
      <w:r w:rsidRPr="00715FD4">
        <w:rPr>
          <w:rFonts w:eastAsia="Calibri" w:cs="Calibri"/>
          <w:sz w:val="28"/>
          <w:szCs w:val="28"/>
          <w:bdr w:val="none" w:sz="0" w:space="0" w:color="auto" w:frame="1"/>
          <w:lang w:val="en-US"/>
        </w:rPr>
        <w:t xml:space="preserve"> </w:t>
      </w:r>
      <w:r w:rsidRPr="00715FD4">
        <w:rPr>
          <w:rFonts w:eastAsia="Calibri" w:cs="Calibri"/>
          <w:i/>
          <w:iCs/>
          <w:sz w:val="28"/>
          <w:szCs w:val="28"/>
          <w:bdr w:val="none" w:sz="0" w:space="0" w:color="auto" w:frame="1"/>
          <w:lang w:val="en-US"/>
        </w:rPr>
        <w:t>European Economic Review</w:t>
      </w:r>
      <w:r w:rsidRPr="00715FD4">
        <w:rPr>
          <w:rFonts w:eastAsia="Calibri" w:cs="Calibri"/>
          <w:sz w:val="28"/>
          <w:szCs w:val="28"/>
          <w:bdr w:val="none" w:sz="0" w:space="0" w:color="auto" w:frame="1"/>
          <w:lang w:val="en-US"/>
        </w:rPr>
        <w:t xml:space="preserve">, 32(5), </w:t>
      </w:r>
      <w:r w:rsidR="00F811E1">
        <w:rPr>
          <w:rFonts w:eastAsia="Calibri" w:cs="Calibri"/>
          <w:sz w:val="28"/>
          <w:szCs w:val="28"/>
          <w:bdr w:val="none" w:sz="0" w:space="0" w:color="auto" w:frame="1"/>
          <w:lang w:val="en-US"/>
        </w:rPr>
        <w:t xml:space="preserve">pp. </w:t>
      </w:r>
      <w:r w:rsidRPr="00715FD4">
        <w:rPr>
          <w:rFonts w:eastAsia="Calibri" w:cs="Calibri"/>
          <w:sz w:val="28"/>
          <w:szCs w:val="28"/>
          <w:bdr w:val="none" w:sz="0" w:space="0" w:color="auto" w:frame="1"/>
          <w:lang w:val="en-US"/>
        </w:rPr>
        <w:t>1167</w:t>
      </w:r>
      <w:r w:rsidR="00E66974">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1183.</w:t>
      </w:r>
    </w:p>
    <w:p w14:paraId="470C794E" w14:textId="77777777" w:rsidR="00715FD4" w:rsidRPr="00F811E1" w:rsidRDefault="00F811E1" w:rsidP="006F749C">
      <w:pPr>
        <w:numPr>
          <w:ilvl w:val="0"/>
          <w:numId w:val="264"/>
        </w:numPr>
        <w:spacing w:line="240" w:lineRule="atLeast"/>
        <w:ind w:hanging="578"/>
        <w:contextualSpacing/>
        <w:jc w:val="both"/>
        <w:rPr>
          <w:sz w:val="28"/>
          <w:szCs w:val="28"/>
          <w:lang w:val="en-US"/>
        </w:rPr>
      </w:pPr>
      <w:r>
        <w:rPr>
          <w:sz w:val="28"/>
          <w:szCs w:val="28"/>
          <w:lang w:val="en-US"/>
        </w:rPr>
        <w:t>McGee, R. W., 2008,</w:t>
      </w:r>
      <w:r w:rsidR="00715FD4" w:rsidRPr="00715FD4">
        <w:rPr>
          <w:sz w:val="28"/>
          <w:szCs w:val="28"/>
          <w:lang w:val="en-US"/>
        </w:rPr>
        <w:t xml:space="preserve"> </w:t>
      </w:r>
      <w:r w:rsidR="00715FD4" w:rsidRPr="00F811E1">
        <w:rPr>
          <w:i/>
          <w:sz w:val="28"/>
          <w:szCs w:val="28"/>
          <w:lang w:val="en-US"/>
        </w:rPr>
        <w:t>Taxation and public finance in tran</w:t>
      </w:r>
      <w:r>
        <w:rPr>
          <w:i/>
          <w:sz w:val="28"/>
          <w:szCs w:val="28"/>
          <w:lang w:val="en-US"/>
        </w:rPr>
        <w:t>sition and developing economies,</w:t>
      </w:r>
      <w:r w:rsidR="00715FD4" w:rsidRPr="00F811E1">
        <w:rPr>
          <w:i/>
          <w:sz w:val="28"/>
          <w:szCs w:val="28"/>
          <w:lang w:val="en-US"/>
        </w:rPr>
        <w:t xml:space="preserve"> </w:t>
      </w:r>
      <w:r w:rsidR="00715FD4" w:rsidRPr="00F811E1">
        <w:rPr>
          <w:sz w:val="28"/>
          <w:szCs w:val="28"/>
          <w:lang w:val="en-US"/>
        </w:rPr>
        <w:t xml:space="preserve">Springer Science </w:t>
      </w:r>
      <w:r w:rsidR="00E66974" w:rsidRPr="00F811E1">
        <w:rPr>
          <w:sz w:val="28"/>
          <w:szCs w:val="28"/>
          <w:lang w:val="en-US"/>
        </w:rPr>
        <w:t>and</w:t>
      </w:r>
      <w:r w:rsidR="00715FD4" w:rsidRPr="00F811E1">
        <w:rPr>
          <w:sz w:val="28"/>
          <w:szCs w:val="28"/>
          <w:lang w:val="en-US"/>
        </w:rPr>
        <w:t xml:space="preserve"> Business Media. </w:t>
      </w:r>
    </w:p>
    <w:p w14:paraId="4496828C" w14:textId="77777777" w:rsidR="00715FD4" w:rsidRPr="00715FD4" w:rsidRDefault="00F811E1" w:rsidP="006F749C">
      <w:pPr>
        <w:numPr>
          <w:ilvl w:val="0"/>
          <w:numId w:val="264"/>
        </w:numPr>
        <w:spacing w:line="240" w:lineRule="atLeast"/>
        <w:ind w:hanging="578"/>
        <w:contextualSpacing/>
        <w:jc w:val="both"/>
        <w:rPr>
          <w:rFonts w:eastAsia="Garamond"/>
          <w:sz w:val="28"/>
          <w:bdr w:val="none" w:sz="0" w:space="0" w:color="auto" w:frame="1"/>
          <w:lang w:val="en-US" w:eastAsia="en-US"/>
        </w:rPr>
      </w:pPr>
      <w:r>
        <w:rPr>
          <w:rFonts w:eastAsia="Arial Unicode MS" w:cs="Arial Unicode MS"/>
          <w:sz w:val="28"/>
          <w:bdr w:val="none" w:sz="0" w:space="0" w:color="auto" w:frame="1"/>
          <w:lang w:val="en-US" w:eastAsia="en-US"/>
        </w:rPr>
        <w:t>Miller, M. H., 1998,</w:t>
      </w:r>
      <w:r w:rsidR="00715FD4" w:rsidRPr="00715FD4">
        <w:rPr>
          <w:rFonts w:eastAsia="Arial Unicode MS" w:cs="Arial Unicode MS"/>
          <w:sz w:val="28"/>
          <w:bdr w:val="none" w:sz="0" w:space="0" w:color="auto" w:frame="1"/>
          <w:lang w:val="en-US" w:eastAsia="en-US"/>
        </w:rPr>
        <w:t xml:space="preserve"> </w:t>
      </w:r>
      <w:r w:rsidR="00715FD4" w:rsidRPr="00F811E1">
        <w:rPr>
          <w:rFonts w:eastAsia="Arial Unicode MS" w:cs="Arial Unicode MS"/>
          <w:i/>
          <w:sz w:val="28"/>
          <w:bdr w:val="none" w:sz="0" w:space="0" w:color="auto" w:frame="1"/>
          <w:lang w:val="en-US" w:eastAsia="en-US"/>
        </w:rPr>
        <w:t xml:space="preserve">The History of Finance: An Eyewitness Account. </w:t>
      </w:r>
      <w:r w:rsidR="00715FD4" w:rsidRPr="00F811E1">
        <w:rPr>
          <w:rFonts w:eastAsia="Arial Unicode MS" w:cs="Arial Unicode MS"/>
          <w:i/>
          <w:iCs/>
          <w:sz w:val="28"/>
          <w:bdr w:val="none" w:sz="0" w:space="0" w:color="auto" w:frame="1"/>
          <w:lang w:val="en-US" w:eastAsia="en-US"/>
        </w:rPr>
        <w:t>The Revolution in Corporate Finance</w:t>
      </w:r>
      <w:r>
        <w:rPr>
          <w:rFonts w:eastAsia="Arial Unicode MS" w:cs="Arial Unicode MS"/>
          <w:i/>
          <w:iCs/>
          <w:sz w:val="28"/>
          <w:bdr w:val="none" w:sz="0" w:space="0" w:color="auto" w:frame="1"/>
          <w:lang w:val="en-US" w:eastAsia="en-US"/>
        </w:rPr>
        <w:t>,</w:t>
      </w:r>
      <w:r>
        <w:rPr>
          <w:rFonts w:eastAsia="Arial Unicode MS" w:cs="Arial Unicode MS"/>
          <w:sz w:val="28"/>
          <w:bdr w:val="none" w:sz="0" w:space="0" w:color="auto" w:frame="1"/>
          <w:lang w:val="en-US" w:eastAsia="en-US"/>
        </w:rPr>
        <w:t xml:space="preserve"> </w:t>
      </w:r>
      <w:r w:rsidR="00715FD4" w:rsidRPr="00F811E1">
        <w:rPr>
          <w:rFonts w:eastAsia="Arial Unicode MS" w:cs="Arial Unicode MS"/>
          <w:sz w:val="28"/>
          <w:bdr w:val="none" w:sz="0" w:space="0" w:color="auto" w:frame="1"/>
          <w:lang w:val="en-US" w:eastAsia="en-US"/>
        </w:rPr>
        <w:t>Blackwell Publishing</w:t>
      </w:r>
      <w:r w:rsidRPr="00F811E1">
        <w:rPr>
          <w:rFonts w:eastAsia="Arial Unicode MS" w:cs="Arial Unicode MS"/>
          <w:sz w:val="28"/>
          <w:bdr w:val="none" w:sz="0" w:space="0" w:color="auto" w:frame="1"/>
          <w:lang w:val="en-US" w:eastAsia="en-US"/>
        </w:rPr>
        <w:t>, New York.</w:t>
      </w:r>
    </w:p>
    <w:p w14:paraId="5D1B0D33"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Moffett, M., Stonehill, A., </w:t>
      </w:r>
      <w:r w:rsidR="00F811E1">
        <w:rPr>
          <w:sz w:val="28"/>
          <w:lang w:val="en-US"/>
        </w:rPr>
        <w:t>and Eiteman, D., 2009,</w:t>
      </w:r>
      <w:r w:rsidRPr="00715FD4">
        <w:rPr>
          <w:sz w:val="28"/>
          <w:lang w:val="en-US"/>
        </w:rPr>
        <w:t xml:space="preserve"> </w:t>
      </w:r>
      <w:r w:rsidRPr="00F811E1">
        <w:rPr>
          <w:i/>
          <w:sz w:val="28"/>
          <w:lang w:val="en-US"/>
        </w:rPr>
        <w:t>Fundamentals of Multinational Finance</w:t>
      </w:r>
      <w:r w:rsidR="00F811E1">
        <w:rPr>
          <w:sz w:val="28"/>
          <w:lang w:val="en-US"/>
        </w:rPr>
        <w:t>,</w:t>
      </w:r>
      <w:r w:rsidRPr="00715FD4">
        <w:rPr>
          <w:sz w:val="28"/>
          <w:lang w:val="en-US"/>
        </w:rPr>
        <w:t xml:space="preserve"> 3rd Edition, </w:t>
      </w:r>
      <w:r w:rsidRPr="00F811E1">
        <w:rPr>
          <w:sz w:val="28"/>
          <w:lang w:val="en-US"/>
        </w:rPr>
        <w:t>Pearson Prentice Hall.</w:t>
      </w:r>
    </w:p>
    <w:p w14:paraId="71D63D48"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Mohan, R., Patra, M. D., </w:t>
      </w:r>
      <w:r w:rsidR="00F811E1">
        <w:rPr>
          <w:sz w:val="28"/>
          <w:lang w:val="en-US"/>
        </w:rPr>
        <w:t xml:space="preserve">and </w:t>
      </w:r>
      <w:r w:rsidRPr="00715FD4">
        <w:rPr>
          <w:sz w:val="28"/>
          <w:lang w:val="en-US"/>
        </w:rPr>
        <w:t>Kapu</w:t>
      </w:r>
      <w:r w:rsidR="00F811E1">
        <w:rPr>
          <w:sz w:val="28"/>
          <w:lang w:val="en-US"/>
        </w:rPr>
        <w:t>r, M., 2013,</w:t>
      </w:r>
      <w:r w:rsidRPr="00715FD4">
        <w:rPr>
          <w:sz w:val="28"/>
          <w:lang w:val="en-US"/>
        </w:rPr>
        <w:t xml:space="preserve"> The international monetary system: </w:t>
      </w:r>
      <w:r w:rsidR="00F811E1">
        <w:rPr>
          <w:sz w:val="28"/>
          <w:lang w:val="en-US"/>
        </w:rPr>
        <w:t>W</w:t>
      </w:r>
      <w:r w:rsidRPr="00715FD4">
        <w:rPr>
          <w:sz w:val="28"/>
          <w:lang w:val="en-US"/>
        </w:rPr>
        <w:t xml:space="preserve">here are we and where do we need to go?, </w:t>
      </w:r>
      <w:r w:rsidRPr="00715FD4">
        <w:rPr>
          <w:i/>
          <w:sz w:val="28"/>
          <w:lang w:val="en-US"/>
        </w:rPr>
        <w:t>IMF Working Paper.</w:t>
      </w:r>
    </w:p>
    <w:p w14:paraId="42F9F89B" w14:textId="77777777" w:rsidR="00715FD4" w:rsidRPr="00715FD4" w:rsidRDefault="00F811E1" w:rsidP="006F749C">
      <w:pPr>
        <w:numPr>
          <w:ilvl w:val="0"/>
          <w:numId w:val="264"/>
        </w:numPr>
        <w:spacing w:line="240" w:lineRule="atLeast"/>
        <w:ind w:hanging="578"/>
        <w:contextualSpacing/>
        <w:jc w:val="both"/>
        <w:rPr>
          <w:sz w:val="28"/>
          <w:szCs w:val="28"/>
          <w:lang w:val="en-GB"/>
        </w:rPr>
      </w:pPr>
      <w:r>
        <w:rPr>
          <w:sz w:val="28"/>
          <w:szCs w:val="28"/>
          <w:lang w:val="en-GB"/>
        </w:rPr>
        <w:lastRenderedPageBreak/>
        <w:t>Momotyuk, L., 2013,</w:t>
      </w:r>
      <w:r w:rsidR="00715FD4" w:rsidRPr="00715FD4">
        <w:rPr>
          <w:sz w:val="28"/>
          <w:szCs w:val="28"/>
          <w:lang w:val="en-GB"/>
        </w:rPr>
        <w:t xml:space="preserve"> State Finance Statistics and its Harmonizati</w:t>
      </w:r>
      <w:r>
        <w:rPr>
          <w:sz w:val="28"/>
          <w:szCs w:val="28"/>
          <w:lang w:val="en-GB"/>
        </w:rPr>
        <w:t>on with International Standards,</w:t>
      </w:r>
      <w:r w:rsidR="00715FD4" w:rsidRPr="00715FD4">
        <w:rPr>
          <w:sz w:val="28"/>
          <w:szCs w:val="28"/>
          <w:lang w:val="en-GB"/>
        </w:rPr>
        <w:t xml:space="preserve"> </w:t>
      </w:r>
      <w:r w:rsidR="00715FD4" w:rsidRPr="00715FD4">
        <w:rPr>
          <w:i/>
          <w:sz w:val="28"/>
          <w:szCs w:val="28"/>
          <w:lang w:val="en-GB"/>
        </w:rPr>
        <w:t>Accounting and Finance</w:t>
      </w:r>
      <w:r w:rsidR="00715FD4" w:rsidRPr="00715FD4">
        <w:rPr>
          <w:sz w:val="28"/>
          <w:szCs w:val="28"/>
          <w:lang w:val="en-GB"/>
        </w:rPr>
        <w:t xml:space="preserve">, (2), </w:t>
      </w:r>
      <w:r>
        <w:rPr>
          <w:sz w:val="28"/>
          <w:szCs w:val="28"/>
          <w:lang w:val="en-GB"/>
        </w:rPr>
        <w:t xml:space="preserve">pp. </w:t>
      </w:r>
      <w:r w:rsidR="00715FD4" w:rsidRPr="00715FD4">
        <w:rPr>
          <w:sz w:val="28"/>
          <w:szCs w:val="28"/>
          <w:lang w:val="en-GB"/>
        </w:rPr>
        <w:t>93</w:t>
      </w:r>
      <w:r w:rsidR="00E66974">
        <w:rPr>
          <w:sz w:val="28"/>
          <w:szCs w:val="28"/>
          <w:lang w:val="en-GB"/>
        </w:rPr>
        <w:t>–</w:t>
      </w:r>
      <w:r w:rsidR="00715FD4" w:rsidRPr="00715FD4">
        <w:rPr>
          <w:sz w:val="28"/>
          <w:szCs w:val="28"/>
          <w:lang w:val="en-GB"/>
        </w:rPr>
        <w:t>99.</w:t>
      </w:r>
    </w:p>
    <w:p w14:paraId="0AC3191F" w14:textId="77777777" w:rsidR="00715FD4" w:rsidRPr="00715FD4" w:rsidRDefault="00715FD4" w:rsidP="006F749C">
      <w:pPr>
        <w:numPr>
          <w:ilvl w:val="0"/>
          <w:numId w:val="264"/>
        </w:numPr>
        <w:spacing w:line="240" w:lineRule="atLeast"/>
        <w:ind w:hanging="578"/>
        <w:contextualSpacing/>
        <w:jc w:val="both"/>
        <w:rPr>
          <w:sz w:val="28"/>
          <w:lang w:val="en-US"/>
        </w:rPr>
      </w:pPr>
      <w:r w:rsidRPr="00781A31">
        <w:rPr>
          <w:i/>
          <w:sz w:val="28"/>
          <w:lang w:val="en-US"/>
        </w:rPr>
        <w:t>Multiannual financial framework 2014–2020 and EU budget 2014 – The figures</w:t>
      </w:r>
      <w:r w:rsidR="00781A31">
        <w:rPr>
          <w:sz w:val="28"/>
          <w:lang w:val="en-US"/>
        </w:rPr>
        <w:t>,</w:t>
      </w:r>
      <w:r w:rsidRPr="00715FD4">
        <w:rPr>
          <w:sz w:val="28"/>
          <w:lang w:val="en-US"/>
        </w:rPr>
        <w:t xml:space="preserve"> </w:t>
      </w:r>
      <w:r w:rsidR="00781A31">
        <w:rPr>
          <w:sz w:val="28"/>
          <w:lang w:val="en-US"/>
        </w:rPr>
        <w:t xml:space="preserve">2013, European Commission, </w:t>
      </w:r>
      <w:r w:rsidRPr="00715FD4">
        <w:rPr>
          <w:sz w:val="28"/>
          <w:lang w:val="en-US"/>
        </w:rPr>
        <w:t>Publicatio</w:t>
      </w:r>
      <w:r w:rsidR="00781A31">
        <w:rPr>
          <w:sz w:val="28"/>
          <w:lang w:val="en-US"/>
        </w:rPr>
        <w:t xml:space="preserve">ns Office of the European Union, </w:t>
      </w:r>
      <w:r w:rsidR="00781A31" w:rsidRPr="00715FD4">
        <w:rPr>
          <w:sz w:val="28"/>
          <w:lang w:val="en-US"/>
        </w:rPr>
        <w:t>Luxembourg</w:t>
      </w:r>
    </w:p>
    <w:p w14:paraId="79A76052" w14:textId="77777777" w:rsidR="00715FD4" w:rsidRPr="00715FD4" w:rsidRDefault="00781A31" w:rsidP="006F749C">
      <w:pPr>
        <w:numPr>
          <w:ilvl w:val="0"/>
          <w:numId w:val="264"/>
        </w:numPr>
        <w:spacing w:line="240" w:lineRule="atLeast"/>
        <w:ind w:hanging="578"/>
        <w:contextualSpacing/>
        <w:jc w:val="both"/>
        <w:rPr>
          <w:sz w:val="28"/>
          <w:szCs w:val="28"/>
          <w:lang w:val="en-US"/>
        </w:rPr>
      </w:pPr>
      <w:r>
        <w:rPr>
          <w:sz w:val="28"/>
          <w:szCs w:val="28"/>
          <w:lang w:val="en-US"/>
        </w:rPr>
        <w:t>Muth, Richard F., 1966,</w:t>
      </w:r>
      <w:r w:rsidR="00715FD4" w:rsidRPr="00715FD4">
        <w:rPr>
          <w:sz w:val="28"/>
          <w:szCs w:val="28"/>
          <w:lang w:val="en-US"/>
        </w:rPr>
        <w:t xml:space="preserve"> Household Production and Consumer Demand Functions, </w:t>
      </w:r>
      <w:r w:rsidR="00715FD4" w:rsidRPr="00715FD4">
        <w:rPr>
          <w:i/>
          <w:sz w:val="28"/>
          <w:szCs w:val="28"/>
          <w:lang w:val="en-US"/>
        </w:rPr>
        <w:t>Econometrica</w:t>
      </w:r>
      <w:r w:rsidR="00715FD4" w:rsidRPr="00715FD4">
        <w:rPr>
          <w:sz w:val="28"/>
          <w:szCs w:val="28"/>
          <w:lang w:val="en-US"/>
        </w:rPr>
        <w:t xml:space="preserve">, 34 (3), </w:t>
      </w:r>
      <w:r>
        <w:rPr>
          <w:sz w:val="28"/>
          <w:szCs w:val="28"/>
          <w:lang w:val="en-US"/>
        </w:rPr>
        <w:t xml:space="preserve">pp. </w:t>
      </w:r>
      <w:r w:rsidR="00715FD4" w:rsidRPr="00715FD4">
        <w:rPr>
          <w:sz w:val="28"/>
          <w:szCs w:val="28"/>
          <w:lang w:val="en-US"/>
        </w:rPr>
        <w:t>699–708.</w:t>
      </w:r>
    </w:p>
    <w:p w14:paraId="2527347C" w14:textId="77777777" w:rsidR="00715FD4" w:rsidRPr="00781A31" w:rsidRDefault="00715FD4" w:rsidP="006F749C">
      <w:pPr>
        <w:numPr>
          <w:ilvl w:val="0"/>
          <w:numId w:val="264"/>
        </w:numPr>
        <w:spacing w:line="240" w:lineRule="atLeast"/>
        <w:ind w:hanging="578"/>
        <w:contextualSpacing/>
        <w:jc w:val="both"/>
        <w:rPr>
          <w:i/>
          <w:sz w:val="28"/>
          <w:lang w:val="en-US"/>
        </w:rPr>
      </w:pPr>
      <w:r w:rsidRPr="00715FD4">
        <w:rPr>
          <w:sz w:val="28"/>
          <w:lang w:val="en-US"/>
        </w:rPr>
        <w:t xml:space="preserve">Myendorff, A., </w:t>
      </w:r>
      <w:r w:rsidR="00781A31">
        <w:rPr>
          <w:sz w:val="28"/>
          <w:lang w:val="en-US"/>
        </w:rPr>
        <w:t>and Thakor, A. V., 2002,</w:t>
      </w:r>
      <w:r w:rsidRPr="00715FD4">
        <w:rPr>
          <w:sz w:val="28"/>
          <w:lang w:val="en-US"/>
        </w:rPr>
        <w:t xml:space="preserve"> </w:t>
      </w:r>
      <w:r w:rsidRPr="00781A31">
        <w:rPr>
          <w:i/>
          <w:sz w:val="28"/>
          <w:lang w:val="en-US"/>
        </w:rPr>
        <w:t xml:space="preserve">Designing Financial Systems in Transition Economics: Strategies for Reform in Central and Eastern Europe, </w:t>
      </w:r>
      <w:r w:rsidRPr="00781A31">
        <w:rPr>
          <w:sz w:val="28"/>
          <w:lang w:val="en-US"/>
        </w:rPr>
        <w:t>MIT Press</w:t>
      </w:r>
      <w:r w:rsidRPr="00781A31">
        <w:rPr>
          <w:i/>
          <w:sz w:val="28"/>
          <w:lang w:val="en-US"/>
        </w:rPr>
        <w:t>.</w:t>
      </w:r>
    </w:p>
    <w:p w14:paraId="6C1534EA"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 xml:space="preserve">Ong, M. L., </w:t>
      </w:r>
      <w:r w:rsidR="00781A31">
        <w:rPr>
          <w:rFonts w:eastAsia="Calibri" w:cs="Calibri"/>
          <w:sz w:val="28"/>
          <w:szCs w:val="28"/>
          <w:bdr w:val="none" w:sz="0" w:space="0" w:color="auto" w:frame="1"/>
          <w:lang w:val="en-US"/>
        </w:rPr>
        <w:t>and Iorgova, S., 2008,</w:t>
      </w:r>
      <w:r w:rsidRPr="00715FD4">
        <w:rPr>
          <w:rFonts w:eastAsia="Calibri" w:cs="Calibri"/>
          <w:sz w:val="28"/>
          <w:szCs w:val="28"/>
          <w:bdr w:val="none" w:sz="0" w:space="0" w:color="auto" w:frame="1"/>
          <w:lang w:val="en-US"/>
        </w:rPr>
        <w:t xml:space="preserve"> The Capital Markets of Emerging Europe: Institut</w:t>
      </w:r>
      <w:r w:rsidR="00781A31">
        <w:rPr>
          <w:rFonts w:eastAsia="Calibri" w:cs="Calibri"/>
          <w:sz w:val="28"/>
          <w:szCs w:val="28"/>
          <w:bdr w:val="none" w:sz="0" w:space="0" w:color="auto" w:frame="1"/>
          <w:lang w:val="en-US"/>
        </w:rPr>
        <w:t>ions, Instruments and Investors,</w:t>
      </w:r>
      <w:r w:rsidRPr="00715FD4">
        <w:rPr>
          <w:rFonts w:eastAsia="Calibri" w:cs="Calibri"/>
          <w:sz w:val="28"/>
          <w:szCs w:val="28"/>
          <w:bdr w:val="none" w:sz="0" w:space="0" w:color="auto" w:frame="1"/>
          <w:lang w:val="en-US"/>
        </w:rPr>
        <w:t xml:space="preserve"> </w:t>
      </w:r>
      <w:r w:rsidRPr="00715FD4">
        <w:rPr>
          <w:rFonts w:eastAsia="Calibri" w:cs="Calibri"/>
          <w:i/>
          <w:iCs/>
          <w:sz w:val="28"/>
          <w:szCs w:val="28"/>
          <w:bdr w:val="none" w:sz="0" w:space="0" w:color="auto" w:frame="1"/>
          <w:lang w:val="en-US"/>
        </w:rPr>
        <w:t>International Monetary Fund</w:t>
      </w:r>
      <w:r w:rsidRPr="00715FD4">
        <w:rPr>
          <w:rFonts w:eastAsia="Calibri" w:cs="Calibri"/>
          <w:sz w:val="28"/>
          <w:szCs w:val="28"/>
          <w:bdr w:val="none" w:sz="0" w:space="0" w:color="auto" w:frame="1"/>
          <w:lang w:val="en-US"/>
        </w:rPr>
        <w:t xml:space="preserve">, </w:t>
      </w:r>
      <w:r w:rsidR="00781A31">
        <w:rPr>
          <w:rFonts w:eastAsia="Calibri" w:cs="Calibri"/>
          <w:sz w:val="28"/>
          <w:szCs w:val="28"/>
          <w:bdr w:val="none" w:sz="0" w:space="0" w:color="auto" w:frame="1"/>
          <w:lang w:val="en-US"/>
        </w:rPr>
        <w:t xml:space="preserve">pp. </w:t>
      </w:r>
      <w:r w:rsidRPr="00715FD4">
        <w:rPr>
          <w:rFonts w:eastAsia="Calibri" w:cs="Calibri"/>
          <w:sz w:val="28"/>
          <w:szCs w:val="28"/>
          <w:bdr w:val="none" w:sz="0" w:space="0" w:color="auto" w:frame="1"/>
          <w:lang w:val="en-US"/>
        </w:rPr>
        <w:t>8</w:t>
      </w:r>
      <w:r w:rsidR="00781A31" w:rsidRPr="00715FD4">
        <w:rPr>
          <w:sz w:val="28"/>
          <w:szCs w:val="28"/>
          <w:lang w:val="en-US"/>
        </w:rPr>
        <w:t>–</w:t>
      </w:r>
      <w:r w:rsidRPr="00715FD4">
        <w:rPr>
          <w:rFonts w:eastAsia="Calibri" w:cs="Calibri"/>
          <w:sz w:val="28"/>
          <w:szCs w:val="28"/>
          <w:bdr w:val="none" w:sz="0" w:space="0" w:color="auto" w:frame="1"/>
          <w:lang w:val="en-US"/>
        </w:rPr>
        <w:t>103.</w:t>
      </w:r>
    </w:p>
    <w:p w14:paraId="049BD3DF" w14:textId="77777777" w:rsidR="00715FD4" w:rsidRPr="00781A31" w:rsidRDefault="00715FD4" w:rsidP="006F749C">
      <w:pPr>
        <w:numPr>
          <w:ilvl w:val="0"/>
          <w:numId w:val="264"/>
        </w:numPr>
        <w:spacing w:line="240" w:lineRule="atLeast"/>
        <w:ind w:hanging="578"/>
        <w:contextualSpacing/>
        <w:jc w:val="both"/>
        <w:rPr>
          <w:sz w:val="28"/>
          <w:lang w:val="en-US"/>
        </w:rPr>
      </w:pPr>
      <w:r w:rsidRPr="00715FD4">
        <w:rPr>
          <w:sz w:val="28"/>
          <w:lang w:val="fr-BE"/>
        </w:rPr>
        <w:t xml:space="preserve">Ormiston, A., </w:t>
      </w:r>
      <w:r w:rsidR="00E66974">
        <w:rPr>
          <w:sz w:val="28"/>
          <w:lang w:val="fr-BE"/>
        </w:rPr>
        <w:t>and</w:t>
      </w:r>
      <w:r w:rsidR="00781A31">
        <w:rPr>
          <w:sz w:val="28"/>
          <w:lang w:val="fr-BE"/>
        </w:rPr>
        <w:t xml:space="preserve"> Fraser, L. M., 2013,</w:t>
      </w:r>
      <w:r w:rsidRPr="00715FD4">
        <w:rPr>
          <w:sz w:val="28"/>
          <w:lang w:val="fr-BE"/>
        </w:rPr>
        <w:t xml:space="preserve"> </w:t>
      </w:r>
      <w:r w:rsidRPr="00781A31">
        <w:rPr>
          <w:i/>
          <w:sz w:val="28"/>
          <w:lang w:val="en-US"/>
        </w:rPr>
        <w:t>Und</w:t>
      </w:r>
      <w:r w:rsidR="00781A31">
        <w:rPr>
          <w:i/>
          <w:sz w:val="28"/>
          <w:lang w:val="en-US"/>
        </w:rPr>
        <w:t>erstanding financial statements,</w:t>
      </w:r>
      <w:r w:rsidRPr="00781A31">
        <w:rPr>
          <w:i/>
          <w:sz w:val="28"/>
          <w:lang w:val="en-US"/>
        </w:rPr>
        <w:t xml:space="preserve"> </w:t>
      </w:r>
      <w:r w:rsidRPr="00781A31">
        <w:rPr>
          <w:sz w:val="28"/>
          <w:lang w:val="en-US"/>
        </w:rPr>
        <w:t>Pearson Education.</w:t>
      </w:r>
    </w:p>
    <w:p w14:paraId="691BC3D6" w14:textId="77777777" w:rsidR="00715FD4" w:rsidRPr="00781A31" w:rsidRDefault="00781A31" w:rsidP="006F749C">
      <w:pPr>
        <w:numPr>
          <w:ilvl w:val="0"/>
          <w:numId w:val="264"/>
        </w:numPr>
        <w:spacing w:line="240" w:lineRule="atLeast"/>
        <w:ind w:hanging="578"/>
        <w:contextualSpacing/>
        <w:jc w:val="both"/>
        <w:rPr>
          <w:sz w:val="28"/>
          <w:lang w:val="en-US"/>
        </w:rPr>
      </w:pPr>
      <w:r>
        <w:rPr>
          <w:sz w:val="28"/>
          <w:lang w:val="en-US"/>
        </w:rPr>
        <w:t>Pilbeam, K., 2006,</w:t>
      </w:r>
      <w:r w:rsidR="00715FD4" w:rsidRPr="00715FD4">
        <w:rPr>
          <w:sz w:val="28"/>
          <w:lang w:val="en-US"/>
        </w:rPr>
        <w:t xml:space="preserve"> </w:t>
      </w:r>
      <w:r w:rsidR="00715FD4" w:rsidRPr="00781A31">
        <w:rPr>
          <w:i/>
          <w:sz w:val="28"/>
          <w:lang w:val="en-US"/>
        </w:rPr>
        <w:t>International Finance</w:t>
      </w:r>
      <w:r>
        <w:rPr>
          <w:sz w:val="28"/>
          <w:lang w:val="en-US"/>
        </w:rPr>
        <w:t>, 3rd Edition,</w:t>
      </w:r>
      <w:r w:rsidR="00715FD4" w:rsidRPr="00715FD4">
        <w:rPr>
          <w:sz w:val="28"/>
          <w:lang w:val="en-US"/>
        </w:rPr>
        <w:t xml:space="preserve"> NY</w:t>
      </w:r>
      <w:r w:rsidR="00715FD4" w:rsidRPr="00781A31">
        <w:rPr>
          <w:sz w:val="28"/>
          <w:lang w:val="en-US"/>
        </w:rPr>
        <w:t>: Palgrave Macmillan</w:t>
      </w:r>
      <w:r w:rsidRPr="00781A31">
        <w:rPr>
          <w:sz w:val="28"/>
          <w:lang w:val="en-US"/>
        </w:rPr>
        <w:t>, New York.</w:t>
      </w:r>
    </w:p>
    <w:p w14:paraId="6934E0ED" w14:textId="77777777" w:rsidR="00715FD4" w:rsidRPr="00715FD4" w:rsidRDefault="00781A31" w:rsidP="006F749C">
      <w:pPr>
        <w:numPr>
          <w:ilvl w:val="0"/>
          <w:numId w:val="264"/>
        </w:numPr>
        <w:spacing w:line="240" w:lineRule="atLeast"/>
        <w:ind w:hanging="578"/>
        <w:contextualSpacing/>
        <w:jc w:val="both"/>
        <w:rPr>
          <w:sz w:val="28"/>
          <w:szCs w:val="28"/>
          <w:lang w:val="en-US"/>
        </w:rPr>
      </w:pPr>
      <w:r>
        <w:rPr>
          <w:sz w:val="28"/>
          <w:szCs w:val="28"/>
          <w:lang w:val="en-US"/>
        </w:rPr>
        <w:t>Popkin, W. D., 2008,</w:t>
      </w:r>
      <w:r w:rsidR="00715FD4" w:rsidRPr="00715FD4">
        <w:rPr>
          <w:sz w:val="28"/>
          <w:szCs w:val="28"/>
          <w:lang w:val="en-US"/>
        </w:rPr>
        <w:t xml:space="preserve"> </w:t>
      </w:r>
      <w:r w:rsidR="00715FD4" w:rsidRPr="00781A31">
        <w:rPr>
          <w:i/>
          <w:sz w:val="28"/>
          <w:szCs w:val="28"/>
          <w:lang w:val="en-US"/>
        </w:rPr>
        <w:t>Introduction to Taxation</w:t>
      </w:r>
      <w:r>
        <w:rPr>
          <w:sz w:val="28"/>
          <w:szCs w:val="28"/>
          <w:lang w:val="en-US"/>
        </w:rPr>
        <w:t>,</w:t>
      </w:r>
      <w:r w:rsidR="00715FD4" w:rsidRPr="00715FD4">
        <w:rPr>
          <w:sz w:val="28"/>
          <w:szCs w:val="28"/>
          <w:lang w:val="en-US"/>
        </w:rPr>
        <w:t xml:space="preserve"> </w:t>
      </w:r>
      <w:r w:rsidR="00715FD4" w:rsidRPr="00781A31">
        <w:rPr>
          <w:sz w:val="28"/>
          <w:szCs w:val="28"/>
          <w:lang w:val="en-US"/>
        </w:rPr>
        <w:t>LexisNexis.</w:t>
      </w:r>
    </w:p>
    <w:p w14:paraId="2CA5CB6D" w14:textId="77777777" w:rsidR="00715FD4" w:rsidRPr="00781A31" w:rsidRDefault="00781A31" w:rsidP="006F749C">
      <w:pPr>
        <w:numPr>
          <w:ilvl w:val="0"/>
          <w:numId w:val="264"/>
        </w:numPr>
        <w:spacing w:line="240" w:lineRule="atLeast"/>
        <w:ind w:hanging="578"/>
        <w:contextualSpacing/>
        <w:jc w:val="both"/>
        <w:rPr>
          <w:sz w:val="28"/>
          <w:lang w:val="en-US"/>
        </w:rPr>
      </w:pPr>
      <w:r>
        <w:rPr>
          <w:sz w:val="28"/>
          <w:lang w:val="en-US"/>
        </w:rPr>
        <w:t>Root, F. R., 1990,</w:t>
      </w:r>
      <w:r w:rsidR="00715FD4" w:rsidRPr="00715FD4">
        <w:rPr>
          <w:sz w:val="28"/>
          <w:lang w:val="en-US"/>
        </w:rPr>
        <w:t xml:space="preserve"> </w:t>
      </w:r>
      <w:r w:rsidR="00715FD4" w:rsidRPr="00781A31">
        <w:rPr>
          <w:i/>
          <w:sz w:val="28"/>
          <w:lang w:val="en-US"/>
        </w:rPr>
        <w:t>International trade and investment</w:t>
      </w:r>
      <w:r>
        <w:rPr>
          <w:i/>
          <w:sz w:val="28"/>
          <w:lang w:val="en-US"/>
        </w:rPr>
        <w:t>,</w:t>
      </w:r>
      <w:r w:rsidR="00715FD4" w:rsidRPr="00715FD4">
        <w:rPr>
          <w:sz w:val="28"/>
          <w:lang w:val="en-US"/>
        </w:rPr>
        <w:t xml:space="preserve"> </w:t>
      </w:r>
      <w:r w:rsidR="00715FD4" w:rsidRPr="00781A31">
        <w:rPr>
          <w:sz w:val="28"/>
          <w:lang w:val="en-US"/>
        </w:rPr>
        <w:t>South-Western Pub. Co.</w:t>
      </w:r>
    </w:p>
    <w:p w14:paraId="6F79DA94" w14:textId="77777777" w:rsidR="00715FD4" w:rsidRPr="00781A31" w:rsidRDefault="00715FD4" w:rsidP="006F749C">
      <w:pPr>
        <w:numPr>
          <w:ilvl w:val="0"/>
          <w:numId w:val="264"/>
        </w:numPr>
        <w:spacing w:line="240" w:lineRule="atLeast"/>
        <w:ind w:hanging="578"/>
        <w:contextualSpacing/>
        <w:jc w:val="both"/>
        <w:rPr>
          <w:rFonts w:eastAsia="Garamond"/>
          <w:i/>
          <w:sz w:val="28"/>
          <w:szCs w:val="28"/>
          <w:bdr w:val="none" w:sz="0" w:space="0" w:color="auto" w:frame="1"/>
          <w:lang w:val="en-US"/>
        </w:rPr>
      </w:pPr>
      <w:r w:rsidRPr="00715FD4">
        <w:rPr>
          <w:rFonts w:eastAsia="Calibri" w:cs="Calibri"/>
          <w:sz w:val="28"/>
          <w:szCs w:val="28"/>
          <w:bdr w:val="none" w:sz="0" w:space="0" w:color="auto" w:frame="1"/>
          <w:lang w:val="en-US"/>
        </w:rPr>
        <w:t>Ross, S. A., Westerfield, R.,</w:t>
      </w:r>
      <w:r w:rsidR="00781A31">
        <w:rPr>
          <w:rFonts w:eastAsia="Calibri" w:cs="Calibri"/>
          <w:sz w:val="28"/>
          <w:szCs w:val="28"/>
          <w:bdr w:val="none" w:sz="0" w:space="0" w:color="auto" w:frame="1"/>
          <w:lang w:val="en-US"/>
        </w:rPr>
        <w:t xml:space="preserve"> and Jordan, B. D., 2008,</w:t>
      </w:r>
      <w:r w:rsidRPr="00715FD4">
        <w:rPr>
          <w:rFonts w:eastAsia="Calibri" w:cs="Calibri"/>
          <w:sz w:val="28"/>
          <w:szCs w:val="28"/>
          <w:bdr w:val="none" w:sz="0" w:space="0" w:color="auto" w:frame="1"/>
          <w:lang w:val="en-US"/>
        </w:rPr>
        <w:t xml:space="preserve"> </w:t>
      </w:r>
      <w:r w:rsidRPr="00781A31">
        <w:rPr>
          <w:rFonts w:eastAsia="Calibri" w:cs="Calibri"/>
          <w:i/>
          <w:sz w:val="28"/>
          <w:szCs w:val="28"/>
          <w:bdr w:val="none" w:sz="0" w:space="0" w:color="auto" w:frame="1"/>
          <w:lang w:val="en-US"/>
        </w:rPr>
        <w:t>Fundamentals of corporate finance</w:t>
      </w:r>
      <w:r w:rsidRPr="00781A31">
        <w:rPr>
          <w:rFonts w:eastAsia="Calibri" w:cs="Calibri"/>
          <w:sz w:val="28"/>
          <w:szCs w:val="28"/>
          <w:bdr w:val="none" w:sz="0" w:space="0" w:color="auto" w:frame="1"/>
          <w:lang w:val="en-US"/>
        </w:rPr>
        <w:t xml:space="preserve">, </w:t>
      </w:r>
      <w:r w:rsidRPr="00781A31">
        <w:rPr>
          <w:rFonts w:eastAsia="Calibri" w:cs="Calibri"/>
          <w:iCs/>
          <w:sz w:val="28"/>
          <w:szCs w:val="28"/>
          <w:bdr w:val="none" w:sz="0" w:space="0" w:color="auto" w:frame="1"/>
          <w:lang w:val="en-US"/>
        </w:rPr>
        <w:t>Tata McGraw-Hill Education</w:t>
      </w:r>
      <w:r w:rsidRPr="00781A31">
        <w:rPr>
          <w:rFonts w:eastAsia="Calibri" w:cs="Calibri"/>
          <w:sz w:val="28"/>
          <w:szCs w:val="28"/>
          <w:bdr w:val="none" w:sz="0" w:space="0" w:color="auto" w:frame="1"/>
          <w:lang w:val="en-US"/>
        </w:rPr>
        <w:t>.</w:t>
      </w:r>
    </w:p>
    <w:p w14:paraId="30C352A2" w14:textId="77777777" w:rsidR="00715FD4" w:rsidRPr="00715FD4" w:rsidRDefault="00715FD4" w:rsidP="006F749C">
      <w:pPr>
        <w:numPr>
          <w:ilvl w:val="0"/>
          <w:numId w:val="264"/>
        </w:numPr>
        <w:spacing w:line="240" w:lineRule="atLeast"/>
        <w:ind w:hanging="578"/>
        <w:contextualSpacing/>
        <w:jc w:val="both"/>
        <w:rPr>
          <w:rFonts w:cs="Garamond"/>
          <w:sz w:val="28"/>
          <w:szCs w:val="28"/>
          <w:lang w:val="en-US" w:eastAsia="ru-RU"/>
        </w:rPr>
      </w:pPr>
      <w:r w:rsidRPr="00715FD4">
        <w:rPr>
          <w:rFonts w:cs="Garamond"/>
          <w:sz w:val="28"/>
          <w:szCs w:val="28"/>
          <w:lang w:val="en-US" w:eastAsia="ru-RU"/>
        </w:rPr>
        <w:t xml:space="preserve">Sankar, S., Sharma, M., </w:t>
      </w:r>
      <w:r w:rsidR="00781A31">
        <w:rPr>
          <w:rFonts w:cs="Garamond"/>
          <w:sz w:val="28"/>
          <w:szCs w:val="28"/>
          <w:lang w:val="en-US" w:eastAsia="ru-RU"/>
        </w:rPr>
        <w:t>and Kaikini, A. N., 2014,</w:t>
      </w:r>
      <w:r w:rsidRPr="00715FD4">
        <w:rPr>
          <w:rFonts w:cs="Garamond"/>
          <w:sz w:val="28"/>
          <w:szCs w:val="28"/>
          <w:lang w:val="en-US" w:eastAsia="ru-RU"/>
        </w:rPr>
        <w:t xml:space="preserve"> </w:t>
      </w:r>
      <w:r w:rsidRPr="00781A31">
        <w:rPr>
          <w:rFonts w:cs="Garamond"/>
          <w:i/>
          <w:sz w:val="28"/>
          <w:szCs w:val="28"/>
          <w:lang w:val="en-US" w:eastAsia="ru-RU"/>
        </w:rPr>
        <w:t>General insurance work book</w:t>
      </w:r>
      <w:r w:rsidR="00781A31">
        <w:rPr>
          <w:rFonts w:cs="Garamond"/>
          <w:i/>
          <w:sz w:val="28"/>
          <w:szCs w:val="28"/>
          <w:lang w:val="en-US" w:eastAsia="ru-RU"/>
        </w:rPr>
        <w:t>,</w:t>
      </w:r>
      <w:r w:rsidRPr="00715FD4">
        <w:rPr>
          <w:rFonts w:cs="Garamond"/>
          <w:sz w:val="28"/>
          <w:szCs w:val="28"/>
          <w:lang w:val="en-US" w:eastAsia="ru-RU"/>
        </w:rPr>
        <w:t xml:space="preserve"> </w:t>
      </w:r>
      <w:r w:rsidRPr="00781A31">
        <w:rPr>
          <w:rFonts w:cs="Garamond"/>
          <w:sz w:val="28"/>
          <w:szCs w:val="28"/>
          <w:lang w:val="en-US" w:eastAsia="ru-RU"/>
        </w:rPr>
        <w:t xml:space="preserve">Insurance Institute of India, </w:t>
      </w:r>
      <w:r w:rsidRPr="00715FD4">
        <w:rPr>
          <w:rFonts w:cs="Garamond"/>
          <w:sz w:val="28"/>
          <w:szCs w:val="28"/>
          <w:lang w:val="en-US" w:eastAsia="ru-RU"/>
        </w:rPr>
        <w:t>Mumbai.</w:t>
      </w:r>
    </w:p>
    <w:p w14:paraId="5045D5DC" w14:textId="77777777" w:rsidR="00781A31" w:rsidRPr="00781A31" w:rsidRDefault="00715FD4" w:rsidP="006F749C">
      <w:pPr>
        <w:numPr>
          <w:ilvl w:val="0"/>
          <w:numId w:val="264"/>
        </w:numPr>
        <w:spacing w:line="240" w:lineRule="atLeast"/>
        <w:ind w:hanging="578"/>
        <w:contextualSpacing/>
        <w:jc w:val="both"/>
        <w:rPr>
          <w:rFonts w:eastAsia="Garamond"/>
          <w:sz w:val="28"/>
          <w:bdr w:val="none" w:sz="0" w:space="0" w:color="auto" w:frame="1"/>
          <w:lang w:val="en-US" w:eastAsia="en-US"/>
        </w:rPr>
      </w:pPr>
      <w:r w:rsidRPr="00715FD4">
        <w:rPr>
          <w:rFonts w:eastAsia="Arial Unicode MS" w:cs="Arial Unicode MS"/>
          <w:sz w:val="28"/>
          <w:bdr w:val="none" w:sz="0" w:space="0" w:color="auto" w:frame="1"/>
          <w:lang w:val="en-US" w:eastAsia="en-US"/>
        </w:rPr>
        <w:t xml:space="preserve">Scholtens, B., </w:t>
      </w:r>
      <w:r w:rsidR="00E66974">
        <w:rPr>
          <w:rFonts w:eastAsia="Arial Unicode MS" w:cs="Arial Unicode MS"/>
          <w:sz w:val="28"/>
          <w:bdr w:val="none" w:sz="0" w:space="0" w:color="auto" w:frame="1"/>
          <w:lang w:val="en-US" w:eastAsia="en-US"/>
        </w:rPr>
        <w:t>and</w:t>
      </w:r>
      <w:r w:rsidR="00781A31">
        <w:rPr>
          <w:rFonts w:eastAsia="Arial Unicode MS" w:cs="Arial Unicode MS"/>
          <w:sz w:val="28"/>
          <w:bdr w:val="none" w:sz="0" w:space="0" w:color="auto" w:frame="1"/>
          <w:lang w:val="en-US" w:eastAsia="en-US"/>
        </w:rPr>
        <w:t xml:space="preserve"> Wensveen, D., 2003,</w:t>
      </w:r>
      <w:r w:rsidRPr="00715FD4">
        <w:rPr>
          <w:rFonts w:eastAsia="Arial Unicode MS" w:cs="Arial Unicode MS"/>
          <w:sz w:val="28"/>
          <w:bdr w:val="none" w:sz="0" w:space="0" w:color="auto" w:frame="1"/>
          <w:lang w:val="en-US" w:eastAsia="en-US"/>
        </w:rPr>
        <w:t xml:space="preserve"> The Theory of Financial Intermediation: An </w:t>
      </w:r>
      <w:r w:rsidRPr="00781A31">
        <w:rPr>
          <w:rFonts w:eastAsia="Arial Unicode MS" w:cs="Arial Unicode MS"/>
          <w:sz w:val="28"/>
          <w:bdr w:val="none" w:sz="0" w:space="0" w:color="auto" w:frame="1"/>
          <w:lang w:val="en-US" w:eastAsia="en-US"/>
        </w:rPr>
        <w:t>Essay On What It Does (Not) Explai</w:t>
      </w:r>
      <w:r w:rsidR="00781A31" w:rsidRPr="00781A31">
        <w:rPr>
          <w:rFonts w:eastAsia="Arial Unicode MS" w:cs="Arial Unicode MS"/>
          <w:sz w:val="28"/>
          <w:bdr w:val="none" w:sz="0" w:space="0" w:color="auto" w:frame="1"/>
          <w:lang w:val="en-US" w:eastAsia="en-US"/>
        </w:rPr>
        <w:t>n,</w:t>
      </w:r>
      <w:r w:rsidRPr="00781A31">
        <w:rPr>
          <w:rFonts w:eastAsia="Arial Unicode MS" w:cs="Arial Unicode MS"/>
          <w:sz w:val="28"/>
          <w:bdr w:val="none" w:sz="0" w:space="0" w:color="auto" w:frame="1"/>
          <w:lang w:val="en-US" w:eastAsia="en-US"/>
        </w:rPr>
        <w:t xml:space="preserve"> </w:t>
      </w:r>
      <w:r w:rsidRPr="00781A31">
        <w:rPr>
          <w:rFonts w:eastAsia="Arial Unicode MS" w:cs="Arial Unicode MS"/>
          <w:iCs/>
          <w:sz w:val="28"/>
          <w:bdr w:val="none" w:sz="0" w:space="0" w:color="auto" w:frame="1"/>
          <w:lang w:val="en-US" w:eastAsia="en-US"/>
        </w:rPr>
        <w:t>SUERF</w:t>
      </w:r>
      <w:r w:rsidR="00781A31" w:rsidRPr="00781A31">
        <w:rPr>
          <w:rFonts w:eastAsia="Arial Unicode MS" w:cs="Arial Unicode MS"/>
          <w:iCs/>
          <w:sz w:val="28"/>
          <w:bdr w:val="none" w:sz="0" w:space="0" w:color="auto" w:frame="1"/>
          <w:lang w:val="en-US" w:eastAsia="en-US"/>
        </w:rPr>
        <w:t xml:space="preserve">, </w:t>
      </w:r>
      <w:r w:rsidR="00781A31" w:rsidRPr="00781A31">
        <w:rPr>
          <w:rFonts w:eastAsia="Arial Unicode MS" w:cs="Arial Unicode MS"/>
          <w:sz w:val="28"/>
          <w:bdr w:val="none" w:sz="0" w:space="0" w:color="auto" w:frame="1"/>
          <w:lang w:val="en-US" w:eastAsia="en-US"/>
        </w:rPr>
        <w:t>Vienna</w:t>
      </w:r>
      <w:r w:rsidRPr="00781A31">
        <w:rPr>
          <w:rFonts w:eastAsia="Arial Unicode MS" w:cs="Arial Unicode MS"/>
          <w:iCs/>
          <w:sz w:val="28"/>
          <w:bdr w:val="none" w:sz="0" w:space="0" w:color="auto" w:frame="1"/>
          <w:lang w:val="en-US" w:eastAsia="en-US"/>
        </w:rPr>
        <w:t xml:space="preserve"> (SUERF Studies: 2003/1)</w:t>
      </w:r>
      <w:r w:rsidRPr="00781A31">
        <w:rPr>
          <w:rFonts w:eastAsia="Arial Unicode MS" w:cs="Arial Unicode MS"/>
          <w:sz w:val="28"/>
          <w:bdr w:val="none" w:sz="0" w:space="0" w:color="auto" w:frame="1"/>
          <w:lang w:val="en-US" w:eastAsia="en-US"/>
        </w:rPr>
        <w:t xml:space="preserve">. </w:t>
      </w:r>
    </w:p>
    <w:p w14:paraId="222A3DED" w14:textId="77777777" w:rsidR="00715FD4" w:rsidRPr="00715FD4" w:rsidRDefault="00781A31" w:rsidP="006F749C">
      <w:pPr>
        <w:numPr>
          <w:ilvl w:val="0"/>
          <w:numId w:val="264"/>
        </w:numPr>
        <w:spacing w:line="240" w:lineRule="atLeast"/>
        <w:ind w:hanging="578"/>
        <w:contextualSpacing/>
        <w:jc w:val="both"/>
        <w:rPr>
          <w:rFonts w:eastAsia="Garamond"/>
          <w:sz w:val="28"/>
          <w:bdr w:val="none" w:sz="0" w:space="0" w:color="auto" w:frame="1"/>
          <w:lang w:val="en-US" w:eastAsia="en-US"/>
        </w:rPr>
      </w:pPr>
      <w:r>
        <w:rPr>
          <w:rFonts w:eastAsia="Arial Unicode MS" w:cs="Arial Unicode MS"/>
          <w:sz w:val="28"/>
          <w:bdr w:val="none" w:sz="0" w:space="0" w:color="auto" w:frame="1"/>
          <w:lang w:val="en-US" w:eastAsia="en-US"/>
        </w:rPr>
        <w:t>Weston, J. F., 1981, Developments in Finance Theory,</w:t>
      </w:r>
      <w:r w:rsidR="00715FD4" w:rsidRPr="00715FD4">
        <w:rPr>
          <w:rFonts w:eastAsia="Arial Unicode MS" w:cs="Arial Unicode MS"/>
          <w:sz w:val="28"/>
          <w:bdr w:val="none" w:sz="0" w:space="0" w:color="auto" w:frame="1"/>
          <w:lang w:val="en-US" w:eastAsia="en-US"/>
        </w:rPr>
        <w:t xml:space="preserve"> </w:t>
      </w:r>
      <w:r w:rsidR="00715FD4" w:rsidRPr="00715FD4">
        <w:rPr>
          <w:rFonts w:eastAsia="Arial Unicode MS" w:cs="Arial Unicode MS"/>
          <w:i/>
          <w:iCs/>
          <w:sz w:val="28"/>
          <w:bdr w:val="none" w:sz="0" w:space="0" w:color="auto" w:frame="1"/>
          <w:lang w:val="en-US" w:eastAsia="en-US"/>
        </w:rPr>
        <w:t>Financial Management</w:t>
      </w:r>
      <w:r>
        <w:rPr>
          <w:rFonts w:eastAsia="Arial Unicode MS" w:cs="Arial Unicode MS"/>
          <w:sz w:val="28"/>
          <w:bdr w:val="none" w:sz="0" w:space="0" w:color="auto" w:frame="1"/>
          <w:lang w:val="en-US" w:eastAsia="en-US"/>
        </w:rPr>
        <w:t>, 10 (Tenth Anniversary Issue).</w:t>
      </w:r>
    </w:p>
    <w:p w14:paraId="4996813E"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Sheremet, O. A., Dem’yanenko, I. V., Bagatska K. V.</w:t>
      </w:r>
      <w:r w:rsidR="00781A31">
        <w:rPr>
          <w:sz w:val="28"/>
          <w:lang w:val="en-US"/>
        </w:rPr>
        <w:t>, and others, 2013,</w:t>
      </w:r>
      <w:r w:rsidRPr="00715FD4">
        <w:rPr>
          <w:sz w:val="28"/>
          <w:lang w:val="en-US"/>
        </w:rPr>
        <w:t xml:space="preserve"> </w:t>
      </w:r>
      <w:r w:rsidRPr="00781A31">
        <w:rPr>
          <w:i/>
          <w:sz w:val="28"/>
          <w:lang w:val="en-US"/>
        </w:rPr>
        <w:t>Finance for Financiers</w:t>
      </w:r>
      <w:r w:rsidR="00781A31">
        <w:rPr>
          <w:i/>
          <w:sz w:val="28"/>
          <w:lang w:val="en-US"/>
        </w:rPr>
        <w:t>,</w:t>
      </w:r>
      <w:r w:rsidRPr="00715FD4">
        <w:rPr>
          <w:sz w:val="28"/>
          <w:lang w:val="en-US"/>
        </w:rPr>
        <w:t xml:space="preserve"> Centre of educational literature</w:t>
      </w:r>
      <w:r w:rsidR="00781A31">
        <w:rPr>
          <w:sz w:val="28"/>
          <w:lang w:val="en-US"/>
        </w:rPr>
        <w:t>,</w:t>
      </w:r>
      <w:r w:rsidR="00781A31" w:rsidRPr="00781A31">
        <w:rPr>
          <w:sz w:val="28"/>
          <w:lang w:val="en-US"/>
        </w:rPr>
        <w:t xml:space="preserve"> </w:t>
      </w:r>
      <w:r w:rsidR="00781A31" w:rsidRPr="00715FD4">
        <w:rPr>
          <w:sz w:val="28"/>
          <w:lang w:val="en-US"/>
        </w:rPr>
        <w:t>Kyiv</w:t>
      </w:r>
      <w:r w:rsidRPr="00715FD4">
        <w:rPr>
          <w:sz w:val="28"/>
          <w:lang w:val="en-US"/>
        </w:rPr>
        <w:t xml:space="preserve"> </w:t>
      </w:r>
      <w:r w:rsidRPr="00FB3AE0">
        <w:rPr>
          <w:sz w:val="28"/>
          <w:lang w:val="en-US"/>
        </w:rPr>
        <w:t>[</w:t>
      </w:r>
      <w:r w:rsidRPr="00715FD4">
        <w:rPr>
          <w:sz w:val="28"/>
          <w:lang w:val="ru-RU"/>
        </w:rPr>
        <w:t>Фінанси</w:t>
      </w:r>
      <w:r w:rsidRPr="00FB3AE0">
        <w:rPr>
          <w:sz w:val="28"/>
          <w:lang w:val="en-US"/>
        </w:rPr>
        <w:t xml:space="preserve"> </w:t>
      </w:r>
      <w:r w:rsidRPr="00715FD4">
        <w:rPr>
          <w:sz w:val="28"/>
          <w:lang w:val="ru-RU"/>
        </w:rPr>
        <w:t>для</w:t>
      </w:r>
      <w:r w:rsidRPr="00FB3AE0">
        <w:rPr>
          <w:sz w:val="28"/>
          <w:lang w:val="en-US"/>
        </w:rPr>
        <w:t xml:space="preserve"> </w:t>
      </w:r>
      <w:r w:rsidRPr="00715FD4">
        <w:rPr>
          <w:sz w:val="28"/>
          <w:lang w:val="ru-RU"/>
        </w:rPr>
        <w:t>фінансистів</w:t>
      </w:r>
      <w:r w:rsidR="00781A31">
        <w:rPr>
          <w:sz w:val="28"/>
          <w:lang w:val="en-US"/>
        </w:rPr>
        <w:t xml:space="preserve"> </w:t>
      </w:r>
      <w:r w:rsidRPr="00FB3AE0">
        <w:rPr>
          <w:sz w:val="28"/>
          <w:lang w:val="en-US"/>
        </w:rPr>
        <w:t xml:space="preserve">: </w:t>
      </w:r>
      <w:r w:rsidRPr="00715FD4">
        <w:rPr>
          <w:sz w:val="28"/>
          <w:lang w:val="ru-RU"/>
        </w:rPr>
        <w:t>підручник</w:t>
      </w:r>
      <w:r w:rsidRPr="00FB3AE0">
        <w:rPr>
          <w:sz w:val="28"/>
          <w:lang w:val="en-US"/>
        </w:rPr>
        <w:t xml:space="preserve">. / </w:t>
      </w:r>
      <w:r w:rsidRPr="00715FD4">
        <w:rPr>
          <w:sz w:val="28"/>
          <w:lang w:val="ru-RU"/>
        </w:rPr>
        <w:t>О</w:t>
      </w:r>
      <w:r w:rsidRPr="00FB3AE0">
        <w:rPr>
          <w:sz w:val="28"/>
          <w:lang w:val="en-US"/>
        </w:rPr>
        <w:t xml:space="preserve">. </w:t>
      </w:r>
      <w:r w:rsidRPr="00715FD4">
        <w:rPr>
          <w:sz w:val="28"/>
          <w:lang w:val="ru-RU"/>
        </w:rPr>
        <w:t>А</w:t>
      </w:r>
      <w:r w:rsidRPr="00FB3AE0">
        <w:rPr>
          <w:sz w:val="28"/>
          <w:lang w:val="en-US"/>
        </w:rPr>
        <w:t xml:space="preserve">. </w:t>
      </w:r>
      <w:r w:rsidRPr="00715FD4">
        <w:rPr>
          <w:sz w:val="28"/>
          <w:lang w:val="ru-RU"/>
        </w:rPr>
        <w:t>Шеремет</w:t>
      </w:r>
      <w:r w:rsidRPr="00FB3AE0">
        <w:rPr>
          <w:sz w:val="28"/>
          <w:lang w:val="en-US"/>
        </w:rPr>
        <w:t xml:space="preserve">, </w:t>
      </w:r>
      <w:r w:rsidRPr="00715FD4">
        <w:rPr>
          <w:sz w:val="28"/>
          <w:lang w:val="ru-RU"/>
        </w:rPr>
        <w:t>І</w:t>
      </w:r>
      <w:r w:rsidRPr="00FB3AE0">
        <w:rPr>
          <w:sz w:val="28"/>
          <w:lang w:val="en-US"/>
        </w:rPr>
        <w:t xml:space="preserve">. </w:t>
      </w:r>
      <w:r w:rsidRPr="00715FD4">
        <w:rPr>
          <w:sz w:val="28"/>
          <w:lang w:val="ru-RU"/>
        </w:rPr>
        <w:t>В</w:t>
      </w:r>
      <w:r w:rsidRPr="00FB3AE0">
        <w:rPr>
          <w:sz w:val="28"/>
          <w:lang w:val="en-US"/>
        </w:rPr>
        <w:t xml:space="preserve">. </w:t>
      </w:r>
      <w:r w:rsidRPr="00715FD4">
        <w:rPr>
          <w:sz w:val="28"/>
          <w:lang w:val="ru-RU"/>
        </w:rPr>
        <w:t>Дем</w:t>
      </w:r>
      <w:r w:rsidRPr="00FB3AE0">
        <w:rPr>
          <w:sz w:val="28"/>
          <w:lang w:val="en-US"/>
        </w:rPr>
        <w:t>’</w:t>
      </w:r>
      <w:r w:rsidRPr="00715FD4">
        <w:rPr>
          <w:sz w:val="28"/>
          <w:lang w:val="ru-RU"/>
        </w:rPr>
        <w:t>яненко</w:t>
      </w:r>
      <w:r w:rsidRPr="00FB3AE0">
        <w:rPr>
          <w:sz w:val="28"/>
          <w:lang w:val="en-US"/>
        </w:rPr>
        <w:t xml:space="preserve">, </w:t>
      </w:r>
      <w:r w:rsidRPr="00715FD4">
        <w:rPr>
          <w:sz w:val="28"/>
          <w:lang w:val="ru-RU"/>
        </w:rPr>
        <w:t>К</w:t>
      </w:r>
      <w:r w:rsidRPr="00FB3AE0">
        <w:rPr>
          <w:sz w:val="28"/>
          <w:lang w:val="en-US"/>
        </w:rPr>
        <w:t xml:space="preserve">. </w:t>
      </w:r>
      <w:r w:rsidRPr="00715FD4">
        <w:rPr>
          <w:sz w:val="28"/>
          <w:lang w:val="ru-RU"/>
        </w:rPr>
        <w:t>В</w:t>
      </w:r>
      <w:r w:rsidRPr="00FB3AE0">
        <w:rPr>
          <w:sz w:val="28"/>
          <w:lang w:val="en-US"/>
        </w:rPr>
        <w:t xml:space="preserve">. </w:t>
      </w:r>
      <w:r w:rsidRPr="00715FD4">
        <w:rPr>
          <w:sz w:val="28"/>
          <w:lang w:val="ru-RU"/>
        </w:rPr>
        <w:t>Багацька</w:t>
      </w:r>
      <w:r w:rsidRPr="00FB3AE0">
        <w:rPr>
          <w:sz w:val="28"/>
          <w:lang w:val="en-US"/>
        </w:rPr>
        <w:t xml:space="preserve"> [</w:t>
      </w:r>
      <w:r w:rsidRPr="00715FD4">
        <w:rPr>
          <w:sz w:val="28"/>
          <w:lang w:val="ru-RU"/>
        </w:rPr>
        <w:t>та</w:t>
      </w:r>
      <w:r w:rsidRPr="00FB3AE0">
        <w:rPr>
          <w:sz w:val="28"/>
          <w:lang w:val="en-US"/>
        </w:rPr>
        <w:t xml:space="preserve"> </w:t>
      </w:r>
      <w:r w:rsidRPr="00715FD4">
        <w:rPr>
          <w:sz w:val="28"/>
          <w:lang w:val="ru-RU"/>
        </w:rPr>
        <w:t>ін</w:t>
      </w:r>
      <w:r w:rsidRPr="00FB3AE0">
        <w:rPr>
          <w:sz w:val="28"/>
          <w:lang w:val="en-US"/>
        </w:rPr>
        <w:t>.]</w:t>
      </w:r>
      <w:r w:rsidR="0052238A">
        <w:rPr>
          <w:sz w:val="28"/>
          <w:lang w:val="en-US"/>
        </w:rPr>
        <w:t>;</w:t>
      </w:r>
      <w:r w:rsidRPr="00FB3AE0">
        <w:rPr>
          <w:sz w:val="28"/>
          <w:lang w:val="en-US"/>
        </w:rPr>
        <w:t xml:space="preserve"> </w:t>
      </w:r>
      <w:r w:rsidRPr="00715FD4">
        <w:rPr>
          <w:sz w:val="28"/>
          <w:lang w:val="ru-RU"/>
        </w:rPr>
        <w:t>за</w:t>
      </w:r>
      <w:r w:rsidRPr="00FB3AE0">
        <w:rPr>
          <w:sz w:val="28"/>
          <w:lang w:val="en-US"/>
        </w:rPr>
        <w:t xml:space="preserve"> </w:t>
      </w:r>
      <w:r w:rsidRPr="00715FD4">
        <w:rPr>
          <w:sz w:val="28"/>
          <w:lang w:val="ru-RU"/>
        </w:rPr>
        <w:t>заг</w:t>
      </w:r>
      <w:r w:rsidRPr="00FB3AE0">
        <w:rPr>
          <w:sz w:val="28"/>
          <w:lang w:val="en-US"/>
        </w:rPr>
        <w:t xml:space="preserve">. </w:t>
      </w:r>
      <w:r w:rsidRPr="00715FD4">
        <w:rPr>
          <w:sz w:val="28"/>
          <w:lang w:val="ru-RU"/>
        </w:rPr>
        <w:t>ред</w:t>
      </w:r>
      <w:r w:rsidRPr="00FB3AE0">
        <w:rPr>
          <w:sz w:val="28"/>
          <w:lang w:val="en-US"/>
        </w:rPr>
        <w:t xml:space="preserve">. </w:t>
      </w:r>
      <w:r w:rsidRPr="00715FD4">
        <w:rPr>
          <w:sz w:val="28"/>
          <w:lang w:val="en-US"/>
        </w:rPr>
        <w:t>Т. А. Говорушко</w:t>
      </w:r>
      <w:r w:rsidR="0052238A">
        <w:rPr>
          <w:sz w:val="28"/>
          <w:lang w:val="en-US"/>
        </w:rPr>
        <w:t xml:space="preserve">. – К. : </w:t>
      </w:r>
      <w:r w:rsidRPr="00715FD4">
        <w:rPr>
          <w:sz w:val="28"/>
          <w:lang w:val="en-US"/>
        </w:rPr>
        <w:t>Центр учбової літератури, 2013. – 612 с</w:t>
      </w:r>
      <w:r w:rsidR="0052238A">
        <w:rPr>
          <w:sz w:val="28"/>
          <w:lang w:val="en-US"/>
        </w:rPr>
        <w:t>.</w:t>
      </w:r>
      <w:r w:rsidRPr="00715FD4">
        <w:rPr>
          <w:sz w:val="28"/>
          <w:lang w:val="en-US"/>
        </w:rPr>
        <w:t>].</w:t>
      </w:r>
    </w:p>
    <w:p w14:paraId="2DE900B1" w14:textId="77777777" w:rsidR="00715FD4" w:rsidRPr="0052238A" w:rsidRDefault="0052238A" w:rsidP="006F749C">
      <w:pPr>
        <w:numPr>
          <w:ilvl w:val="0"/>
          <w:numId w:val="264"/>
        </w:numPr>
        <w:spacing w:line="240" w:lineRule="atLeast"/>
        <w:ind w:hanging="578"/>
        <w:contextualSpacing/>
        <w:jc w:val="both"/>
        <w:rPr>
          <w:sz w:val="28"/>
          <w:lang w:val="en-US"/>
        </w:rPr>
      </w:pPr>
      <w:r>
        <w:rPr>
          <w:sz w:val="28"/>
          <w:lang w:val="en-US"/>
        </w:rPr>
        <w:t>Shkolnik, I. O., 2008,</w:t>
      </w:r>
      <w:r w:rsidR="00715FD4" w:rsidRPr="00715FD4">
        <w:rPr>
          <w:sz w:val="28"/>
          <w:lang w:val="en-US"/>
        </w:rPr>
        <w:t xml:space="preserve"> </w:t>
      </w:r>
      <w:r w:rsidR="00715FD4" w:rsidRPr="0052238A">
        <w:rPr>
          <w:i/>
          <w:sz w:val="28"/>
          <w:lang w:val="en-US"/>
        </w:rPr>
        <w:t>Financial Market of Ukraine: current state and development strategy</w:t>
      </w:r>
      <w:r>
        <w:rPr>
          <w:sz w:val="28"/>
          <w:lang w:val="en-US"/>
        </w:rPr>
        <w:t>,</w:t>
      </w:r>
      <w:r w:rsidR="00715FD4" w:rsidRPr="0052238A">
        <w:rPr>
          <w:sz w:val="28"/>
          <w:lang w:val="en-US"/>
        </w:rPr>
        <w:t xml:space="preserve"> </w:t>
      </w:r>
      <w:r w:rsidR="00715FD4" w:rsidRPr="00715FD4">
        <w:rPr>
          <w:sz w:val="28"/>
          <w:lang w:val="en-US"/>
        </w:rPr>
        <w:t>Mriya</w:t>
      </w:r>
      <w:r>
        <w:rPr>
          <w:sz w:val="28"/>
          <w:lang w:val="en-US"/>
        </w:rPr>
        <w:t xml:space="preserve">, </w:t>
      </w:r>
      <w:r w:rsidRPr="00715FD4">
        <w:rPr>
          <w:sz w:val="28"/>
          <w:lang w:val="en-US"/>
        </w:rPr>
        <w:t>Sumy</w:t>
      </w:r>
      <w:r w:rsidR="00715FD4" w:rsidRPr="0052238A">
        <w:rPr>
          <w:sz w:val="28"/>
          <w:lang w:val="en-US"/>
        </w:rPr>
        <w:t xml:space="preserve"> [</w:t>
      </w:r>
      <w:r w:rsidR="00715FD4" w:rsidRPr="00715FD4">
        <w:rPr>
          <w:sz w:val="28"/>
          <w:lang w:val="ru-RU"/>
        </w:rPr>
        <w:t>Школьник</w:t>
      </w:r>
      <w:r w:rsidR="00715FD4" w:rsidRPr="0052238A">
        <w:rPr>
          <w:sz w:val="28"/>
          <w:lang w:val="en-US"/>
        </w:rPr>
        <w:t xml:space="preserve"> </w:t>
      </w:r>
      <w:r w:rsidR="00715FD4" w:rsidRPr="00715FD4">
        <w:rPr>
          <w:sz w:val="28"/>
          <w:lang w:val="ru-RU"/>
        </w:rPr>
        <w:t>І</w:t>
      </w:r>
      <w:r w:rsidR="00715FD4" w:rsidRPr="0052238A">
        <w:rPr>
          <w:sz w:val="28"/>
          <w:lang w:val="en-US"/>
        </w:rPr>
        <w:t>.</w:t>
      </w:r>
      <w:r>
        <w:rPr>
          <w:sz w:val="28"/>
          <w:lang w:val="en-US"/>
        </w:rPr>
        <w:t xml:space="preserve"> </w:t>
      </w:r>
      <w:r w:rsidR="00715FD4" w:rsidRPr="00715FD4">
        <w:rPr>
          <w:sz w:val="28"/>
          <w:lang w:val="ru-RU"/>
        </w:rPr>
        <w:t>О</w:t>
      </w:r>
      <w:r w:rsidR="00715FD4" w:rsidRPr="0052238A">
        <w:rPr>
          <w:sz w:val="28"/>
          <w:lang w:val="en-US"/>
        </w:rPr>
        <w:t xml:space="preserve">. </w:t>
      </w:r>
      <w:r w:rsidR="00715FD4" w:rsidRPr="00715FD4">
        <w:rPr>
          <w:sz w:val="28"/>
          <w:lang w:val="ru-RU"/>
        </w:rPr>
        <w:t>Фінансовий</w:t>
      </w:r>
      <w:r w:rsidR="00715FD4" w:rsidRPr="0052238A">
        <w:rPr>
          <w:sz w:val="28"/>
          <w:lang w:val="en-US"/>
        </w:rPr>
        <w:t xml:space="preserve"> </w:t>
      </w:r>
      <w:r w:rsidR="00715FD4" w:rsidRPr="00715FD4">
        <w:rPr>
          <w:sz w:val="28"/>
          <w:lang w:val="ru-RU"/>
        </w:rPr>
        <w:t>ринок</w:t>
      </w:r>
      <w:r w:rsidR="00715FD4" w:rsidRPr="0052238A">
        <w:rPr>
          <w:sz w:val="28"/>
          <w:lang w:val="en-US"/>
        </w:rPr>
        <w:t xml:space="preserve"> </w:t>
      </w:r>
      <w:r w:rsidR="00715FD4" w:rsidRPr="00715FD4">
        <w:rPr>
          <w:sz w:val="28"/>
          <w:lang w:val="ru-RU"/>
        </w:rPr>
        <w:t>України</w:t>
      </w:r>
      <w:r w:rsidR="00715FD4" w:rsidRPr="0052238A">
        <w:rPr>
          <w:sz w:val="28"/>
          <w:lang w:val="en-US"/>
        </w:rPr>
        <w:t xml:space="preserve">: </w:t>
      </w:r>
      <w:r w:rsidR="00715FD4" w:rsidRPr="00715FD4">
        <w:rPr>
          <w:sz w:val="28"/>
          <w:lang w:val="ru-RU"/>
        </w:rPr>
        <w:t>сучасний</w:t>
      </w:r>
      <w:r w:rsidR="00715FD4" w:rsidRPr="0052238A">
        <w:rPr>
          <w:sz w:val="28"/>
          <w:lang w:val="en-US"/>
        </w:rPr>
        <w:t xml:space="preserve"> </w:t>
      </w:r>
      <w:r w:rsidR="00715FD4" w:rsidRPr="00715FD4">
        <w:rPr>
          <w:sz w:val="28"/>
          <w:lang w:val="ru-RU"/>
        </w:rPr>
        <w:t>стан</w:t>
      </w:r>
      <w:r w:rsidR="00715FD4" w:rsidRPr="0052238A">
        <w:rPr>
          <w:sz w:val="28"/>
          <w:lang w:val="en-US"/>
        </w:rPr>
        <w:t xml:space="preserve"> </w:t>
      </w:r>
      <w:r w:rsidR="00715FD4" w:rsidRPr="00715FD4">
        <w:rPr>
          <w:sz w:val="28"/>
          <w:lang w:val="ru-RU"/>
        </w:rPr>
        <w:t>та</w:t>
      </w:r>
      <w:r w:rsidR="00715FD4" w:rsidRPr="0052238A">
        <w:rPr>
          <w:sz w:val="28"/>
          <w:lang w:val="en-US"/>
        </w:rPr>
        <w:t xml:space="preserve"> </w:t>
      </w:r>
      <w:r w:rsidR="00715FD4" w:rsidRPr="00715FD4">
        <w:rPr>
          <w:sz w:val="28"/>
          <w:lang w:val="ru-RU"/>
        </w:rPr>
        <w:t>стратегія</w:t>
      </w:r>
      <w:r w:rsidR="00715FD4" w:rsidRPr="0052238A">
        <w:rPr>
          <w:sz w:val="28"/>
          <w:lang w:val="en-US"/>
        </w:rPr>
        <w:t xml:space="preserve"> </w:t>
      </w:r>
      <w:r w:rsidR="00715FD4" w:rsidRPr="00715FD4">
        <w:rPr>
          <w:sz w:val="28"/>
          <w:lang w:val="ru-RU"/>
        </w:rPr>
        <w:t>розвитку</w:t>
      </w:r>
      <w:r w:rsidR="00715FD4" w:rsidRPr="0052238A">
        <w:rPr>
          <w:sz w:val="28"/>
          <w:lang w:val="en-US"/>
        </w:rPr>
        <w:t xml:space="preserve">: </w:t>
      </w:r>
      <w:r w:rsidR="00715FD4" w:rsidRPr="00715FD4">
        <w:rPr>
          <w:sz w:val="28"/>
          <w:lang w:val="ru-RU"/>
        </w:rPr>
        <w:t>монографія</w:t>
      </w:r>
      <w:r w:rsidR="00715FD4" w:rsidRPr="0052238A">
        <w:rPr>
          <w:sz w:val="28"/>
          <w:lang w:val="en-US"/>
        </w:rPr>
        <w:t xml:space="preserve">. </w:t>
      </w:r>
      <w:r w:rsidR="00E66974" w:rsidRPr="0052238A">
        <w:rPr>
          <w:sz w:val="28"/>
          <w:lang w:val="en-US"/>
        </w:rPr>
        <w:t>–</w:t>
      </w:r>
      <w:r w:rsidR="00715FD4" w:rsidRPr="0052238A">
        <w:rPr>
          <w:sz w:val="28"/>
          <w:lang w:val="en-US"/>
        </w:rPr>
        <w:t xml:space="preserve"> </w:t>
      </w:r>
      <w:r w:rsidR="00715FD4" w:rsidRPr="00715FD4">
        <w:rPr>
          <w:sz w:val="28"/>
          <w:lang w:val="ru-RU"/>
        </w:rPr>
        <w:t>Суми</w:t>
      </w:r>
      <w:r>
        <w:rPr>
          <w:sz w:val="28"/>
          <w:lang w:val="en-US"/>
        </w:rPr>
        <w:t xml:space="preserve"> </w:t>
      </w:r>
      <w:r w:rsidR="00715FD4" w:rsidRPr="0052238A">
        <w:rPr>
          <w:sz w:val="28"/>
          <w:lang w:val="en-US"/>
        </w:rPr>
        <w:t xml:space="preserve">: </w:t>
      </w:r>
      <w:r w:rsidR="00715FD4" w:rsidRPr="00715FD4">
        <w:rPr>
          <w:sz w:val="28"/>
          <w:lang w:val="ru-RU"/>
        </w:rPr>
        <w:t>ВВП</w:t>
      </w:r>
      <w:r>
        <w:rPr>
          <w:sz w:val="28"/>
          <w:lang w:val="en-US"/>
        </w:rPr>
        <w:t xml:space="preserve"> </w:t>
      </w:r>
      <w:r w:rsidR="00715FD4" w:rsidRPr="00715FD4">
        <w:rPr>
          <w:sz w:val="28"/>
          <w:lang w:val="ru-RU"/>
        </w:rPr>
        <w:t>Мрія</w:t>
      </w:r>
      <w:r w:rsidR="00715FD4" w:rsidRPr="0052238A">
        <w:rPr>
          <w:sz w:val="28"/>
          <w:lang w:val="en-US"/>
        </w:rPr>
        <w:t xml:space="preserve"> </w:t>
      </w:r>
      <w:r w:rsidR="00715FD4" w:rsidRPr="00715FD4">
        <w:rPr>
          <w:sz w:val="28"/>
          <w:lang w:val="ru-RU"/>
        </w:rPr>
        <w:t>ТОВ</w:t>
      </w:r>
      <w:r w:rsidR="00715FD4" w:rsidRPr="0052238A">
        <w:rPr>
          <w:sz w:val="28"/>
          <w:lang w:val="en-US"/>
        </w:rPr>
        <w:t xml:space="preserve">, </w:t>
      </w:r>
      <w:r w:rsidR="00715FD4" w:rsidRPr="00715FD4">
        <w:rPr>
          <w:sz w:val="28"/>
          <w:lang w:val="ru-RU"/>
        </w:rPr>
        <w:t>УАБС</w:t>
      </w:r>
      <w:r w:rsidR="00715FD4" w:rsidRPr="0052238A">
        <w:rPr>
          <w:sz w:val="28"/>
          <w:lang w:val="en-US"/>
        </w:rPr>
        <w:t xml:space="preserve"> </w:t>
      </w:r>
      <w:r w:rsidR="00715FD4" w:rsidRPr="00715FD4">
        <w:rPr>
          <w:sz w:val="28"/>
          <w:lang w:val="ru-RU"/>
        </w:rPr>
        <w:t>НБУ</w:t>
      </w:r>
      <w:r w:rsidR="00715FD4" w:rsidRPr="0052238A">
        <w:rPr>
          <w:sz w:val="28"/>
          <w:lang w:val="en-US"/>
        </w:rPr>
        <w:t xml:space="preserve">, 2008. </w:t>
      </w:r>
      <w:r w:rsidR="00E66974" w:rsidRPr="0052238A">
        <w:rPr>
          <w:sz w:val="28"/>
          <w:lang w:val="en-US"/>
        </w:rPr>
        <w:t>–</w:t>
      </w:r>
      <w:r w:rsidR="00715FD4" w:rsidRPr="0052238A">
        <w:rPr>
          <w:sz w:val="28"/>
          <w:lang w:val="en-US"/>
        </w:rPr>
        <w:t xml:space="preserve"> 348 </w:t>
      </w:r>
      <w:r w:rsidR="00715FD4" w:rsidRPr="00715FD4">
        <w:rPr>
          <w:sz w:val="28"/>
          <w:lang w:val="ru-RU"/>
        </w:rPr>
        <w:t>с</w:t>
      </w:r>
      <w:r>
        <w:rPr>
          <w:sz w:val="28"/>
          <w:lang w:val="en-US"/>
        </w:rPr>
        <w:t>.</w:t>
      </w:r>
      <w:r w:rsidR="00715FD4" w:rsidRPr="0052238A">
        <w:rPr>
          <w:sz w:val="28"/>
          <w:lang w:val="en-US"/>
        </w:rPr>
        <w:t>].</w:t>
      </w:r>
    </w:p>
    <w:p w14:paraId="5ECC3F9F" w14:textId="77777777" w:rsidR="00715FD4" w:rsidRPr="0052238A" w:rsidRDefault="00715FD4" w:rsidP="006F749C">
      <w:pPr>
        <w:numPr>
          <w:ilvl w:val="0"/>
          <w:numId w:val="264"/>
        </w:numPr>
        <w:spacing w:line="240" w:lineRule="atLeast"/>
        <w:ind w:hanging="578"/>
        <w:contextualSpacing/>
        <w:jc w:val="both"/>
        <w:rPr>
          <w:sz w:val="28"/>
          <w:lang w:val="en-US"/>
        </w:rPr>
      </w:pPr>
      <w:r w:rsidRPr="00715FD4">
        <w:rPr>
          <w:sz w:val="28"/>
          <w:lang w:val="en-US"/>
        </w:rPr>
        <w:t>Shkolnik, I. O., Boyarko, I. M., Deyneka, O. V.</w:t>
      </w:r>
      <w:r w:rsidR="0052238A">
        <w:rPr>
          <w:sz w:val="28"/>
          <w:lang w:val="en-US"/>
        </w:rPr>
        <w:t>, and others, 2016,</w:t>
      </w:r>
      <w:r w:rsidRPr="00715FD4">
        <w:rPr>
          <w:sz w:val="28"/>
          <w:lang w:val="en-US"/>
        </w:rPr>
        <w:t xml:space="preserve"> </w:t>
      </w:r>
      <w:r w:rsidRPr="0052238A">
        <w:rPr>
          <w:i/>
          <w:sz w:val="28"/>
          <w:lang w:val="en-US"/>
        </w:rPr>
        <w:t>Financial Analysis</w:t>
      </w:r>
      <w:r w:rsidR="0052238A">
        <w:rPr>
          <w:i/>
          <w:sz w:val="28"/>
          <w:lang w:val="en-US"/>
        </w:rPr>
        <w:t>,</w:t>
      </w:r>
      <w:r w:rsidRPr="00715FD4">
        <w:rPr>
          <w:sz w:val="28"/>
          <w:lang w:val="en-US"/>
        </w:rPr>
        <w:t xml:space="preserve"> Centre of educational literature</w:t>
      </w:r>
      <w:r w:rsidR="0052238A">
        <w:rPr>
          <w:sz w:val="28"/>
          <w:lang w:val="en-US"/>
        </w:rPr>
        <w:t xml:space="preserve">, </w:t>
      </w:r>
      <w:r w:rsidR="0052238A" w:rsidRPr="00715FD4">
        <w:rPr>
          <w:sz w:val="28"/>
          <w:lang w:val="en-US"/>
        </w:rPr>
        <w:t>Kyiv</w:t>
      </w:r>
      <w:r w:rsidRPr="00715FD4">
        <w:rPr>
          <w:sz w:val="28"/>
          <w:lang w:val="en-US"/>
        </w:rPr>
        <w:t xml:space="preserve"> [Фінансовий аналіз : навчальний посібник. / </w:t>
      </w:r>
      <w:r w:rsidRPr="00715FD4">
        <w:rPr>
          <w:sz w:val="28"/>
          <w:lang w:val="ru-RU"/>
        </w:rPr>
        <w:t>І</w:t>
      </w:r>
      <w:r w:rsidRPr="0052238A">
        <w:rPr>
          <w:sz w:val="28"/>
          <w:lang w:val="en-US"/>
        </w:rPr>
        <w:t xml:space="preserve">. </w:t>
      </w:r>
      <w:r w:rsidRPr="00715FD4">
        <w:rPr>
          <w:sz w:val="28"/>
          <w:lang w:val="ru-RU"/>
        </w:rPr>
        <w:t>О</w:t>
      </w:r>
      <w:r w:rsidRPr="0052238A">
        <w:rPr>
          <w:sz w:val="28"/>
          <w:lang w:val="en-US"/>
        </w:rPr>
        <w:t xml:space="preserve">. </w:t>
      </w:r>
      <w:r w:rsidRPr="00715FD4">
        <w:rPr>
          <w:sz w:val="28"/>
          <w:lang w:val="ru-RU"/>
        </w:rPr>
        <w:t>Школьник</w:t>
      </w:r>
      <w:r w:rsidRPr="0052238A">
        <w:rPr>
          <w:sz w:val="28"/>
          <w:lang w:val="en-US"/>
        </w:rPr>
        <w:t xml:space="preserve">, </w:t>
      </w:r>
      <w:r w:rsidRPr="00715FD4">
        <w:rPr>
          <w:sz w:val="28"/>
          <w:lang w:val="ru-RU"/>
        </w:rPr>
        <w:t>І</w:t>
      </w:r>
      <w:r w:rsidRPr="0052238A">
        <w:rPr>
          <w:sz w:val="28"/>
          <w:lang w:val="en-US"/>
        </w:rPr>
        <w:t xml:space="preserve">. </w:t>
      </w:r>
      <w:r w:rsidRPr="00715FD4">
        <w:rPr>
          <w:sz w:val="28"/>
          <w:lang w:val="ru-RU"/>
        </w:rPr>
        <w:t>М</w:t>
      </w:r>
      <w:r w:rsidRPr="0052238A">
        <w:rPr>
          <w:sz w:val="28"/>
          <w:lang w:val="en-US"/>
        </w:rPr>
        <w:t xml:space="preserve">. </w:t>
      </w:r>
      <w:r w:rsidRPr="00715FD4">
        <w:rPr>
          <w:sz w:val="28"/>
          <w:lang w:val="ru-RU"/>
        </w:rPr>
        <w:t>Боярко</w:t>
      </w:r>
      <w:r w:rsidRPr="0052238A">
        <w:rPr>
          <w:sz w:val="28"/>
          <w:lang w:val="en-US"/>
        </w:rPr>
        <w:t xml:space="preserve">, </w:t>
      </w:r>
      <w:r w:rsidRPr="00715FD4">
        <w:rPr>
          <w:sz w:val="28"/>
          <w:lang w:val="ru-RU"/>
        </w:rPr>
        <w:t>О</w:t>
      </w:r>
      <w:r w:rsidRPr="0052238A">
        <w:rPr>
          <w:sz w:val="28"/>
          <w:lang w:val="en-US"/>
        </w:rPr>
        <w:t xml:space="preserve">. </w:t>
      </w:r>
      <w:r w:rsidRPr="00715FD4">
        <w:rPr>
          <w:sz w:val="28"/>
          <w:lang w:val="ru-RU"/>
        </w:rPr>
        <w:t>В</w:t>
      </w:r>
      <w:r w:rsidRPr="0052238A">
        <w:rPr>
          <w:sz w:val="28"/>
          <w:lang w:val="en-US"/>
        </w:rPr>
        <w:t xml:space="preserve">. </w:t>
      </w:r>
      <w:r w:rsidRPr="00715FD4">
        <w:rPr>
          <w:sz w:val="28"/>
          <w:lang w:val="ru-RU"/>
        </w:rPr>
        <w:t>Дейнека</w:t>
      </w:r>
      <w:r w:rsidRPr="0052238A">
        <w:rPr>
          <w:sz w:val="28"/>
          <w:lang w:val="en-US"/>
        </w:rPr>
        <w:t xml:space="preserve"> </w:t>
      </w:r>
      <w:r w:rsidRPr="00715FD4">
        <w:rPr>
          <w:sz w:val="28"/>
          <w:lang w:val="ru-RU"/>
        </w:rPr>
        <w:t>та</w:t>
      </w:r>
      <w:r w:rsidRPr="0052238A">
        <w:rPr>
          <w:sz w:val="28"/>
          <w:lang w:val="en-US"/>
        </w:rPr>
        <w:t xml:space="preserve"> </w:t>
      </w:r>
      <w:r w:rsidRPr="00715FD4">
        <w:rPr>
          <w:sz w:val="28"/>
          <w:lang w:val="ru-RU"/>
        </w:rPr>
        <w:t>ін</w:t>
      </w:r>
      <w:r w:rsidR="0052238A">
        <w:rPr>
          <w:sz w:val="28"/>
          <w:lang w:val="en-US"/>
        </w:rPr>
        <w:t xml:space="preserve">.; </w:t>
      </w:r>
      <w:r w:rsidR="0052238A" w:rsidRPr="00715FD4">
        <w:rPr>
          <w:sz w:val="28"/>
          <w:lang w:val="en-US"/>
        </w:rPr>
        <w:t xml:space="preserve">за заг. ред. </w:t>
      </w:r>
      <w:r w:rsidR="0052238A">
        <w:rPr>
          <w:sz w:val="28"/>
          <w:lang w:val="ru-RU"/>
        </w:rPr>
        <w:t>І</w:t>
      </w:r>
      <w:r w:rsidR="0052238A" w:rsidRPr="0052238A">
        <w:rPr>
          <w:sz w:val="28"/>
          <w:lang w:val="en-US"/>
        </w:rPr>
        <w:t xml:space="preserve">. </w:t>
      </w:r>
      <w:r w:rsidR="0052238A">
        <w:rPr>
          <w:sz w:val="28"/>
          <w:lang w:val="ru-RU"/>
        </w:rPr>
        <w:t>О</w:t>
      </w:r>
      <w:r w:rsidR="0052238A" w:rsidRPr="0052238A">
        <w:rPr>
          <w:sz w:val="28"/>
          <w:lang w:val="en-US"/>
        </w:rPr>
        <w:t xml:space="preserve">. </w:t>
      </w:r>
      <w:r w:rsidR="0052238A">
        <w:rPr>
          <w:sz w:val="28"/>
          <w:lang w:val="ru-RU"/>
        </w:rPr>
        <w:t>Школьник</w:t>
      </w:r>
      <w:r w:rsidR="0052238A">
        <w:rPr>
          <w:sz w:val="28"/>
          <w:lang w:val="en-US"/>
        </w:rPr>
        <w:t xml:space="preserve">. </w:t>
      </w:r>
      <w:r w:rsidRPr="0052238A">
        <w:rPr>
          <w:sz w:val="28"/>
          <w:lang w:val="en-US"/>
        </w:rPr>
        <w:t xml:space="preserve">– </w:t>
      </w:r>
      <w:r w:rsidRPr="00715FD4">
        <w:rPr>
          <w:sz w:val="28"/>
          <w:lang w:val="ru-RU"/>
        </w:rPr>
        <w:t>К</w:t>
      </w:r>
      <w:r w:rsidR="0052238A">
        <w:rPr>
          <w:sz w:val="28"/>
          <w:lang w:val="en-US"/>
        </w:rPr>
        <w:t xml:space="preserve">. : </w:t>
      </w:r>
      <w:r w:rsidRPr="00715FD4">
        <w:rPr>
          <w:sz w:val="28"/>
          <w:lang w:val="ru-RU"/>
        </w:rPr>
        <w:t>Центр</w:t>
      </w:r>
      <w:r w:rsidRPr="0052238A">
        <w:rPr>
          <w:sz w:val="28"/>
          <w:lang w:val="en-US"/>
        </w:rPr>
        <w:t xml:space="preserve"> </w:t>
      </w:r>
      <w:r w:rsidRPr="00715FD4">
        <w:rPr>
          <w:sz w:val="28"/>
          <w:lang w:val="ru-RU"/>
        </w:rPr>
        <w:t>учбової</w:t>
      </w:r>
      <w:r w:rsidRPr="0052238A">
        <w:rPr>
          <w:sz w:val="28"/>
          <w:lang w:val="en-US"/>
        </w:rPr>
        <w:t xml:space="preserve"> </w:t>
      </w:r>
      <w:r w:rsidRPr="00715FD4">
        <w:rPr>
          <w:sz w:val="28"/>
          <w:lang w:val="ru-RU"/>
        </w:rPr>
        <w:t>літератури</w:t>
      </w:r>
      <w:r w:rsidRPr="0052238A">
        <w:rPr>
          <w:sz w:val="28"/>
          <w:lang w:val="en-US"/>
        </w:rPr>
        <w:t xml:space="preserve">, 2016. – 368 </w:t>
      </w:r>
      <w:r w:rsidRPr="00715FD4">
        <w:rPr>
          <w:sz w:val="28"/>
          <w:lang w:val="ru-RU"/>
        </w:rPr>
        <w:t>с</w:t>
      </w:r>
      <w:r w:rsidR="0052238A">
        <w:rPr>
          <w:sz w:val="28"/>
          <w:lang w:val="en-US"/>
        </w:rPr>
        <w:t>.</w:t>
      </w:r>
      <w:r w:rsidRPr="0052238A">
        <w:rPr>
          <w:sz w:val="28"/>
          <w:lang w:val="en-US"/>
        </w:rPr>
        <w:t>].</w:t>
      </w:r>
    </w:p>
    <w:p w14:paraId="5CB18EE0"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Shkolnik, I. O., Dehtyar, N. A., Lyuta, O. V.</w:t>
      </w:r>
      <w:r w:rsidR="0052238A">
        <w:rPr>
          <w:sz w:val="28"/>
          <w:lang w:val="en-US"/>
        </w:rPr>
        <w:t>, and others, 2015,</w:t>
      </w:r>
      <w:r w:rsidRPr="00715FD4">
        <w:rPr>
          <w:sz w:val="28"/>
          <w:lang w:val="en-US"/>
        </w:rPr>
        <w:t xml:space="preserve"> </w:t>
      </w:r>
      <w:r w:rsidRPr="0052238A">
        <w:rPr>
          <w:i/>
          <w:sz w:val="28"/>
          <w:lang w:val="en-US"/>
        </w:rPr>
        <w:t>Finance: Practice</w:t>
      </w:r>
      <w:r w:rsidR="0052238A">
        <w:rPr>
          <w:i/>
          <w:sz w:val="28"/>
          <w:lang w:val="en-US"/>
        </w:rPr>
        <w:t>,</w:t>
      </w:r>
      <w:r w:rsidR="0052238A">
        <w:rPr>
          <w:sz w:val="28"/>
          <w:lang w:val="en-US"/>
        </w:rPr>
        <w:t xml:space="preserve"> </w:t>
      </w:r>
      <w:r w:rsidRPr="00715FD4">
        <w:rPr>
          <w:sz w:val="28"/>
          <w:lang w:val="en-US"/>
        </w:rPr>
        <w:t>UAB</w:t>
      </w:r>
      <w:r w:rsidR="0052238A">
        <w:rPr>
          <w:sz w:val="28"/>
          <w:lang w:val="en-US"/>
        </w:rPr>
        <w:t>,</w:t>
      </w:r>
      <w:r w:rsidR="0052238A" w:rsidRPr="0052238A">
        <w:rPr>
          <w:sz w:val="28"/>
          <w:lang w:val="en-US"/>
        </w:rPr>
        <w:t xml:space="preserve"> </w:t>
      </w:r>
      <w:r w:rsidR="0052238A">
        <w:rPr>
          <w:sz w:val="28"/>
          <w:lang w:val="en-US"/>
        </w:rPr>
        <w:t>Sumy</w:t>
      </w:r>
      <w:r w:rsidRPr="00715FD4">
        <w:rPr>
          <w:sz w:val="28"/>
          <w:lang w:val="en-US"/>
        </w:rPr>
        <w:t xml:space="preserve"> [Фінанси : практикум / І. О. Школьник, Н. А. Дехтяр, О. В. Люта та ін. // Державний вищий навчальний заклад «Українська академія банківської справи Національного</w:t>
      </w:r>
      <w:r w:rsidR="0052238A">
        <w:rPr>
          <w:sz w:val="28"/>
          <w:lang w:val="en-US"/>
        </w:rPr>
        <w:t xml:space="preserve"> банку України». – Суми : ДВНЗ </w:t>
      </w:r>
      <w:r w:rsidRPr="00715FD4">
        <w:rPr>
          <w:sz w:val="28"/>
          <w:lang w:val="en-US"/>
        </w:rPr>
        <w:t>УАБС</w:t>
      </w:r>
      <w:r w:rsidR="0052238A">
        <w:rPr>
          <w:sz w:val="28"/>
          <w:lang w:val="en-US"/>
        </w:rPr>
        <w:t xml:space="preserve"> НБУ</w:t>
      </w:r>
      <w:r w:rsidRPr="00715FD4">
        <w:rPr>
          <w:sz w:val="28"/>
          <w:lang w:val="en-US"/>
        </w:rPr>
        <w:t>, 2015. – 218 с].</w:t>
      </w:r>
    </w:p>
    <w:p w14:paraId="22C31898" w14:textId="77777777" w:rsidR="00715FD4" w:rsidRPr="0052238A" w:rsidRDefault="00715FD4" w:rsidP="006F749C">
      <w:pPr>
        <w:numPr>
          <w:ilvl w:val="0"/>
          <w:numId w:val="264"/>
        </w:numPr>
        <w:spacing w:line="240" w:lineRule="atLeast"/>
        <w:ind w:hanging="578"/>
        <w:contextualSpacing/>
        <w:jc w:val="both"/>
        <w:rPr>
          <w:sz w:val="28"/>
          <w:lang w:val="ru-RU"/>
        </w:rPr>
      </w:pPr>
      <w:r w:rsidRPr="00715FD4">
        <w:rPr>
          <w:sz w:val="28"/>
          <w:lang w:val="en-US"/>
        </w:rPr>
        <w:lastRenderedPageBreak/>
        <w:t xml:space="preserve">Shkolnik, I. O., </w:t>
      </w:r>
      <w:r w:rsidR="0052238A">
        <w:rPr>
          <w:sz w:val="28"/>
          <w:lang w:val="en-US"/>
        </w:rPr>
        <w:t>and Kremen V. M., 2014,</w:t>
      </w:r>
      <w:r w:rsidRPr="00715FD4">
        <w:rPr>
          <w:sz w:val="28"/>
          <w:lang w:val="en-US"/>
        </w:rPr>
        <w:t xml:space="preserve"> </w:t>
      </w:r>
      <w:r w:rsidRPr="0052238A">
        <w:rPr>
          <w:i/>
          <w:sz w:val="28"/>
          <w:lang w:val="en-US"/>
        </w:rPr>
        <w:t>Financial Management</w:t>
      </w:r>
      <w:r w:rsidR="0052238A">
        <w:rPr>
          <w:i/>
          <w:sz w:val="28"/>
          <w:lang w:val="en-US"/>
        </w:rPr>
        <w:t>,</w:t>
      </w:r>
      <w:r w:rsidRPr="00715FD4">
        <w:rPr>
          <w:sz w:val="28"/>
          <w:lang w:val="en-US"/>
        </w:rPr>
        <w:t xml:space="preserve"> Centre of educational literature</w:t>
      </w:r>
      <w:r w:rsidR="0052238A">
        <w:rPr>
          <w:sz w:val="28"/>
          <w:lang w:val="en-US"/>
        </w:rPr>
        <w:t>,</w:t>
      </w:r>
      <w:r w:rsidR="0052238A" w:rsidRPr="0052238A">
        <w:rPr>
          <w:sz w:val="28"/>
          <w:lang w:val="en-US"/>
        </w:rPr>
        <w:t xml:space="preserve"> </w:t>
      </w:r>
      <w:r w:rsidR="0052238A" w:rsidRPr="00715FD4">
        <w:rPr>
          <w:sz w:val="28"/>
          <w:lang w:val="en-US"/>
        </w:rPr>
        <w:t>Kyiv</w:t>
      </w:r>
      <w:r w:rsidR="0052238A">
        <w:rPr>
          <w:sz w:val="28"/>
          <w:lang w:val="en-US"/>
        </w:rPr>
        <w:t>,</w:t>
      </w:r>
      <w:r w:rsidRPr="00715FD4">
        <w:rPr>
          <w:sz w:val="28"/>
          <w:lang w:val="en-US"/>
        </w:rPr>
        <w:t xml:space="preserve"> </w:t>
      </w:r>
      <w:r w:rsidRPr="0052238A">
        <w:rPr>
          <w:sz w:val="28"/>
          <w:lang w:val="en-US"/>
        </w:rPr>
        <w:t>[</w:t>
      </w:r>
      <w:r w:rsidRPr="00715FD4">
        <w:rPr>
          <w:sz w:val="28"/>
          <w:lang w:val="ru-RU"/>
        </w:rPr>
        <w:t>Фінансовий</w:t>
      </w:r>
      <w:r w:rsidRPr="0052238A">
        <w:rPr>
          <w:sz w:val="28"/>
          <w:lang w:val="en-US"/>
        </w:rPr>
        <w:t xml:space="preserve"> </w:t>
      </w:r>
      <w:r w:rsidRPr="00715FD4">
        <w:rPr>
          <w:sz w:val="28"/>
          <w:lang w:val="ru-RU"/>
        </w:rPr>
        <w:t>менеджмент</w:t>
      </w:r>
      <w:r w:rsidRPr="0052238A">
        <w:rPr>
          <w:sz w:val="28"/>
          <w:lang w:val="en-US"/>
        </w:rPr>
        <w:t xml:space="preserve"> </w:t>
      </w:r>
      <w:r w:rsidR="0052238A">
        <w:rPr>
          <w:sz w:val="28"/>
          <w:lang w:val="en-US"/>
        </w:rPr>
        <w:t xml:space="preserve">: </w:t>
      </w:r>
      <w:r w:rsidRPr="00715FD4">
        <w:rPr>
          <w:sz w:val="28"/>
          <w:lang w:val="ru-RU"/>
        </w:rPr>
        <w:t>навч</w:t>
      </w:r>
      <w:r w:rsidRPr="0052238A">
        <w:rPr>
          <w:sz w:val="28"/>
          <w:lang w:val="en-US"/>
        </w:rPr>
        <w:t xml:space="preserve">. </w:t>
      </w:r>
      <w:r w:rsidRPr="00715FD4">
        <w:rPr>
          <w:sz w:val="28"/>
          <w:lang w:val="ru-RU"/>
        </w:rPr>
        <w:t>посіб</w:t>
      </w:r>
      <w:r w:rsidRPr="0052238A">
        <w:rPr>
          <w:sz w:val="28"/>
          <w:lang w:val="en-US"/>
        </w:rPr>
        <w:t xml:space="preserve">. / </w:t>
      </w:r>
      <w:r w:rsidRPr="00715FD4">
        <w:rPr>
          <w:sz w:val="28"/>
          <w:lang w:val="ru-RU"/>
        </w:rPr>
        <w:t>І</w:t>
      </w:r>
      <w:r w:rsidR="0052238A">
        <w:rPr>
          <w:sz w:val="28"/>
          <w:lang w:val="en-US"/>
        </w:rPr>
        <w:t>. </w:t>
      </w:r>
      <w:r w:rsidRPr="00715FD4">
        <w:rPr>
          <w:sz w:val="28"/>
          <w:lang w:val="ru-RU"/>
        </w:rPr>
        <w:t>О</w:t>
      </w:r>
      <w:r w:rsidRPr="0052238A">
        <w:rPr>
          <w:sz w:val="28"/>
          <w:lang w:val="en-US"/>
        </w:rPr>
        <w:t>.</w:t>
      </w:r>
      <w:r w:rsidR="0052238A">
        <w:rPr>
          <w:sz w:val="28"/>
          <w:lang w:val="en-US"/>
        </w:rPr>
        <w:t> </w:t>
      </w:r>
      <w:r w:rsidRPr="00715FD4">
        <w:rPr>
          <w:sz w:val="28"/>
          <w:lang w:val="ru-RU"/>
        </w:rPr>
        <w:t>Школьник</w:t>
      </w:r>
      <w:r w:rsidRPr="0052238A">
        <w:rPr>
          <w:sz w:val="28"/>
          <w:lang w:val="en-US"/>
        </w:rPr>
        <w:t xml:space="preserve">, </w:t>
      </w:r>
      <w:r w:rsidRPr="00715FD4">
        <w:rPr>
          <w:sz w:val="28"/>
          <w:lang w:val="ru-RU"/>
        </w:rPr>
        <w:t>В</w:t>
      </w:r>
      <w:r w:rsidRPr="0052238A">
        <w:rPr>
          <w:sz w:val="28"/>
          <w:lang w:val="en-US"/>
        </w:rPr>
        <w:t xml:space="preserve">. </w:t>
      </w:r>
      <w:r w:rsidRPr="00715FD4">
        <w:rPr>
          <w:sz w:val="28"/>
          <w:lang w:val="ru-RU"/>
        </w:rPr>
        <w:t>М</w:t>
      </w:r>
      <w:r w:rsidRPr="0052238A">
        <w:rPr>
          <w:sz w:val="28"/>
          <w:lang w:val="en-US"/>
        </w:rPr>
        <w:t xml:space="preserve">. </w:t>
      </w:r>
      <w:r w:rsidRPr="00715FD4">
        <w:rPr>
          <w:sz w:val="28"/>
          <w:lang w:val="ru-RU"/>
        </w:rPr>
        <w:t>Кремень</w:t>
      </w:r>
      <w:r w:rsidRPr="0052238A">
        <w:rPr>
          <w:sz w:val="28"/>
          <w:lang w:val="en-US"/>
        </w:rPr>
        <w:t xml:space="preserve">, </w:t>
      </w:r>
      <w:r w:rsidRPr="00715FD4">
        <w:rPr>
          <w:sz w:val="28"/>
          <w:lang w:val="ru-RU"/>
        </w:rPr>
        <w:t>С</w:t>
      </w:r>
      <w:r w:rsidRPr="0052238A">
        <w:rPr>
          <w:sz w:val="28"/>
          <w:lang w:val="en-US"/>
        </w:rPr>
        <w:t xml:space="preserve">. </w:t>
      </w:r>
      <w:r w:rsidRPr="00715FD4">
        <w:rPr>
          <w:sz w:val="28"/>
          <w:lang w:val="ru-RU"/>
        </w:rPr>
        <w:t>М</w:t>
      </w:r>
      <w:r w:rsidRPr="0052238A">
        <w:rPr>
          <w:sz w:val="28"/>
          <w:lang w:val="en-US"/>
        </w:rPr>
        <w:t xml:space="preserve">. </w:t>
      </w:r>
      <w:r w:rsidRPr="00715FD4">
        <w:rPr>
          <w:sz w:val="28"/>
          <w:lang w:val="ru-RU"/>
        </w:rPr>
        <w:t>Козьменко</w:t>
      </w:r>
      <w:r w:rsidRPr="0052238A">
        <w:rPr>
          <w:sz w:val="28"/>
          <w:lang w:val="en-US"/>
        </w:rPr>
        <w:t xml:space="preserve"> </w:t>
      </w:r>
      <w:r w:rsidRPr="00715FD4">
        <w:rPr>
          <w:sz w:val="28"/>
          <w:lang w:val="ru-RU"/>
        </w:rPr>
        <w:t>та</w:t>
      </w:r>
      <w:r w:rsidRPr="0052238A">
        <w:rPr>
          <w:sz w:val="28"/>
          <w:lang w:val="en-US"/>
        </w:rPr>
        <w:t xml:space="preserve"> </w:t>
      </w:r>
      <w:r w:rsidRPr="00715FD4">
        <w:rPr>
          <w:sz w:val="28"/>
          <w:lang w:val="ru-RU"/>
        </w:rPr>
        <w:t>ін</w:t>
      </w:r>
      <w:r w:rsidRPr="0052238A">
        <w:rPr>
          <w:sz w:val="28"/>
          <w:lang w:val="en-US"/>
        </w:rPr>
        <w:t>.</w:t>
      </w:r>
      <w:r w:rsidR="0052238A">
        <w:rPr>
          <w:sz w:val="28"/>
          <w:lang w:val="en-US"/>
        </w:rPr>
        <w:t xml:space="preserve">; </w:t>
      </w:r>
      <w:r w:rsidR="0052238A" w:rsidRPr="00715FD4">
        <w:rPr>
          <w:sz w:val="28"/>
          <w:lang w:val="ru-RU"/>
        </w:rPr>
        <w:t>за</w:t>
      </w:r>
      <w:r w:rsidR="0052238A" w:rsidRPr="0052238A">
        <w:rPr>
          <w:sz w:val="28"/>
          <w:lang w:val="en-US"/>
        </w:rPr>
        <w:t xml:space="preserve"> </w:t>
      </w:r>
      <w:r w:rsidR="0052238A" w:rsidRPr="00715FD4">
        <w:rPr>
          <w:sz w:val="28"/>
          <w:lang w:val="ru-RU"/>
        </w:rPr>
        <w:t>заг</w:t>
      </w:r>
      <w:r w:rsidR="0052238A" w:rsidRPr="0052238A">
        <w:rPr>
          <w:sz w:val="28"/>
          <w:lang w:val="en-US"/>
        </w:rPr>
        <w:t xml:space="preserve">. </w:t>
      </w:r>
      <w:r w:rsidR="0052238A" w:rsidRPr="00715FD4">
        <w:rPr>
          <w:sz w:val="28"/>
          <w:lang w:val="ru-RU"/>
        </w:rPr>
        <w:t>ред</w:t>
      </w:r>
      <w:r w:rsidR="0052238A" w:rsidRPr="0052238A">
        <w:rPr>
          <w:sz w:val="28"/>
          <w:lang w:val="en-US"/>
        </w:rPr>
        <w:t xml:space="preserve">. </w:t>
      </w:r>
      <w:r w:rsidR="0052238A" w:rsidRPr="00715FD4">
        <w:rPr>
          <w:sz w:val="28"/>
          <w:lang w:val="ru-RU"/>
        </w:rPr>
        <w:t>І. О. Школьник., В. М. Кремень</w:t>
      </w:r>
      <w:r w:rsidRPr="0052238A">
        <w:rPr>
          <w:sz w:val="28"/>
          <w:lang w:val="ru-RU"/>
        </w:rPr>
        <w:t xml:space="preserve">. – </w:t>
      </w:r>
      <w:r w:rsidRPr="00715FD4">
        <w:rPr>
          <w:sz w:val="28"/>
          <w:lang w:val="ru-RU"/>
        </w:rPr>
        <w:t>К</w:t>
      </w:r>
      <w:r w:rsidR="0052238A">
        <w:rPr>
          <w:sz w:val="28"/>
          <w:lang w:val="ru-RU"/>
        </w:rPr>
        <w:t xml:space="preserve">. : </w:t>
      </w:r>
      <w:r w:rsidRPr="00715FD4">
        <w:rPr>
          <w:sz w:val="28"/>
          <w:lang w:val="ru-RU"/>
        </w:rPr>
        <w:t>Центр</w:t>
      </w:r>
      <w:r w:rsidRPr="0052238A">
        <w:rPr>
          <w:sz w:val="28"/>
          <w:lang w:val="ru-RU"/>
        </w:rPr>
        <w:t xml:space="preserve"> </w:t>
      </w:r>
      <w:r w:rsidRPr="00715FD4">
        <w:rPr>
          <w:sz w:val="28"/>
          <w:lang w:val="ru-RU"/>
        </w:rPr>
        <w:t>учбової</w:t>
      </w:r>
      <w:r w:rsidRPr="0052238A">
        <w:rPr>
          <w:sz w:val="28"/>
          <w:lang w:val="ru-RU"/>
        </w:rPr>
        <w:t xml:space="preserve"> </w:t>
      </w:r>
      <w:r w:rsidRPr="00715FD4">
        <w:rPr>
          <w:sz w:val="28"/>
          <w:lang w:val="ru-RU"/>
        </w:rPr>
        <w:t>літератури</w:t>
      </w:r>
      <w:r w:rsidRPr="0052238A">
        <w:rPr>
          <w:sz w:val="28"/>
          <w:lang w:val="ru-RU"/>
        </w:rPr>
        <w:t xml:space="preserve">, 2014. – 488 </w:t>
      </w:r>
      <w:r w:rsidRPr="00715FD4">
        <w:rPr>
          <w:sz w:val="28"/>
          <w:lang w:val="ru-RU"/>
        </w:rPr>
        <w:t>с</w:t>
      </w:r>
      <w:r w:rsidR="0052238A" w:rsidRPr="0052238A">
        <w:rPr>
          <w:sz w:val="28"/>
          <w:lang w:val="ru-RU"/>
        </w:rPr>
        <w:t>.</w:t>
      </w:r>
      <w:r w:rsidRPr="0052238A">
        <w:rPr>
          <w:sz w:val="28"/>
          <w:lang w:val="ru-RU"/>
        </w:rPr>
        <w:t>].</w:t>
      </w:r>
    </w:p>
    <w:p w14:paraId="3193444E" w14:textId="77777777" w:rsidR="00715FD4" w:rsidRPr="00715FD4" w:rsidRDefault="00715FD4" w:rsidP="006F749C">
      <w:pPr>
        <w:numPr>
          <w:ilvl w:val="0"/>
          <w:numId w:val="264"/>
        </w:numPr>
        <w:spacing w:line="240" w:lineRule="atLeast"/>
        <w:ind w:hanging="578"/>
        <w:contextualSpacing/>
        <w:jc w:val="both"/>
        <w:rPr>
          <w:sz w:val="28"/>
          <w:lang w:val="ru-RU"/>
        </w:rPr>
      </w:pPr>
      <w:r w:rsidRPr="00715FD4">
        <w:rPr>
          <w:sz w:val="28"/>
          <w:lang w:val="en-US"/>
        </w:rPr>
        <w:t>Shkolnik</w:t>
      </w:r>
      <w:r w:rsidRPr="0052238A">
        <w:rPr>
          <w:sz w:val="28"/>
          <w:lang w:val="ru-RU"/>
        </w:rPr>
        <w:t xml:space="preserve">, </w:t>
      </w:r>
      <w:r w:rsidRPr="00715FD4">
        <w:rPr>
          <w:sz w:val="28"/>
          <w:lang w:val="en-US"/>
        </w:rPr>
        <w:t>I</w:t>
      </w:r>
      <w:r w:rsidRPr="0052238A">
        <w:rPr>
          <w:sz w:val="28"/>
          <w:lang w:val="ru-RU"/>
        </w:rPr>
        <w:t xml:space="preserve">. </w:t>
      </w:r>
      <w:r w:rsidRPr="00715FD4">
        <w:rPr>
          <w:sz w:val="28"/>
          <w:lang w:val="en-US"/>
        </w:rPr>
        <w:t>O</w:t>
      </w:r>
      <w:r w:rsidRPr="0052238A">
        <w:rPr>
          <w:sz w:val="28"/>
          <w:lang w:val="ru-RU"/>
        </w:rPr>
        <w:t xml:space="preserve">., </w:t>
      </w:r>
      <w:r w:rsidRPr="00715FD4">
        <w:rPr>
          <w:sz w:val="28"/>
          <w:lang w:val="en-US"/>
        </w:rPr>
        <w:t>Kremen</w:t>
      </w:r>
      <w:r w:rsidRPr="0052238A">
        <w:rPr>
          <w:sz w:val="28"/>
          <w:lang w:val="ru-RU"/>
        </w:rPr>
        <w:t xml:space="preserve">, </w:t>
      </w:r>
      <w:r w:rsidRPr="00715FD4">
        <w:rPr>
          <w:sz w:val="28"/>
          <w:lang w:val="en-US"/>
        </w:rPr>
        <w:t>V</w:t>
      </w:r>
      <w:r w:rsidRPr="0052238A">
        <w:rPr>
          <w:sz w:val="28"/>
          <w:lang w:val="ru-RU"/>
        </w:rPr>
        <w:t xml:space="preserve">. </w:t>
      </w:r>
      <w:r w:rsidRPr="00715FD4">
        <w:rPr>
          <w:sz w:val="28"/>
          <w:lang w:val="en-US"/>
        </w:rPr>
        <w:t>M</w:t>
      </w:r>
      <w:r w:rsidRPr="0052238A">
        <w:rPr>
          <w:sz w:val="28"/>
          <w:lang w:val="ru-RU"/>
        </w:rPr>
        <w:t xml:space="preserve">., </w:t>
      </w:r>
      <w:r w:rsidR="0052238A">
        <w:rPr>
          <w:sz w:val="28"/>
          <w:lang w:val="en-US"/>
        </w:rPr>
        <w:t>and</w:t>
      </w:r>
      <w:r w:rsidR="0052238A" w:rsidRPr="0052238A">
        <w:rPr>
          <w:sz w:val="28"/>
          <w:lang w:val="ru-RU"/>
        </w:rPr>
        <w:t xml:space="preserve"> </w:t>
      </w:r>
      <w:r w:rsidR="0052238A">
        <w:rPr>
          <w:sz w:val="28"/>
          <w:lang w:val="en-US"/>
        </w:rPr>
        <w:t>Semenog</w:t>
      </w:r>
      <w:r w:rsidR="0052238A" w:rsidRPr="0052238A">
        <w:rPr>
          <w:sz w:val="28"/>
          <w:lang w:val="ru-RU"/>
        </w:rPr>
        <w:t xml:space="preserve">, </w:t>
      </w:r>
      <w:r w:rsidR="0052238A">
        <w:rPr>
          <w:sz w:val="28"/>
          <w:lang w:val="en-US"/>
        </w:rPr>
        <w:t>A</w:t>
      </w:r>
      <w:r w:rsidR="0052238A" w:rsidRPr="0052238A">
        <w:rPr>
          <w:sz w:val="28"/>
          <w:lang w:val="ru-RU"/>
        </w:rPr>
        <w:t xml:space="preserve">. </w:t>
      </w:r>
      <w:r w:rsidR="0052238A">
        <w:rPr>
          <w:sz w:val="28"/>
          <w:lang w:val="en-US"/>
        </w:rPr>
        <w:t>Y</w:t>
      </w:r>
      <w:r w:rsidR="0052238A" w:rsidRPr="0052238A">
        <w:rPr>
          <w:sz w:val="28"/>
          <w:lang w:val="ru-RU"/>
        </w:rPr>
        <w:t>., 2013,</w:t>
      </w:r>
      <w:r w:rsidRPr="0052238A">
        <w:rPr>
          <w:sz w:val="28"/>
          <w:lang w:val="ru-RU"/>
        </w:rPr>
        <w:t xml:space="preserve"> </w:t>
      </w:r>
      <w:r w:rsidRPr="0052238A">
        <w:rPr>
          <w:i/>
          <w:sz w:val="28"/>
          <w:lang w:val="en-US"/>
        </w:rPr>
        <w:t>European</w:t>
      </w:r>
      <w:r w:rsidRPr="0052238A">
        <w:rPr>
          <w:i/>
          <w:sz w:val="28"/>
          <w:lang w:val="ru-RU"/>
        </w:rPr>
        <w:t xml:space="preserve"> </w:t>
      </w:r>
      <w:r w:rsidRPr="0052238A">
        <w:rPr>
          <w:i/>
          <w:sz w:val="28"/>
          <w:lang w:val="en-US"/>
        </w:rPr>
        <w:t>Studies</w:t>
      </w:r>
      <w:r w:rsidRPr="0052238A">
        <w:rPr>
          <w:i/>
          <w:sz w:val="28"/>
          <w:lang w:val="ru-RU"/>
        </w:rPr>
        <w:t xml:space="preserve"> </w:t>
      </w:r>
      <w:r w:rsidRPr="0052238A">
        <w:rPr>
          <w:i/>
          <w:sz w:val="28"/>
          <w:lang w:val="en-US"/>
        </w:rPr>
        <w:t>in</w:t>
      </w:r>
      <w:r w:rsidRPr="0052238A">
        <w:rPr>
          <w:i/>
          <w:sz w:val="28"/>
          <w:lang w:val="ru-RU"/>
        </w:rPr>
        <w:t xml:space="preserve"> </w:t>
      </w:r>
      <w:r w:rsidRPr="0052238A">
        <w:rPr>
          <w:i/>
          <w:sz w:val="28"/>
          <w:lang w:val="en-US"/>
        </w:rPr>
        <w:t>Finance</w:t>
      </w:r>
      <w:r w:rsidRPr="0052238A">
        <w:rPr>
          <w:i/>
          <w:sz w:val="28"/>
          <w:lang w:val="ru-RU"/>
        </w:rPr>
        <w:t xml:space="preserve">: </w:t>
      </w:r>
      <w:r w:rsidRPr="0052238A">
        <w:rPr>
          <w:i/>
          <w:sz w:val="28"/>
          <w:lang w:val="en-US"/>
        </w:rPr>
        <w:t>Practice</w:t>
      </w:r>
      <w:r w:rsidR="0052238A" w:rsidRPr="0052238A">
        <w:rPr>
          <w:sz w:val="28"/>
          <w:lang w:val="ru-RU"/>
        </w:rPr>
        <w:t>,</w:t>
      </w:r>
      <w:r w:rsidRPr="0052238A">
        <w:rPr>
          <w:sz w:val="28"/>
          <w:lang w:val="ru-RU"/>
        </w:rPr>
        <w:t xml:space="preserve"> </w:t>
      </w:r>
      <w:r w:rsidRPr="00715FD4">
        <w:rPr>
          <w:sz w:val="28"/>
          <w:lang w:val="en-US"/>
        </w:rPr>
        <w:t>UAB</w:t>
      </w:r>
      <w:r w:rsidR="0052238A" w:rsidRPr="0052238A">
        <w:rPr>
          <w:sz w:val="28"/>
          <w:lang w:val="ru-RU"/>
        </w:rPr>
        <w:t xml:space="preserve">, </w:t>
      </w:r>
      <w:r w:rsidR="0052238A" w:rsidRPr="00715FD4">
        <w:rPr>
          <w:sz w:val="28"/>
          <w:lang w:val="en-US"/>
        </w:rPr>
        <w:t>Sumy</w:t>
      </w:r>
      <w:r w:rsidR="0052238A" w:rsidRPr="0052238A">
        <w:rPr>
          <w:sz w:val="28"/>
          <w:lang w:val="ru-RU"/>
        </w:rPr>
        <w:t>,</w:t>
      </w:r>
      <w:r w:rsidRPr="0052238A">
        <w:rPr>
          <w:sz w:val="28"/>
          <w:lang w:val="ru-RU"/>
        </w:rPr>
        <w:t xml:space="preserve"> </w:t>
      </w:r>
      <w:r w:rsidRPr="00715FD4">
        <w:rPr>
          <w:sz w:val="28"/>
          <w:lang w:val="ru-RU"/>
        </w:rPr>
        <w:t>[Європейські студії у фінансах</w:t>
      </w:r>
      <w:r w:rsidR="0052238A" w:rsidRPr="0052238A">
        <w:rPr>
          <w:sz w:val="28"/>
          <w:lang w:val="ru-RU"/>
        </w:rPr>
        <w:t xml:space="preserve"> </w:t>
      </w:r>
      <w:r w:rsidRPr="00715FD4">
        <w:rPr>
          <w:sz w:val="28"/>
          <w:lang w:val="ru-RU"/>
        </w:rPr>
        <w:t xml:space="preserve">: Практикум / </w:t>
      </w:r>
      <w:r w:rsidR="0052238A" w:rsidRPr="00715FD4">
        <w:rPr>
          <w:sz w:val="28"/>
          <w:lang w:val="ru-RU"/>
        </w:rPr>
        <w:t>у</w:t>
      </w:r>
      <w:r w:rsidRPr="00715FD4">
        <w:rPr>
          <w:sz w:val="28"/>
          <w:lang w:val="ru-RU"/>
        </w:rPr>
        <w:t>клад.: І. О. Школьник, В. М. Кремень, А. Ю. Семеног та ін. – Суми</w:t>
      </w:r>
      <w:r w:rsidR="0052238A" w:rsidRPr="0052238A">
        <w:rPr>
          <w:sz w:val="28"/>
          <w:lang w:val="ru-RU"/>
        </w:rPr>
        <w:t xml:space="preserve"> </w:t>
      </w:r>
      <w:r w:rsidR="0052238A">
        <w:rPr>
          <w:sz w:val="28"/>
          <w:lang w:val="ru-RU"/>
        </w:rPr>
        <w:t xml:space="preserve">: ДВНЗ </w:t>
      </w:r>
      <w:r w:rsidRPr="00715FD4">
        <w:rPr>
          <w:sz w:val="28"/>
          <w:lang w:val="ru-RU"/>
        </w:rPr>
        <w:t>УАБС НБУ, 2013. – 50 с.]</w:t>
      </w:r>
    </w:p>
    <w:p w14:paraId="79B029F1"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Spilimbergo, M. A., Symansky, M. S. A., Cottarelli, M. C., </w:t>
      </w:r>
      <w:r w:rsidR="00E66974">
        <w:rPr>
          <w:sz w:val="28"/>
          <w:lang w:val="en-US"/>
        </w:rPr>
        <w:t>and</w:t>
      </w:r>
      <w:r w:rsidR="0052238A">
        <w:rPr>
          <w:sz w:val="28"/>
          <w:lang w:val="en-US"/>
        </w:rPr>
        <w:t xml:space="preserve"> Blanchard, O. J., 2009,</w:t>
      </w:r>
      <w:r w:rsidRPr="00715FD4">
        <w:rPr>
          <w:sz w:val="28"/>
          <w:lang w:val="en-US"/>
        </w:rPr>
        <w:t xml:space="preserve"> </w:t>
      </w:r>
      <w:r w:rsidRPr="0052238A">
        <w:rPr>
          <w:i/>
          <w:sz w:val="28"/>
          <w:lang w:val="en-US"/>
        </w:rPr>
        <w:t>Fiscal policy for the crisis</w:t>
      </w:r>
      <w:r w:rsidR="0052238A">
        <w:rPr>
          <w:i/>
          <w:sz w:val="28"/>
          <w:lang w:val="en-US"/>
        </w:rPr>
        <w:t>,</w:t>
      </w:r>
      <w:r w:rsidRPr="00715FD4">
        <w:rPr>
          <w:sz w:val="28"/>
          <w:lang w:val="en-US"/>
        </w:rPr>
        <w:t xml:space="preserve"> </w:t>
      </w:r>
      <w:r w:rsidRPr="0052238A">
        <w:rPr>
          <w:sz w:val="28"/>
          <w:lang w:val="en-US"/>
        </w:rPr>
        <w:t>International Monetary Fund.</w:t>
      </w:r>
    </w:p>
    <w:p w14:paraId="7645F8EF" w14:textId="77777777" w:rsidR="00715FD4" w:rsidRPr="00715FD4" w:rsidRDefault="00715FD4" w:rsidP="006F749C">
      <w:pPr>
        <w:numPr>
          <w:ilvl w:val="0"/>
          <w:numId w:val="264"/>
        </w:numPr>
        <w:spacing w:line="240" w:lineRule="atLeast"/>
        <w:ind w:hanging="578"/>
        <w:contextualSpacing/>
        <w:jc w:val="both"/>
        <w:rPr>
          <w:sz w:val="28"/>
          <w:szCs w:val="28"/>
          <w:lang w:val="en-US"/>
        </w:rPr>
      </w:pPr>
      <w:r w:rsidRPr="00715FD4">
        <w:rPr>
          <w:sz w:val="28"/>
          <w:szCs w:val="28"/>
          <w:lang w:val="fr-BE"/>
        </w:rPr>
        <w:t xml:space="preserve">Stenkula, M., Johansson, D., </w:t>
      </w:r>
      <w:r w:rsidR="0052238A">
        <w:rPr>
          <w:sz w:val="28"/>
          <w:szCs w:val="28"/>
          <w:lang w:val="fr-BE"/>
        </w:rPr>
        <w:t>and Du Rietz, G., 2014,</w:t>
      </w:r>
      <w:r w:rsidRPr="00715FD4">
        <w:rPr>
          <w:sz w:val="28"/>
          <w:szCs w:val="28"/>
          <w:lang w:val="fr-BE"/>
        </w:rPr>
        <w:t xml:space="preserve"> </w:t>
      </w:r>
      <w:r w:rsidRPr="00715FD4">
        <w:rPr>
          <w:sz w:val="28"/>
          <w:szCs w:val="28"/>
          <w:lang w:val="en-US"/>
        </w:rPr>
        <w:t xml:space="preserve">Marginal taxation on labour income in Sweden from 1862 to 2010, </w:t>
      </w:r>
      <w:r w:rsidRPr="00715FD4">
        <w:rPr>
          <w:i/>
          <w:sz w:val="28"/>
          <w:szCs w:val="28"/>
          <w:lang w:val="en-US"/>
        </w:rPr>
        <w:t>Scandinavian Economic History Review</w:t>
      </w:r>
      <w:r w:rsidRPr="00715FD4">
        <w:rPr>
          <w:sz w:val="28"/>
          <w:szCs w:val="28"/>
          <w:lang w:val="en-US"/>
        </w:rPr>
        <w:t xml:space="preserve">, 62(2), </w:t>
      </w:r>
      <w:r w:rsidR="0052238A">
        <w:rPr>
          <w:sz w:val="28"/>
          <w:szCs w:val="28"/>
          <w:lang w:val="en-US"/>
        </w:rPr>
        <w:t xml:space="preserve">pp. </w:t>
      </w:r>
      <w:r w:rsidRPr="00715FD4">
        <w:rPr>
          <w:sz w:val="28"/>
          <w:szCs w:val="28"/>
          <w:lang w:val="en-US"/>
        </w:rPr>
        <w:t>163</w:t>
      </w:r>
      <w:r w:rsidR="00E66974">
        <w:rPr>
          <w:sz w:val="28"/>
          <w:szCs w:val="28"/>
          <w:lang w:val="en-US"/>
        </w:rPr>
        <w:t>–</w:t>
      </w:r>
      <w:r w:rsidRPr="00715FD4">
        <w:rPr>
          <w:sz w:val="28"/>
          <w:szCs w:val="28"/>
          <w:lang w:val="en-US"/>
        </w:rPr>
        <w:t>187.</w:t>
      </w:r>
    </w:p>
    <w:p w14:paraId="756BE8B9" w14:textId="77777777" w:rsidR="00715FD4" w:rsidRPr="00715FD4" w:rsidRDefault="00715FD4" w:rsidP="006F749C">
      <w:pPr>
        <w:numPr>
          <w:ilvl w:val="0"/>
          <w:numId w:val="264"/>
        </w:numPr>
        <w:spacing w:line="240" w:lineRule="atLeast"/>
        <w:ind w:hanging="578"/>
        <w:contextualSpacing/>
        <w:jc w:val="both"/>
        <w:rPr>
          <w:i/>
          <w:sz w:val="28"/>
          <w:lang w:val="en-US"/>
        </w:rPr>
      </w:pPr>
      <w:r w:rsidRPr="00715FD4">
        <w:rPr>
          <w:sz w:val="28"/>
          <w:lang w:val="en-US"/>
        </w:rPr>
        <w:t xml:space="preserve">Stickney, C., Brown, P., </w:t>
      </w:r>
      <w:r w:rsidR="00E66974">
        <w:rPr>
          <w:sz w:val="28"/>
          <w:lang w:val="en-US"/>
        </w:rPr>
        <w:t>and</w:t>
      </w:r>
      <w:r w:rsidR="0052238A">
        <w:rPr>
          <w:sz w:val="28"/>
          <w:lang w:val="en-US"/>
        </w:rPr>
        <w:t xml:space="preserve"> Press, D., 1990,</w:t>
      </w:r>
      <w:r w:rsidRPr="00715FD4">
        <w:rPr>
          <w:sz w:val="28"/>
          <w:lang w:val="en-US"/>
        </w:rPr>
        <w:t xml:space="preserve"> </w:t>
      </w:r>
      <w:r w:rsidRPr="0052238A">
        <w:rPr>
          <w:i/>
          <w:sz w:val="28"/>
          <w:lang w:val="en-US"/>
        </w:rPr>
        <w:t>Financial Statement Analysis</w:t>
      </w:r>
      <w:r w:rsidR="0052238A">
        <w:rPr>
          <w:i/>
          <w:sz w:val="28"/>
          <w:lang w:val="en-US"/>
        </w:rPr>
        <w:t>,</w:t>
      </w:r>
      <w:r w:rsidRPr="00715FD4">
        <w:rPr>
          <w:sz w:val="28"/>
          <w:lang w:val="en-US"/>
        </w:rPr>
        <w:t xml:space="preserve"> </w:t>
      </w:r>
      <w:r w:rsidRPr="0052238A">
        <w:rPr>
          <w:sz w:val="28"/>
          <w:lang w:val="en-US"/>
        </w:rPr>
        <w:t>Harcourt Brace Jovanovich.</w:t>
      </w:r>
    </w:p>
    <w:p w14:paraId="47CC03CF" w14:textId="77777777" w:rsidR="00715FD4" w:rsidRPr="00271398" w:rsidRDefault="00715FD4" w:rsidP="006F749C">
      <w:pPr>
        <w:numPr>
          <w:ilvl w:val="0"/>
          <w:numId w:val="264"/>
        </w:numPr>
        <w:spacing w:line="240" w:lineRule="atLeast"/>
        <w:ind w:hanging="578"/>
        <w:contextualSpacing/>
        <w:jc w:val="both"/>
        <w:rPr>
          <w:rFonts w:cs="Garamond"/>
          <w:sz w:val="28"/>
          <w:szCs w:val="28"/>
          <w:lang w:val="en-US" w:eastAsia="ru-RU"/>
        </w:rPr>
      </w:pPr>
      <w:r w:rsidRPr="00700AB1">
        <w:rPr>
          <w:rFonts w:cs="Garamond"/>
          <w:i/>
          <w:sz w:val="28"/>
          <w:szCs w:val="28"/>
          <w:lang w:val="en-US" w:eastAsia="ru-RU"/>
        </w:rPr>
        <w:t>Study Book for the Insurance Industry. Volume 1 – Basic principles</w:t>
      </w:r>
      <w:r w:rsidR="00700AB1">
        <w:rPr>
          <w:rFonts w:cs="Garamond"/>
          <w:sz w:val="28"/>
          <w:szCs w:val="28"/>
          <w:lang w:val="en-US" w:eastAsia="ru-RU"/>
        </w:rPr>
        <w:t>, 2010,</w:t>
      </w:r>
      <w:r w:rsidRPr="00715FD4">
        <w:rPr>
          <w:rFonts w:cs="Garamond"/>
          <w:sz w:val="28"/>
          <w:szCs w:val="28"/>
          <w:lang w:val="en-US" w:eastAsia="ru-RU"/>
        </w:rPr>
        <w:t xml:space="preserve"> A Project of the East European Committee of the GDV, </w:t>
      </w:r>
      <w:r w:rsidRPr="00271398">
        <w:rPr>
          <w:rFonts w:cs="Garamond"/>
          <w:sz w:val="28"/>
          <w:szCs w:val="28"/>
          <w:lang w:val="en-US" w:eastAsia="ru-RU"/>
        </w:rPr>
        <w:t>Berufsbildungswerk der Deutschen Versicherungswirtschaft (BWV) e.V.</w:t>
      </w:r>
    </w:p>
    <w:p w14:paraId="78BAE6C0" w14:textId="77777777" w:rsidR="00715FD4" w:rsidRPr="00715FD4" w:rsidRDefault="00715FD4" w:rsidP="006F749C">
      <w:pPr>
        <w:numPr>
          <w:ilvl w:val="0"/>
          <w:numId w:val="264"/>
        </w:numPr>
        <w:spacing w:line="240" w:lineRule="atLeast"/>
        <w:ind w:hanging="578"/>
        <w:contextualSpacing/>
        <w:jc w:val="both"/>
        <w:rPr>
          <w:rFonts w:cs="Garamond"/>
          <w:i/>
          <w:sz w:val="28"/>
          <w:szCs w:val="28"/>
          <w:lang w:val="en-US" w:eastAsia="ru-RU"/>
        </w:rPr>
      </w:pPr>
      <w:r w:rsidRPr="00271398">
        <w:rPr>
          <w:rFonts w:cs="Garamond"/>
          <w:i/>
          <w:sz w:val="28"/>
          <w:szCs w:val="28"/>
          <w:lang w:val="en-US" w:eastAsia="ru-RU"/>
        </w:rPr>
        <w:t>Study Book for the Insurance Industry. Volume 2 – Classes of Insurance</w:t>
      </w:r>
      <w:r w:rsidR="00271398">
        <w:rPr>
          <w:rFonts w:cs="Garamond"/>
          <w:sz w:val="28"/>
          <w:szCs w:val="28"/>
          <w:lang w:val="en-US" w:eastAsia="ru-RU"/>
        </w:rPr>
        <w:t>, 2012,</w:t>
      </w:r>
      <w:r w:rsidRPr="00715FD4">
        <w:rPr>
          <w:rFonts w:cs="Garamond"/>
          <w:sz w:val="28"/>
          <w:szCs w:val="28"/>
          <w:lang w:val="en-US" w:eastAsia="ru-RU"/>
        </w:rPr>
        <w:t xml:space="preserve"> A Project of the East European Committee of the GDV</w:t>
      </w:r>
      <w:r w:rsidRPr="00271398">
        <w:rPr>
          <w:rFonts w:cs="Garamond"/>
          <w:sz w:val="28"/>
          <w:szCs w:val="28"/>
          <w:lang w:val="en-US" w:eastAsia="ru-RU"/>
        </w:rPr>
        <w:t>, Berufsbildungswerk der Deutschen Versicherungswirtschaft (BWV) e.V.</w:t>
      </w:r>
    </w:p>
    <w:p w14:paraId="353349B0" w14:textId="77777777" w:rsidR="00715FD4" w:rsidRPr="00715FD4" w:rsidRDefault="00715FD4" w:rsidP="006F749C">
      <w:pPr>
        <w:numPr>
          <w:ilvl w:val="0"/>
          <w:numId w:val="264"/>
        </w:numPr>
        <w:spacing w:line="240" w:lineRule="atLeast"/>
        <w:ind w:hanging="578"/>
        <w:contextualSpacing/>
        <w:jc w:val="both"/>
        <w:rPr>
          <w:sz w:val="28"/>
          <w:szCs w:val="28"/>
          <w:lang w:val="en-GB"/>
        </w:rPr>
      </w:pPr>
      <w:r w:rsidRPr="00715FD4">
        <w:rPr>
          <w:sz w:val="28"/>
          <w:szCs w:val="28"/>
          <w:lang w:val="en-GB"/>
        </w:rPr>
        <w:t xml:space="preserve">Tekin-Koru, A., </w:t>
      </w:r>
      <w:r w:rsidR="00E66974">
        <w:rPr>
          <w:sz w:val="28"/>
          <w:szCs w:val="28"/>
          <w:lang w:val="en-GB"/>
        </w:rPr>
        <w:t>and</w:t>
      </w:r>
      <w:r w:rsidR="00271398">
        <w:rPr>
          <w:sz w:val="28"/>
          <w:szCs w:val="28"/>
          <w:lang w:val="en-GB"/>
        </w:rPr>
        <w:t xml:space="preserve"> Özmen, E., 2003,</w:t>
      </w:r>
      <w:r w:rsidRPr="00715FD4">
        <w:rPr>
          <w:sz w:val="28"/>
          <w:szCs w:val="28"/>
          <w:lang w:val="en-GB"/>
        </w:rPr>
        <w:t xml:space="preserve"> Budget deficits, money growth and </w:t>
      </w:r>
      <w:r w:rsidR="00271398">
        <w:rPr>
          <w:sz w:val="28"/>
          <w:szCs w:val="28"/>
          <w:lang w:val="en-GB"/>
        </w:rPr>
        <w:t>inflation: the Turkish evidence,</w:t>
      </w:r>
      <w:r w:rsidRPr="00715FD4">
        <w:rPr>
          <w:sz w:val="28"/>
          <w:szCs w:val="28"/>
          <w:lang w:val="en-GB"/>
        </w:rPr>
        <w:t xml:space="preserve"> </w:t>
      </w:r>
      <w:r w:rsidRPr="00715FD4">
        <w:rPr>
          <w:i/>
          <w:sz w:val="28"/>
          <w:szCs w:val="28"/>
          <w:lang w:val="en-GB"/>
        </w:rPr>
        <w:t>Applied Economics</w:t>
      </w:r>
      <w:r w:rsidRPr="00715FD4">
        <w:rPr>
          <w:sz w:val="28"/>
          <w:szCs w:val="28"/>
          <w:lang w:val="en-GB"/>
        </w:rPr>
        <w:t xml:space="preserve">, 35(5), </w:t>
      </w:r>
      <w:r w:rsidR="00271398">
        <w:rPr>
          <w:sz w:val="28"/>
          <w:szCs w:val="28"/>
          <w:lang w:val="en-GB"/>
        </w:rPr>
        <w:t xml:space="preserve">pp. </w:t>
      </w:r>
      <w:r w:rsidRPr="00715FD4">
        <w:rPr>
          <w:sz w:val="28"/>
          <w:szCs w:val="28"/>
          <w:lang w:val="en-GB"/>
        </w:rPr>
        <w:t>591</w:t>
      </w:r>
      <w:r w:rsidR="00E66974">
        <w:rPr>
          <w:sz w:val="28"/>
          <w:szCs w:val="28"/>
          <w:lang w:val="en-GB"/>
        </w:rPr>
        <w:t>–</w:t>
      </w:r>
      <w:r w:rsidRPr="00715FD4">
        <w:rPr>
          <w:sz w:val="28"/>
          <w:szCs w:val="28"/>
          <w:lang w:val="en-GB"/>
        </w:rPr>
        <w:t>596.</w:t>
      </w:r>
    </w:p>
    <w:p w14:paraId="0B9EBB09" w14:textId="77777777" w:rsidR="00715FD4" w:rsidRPr="00715FD4" w:rsidRDefault="00715FD4" w:rsidP="006F749C">
      <w:pPr>
        <w:numPr>
          <w:ilvl w:val="0"/>
          <w:numId w:val="264"/>
        </w:numPr>
        <w:spacing w:line="240" w:lineRule="atLeast"/>
        <w:ind w:hanging="578"/>
        <w:contextualSpacing/>
        <w:jc w:val="both"/>
        <w:rPr>
          <w:rFonts w:cs="Garamond"/>
          <w:sz w:val="28"/>
          <w:szCs w:val="28"/>
          <w:lang w:val="en-US" w:eastAsia="ru-RU"/>
        </w:rPr>
      </w:pPr>
      <w:r w:rsidRPr="00271398">
        <w:rPr>
          <w:rFonts w:cs="Garamond"/>
          <w:i/>
          <w:sz w:val="28"/>
          <w:szCs w:val="28"/>
          <w:lang w:val="en-US" w:eastAsia="ru-RU"/>
        </w:rPr>
        <w:t>The benefits of insurance</w:t>
      </w:r>
      <w:r w:rsidR="00271398">
        <w:rPr>
          <w:rFonts w:cs="Garamond"/>
          <w:sz w:val="28"/>
          <w:szCs w:val="28"/>
          <w:lang w:val="en-US" w:eastAsia="ru-RU"/>
        </w:rPr>
        <w:t>, 2015,</w:t>
      </w:r>
      <w:r w:rsidRPr="00715FD4">
        <w:rPr>
          <w:rFonts w:cs="Garamond"/>
          <w:sz w:val="28"/>
          <w:szCs w:val="28"/>
          <w:lang w:val="en-US" w:eastAsia="ru-RU"/>
        </w:rPr>
        <w:t xml:space="preserve"> </w:t>
      </w:r>
      <w:r w:rsidRPr="00271398">
        <w:rPr>
          <w:rFonts w:cs="Garamond"/>
          <w:sz w:val="28"/>
          <w:szCs w:val="28"/>
          <w:lang w:val="en-US" w:eastAsia="ru-RU"/>
        </w:rPr>
        <w:t>Insurance Europe aisbl, Brussels</w:t>
      </w:r>
      <w:r w:rsidRPr="00715FD4">
        <w:rPr>
          <w:rFonts w:cs="Garamond"/>
          <w:sz w:val="28"/>
          <w:szCs w:val="28"/>
          <w:lang w:val="en-US" w:eastAsia="ru-RU"/>
        </w:rPr>
        <w:t>.</w:t>
      </w:r>
    </w:p>
    <w:p w14:paraId="6379F06E" w14:textId="77777777" w:rsidR="00715FD4" w:rsidRPr="00715FD4" w:rsidRDefault="00715FD4" w:rsidP="006F749C">
      <w:pPr>
        <w:numPr>
          <w:ilvl w:val="0"/>
          <w:numId w:val="264"/>
        </w:numPr>
        <w:spacing w:line="240" w:lineRule="atLeast"/>
        <w:ind w:hanging="578"/>
        <w:contextualSpacing/>
        <w:jc w:val="both"/>
        <w:rPr>
          <w:sz w:val="28"/>
          <w:lang w:val="en-US"/>
        </w:rPr>
      </w:pPr>
      <w:r w:rsidRPr="00271398">
        <w:rPr>
          <w:i/>
          <w:sz w:val="28"/>
          <w:lang w:val="en-US"/>
        </w:rPr>
        <w:t>The European Union budget at a glance</w:t>
      </w:r>
      <w:r w:rsidR="00271398">
        <w:rPr>
          <w:i/>
          <w:sz w:val="28"/>
          <w:lang w:val="en-US"/>
        </w:rPr>
        <w:t>,</w:t>
      </w:r>
      <w:r w:rsidR="00271398">
        <w:rPr>
          <w:sz w:val="28"/>
          <w:lang w:val="en-US"/>
        </w:rPr>
        <w:t xml:space="preserve"> </w:t>
      </w:r>
      <w:r w:rsidRPr="00715FD4">
        <w:rPr>
          <w:sz w:val="28"/>
          <w:lang w:val="en-US"/>
        </w:rPr>
        <w:t>2010</w:t>
      </w:r>
      <w:r w:rsidR="00271398">
        <w:rPr>
          <w:sz w:val="28"/>
          <w:lang w:val="en-US"/>
        </w:rPr>
        <w:t>,</w:t>
      </w:r>
      <w:r w:rsidRPr="00715FD4">
        <w:rPr>
          <w:sz w:val="28"/>
          <w:lang w:val="en-US"/>
        </w:rPr>
        <w:t xml:space="preserve"> </w:t>
      </w:r>
      <w:r w:rsidR="00271398">
        <w:rPr>
          <w:sz w:val="28"/>
          <w:lang w:val="en-US"/>
        </w:rPr>
        <w:t>European Commission,</w:t>
      </w:r>
      <w:r w:rsidRPr="00715FD4">
        <w:rPr>
          <w:sz w:val="28"/>
          <w:lang w:val="en-US"/>
        </w:rPr>
        <w:t xml:space="preserve"> Publicatio</w:t>
      </w:r>
      <w:r w:rsidR="00271398">
        <w:rPr>
          <w:sz w:val="28"/>
          <w:lang w:val="en-US"/>
        </w:rPr>
        <w:t>ns Office of the European Union,</w:t>
      </w:r>
      <w:r w:rsidRPr="00715FD4">
        <w:rPr>
          <w:sz w:val="28"/>
          <w:lang w:val="en-US"/>
        </w:rPr>
        <w:t xml:space="preserve"> </w:t>
      </w:r>
      <w:r w:rsidR="00271398" w:rsidRPr="00715FD4">
        <w:rPr>
          <w:sz w:val="28"/>
          <w:lang w:val="en-US"/>
        </w:rPr>
        <w:t>Luxembourg.</w:t>
      </w:r>
    </w:p>
    <w:p w14:paraId="58099396" w14:textId="77777777" w:rsidR="00715FD4" w:rsidRPr="00271398" w:rsidRDefault="00271398" w:rsidP="006F749C">
      <w:pPr>
        <w:numPr>
          <w:ilvl w:val="0"/>
          <w:numId w:val="264"/>
        </w:numPr>
        <w:spacing w:line="240" w:lineRule="atLeast"/>
        <w:ind w:hanging="578"/>
        <w:contextualSpacing/>
        <w:jc w:val="both"/>
        <w:rPr>
          <w:rFonts w:eastAsia="Garamond"/>
          <w:sz w:val="28"/>
          <w:szCs w:val="28"/>
          <w:bdr w:val="none" w:sz="0" w:space="0" w:color="auto" w:frame="1"/>
          <w:lang w:val="en-US"/>
        </w:rPr>
      </w:pPr>
      <w:r>
        <w:rPr>
          <w:rFonts w:eastAsia="Calibri" w:cs="Calibri"/>
          <w:sz w:val="28"/>
          <w:szCs w:val="28"/>
          <w:bdr w:val="none" w:sz="0" w:space="0" w:color="auto" w:frame="1"/>
          <w:lang w:val="en-US"/>
        </w:rPr>
        <w:t>Tirole, J., 2010,</w:t>
      </w:r>
      <w:r w:rsidR="00715FD4" w:rsidRPr="00715FD4">
        <w:rPr>
          <w:rFonts w:eastAsia="Calibri" w:cs="Calibri"/>
          <w:sz w:val="28"/>
          <w:szCs w:val="28"/>
          <w:bdr w:val="none" w:sz="0" w:space="0" w:color="auto" w:frame="1"/>
          <w:lang w:val="en-US"/>
        </w:rPr>
        <w:t xml:space="preserve"> </w:t>
      </w:r>
      <w:r w:rsidR="00715FD4" w:rsidRPr="00271398">
        <w:rPr>
          <w:rFonts w:eastAsia="Calibri" w:cs="Calibri"/>
          <w:i/>
          <w:sz w:val="28"/>
          <w:szCs w:val="28"/>
          <w:bdr w:val="none" w:sz="0" w:space="0" w:color="auto" w:frame="1"/>
          <w:lang w:val="en-US"/>
        </w:rPr>
        <w:t>The theory of corporate finance</w:t>
      </w:r>
      <w:r>
        <w:rPr>
          <w:rFonts w:eastAsia="Calibri" w:cs="Calibri"/>
          <w:i/>
          <w:sz w:val="28"/>
          <w:szCs w:val="28"/>
          <w:bdr w:val="none" w:sz="0" w:space="0" w:color="auto" w:frame="1"/>
          <w:lang w:val="en-US"/>
        </w:rPr>
        <w:t>,</w:t>
      </w:r>
      <w:r w:rsidR="00715FD4" w:rsidRPr="00715FD4">
        <w:rPr>
          <w:rFonts w:eastAsia="Calibri" w:cs="Calibri"/>
          <w:sz w:val="28"/>
          <w:szCs w:val="28"/>
          <w:bdr w:val="none" w:sz="0" w:space="0" w:color="auto" w:frame="1"/>
          <w:lang w:val="en-US"/>
        </w:rPr>
        <w:t xml:space="preserve"> </w:t>
      </w:r>
      <w:r w:rsidR="00715FD4" w:rsidRPr="00271398">
        <w:rPr>
          <w:rFonts w:eastAsia="Calibri" w:cs="Calibri"/>
          <w:iCs/>
          <w:sz w:val="28"/>
          <w:szCs w:val="28"/>
          <w:bdr w:val="none" w:sz="0" w:space="0" w:color="auto" w:frame="1"/>
          <w:lang w:val="en-US"/>
        </w:rPr>
        <w:t>Princeton University Press</w:t>
      </w:r>
      <w:r w:rsidR="00715FD4" w:rsidRPr="00271398">
        <w:rPr>
          <w:rFonts w:eastAsia="Calibri" w:cs="Calibri"/>
          <w:sz w:val="28"/>
          <w:szCs w:val="28"/>
          <w:bdr w:val="none" w:sz="0" w:space="0" w:color="auto" w:frame="1"/>
          <w:lang w:val="en-US"/>
        </w:rPr>
        <w:t>.</w:t>
      </w:r>
    </w:p>
    <w:p w14:paraId="026FC35A" w14:textId="77777777" w:rsidR="00715FD4" w:rsidRPr="00715FD4" w:rsidRDefault="00271398" w:rsidP="006F749C">
      <w:pPr>
        <w:numPr>
          <w:ilvl w:val="0"/>
          <w:numId w:val="264"/>
        </w:numPr>
        <w:tabs>
          <w:tab w:val="left" w:pos="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hanging="578"/>
        <w:contextualSpacing/>
        <w:jc w:val="both"/>
        <w:rPr>
          <w:sz w:val="28"/>
          <w:szCs w:val="28"/>
          <w:lang w:val="en-US"/>
        </w:rPr>
      </w:pPr>
      <w:r>
        <w:rPr>
          <w:sz w:val="28"/>
          <w:szCs w:val="28"/>
          <w:lang w:val="en-US"/>
        </w:rPr>
        <w:t>Toye, J. F., 2013,</w:t>
      </w:r>
      <w:r w:rsidR="00715FD4" w:rsidRPr="00715FD4">
        <w:rPr>
          <w:sz w:val="28"/>
          <w:szCs w:val="28"/>
          <w:lang w:val="en-US"/>
        </w:rPr>
        <w:t xml:space="preserve"> </w:t>
      </w:r>
      <w:r w:rsidR="00715FD4" w:rsidRPr="00271398">
        <w:rPr>
          <w:i/>
          <w:sz w:val="28"/>
          <w:szCs w:val="28"/>
          <w:lang w:val="en-US"/>
        </w:rPr>
        <w:t>Taxation and Economic Development (Routledge Revivals): Twelve Critical Studies’</w:t>
      </w:r>
      <w:r w:rsidR="00715FD4" w:rsidRPr="00715FD4">
        <w:rPr>
          <w:sz w:val="28"/>
          <w:szCs w:val="28"/>
          <w:lang w:val="en-US"/>
        </w:rPr>
        <w:t xml:space="preserve">, </w:t>
      </w:r>
      <w:r w:rsidR="00715FD4" w:rsidRPr="00271398">
        <w:rPr>
          <w:sz w:val="28"/>
          <w:szCs w:val="28"/>
          <w:lang w:val="en-US"/>
        </w:rPr>
        <w:t>Routledge.</w:t>
      </w:r>
    </w:p>
    <w:p w14:paraId="14A60FB7" w14:textId="77777777" w:rsidR="00715FD4" w:rsidRPr="00715FD4" w:rsidRDefault="00271398" w:rsidP="006F749C">
      <w:pPr>
        <w:numPr>
          <w:ilvl w:val="0"/>
          <w:numId w:val="264"/>
        </w:numPr>
        <w:tabs>
          <w:tab w:val="left" w:pos="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hanging="578"/>
        <w:contextualSpacing/>
        <w:jc w:val="both"/>
        <w:rPr>
          <w:rFonts w:eastAsia="Arial Unicode MS" w:cs="Arial Unicode MS"/>
          <w:sz w:val="28"/>
          <w:szCs w:val="28"/>
          <w:bdr w:val="none" w:sz="0" w:space="0" w:color="auto" w:frame="1"/>
          <w:lang w:val="en-US"/>
        </w:rPr>
      </w:pPr>
      <w:r>
        <w:rPr>
          <w:sz w:val="28"/>
          <w:szCs w:val="28"/>
          <w:lang w:val="en-US"/>
        </w:rPr>
        <w:t xml:space="preserve">Tufano, P., </w:t>
      </w:r>
      <w:r w:rsidR="00715FD4" w:rsidRPr="00715FD4">
        <w:rPr>
          <w:sz w:val="28"/>
          <w:szCs w:val="28"/>
          <w:lang w:val="en-US"/>
        </w:rPr>
        <w:t xml:space="preserve">2009, Consumer finance, </w:t>
      </w:r>
      <w:r w:rsidR="00715FD4" w:rsidRPr="00715FD4">
        <w:rPr>
          <w:i/>
          <w:sz w:val="28"/>
          <w:szCs w:val="28"/>
          <w:lang w:val="en-US"/>
        </w:rPr>
        <w:t>Annual Review of Financial Economics</w:t>
      </w:r>
      <w:r w:rsidR="00715FD4" w:rsidRPr="00715FD4">
        <w:rPr>
          <w:sz w:val="28"/>
          <w:szCs w:val="28"/>
          <w:lang w:val="en-US"/>
        </w:rPr>
        <w:t xml:space="preserve">, 1, </w:t>
      </w:r>
      <w:r>
        <w:rPr>
          <w:sz w:val="28"/>
          <w:szCs w:val="28"/>
          <w:lang w:val="en-US"/>
        </w:rPr>
        <w:t>pp. </w:t>
      </w:r>
      <w:r w:rsidR="00715FD4" w:rsidRPr="00715FD4">
        <w:rPr>
          <w:sz w:val="28"/>
          <w:szCs w:val="28"/>
          <w:lang w:val="en-US"/>
        </w:rPr>
        <w:t>227–247.</w:t>
      </w:r>
    </w:p>
    <w:p w14:paraId="41B5A5EA" w14:textId="77777777" w:rsidR="00715FD4" w:rsidRPr="00715FD4" w:rsidRDefault="00715FD4" w:rsidP="006F749C">
      <w:pPr>
        <w:numPr>
          <w:ilvl w:val="0"/>
          <w:numId w:val="264"/>
        </w:numPr>
        <w:spacing w:line="240" w:lineRule="atLeast"/>
        <w:ind w:hanging="578"/>
        <w:contextualSpacing/>
        <w:jc w:val="both"/>
        <w:rPr>
          <w:rFonts w:eastAsia="Garamond"/>
          <w:sz w:val="28"/>
          <w:szCs w:val="28"/>
          <w:bdr w:val="none" w:sz="0" w:space="0" w:color="auto" w:frame="1"/>
          <w:lang w:val="en-US"/>
        </w:rPr>
      </w:pPr>
      <w:r w:rsidRPr="00715FD4">
        <w:rPr>
          <w:rFonts w:eastAsia="Calibri" w:cs="Calibri"/>
          <w:sz w:val="28"/>
          <w:szCs w:val="28"/>
          <w:bdr w:val="none" w:sz="0" w:space="0" w:color="auto" w:frame="1"/>
          <w:lang w:val="en-US"/>
        </w:rPr>
        <w:t xml:space="preserve">Van Rooij, M., Lusardi, A., </w:t>
      </w:r>
      <w:r w:rsidR="00271398">
        <w:rPr>
          <w:rFonts w:eastAsia="Calibri" w:cs="Calibri"/>
          <w:sz w:val="28"/>
          <w:szCs w:val="28"/>
          <w:bdr w:val="none" w:sz="0" w:space="0" w:color="auto" w:frame="1"/>
          <w:lang w:val="en-US"/>
        </w:rPr>
        <w:t>and Alessie, R., 2011,</w:t>
      </w:r>
      <w:r w:rsidRPr="00715FD4">
        <w:rPr>
          <w:rFonts w:eastAsia="Calibri" w:cs="Calibri"/>
          <w:sz w:val="28"/>
          <w:szCs w:val="28"/>
          <w:bdr w:val="none" w:sz="0" w:space="0" w:color="auto" w:frame="1"/>
          <w:lang w:val="en-US"/>
        </w:rPr>
        <w:t xml:space="preserve"> Financial literacy</w:t>
      </w:r>
      <w:r w:rsidR="00271398">
        <w:rPr>
          <w:rFonts w:eastAsia="Calibri" w:cs="Calibri"/>
          <w:sz w:val="28"/>
          <w:szCs w:val="28"/>
          <w:bdr w:val="none" w:sz="0" w:space="0" w:color="auto" w:frame="1"/>
          <w:lang w:val="en-US"/>
        </w:rPr>
        <w:t xml:space="preserve"> and stock market participation,</w:t>
      </w:r>
      <w:r w:rsidRPr="00715FD4">
        <w:rPr>
          <w:rFonts w:eastAsia="Calibri" w:cs="Calibri"/>
          <w:sz w:val="28"/>
          <w:szCs w:val="28"/>
          <w:bdr w:val="none" w:sz="0" w:space="0" w:color="auto" w:frame="1"/>
          <w:lang w:val="en-US"/>
        </w:rPr>
        <w:t xml:space="preserve"> </w:t>
      </w:r>
      <w:r w:rsidRPr="00715FD4">
        <w:rPr>
          <w:rFonts w:eastAsia="Calibri" w:cs="Calibri"/>
          <w:i/>
          <w:iCs/>
          <w:sz w:val="28"/>
          <w:szCs w:val="28"/>
          <w:bdr w:val="none" w:sz="0" w:space="0" w:color="auto" w:frame="1"/>
          <w:lang w:val="en-US"/>
        </w:rPr>
        <w:t>Journal of Financial Economics</w:t>
      </w:r>
      <w:r w:rsidRPr="00715FD4">
        <w:rPr>
          <w:rFonts w:eastAsia="Calibri" w:cs="Calibri"/>
          <w:sz w:val="28"/>
          <w:szCs w:val="28"/>
          <w:bdr w:val="none" w:sz="0" w:space="0" w:color="auto" w:frame="1"/>
          <w:lang w:val="en-US"/>
        </w:rPr>
        <w:t xml:space="preserve">, 101(2), </w:t>
      </w:r>
      <w:r w:rsidR="00271398">
        <w:rPr>
          <w:rFonts w:eastAsia="Calibri" w:cs="Calibri"/>
          <w:sz w:val="28"/>
          <w:szCs w:val="28"/>
          <w:bdr w:val="none" w:sz="0" w:space="0" w:color="auto" w:frame="1"/>
          <w:lang w:val="en-US"/>
        </w:rPr>
        <w:t xml:space="preserve">pp. </w:t>
      </w:r>
      <w:r w:rsidRPr="00715FD4">
        <w:rPr>
          <w:rFonts w:eastAsia="Calibri" w:cs="Calibri"/>
          <w:sz w:val="28"/>
          <w:szCs w:val="28"/>
          <w:bdr w:val="none" w:sz="0" w:space="0" w:color="auto" w:frame="1"/>
          <w:lang w:val="en-US"/>
        </w:rPr>
        <w:t>449</w:t>
      </w:r>
      <w:r w:rsidR="00E66974">
        <w:rPr>
          <w:rFonts w:eastAsia="Calibri" w:cs="Calibri"/>
          <w:sz w:val="28"/>
          <w:szCs w:val="28"/>
          <w:bdr w:val="none" w:sz="0" w:space="0" w:color="auto" w:frame="1"/>
          <w:lang w:val="en-US"/>
        </w:rPr>
        <w:t>–</w:t>
      </w:r>
      <w:r w:rsidRPr="00715FD4">
        <w:rPr>
          <w:rFonts w:eastAsia="Calibri" w:cs="Calibri"/>
          <w:sz w:val="28"/>
          <w:szCs w:val="28"/>
          <w:bdr w:val="none" w:sz="0" w:space="0" w:color="auto" w:frame="1"/>
          <w:lang w:val="en-US"/>
        </w:rPr>
        <w:t>472.</w:t>
      </w:r>
    </w:p>
    <w:p w14:paraId="70AAE8F5" w14:textId="77777777" w:rsidR="00715FD4" w:rsidRPr="00715FD4" w:rsidRDefault="00271398" w:rsidP="006F749C">
      <w:pPr>
        <w:numPr>
          <w:ilvl w:val="0"/>
          <w:numId w:val="264"/>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40" w:lineRule="atLeast"/>
        <w:ind w:hanging="578"/>
        <w:contextualSpacing/>
        <w:jc w:val="both"/>
        <w:rPr>
          <w:sz w:val="28"/>
          <w:szCs w:val="28"/>
          <w:lang w:val="en-GB"/>
        </w:rPr>
      </w:pPr>
      <w:r>
        <w:rPr>
          <w:sz w:val="28"/>
          <w:szCs w:val="28"/>
          <w:lang w:val="en-GB"/>
        </w:rPr>
        <w:t>Wagner, R. E., 2012,</w:t>
      </w:r>
      <w:r w:rsidR="00715FD4" w:rsidRPr="00715FD4">
        <w:rPr>
          <w:sz w:val="28"/>
          <w:szCs w:val="28"/>
          <w:lang w:val="en-GB"/>
        </w:rPr>
        <w:t xml:space="preserve"> </w:t>
      </w:r>
      <w:r w:rsidR="00715FD4" w:rsidRPr="00271398">
        <w:rPr>
          <w:i/>
          <w:sz w:val="28"/>
          <w:szCs w:val="28"/>
          <w:lang w:val="en-GB"/>
        </w:rPr>
        <w:t>Deficits, debt, and democracy: Wrestling with tragedy on the fiscal commons</w:t>
      </w:r>
      <w:r>
        <w:rPr>
          <w:i/>
          <w:sz w:val="28"/>
          <w:szCs w:val="28"/>
          <w:lang w:val="en-GB"/>
        </w:rPr>
        <w:t>,</w:t>
      </w:r>
      <w:r w:rsidR="00715FD4" w:rsidRPr="00715FD4">
        <w:rPr>
          <w:sz w:val="28"/>
          <w:szCs w:val="28"/>
          <w:lang w:val="en-GB"/>
        </w:rPr>
        <w:t xml:space="preserve"> </w:t>
      </w:r>
      <w:r w:rsidR="00715FD4" w:rsidRPr="00271398">
        <w:rPr>
          <w:sz w:val="28"/>
          <w:szCs w:val="28"/>
          <w:lang w:val="en-GB"/>
        </w:rPr>
        <w:t>Edward Elgar Publishing.</w:t>
      </w:r>
    </w:p>
    <w:p w14:paraId="67B7EEDF" w14:textId="77777777" w:rsidR="00715FD4" w:rsidRPr="00715FD4" w:rsidRDefault="00271398" w:rsidP="006F749C">
      <w:pPr>
        <w:numPr>
          <w:ilvl w:val="0"/>
          <w:numId w:val="264"/>
        </w:numPr>
        <w:spacing w:line="240" w:lineRule="atLeast"/>
        <w:ind w:hanging="578"/>
        <w:contextualSpacing/>
        <w:jc w:val="both"/>
        <w:rPr>
          <w:color w:val="000000" w:themeColor="text1"/>
          <w:sz w:val="28"/>
          <w:szCs w:val="28"/>
          <w:lang w:val="en-US"/>
        </w:rPr>
      </w:pPr>
      <w:r>
        <w:rPr>
          <w:color w:val="000000" w:themeColor="text1"/>
          <w:sz w:val="28"/>
          <w:szCs w:val="28"/>
          <w:lang w:val="en-US"/>
        </w:rPr>
        <w:t>Weston, J. F., 1981,</w:t>
      </w:r>
      <w:r w:rsidR="00715FD4" w:rsidRPr="00715FD4">
        <w:rPr>
          <w:color w:val="000000" w:themeColor="text1"/>
          <w:sz w:val="28"/>
          <w:szCs w:val="28"/>
          <w:lang w:val="en-US"/>
        </w:rPr>
        <w:t xml:space="preserve"> </w:t>
      </w:r>
      <w:r w:rsidR="00715FD4" w:rsidRPr="00271398">
        <w:rPr>
          <w:i/>
          <w:color w:val="000000" w:themeColor="text1"/>
          <w:sz w:val="28"/>
          <w:szCs w:val="28"/>
          <w:lang w:val="en-US"/>
        </w:rPr>
        <w:t>Developments in Finance Theory</w:t>
      </w:r>
      <w:r>
        <w:rPr>
          <w:i/>
          <w:color w:val="000000" w:themeColor="text1"/>
          <w:sz w:val="28"/>
          <w:szCs w:val="28"/>
          <w:lang w:val="en-US"/>
        </w:rPr>
        <w:t>,</w:t>
      </w:r>
      <w:r w:rsidR="00715FD4" w:rsidRPr="00715FD4">
        <w:rPr>
          <w:color w:val="000000" w:themeColor="text1"/>
          <w:sz w:val="28"/>
          <w:szCs w:val="28"/>
          <w:lang w:val="en-US"/>
        </w:rPr>
        <w:t xml:space="preserve"> </w:t>
      </w:r>
      <w:r w:rsidR="00715FD4" w:rsidRPr="00271398">
        <w:rPr>
          <w:color w:val="000000" w:themeColor="text1"/>
          <w:sz w:val="28"/>
          <w:szCs w:val="28"/>
          <w:lang w:val="en-US"/>
        </w:rPr>
        <w:t>Financial Management.</w:t>
      </w:r>
    </w:p>
    <w:p w14:paraId="1653C232" w14:textId="77777777" w:rsidR="00715FD4" w:rsidRPr="00715FD4" w:rsidRDefault="00715FD4" w:rsidP="006F749C">
      <w:pPr>
        <w:numPr>
          <w:ilvl w:val="0"/>
          <w:numId w:val="264"/>
        </w:numPr>
        <w:spacing w:line="240" w:lineRule="atLeast"/>
        <w:ind w:hanging="578"/>
        <w:contextualSpacing/>
        <w:jc w:val="both"/>
        <w:rPr>
          <w:sz w:val="28"/>
          <w:lang w:val="en-US"/>
        </w:rPr>
      </w:pPr>
      <w:r w:rsidRPr="00715FD4">
        <w:rPr>
          <w:sz w:val="28"/>
          <w:lang w:val="en-US"/>
        </w:rPr>
        <w:t xml:space="preserve">White, G. I., Sondhi, A. C., </w:t>
      </w:r>
      <w:r w:rsidR="00E66974">
        <w:rPr>
          <w:sz w:val="28"/>
          <w:lang w:val="en-US"/>
        </w:rPr>
        <w:t>and</w:t>
      </w:r>
      <w:r w:rsidR="00271398">
        <w:rPr>
          <w:sz w:val="28"/>
          <w:lang w:val="en-US"/>
        </w:rPr>
        <w:t xml:space="preserve"> Fried, D., 2003,</w:t>
      </w:r>
      <w:r w:rsidRPr="00715FD4">
        <w:rPr>
          <w:sz w:val="28"/>
          <w:lang w:val="en-US"/>
        </w:rPr>
        <w:t xml:space="preserve"> </w:t>
      </w:r>
      <w:r w:rsidRPr="00271398">
        <w:rPr>
          <w:i/>
          <w:sz w:val="28"/>
          <w:lang w:val="en-US"/>
        </w:rPr>
        <w:t>The analysis and use of financial statements</w:t>
      </w:r>
      <w:r w:rsidR="00271398">
        <w:rPr>
          <w:sz w:val="28"/>
          <w:lang w:val="en-US"/>
        </w:rPr>
        <w:t>, Vol. 1,</w:t>
      </w:r>
      <w:r w:rsidRPr="00715FD4">
        <w:rPr>
          <w:sz w:val="28"/>
          <w:lang w:val="en-US"/>
        </w:rPr>
        <w:t xml:space="preserve"> </w:t>
      </w:r>
      <w:r w:rsidRPr="00271398">
        <w:rPr>
          <w:sz w:val="28"/>
          <w:lang w:val="en-US"/>
        </w:rPr>
        <w:t xml:space="preserve">John Wiley </w:t>
      </w:r>
      <w:r w:rsidR="00E66974" w:rsidRPr="00271398">
        <w:rPr>
          <w:sz w:val="28"/>
          <w:lang w:val="en-US"/>
        </w:rPr>
        <w:t>and</w:t>
      </w:r>
      <w:r w:rsidRPr="00271398">
        <w:rPr>
          <w:sz w:val="28"/>
          <w:lang w:val="en-US"/>
        </w:rPr>
        <w:t xml:space="preserve"> Sons.</w:t>
      </w:r>
    </w:p>
    <w:p w14:paraId="264DC232" w14:textId="77777777" w:rsidR="00715FD4" w:rsidRPr="00715FD4" w:rsidRDefault="00715FD4" w:rsidP="006F749C">
      <w:pPr>
        <w:numPr>
          <w:ilvl w:val="0"/>
          <w:numId w:val="264"/>
        </w:numPr>
        <w:spacing w:line="240" w:lineRule="atLeast"/>
        <w:ind w:hanging="578"/>
        <w:contextualSpacing/>
        <w:jc w:val="both"/>
        <w:rPr>
          <w:rFonts w:cs="Garamond"/>
          <w:sz w:val="28"/>
          <w:szCs w:val="28"/>
          <w:lang w:val="en-US" w:eastAsia="ru-RU"/>
        </w:rPr>
      </w:pPr>
      <w:r w:rsidRPr="00271398">
        <w:rPr>
          <w:rFonts w:cs="Garamond"/>
          <w:i/>
          <w:sz w:val="28"/>
          <w:szCs w:val="28"/>
          <w:lang w:val="en-US" w:eastAsia="ru-RU"/>
        </w:rPr>
        <w:t>Why insurers differ from banks</w:t>
      </w:r>
      <w:r w:rsidR="00271398">
        <w:rPr>
          <w:rFonts w:cs="Garamond"/>
          <w:i/>
          <w:sz w:val="28"/>
          <w:szCs w:val="28"/>
          <w:lang w:val="en-US" w:eastAsia="ru-RU"/>
        </w:rPr>
        <w:t xml:space="preserve">, </w:t>
      </w:r>
      <w:r w:rsidR="00271398">
        <w:rPr>
          <w:rFonts w:cs="Garamond"/>
          <w:sz w:val="28"/>
          <w:szCs w:val="28"/>
          <w:lang w:val="en-US" w:eastAsia="ru-RU"/>
        </w:rPr>
        <w:t>2014,</w:t>
      </w:r>
      <w:r w:rsidRPr="00715FD4">
        <w:rPr>
          <w:rFonts w:cs="Garamond"/>
          <w:sz w:val="28"/>
          <w:szCs w:val="28"/>
          <w:lang w:val="en-US" w:eastAsia="ru-RU"/>
        </w:rPr>
        <w:t xml:space="preserve"> </w:t>
      </w:r>
      <w:r w:rsidRPr="00271398">
        <w:rPr>
          <w:rFonts w:cs="Garamond"/>
          <w:sz w:val="28"/>
          <w:szCs w:val="28"/>
          <w:lang w:val="en-US" w:eastAsia="ru-RU"/>
        </w:rPr>
        <w:t>Insurance Europe aisbl, Brussels</w:t>
      </w:r>
      <w:r w:rsidRPr="00715FD4">
        <w:rPr>
          <w:rFonts w:cs="Garamond"/>
          <w:sz w:val="28"/>
          <w:szCs w:val="28"/>
          <w:lang w:val="en-US" w:eastAsia="ru-RU"/>
        </w:rPr>
        <w:t>.</w:t>
      </w:r>
    </w:p>
    <w:p w14:paraId="101FBD53" w14:textId="77777777" w:rsidR="00715FD4" w:rsidRPr="00271398" w:rsidRDefault="00715FD4" w:rsidP="006F749C">
      <w:pPr>
        <w:numPr>
          <w:ilvl w:val="0"/>
          <w:numId w:val="264"/>
        </w:numPr>
        <w:spacing w:line="240" w:lineRule="atLeast"/>
        <w:ind w:hanging="578"/>
        <w:contextualSpacing/>
        <w:jc w:val="both"/>
        <w:rPr>
          <w:color w:val="000000" w:themeColor="text1"/>
          <w:sz w:val="28"/>
          <w:szCs w:val="28"/>
          <w:lang w:val="en-US"/>
        </w:rPr>
      </w:pPr>
      <w:r w:rsidRPr="00715FD4">
        <w:rPr>
          <w:color w:val="000000" w:themeColor="text1"/>
          <w:sz w:val="28"/>
          <w:szCs w:val="28"/>
          <w:lang w:val="fr-BE"/>
        </w:rPr>
        <w:t>Wijst, D. van</w:t>
      </w:r>
      <w:r w:rsidR="00271398">
        <w:rPr>
          <w:color w:val="000000" w:themeColor="text1"/>
          <w:sz w:val="28"/>
          <w:szCs w:val="28"/>
          <w:lang w:val="fr-BE"/>
        </w:rPr>
        <w:t xml:space="preserve"> der., 2013,</w:t>
      </w:r>
      <w:r w:rsidRPr="00715FD4">
        <w:rPr>
          <w:color w:val="000000" w:themeColor="text1"/>
          <w:sz w:val="28"/>
          <w:szCs w:val="28"/>
          <w:lang w:val="fr-BE"/>
        </w:rPr>
        <w:t xml:space="preserve"> </w:t>
      </w:r>
      <w:r w:rsidRPr="00271398">
        <w:rPr>
          <w:i/>
          <w:color w:val="000000" w:themeColor="text1"/>
          <w:sz w:val="28"/>
          <w:szCs w:val="28"/>
          <w:lang w:val="fr-BE"/>
        </w:rPr>
        <w:t>Finance: a quantitative introduction</w:t>
      </w:r>
      <w:r w:rsidR="00271398">
        <w:rPr>
          <w:i/>
          <w:color w:val="000000" w:themeColor="text1"/>
          <w:sz w:val="28"/>
          <w:szCs w:val="28"/>
          <w:lang w:val="fr-BE"/>
        </w:rPr>
        <w:t>,</w:t>
      </w:r>
      <w:r w:rsidRPr="00715FD4">
        <w:rPr>
          <w:color w:val="000000" w:themeColor="text1"/>
          <w:sz w:val="28"/>
          <w:szCs w:val="28"/>
          <w:lang w:val="fr-BE"/>
        </w:rPr>
        <w:t xml:space="preserve"> </w:t>
      </w:r>
      <w:r w:rsidRPr="00271398">
        <w:rPr>
          <w:color w:val="000000" w:themeColor="text1"/>
          <w:sz w:val="28"/>
          <w:szCs w:val="28"/>
          <w:lang w:val="en-US"/>
        </w:rPr>
        <w:t>Cambridge University Press</w:t>
      </w:r>
      <w:r w:rsidR="00271398" w:rsidRPr="00271398">
        <w:rPr>
          <w:color w:val="000000" w:themeColor="text1"/>
          <w:sz w:val="28"/>
          <w:szCs w:val="28"/>
          <w:lang w:val="en-US"/>
        </w:rPr>
        <w:t>, USA.</w:t>
      </w:r>
    </w:p>
    <w:p w14:paraId="2CAEE5BB" w14:textId="77777777" w:rsidR="00715FD4" w:rsidRPr="00715FD4" w:rsidRDefault="00271398" w:rsidP="006F749C">
      <w:pPr>
        <w:numPr>
          <w:ilvl w:val="0"/>
          <w:numId w:val="264"/>
        </w:numPr>
        <w:spacing w:line="240" w:lineRule="atLeast"/>
        <w:ind w:hanging="578"/>
        <w:contextualSpacing/>
        <w:jc w:val="both"/>
        <w:rPr>
          <w:rFonts w:eastAsia="Garamond"/>
          <w:color w:val="FF0000"/>
          <w:sz w:val="28"/>
          <w:szCs w:val="28"/>
          <w:bdr w:val="none" w:sz="0" w:space="0" w:color="auto" w:frame="1"/>
          <w:lang w:val="en-US"/>
        </w:rPr>
      </w:pPr>
      <w:r>
        <w:rPr>
          <w:rFonts w:eastAsia="Calibri" w:cs="Calibri"/>
          <w:sz w:val="28"/>
          <w:szCs w:val="28"/>
          <w:bdr w:val="none" w:sz="0" w:space="0" w:color="auto" w:frame="1"/>
          <w:lang w:val="en-US"/>
        </w:rPr>
        <w:t>Wurgler, J., 2000,</w:t>
      </w:r>
      <w:r w:rsidR="00715FD4" w:rsidRPr="00715FD4">
        <w:rPr>
          <w:rFonts w:eastAsia="Calibri" w:cs="Calibri"/>
          <w:sz w:val="28"/>
          <w:szCs w:val="28"/>
          <w:bdr w:val="none" w:sz="0" w:space="0" w:color="auto" w:frame="1"/>
          <w:lang w:val="en-US"/>
        </w:rPr>
        <w:t xml:space="preserve"> Financial markets and the allocation of capital, </w:t>
      </w:r>
      <w:r w:rsidR="00715FD4" w:rsidRPr="00715FD4">
        <w:rPr>
          <w:rFonts w:eastAsia="Calibri" w:cs="Calibri"/>
          <w:i/>
          <w:iCs/>
          <w:sz w:val="28"/>
          <w:szCs w:val="28"/>
          <w:bdr w:val="none" w:sz="0" w:space="0" w:color="auto" w:frame="1"/>
          <w:lang w:val="en-US"/>
        </w:rPr>
        <w:t>Journal of financial economics</w:t>
      </w:r>
      <w:r w:rsidR="00715FD4" w:rsidRPr="00715FD4">
        <w:rPr>
          <w:rFonts w:eastAsia="Calibri" w:cs="Calibri"/>
          <w:sz w:val="28"/>
          <w:szCs w:val="28"/>
          <w:bdr w:val="none" w:sz="0" w:space="0" w:color="auto" w:frame="1"/>
          <w:lang w:val="en-US"/>
        </w:rPr>
        <w:t xml:space="preserve">, 58(1), </w:t>
      </w:r>
      <w:r>
        <w:rPr>
          <w:rFonts w:eastAsia="Calibri" w:cs="Calibri"/>
          <w:sz w:val="28"/>
          <w:szCs w:val="28"/>
          <w:bdr w:val="none" w:sz="0" w:space="0" w:color="auto" w:frame="1"/>
          <w:lang w:val="en-US"/>
        </w:rPr>
        <w:t xml:space="preserve">pp. </w:t>
      </w:r>
      <w:r w:rsidR="00715FD4" w:rsidRPr="00715FD4">
        <w:rPr>
          <w:rFonts w:eastAsia="Calibri" w:cs="Calibri"/>
          <w:sz w:val="28"/>
          <w:szCs w:val="28"/>
          <w:bdr w:val="none" w:sz="0" w:space="0" w:color="auto" w:frame="1"/>
          <w:lang w:val="en-US"/>
        </w:rPr>
        <w:t>187</w:t>
      </w:r>
      <w:r w:rsidR="00E66974">
        <w:rPr>
          <w:rFonts w:eastAsia="Calibri" w:cs="Calibri"/>
          <w:sz w:val="28"/>
          <w:szCs w:val="28"/>
          <w:bdr w:val="none" w:sz="0" w:space="0" w:color="auto" w:frame="1"/>
          <w:lang w:val="en-US"/>
        </w:rPr>
        <w:t>–</w:t>
      </w:r>
      <w:r w:rsidR="00715FD4" w:rsidRPr="00715FD4">
        <w:rPr>
          <w:rFonts w:eastAsia="Calibri" w:cs="Calibri"/>
          <w:sz w:val="28"/>
          <w:szCs w:val="28"/>
          <w:bdr w:val="none" w:sz="0" w:space="0" w:color="auto" w:frame="1"/>
          <w:lang w:val="en-US"/>
        </w:rPr>
        <w:t>214.</w:t>
      </w:r>
    </w:p>
    <w:p w14:paraId="4CB002D6" w14:textId="77777777" w:rsidR="00F12EDD" w:rsidRDefault="00F12EDD" w:rsidP="00F12EDD">
      <w:pPr>
        <w:jc w:val="right"/>
        <w:rPr>
          <w:b/>
          <w:sz w:val="36"/>
          <w:lang w:val="en-US"/>
        </w:rPr>
      </w:pPr>
      <w:r w:rsidRPr="00397933">
        <w:rPr>
          <w:rFonts w:eastAsia="Garamond" w:cs="Garamond"/>
          <w:sz w:val="28"/>
          <w:szCs w:val="28"/>
          <w:u w:color="000000"/>
          <w:bdr w:val="nil"/>
          <w:lang w:val="en-US" w:eastAsia="en-US"/>
        </w:rPr>
        <w:br w:type="page"/>
      </w:r>
      <w:r w:rsidRPr="00EA7CB8">
        <w:rPr>
          <w:b/>
          <w:sz w:val="36"/>
          <w:lang w:val="en-US"/>
        </w:rPr>
        <w:lastRenderedPageBreak/>
        <w:t>List of Figures</w:t>
      </w:r>
    </w:p>
    <w:p w14:paraId="1769A5A9" w14:textId="77777777" w:rsidR="00F12EDD" w:rsidRPr="00EA7CB8" w:rsidRDefault="00F12EDD" w:rsidP="00F12EDD">
      <w:pPr>
        <w:jc w:val="right"/>
        <w:rPr>
          <w:b/>
          <w:sz w:val="36"/>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7"/>
        <w:gridCol w:w="7796"/>
        <w:gridCol w:w="892"/>
      </w:tblGrid>
      <w:tr w:rsidR="00F12EDD" w14:paraId="3AF447B6" w14:textId="77777777" w:rsidTr="00F12EDD">
        <w:tc>
          <w:tcPr>
            <w:tcW w:w="774" w:type="dxa"/>
            <w:tcMar>
              <w:left w:w="28" w:type="dxa"/>
              <w:right w:w="28" w:type="dxa"/>
            </w:tcMar>
          </w:tcPr>
          <w:p w14:paraId="4B04F6AC" w14:textId="77777777" w:rsidR="00F12EDD" w:rsidRPr="00391E69" w:rsidRDefault="00F12EDD" w:rsidP="00B4491A">
            <w:pPr>
              <w:spacing w:line="312" w:lineRule="auto"/>
              <w:jc w:val="center"/>
              <w:rPr>
                <w:b/>
                <w:sz w:val="28"/>
                <w:lang w:val="en-US"/>
              </w:rPr>
            </w:pPr>
            <w:r w:rsidRPr="00391E69">
              <w:rPr>
                <w:b/>
                <w:sz w:val="28"/>
                <w:lang w:val="en-US"/>
              </w:rPr>
              <w:t>3.1</w:t>
            </w:r>
          </w:p>
        </w:tc>
        <w:tc>
          <w:tcPr>
            <w:tcW w:w="7939" w:type="dxa"/>
            <w:tcMar>
              <w:left w:w="28" w:type="dxa"/>
              <w:right w:w="28" w:type="dxa"/>
            </w:tcMar>
          </w:tcPr>
          <w:p w14:paraId="1877F9C1" w14:textId="77777777" w:rsidR="00F12EDD" w:rsidRDefault="00F12EDD" w:rsidP="00B4491A">
            <w:pPr>
              <w:spacing w:line="312" w:lineRule="auto"/>
              <w:rPr>
                <w:sz w:val="28"/>
                <w:lang w:val="en-US"/>
              </w:rPr>
            </w:pPr>
            <w:r w:rsidRPr="005C3EC1">
              <w:rPr>
                <w:sz w:val="28"/>
                <w:lang w:val="en-US"/>
              </w:rPr>
              <w:t>The structure of the financial system</w:t>
            </w:r>
          </w:p>
        </w:tc>
        <w:tc>
          <w:tcPr>
            <w:tcW w:w="902" w:type="dxa"/>
            <w:tcMar>
              <w:left w:w="28" w:type="dxa"/>
              <w:right w:w="28" w:type="dxa"/>
            </w:tcMar>
          </w:tcPr>
          <w:p w14:paraId="4DB52FB6" w14:textId="77777777" w:rsidR="00F12EDD" w:rsidRPr="000552CE" w:rsidRDefault="00F12EDD" w:rsidP="000552CE">
            <w:pPr>
              <w:spacing w:line="312" w:lineRule="auto"/>
              <w:jc w:val="center"/>
              <w:rPr>
                <w:sz w:val="28"/>
                <w:lang w:val="en-US"/>
              </w:rPr>
            </w:pPr>
            <w:r w:rsidRPr="000552CE">
              <w:rPr>
                <w:sz w:val="28"/>
                <w:lang w:val="en-US"/>
              </w:rPr>
              <w:t>5</w:t>
            </w:r>
            <w:r w:rsidR="002C1F42" w:rsidRPr="000552CE">
              <w:rPr>
                <w:sz w:val="28"/>
                <w:lang w:val="en-US"/>
              </w:rPr>
              <w:t>1</w:t>
            </w:r>
            <w:r w:rsidR="000552CE" w:rsidRPr="00543EEA">
              <w:rPr>
                <w:sz w:val="28"/>
                <w:lang w:val="en-US"/>
              </w:rPr>
              <w:t>–</w:t>
            </w:r>
            <w:r w:rsidR="002C1F42" w:rsidRPr="000552CE">
              <w:rPr>
                <w:sz w:val="28"/>
                <w:lang w:val="en-US"/>
              </w:rPr>
              <w:t>52</w:t>
            </w:r>
          </w:p>
        </w:tc>
      </w:tr>
      <w:tr w:rsidR="00F12EDD" w14:paraId="7F5B84ED" w14:textId="77777777" w:rsidTr="00F12EDD">
        <w:tc>
          <w:tcPr>
            <w:tcW w:w="774" w:type="dxa"/>
            <w:tcMar>
              <w:left w:w="28" w:type="dxa"/>
              <w:right w:w="28" w:type="dxa"/>
            </w:tcMar>
          </w:tcPr>
          <w:p w14:paraId="486FEEDA" w14:textId="77777777" w:rsidR="00F12EDD" w:rsidRPr="00391E69" w:rsidRDefault="00F12EDD" w:rsidP="00B4491A">
            <w:pPr>
              <w:spacing w:line="312" w:lineRule="auto"/>
              <w:jc w:val="center"/>
              <w:rPr>
                <w:b/>
                <w:sz w:val="28"/>
                <w:lang w:val="en-US"/>
              </w:rPr>
            </w:pPr>
            <w:r w:rsidRPr="00391E69">
              <w:rPr>
                <w:b/>
                <w:sz w:val="28"/>
                <w:lang w:val="en-US"/>
              </w:rPr>
              <w:t>3.2</w:t>
            </w:r>
          </w:p>
        </w:tc>
        <w:tc>
          <w:tcPr>
            <w:tcW w:w="7939" w:type="dxa"/>
            <w:tcMar>
              <w:left w:w="28" w:type="dxa"/>
              <w:right w:w="28" w:type="dxa"/>
            </w:tcMar>
          </w:tcPr>
          <w:p w14:paraId="092B03F4" w14:textId="77777777" w:rsidR="00F12EDD" w:rsidRDefault="00F12EDD" w:rsidP="00B4491A">
            <w:pPr>
              <w:spacing w:line="312" w:lineRule="auto"/>
              <w:rPr>
                <w:sz w:val="28"/>
                <w:lang w:val="en-US"/>
              </w:rPr>
            </w:pPr>
            <w:r w:rsidRPr="005C3EC1">
              <w:rPr>
                <w:sz w:val="28"/>
                <w:lang w:val="en-US"/>
              </w:rPr>
              <w:t>Budget deficits as a percentage of GDP (by administration)</w:t>
            </w:r>
          </w:p>
        </w:tc>
        <w:tc>
          <w:tcPr>
            <w:tcW w:w="902" w:type="dxa"/>
            <w:tcMar>
              <w:left w:w="28" w:type="dxa"/>
              <w:right w:w="28" w:type="dxa"/>
            </w:tcMar>
          </w:tcPr>
          <w:p w14:paraId="52436A8D" w14:textId="77777777" w:rsidR="00F12EDD" w:rsidRPr="000552CE" w:rsidRDefault="002C1F42" w:rsidP="00B4491A">
            <w:pPr>
              <w:spacing w:line="312" w:lineRule="auto"/>
              <w:jc w:val="center"/>
              <w:rPr>
                <w:sz w:val="28"/>
                <w:lang w:val="en-US"/>
              </w:rPr>
            </w:pPr>
            <w:r w:rsidRPr="000552CE">
              <w:rPr>
                <w:sz w:val="28"/>
                <w:lang w:val="en-US"/>
              </w:rPr>
              <w:t>59</w:t>
            </w:r>
          </w:p>
        </w:tc>
      </w:tr>
      <w:tr w:rsidR="00F12EDD" w14:paraId="39987844" w14:textId="77777777" w:rsidTr="00F12EDD">
        <w:tc>
          <w:tcPr>
            <w:tcW w:w="774" w:type="dxa"/>
            <w:tcMar>
              <w:left w:w="28" w:type="dxa"/>
              <w:right w:w="28" w:type="dxa"/>
            </w:tcMar>
          </w:tcPr>
          <w:p w14:paraId="750772E7" w14:textId="77777777" w:rsidR="00F12EDD" w:rsidRPr="00391E69" w:rsidRDefault="00F12EDD" w:rsidP="00B4491A">
            <w:pPr>
              <w:spacing w:line="312" w:lineRule="auto"/>
              <w:jc w:val="center"/>
              <w:rPr>
                <w:b/>
                <w:sz w:val="28"/>
                <w:lang w:val="en-US"/>
              </w:rPr>
            </w:pPr>
          </w:p>
        </w:tc>
        <w:tc>
          <w:tcPr>
            <w:tcW w:w="7939" w:type="dxa"/>
            <w:tcMar>
              <w:left w:w="28" w:type="dxa"/>
              <w:right w:w="28" w:type="dxa"/>
            </w:tcMar>
          </w:tcPr>
          <w:p w14:paraId="39CFFD08" w14:textId="77777777" w:rsidR="00F12EDD" w:rsidRDefault="00F12EDD" w:rsidP="00B4491A">
            <w:pPr>
              <w:spacing w:line="312" w:lineRule="auto"/>
              <w:rPr>
                <w:sz w:val="28"/>
                <w:lang w:val="en-US"/>
              </w:rPr>
            </w:pPr>
          </w:p>
        </w:tc>
        <w:tc>
          <w:tcPr>
            <w:tcW w:w="902" w:type="dxa"/>
            <w:tcMar>
              <w:left w:w="28" w:type="dxa"/>
              <w:right w:w="28" w:type="dxa"/>
            </w:tcMar>
          </w:tcPr>
          <w:p w14:paraId="7B2AF225" w14:textId="77777777" w:rsidR="00F12EDD" w:rsidRPr="000552CE" w:rsidRDefault="00F12EDD" w:rsidP="002C1F42">
            <w:pPr>
              <w:spacing w:line="312" w:lineRule="auto"/>
              <w:rPr>
                <w:sz w:val="28"/>
                <w:lang w:val="en-US"/>
              </w:rPr>
            </w:pPr>
          </w:p>
        </w:tc>
      </w:tr>
      <w:tr w:rsidR="00F12EDD" w14:paraId="643F2F51" w14:textId="77777777" w:rsidTr="00F12EDD">
        <w:tc>
          <w:tcPr>
            <w:tcW w:w="774" w:type="dxa"/>
            <w:tcMar>
              <w:left w:w="28" w:type="dxa"/>
              <w:right w:w="28" w:type="dxa"/>
            </w:tcMar>
          </w:tcPr>
          <w:p w14:paraId="294AA817" w14:textId="77777777" w:rsidR="00F12EDD" w:rsidRPr="00391E69" w:rsidRDefault="00F12EDD" w:rsidP="00B4491A">
            <w:pPr>
              <w:spacing w:line="312" w:lineRule="auto"/>
              <w:jc w:val="center"/>
              <w:rPr>
                <w:b/>
                <w:sz w:val="28"/>
                <w:lang w:val="en-US"/>
              </w:rPr>
            </w:pPr>
            <w:r w:rsidRPr="00391E69">
              <w:rPr>
                <w:b/>
                <w:sz w:val="28"/>
                <w:lang w:val="en-US"/>
              </w:rPr>
              <w:t>5.1</w:t>
            </w:r>
          </w:p>
        </w:tc>
        <w:tc>
          <w:tcPr>
            <w:tcW w:w="7939" w:type="dxa"/>
            <w:tcMar>
              <w:left w:w="28" w:type="dxa"/>
              <w:right w:w="28" w:type="dxa"/>
            </w:tcMar>
          </w:tcPr>
          <w:p w14:paraId="301F3699" w14:textId="77777777" w:rsidR="00F12EDD" w:rsidRDefault="00F12EDD" w:rsidP="00B4491A">
            <w:pPr>
              <w:spacing w:line="312" w:lineRule="auto"/>
              <w:rPr>
                <w:sz w:val="28"/>
                <w:lang w:val="en-US"/>
              </w:rPr>
            </w:pPr>
            <w:r w:rsidRPr="005C3EC1">
              <w:rPr>
                <w:sz w:val="28"/>
                <w:lang w:val="en-US"/>
              </w:rPr>
              <w:t>Structure of the budget system of Ukraine</w:t>
            </w:r>
          </w:p>
        </w:tc>
        <w:tc>
          <w:tcPr>
            <w:tcW w:w="902" w:type="dxa"/>
            <w:tcMar>
              <w:left w:w="28" w:type="dxa"/>
              <w:right w:w="28" w:type="dxa"/>
            </w:tcMar>
          </w:tcPr>
          <w:p w14:paraId="387E66EC" w14:textId="77777777" w:rsidR="00F12EDD" w:rsidRPr="000552CE" w:rsidRDefault="002C1F42" w:rsidP="00B4491A">
            <w:pPr>
              <w:spacing w:line="312" w:lineRule="auto"/>
              <w:jc w:val="center"/>
              <w:rPr>
                <w:sz w:val="28"/>
                <w:lang w:val="en-US"/>
              </w:rPr>
            </w:pPr>
            <w:r w:rsidRPr="000552CE">
              <w:rPr>
                <w:sz w:val="28"/>
                <w:lang w:val="en-US"/>
              </w:rPr>
              <w:t>78</w:t>
            </w:r>
          </w:p>
        </w:tc>
      </w:tr>
      <w:tr w:rsidR="00F12EDD" w14:paraId="0040641F" w14:textId="77777777" w:rsidTr="00F12EDD">
        <w:tc>
          <w:tcPr>
            <w:tcW w:w="774" w:type="dxa"/>
            <w:tcMar>
              <w:left w:w="28" w:type="dxa"/>
              <w:right w:w="28" w:type="dxa"/>
            </w:tcMar>
          </w:tcPr>
          <w:p w14:paraId="6707307B" w14:textId="77777777" w:rsidR="00F12EDD" w:rsidRPr="00391E69" w:rsidRDefault="00F12EDD" w:rsidP="00B4491A">
            <w:pPr>
              <w:spacing w:line="312" w:lineRule="auto"/>
              <w:jc w:val="center"/>
              <w:rPr>
                <w:b/>
                <w:sz w:val="28"/>
                <w:lang w:val="en-US"/>
              </w:rPr>
            </w:pPr>
          </w:p>
        </w:tc>
        <w:tc>
          <w:tcPr>
            <w:tcW w:w="7939" w:type="dxa"/>
            <w:tcMar>
              <w:left w:w="28" w:type="dxa"/>
              <w:right w:w="28" w:type="dxa"/>
            </w:tcMar>
          </w:tcPr>
          <w:p w14:paraId="19DBDAC4" w14:textId="77777777" w:rsidR="00F12EDD" w:rsidRDefault="00F12EDD" w:rsidP="00B4491A">
            <w:pPr>
              <w:spacing w:line="312" w:lineRule="auto"/>
              <w:rPr>
                <w:sz w:val="28"/>
                <w:lang w:val="en-US"/>
              </w:rPr>
            </w:pPr>
          </w:p>
        </w:tc>
        <w:tc>
          <w:tcPr>
            <w:tcW w:w="902" w:type="dxa"/>
            <w:tcMar>
              <w:left w:w="28" w:type="dxa"/>
              <w:right w:w="28" w:type="dxa"/>
            </w:tcMar>
          </w:tcPr>
          <w:p w14:paraId="22646340" w14:textId="77777777" w:rsidR="00F12EDD" w:rsidRPr="000552CE" w:rsidRDefault="00F12EDD" w:rsidP="00B4491A">
            <w:pPr>
              <w:spacing w:line="312" w:lineRule="auto"/>
              <w:jc w:val="center"/>
              <w:rPr>
                <w:sz w:val="28"/>
                <w:lang w:val="en-US"/>
              </w:rPr>
            </w:pPr>
          </w:p>
        </w:tc>
      </w:tr>
      <w:tr w:rsidR="00F12EDD" w14:paraId="1805DB17" w14:textId="77777777" w:rsidTr="00F12EDD">
        <w:tc>
          <w:tcPr>
            <w:tcW w:w="774" w:type="dxa"/>
            <w:tcMar>
              <w:left w:w="28" w:type="dxa"/>
              <w:right w:w="28" w:type="dxa"/>
            </w:tcMar>
          </w:tcPr>
          <w:p w14:paraId="414DB2E2" w14:textId="77777777" w:rsidR="00F12EDD" w:rsidRPr="00391E69" w:rsidRDefault="00F12EDD" w:rsidP="00B4491A">
            <w:pPr>
              <w:spacing w:line="312" w:lineRule="auto"/>
              <w:jc w:val="center"/>
              <w:rPr>
                <w:b/>
                <w:sz w:val="28"/>
                <w:lang w:val="en-US"/>
              </w:rPr>
            </w:pPr>
            <w:r w:rsidRPr="00391E69">
              <w:rPr>
                <w:b/>
                <w:sz w:val="28"/>
                <w:lang w:val="en-US"/>
              </w:rPr>
              <w:t>6.1</w:t>
            </w:r>
          </w:p>
        </w:tc>
        <w:tc>
          <w:tcPr>
            <w:tcW w:w="7939" w:type="dxa"/>
            <w:tcMar>
              <w:left w:w="28" w:type="dxa"/>
              <w:right w:w="28" w:type="dxa"/>
            </w:tcMar>
          </w:tcPr>
          <w:p w14:paraId="5CD455BA" w14:textId="77777777" w:rsidR="00F12EDD" w:rsidRDefault="00F12EDD" w:rsidP="00B4491A">
            <w:pPr>
              <w:spacing w:line="312" w:lineRule="auto"/>
              <w:rPr>
                <w:sz w:val="28"/>
                <w:lang w:val="en-US"/>
              </w:rPr>
            </w:pPr>
            <w:r w:rsidRPr="005C3EC1">
              <w:rPr>
                <w:sz w:val="28"/>
                <w:lang w:val="en-US"/>
              </w:rPr>
              <w:t>Role of household finance</w:t>
            </w:r>
          </w:p>
        </w:tc>
        <w:tc>
          <w:tcPr>
            <w:tcW w:w="902" w:type="dxa"/>
            <w:tcMar>
              <w:left w:w="28" w:type="dxa"/>
              <w:right w:w="28" w:type="dxa"/>
            </w:tcMar>
          </w:tcPr>
          <w:p w14:paraId="58E9AFB0" w14:textId="77777777" w:rsidR="00F12EDD" w:rsidRPr="000552CE" w:rsidRDefault="002C1F42" w:rsidP="00B4491A">
            <w:pPr>
              <w:spacing w:line="312" w:lineRule="auto"/>
              <w:jc w:val="center"/>
              <w:rPr>
                <w:sz w:val="28"/>
                <w:lang w:val="en-US"/>
              </w:rPr>
            </w:pPr>
            <w:r w:rsidRPr="000552CE">
              <w:rPr>
                <w:sz w:val="28"/>
                <w:lang w:val="en-US"/>
              </w:rPr>
              <w:t>97</w:t>
            </w:r>
          </w:p>
        </w:tc>
      </w:tr>
      <w:tr w:rsidR="00F12EDD" w14:paraId="28D53DB8" w14:textId="77777777" w:rsidTr="00F12EDD">
        <w:tc>
          <w:tcPr>
            <w:tcW w:w="774" w:type="dxa"/>
            <w:tcMar>
              <w:left w:w="28" w:type="dxa"/>
              <w:right w:w="28" w:type="dxa"/>
            </w:tcMar>
          </w:tcPr>
          <w:p w14:paraId="33B2C744" w14:textId="77777777" w:rsidR="00F12EDD" w:rsidRPr="00391E69" w:rsidRDefault="00F12EDD" w:rsidP="00B4491A">
            <w:pPr>
              <w:spacing w:line="312" w:lineRule="auto"/>
              <w:jc w:val="center"/>
              <w:rPr>
                <w:b/>
                <w:sz w:val="28"/>
                <w:lang w:val="en-US"/>
              </w:rPr>
            </w:pPr>
            <w:r>
              <w:rPr>
                <w:b/>
                <w:sz w:val="28"/>
                <w:lang w:val="en-US"/>
              </w:rPr>
              <w:t>6.2</w:t>
            </w:r>
          </w:p>
        </w:tc>
        <w:tc>
          <w:tcPr>
            <w:tcW w:w="7939" w:type="dxa"/>
            <w:tcMar>
              <w:left w:w="28" w:type="dxa"/>
              <w:right w:w="28" w:type="dxa"/>
            </w:tcMar>
          </w:tcPr>
          <w:p w14:paraId="6C93413C" w14:textId="77777777" w:rsidR="00F12EDD" w:rsidRDefault="00F12EDD" w:rsidP="00B4491A">
            <w:pPr>
              <w:spacing w:line="312" w:lineRule="auto"/>
              <w:rPr>
                <w:sz w:val="28"/>
                <w:lang w:val="en-US"/>
              </w:rPr>
            </w:pPr>
            <w:r w:rsidRPr="005C3EC1">
              <w:rPr>
                <w:sz w:val="28"/>
                <w:lang w:val="en-US"/>
              </w:rPr>
              <w:t>The structure of the household budget</w:t>
            </w:r>
          </w:p>
        </w:tc>
        <w:tc>
          <w:tcPr>
            <w:tcW w:w="902" w:type="dxa"/>
            <w:tcMar>
              <w:left w:w="28" w:type="dxa"/>
              <w:right w:w="28" w:type="dxa"/>
            </w:tcMar>
          </w:tcPr>
          <w:p w14:paraId="683A8A37" w14:textId="77777777" w:rsidR="00F12EDD" w:rsidRPr="000552CE" w:rsidRDefault="00F12EDD" w:rsidP="002C1F42">
            <w:pPr>
              <w:spacing w:line="312" w:lineRule="auto"/>
              <w:jc w:val="center"/>
              <w:rPr>
                <w:sz w:val="28"/>
                <w:lang w:val="en-US"/>
              </w:rPr>
            </w:pPr>
            <w:r w:rsidRPr="000552CE">
              <w:rPr>
                <w:sz w:val="28"/>
                <w:lang w:val="en-US"/>
              </w:rPr>
              <w:t>1</w:t>
            </w:r>
            <w:r w:rsidR="002C1F42" w:rsidRPr="000552CE">
              <w:rPr>
                <w:sz w:val="28"/>
                <w:lang w:val="en-US"/>
              </w:rPr>
              <w:t>01</w:t>
            </w:r>
          </w:p>
        </w:tc>
      </w:tr>
      <w:tr w:rsidR="00F12EDD" w14:paraId="6C97C054" w14:textId="77777777" w:rsidTr="00F12EDD">
        <w:tc>
          <w:tcPr>
            <w:tcW w:w="774" w:type="dxa"/>
            <w:tcMar>
              <w:left w:w="28" w:type="dxa"/>
              <w:right w:w="28" w:type="dxa"/>
            </w:tcMar>
          </w:tcPr>
          <w:p w14:paraId="17AD783D" w14:textId="77777777" w:rsidR="00F12EDD" w:rsidRPr="00391E69" w:rsidRDefault="00F12EDD" w:rsidP="00B4491A">
            <w:pPr>
              <w:spacing w:line="312" w:lineRule="auto"/>
              <w:jc w:val="center"/>
              <w:rPr>
                <w:b/>
                <w:sz w:val="28"/>
                <w:lang w:val="en-US"/>
              </w:rPr>
            </w:pPr>
            <w:r>
              <w:rPr>
                <w:b/>
                <w:sz w:val="28"/>
                <w:lang w:val="en-US"/>
              </w:rPr>
              <w:t>6.3</w:t>
            </w:r>
          </w:p>
        </w:tc>
        <w:tc>
          <w:tcPr>
            <w:tcW w:w="7939" w:type="dxa"/>
            <w:tcMar>
              <w:left w:w="28" w:type="dxa"/>
              <w:right w:w="28" w:type="dxa"/>
            </w:tcMar>
          </w:tcPr>
          <w:p w14:paraId="74EA7F11" w14:textId="77777777" w:rsidR="00F12EDD" w:rsidRDefault="00F12EDD" w:rsidP="00B4491A">
            <w:pPr>
              <w:spacing w:line="312" w:lineRule="auto"/>
              <w:rPr>
                <w:sz w:val="28"/>
                <w:lang w:val="en-US"/>
              </w:rPr>
            </w:pPr>
            <w:r w:rsidRPr="005C3EC1">
              <w:rPr>
                <w:sz w:val="28"/>
                <w:lang w:val="en-US"/>
              </w:rPr>
              <w:t>Structures of expenditures in Ukraine and EU 27</w:t>
            </w:r>
          </w:p>
        </w:tc>
        <w:tc>
          <w:tcPr>
            <w:tcW w:w="902" w:type="dxa"/>
            <w:tcMar>
              <w:left w:w="28" w:type="dxa"/>
              <w:right w:w="28" w:type="dxa"/>
            </w:tcMar>
          </w:tcPr>
          <w:p w14:paraId="6319B73E" w14:textId="77777777" w:rsidR="00F12EDD" w:rsidRPr="000552CE" w:rsidRDefault="002C1F42" w:rsidP="00B4491A">
            <w:pPr>
              <w:spacing w:line="312" w:lineRule="auto"/>
              <w:jc w:val="center"/>
              <w:rPr>
                <w:sz w:val="28"/>
                <w:lang w:val="en-US"/>
              </w:rPr>
            </w:pPr>
            <w:r w:rsidRPr="000552CE">
              <w:rPr>
                <w:sz w:val="28"/>
                <w:lang w:val="en-US"/>
              </w:rPr>
              <w:t>113</w:t>
            </w:r>
          </w:p>
        </w:tc>
      </w:tr>
      <w:tr w:rsidR="00F12EDD" w14:paraId="7FCDFEFA" w14:textId="77777777" w:rsidTr="00F12EDD">
        <w:tc>
          <w:tcPr>
            <w:tcW w:w="774" w:type="dxa"/>
            <w:tcMar>
              <w:left w:w="28" w:type="dxa"/>
              <w:right w:w="28" w:type="dxa"/>
            </w:tcMar>
          </w:tcPr>
          <w:p w14:paraId="14BA4B8E" w14:textId="77777777" w:rsidR="00F12EDD" w:rsidRPr="00391E69" w:rsidRDefault="00F12EDD" w:rsidP="00B4491A">
            <w:pPr>
              <w:spacing w:line="312" w:lineRule="auto"/>
              <w:jc w:val="center"/>
              <w:rPr>
                <w:b/>
                <w:sz w:val="28"/>
                <w:lang w:val="en-US"/>
              </w:rPr>
            </w:pPr>
          </w:p>
        </w:tc>
        <w:tc>
          <w:tcPr>
            <w:tcW w:w="7939" w:type="dxa"/>
            <w:tcMar>
              <w:left w:w="28" w:type="dxa"/>
              <w:right w:w="28" w:type="dxa"/>
            </w:tcMar>
          </w:tcPr>
          <w:p w14:paraId="49F155C9" w14:textId="77777777" w:rsidR="00F12EDD" w:rsidRPr="005C3EC1" w:rsidRDefault="00F12EDD" w:rsidP="00B4491A">
            <w:pPr>
              <w:spacing w:line="312" w:lineRule="auto"/>
              <w:rPr>
                <w:sz w:val="28"/>
                <w:lang w:val="en-US"/>
              </w:rPr>
            </w:pPr>
          </w:p>
        </w:tc>
        <w:tc>
          <w:tcPr>
            <w:tcW w:w="902" w:type="dxa"/>
            <w:tcMar>
              <w:left w:w="28" w:type="dxa"/>
              <w:right w:w="28" w:type="dxa"/>
            </w:tcMar>
          </w:tcPr>
          <w:p w14:paraId="4A74D9A2" w14:textId="77777777" w:rsidR="00F12EDD" w:rsidRPr="000552CE" w:rsidRDefault="00F12EDD" w:rsidP="00B4491A">
            <w:pPr>
              <w:spacing w:line="312" w:lineRule="auto"/>
              <w:jc w:val="center"/>
              <w:rPr>
                <w:sz w:val="28"/>
                <w:lang w:val="en-US"/>
              </w:rPr>
            </w:pPr>
          </w:p>
        </w:tc>
      </w:tr>
      <w:tr w:rsidR="00F12EDD" w14:paraId="31DC6CF5" w14:textId="77777777" w:rsidTr="00F12EDD">
        <w:tc>
          <w:tcPr>
            <w:tcW w:w="774" w:type="dxa"/>
            <w:tcMar>
              <w:left w:w="28" w:type="dxa"/>
              <w:right w:w="28" w:type="dxa"/>
            </w:tcMar>
          </w:tcPr>
          <w:p w14:paraId="1CBBC8F0" w14:textId="77777777" w:rsidR="00F12EDD" w:rsidRPr="00391E69" w:rsidRDefault="00F12EDD" w:rsidP="00B4491A">
            <w:pPr>
              <w:spacing w:line="312" w:lineRule="auto"/>
              <w:jc w:val="center"/>
              <w:rPr>
                <w:b/>
                <w:sz w:val="28"/>
                <w:lang w:val="en-US"/>
              </w:rPr>
            </w:pPr>
            <w:r>
              <w:rPr>
                <w:b/>
                <w:sz w:val="28"/>
                <w:lang w:val="en-US"/>
              </w:rPr>
              <w:t>7.1</w:t>
            </w:r>
          </w:p>
        </w:tc>
        <w:tc>
          <w:tcPr>
            <w:tcW w:w="7939" w:type="dxa"/>
            <w:tcMar>
              <w:left w:w="28" w:type="dxa"/>
              <w:right w:w="28" w:type="dxa"/>
            </w:tcMar>
          </w:tcPr>
          <w:p w14:paraId="6B186C49" w14:textId="77777777" w:rsidR="00F12EDD" w:rsidRPr="005C3EC1" w:rsidRDefault="00F12EDD" w:rsidP="00B4491A">
            <w:pPr>
              <w:spacing w:line="312" w:lineRule="auto"/>
              <w:rPr>
                <w:sz w:val="28"/>
                <w:lang w:val="en-US"/>
              </w:rPr>
            </w:pPr>
            <w:r w:rsidRPr="005C3EC1">
              <w:rPr>
                <w:sz w:val="28"/>
                <w:lang w:val="en-US"/>
              </w:rPr>
              <w:t>Business activities</w:t>
            </w:r>
            <w:r>
              <w:rPr>
                <w:sz w:val="28"/>
                <w:lang w:val="en-US"/>
              </w:rPr>
              <w:t xml:space="preserve"> </w:t>
            </w:r>
            <w:r w:rsidRPr="005C3EC1">
              <w:rPr>
                <w:sz w:val="28"/>
                <w:lang w:val="en-US"/>
              </w:rPr>
              <w:t>of the company</w:t>
            </w:r>
          </w:p>
        </w:tc>
        <w:tc>
          <w:tcPr>
            <w:tcW w:w="902" w:type="dxa"/>
            <w:tcMar>
              <w:left w:w="28" w:type="dxa"/>
              <w:right w:w="28" w:type="dxa"/>
            </w:tcMar>
          </w:tcPr>
          <w:p w14:paraId="22FF2934" w14:textId="77777777" w:rsidR="00F12EDD" w:rsidRPr="000552CE" w:rsidRDefault="002C1F42" w:rsidP="00B4491A">
            <w:pPr>
              <w:spacing w:line="312" w:lineRule="auto"/>
              <w:jc w:val="center"/>
              <w:rPr>
                <w:sz w:val="28"/>
                <w:lang w:val="en-US"/>
              </w:rPr>
            </w:pPr>
            <w:r w:rsidRPr="000552CE">
              <w:rPr>
                <w:sz w:val="28"/>
                <w:lang w:val="en-US"/>
              </w:rPr>
              <w:t>119</w:t>
            </w:r>
          </w:p>
        </w:tc>
      </w:tr>
      <w:tr w:rsidR="00F12EDD" w14:paraId="3C6ACF8B" w14:textId="77777777" w:rsidTr="00F12EDD">
        <w:tc>
          <w:tcPr>
            <w:tcW w:w="774" w:type="dxa"/>
            <w:tcMar>
              <w:left w:w="28" w:type="dxa"/>
              <w:right w:w="28" w:type="dxa"/>
            </w:tcMar>
          </w:tcPr>
          <w:p w14:paraId="704CCE44" w14:textId="77777777" w:rsidR="00F12EDD" w:rsidRPr="00391E69" w:rsidRDefault="00F12EDD" w:rsidP="00B4491A">
            <w:pPr>
              <w:spacing w:line="312" w:lineRule="auto"/>
              <w:jc w:val="center"/>
              <w:rPr>
                <w:b/>
                <w:sz w:val="28"/>
                <w:lang w:val="en-US"/>
              </w:rPr>
            </w:pPr>
          </w:p>
        </w:tc>
        <w:tc>
          <w:tcPr>
            <w:tcW w:w="7939" w:type="dxa"/>
            <w:tcMar>
              <w:left w:w="28" w:type="dxa"/>
              <w:right w:w="28" w:type="dxa"/>
            </w:tcMar>
          </w:tcPr>
          <w:p w14:paraId="4D91E9AF" w14:textId="77777777" w:rsidR="00F12EDD" w:rsidRPr="005C3EC1" w:rsidRDefault="00F12EDD" w:rsidP="00B4491A">
            <w:pPr>
              <w:spacing w:line="312" w:lineRule="auto"/>
              <w:rPr>
                <w:sz w:val="28"/>
                <w:lang w:val="en-US"/>
              </w:rPr>
            </w:pPr>
          </w:p>
        </w:tc>
        <w:tc>
          <w:tcPr>
            <w:tcW w:w="902" w:type="dxa"/>
            <w:tcMar>
              <w:left w:w="28" w:type="dxa"/>
              <w:right w:w="28" w:type="dxa"/>
            </w:tcMar>
          </w:tcPr>
          <w:p w14:paraId="71BEB676" w14:textId="77777777" w:rsidR="00F12EDD" w:rsidRPr="000552CE" w:rsidRDefault="00F12EDD" w:rsidP="00B4491A">
            <w:pPr>
              <w:spacing w:line="312" w:lineRule="auto"/>
              <w:jc w:val="center"/>
              <w:rPr>
                <w:sz w:val="28"/>
                <w:lang w:val="en-US"/>
              </w:rPr>
            </w:pPr>
          </w:p>
        </w:tc>
      </w:tr>
      <w:tr w:rsidR="00F12EDD" w14:paraId="2203BB92" w14:textId="77777777" w:rsidTr="00F12EDD">
        <w:tc>
          <w:tcPr>
            <w:tcW w:w="774" w:type="dxa"/>
            <w:tcMar>
              <w:left w:w="28" w:type="dxa"/>
              <w:right w:w="28" w:type="dxa"/>
            </w:tcMar>
          </w:tcPr>
          <w:p w14:paraId="68A8D8F1" w14:textId="77777777" w:rsidR="00F12EDD" w:rsidRPr="00391E69" w:rsidRDefault="00F12EDD" w:rsidP="00B4491A">
            <w:pPr>
              <w:spacing w:line="312" w:lineRule="auto"/>
              <w:jc w:val="center"/>
              <w:rPr>
                <w:b/>
                <w:sz w:val="28"/>
                <w:lang w:val="en-US"/>
              </w:rPr>
            </w:pPr>
            <w:r>
              <w:rPr>
                <w:b/>
                <w:sz w:val="28"/>
                <w:lang w:val="en-US"/>
              </w:rPr>
              <w:t>8.1</w:t>
            </w:r>
          </w:p>
        </w:tc>
        <w:tc>
          <w:tcPr>
            <w:tcW w:w="7939" w:type="dxa"/>
            <w:tcMar>
              <w:left w:w="28" w:type="dxa"/>
              <w:right w:w="28" w:type="dxa"/>
            </w:tcMar>
          </w:tcPr>
          <w:p w14:paraId="30978066" w14:textId="77777777" w:rsidR="00F12EDD" w:rsidRPr="005C3EC1" w:rsidRDefault="00F12EDD" w:rsidP="00B4491A">
            <w:pPr>
              <w:spacing w:line="312" w:lineRule="auto"/>
              <w:rPr>
                <w:sz w:val="28"/>
                <w:lang w:val="en-US"/>
              </w:rPr>
            </w:pPr>
            <w:r w:rsidRPr="005C3EC1">
              <w:rPr>
                <w:sz w:val="28"/>
                <w:lang w:val="en-US"/>
              </w:rPr>
              <w:t>Three/five component DuPont analysis</w:t>
            </w:r>
          </w:p>
        </w:tc>
        <w:tc>
          <w:tcPr>
            <w:tcW w:w="902" w:type="dxa"/>
            <w:tcMar>
              <w:left w:w="28" w:type="dxa"/>
              <w:right w:w="28" w:type="dxa"/>
            </w:tcMar>
          </w:tcPr>
          <w:p w14:paraId="3F25A3A5" w14:textId="77777777" w:rsidR="00F12EDD" w:rsidRPr="000552CE" w:rsidRDefault="002C1F42" w:rsidP="00B4491A">
            <w:pPr>
              <w:spacing w:line="312" w:lineRule="auto"/>
              <w:jc w:val="center"/>
              <w:rPr>
                <w:sz w:val="28"/>
                <w:lang w:val="en-US"/>
              </w:rPr>
            </w:pPr>
            <w:r w:rsidRPr="000552CE">
              <w:rPr>
                <w:sz w:val="28"/>
                <w:lang w:val="en-US"/>
              </w:rPr>
              <w:t>148</w:t>
            </w:r>
          </w:p>
        </w:tc>
      </w:tr>
      <w:tr w:rsidR="00F12EDD" w14:paraId="27788C13" w14:textId="77777777" w:rsidTr="00F12EDD">
        <w:tc>
          <w:tcPr>
            <w:tcW w:w="774" w:type="dxa"/>
            <w:tcMar>
              <w:left w:w="28" w:type="dxa"/>
              <w:right w:w="28" w:type="dxa"/>
            </w:tcMar>
          </w:tcPr>
          <w:p w14:paraId="043FA696" w14:textId="77777777" w:rsidR="00F12EDD" w:rsidRPr="00391E69" w:rsidRDefault="00F12EDD" w:rsidP="00B4491A">
            <w:pPr>
              <w:spacing w:line="312" w:lineRule="auto"/>
              <w:jc w:val="center"/>
              <w:rPr>
                <w:b/>
                <w:sz w:val="28"/>
                <w:lang w:val="en-US"/>
              </w:rPr>
            </w:pPr>
          </w:p>
        </w:tc>
        <w:tc>
          <w:tcPr>
            <w:tcW w:w="7939" w:type="dxa"/>
            <w:tcMar>
              <w:left w:w="28" w:type="dxa"/>
              <w:right w:w="28" w:type="dxa"/>
            </w:tcMar>
          </w:tcPr>
          <w:p w14:paraId="18E6741A" w14:textId="77777777" w:rsidR="00F12EDD" w:rsidRPr="005C3EC1" w:rsidRDefault="00F12EDD" w:rsidP="00B4491A">
            <w:pPr>
              <w:spacing w:line="312" w:lineRule="auto"/>
              <w:rPr>
                <w:sz w:val="28"/>
                <w:lang w:val="en-US"/>
              </w:rPr>
            </w:pPr>
          </w:p>
        </w:tc>
        <w:tc>
          <w:tcPr>
            <w:tcW w:w="902" w:type="dxa"/>
            <w:tcMar>
              <w:left w:w="28" w:type="dxa"/>
              <w:right w:w="28" w:type="dxa"/>
            </w:tcMar>
          </w:tcPr>
          <w:p w14:paraId="5C00D858" w14:textId="77777777" w:rsidR="00F12EDD" w:rsidRPr="000552CE" w:rsidRDefault="00F12EDD" w:rsidP="00B4491A">
            <w:pPr>
              <w:spacing w:line="312" w:lineRule="auto"/>
              <w:jc w:val="center"/>
              <w:rPr>
                <w:sz w:val="28"/>
                <w:lang w:val="en-US"/>
              </w:rPr>
            </w:pPr>
          </w:p>
        </w:tc>
      </w:tr>
      <w:tr w:rsidR="00F12EDD" w14:paraId="6B63D33E" w14:textId="77777777" w:rsidTr="00F12EDD">
        <w:tc>
          <w:tcPr>
            <w:tcW w:w="774" w:type="dxa"/>
            <w:tcMar>
              <w:left w:w="28" w:type="dxa"/>
              <w:right w:w="28" w:type="dxa"/>
            </w:tcMar>
          </w:tcPr>
          <w:p w14:paraId="56A28227" w14:textId="77777777" w:rsidR="00F12EDD" w:rsidRPr="00391E69" w:rsidRDefault="00F12EDD" w:rsidP="00B4491A">
            <w:pPr>
              <w:spacing w:line="312" w:lineRule="auto"/>
              <w:jc w:val="center"/>
              <w:rPr>
                <w:b/>
                <w:sz w:val="28"/>
                <w:lang w:val="en-US"/>
              </w:rPr>
            </w:pPr>
            <w:r>
              <w:rPr>
                <w:b/>
                <w:sz w:val="28"/>
                <w:lang w:val="en-US"/>
              </w:rPr>
              <w:t>9.1</w:t>
            </w:r>
          </w:p>
        </w:tc>
        <w:tc>
          <w:tcPr>
            <w:tcW w:w="7939" w:type="dxa"/>
            <w:tcMar>
              <w:left w:w="28" w:type="dxa"/>
              <w:right w:w="28" w:type="dxa"/>
            </w:tcMar>
          </w:tcPr>
          <w:p w14:paraId="3367F66C" w14:textId="77777777" w:rsidR="00F12EDD" w:rsidRPr="005C3EC1" w:rsidRDefault="00F12EDD" w:rsidP="00B4491A">
            <w:pPr>
              <w:spacing w:line="312" w:lineRule="auto"/>
              <w:rPr>
                <w:sz w:val="28"/>
                <w:lang w:val="en-US"/>
              </w:rPr>
            </w:pPr>
            <w:r w:rsidRPr="005C3EC1">
              <w:rPr>
                <w:sz w:val="28"/>
                <w:lang w:val="en-US"/>
              </w:rPr>
              <w:t>The main function of the financial market</w:t>
            </w:r>
          </w:p>
        </w:tc>
        <w:tc>
          <w:tcPr>
            <w:tcW w:w="902" w:type="dxa"/>
            <w:tcMar>
              <w:left w:w="28" w:type="dxa"/>
              <w:right w:w="28" w:type="dxa"/>
            </w:tcMar>
          </w:tcPr>
          <w:p w14:paraId="3665686C" w14:textId="77777777" w:rsidR="00F12EDD" w:rsidRPr="000552CE" w:rsidRDefault="002C1F42" w:rsidP="00B4491A">
            <w:pPr>
              <w:spacing w:line="312" w:lineRule="auto"/>
              <w:jc w:val="center"/>
              <w:rPr>
                <w:sz w:val="28"/>
                <w:lang w:val="en-US"/>
              </w:rPr>
            </w:pPr>
            <w:r w:rsidRPr="000552CE">
              <w:rPr>
                <w:sz w:val="28"/>
                <w:lang w:val="en-US"/>
              </w:rPr>
              <w:t>165</w:t>
            </w:r>
          </w:p>
        </w:tc>
      </w:tr>
      <w:tr w:rsidR="00F12EDD" w14:paraId="185253AD" w14:textId="77777777" w:rsidTr="00F12EDD">
        <w:tc>
          <w:tcPr>
            <w:tcW w:w="774" w:type="dxa"/>
            <w:tcMar>
              <w:left w:w="28" w:type="dxa"/>
              <w:right w:w="28" w:type="dxa"/>
            </w:tcMar>
          </w:tcPr>
          <w:p w14:paraId="6FABF3D2" w14:textId="77777777" w:rsidR="00F12EDD" w:rsidRPr="00391E69" w:rsidRDefault="00F12EDD" w:rsidP="00B4491A">
            <w:pPr>
              <w:spacing w:line="312" w:lineRule="auto"/>
              <w:jc w:val="center"/>
              <w:rPr>
                <w:b/>
                <w:sz w:val="28"/>
                <w:lang w:val="en-US"/>
              </w:rPr>
            </w:pPr>
            <w:r>
              <w:rPr>
                <w:b/>
                <w:sz w:val="28"/>
                <w:lang w:val="en-US"/>
              </w:rPr>
              <w:t>9.2</w:t>
            </w:r>
          </w:p>
        </w:tc>
        <w:tc>
          <w:tcPr>
            <w:tcW w:w="7939" w:type="dxa"/>
            <w:tcMar>
              <w:left w:w="28" w:type="dxa"/>
              <w:right w:w="28" w:type="dxa"/>
            </w:tcMar>
          </w:tcPr>
          <w:p w14:paraId="32B5BAB2" w14:textId="77777777" w:rsidR="00F12EDD" w:rsidRPr="005C3EC1" w:rsidRDefault="00F12EDD" w:rsidP="00B4491A">
            <w:pPr>
              <w:spacing w:line="312" w:lineRule="auto"/>
              <w:rPr>
                <w:sz w:val="28"/>
                <w:lang w:val="en-US"/>
              </w:rPr>
            </w:pPr>
            <w:r w:rsidRPr="005C3EC1">
              <w:rPr>
                <w:sz w:val="28"/>
                <w:lang w:val="en-US"/>
              </w:rPr>
              <w:t>The structure of financial market according to financial instruments they are trading</w:t>
            </w:r>
          </w:p>
        </w:tc>
        <w:tc>
          <w:tcPr>
            <w:tcW w:w="902" w:type="dxa"/>
            <w:tcMar>
              <w:left w:w="28" w:type="dxa"/>
              <w:right w:w="28" w:type="dxa"/>
            </w:tcMar>
          </w:tcPr>
          <w:p w14:paraId="00C81ECD" w14:textId="77777777" w:rsidR="00F12EDD" w:rsidRPr="000552CE" w:rsidRDefault="002C1F42" w:rsidP="00B4491A">
            <w:pPr>
              <w:spacing w:line="312" w:lineRule="auto"/>
              <w:jc w:val="center"/>
              <w:rPr>
                <w:sz w:val="28"/>
                <w:lang w:val="en-US"/>
              </w:rPr>
            </w:pPr>
            <w:r w:rsidRPr="000552CE">
              <w:rPr>
                <w:sz w:val="28"/>
                <w:lang w:val="en-US"/>
              </w:rPr>
              <w:t>167</w:t>
            </w:r>
          </w:p>
        </w:tc>
      </w:tr>
      <w:tr w:rsidR="00F12EDD" w14:paraId="520DD2CA" w14:textId="77777777" w:rsidTr="00F12EDD">
        <w:tc>
          <w:tcPr>
            <w:tcW w:w="774" w:type="dxa"/>
            <w:tcMar>
              <w:left w:w="28" w:type="dxa"/>
              <w:right w:w="28" w:type="dxa"/>
            </w:tcMar>
          </w:tcPr>
          <w:p w14:paraId="2960C5FA" w14:textId="77777777" w:rsidR="00F12EDD" w:rsidRPr="00391E69" w:rsidRDefault="00F12EDD" w:rsidP="00B4491A">
            <w:pPr>
              <w:spacing w:line="312" w:lineRule="auto"/>
              <w:jc w:val="center"/>
              <w:rPr>
                <w:b/>
                <w:sz w:val="28"/>
                <w:lang w:val="en-US"/>
              </w:rPr>
            </w:pPr>
            <w:r>
              <w:rPr>
                <w:b/>
                <w:sz w:val="28"/>
                <w:lang w:val="en-US"/>
              </w:rPr>
              <w:t>9.3</w:t>
            </w:r>
          </w:p>
        </w:tc>
        <w:tc>
          <w:tcPr>
            <w:tcW w:w="7939" w:type="dxa"/>
            <w:tcMar>
              <w:left w:w="28" w:type="dxa"/>
              <w:right w:w="28" w:type="dxa"/>
            </w:tcMar>
          </w:tcPr>
          <w:p w14:paraId="0097DAA8" w14:textId="77777777" w:rsidR="00F12EDD" w:rsidRPr="005C3EC1" w:rsidRDefault="00F12EDD" w:rsidP="00B4491A">
            <w:pPr>
              <w:spacing w:line="312" w:lineRule="auto"/>
              <w:rPr>
                <w:sz w:val="28"/>
                <w:lang w:val="en-US"/>
              </w:rPr>
            </w:pPr>
            <w:r w:rsidRPr="005C3EC1">
              <w:rPr>
                <w:sz w:val="28"/>
                <w:lang w:val="en-US"/>
              </w:rPr>
              <w:t>Key participants in financial markets</w:t>
            </w:r>
          </w:p>
        </w:tc>
        <w:tc>
          <w:tcPr>
            <w:tcW w:w="902" w:type="dxa"/>
            <w:tcMar>
              <w:left w:w="28" w:type="dxa"/>
              <w:right w:w="28" w:type="dxa"/>
            </w:tcMar>
          </w:tcPr>
          <w:p w14:paraId="5CAC1E28" w14:textId="77777777" w:rsidR="00F12EDD" w:rsidRPr="000552CE" w:rsidRDefault="002C1F42" w:rsidP="00B4491A">
            <w:pPr>
              <w:spacing w:line="312" w:lineRule="auto"/>
              <w:jc w:val="center"/>
              <w:rPr>
                <w:sz w:val="28"/>
                <w:lang w:val="en-US"/>
              </w:rPr>
            </w:pPr>
            <w:r w:rsidRPr="000552CE">
              <w:rPr>
                <w:sz w:val="28"/>
                <w:lang w:val="en-US"/>
              </w:rPr>
              <w:t>171</w:t>
            </w:r>
          </w:p>
        </w:tc>
      </w:tr>
      <w:tr w:rsidR="00F12EDD" w14:paraId="50FF2A4D" w14:textId="77777777" w:rsidTr="00F12EDD">
        <w:tc>
          <w:tcPr>
            <w:tcW w:w="774" w:type="dxa"/>
            <w:tcMar>
              <w:left w:w="28" w:type="dxa"/>
              <w:right w:w="28" w:type="dxa"/>
            </w:tcMar>
          </w:tcPr>
          <w:p w14:paraId="775C6C71" w14:textId="77777777" w:rsidR="00F12EDD" w:rsidRPr="00391E69" w:rsidRDefault="00F12EDD" w:rsidP="00B4491A">
            <w:pPr>
              <w:spacing w:line="312" w:lineRule="auto"/>
              <w:jc w:val="center"/>
              <w:rPr>
                <w:b/>
                <w:sz w:val="28"/>
                <w:lang w:val="en-US"/>
              </w:rPr>
            </w:pPr>
          </w:p>
        </w:tc>
        <w:tc>
          <w:tcPr>
            <w:tcW w:w="7939" w:type="dxa"/>
            <w:tcMar>
              <w:left w:w="28" w:type="dxa"/>
              <w:right w:w="28" w:type="dxa"/>
            </w:tcMar>
          </w:tcPr>
          <w:p w14:paraId="2FB91BD2" w14:textId="77777777" w:rsidR="00F12EDD" w:rsidRPr="005C3EC1" w:rsidRDefault="00F12EDD" w:rsidP="00B4491A">
            <w:pPr>
              <w:spacing w:line="312" w:lineRule="auto"/>
              <w:rPr>
                <w:sz w:val="28"/>
                <w:lang w:val="en-US"/>
              </w:rPr>
            </w:pPr>
          </w:p>
        </w:tc>
        <w:tc>
          <w:tcPr>
            <w:tcW w:w="902" w:type="dxa"/>
            <w:tcMar>
              <w:left w:w="28" w:type="dxa"/>
              <w:right w:w="28" w:type="dxa"/>
            </w:tcMar>
          </w:tcPr>
          <w:p w14:paraId="6B6D0900" w14:textId="77777777" w:rsidR="00F12EDD" w:rsidRPr="000552CE" w:rsidRDefault="00F12EDD" w:rsidP="00B4491A">
            <w:pPr>
              <w:spacing w:line="312" w:lineRule="auto"/>
              <w:jc w:val="center"/>
              <w:rPr>
                <w:sz w:val="28"/>
                <w:lang w:val="en-US"/>
              </w:rPr>
            </w:pPr>
          </w:p>
        </w:tc>
      </w:tr>
      <w:tr w:rsidR="00F12EDD" w14:paraId="4A85B4AE" w14:textId="77777777" w:rsidTr="00F12EDD">
        <w:tc>
          <w:tcPr>
            <w:tcW w:w="774" w:type="dxa"/>
            <w:tcMar>
              <w:left w:w="28" w:type="dxa"/>
              <w:right w:w="28" w:type="dxa"/>
            </w:tcMar>
          </w:tcPr>
          <w:p w14:paraId="6806BBFD" w14:textId="77777777" w:rsidR="00F12EDD" w:rsidRPr="00391E69" w:rsidRDefault="00F12EDD" w:rsidP="00B4491A">
            <w:pPr>
              <w:spacing w:line="312" w:lineRule="auto"/>
              <w:jc w:val="center"/>
              <w:rPr>
                <w:b/>
                <w:sz w:val="28"/>
                <w:lang w:val="en-US"/>
              </w:rPr>
            </w:pPr>
            <w:r>
              <w:rPr>
                <w:b/>
                <w:sz w:val="28"/>
                <w:lang w:val="en-US"/>
              </w:rPr>
              <w:t>10.1</w:t>
            </w:r>
          </w:p>
        </w:tc>
        <w:tc>
          <w:tcPr>
            <w:tcW w:w="7939" w:type="dxa"/>
            <w:tcMar>
              <w:left w:w="28" w:type="dxa"/>
              <w:right w:w="28" w:type="dxa"/>
            </w:tcMar>
          </w:tcPr>
          <w:p w14:paraId="6566C7F4" w14:textId="77777777" w:rsidR="00F12EDD" w:rsidRPr="005C3EC1" w:rsidRDefault="00F12EDD" w:rsidP="00B4491A">
            <w:pPr>
              <w:spacing w:line="312" w:lineRule="auto"/>
              <w:rPr>
                <w:sz w:val="28"/>
                <w:lang w:val="en-US"/>
              </w:rPr>
            </w:pPr>
            <w:r w:rsidRPr="005C3EC1">
              <w:rPr>
                <w:sz w:val="28"/>
                <w:lang w:val="en-US"/>
              </w:rPr>
              <w:t>Classification of insurance</w:t>
            </w:r>
          </w:p>
        </w:tc>
        <w:tc>
          <w:tcPr>
            <w:tcW w:w="902" w:type="dxa"/>
            <w:tcMar>
              <w:left w:w="28" w:type="dxa"/>
              <w:right w:w="28" w:type="dxa"/>
            </w:tcMar>
          </w:tcPr>
          <w:p w14:paraId="3311BCD3" w14:textId="77777777" w:rsidR="00F12EDD" w:rsidRPr="000552CE" w:rsidRDefault="002C1F42" w:rsidP="00B4491A">
            <w:pPr>
              <w:spacing w:line="312" w:lineRule="auto"/>
              <w:jc w:val="center"/>
              <w:rPr>
                <w:sz w:val="28"/>
                <w:lang w:val="en-US"/>
              </w:rPr>
            </w:pPr>
            <w:r w:rsidRPr="000552CE">
              <w:rPr>
                <w:sz w:val="28"/>
                <w:lang w:val="en-US"/>
              </w:rPr>
              <w:t>188</w:t>
            </w:r>
          </w:p>
        </w:tc>
      </w:tr>
      <w:tr w:rsidR="00F12EDD" w14:paraId="71C6E8B4" w14:textId="77777777" w:rsidTr="00F12EDD">
        <w:tc>
          <w:tcPr>
            <w:tcW w:w="774" w:type="dxa"/>
            <w:tcMar>
              <w:left w:w="28" w:type="dxa"/>
              <w:right w:w="28" w:type="dxa"/>
            </w:tcMar>
          </w:tcPr>
          <w:p w14:paraId="067162BD" w14:textId="77777777" w:rsidR="00F12EDD" w:rsidRPr="00391E69" w:rsidRDefault="00F12EDD" w:rsidP="00B4491A">
            <w:pPr>
              <w:spacing w:line="312" w:lineRule="auto"/>
              <w:jc w:val="center"/>
              <w:rPr>
                <w:b/>
                <w:sz w:val="28"/>
                <w:lang w:val="en-US"/>
              </w:rPr>
            </w:pPr>
          </w:p>
        </w:tc>
        <w:tc>
          <w:tcPr>
            <w:tcW w:w="7939" w:type="dxa"/>
            <w:tcMar>
              <w:left w:w="28" w:type="dxa"/>
              <w:right w:w="28" w:type="dxa"/>
            </w:tcMar>
          </w:tcPr>
          <w:p w14:paraId="46E592E0" w14:textId="77777777" w:rsidR="00F12EDD" w:rsidRPr="005C3EC1" w:rsidRDefault="00F12EDD" w:rsidP="00B4491A">
            <w:pPr>
              <w:spacing w:line="312" w:lineRule="auto"/>
              <w:rPr>
                <w:sz w:val="28"/>
                <w:lang w:val="en-US"/>
              </w:rPr>
            </w:pPr>
          </w:p>
        </w:tc>
        <w:tc>
          <w:tcPr>
            <w:tcW w:w="902" w:type="dxa"/>
            <w:tcMar>
              <w:left w:w="28" w:type="dxa"/>
              <w:right w:w="28" w:type="dxa"/>
            </w:tcMar>
          </w:tcPr>
          <w:p w14:paraId="70406746" w14:textId="77777777" w:rsidR="00F12EDD" w:rsidRPr="000552CE" w:rsidRDefault="00F12EDD" w:rsidP="00B4491A">
            <w:pPr>
              <w:spacing w:line="312" w:lineRule="auto"/>
              <w:jc w:val="center"/>
              <w:rPr>
                <w:sz w:val="28"/>
                <w:lang w:val="en-US"/>
              </w:rPr>
            </w:pPr>
          </w:p>
        </w:tc>
      </w:tr>
      <w:tr w:rsidR="00F12EDD" w14:paraId="157B8A17" w14:textId="77777777" w:rsidTr="00F12EDD">
        <w:tc>
          <w:tcPr>
            <w:tcW w:w="774" w:type="dxa"/>
            <w:tcMar>
              <w:left w:w="28" w:type="dxa"/>
              <w:right w:w="28" w:type="dxa"/>
            </w:tcMar>
          </w:tcPr>
          <w:p w14:paraId="76DA4064" w14:textId="77777777" w:rsidR="00F12EDD" w:rsidRPr="00391E69" w:rsidRDefault="00F12EDD" w:rsidP="00B4491A">
            <w:pPr>
              <w:spacing w:line="312" w:lineRule="auto"/>
              <w:jc w:val="center"/>
              <w:rPr>
                <w:b/>
                <w:sz w:val="28"/>
                <w:lang w:val="en-US"/>
              </w:rPr>
            </w:pPr>
            <w:r>
              <w:rPr>
                <w:b/>
                <w:sz w:val="28"/>
                <w:lang w:val="en-US"/>
              </w:rPr>
              <w:t>11.1</w:t>
            </w:r>
          </w:p>
        </w:tc>
        <w:tc>
          <w:tcPr>
            <w:tcW w:w="7939" w:type="dxa"/>
            <w:tcMar>
              <w:left w:w="28" w:type="dxa"/>
              <w:right w:w="28" w:type="dxa"/>
            </w:tcMar>
          </w:tcPr>
          <w:p w14:paraId="2DE53809" w14:textId="77777777" w:rsidR="00F12EDD" w:rsidRPr="005C3EC1" w:rsidRDefault="00F12EDD" w:rsidP="00B4491A">
            <w:pPr>
              <w:spacing w:line="312" w:lineRule="auto"/>
              <w:rPr>
                <w:sz w:val="28"/>
                <w:lang w:val="en-US"/>
              </w:rPr>
            </w:pPr>
            <w:r w:rsidRPr="00391E69">
              <w:rPr>
                <w:sz w:val="28"/>
                <w:lang w:val="fr-BE"/>
              </w:rPr>
              <w:t>Main international financial institutions</w:t>
            </w:r>
          </w:p>
        </w:tc>
        <w:tc>
          <w:tcPr>
            <w:tcW w:w="902" w:type="dxa"/>
            <w:tcMar>
              <w:left w:w="28" w:type="dxa"/>
              <w:right w:w="28" w:type="dxa"/>
            </w:tcMar>
          </w:tcPr>
          <w:p w14:paraId="4DA386E9" w14:textId="77777777" w:rsidR="00F12EDD" w:rsidRPr="000552CE" w:rsidRDefault="002C1F42" w:rsidP="00B4491A">
            <w:pPr>
              <w:spacing w:line="312" w:lineRule="auto"/>
              <w:jc w:val="center"/>
              <w:rPr>
                <w:sz w:val="28"/>
                <w:lang w:val="en-US"/>
              </w:rPr>
            </w:pPr>
            <w:r w:rsidRPr="000552CE">
              <w:rPr>
                <w:sz w:val="28"/>
                <w:lang w:val="en-US"/>
              </w:rPr>
              <w:t>201</w:t>
            </w:r>
          </w:p>
        </w:tc>
      </w:tr>
    </w:tbl>
    <w:p w14:paraId="3F6D47FB" w14:textId="77777777" w:rsidR="00F12EDD" w:rsidRDefault="00F12EDD" w:rsidP="00F12EDD">
      <w:pPr>
        <w:rPr>
          <w:sz w:val="28"/>
          <w:lang w:val="en-US"/>
        </w:rPr>
      </w:pPr>
    </w:p>
    <w:p w14:paraId="5E6F47CA" w14:textId="77777777" w:rsidR="00F12EDD" w:rsidRDefault="00F12EDD" w:rsidP="00F12EDD">
      <w:pPr>
        <w:rPr>
          <w:sz w:val="28"/>
          <w:lang w:val="en-US"/>
        </w:rPr>
      </w:pPr>
    </w:p>
    <w:p w14:paraId="6E2207E4" w14:textId="77777777" w:rsidR="00F12EDD" w:rsidRDefault="00F12EDD" w:rsidP="00F12EDD">
      <w:pPr>
        <w:rPr>
          <w:sz w:val="28"/>
          <w:lang w:val="en-US"/>
        </w:rPr>
      </w:pPr>
      <w:r>
        <w:rPr>
          <w:sz w:val="28"/>
          <w:lang w:val="en-US"/>
        </w:rPr>
        <w:br w:type="page"/>
      </w:r>
    </w:p>
    <w:p w14:paraId="2A95AB2B" w14:textId="77777777" w:rsidR="00F12EDD" w:rsidRDefault="00F12EDD" w:rsidP="00F12EDD">
      <w:pPr>
        <w:jc w:val="right"/>
        <w:rPr>
          <w:b/>
          <w:sz w:val="36"/>
          <w:lang w:val="en-US"/>
        </w:rPr>
      </w:pPr>
      <w:r w:rsidRPr="00EA7CB8">
        <w:rPr>
          <w:b/>
          <w:sz w:val="36"/>
          <w:lang w:val="en-US"/>
        </w:rPr>
        <w:lastRenderedPageBreak/>
        <w:t xml:space="preserve">List of </w:t>
      </w:r>
      <w:r>
        <w:rPr>
          <w:b/>
          <w:sz w:val="36"/>
          <w:lang w:val="en-US"/>
        </w:rPr>
        <w:t>Tables</w:t>
      </w:r>
    </w:p>
    <w:p w14:paraId="4AD45554" w14:textId="77777777" w:rsidR="00F12EDD" w:rsidRPr="00EA7CB8" w:rsidRDefault="00F12EDD" w:rsidP="00F12EDD">
      <w:pPr>
        <w:jc w:val="right"/>
        <w:rPr>
          <w:b/>
          <w:sz w:val="36"/>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8"/>
        <w:gridCol w:w="7557"/>
        <w:gridCol w:w="1130"/>
      </w:tblGrid>
      <w:tr w:rsidR="00F12EDD" w14:paraId="7B2774F9" w14:textId="77777777" w:rsidTr="00F12EDD">
        <w:tc>
          <w:tcPr>
            <w:tcW w:w="774" w:type="dxa"/>
            <w:tcMar>
              <w:left w:w="28" w:type="dxa"/>
              <w:right w:w="28" w:type="dxa"/>
            </w:tcMar>
          </w:tcPr>
          <w:p w14:paraId="4EDA6702" w14:textId="77777777" w:rsidR="00F12EDD" w:rsidRPr="00A04BC2" w:rsidRDefault="00F12EDD" w:rsidP="00B4491A">
            <w:pPr>
              <w:spacing w:line="312" w:lineRule="auto"/>
              <w:jc w:val="center"/>
              <w:rPr>
                <w:b/>
                <w:sz w:val="28"/>
                <w:lang w:val="en-US"/>
              </w:rPr>
            </w:pPr>
            <w:r w:rsidRPr="00A04BC2">
              <w:rPr>
                <w:b/>
                <w:sz w:val="28"/>
                <w:lang w:val="en-US"/>
              </w:rPr>
              <w:t>3.1</w:t>
            </w:r>
          </w:p>
        </w:tc>
        <w:tc>
          <w:tcPr>
            <w:tcW w:w="7698" w:type="dxa"/>
            <w:tcMar>
              <w:left w:w="28" w:type="dxa"/>
              <w:right w:w="28" w:type="dxa"/>
            </w:tcMar>
          </w:tcPr>
          <w:p w14:paraId="2BAE9C5B" w14:textId="77777777" w:rsidR="00F12EDD" w:rsidRDefault="00F12EDD" w:rsidP="00B4491A">
            <w:pPr>
              <w:spacing w:line="312" w:lineRule="auto"/>
              <w:rPr>
                <w:sz w:val="28"/>
                <w:lang w:val="en-US"/>
              </w:rPr>
            </w:pPr>
            <w:r w:rsidRPr="00F35620">
              <w:rPr>
                <w:sz w:val="28"/>
                <w:lang w:val="en-US"/>
              </w:rPr>
              <w:t>Description of the financial policies' contents and tools</w:t>
            </w:r>
          </w:p>
        </w:tc>
        <w:tc>
          <w:tcPr>
            <w:tcW w:w="1143" w:type="dxa"/>
            <w:tcMar>
              <w:left w:w="28" w:type="dxa"/>
              <w:right w:w="28" w:type="dxa"/>
            </w:tcMar>
          </w:tcPr>
          <w:p w14:paraId="64B126B9" w14:textId="77777777" w:rsidR="00F12EDD" w:rsidRPr="000552CE" w:rsidRDefault="00F12EDD" w:rsidP="002C1F42">
            <w:pPr>
              <w:spacing w:line="312" w:lineRule="auto"/>
              <w:jc w:val="center"/>
              <w:rPr>
                <w:sz w:val="28"/>
                <w:lang w:val="en-US"/>
              </w:rPr>
            </w:pPr>
            <w:r w:rsidRPr="000552CE">
              <w:rPr>
                <w:sz w:val="28"/>
                <w:lang w:val="en-US"/>
              </w:rPr>
              <w:t>4</w:t>
            </w:r>
            <w:r w:rsidR="002C1F42" w:rsidRPr="000552CE">
              <w:rPr>
                <w:sz w:val="28"/>
                <w:lang w:val="en-US"/>
              </w:rPr>
              <w:t>8</w:t>
            </w:r>
          </w:p>
        </w:tc>
      </w:tr>
      <w:tr w:rsidR="00F12EDD" w14:paraId="2E2625A6" w14:textId="77777777" w:rsidTr="00F12EDD">
        <w:tc>
          <w:tcPr>
            <w:tcW w:w="774" w:type="dxa"/>
            <w:tcMar>
              <w:left w:w="28" w:type="dxa"/>
              <w:right w:w="28" w:type="dxa"/>
            </w:tcMar>
          </w:tcPr>
          <w:p w14:paraId="33BF78A2" w14:textId="77777777" w:rsidR="00F12EDD" w:rsidRPr="00A04BC2" w:rsidRDefault="00F12EDD" w:rsidP="00B4491A">
            <w:pPr>
              <w:spacing w:line="312" w:lineRule="auto"/>
              <w:jc w:val="center"/>
              <w:rPr>
                <w:b/>
                <w:sz w:val="28"/>
                <w:lang w:val="en-US"/>
              </w:rPr>
            </w:pPr>
          </w:p>
        </w:tc>
        <w:tc>
          <w:tcPr>
            <w:tcW w:w="7698" w:type="dxa"/>
            <w:tcMar>
              <w:left w:w="28" w:type="dxa"/>
              <w:right w:w="28" w:type="dxa"/>
            </w:tcMar>
          </w:tcPr>
          <w:p w14:paraId="5383A236" w14:textId="77777777" w:rsidR="00F12EDD" w:rsidRDefault="00F12EDD" w:rsidP="00B4491A">
            <w:pPr>
              <w:spacing w:line="312" w:lineRule="auto"/>
              <w:rPr>
                <w:sz w:val="28"/>
                <w:lang w:val="en-US"/>
              </w:rPr>
            </w:pPr>
          </w:p>
        </w:tc>
        <w:tc>
          <w:tcPr>
            <w:tcW w:w="1143" w:type="dxa"/>
            <w:tcMar>
              <w:left w:w="28" w:type="dxa"/>
              <w:right w:w="28" w:type="dxa"/>
            </w:tcMar>
          </w:tcPr>
          <w:p w14:paraId="7BF2D6C4" w14:textId="77777777" w:rsidR="00F12EDD" w:rsidRPr="000552CE" w:rsidRDefault="00F12EDD" w:rsidP="00B4491A">
            <w:pPr>
              <w:spacing w:line="312" w:lineRule="auto"/>
              <w:jc w:val="center"/>
              <w:rPr>
                <w:sz w:val="28"/>
                <w:lang w:val="en-US"/>
              </w:rPr>
            </w:pPr>
          </w:p>
        </w:tc>
      </w:tr>
      <w:tr w:rsidR="00F12EDD" w14:paraId="20B00366" w14:textId="77777777" w:rsidTr="00F12EDD">
        <w:tc>
          <w:tcPr>
            <w:tcW w:w="774" w:type="dxa"/>
            <w:tcMar>
              <w:left w:w="28" w:type="dxa"/>
              <w:right w:w="28" w:type="dxa"/>
            </w:tcMar>
          </w:tcPr>
          <w:p w14:paraId="087F224E" w14:textId="77777777" w:rsidR="00F12EDD" w:rsidRPr="00A04BC2" w:rsidRDefault="00F12EDD" w:rsidP="00B4491A">
            <w:pPr>
              <w:spacing w:line="312" w:lineRule="auto"/>
              <w:jc w:val="center"/>
              <w:rPr>
                <w:b/>
                <w:sz w:val="28"/>
                <w:lang w:val="en-US"/>
              </w:rPr>
            </w:pPr>
            <w:r w:rsidRPr="00A04BC2">
              <w:rPr>
                <w:b/>
                <w:sz w:val="28"/>
                <w:lang w:val="en-US"/>
              </w:rPr>
              <w:t>4.1</w:t>
            </w:r>
          </w:p>
        </w:tc>
        <w:tc>
          <w:tcPr>
            <w:tcW w:w="7698" w:type="dxa"/>
            <w:tcMar>
              <w:left w:w="28" w:type="dxa"/>
              <w:right w:w="28" w:type="dxa"/>
            </w:tcMar>
          </w:tcPr>
          <w:p w14:paraId="1053CB60" w14:textId="77777777" w:rsidR="00F12EDD" w:rsidRDefault="00F12EDD" w:rsidP="00B4491A">
            <w:pPr>
              <w:spacing w:line="312" w:lineRule="auto"/>
              <w:rPr>
                <w:sz w:val="28"/>
                <w:lang w:val="en-US"/>
              </w:rPr>
            </w:pPr>
            <w:r w:rsidRPr="00F35620">
              <w:rPr>
                <w:sz w:val="28"/>
                <w:lang w:val="en-US"/>
              </w:rPr>
              <w:t>Classification of taxes</w:t>
            </w:r>
          </w:p>
        </w:tc>
        <w:tc>
          <w:tcPr>
            <w:tcW w:w="1143" w:type="dxa"/>
            <w:tcMar>
              <w:left w:w="28" w:type="dxa"/>
              <w:right w:w="28" w:type="dxa"/>
            </w:tcMar>
          </w:tcPr>
          <w:p w14:paraId="79ADEED3" w14:textId="77777777" w:rsidR="00F12EDD" w:rsidRPr="000552CE" w:rsidRDefault="000552CE" w:rsidP="00B4491A">
            <w:pPr>
              <w:spacing w:line="312" w:lineRule="auto"/>
              <w:jc w:val="center"/>
              <w:rPr>
                <w:sz w:val="28"/>
                <w:lang w:val="en-US"/>
              </w:rPr>
            </w:pPr>
            <w:r>
              <w:rPr>
                <w:sz w:val="28"/>
                <w:lang w:val="en-US"/>
              </w:rPr>
              <w:t>64</w:t>
            </w:r>
            <w:r w:rsidRPr="00543EEA">
              <w:rPr>
                <w:sz w:val="28"/>
                <w:lang w:val="en-US"/>
              </w:rPr>
              <w:t>–</w:t>
            </w:r>
            <w:r w:rsidR="002C1F42" w:rsidRPr="000552CE">
              <w:rPr>
                <w:sz w:val="28"/>
                <w:lang w:val="en-US"/>
              </w:rPr>
              <w:t>65</w:t>
            </w:r>
          </w:p>
        </w:tc>
      </w:tr>
      <w:tr w:rsidR="00F12EDD" w14:paraId="30F56D97" w14:textId="77777777" w:rsidTr="00F12EDD">
        <w:tc>
          <w:tcPr>
            <w:tcW w:w="774" w:type="dxa"/>
            <w:tcMar>
              <w:left w:w="28" w:type="dxa"/>
              <w:right w:w="28" w:type="dxa"/>
            </w:tcMar>
          </w:tcPr>
          <w:p w14:paraId="1B7F255E" w14:textId="77777777" w:rsidR="00F12EDD" w:rsidRPr="00A04BC2" w:rsidRDefault="00F12EDD" w:rsidP="00B4491A">
            <w:pPr>
              <w:spacing w:line="312" w:lineRule="auto"/>
              <w:jc w:val="center"/>
              <w:rPr>
                <w:b/>
                <w:sz w:val="28"/>
                <w:lang w:val="en-US"/>
              </w:rPr>
            </w:pPr>
          </w:p>
        </w:tc>
        <w:tc>
          <w:tcPr>
            <w:tcW w:w="7698" w:type="dxa"/>
            <w:tcMar>
              <w:left w:w="28" w:type="dxa"/>
              <w:right w:w="28" w:type="dxa"/>
            </w:tcMar>
          </w:tcPr>
          <w:p w14:paraId="77C93B4C" w14:textId="77777777" w:rsidR="00F12EDD" w:rsidRDefault="00F12EDD" w:rsidP="00B4491A">
            <w:pPr>
              <w:spacing w:line="312" w:lineRule="auto"/>
              <w:rPr>
                <w:sz w:val="28"/>
                <w:lang w:val="en-US"/>
              </w:rPr>
            </w:pPr>
          </w:p>
        </w:tc>
        <w:tc>
          <w:tcPr>
            <w:tcW w:w="1143" w:type="dxa"/>
            <w:tcMar>
              <w:left w:w="28" w:type="dxa"/>
              <w:right w:w="28" w:type="dxa"/>
            </w:tcMar>
          </w:tcPr>
          <w:p w14:paraId="7DF4BCA1" w14:textId="77777777" w:rsidR="00F12EDD" w:rsidRPr="000552CE" w:rsidRDefault="00F12EDD" w:rsidP="00B4491A">
            <w:pPr>
              <w:spacing w:line="312" w:lineRule="auto"/>
              <w:jc w:val="center"/>
              <w:rPr>
                <w:sz w:val="28"/>
                <w:lang w:val="en-US"/>
              </w:rPr>
            </w:pPr>
          </w:p>
        </w:tc>
      </w:tr>
      <w:tr w:rsidR="00F12EDD" w14:paraId="30E3AAD5" w14:textId="77777777" w:rsidTr="00F12EDD">
        <w:tc>
          <w:tcPr>
            <w:tcW w:w="774" w:type="dxa"/>
            <w:tcMar>
              <w:left w:w="28" w:type="dxa"/>
              <w:right w:w="28" w:type="dxa"/>
            </w:tcMar>
          </w:tcPr>
          <w:p w14:paraId="527A127F" w14:textId="77777777" w:rsidR="00F12EDD" w:rsidRPr="00A04BC2" w:rsidRDefault="00F12EDD" w:rsidP="00B4491A">
            <w:pPr>
              <w:spacing w:line="312" w:lineRule="auto"/>
              <w:jc w:val="center"/>
              <w:rPr>
                <w:b/>
                <w:sz w:val="28"/>
                <w:lang w:val="en-US"/>
              </w:rPr>
            </w:pPr>
            <w:r w:rsidRPr="00A04BC2">
              <w:rPr>
                <w:b/>
                <w:sz w:val="28"/>
                <w:lang w:val="en-US"/>
              </w:rPr>
              <w:t>5.1</w:t>
            </w:r>
          </w:p>
        </w:tc>
        <w:tc>
          <w:tcPr>
            <w:tcW w:w="7698" w:type="dxa"/>
            <w:tcMar>
              <w:left w:w="28" w:type="dxa"/>
              <w:right w:w="28" w:type="dxa"/>
            </w:tcMar>
          </w:tcPr>
          <w:p w14:paraId="30246768" w14:textId="77777777" w:rsidR="00F12EDD" w:rsidRDefault="00F12EDD" w:rsidP="00B4491A">
            <w:pPr>
              <w:spacing w:line="312" w:lineRule="auto"/>
              <w:rPr>
                <w:sz w:val="28"/>
                <w:lang w:val="en-US"/>
              </w:rPr>
            </w:pPr>
            <w:r w:rsidRPr="00F35620">
              <w:rPr>
                <w:sz w:val="28"/>
                <w:lang w:val="en-US"/>
              </w:rPr>
              <w:t>Revenue structure of the Consolidated budget of Ukraine in 2010-2014</w:t>
            </w:r>
          </w:p>
        </w:tc>
        <w:tc>
          <w:tcPr>
            <w:tcW w:w="1143" w:type="dxa"/>
            <w:tcMar>
              <w:left w:w="28" w:type="dxa"/>
              <w:right w:w="28" w:type="dxa"/>
            </w:tcMar>
          </w:tcPr>
          <w:p w14:paraId="7F9FCF61" w14:textId="77777777" w:rsidR="00F12EDD" w:rsidRPr="000552CE" w:rsidRDefault="002C1F42" w:rsidP="00B4491A">
            <w:pPr>
              <w:spacing w:line="312" w:lineRule="auto"/>
              <w:jc w:val="center"/>
              <w:rPr>
                <w:sz w:val="28"/>
                <w:lang w:val="en-US"/>
              </w:rPr>
            </w:pPr>
            <w:r w:rsidRPr="000552CE">
              <w:rPr>
                <w:sz w:val="28"/>
                <w:lang w:val="en-US"/>
              </w:rPr>
              <w:t>80</w:t>
            </w:r>
          </w:p>
        </w:tc>
      </w:tr>
      <w:tr w:rsidR="00F12EDD" w14:paraId="740CEA4F" w14:textId="77777777" w:rsidTr="00F12EDD">
        <w:tc>
          <w:tcPr>
            <w:tcW w:w="774" w:type="dxa"/>
            <w:tcMar>
              <w:left w:w="28" w:type="dxa"/>
              <w:right w:w="28" w:type="dxa"/>
            </w:tcMar>
          </w:tcPr>
          <w:p w14:paraId="291D8B1E" w14:textId="77777777" w:rsidR="00F12EDD" w:rsidRPr="00A04BC2" w:rsidRDefault="00F12EDD" w:rsidP="00B4491A">
            <w:pPr>
              <w:spacing w:line="312" w:lineRule="auto"/>
              <w:jc w:val="center"/>
              <w:rPr>
                <w:b/>
                <w:sz w:val="28"/>
                <w:lang w:val="en-US"/>
              </w:rPr>
            </w:pPr>
            <w:r w:rsidRPr="00A04BC2">
              <w:rPr>
                <w:b/>
                <w:sz w:val="28"/>
                <w:lang w:val="en-US"/>
              </w:rPr>
              <w:t>5.2</w:t>
            </w:r>
          </w:p>
        </w:tc>
        <w:tc>
          <w:tcPr>
            <w:tcW w:w="7698" w:type="dxa"/>
            <w:tcMar>
              <w:left w:w="28" w:type="dxa"/>
              <w:right w:w="28" w:type="dxa"/>
            </w:tcMar>
          </w:tcPr>
          <w:p w14:paraId="6D6EBA4A" w14:textId="77777777" w:rsidR="00F12EDD" w:rsidRDefault="00F12EDD" w:rsidP="00B4491A">
            <w:pPr>
              <w:spacing w:line="312" w:lineRule="auto"/>
              <w:rPr>
                <w:sz w:val="28"/>
                <w:lang w:val="en-US"/>
              </w:rPr>
            </w:pPr>
            <w:r w:rsidRPr="00F35620">
              <w:rPr>
                <w:sz w:val="28"/>
                <w:lang w:val="en-US"/>
              </w:rPr>
              <w:t>Consolidated budget revenue structure of Ukraine</w:t>
            </w:r>
          </w:p>
        </w:tc>
        <w:tc>
          <w:tcPr>
            <w:tcW w:w="1143" w:type="dxa"/>
            <w:tcMar>
              <w:left w:w="28" w:type="dxa"/>
              <w:right w:w="28" w:type="dxa"/>
            </w:tcMar>
          </w:tcPr>
          <w:p w14:paraId="4BED9228" w14:textId="77777777" w:rsidR="00F12EDD" w:rsidRPr="000552CE" w:rsidRDefault="002C1F42" w:rsidP="00B4491A">
            <w:pPr>
              <w:spacing w:line="312" w:lineRule="auto"/>
              <w:jc w:val="center"/>
              <w:rPr>
                <w:sz w:val="28"/>
                <w:lang w:val="en-US"/>
              </w:rPr>
            </w:pPr>
            <w:r w:rsidRPr="000552CE">
              <w:rPr>
                <w:sz w:val="28"/>
                <w:lang w:val="en-US"/>
              </w:rPr>
              <w:t>81</w:t>
            </w:r>
          </w:p>
        </w:tc>
      </w:tr>
      <w:tr w:rsidR="00F12EDD" w14:paraId="2FE6845F" w14:textId="77777777" w:rsidTr="00F12EDD">
        <w:tc>
          <w:tcPr>
            <w:tcW w:w="774" w:type="dxa"/>
            <w:tcMar>
              <w:left w:w="28" w:type="dxa"/>
              <w:right w:w="28" w:type="dxa"/>
            </w:tcMar>
          </w:tcPr>
          <w:p w14:paraId="2E85DA7A" w14:textId="77777777" w:rsidR="00F12EDD" w:rsidRPr="00A04BC2" w:rsidRDefault="00F12EDD" w:rsidP="00B4491A">
            <w:pPr>
              <w:spacing w:line="312" w:lineRule="auto"/>
              <w:jc w:val="center"/>
              <w:rPr>
                <w:b/>
                <w:sz w:val="28"/>
                <w:lang w:val="en-US"/>
              </w:rPr>
            </w:pPr>
            <w:r w:rsidRPr="00A04BC2">
              <w:rPr>
                <w:b/>
                <w:sz w:val="28"/>
                <w:lang w:val="en-US"/>
              </w:rPr>
              <w:t>5.3</w:t>
            </w:r>
          </w:p>
        </w:tc>
        <w:tc>
          <w:tcPr>
            <w:tcW w:w="7698" w:type="dxa"/>
            <w:tcMar>
              <w:left w:w="28" w:type="dxa"/>
              <w:right w:w="28" w:type="dxa"/>
            </w:tcMar>
          </w:tcPr>
          <w:p w14:paraId="601B44DF" w14:textId="77777777" w:rsidR="00F12EDD" w:rsidRDefault="00F12EDD" w:rsidP="00B4491A">
            <w:pPr>
              <w:spacing w:line="312" w:lineRule="auto"/>
              <w:rPr>
                <w:sz w:val="28"/>
                <w:lang w:val="en-US"/>
              </w:rPr>
            </w:pPr>
            <w:r w:rsidRPr="00F35620">
              <w:rPr>
                <w:sz w:val="28"/>
                <w:lang w:val="en-US"/>
              </w:rPr>
              <w:t>Consolidated budget expenditure structure of Ukraine</w:t>
            </w:r>
          </w:p>
        </w:tc>
        <w:tc>
          <w:tcPr>
            <w:tcW w:w="1143" w:type="dxa"/>
            <w:tcMar>
              <w:left w:w="28" w:type="dxa"/>
              <w:right w:w="28" w:type="dxa"/>
            </w:tcMar>
          </w:tcPr>
          <w:p w14:paraId="112E14F4" w14:textId="77777777" w:rsidR="00F12EDD" w:rsidRPr="000552CE" w:rsidRDefault="002C1F42" w:rsidP="00B4491A">
            <w:pPr>
              <w:spacing w:line="312" w:lineRule="auto"/>
              <w:jc w:val="center"/>
              <w:rPr>
                <w:sz w:val="28"/>
                <w:lang w:val="en-US"/>
              </w:rPr>
            </w:pPr>
            <w:r w:rsidRPr="000552CE">
              <w:rPr>
                <w:sz w:val="28"/>
                <w:lang w:val="en-US"/>
              </w:rPr>
              <w:t>82</w:t>
            </w:r>
          </w:p>
        </w:tc>
      </w:tr>
      <w:tr w:rsidR="00F12EDD" w14:paraId="13A370BE" w14:textId="77777777" w:rsidTr="00F12EDD">
        <w:tc>
          <w:tcPr>
            <w:tcW w:w="774" w:type="dxa"/>
            <w:tcMar>
              <w:left w:w="28" w:type="dxa"/>
              <w:right w:w="28" w:type="dxa"/>
            </w:tcMar>
          </w:tcPr>
          <w:p w14:paraId="3970FF0A" w14:textId="77777777" w:rsidR="00F12EDD" w:rsidRPr="00A04BC2" w:rsidRDefault="00F12EDD" w:rsidP="00B4491A">
            <w:pPr>
              <w:spacing w:line="312" w:lineRule="auto"/>
              <w:jc w:val="center"/>
              <w:rPr>
                <w:b/>
                <w:sz w:val="28"/>
                <w:lang w:val="en-US"/>
              </w:rPr>
            </w:pPr>
          </w:p>
        </w:tc>
        <w:tc>
          <w:tcPr>
            <w:tcW w:w="7698" w:type="dxa"/>
            <w:tcMar>
              <w:left w:w="28" w:type="dxa"/>
              <w:right w:w="28" w:type="dxa"/>
            </w:tcMar>
          </w:tcPr>
          <w:p w14:paraId="3EF4E3E5" w14:textId="77777777" w:rsidR="00F12EDD" w:rsidRDefault="00F12EDD" w:rsidP="00B4491A">
            <w:pPr>
              <w:spacing w:line="312" w:lineRule="auto"/>
              <w:rPr>
                <w:sz w:val="28"/>
                <w:lang w:val="en-US"/>
              </w:rPr>
            </w:pPr>
          </w:p>
        </w:tc>
        <w:tc>
          <w:tcPr>
            <w:tcW w:w="1143" w:type="dxa"/>
            <w:tcMar>
              <w:left w:w="28" w:type="dxa"/>
              <w:right w:w="28" w:type="dxa"/>
            </w:tcMar>
          </w:tcPr>
          <w:p w14:paraId="53D7AA0C" w14:textId="77777777" w:rsidR="00F12EDD" w:rsidRPr="000552CE" w:rsidRDefault="00F12EDD" w:rsidP="00B4491A">
            <w:pPr>
              <w:spacing w:line="312" w:lineRule="auto"/>
              <w:jc w:val="center"/>
              <w:rPr>
                <w:sz w:val="28"/>
                <w:lang w:val="en-US"/>
              </w:rPr>
            </w:pPr>
          </w:p>
        </w:tc>
      </w:tr>
      <w:tr w:rsidR="00F12EDD" w14:paraId="4328DBC9" w14:textId="77777777" w:rsidTr="00F12EDD">
        <w:tc>
          <w:tcPr>
            <w:tcW w:w="774" w:type="dxa"/>
            <w:tcMar>
              <w:left w:w="28" w:type="dxa"/>
              <w:right w:w="28" w:type="dxa"/>
            </w:tcMar>
          </w:tcPr>
          <w:p w14:paraId="0028EF76" w14:textId="77777777" w:rsidR="00F12EDD" w:rsidRPr="00A04BC2" w:rsidRDefault="00F12EDD" w:rsidP="00B4491A">
            <w:pPr>
              <w:spacing w:line="312" w:lineRule="auto"/>
              <w:jc w:val="center"/>
              <w:rPr>
                <w:b/>
                <w:sz w:val="28"/>
                <w:lang w:val="en-US"/>
              </w:rPr>
            </w:pPr>
            <w:r w:rsidRPr="00A04BC2">
              <w:rPr>
                <w:b/>
                <w:sz w:val="28"/>
                <w:lang w:val="en-US"/>
              </w:rPr>
              <w:t>6.1</w:t>
            </w:r>
          </w:p>
        </w:tc>
        <w:tc>
          <w:tcPr>
            <w:tcW w:w="7698" w:type="dxa"/>
            <w:tcMar>
              <w:left w:w="28" w:type="dxa"/>
              <w:right w:w="28" w:type="dxa"/>
            </w:tcMar>
          </w:tcPr>
          <w:p w14:paraId="3D772B74" w14:textId="77777777" w:rsidR="00F12EDD" w:rsidRPr="005C3EC1" w:rsidRDefault="00F12EDD" w:rsidP="00B4491A">
            <w:pPr>
              <w:spacing w:line="312" w:lineRule="auto"/>
              <w:rPr>
                <w:sz w:val="28"/>
                <w:lang w:val="en-US"/>
              </w:rPr>
            </w:pPr>
            <w:r w:rsidRPr="00F35620">
              <w:rPr>
                <w:sz w:val="28"/>
                <w:lang w:val="en-US"/>
              </w:rPr>
              <w:t>Characteristics of households in Ukraine</w:t>
            </w:r>
          </w:p>
        </w:tc>
        <w:tc>
          <w:tcPr>
            <w:tcW w:w="1143" w:type="dxa"/>
            <w:tcMar>
              <w:left w:w="28" w:type="dxa"/>
              <w:right w:w="28" w:type="dxa"/>
            </w:tcMar>
          </w:tcPr>
          <w:p w14:paraId="1FCAD3B7" w14:textId="77777777" w:rsidR="00F12EDD" w:rsidRPr="000552CE" w:rsidRDefault="002C1F42" w:rsidP="00B4491A">
            <w:pPr>
              <w:spacing w:line="312" w:lineRule="auto"/>
              <w:jc w:val="center"/>
              <w:rPr>
                <w:sz w:val="28"/>
                <w:lang w:val="en-US"/>
              </w:rPr>
            </w:pPr>
            <w:r w:rsidRPr="000552CE">
              <w:rPr>
                <w:sz w:val="28"/>
                <w:lang w:val="en-US"/>
              </w:rPr>
              <w:t>96</w:t>
            </w:r>
            <w:r w:rsidR="000552CE" w:rsidRPr="00543EEA">
              <w:rPr>
                <w:sz w:val="28"/>
                <w:lang w:val="en-US"/>
              </w:rPr>
              <w:t>–</w:t>
            </w:r>
            <w:r w:rsidR="00F12EDD" w:rsidRPr="000552CE">
              <w:rPr>
                <w:sz w:val="28"/>
                <w:lang w:val="en-US"/>
              </w:rPr>
              <w:t>97</w:t>
            </w:r>
          </w:p>
        </w:tc>
      </w:tr>
      <w:tr w:rsidR="00F12EDD" w14:paraId="6075304C" w14:textId="77777777" w:rsidTr="00F12EDD">
        <w:tc>
          <w:tcPr>
            <w:tcW w:w="774" w:type="dxa"/>
            <w:tcMar>
              <w:left w:w="28" w:type="dxa"/>
              <w:right w:w="28" w:type="dxa"/>
            </w:tcMar>
          </w:tcPr>
          <w:p w14:paraId="118492BA" w14:textId="77777777" w:rsidR="00F12EDD" w:rsidRPr="00A04BC2" w:rsidRDefault="00F12EDD" w:rsidP="00B4491A">
            <w:pPr>
              <w:spacing w:line="312" w:lineRule="auto"/>
              <w:jc w:val="center"/>
              <w:rPr>
                <w:b/>
                <w:sz w:val="28"/>
                <w:lang w:val="en-US"/>
              </w:rPr>
            </w:pPr>
            <w:r w:rsidRPr="00A04BC2">
              <w:rPr>
                <w:b/>
                <w:sz w:val="28"/>
                <w:lang w:val="en-US"/>
              </w:rPr>
              <w:t>6.2</w:t>
            </w:r>
          </w:p>
        </w:tc>
        <w:tc>
          <w:tcPr>
            <w:tcW w:w="7698" w:type="dxa"/>
            <w:tcMar>
              <w:left w:w="28" w:type="dxa"/>
              <w:right w:w="28" w:type="dxa"/>
            </w:tcMar>
          </w:tcPr>
          <w:p w14:paraId="25FDA1D8" w14:textId="77777777" w:rsidR="00F12EDD" w:rsidRPr="005C3EC1" w:rsidRDefault="00F12EDD" w:rsidP="00B4491A">
            <w:pPr>
              <w:spacing w:line="312" w:lineRule="auto"/>
              <w:rPr>
                <w:sz w:val="28"/>
                <w:lang w:val="en-US"/>
              </w:rPr>
            </w:pPr>
            <w:r w:rsidRPr="00F35620">
              <w:rPr>
                <w:sz w:val="28"/>
                <w:lang w:val="en-US"/>
              </w:rPr>
              <w:t>Differentiation of household living standards in Ukraine</w:t>
            </w:r>
          </w:p>
        </w:tc>
        <w:tc>
          <w:tcPr>
            <w:tcW w:w="1143" w:type="dxa"/>
            <w:tcMar>
              <w:left w:w="28" w:type="dxa"/>
              <w:right w:w="28" w:type="dxa"/>
            </w:tcMar>
          </w:tcPr>
          <w:p w14:paraId="0E369EC2" w14:textId="77777777" w:rsidR="00F12EDD" w:rsidRPr="000552CE" w:rsidRDefault="00F12EDD" w:rsidP="00B4491A">
            <w:pPr>
              <w:spacing w:line="312" w:lineRule="auto"/>
              <w:jc w:val="center"/>
              <w:rPr>
                <w:sz w:val="28"/>
                <w:lang w:val="en-US"/>
              </w:rPr>
            </w:pPr>
            <w:r w:rsidRPr="000552CE">
              <w:rPr>
                <w:sz w:val="28"/>
                <w:lang w:val="en-US"/>
              </w:rPr>
              <w:t>100</w:t>
            </w:r>
          </w:p>
        </w:tc>
      </w:tr>
      <w:tr w:rsidR="00F12EDD" w14:paraId="5D9D284D" w14:textId="77777777" w:rsidTr="00F12EDD">
        <w:tc>
          <w:tcPr>
            <w:tcW w:w="774" w:type="dxa"/>
            <w:tcMar>
              <w:left w:w="28" w:type="dxa"/>
              <w:right w:w="28" w:type="dxa"/>
            </w:tcMar>
          </w:tcPr>
          <w:p w14:paraId="0ACAB9D1" w14:textId="77777777" w:rsidR="00F12EDD" w:rsidRPr="00A04BC2" w:rsidRDefault="00F12EDD" w:rsidP="00B4491A">
            <w:pPr>
              <w:spacing w:line="312" w:lineRule="auto"/>
              <w:jc w:val="center"/>
              <w:rPr>
                <w:b/>
                <w:sz w:val="28"/>
                <w:lang w:val="en-US"/>
              </w:rPr>
            </w:pPr>
            <w:r w:rsidRPr="00A04BC2">
              <w:rPr>
                <w:b/>
                <w:sz w:val="28"/>
                <w:lang w:val="en-US"/>
              </w:rPr>
              <w:t>6.3</w:t>
            </w:r>
          </w:p>
        </w:tc>
        <w:tc>
          <w:tcPr>
            <w:tcW w:w="7698" w:type="dxa"/>
            <w:tcMar>
              <w:left w:w="28" w:type="dxa"/>
              <w:right w:w="28" w:type="dxa"/>
            </w:tcMar>
          </w:tcPr>
          <w:p w14:paraId="1E47311D" w14:textId="77777777" w:rsidR="00F12EDD" w:rsidRPr="005C3EC1" w:rsidRDefault="00F12EDD" w:rsidP="00B4491A">
            <w:pPr>
              <w:spacing w:line="312" w:lineRule="auto"/>
              <w:rPr>
                <w:sz w:val="28"/>
                <w:lang w:val="en-US"/>
              </w:rPr>
            </w:pPr>
            <w:r w:rsidRPr="00F35620">
              <w:rPr>
                <w:sz w:val="28"/>
                <w:lang w:val="en-US"/>
              </w:rPr>
              <w:t>Structure of total resources in Ukraine</w:t>
            </w:r>
          </w:p>
        </w:tc>
        <w:tc>
          <w:tcPr>
            <w:tcW w:w="1143" w:type="dxa"/>
            <w:tcMar>
              <w:left w:w="28" w:type="dxa"/>
              <w:right w:w="28" w:type="dxa"/>
            </w:tcMar>
          </w:tcPr>
          <w:p w14:paraId="2C33E321" w14:textId="77777777" w:rsidR="00F12EDD" w:rsidRPr="000552CE" w:rsidRDefault="00F12EDD" w:rsidP="002C1F42">
            <w:pPr>
              <w:spacing w:line="312" w:lineRule="auto"/>
              <w:jc w:val="center"/>
              <w:rPr>
                <w:sz w:val="28"/>
                <w:lang w:val="en-US"/>
              </w:rPr>
            </w:pPr>
            <w:r w:rsidRPr="000552CE">
              <w:rPr>
                <w:sz w:val="28"/>
                <w:lang w:val="en-US"/>
              </w:rPr>
              <w:t>10</w:t>
            </w:r>
            <w:r w:rsidR="002C1F42" w:rsidRPr="000552CE">
              <w:rPr>
                <w:sz w:val="28"/>
                <w:lang w:val="en-US"/>
              </w:rPr>
              <w:t>3</w:t>
            </w:r>
          </w:p>
        </w:tc>
      </w:tr>
      <w:tr w:rsidR="00F12EDD" w14:paraId="4DB43919" w14:textId="77777777" w:rsidTr="00F12EDD">
        <w:tc>
          <w:tcPr>
            <w:tcW w:w="774" w:type="dxa"/>
            <w:tcMar>
              <w:left w:w="28" w:type="dxa"/>
              <w:right w:w="28" w:type="dxa"/>
            </w:tcMar>
          </w:tcPr>
          <w:p w14:paraId="711FFE77" w14:textId="77777777" w:rsidR="00F12EDD" w:rsidRPr="00A04BC2" w:rsidRDefault="00F12EDD" w:rsidP="00B4491A">
            <w:pPr>
              <w:spacing w:line="312" w:lineRule="auto"/>
              <w:jc w:val="center"/>
              <w:rPr>
                <w:b/>
                <w:sz w:val="28"/>
                <w:lang w:val="en-US"/>
              </w:rPr>
            </w:pPr>
            <w:r w:rsidRPr="00A04BC2">
              <w:rPr>
                <w:b/>
                <w:sz w:val="28"/>
                <w:lang w:val="en-US"/>
              </w:rPr>
              <w:t>6.4</w:t>
            </w:r>
          </w:p>
        </w:tc>
        <w:tc>
          <w:tcPr>
            <w:tcW w:w="7698" w:type="dxa"/>
            <w:tcMar>
              <w:left w:w="28" w:type="dxa"/>
              <w:right w:w="28" w:type="dxa"/>
            </w:tcMar>
          </w:tcPr>
          <w:p w14:paraId="73721C08" w14:textId="77777777" w:rsidR="00F12EDD" w:rsidRPr="005C3EC1" w:rsidRDefault="00F12EDD" w:rsidP="00B4491A">
            <w:pPr>
              <w:spacing w:line="312" w:lineRule="auto"/>
              <w:rPr>
                <w:sz w:val="28"/>
                <w:lang w:val="en-US"/>
              </w:rPr>
            </w:pPr>
            <w:r w:rsidRPr="00F35620">
              <w:rPr>
                <w:sz w:val="28"/>
                <w:lang w:val="en-US"/>
              </w:rPr>
              <w:t>Structure of total expenditure</w:t>
            </w:r>
          </w:p>
        </w:tc>
        <w:tc>
          <w:tcPr>
            <w:tcW w:w="1143" w:type="dxa"/>
            <w:tcMar>
              <w:left w:w="28" w:type="dxa"/>
              <w:right w:w="28" w:type="dxa"/>
            </w:tcMar>
          </w:tcPr>
          <w:p w14:paraId="7BAA4208" w14:textId="77777777" w:rsidR="00F12EDD" w:rsidRPr="000552CE" w:rsidRDefault="00F12EDD" w:rsidP="002C1F42">
            <w:pPr>
              <w:spacing w:line="312" w:lineRule="auto"/>
              <w:jc w:val="center"/>
              <w:rPr>
                <w:sz w:val="28"/>
                <w:lang w:val="en-US"/>
              </w:rPr>
            </w:pPr>
            <w:r w:rsidRPr="000552CE">
              <w:rPr>
                <w:sz w:val="28"/>
                <w:lang w:val="en-US"/>
              </w:rPr>
              <w:t>10</w:t>
            </w:r>
            <w:r w:rsidR="002C1F42" w:rsidRPr="000552CE">
              <w:rPr>
                <w:sz w:val="28"/>
                <w:lang w:val="en-US"/>
              </w:rPr>
              <w:t>4</w:t>
            </w:r>
          </w:p>
        </w:tc>
      </w:tr>
      <w:tr w:rsidR="00F12EDD" w14:paraId="07E651E1" w14:textId="77777777" w:rsidTr="00F12EDD">
        <w:tc>
          <w:tcPr>
            <w:tcW w:w="774" w:type="dxa"/>
            <w:tcMar>
              <w:left w:w="28" w:type="dxa"/>
              <w:right w:w="28" w:type="dxa"/>
            </w:tcMar>
          </w:tcPr>
          <w:p w14:paraId="15FF483B" w14:textId="77777777" w:rsidR="00F12EDD" w:rsidRPr="00A04BC2" w:rsidRDefault="00F12EDD" w:rsidP="00B4491A">
            <w:pPr>
              <w:spacing w:line="312" w:lineRule="auto"/>
              <w:jc w:val="center"/>
              <w:rPr>
                <w:b/>
                <w:sz w:val="28"/>
                <w:lang w:val="en-US"/>
              </w:rPr>
            </w:pPr>
            <w:r w:rsidRPr="00A04BC2">
              <w:rPr>
                <w:b/>
                <w:sz w:val="28"/>
                <w:lang w:val="en-US"/>
              </w:rPr>
              <w:t>6.5</w:t>
            </w:r>
          </w:p>
        </w:tc>
        <w:tc>
          <w:tcPr>
            <w:tcW w:w="7698" w:type="dxa"/>
            <w:tcMar>
              <w:left w:w="28" w:type="dxa"/>
              <w:right w:w="28" w:type="dxa"/>
            </w:tcMar>
          </w:tcPr>
          <w:p w14:paraId="7D82B23B" w14:textId="77777777" w:rsidR="00F12EDD" w:rsidRPr="005C3EC1" w:rsidRDefault="00F12EDD" w:rsidP="00B4491A">
            <w:pPr>
              <w:spacing w:line="312" w:lineRule="auto"/>
              <w:rPr>
                <w:sz w:val="28"/>
                <w:lang w:val="en-US"/>
              </w:rPr>
            </w:pPr>
            <w:r w:rsidRPr="00F35620">
              <w:rPr>
                <w:sz w:val="28"/>
                <w:lang w:val="en-US"/>
              </w:rPr>
              <w:t>Average annual expenditures and characteristics in US per household, 2012-14</w:t>
            </w:r>
          </w:p>
        </w:tc>
        <w:tc>
          <w:tcPr>
            <w:tcW w:w="1143" w:type="dxa"/>
            <w:tcMar>
              <w:left w:w="28" w:type="dxa"/>
              <w:right w:w="28" w:type="dxa"/>
            </w:tcMar>
          </w:tcPr>
          <w:p w14:paraId="19FC877C" w14:textId="77777777" w:rsidR="00F12EDD" w:rsidRPr="000552CE" w:rsidRDefault="00F12EDD" w:rsidP="002C1F42">
            <w:pPr>
              <w:spacing w:line="312" w:lineRule="auto"/>
              <w:jc w:val="center"/>
              <w:rPr>
                <w:sz w:val="28"/>
                <w:lang w:val="en-US"/>
              </w:rPr>
            </w:pPr>
            <w:r w:rsidRPr="000552CE">
              <w:rPr>
                <w:sz w:val="28"/>
                <w:lang w:val="en-US"/>
              </w:rPr>
              <w:t>111</w:t>
            </w:r>
          </w:p>
        </w:tc>
      </w:tr>
      <w:tr w:rsidR="00F12EDD" w14:paraId="70E6E6FA" w14:textId="77777777" w:rsidTr="00F12EDD">
        <w:tc>
          <w:tcPr>
            <w:tcW w:w="774" w:type="dxa"/>
            <w:tcMar>
              <w:left w:w="28" w:type="dxa"/>
              <w:right w:w="28" w:type="dxa"/>
            </w:tcMar>
          </w:tcPr>
          <w:p w14:paraId="29DFD033" w14:textId="77777777" w:rsidR="00F12EDD" w:rsidRPr="00A04BC2" w:rsidRDefault="00F12EDD" w:rsidP="00B4491A">
            <w:pPr>
              <w:spacing w:line="312" w:lineRule="auto"/>
              <w:jc w:val="center"/>
              <w:rPr>
                <w:b/>
                <w:sz w:val="28"/>
                <w:lang w:val="en-US"/>
              </w:rPr>
            </w:pPr>
            <w:r w:rsidRPr="00A04BC2">
              <w:rPr>
                <w:b/>
                <w:sz w:val="28"/>
                <w:lang w:val="en-US"/>
              </w:rPr>
              <w:t>6.6</w:t>
            </w:r>
          </w:p>
        </w:tc>
        <w:tc>
          <w:tcPr>
            <w:tcW w:w="7698" w:type="dxa"/>
            <w:tcMar>
              <w:left w:w="28" w:type="dxa"/>
              <w:right w:w="28" w:type="dxa"/>
            </w:tcMar>
          </w:tcPr>
          <w:p w14:paraId="0A42F57E" w14:textId="77777777" w:rsidR="00F12EDD" w:rsidRPr="005C3EC1" w:rsidRDefault="00F12EDD" w:rsidP="00B4491A">
            <w:pPr>
              <w:spacing w:line="312" w:lineRule="auto"/>
              <w:rPr>
                <w:sz w:val="28"/>
                <w:lang w:val="en-US"/>
              </w:rPr>
            </w:pPr>
            <w:r w:rsidRPr="00F35620">
              <w:rPr>
                <w:sz w:val="28"/>
                <w:lang w:val="en-US"/>
              </w:rPr>
              <w:t>The nine quality-of-life factors and the indicators used to represent determinants of quality of life</w:t>
            </w:r>
          </w:p>
        </w:tc>
        <w:tc>
          <w:tcPr>
            <w:tcW w:w="1143" w:type="dxa"/>
            <w:tcMar>
              <w:left w:w="28" w:type="dxa"/>
              <w:right w:w="28" w:type="dxa"/>
            </w:tcMar>
          </w:tcPr>
          <w:p w14:paraId="45D0A8C2" w14:textId="77777777" w:rsidR="00F12EDD" w:rsidRPr="000552CE" w:rsidRDefault="002C1F42" w:rsidP="00B4491A">
            <w:pPr>
              <w:spacing w:line="312" w:lineRule="auto"/>
              <w:jc w:val="center"/>
              <w:rPr>
                <w:sz w:val="28"/>
                <w:lang w:val="en-US"/>
              </w:rPr>
            </w:pPr>
            <w:r w:rsidRPr="000552CE">
              <w:rPr>
                <w:sz w:val="28"/>
                <w:lang w:val="en-US"/>
              </w:rPr>
              <w:t>111</w:t>
            </w:r>
            <w:r w:rsidR="000552CE" w:rsidRPr="00543EEA">
              <w:rPr>
                <w:sz w:val="28"/>
                <w:lang w:val="en-US"/>
              </w:rPr>
              <w:t>–</w:t>
            </w:r>
            <w:r w:rsidR="00F12EDD" w:rsidRPr="000552CE">
              <w:rPr>
                <w:sz w:val="28"/>
                <w:lang w:val="en-US"/>
              </w:rPr>
              <w:t>112</w:t>
            </w:r>
          </w:p>
        </w:tc>
      </w:tr>
      <w:tr w:rsidR="00F12EDD" w14:paraId="67F89C25" w14:textId="77777777" w:rsidTr="00F12EDD">
        <w:tc>
          <w:tcPr>
            <w:tcW w:w="774" w:type="dxa"/>
            <w:tcMar>
              <w:left w:w="28" w:type="dxa"/>
              <w:right w:w="28" w:type="dxa"/>
            </w:tcMar>
          </w:tcPr>
          <w:p w14:paraId="6537F01E" w14:textId="77777777" w:rsidR="00F12EDD" w:rsidRPr="00A04BC2" w:rsidRDefault="00F12EDD" w:rsidP="00B4491A">
            <w:pPr>
              <w:spacing w:line="312" w:lineRule="auto"/>
              <w:jc w:val="center"/>
              <w:rPr>
                <w:b/>
                <w:sz w:val="28"/>
                <w:lang w:val="en-US"/>
              </w:rPr>
            </w:pPr>
            <w:r w:rsidRPr="00A04BC2">
              <w:rPr>
                <w:b/>
                <w:sz w:val="28"/>
                <w:lang w:val="en-US"/>
              </w:rPr>
              <w:t>6.7</w:t>
            </w:r>
          </w:p>
        </w:tc>
        <w:tc>
          <w:tcPr>
            <w:tcW w:w="7698" w:type="dxa"/>
            <w:tcMar>
              <w:left w:w="28" w:type="dxa"/>
              <w:right w:w="28" w:type="dxa"/>
            </w:tcMar>
          </w:tcPr>
          <w:p w14:paraId="2E038CEF" w14:textId="77777777" w:rsidR="00F12EDD" w:rsidRPr="005C3EC1" w:rsidRDefault="00F12EDD" w:rsidP="00B4491A">
            <w:pPr>
              <w:spacing w:line="312" w:lineRule="auto"/>
              <w:rPr>
                <w:sz w:val="28"/>
                <w:lang w:val="en-US"/>
              </w:rPr>
            </w:pPr>
            <w:r w:rsidRPr="00F35620">
              <w:rPr>
                <w:sz w:val="28"/>
                <w:lang w:val="en-US"/>
              </w:rPr>
              <w:t>Distribution of the population by average per capita equivalent total income</w:t>
            </w:r>
          </w:p>
        </w:tc>
        <w:tc>
          <w:tcPr>
            <w:tcW w:w="1143" w:type="dxa"/>
            <w:tcMar>
              <w:left w:w="28" w:type="dxa"/>
              <w:right w:w="28" w:type="dxa"/>
            </w:tcMar>
          </w:tcPr>
          <w:p w14:paraId="59428517" w14:textId="77777777" w:rsidR="00F12EDD" w:rsidRPr="000552CE" w:rsidRDefault="002C1F42" w:rsidP="00B4491A">
            <w:pPr>
              <w:spacing w:line="312" w:lineRule="auto"/>
              <w:jc w:val="center"/>
              <w:rPr>
                <w:sz w:val="28"/>
                <w:lang w:val="en-US"/>
              </w:rPr>
            </w:pPr>
            <w:r w:rsidRPr="000552CE">
              <w:rPr>
                <w:sz w:val="28"/>
                <w:lang w:val="en-US"/>
              </w:rPr>
              <w:t>112</w:t>
            </w:r>
            <w:r w:rsidR="000552CE" w:rsidRPr="00543EEA">
              <w:rPr>
                <w:sz w:val="28"/>
                <w:lang w:val="en-US"/>
              </w:rPr>
              <w:t>–</w:t>
            </w:r>
            <w:r w:rsidR="00F12EDD" w:rsidRPr="000552CE">
              <w:rPr>
                <w:sz w:val="28"/>
                <w:lang w:val="en-US"/>
              </w:rPr>
              <w:t>113</w:t>
            </w:r>
          </w:p>
        </w:tc>
      </w:tr>
      <w:tr w:rsidR="00F12EDD" w14:paraId="1BFFFB5B" w14:textId="77777777" w:rsidTr="00F12EDD">
        <w:tc>
          <w:tcPr>
            <w:tcW w:w="774" w:type="dxa"/>
            <w:tcMar>
              <w:left w:w="28" w:type="dxa"/>
              <w:right w:w="28" w:type="dxa"/>
            </w:tcMar>
          </w:tcPr>
          <w:p w14:paraId="478B1AA5" w14:textId="77777777" w:rsidR="00F12EDD" w:rsidRPr="00A04BC2" w:rsidRDefault="00F12EDD" w:rsidP="00B4491A">
            <w:pPr>
              <w:spacing w:line="312" w:lineRule="auto"/>
              <w:jc w:val="center"/>
              <w:rPr>
                <w:b/>
                <w:sz w:val="28"/>
                <w:lang w:val="en-US"/>
              </w:rPr>
            </w:pPr>
          </w:p>
        </w:tc>
        <w:tc>
          <w:tcPr>
            <w:tcW w:w="7698" w:type="dxa"/>
            <w:tcMar>
              <w:left w:w="28" w:type="dxa"/>
              <w:right w:w="28" w:type="dxa"/>
            </w:tcMar>
          </w:tcPr>
          <w:p w14:paraId="3E8A18AA" w14:textId="77777777" w:rsidR="00F12EDD" w:rsidRPr="005C3EC1" w:rsidRDefault="00F12EDD" w:rsidP="00B4491A">
            <w:pPr>
              <w:spacing w:line="312" w:lineRule="auto"/>
              <w:rPr>
                <w:sz w:val="28"/>
                <w:lang w:val="en-US"/>
              </w:rPr>
            </w:pPr>
          </w:p>
        </w:tc>
        <w:tc>
          <w:tcPr>
            <w:tcW w:w="1143" w:type="dxa"/>
            <w:tcMar>
              <w:left w:w="28" w:type="dxa"/>
              <w:right w:w="28" w:type="dxa"/>
            </w:tcMar>
          </w:tcPr>
          <w:p w14:paraId="52E0FABD" w14:textId="77777777" w:rsidR="00F12EDD" w:rsidRPr="000552CE" w:rsidRDefault="00F12EDD" w:rsidP="00B4491A">
            <w:pPr>
              <w:spacing w:line="312" w:lineRule="auto"/>
              <w:jc w:val="center"/>
              <w:rPr>
                <w:sz w:val="28"/>
                <w:lang w:val="en-US"/>
              </w:rPr>
            </w:pPr>
          </w:p>
        </w:tc>
      </w:tr>
      <w:tr w:rsidR="00F12EDD" w14:paraId="75553FB2" w14:textId="77777777" w:rsidTr="00F12EDD">
        <w:tc>
          <w:tcPr>
            <w:tcW w:w="774" w:type="dxa"/>
            <w:tcMar>
              <w:left w:w="28" w:type="dxa"/>
              <w:right w:w="28" w:type="dxa"/>
            </w:tcMar>
          </w:tcPr>
          <w:p w14:paraId="465A8B9A" w14:textId="77777777" w:rsidR="00F12EDD" w:rsidRPr="00A04BC2" w:rsidRDefault="00F12EDD" w:rsidP="00B4491A">
            <w:pPr>
              <w:spacing w:line="312" w:lineRule="auto"/>
              <w:jc w:val="center"/>
              <w:rPr>
                <w:b/>
                <w:sz w:val="28"/>
                <w:lang w:val="en-US"/>
              </w:rPr>
            </w:pPr>
            <w:r w:rsidRPr="00A04BC2">
              <w:rPr>
                <w:b/>
                <w:sz w:val="28"/>
                <w:lang w:val="en-US"/>
              </w:rPr>
              <w:t>7.1</w:t>
            </w:r>
          </w:p>
        </w:tc>
        <w:tc>
          <w:tcPr>
            <w:tcW w:w="7698" w:type="dxa"/>
            <w:tcMar>
              <w:left w:w="28" w:type="dxa"/>
              <w:right w:w="28" w:type="dxa"/>
            </w:tcMar>
          </w:tcPr>
          <w:p w14:paraId="1AAA7FF8" w14:textId="77777777" w:rsidR="00F12EDD" w:rsidRPr="005C3EC1" w:rsidRDefault="00F12EDD" w:rsidP="00B4491A">
            <w:pPr>
              <w:spacing w:line="312" w:lineRule="auto"/>
              <w:rPr>
                <w:sz w:val="28"/>
                <w:lang w:val="en-US"/>
              </w:rPr>
            </w:pPr>
            <w:r w:rsidRPr="00F35620">
              <w:rPr>
                <w:sz w:val="28"/>
                <w:lang w:val="en-US"/>
              </w:rPr>
              <w:t>Classification of financial resources</w:t>
            </w:r>
          </w:p>
        </w:tc>
        <w:tc>
          <w:tcPr>
            <w:tcW w:w="1143" w:type="dxa"/>
            <w:tcMar>
              <w:left w:w="28" w:type="dxa"/>
              <w:right w:w="28" w:type="dxa"/>
            </w:tcMar>
          </w:tcPr>
          <w:p w14:paraId="19FC0B96" w14:textId="77777777" w:rsidR="00F12EDD" w:rsidRPr="000552CE" w:rsidRDefault="00F12EDD" w:rsidP="002C1F42">
            <w:pPr>
              <w:spacing w:line="312" w:lineRule="auto"/>
              <w:jc w:val="center"/>
              <w:rPr>
                <w:sz w:val="28"/>
                <w:lang w:val="en-US"/>
              </w:rPr>
            </w:pPr>
            <w:r w:rsidRPr="000552CE">
              <w:rPr>
                <w:sz w:val="28"/>
                <w:lang w:val="en-US"/>
              </w:rPr>
              <w:t>11</w:t>
            </w:r>
            <w:r w:rsidR="002C1F42" w:rsidRPr="000552CE">
              <w:rPr>
                <w:sz w:val="28"/>
                <w:lang w:val="en-US"/>
              </w:rPr>
              <w:t>8</w:t>
            </w:r>
          </w:p>
        </w:tc>
      </w:tr>
      <w:tr w:rsidR="00F12EDD" w14:paraId="04081F6B" w14:textId="77777777" w:rsidTr="00F12EDD">
        <w:tc>
          <w:tcPr>
            <w:tcW w:w="774" w:type="dxa"/>
            <w:tcMar>
              <w:left w:w="28" w:type="dxa"/>
              <w:right w:w="28" w:type="dxa"/>
            </w:tcMar>
          </w:tcPr>
          <w:p w14:paraId="6279976F" w14:textId="77777777" w:rsidR="00F12EDD" w:rsidRPr="00A04BC2" w:rsidRDefault="00F12EDD" w:rsidP="00B4491A">
            <w:pPr>
              <w:spacing w:line="312" w:lineRule="auto"/>
              <w:jc w:val="center"/>
              <w:rPr>
                <w:b/>
                <w:sz w:val="28"/>
                <w:lang w:val="en-US"/>
              </w:rPr>
            </w:pPr>
          </w:p>
        </w:tc>
        <w:tc>
          <w:tcPr>
            <w:tcW w:w="7698" w:type="dxa"/>
            <w:tcMar>
              <w:left w:w="28" w:type="dxa"/>
              <w:right w:w="28" w:type="dxa"/>
            </w:tcMar>
          </w:tcPr>
          <w:p w14:paraId="6DB35C42" w14:textId="77777777" w:rsidR="00F12EDD" w:rsidRPr="005C3EC1" w:rsidRDefault="00F12EDD" w:rsidP="00B4491A">
            <w:pPr>
              <w:spacing w:line="312" w:lineRule="auto"/>
              <w:rPr>
                <w:sz w:val="28"/>
                <w:lang w:val="en-US"/>
              </w:rPr>
            </w:pPr>
          </w:p>
        </w:tc>
        <w:tc>
          <w:tcPr>
            <w:tcW w:w="1143" w:type="dxa"/>
            <w:tcMar>
              <w:left w:w="28" w:type="dxa"/>
              <w:right w:w="28" w:type="dxa"/>
            </w:tcMar>
          </w:tcPr>
          <w:p w14:paraId="14E72F23" w14:textId="77777777" w:rsidR="00F12EDD" w:rsidRPr="000552CE" w:rsidRDefault="00F12EDD" w:rsidP="00B4491A">
            <w:pPr>
              <w:spacing w:line="312" w:lineRule="auto"/>
              <w:jc w:val="center"/>
              <w:rPr>
                <w:sz w:val="28"/>
                <w:lang w:val="en-US"/>
              </w:rPr>
            </w:pPr>
          </w:p>
        </w:tc>
      </w:tr>
      <w:tr w:rsidR="00F12EDD" w14:paraId="0B7DB5DB" w14:textId="77777777" w:rsidTr="00F12EDD">
        <w:tc>
          <w:tcPr>
            <w:tcW w:w="774" w:type="dxa"/>
            <w:tcMar>
              <w:left w:w="28" w:type="dxa"/>
              <w:right w:w="28" w:type="dxa"/>
            </w:tcMar>
          </w:tcPr>
          <w:p w14:paraId="46AA0D35" w14:textId="77777777" w:rsidR="00F12EDD" w:rsidRPr="00A04BC2" w:rsidRDefault="00F12EDD" w:rsidP="00B4491A">
            <w:pPr>
              <w:spacing w:line="312" w:lineRule="auto"/>
              <w:jc w:val="center"/>
              <w:rPr>
                <w:b/>
                <w:sz w:val="28"/>
                <w:lang w:val="en-US"/>
              </w:rPr>
            </w:pPr>
            <w:r w:rsidRPr="00A04BC2">
              <w:rPr>
                <w:b/>
                <w:sz w:val="28"/>
                <w:lang w:val="en-US"/>
              </w:rPr>
              <w:t>9.1</w:t>
            </w:r>
          </w:p>
        </w:tc>
        <w:tc>
          <w:tcPr>
            <w:tcW w:w="7698" w:type="dxa"/>
            <w:tcMar>
              <w:left w:w="28" w:type="dxa"/>
              <w:right w:w="28" w:type="dxa"/>
            </w:tcMar>
          </w:tcPr>
          <w:p w14:paraId="04C99315" w14:textId="77777777" w:rsidR="00F12EDD" w:rsidRPr="005C3EC1" w:rsidRDefault="00F12EDD" w:rsidP="00B4491A">
            <w:pPr>
              <w:spacing w:line="312" w:lineRule="auto"/>
              <w:rPr>
                <w:sz w:val="28"/>
                <w:lang w:val="en-US"/>
              </w:rPr>
            </w:pPr>
            <w:r w:rsidRPr="00F35620">
              <w:rPr>
                <w:sz w:val="28"/>
                <w:lang w:val="en-US"/>
              </w:rPr>
              <w:t>Types of financial instruments</w:t>
            </w:r>
          </w:p>
        </w:tc>
        <w:tc>
          <w:tcPr>
            <w:tcW w:w="1143" w:type="dxa"/>
            <w:tcMar>
              <w:left w:w="28" w:type="dxa"/>
              <w:right w:w="28" w:type="dxa"/>
            </w:tcMar>
          </w:tcPr>
          <w:p w14:paraId="441C4487" w14:textId="77777777" w:rsidR="00F12EDD" w:rsidRPr="000552CE" w:rsidRDefault="00F12EDD" w:rsidP="002C1F42">
            <w:pPr>
              <w:spacing w:line="312" w:lineRule="auto"/>
              <w:jc w:val="center"/>
              <w:rPr>
                <w:sz w:val="28"/>
                <w:lang w:val="en-US"/>
              </w:rPr>
            </w:pPr>
            <w:r w:rsidRPr="000552CE">
              <w:rPr>
                <w:sz w:val="28"/>
                <w:lang w:val="en-US"/>
              </w:rPr>
              <w:t>1</w:t>
            </w:r>
            <w:r w:rsidR="002C1F42" w:rsidRPr="000552CE">
              <w:rPr>
                <w:sz w:val="28"/>
                <w:lang w:val="en-US"/>
              </w:rPr>
              <w:t>70</w:t>
            </w:r>
          </w:p>
        </w:tc>
      </w:tr>
      <w:tr w:rsidR="00F12EDD" w14:paraId="47856D5A" w14:textId="77777777" w:rsidTr="00F12EDD">
        <w:tc>
          <w:tcPr>
            <w:tcW w:w="774" w:type="dxa"/>
            <w:tcMar>
              <w:left w:w="28" w:type="dxa"/>
              <w:right w:w="28" w:type="dxa"/>
            </w:tcMar>
          </w:tcPr>
          <w:p w14:paraId="70B6389F" w14:textId="77777777" w:rsidR="00F12EDD" w:rsidRPr="00A04BC2" w:rsidRDefault="00F12EDD" w:rsidP="00B4491A">
            <w:pPr>
              <w:spacing w:line="312" w:lineRule="auto"/>
              <w:jc w:val="center"/>
              <w:rPr>
                <w:b/>
                <w:sz w:val="28"/>
                <w:lang w:val="en-US"/>
              </w:rPr>
            </w:pPr>
          </w:p>
        </w:tc>
        <w:tc>
          <w:tcPr>
            <w:tcW w:w="7698" w:type="dxa"/>
            <w:tcMar>
              <w:left w:w="28" w:type="dxa"/>
              <w:right w:w="28" w:type="dxa"/>
            </w:tcMar>
          </w:tcPr>
          <w:p w14:paraId="19A71018" w14:textId="77777777" w:rsidR="00F12EDD" w:rsidRPr="005C3EC1" w:rsidRDefault="00F12EDD" w:rsidP="00B4491A">
            <w:pPr>
              <w:spacing w:line="312" w:lineRule="auto"/>
              <w:rPr>
                <w:sz w:val="28"/>
                <w:lang w:val="en-US"/>
              </w:rPr>
            </w:pPr>
          </w:p>
        </w:tc>
        <w:tc>
          <w:tcPr>
            <w:tcW w:w="1143" w:type="dxa"/>
            <w:tcMar>
              <w:left w:w="28" w:type="dxa"/>
              <w:right w:w="28" w:type="dxa"/>
            </w:tcMar>
          </w:tcPr>
          <w:p w14:paraId="39212496" w14:textId="77777777" w:rsidR="00F12EDD" w:rsidRPr="000552CE" w:rsidRDefault="00F12EDD" w:rsidP="00B4491A">
            <w:pPr>
              <w:spacing w:line="312" w:lineRule="auto"/>
              <w:jc w:val="center"/>
              <w:rPr>
                <w:sz w:val="28"/>
                <w:lang w:val="en-US"/>
              </w:rPr>
            </w:pPr>
          </w:p>
        </w:tc>
      </w:tr>
      <w:tr w:rsidR="00F12EDD" w14:paraId="1A710CD1" w14:textId="77777777" w:rsidTr="00F12EDD">
        <w:tc>
          <w:tcPr>
            <w:tcW w:w="774" w:type="dxa"/>
            <w:tcMar>
              <w:left w:w="28" w:type="dxa"/>
              <w:right w:w="28" w:type="dxa"/>
            </w:tcMar>
          </w:tcPr>
          <w:p w14:paraId="64C0EDE2" w14:textId="77777777" w:rsidR="00F12EDD" w:rsidRPr="00A04BC2" w:rsidRDefault="00F12EDD" w:rsidP="00B4491A">
            <w:pPr>
              <w:spacing w:line="312" w:lineRule="auto"/>
              <w:jc w:val="center"/>
              <w:rPr>
                <w:b/>
                <w:sz w:val="28"/>
                <w:lang w:val="en-US"/>
              </w:rPr>
            </w:pPr>
            <w:r w:rsidRPr="00A04BC2">
              <w:rPr>
                <w:b/>
                <w:sz w:val="28"/>
                <w:lang w:val="en-US"/>
              </w:rPr>
              <w:t>10.1</w:t>
            </w:r>
          </w:p>
        </w:tc>
        <w:tc>
          <w:tcPr>
            <w:tcW w:w="7698" w:type="dxa"/>
            <w:tcMar>
              <w:left w:w="28" w:type="dxa"/>
              <w:right w:w="28" w:type="dxa"/>
            </w:tcMar>
          </w:tcPr>
          <w:p w14:paraId="5872EF49" w14:textId="77777777" w:rsidR="00F12EDD" w:rsidRPr="005C3EC1" w:rsidRDefault="00F12EDD" w:rsidP="00B4491A">
            <w:pPr>
              <w:spacing w:line="312" w:lineRule="auto"/>
              <w:rPr>
                <w:sz w:val="28"/>
                <w:lang w:val="en-US"/>
              </w:rPr>
            </w:pPr>
            <w:r w:rsidRPr="00F35620">
              <w:rPr>
                <w:sz w:val="28"/>
                <w:lang w:val="en-US"/>
              </w:rPr>
              <w:t>Comparative analysis of deductibles in insurance</w:t>
            </w:r>
          </w:p>
        </w:tc>
        <w:tc>
          <w:tcPr>
            <w:tcW w:w="1143" w:type="dxa"/>
            <w:tcMar>
              <w:left w:w="28" w:type="dxa"/>
              <w:right w:w="28" w:type="dxa"/>
            </w:tcMar>
          </w:tcPr>
          <w:p w14:paraId="4C52AAD8" w14:textId="77777777" w:rsidR="00F12EDD" w:rsidRPr="000552CE" w:rsidRDefault="00F12EDD" w:rsidP="002C1F42">
            <w:pPr>
              <w:spacing w:line="312" w:lineRule="auto"/>
              <w:jc w:val="center"/>
              <w:rPr>
                <w:sz w:val="28"/>
                <w:lang w:val="en-US"/>
              </w:rPr>
            </w:pPr>
            <w:r w:rsidRPr="000552CE">
              <w:rPr>
                <w:sz w:val="28"/>
                <w:lang w:val="en-US"/>
              </w:rPr>
              <w:t>18</w:t>
            </w:r>
            <w:r w:rsidR="002C1F42" w:rsidRPr="000552CE">
              <w:rPr>
                <w:sz w:val="28"/>
                <w:lang w:val="en-US"/>
              </w:rPr>
              <w:t>6</w:t>
            </w:r>
          </w:p>
        </w:tc>
      </w:tr>
      <w:tr w:rsidR="00F12EDD" w14:paraId="69D63E55" w14:textId="77777777" w:rsidTr="00F12EDD">
        <w:tc>
          <w:tcPr>
            <w:tcW w:w="774" w:type="dxa"/>
            <w:tcMar>
              <w:left w:w="28" w:type="dxa"/>
              <w:right w:w="28" w:type="dxa"/>
            </w:tcMar>
          </w:tcPr>
          <w:p w14:paraId="7E057A6D" w14:textId="77777777" w:rsidR="00F12EDD" w:rsidRPr="00A04BC2" w:rsidRDefault="00F12EDD" w:rsidP="00B4491A">
            <w:pPr>
              <w:spacing w:line="312" w:lineRule="auto"/>
              <w:jc w:val="center"/>
              <w:rPr>
                <w:b/>
                <w:sz w:val="28"/>
                <w:lang w:val="en-US"/>
              </w:rPr>
            </w:pPr>
            <w:r w:rsidRPr="00A04BC2">
              <w:rPr>
                <w:b/>
                <w:sz w:val="28"/>
                <w:lang w:val="en-US"/>
              </w:rPr>
              <w:t>10.2</w:t>
            </w:r>
          </w:p>
        </w:tc>
        <w:tc>
          <w:tcPr>
            <w:tcW w:w="7698" w:type="dxa"/>
            <w:tcMar>
              <w:left w:w="28" w:type="dxa"/>
              <w:right w:w="28" w:type="dxa"/>
            </w:tcMar>
          </w:tcPr>
          <w:p w14:paraId="333692E5" w14:textId="77777777" w:rsidR="00F12EDD" w:rsidRPr="005C3EC1" w:rsidRDefault="00F12EDD" w:rsidP="00B4491A">
            <w:pPr>
              <w:spacing w:line="312" w:lineRule="auto"/>
              <w:rPr>
                <w:sz w:val="28"/>
                <w:lang w:val="en-US"/>
              </w:rPr>
            </w:pPr>
            <w:r w:rsidRPr="00F35620">
              <w:rPr>
                <w:sz w:val="28"/>
                <w:lang w:val="en-US"/>
              </w:rPr>
              <w:t>Forms of reinsurance according to the types of reinsurance contracts</w:t>
            </w:r>
          </w:p>
        </w:tc>
        <w:tc>
          <w:tcPr>
            <w:tcW w:w="1143" w:type="dxa"/>
            <w:tcMar>
              <w:left w:w="28" w:type="dxa"/>
              <w:right w:w="28" w:type="dxa"/>
            </w:tcMar>
          </w:tcPr>
          <w:p w14:paraId="4FAE393A" w14:textId="77777777" w:rsidR="00F12EDD" w:rsidRPr="000552CE" w:rsidRDefault="00F12EDD" w:rsidP="002C1F42">
            <w:pPr>
              <w:spacing w:line="312" w:lineRule="auto"/>
              <w:jc w:val="center"/>
              <w:rPr>
                <w:sz w:val="28"/>
                <w:lang w:val="en-US"/>
              </w:rPr>
            </w:pPr>
            <w:r w:rsidRPr="000552CE">
              <w:rPr>
                <w:sz w:val="28"/>
                <w:lang w:val="en-US"/>
              </w:rPr>
              <w:t>1</w:t>
            </w:r>
            <w:r w:rsidR="002C1F42" w:rsidRPr="000552CE">
              <w:rPr>
                <w:sz w:val="28"/>
                <w:lang w:val="en-US"/>
              </w:rPr>
              <w:t>91</w:t>
            </w:r>
          </w:p>
        </w:tc>
      </w:tr>
      <w:tr w:rsidR="00F12EDD" w14:paraId="7A63902B" w14:textId="77777777" w:rsidTr="00F12EDD">
        <w:tc>
          <w:tcPr>
            <w:tcW w:w="774" w:type="dxa"/>
            <w:tcMar>
              <w:left w:w="28" w:type="dxa"/>
              <w:right w:w="28" w:type="dxa"/>
            </w:tcMar>
          </w:tcPr>
          <w:p w14:paraId="5B224208" w14:textId="77777777" w:rsidR="00F12EDD" w:rsidRPr="00A04BC2" w:rsidRDefault="00F12EDD" w:rsidP="00B4491A">
            <w:pPr>
              <w:spacing w:line="312" w:lineRule="auto"/>
              <w:jc w:val="center"/>
              <w:rPr>
                <w:b/>
                <w:sz w:val="28"/>
                <w:lang w:val="en-US"/>
              </w:rPr>
            </w:pPr>
          </w:p>
        </w:tc>
        <w:tc>
          <w:tcPr>
            <w:tcW w:w="7698" w:type="dxa"/>
            <w:tcMar>
              <w:left w:w="28" w:type="dxa"/>
              <w:right w:w="28" w:type="dxa"/>
            </w:tcMar>
          </w:tcPr>
          <w:p w14:paraId="4C4C101C" w14:textId="77777777" w:rsidR="00F12EDD" w:rsidRPr="005C3EC1" w:rsidRDefault="00F12EDD" w:rsidP="00B4491A">
            <w:pPr>
              <w:spacing w:line="312" w:lineRule="auto"/>
              <w:rPr>
                <w:sz w:val="28"/>
                <w:lang w:val="en-US"/>
              </w:rPr>
            </w:pPr>
          </w:p>
        </w:tc>
        <w:tc>
          <w:tcPr>
            <w:tcW w:w="1143" w:type="dxa"/>
            <w:tcMar>
              <w:left w:w="28" w:type="dxa"/>
              <w:right w:w="28" w:type="dxa"/>
            </w:tcMar>
          </w:tcPr>
          <w:p w14:paraId="1D12EEE5" w14:textId="77777777" w:rsidR="00F12EDD" w:rsidRPr="000552CE" w:rsidRDefault="00F12EDD" w:rsidP="00B4491A">
            <w:pPr>
              <w:spacing w:line="312" w:lineRule="auto"/>
              <w:jc w:val="center"/>
              <w:rPr>
                <w:sz w:val="28"/>
                <w:lang w:val="en-US"/>
              </w:rPr>
            </w:pPr>
          </w:p>
        </w:tc>
      </w:tr>
      <w:tr w:rsidR="00F12EDD" w14:paraId="215E1E19" w14:textId="77777777" w:rsidTr="00F12EDD">
        <w:tc>
          <w:tcPr>
            <w:tcW w:w="774" w:type="dxa"/>
            <w:tcMar>
              <w:left w:w="28" w:type="dxa"/>
              <w:right w:w="28" w:type="dxa"/>
            </w:tcMar>
          </w:tcPr>
          <w:p w14:paraId="589EBEAD" w14:textId="77777777" w:rsidR="00F12EDD" w:rsidRPr="00A04BC2" w:rsidRDefault="00F12EDD" w:rsidP="00B4491A">
            <w:pPr>
              <w:spacing w:line="312" w:lineRule="auto"/>
              <w:jc w:val="center"/>
              <w:rPr>
                <w:b/>
                <w:sz w:val="28"/>
                <w:lang w:val="en-US"/>
              </w:rPr>
            </w:pPr>
            <w:r w:rsidRPr="00A04BC2">
              <w:rPr>
                <w:b/>
                <w:sz w:val="28"/>
                <w:lang w:val="en-US"/>
              </w:rPr>
              <w:t>11.1</w:t>
            </w:r>
          </w:p>
        </w:tc>
        <w:tc>
          <w:tcPr>
            <w:tcW w:w="7698" w:type="dxa"/>
            <w:tcMar>
              <w:left w:w="28" w:type="dxa"/>
              <w:right w:w="28" w:type="dxa"/>
            </w:tcMar>
          </w:tcPr>
          <w:p w14:paraId="5D05D2D4" w14:textId="77777777" w:rsidR="00F12EDD" w:rsidRPr="005C3EC1" w:rsidRDefault="00F12EDD" w:rsidP="00B4491A">
            <w:pPr>
              <w:spacing w:line="312" w:lineRule="auto"/>
              <w:rPr>
                <w:sz w:val="28"/>
                <w:lang w:val="en-US"/>
              </w:rPr>
            </w:pPr>
            <w:r w:rsidRPr="00F35620">
              <w:rPr>
                <w:sz w:val="28"/>
                <w:lang w:val="en-US"/>
              </w:rPr>
              <w:t>Structure of Balance of Payments</w:t>
            </w:r>
          </w:p>
        </w:tc>
        <w:tc>
          <w:tcPr>
            <w:tcW w:w="1143" w:type="dxa"/>
            <w:tcMar>
              <w:left w:w="28" w:type="dxa"/>
              <w:right w:w="28" w:type="dxa"/>
            </w:tcMar>
          </w:tcPr>
          <w:p w14:paraId="43760301" w14:textId="77777777" w:rsidR="00F12EDD" w:rsidRPr="000552CE" w:rsidRDefault="00F12EDD" w:rsidP="002C1F42">
            <w:pPr>
              <w:spacing w:line="312" w:lineRule="auto"/>
              <w:jc w:val="center"/>
              <w:rPr>
                <w:sz w:val="28"/>
                <w:lang w:val="en-US"/>
              </w:rPr>
            </w:pPr>
            <w:r w:rsidRPr="000552CE">
              <w:rPr>
                <w:sz w:val="28"/>
                <w:lang w:val="en-US"/>
              </w:rPr>
              <w:t>20</w:t>
            </w:r>
            <w:r w:rsidR="002C1F42" w:rsidRPr="000552CE">
              <w:rPr>
                <w:sz w:val="28"/>
                <w:lang w:val="en-US"/>
              </w:rPr>
              <w:t>4</w:t>
            </w:r>
          </w:p>
        </w:tc>
      </w:tr>
      <w:tr w:rsidR="00F12EDD" w14:paraId="7BC89218" w14:textId="77777777" w:rsidTr="00F12EDD">
        <w:tc>
          <w:tcPr>
            <w:tcW w:w="774" w:type="dxa"/>
            <w:tcMar>
              <w:left w:w="28" w:type="dxa"/>
              <w:right w:w="28" w:type="dxa"/>
            </w:tcMar>
          </w:tcPr>
          <w:p w14:paraId="32B56BAA" w14:textId="77777777" w:rsidR="00F12EDD" w:rsidRPr="00A04BC2" w:rsidRDefault="00F12EDD" w:rsidP="00B4491A">
            <w:pPr>
              <w:spacing w:line="312" w:lineRule="auto"/>
              <w:jc w:val="center"/>
              <w:rPr>
                <w:b/>
                <w:sz w:val="28"/>
                <w:lang w:val="en-US"/>
              </w:rPr>
            </w:pPr>
          </w:p>
        </w:tc>
        <w:tc>
          <w:tcPr>
            <w:tcW w:w="7698" w:type="dxa"/>
            <w:tcMar>
              <w:left w:w="28" w:type="dxa"/>
              <w:right w:w="28" w:type="dxa"/>
            </w:tcMar>
          </w:tcPr>
          <w:p w14:paraId="74F036A4" w14:textId="77777777" w:rsidR="00F12EDD" w:rsidRPr="005C3EC1" w:rsidRDefault="00F12EDD" w:rsidP="00B4491A">
            <w:pPr>
              <w:spacing w:line="312" w:lineRule="auto"/>
              <w:rPr>
                <w:sz w:val="28"/>
                <w:lang w:val="en-US"/>
              </w:rPr>
            </w:pPr>
          </w:p>
        </w:tc>
        <w:tc>
          <w:tcPr>
            <w:tcW w:w="1143" w:type="dxa"/>
            <w:tcMar>
              <w:left w:w="28" w:type="dxa"/>
              <w:right w:w="28" w:type="dxa"/>
            </w:tcMar>
          </w:tcPr>
          <w:p w14:paraId="3E6D2245" w14:textId="77777777" w:rsidR="00F12EDD" w:rsidRPr="000552CE" w:rsidRDefault="00F12EDD" w:rsidP="00B4491A">
            <w:pPr>
              <w:spacing w:line="312" w:lineRule="auto"/>
              <w:jc w:val="center"/>
              <w:rPr>
                <w:sz w:val="28"/>
                <w:lang w:val="en-US"/>
              </w:rPr>
            </w:pPr>
          </w:p>
        </w:tc>
      </w:tr>
      <w:tr w:rsidR="00F12EDD" w14:paraId="6C41D186" w14:textId="77777777" w:rsidTr="00F12EDD">
        <w:tc>
          <w:tcPr>
            <w:tcW w:w="774" w:type="dxa"/>
            <w:tcMar>
              <w:left w:w="28" w:type="dxa"/>
              <w:right w:w="28" w:type="dxa"/>
            </w:tcMar>
          </w:tcPr>
          <w:p w14:paraId="5899AB89" w14:textId="77777777" w:rsidR="00F12EDD" w:rsidRPr="00A04BC2" w:rsidRDefault="00F12EDD" w:rsidP="00B4491A">
            <w:pPr>
              <w:spacing w:line="312" w:lineRule="auto"/>
              <w:jc w:val="center"/>
              <w:rPr>
                <w:b/>
                <w:sz w:val="28"/>
                <w:lang w:val="en-US"/>
              </w:rPr>
            </w:pPr>
            <w:r w:rsidRPr="00A04BC2">
              <w:rPr>
                <w:b/>
                <w:sz w:val="28"/>
                <w:lang w:val="en-US"/>
              </w:rPr>
              <w:t>12.1</w:t>
            </w:r>
          </w:p>
        </w:tc>
        <w:tc>
          <w:tcPr>
            <w:tcW w:w="7698" w:type="dxa"/>
            <w:tcMar>
              <w:left w:w="28" w:type="dxa"/>
              <w:right w:w="28" w:type="dxa"/>
            </w:tcMar>
          </w:tcPr>
          <w:p w14:paraId="1A569A89" w14:textId="77777777" w:rsidR="00F12EDD" w:rsidRPr="005C3EC1" w:rsidRDefault="00F12EDD" w:rsidP="00B4491A">
            <w:pPr>
              <w:spacing w:line="312" w:lineRule="auto"/>
              <w:rPr>
                <w:sz w:val="28"/>
                <w:lang w:val="en-US"/>
              </w:rPr>
            </w:pPr>
            <w:r w:rsidRPr="00F35620">
              <w:rPr>
                <w:sz w:val="28"/>
                <w:lang w:val="en-US"/>
              </w:rPr>
              <w:t>The examples of EBRD investment projects in Ukraine</w:t>
            </w:r>
          </w:p>
        </w:tc>
        <w:tc>
          <w:tcPr>
            <w:tcW w:w="1143" w:type="dxa"/>
            <w:tcMar>
              <w:left w:w="28" w:type="dxa"/>
              <w:right w:w="28" w:type="dxa"/>
            </w:tcMar>
          </w:tcPr>
          <w:p w14:paraId="0773459A" w14:textId="77777777" w:rsidR="00F12EDD" w:rsidRPr="000552CE" w:rsidRDefault="00F12EDD" w:rsidP="002C1F42">
            <w:pPr>
              <w:spacing w:line="312" w:lineRule="auto"/>
              <w:jc w:val="center"/>
              <w:rPr>
                <w:sz w:val="28"/>
                <w:lang w:val="en-US"/>
              </w:rPr>
            </w:pPr>
            <w:r w:rsidRPr="000552CE">
              <w:rPr>
                <w:sz w:val="28"/>
                <w:lang w:val="en-US"/>
              </w:rPr>
              <w:t>2</w:t>
            </w:r>
            <w:r w:rsidR="002C1F42" w:rsidRPr="000552CE">
              <w:rPr>
                <w:sz w:val="28"/>
                <w:lang w:val="en-US"/>
              </w:rPr>
              <w:t>22</w:t>
            </w:r>
          </w:p>
        </w:tc>
      </w:tr>
      <w:tr w:rsidR="00F12EDD" w14:paraId="01DC0CED" w14:textId="77777777" w:rsidTr="00F12EDD">
        <w:tc>
          <w:tcPr>
            <w:tcW w:w="774" w:type="dxa"/>
            <w:tcMar>
              <w:left w:w="28" w:type="dxa"/>
              <w:right w:w="28" w:type="dxa"/>
            </w:tcMar>
          </w:tcPr>
          <w:p w14:paraId="341004CE" w14:textId="77777777" w:rsidR="00F12EDD" w:rsidRPr="00A04BC2" w:rsidRDefault="00F12EDD" w:rsidP="00B4491A">
            <w:pPr>
              <w:spacing w:line="312" w:lineRule="auto"/>
              <w:jc w:val="center"/>
              <w:rPr>
                <w:b/>
                <w:sz w:val="28"/>
                <w:lang w:val="en-US"/>
              </w:rPr>
            </w:pPr>
            <w:r w:rsidRPr="00A04BC2">
              <w:rPr>
                <w:b/>
                <w:sz w:val="28"/>
                <w:lang w:val="en-US"/>
              </w:rPr>
              <w:t>12.2</w:t>
            </w:r>
          </w:p>
        </w:tc>
        <w:tc>
          <w:tcPr>
            <w:tcW w:w="7698" w:type="dxa"/>
            <w:tcMar>
              <w:left w:w="28" w:type="dxa"/>
              <w:right w:w="28" w:type="dxa"/>
            </w:tcMar>
          </w:tcPr>
          <w:p w14:paraId="659527BA" w14:textId="77777777" w:rsidR="00F12EDD" w:rsidRPr="005C3EC1" w:rsidRDefault="00F12EDD" w:rsidP="00B4491A">
            <w:pPr>
              <w:spacing w:line="312" w:lineRule="auto"/>
              <w:rPr>
                <w:sz w:val="28"/>
                <w:lang w:val="en-US"/>
              </w:rPr>
            </w:pPr>
            <w:r w:rsidRPr="00F35620">
              <w:rPr>
                <w:sz w:val="28"/>
                <w:lang w:val="en-US"/>
              </w:rPr>
              <w:t>Comparison of EU budget’s expenditures and revenues in 2014</w:t>
            </w:r>
          </w:p>
        </w:tc>
        <w:tc>
          <w:tcPr>
            <w:tcW w:w="1143" w:type="dxa"/>
            <w:tcMar>
              <w:left w:w="28" w:type="dxa"/>
              <w:right w:w="28" w:type="dxa"/>
            </w:tcMar>
          </w:tcPr>
          <w:p w14:paraId="2622030F" w14:textId="77777777" w:rsidR="00F12EDD" w:rsidRPr="000552CE" w:rsidRDefault="00F12EDD" w:rsidP="002C1F42">
            <w:pPr>
              <w:spacing w:line="312" w:lineRule="auto"/>
              <w:jc w:val="center"/>
              <w:rPr>
                <w:sz w:val="28"/>
                <w:lang w:val="en-US"/>
              </w:rPr>
            </w:pPr>
            <w:r w:rsidRPr="000552CE">
              <w:rPr>
                <w:sz w:val="28"/>
                <w:lang w:val="en-US"/>
              </w:rPr>
              <w:t>22</w:t>
            </w:r>
            <w:r w:rsidR="002C1F42" w:rsidRPr="000552CE">
              <w:rPr>
                <w:sz w:val="28"/>
                <w:lang w:val="en-US"/>
              </w:rPr>
              <w:t>6</w:t>
            </w:r>
          </w:p>
        </w:tc>
      </w:tr>
    </w:tbl>
    <w:p w14:paraId="71E89598" w14:textId="77777777" w:rsidR="00F12EDD" w:rsidRDefault="00F12EDD" w:rsidP="00F12EDD">
      <w:pPr>
        <w:rPr>
          <w:sz w:val="28"/>
          <w:lang w:val="en-US"/>
        </w:rPr>
      </w:pPr>
    </w:p>
    <w:p w14:paraId="02BFDC97" w14:textId="77777777" w:rsidR="00F12EDD" w:rsidRDefault="00F12EDD" w:rsidP="00F12EDD">
      <w:pPr>
        <w:jc w:val="right"/>
        <w:rPr>
          <w:b/>
          <w:sz w:val="36"/>
          <w:lang w:val="en-US"/>
        </w:rPr>
      </w:pPr>
      <w:r>
        <w:rPr>
          <w:sz w:val="28"/>
          <w:lang w:val="en-US"/>
        </w:rPr>
        <w:br w:type="page"/>
      </w:r>
      <w:r w:rsidRPr="00510732">
        <w:rPr>
          <w:b/>
          <w:sz w:val="36"/>
          <w:lang w:val="en-US"/>
        </w:rPr>
        <w:lastRenderedPageBreak/>
        <w:t>List of Appendices</w:t>
      </w:r>
    </w:p>
    <w:p w14:paraId="157E3458" w14:textId="77777777" w:rsidR="00F12EDD" w:rsidRDefault="00F12EDD" w:rsidP="00F12EDD">
      <w:pPr>
        <w:jc w:val="right"/>
        <w:rPr>
          <w:sz w:val="28"/>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7"/>
        <w:gridCol w:w="6572"/>
        <w:gridCol w:w="1416"/>
      </w:tblGrid>
      <w:tr w:rsidR="00F12EDD" w:rsidRPr="00463F85" w14:paraId="59B63D1D" w14:textId="77777777" w:rsidTr="00F12EDD">
        <w:tc>
          <w:tcPr>
            <w:tcW w:w="8188" w:type="dxa"/>
            <w:gridSpan w:val="2"/>
            <w:tcMar>
              <w:left w:w="28" w:type="dxa"/>
              <w:right w:w="28" w:type="dxa"/>
            </w:tcMar>
          </w:tcPr>
          <w:p w14:paraId="25AAE33F" w14:textId="77777777" w:rsidR="00F12EDD" w:rsidRPr="00463F85" w:rsidRDefault="00F12EDD" w:rsidP="00B4491A">
            <w:pPr>
              <w:spacing w:line="312" w:lineRule="auto"/>
              <w:rPr>
                <w:b/>
                <w:sz w:val="28"/>
                <w:lang w:val="en-US"/>
              </w:rPr>
            </w:pPr>
            <w:r w:rsidRPr="00463F85">
              <w:rPr>
                <w:b/>
                <w:sz w:val="28"/>
                <w:lang w:val="en-US"/>
              </w:rPr>
              <w:t>Appendix A</w:t>
            </w:r>
          </w:p>
        </w:tc>
        <w:tc>
          <w:tcPr>
            <w:tcW w:w="1427" w:type="dxa"/>
            <w:tcMar>
              <w:left w:w="28" w:type="dxa"/>
              <w:right w:w="28" w:type="dxa"/>
            </w:tcMar>
            <w:vAlign w:val="center"/>
          </w:tcPr>
          <w:p w14:paraId="27DCB91C" w14:textId="77777777" w:rsidR="00F12EDD" w:rsidRPr="00463F85" w:rsidRDefault="00F12EDD" w:rsidP="00B4491A">
            <w:pPr>
              <w:spacing w:line="312" w:lineRule="auto"/>
              <w:jc w:val="center"/>
              <w:rPr>
                <w:b/>
                <w:sz w:val="28"/>
                <w:lang w:val="en-US"/>
              </w:rPr>
            </w:pPr>
            <w:r w:rsidRPr="00463F85">
              <w:rPr>
                <w:b/>
                <w:sz w:val="28"/>
                <w:lang w:val="en-US"/>
              </w:rPr>
              <w:t>Chapter 7</w:t>
            </w:r>
          </w:p>
        </w:tc>
      </w:tr>
      <w:tr w:rsidR="00F12EDD" w:rsidRPr="00463F85" w14:paraId="437BD7F6" w14:textId="77777777" w:rsidTr="00F12EDD">
        <w:tc>
          <w:tcPr>
            <w:tcW w:w="1484" w:type="dxa"/>
            <w:tcMar>
              <w:left w:w="28" w:type="dxa"/>
              <w:right w:w="28" w:type="dxa"/>
            </w:tcMar>
          </w:tcPr>
          <w:p w14:paraId="3F53687D" w14:textId="77777777" w:rsidR="00F12EDD" w:rsidRPr="00463F85" w:rsidRDefault="00F12EDD" w:rsidP="00B4491A">
            <w:pPr>
              <w:spacing w:line="312" w:lineRule="auto"/>
              <w:jc w:val="center"/>
              <w:rPr>
                <w:b/>
                <w:sz w:val="28"/>
                <w:lang w:val="en-US"/>
              </w:rPr>
            </w:pPr>
          </w:p>
        </w:tc>
        <w:tc>
          <w:tcPr>
            <w:tcW w:w="6704" w:type="dxa"/>
            <w:tcMar>
              <w:left w:w="28" w:type="dxa"/>
              <w:right w:w="28" w:type="dxa"/>
            </w:tcMar>
          </w:tcPr>
          <w:p w14:paraId="7DDC4CE9" w14:textId="77777777" w:rsidR="00F12EDD" w:rsidRPr="00463F85" w:rsidRDefault="00F12EDD" w:rsidP="00B4491A">
            <w:pPr>
              <w:spacing w:line="312" w:lineRule="auto"/>
              <w:rPr>
                <w:sz w:val="28"/>
                <w:lang w:val="en-US"/>
              </w:rPr>
            </w:pPr>
          </w:p>
        </w:tc>
        <w:tc>
          <w:tcPr>
            <w:tcW w:w="1427" w:type="dxa"/>
            <w:tcMar>
              <w:left w:w="28" w:type="dxa"/>
              <w:right w:w="28" w:type="dxa"/>
            </w:tcMar>
          </w:tcPr>
          <w:p w14:paraId="077F8E1E" w14:textId="77777777" w:rsidR="00F12EDD" w:rsidRPr="00463F85" w:rsidRDefault="00F12EDD" w:rsidP="00B4491A">
            <w:pPr>
              <w:spacing w:line="312" w:lineRule="auto"/>
              <w:jc w:val="center"/>
              <w:rPr>
                <w:b/>
                <w:sz w:val="28"/>
                <w:lang w:val="en-US"/>
              </w:rPr>
            </w:pPr>
          </w:p>
        </w:tc>
      </w:tr>
      <w:tr w:rsidR="00F12EDD" w:rsidRPr="00463F85" w14:paraId="24B08D54" w14:textId="77777777" w:rsidTr="00F12EDD">
        <w:tc>
          <w:tcPr>
            <w:tcW w:w="1484" w:type="dxa"/>
            <w:tcMar>
              <w:left w:w="28" w:type="dxa"/>
              <w:right w:w="28" w:type="dxa"/>
            </w:tcMar>
          </w:tcPr>
          <w:p w14:paraId="0118C1A7" w14:textId="77777777" w:rsidR="00F12EDD" w:rsidRPr="00463F85" w:rsidRDefault="00F12EDD" w:rsidP="00B4491A">
            <w:pPr>
              <w:spacing w:line="312" w:lineRule="auto"/>
              <w:rPr>
                <w:b/>
                <w:sz w:val="28"/>
                <w:lang w:val="en-US"/>
              </w:rPr>
            </w:pPr>
            <w:r w:rsidRPr="00463F85">
              <w:rPr>
                <w:b/>
                <w:sz w:val="28"/>
                <w:lang w:val="en-US"/>
              </w:rPr>
              <w:t>Table A.1</w:t>
            </w:r>
          </w:p>
        </w:tc>
        <w:tc>
          <w:tcPr>
            <w:tcW w:w="6704" w:type="dxa"/>
            <w:tcMar>
              <w:left w:w="28" w:type="dxa"/>
              <w:right w:w="28" w:type="dxa"/>
            </w:tcMar>
          </w:tcPr>
          <w:p w14:paraId="2DC9C982" w14:textId="77777777" w:rsidR="00F12EDD" w:rsidRPr="00463F85" w:rsidRDefault="00F12EDD" w:rsidP="00B4491A">
            <w:pPr>
              <w:spacing w:line="312" w:lineRule="auto"/>
              <w:rPr>
                <w:sz w:val="28"/>
                <w:lang w:val="en-US"/>
              </w:rPr>
            </w:pPr>
            <w:r w:rsidRPr="00463F85">
              <w:rPr>
                <w:sz w:val="28"/>
                <w:lang w:val="en-US"/>
              </w:rPr>
              <w:t>List of important financial ratios for financial market analysis</w:t>
            </w:r>
          </w:p>
        </w:tc>
        <w:tc>
          <w:tcPr>
            <w:tcW w:w="1427" w:type="dxa"/>
            <w:tcMar>
              <w:left w:w="28" w:type="dxa"/>
              <w:right w:w="28" w:type="dxa"/>
            </w:tcMar>
          </w:tcPr>
          <w:p w14:paraId="31444FA7" w14:textId="77777777" w:rsidR="00F12EDD" w:rsidRPr="000552CE" w:rsidRDefault="00F12EDD" w:rsidP="002C1F42">
            <w:pPr>
              <w:spacing w:line="312" w:lineRule="auto"/>
              <w:jc w:val="center"/>
              <w:rPr>
                <w:sz w:val="28"/>
                <w:lang w:val="en-US"/>
              </w:rPr>
            </w:pPr>
            <w:r w:rsidRPr="000552CE">
              <w:rPr>
                <w:sz w:val="28"/>
                <w:lang w:val="en-US"/>
              </w:rPr>
              <w:t>13</w:t>
            </w:r>
            <w:r w:rsidR="002C1F42" w:rsidRPr="000552CE">
              <w:rPr>
                <w:sz w:val="28"/>
                <w:lang w:val="en-US"/>
              </w:rPr>
              <w:t>3</w:t>
            </w:r>
            <w:r w:rsidR="000552CE" w:rsidRPr="00543EEA">
              <w:rPr>
                <w:sz w:val="28"/>
                <w:lang w:val="en-US"/>
              </w:rPr>
              <w:t>–</w:t>
            </w:r>
            <w:r w:rsidRPr="000552CE">
              <w:rPr>
                <w:sz w:val="28"/>
                <w:lang w:val="en-US"/>
              </w:rPr>
              <w:t>13</w:t>
            </w:r>
            <w:r w:rsidR="002C1F42" w:rsidRPr="000552CE">
              <w:rPr>
                <w:sz w:val="28"/>
                <w:lang w:val="en-US"/>
              </w:rPr>
              <w:t>4</w:t>
            </w:r>
          </w:p>
        </w:tc>
      </w:tr>
      <w:tr w:rsidR="00F12EDD" w:rsidRPr="00463F85" w14:paraId="5E40A1E3" w14:textId="77777777" w:rsidTr="00F12EDD">
        <w:tc>
          <w:tcPr>
            <w:tcW w:w="1484" w:type="dxa"/>
            <w:tcMar>
              <w:left w:w="28" w:type="dxa"/>
              <w:right w:w="28" w:type="dxa"/>
            </w:tcMar>
          </w:tcPr>
          <w:p w14:paraId="242A8E92" w14:textId="77777777" w:rsidR="00F12EDD" w:rsidRPr="00463F85" w:rsidRDefault="00F12EDD" w:rsidP="00B4491A">
            <w:pPr>
              <w:pBdr>
                <w:top w:val="nil"/>
                <w:left w:val="nil"/>
                <w:bottom w:val="nil"/>
                <w:right w:val="nil"/>
                <w:between w:val="nil"/>
                <w:bar w:val="nil"/>
              </w:pBdr>
              <w:spacing w:line="312" w:lineRule="auto"/>
              <w:rPr>
                <w:b/>
                <w:sz w:val="28"/>
                <w:lang w:val="en-US"/>
              </w:rPr>
            </w:pPr>
            <w:r w:rsidRPr="00463F85">
              <w:rPr>
                <w:b/>
                <w:sz w:val="28"/>
                <w:lang w:val="en-US"/>
              </w:rPr>
              <w:t>Table A.2</w:t>
            </w:r>
          </w:p>
        </w:tc>
        <w:tc>
          <w:tcPr>
            <w:tcW w:w="6704" w:type="dxa"/>
            <w:tcMar>
              <w:left w:w="28" w:type="dxa"/>
              <w:right w:w="28" w:type="dxa"/>
            </w:tcMar>
          </w:tcPr>
          <w:p w14:paraId="0FAC37F8" w14:textId="77777777" w:rsidR="00F12EDD" w:rsidRPr="00463F85" w:rsidRDefault="00F12EDD" w:rsidP="00B4491A">
            <w:pPr>
              <w:pBdr>
                <w:top w:val="nil"/>
                <w:left w:val="nil"/>
                <w:bottom w:val="nil"/>
                <w:right w:val="nil"/>
                <w:between w:val="nil"/>
                <w:bar w:val="nil"/>
              </w:pBdr>
              <w:spacing w:line="312" w:lineRule="auto"/>
              <w:rPr>
                <w:sz w:val="28"/>
                <w:lang w:val="en-US"/>
              </w:rPr>
            </w:pPr>
            <w:r w:rsidRPr="00463F85">
              <w:rPr>
                <w:sz w:val="28"/>
                <w:lang w:val="en-US"/>
              </w:rPr>
              <w:t>Consolidated statement of cash flows of Sandvik</w:t>
            </w:r>
          </w:p>
        </w:tc>
        <w:tc>
          <w:tcPr>
            <w:tcW w:w="1427" w:type="dxa"/>
            <w:tcMar>
              <w:left w:w="28" w:type="dxa"/>
              <w:right w:w="28" w:type="dxa"/>
            </w:tcMar>
          </w:tcPr>
          <w:p w14:paraId="5CEBD469" w14:textId="77777777" w:rsidR="00F12EDD" w:rsidRPr="000552CE" w:rsidRDefault="00F12EDD" w:rsidP="002C1F42">
            <w:pPr>
              <w:spacing w:line="312" w:lineRule="auto"/>
              <w:jc w:val="center"/>
              <w:rPr>
                <w:sz w:val="28"/>
                <w:lang w:val="en-US"/>
              </w:rPr>
            </w:pPr>
            <w:r w:rsidRPr="000552CE">
              <w:rPr>
                <w:sz w:val="28"/>
                <w:lang w:val="en-US"/>
              </w:rPr>
              <w:t>13</w:t>
            </w:r>
            <w:r w:rsidR="002C1F42" w:rsidRPr="000552CE">
              <w:rPr>
                <w:sz w:val="28"/>
                <w:lang w:val="en-US"/>
              </w:rPr>
              <w:t>5</w:t>
            </w:r>
          </w:p>
        </w:tc>
      </w:tr>
      <w:tr w:rsidR="00F12EDD" w:rsidRPr="00463F85" w14:paraId="7D42FB81" w14:textId="77777777" w:rsidTr="00F12EDD">
        <w:tc>
          <w:tcPr>
            <w:tcW w:w="1484" w:type="dxa"/>
            <w:tcMar>
              <w:left w:w="28" w:type="dxa"/>
              <w:right w:w="28" w:type="dxa"/>
            </w:tcMar>
          </w:tcPr>
          <w:p w14:paraId="708F6C9C" w14:textId="77777777" w:rsidR="00F12EDD" w:rsidRPr="00463F85" w:rsidRDefault="00F12EDD" w:rsidP="00B4491A">
            <w:pPr>
              <w:spacing w:line="312" w:lineRule="auto"/>
              <w:rPr>
                <w:b/>
                <w:sz w:val="28"/>
                <w:lang w:val="en-US"/>
              </w:rPr>
            </w:pPr>
            <w:r w:rsidRPr="00463F85">
              <w:rPr>
                <w:b/>
                <w:sz w:val="28"/>
                <w:lang w:val="en-US"/>
              </w:rPr>
              <w:t>Table A.3</w:t>
            </w:r>
          </w:p>
          <w:p w14:paraId="49469322" w14:textId="77777777" w:rsidR="00F12EDD" w:rsidRPr="00463F85" w:rsidRDefault="00F12EDD" w:rsidP="00B4491A">
            <w:pPr>
              <w:tabs>
                <w:tab w:val="left" w:pos="1113"/>
              </w:tabs>
              <w:rPr>
                <w:b/>
                <w:sz w:val="28"/>
                <w:lang w:val="en-US"/>
              </w:rPr>
            </w:pPr>
          </w:p>
        </w:tc>
        <w:tc>
          <w:tcPr>
            <w:tcW w:w="6704" w:type="dxa"/>
            <w:tcMar>
              <w:left w:w="28" w:type="dxa"/>
              <w:right w:w="28" w:type="dxa"/>
            </w:tcMar>
          </w:tcPr>
          <w:p w14:paraId="33875FEF" w14:textId="77777777" w:rsidR="00F12EDD" w:rsidRPr="00463F85" w:rsidRDefault="00F12EDD" w:rsidP="00B4491A">
            <w:pPr>
              <w:spacing w:line="312" w:lineRule="auto"/>
              <w:rPr>
                <w:sz w:val="28"/>
                <w:lang w:val="en-US"/>
              </w:rPr>
            </w:pPr>
            <w:r w:rsidRPr="00463F85">
              <w:rPr>
                <w:sz w:val="28"/>
                <w:lang w:val="en-US"/>
              </w:rPr>
              <w:t>Consolidated statement of profit or loss and other comprehensive income of Sandvik</w:t>
            </w:r>
          </w:p>
        </w:tc>
        <w:tc>
          <w:tcPr>
            <w:tcW w:w="1427" w:type="dxa"/>
            <w:tcMar>
              <w:left w:w="28" w:type="dxa"/>
              <w:right w:w="28" w:type="dxa"/>
            </w:tcMar>
          </w:tcPr>
          <w:p w14:paraId="6B7832D5" w14:textId="77777777" w:rsidR="00F12EDD" w:rsidRPr="000552CE" w:rsidRDefault="00F12EDD" w:rsidP="002C1F42">
            <w:pPr>
              <w:spacing w:line="312" w:lineRule="auto"/>
              <w:jc w:val="center"/>
              <w:rPr>
                <w:sz w:val="28"/>
                <w:lang w:val="en-US"/>
              </w:rPr>
            </w:pPr>
            <w:r w:rsidRPr="000552CE">
              <w:rPr>
                <w:sz w:val="28"/>
                <w:lang w:val="en-US"/>
              </w:rPr>
              <w:t>13</w:t>
            </w:r>
            <w:r w:rsidR="002C1F42" w:rsidRPr="000552CE">
              <w:rPr>
                <w:sz w:val="28"/>
                <w:lang w:val="en-US"/>
              </w:rPr>
              <w:t>6</w:t>
            </w:r>
          </w:p>
        </w:tc>
      </w:tr>
      <w:tr w:rsidR="00F12EDD" w:rsidRPr="00463F85" w14:paraId="45D5D606" w14:textId="77777777" w:rsidTr="00F12EDD">
        <w:tc>
          <w:tcPr>
            <w:tcW w:w="1484" w:type="dxa"/>
            <w:tcMar>
              <w:left w:w="28" w:type="dxa"/>
              <w:right w:w="28" w:type="dxa"/>
            </w:tcMar>
          </w:tcPr>
          <w:p w14:paraId="0DB773E2" w14:textId="77777777" w:rsidR="00F12EDD" w:rsidRPr="00463F85" w:rsidRDefault="00F12EDD" w:rsidP="00B4491A">
            <w:pPr>
              <w:spacing w:line="312" w:lineRule="auto"/>
              <w:rPr>
                <w:b/>
                <w:sz w:val="28"/>
                <w:lang w:val="en-US"/>
              </w:rPr>
            </w:pPr>
            <w:r w:rsidRPr="00463F85">
              <w:rPr>
                <w:b/>
                <w:sz w:val="28"/>
                <w:lang w:val="en-US"/>
              </w:rPr>
              <w:t>Figure A.1</w:t>
            </w:r>
          </w:p>
        </w:tc>
        <w:tc>
          <w:tcPr>
            <w:tcW w:w="6704" w:type="dxa"/>
            <w:tcMar>
              <w:left w:w="28" w:type="dxa"/>
              <w:right w:w="28" w:type="dxa"/>
            </w:tcMar>
          </w:tcPr>
          <w:p w14:paraId="51E56DDB" w14:textId="77777777" w:rsidR="00F12EDD" w:rsidRPr="00463F85" w:rsidRDefault="00F12EDD" w:rsidP="00B4491A">
            <w:pPr>
              <w:spacing w:line="312" w:lineRule="auto"/>
              <w:rPr>
                <w:sz w:val="28"/>
                <w:lang w:val="en-US"/>
              </w:rPr>
            </w:pPr>
            <w:r w:rsidRPr="00463F85">
              <w:rPr>
                <w:sz w:val="28"/>
                <w:lang w:val="en-US"/>
              </w:rPr>
              <w:t>Step by step approach to profit calculation</w:t>
            </w:r>
          </w:p>
        </w:tc>
        <w:tc>
          <w:tcPr>
            <w:tcW w:w="1427" w:type="dxa"/>
            <w:tcMar>
              <w:left w:w="28" w:type="dxa"/>
              <w:right w:w="28" w:type="dxa"/>
            </w:tcMar>
          </w:tcPr>
          <w:p w14:paraId="69B452B5" w14:textId="77777777" w:rsidR="00F12EDD" w:rsidRPr="000552CE" w:rsidRDefault="00F12EDD" w:rsidP="002C1F42">
            <w:pPr>
              <w:spacing w:line="312" w:lineRule="auto"/>
              <w:jc w:val="center"/>
              <w:rPr>
                <w:sz w:val="28"/>
                <w:lang w:val="en-US"/>
              </w:rPr>
            </w:pPr>
            <w:r w:rsidRPr="000552CE">
              <w:rPr>
                <w:sz w:val="28"/>
                <w:lang w:val="en-US"/>
              </w:rPr>
              <w:t>1</w:t>
            </w:r>
            <w:r w:rsidR="002C1F42" w:rsidRPr="000552CE">
              <w:rPr>
                <w:sz w:val="28"/>
                <w:lang w:val="en-US"/>
              </w:rPr>
              <w:t>37</w:t>
            </w:r>
          </w:p>
        </w:tc>
      </w:tr>
      <w:tr w:rsidR="00F12EDD" w:rsidRPr="00463F85" w14:paraId="031A1A92" w14:textId="77777777" w:rsidTr="00F12EDD">
        <w:tc>
          <w:tcPr>
            <w:tcW w:w="1484" w:type="dxa"/>
            <w:tcMar>
              <w:left w:w="28" w:type="dxa"/>
              <w:right w:w="28" w:type="dxa"/>
            </w:tcMar>
          </w:tcPr>
          <w:p w14:paraId="37809014" w14:textId="77777777" w:rsidR="00F12EDD" w:rsidRPr="00463F85" w:rsidRDefault="00F12EDD" w:rsidP="00B4491A">
            <w:pPr>
              <w:spacing w:line="312" w:lineRule="auto"/>
              <w:rPr>
                <w:b/>
                <w:sz w:val="28"/>
                <w:lang w:val="en-US"/>
              </w:rPr>
            </w:pPr>
          </w:p>
        </w:tc>
        <w:tc>
          <w:tcPr>
            <w:tcW w:w="6704" w:type="dxa"/>
            <w:tcMar>
              <w:left w:w="28" w:type="dxa"/>
              <w:right w:w="28" w:type="dxa"/>
            </w:tcMar>
          </w:tcPr>
          <w:p w14:paraId="5A241852" w14:textId="77777777" w:rsidR="00F12EDD" w:rsidRPr="00463F85" w:rsidRDefault="00F12EDD" w:rsidP="00B4491A">
            <w:pPr>
              <w:spacing w:line="312" w:lineRule="auto"/>
              <w:rPr>
                <w:sz w:val="28"/>
                <w:lang w:val="en-US"/>
              </w:rPr>
            </w:pPr>
          </w:p>
        </w:tc>
        <w:tc>
          <w:tcPr>
            <w:tcW w:w="1427" w:type="dxa"/>
            <w:tcMar>
              <w:left w:w="28" w:type="dxa"/>
              <w:right w:w="28" w:type="dxa"/>
            </w:tcMar>
          </w:tcPr>
          <w:p w14:paraId="35C5DF73" w14:textId="77777777" w:rsidR="00F12EDD" w:rsidRPr="00463F85" w:rsidRDefault="00F12EDD" w:rsidP="00B4491A">
            <w:pPr>
              <w:spacing w:line="312" w:lineRule="auto"/>
              <w:jc w:val="center"/>
              <w:rPr>
                <w:i/>
                <w:sz w:val="28"/>
                <w:lang w:val="en-US"/>
              </w:rPr>
            </w:pPr>
          </w:p>
        </w:tc>
      </w:tr>
      <w:tr w:rsidR="00F12EDD" w:rsidRPr="00463F85" w14:paraId="50E562F6" w14:textId="77777777" w:rsidTr="00F12EDD">
        <w:tc>
          <w:tcPr>
            <w:tcW w:w="8188" w:type="dxa"/>
            <w:gridSpan w:val="2"/>
            <w:tcMar>
              <w:left w:w="28" w:type="dxa"/>
              <w:right w:w="28" w:type="dxa"/>
            </w:tcMar>
          </w:tcPr>
          <w:p w14:paraId="1B79F3B6" w14:textId="77777777" w:rsidR="00F12EDD" w:rsidRPr="00463F85" w:rsidRDefault="00F12EDD" w:rsidP="00B4491A">
            <w:pPr>
              <w:spacing w:line="312" w:lineRule="auto"/>
              <w:rPr>
                <w:b/>
                <w:sz w:val="28"/>
                <w:lang w:val="en-US"/>
              </w:rPr>
            </w:pPr>
            <w:r w:rsidRPr="00463F85">
              <w:rPr>
                <w:b/>
                <w:sz w:val="28"/>
                <w:lang w:val="en-US"/>
              </w:rPr>
              <w:t>Appendix B</w:t>
            </w:r>
          </w:p>
        </w:tc>
        <w:tc>
          <w:tcPr>
            <w:tcW w:w="1427" w:type="dxa"/>
            <w:tcMar>
              <w:left w:w="28" w:type="dxa"/>
              <w:right w:w="28" w:type="dxa"/>
            </w:tcMar>
            <w:vAlign w:val="center"/>
          </w:tcPr>
          <w:p w14:paraId="30874817" w14:textId="77777777" w:rsidR="00F12EDD" w:rsidRPr="00463F85" w:rsidRDefault="00F12EDD" w:rsidP="00B4491A">
            <w:pPr>
              <w:spacing w:line="312" w:lineRule="auto"/>
              <w:jc w:val="center"/>
              <w:rPr>
                <w:b/>
                <w:sz w:val="28"/>
                <w:lang w:val="en-US"/>
              </w:rPr>
            </w:pPr>
            <w:r w:rsidRPr="00463F85">
              <w:rPr>
                <w:b/>
                <w:sz w:val="28"/>
                <w:lang w:val="en-US"/>
              </w:rPr>
              <w:t>Chapter 8</w:t>
            </w:r>
          </w:p>
        </w:tc>
      </w:tr>
      <w:tr w:rsidR="00F12EDD" w:rsidRPr="00463F85" w14:paraId="633922CF" w14:textId="77777777" w:rsidTr="00F12EDD">
        <w:tc>
          <w:tcPr>
            <w:tcW w:w="1484" w:type="dxa"/>
            <w:tcMar>
              <w:left w:w="28" w:type="dxa"/>
              <w:right w:w="28" w:type="dxa"/>
            </w:tcMar>
          </w:tcPr>
          <w:p w14:paraId="0B125196" w14:textId="77777777" w:rsidR="00F12EDD" w:rsidRPr="00463F85" w:rsidRDefault="00F12EDD" w:rsidP="00B4491A">
            <w:pPr>
              <w:spacing w:line="312" w:lineRule="auto"/>
              <w:rPr>
                <w:b/>
                <w:sz w:val="28"/>
                <w:lang w:val="en-US"/>
              </w:rPr>
            </w:pPr>
            <w:r w:rsidRPr="00463F85">
              <w:rPr>
                <w:b/>
                <w:sz w:val="28"/>
                <w:lang w:val="en-US"/>
              </w:rPr>
              <w:t>Table B.1</w:t>
            </w:r>
          </w:p>
          <w:p w14:paraId="58D08F47" w14:textId="77777777" w:rsidR="00F12EDD" w:rsidRPr="00463F85" w:rsidRDefault="00F12EDD" w:rsidP="00B4491A">
            <w:pPr>
              <w:spacing w:line="312" w:lineRule="auto"/>
              <w:rPr>
                <w:b/>
                <w:sz w:val="28"/>
                <w:lang w:val="en-US"/>
              </w:rPr>
            </w:pPr>
          </w:p>
        </w:tc>
        <w:tc>
          <w:tcPr>
            <w:tcW w:w="6704" w:type="dxa"/>
            <w:tcMar>
              <w:left w:w="28" w:type="dxa"/>
              <w:right w:w="28" w:type="dxa"/>
            </w:tcMar>
          </w:tcPr>
          <w:p w14:paraId="541581F1" w14:textId="77777777" w:rsidR="00F12EDD" w:rsidRPr="00463F85" w:rsidRDefault="00F12EDD" w:rsidP="00B4491A">
            <w:pPr>
              <w:spacing w:line="312" w:lineRule="auto"/>
              <w:rPr>
                <w:sz w:val="28"/>
                <w:lang w:val="en-US"/>
              </w:rPr>
            </w:pPr>
            <w:r w:rsidRPr="00463F85">
              <w:rPr>
                <w:sz w:val="28"/>
                <w:lang w:val="en-US"/>
              </w:rPr>
              <w:t>Key financial ratios for analyzing company’s strengths and weaknesses</w:t>
            </w:r>
          </w:p>
        </w:tc>
        <w:tc>
          <w:tcPr>
            <w:tcW w:w="1427" w:type="dxa"/>
            <w:tcMar>
              <w:left w:w="28" w:type="dxa"/>
              <w:right w:w="28" w:type="dxa"/>
            </w:tcMar>
          </w:tcPr>
          <w:p w14:paraId="5826CAA6" w14:textId="77777777" w:rsidR="00F12EDD" w:rsidRPr="000552CE" w:rsidRDefault="00F12EDD" w:rsidP="002C1F42">
            <w:pPr>
              <w:spacing w:line="312" w:lineRule="auto"/>
              <w:jc w:val="center"/>
              <w:rPr>
                <w:sz w:val="28"/>
                <w:lang w:val="en-US"/>
              </w:rPr>
            </w:pPr>
            <w:r w:rsidRPr="000552CE">
              <w:rPr>
                <w:sz w:val="28"/>
                <w:lang w:val="en-US"/>
              </w:rPr>
              <w:t>16</w:t>
            </w:r>
            <w:r w:rsidR="002C1F42" w:rsidRPr="000552CE">
              <w:rPr>
                <w:sz w:val="28"/>
                <w:lang w:val="en-US"/>
              </w:rPr>
              <w:t>0</w:t>
            </w:r>
            <w:r w:rsidR="000552CE" w:rsidRPr="00543EEA">
              <w:rPr>
                <w:sz w:val="28"/>
                <w:lang w:val="en-US"/>
              </w:rPr>
              <w:t>–</w:t>
            </w:r>
            <w:r w:rsidRPr="000552CE">
              <w:rPr>
                <w:sz w:val="28"/>
                <w:lang w:val="en-US"/>
              </w:rPr>
              <w:t>16</w:t>
            </w:r>
            <w:r w:rsidR="002C1F42" w:rsidRPr="000552CE">
              <w:rPr>
                <w:sz w:val="28"/>
                <w:lang w:val="en-US"/>
              </w:rPr>
              <w:t>3</w:t>
            </w:r>
          </w:p>
        </w:tc>
      </w:tr>
      <w:tr w:rsidR="00F12EDD" w:rsidRPr="00463F85" w14:paraId="79520BD1" w14:textId="77777777" w:rsidTr="00F12EDD">
        <w:tc>
          <w:tcPr>
            <w:tcW w:w="1484" w:type="dxa"/>
            <w:tcMar>
              <w:left w:w="28" w:type="dxa"/>
              <w:right w:w="28" w:type="dxa"/>
            </w:tcMar>
          </w:tcPr>
          <w:p w14:paraId="21F95D9B" w14:textId="77777777" w:rsidR="00F12EDD" w:rsidRPr="00463F85" w:rsidRDefault="00F12EDD" w:rsidP="00B4491A">
            <w:pPr>
              <w:spacing w:line="312" w:lineRule="auto"/>
              <w:rPr>
                <w:b/>
                <w:sz w:val="28"/>
                <w:lang w:val="en-US"/>
              </w:rPr>
            </w:pPr>
            <w:r w:rsidRPr="00463F85">
              <w:rPr>
                <w:b/>
                <w:sz w:val="28"/>
                <w:lang w:val="en-US"/>
              </w:rPr>
              <w:t>Figure B.1</w:t>
            </w:r>
          </w:p>
        </w:tc>
        <w:tc>
          <w:tcPr>
            <w:tcW w:w="6704" w:type="dxa"/>
            <w:tcMar>
              <w:left w:w="28" w:type="dxa"/>
              <w:right w:w="28" w:type="dxa"/>
            </w:tcMar>
          </w:tcPr>
          <w:p w14:paraId="7688C731" w14:textId="77777777" w:rsidR="00F12EDD" w:rsidRPr="00463F85" w:rsidRDefault="00F12EDD" w:rsidP="00B4491A">
            <w:pPr>
              <w:spacing w:line="312" w:lineRule="auto"/>
              <w:rPr>
                <w:sz w:val="28"/>
                <w:lang w:val="en-US"/>
              </w:rPr>
            </w:pPr>
            <w:r w:rsidRPr="00463F85">
              <w:rPr>
                <w:sz w:val="28"/>
                <w:lang w:val="en-US"/>
              </w:rPr>
              <w:t>Step by step approach to DuPont analysis</w:t>
            </w:r>
          </w:p>
        </w:tc>
        <w:tc>
          <w:tcPr>
            <w:tcW w:w="1427" w:type="dxa"/>
            <w:tcMar>
              <w:left w:w="28" w:type="dxa"/>
              <w:right w:w="28" w:type="dxa"/>
            </w:tcMar>
          </w:tcPr>
          <w:p w14:paraId="784E925E" w14:textId="77777777" w:rsidR="00F12EDD" w:rsidRPr="000552CE" w:rsidRDefault="00F12EDD" w:rsidP="002C1F42">
            <w:pPr>
              <w:spacing w:line="312" w:lineRule="auto"/>
              <w:jc w:val="center"/>
              <w:rPr>
                <w:sz w:val="28"/>
                <w:lang w:val="en-US"/>
              </w:rPr>
            </w:pPr>
            <w:r w:rsidRPr="000552CE">
              <w:rPr>
                <w:sz w:val="28"/>
                <w:lang w:val="en-US"/>
              </w:rPr>
              <w:t>16</w:t>
            </w:r>
            <w:r w:rsidR="002C1F42" w:rsidRPr="000552CE">
              <w:rPr>
                <w:sz w:val="28"/>
                <w:lang w:val="en-US"/>
              </w:rPr>
              <w:t>4</w:t>
            </w:r>
          </w:p>
        </w:tc>
      </w:tr>
      <w:tr w:rsidR="00F12EDD" w:rsidRPr="00463F85" w14:paraId="3911252A" w14:textId="77777777" w:rsidTr="00F12EDD">
        <w:tc>
          <w:tcPr>
            <w:tcW w:w="1484" w:type="dxa"/>
            <w:tcMar>
              <w:left w:w="28" w:type="dxa"/>
              <w:right w:w="28" w:type="dxa"/>
            </w:tcMar>
          </w:tcPr>
          <w:p w14:paraId="5B9C51E0" w14:textId="77777777" w:rsidR="00F12EDD" w:rsidRPr="00463F85" w:rsidRDefault="00F12EDD" w:rsidP="00B4491A">
            <w:pPr>
              <w:spacing w:line="312" w:lineRule="auto"/>
              <w:rPr>
                <w:b/>
                <w:sz w:val="28"/>
                <w:lang w:val="en-US"/>
              </w:rPr>
            </w:pPr>
          </w:p>
        </w:tc>
        <w:tc>
          <w:tcPr>
            <w:tcW w:w="6704" w:type="dxa"/>
            <w:tcMar>
              <w:left w:w="28" w:type="dxa"/>
              <w:right w:w="28" w:type="dxa"/>
            </w:tcMar>
          </w:tcPr>
          <w:p w14:paraId="16FDEF72" w14:textId="77777777" w:rsidR="00F12EDD" w:rsidRPr="00463F85" w:rsidRDefault="00F12EDD" w:rsidP="00B4491A">
            <w:pPr>
              <w:spacing w:line="312" w:lineRule="auto"/>
              <w:rPr>
                <w:sz w:val="28"/>
                <w:lang w:val="en-US"/>
              </w:rPr>
            </w:pPr>
          </w:p>
        </w:tc>
        <w:tc>
          <w:tcPr>
            <w:tcW w:w="1427" w:type="dxa"/>
            <w:tcMar>
              <w:left w:w="28" w:type="dxa"/>
              <w:right w:w="28" w:type="dxa"/>
            </w:tcMar>
          </w:tcPr>
          <w:p w14:paraId="26D79F90" w14:textId="77777777" w:rsidR="00F12EDD" w:rsidRPr="00463F85" w:rsidRDefault="00F12EDD" w:rsidP="00B4491A">
            <w:pPr>
              <w:spacing w:line="312" w:lineRule="auto"/>
              <w:jc w:val="center"/>
              <w:rPr>
                <w:i/>
                <w:sz w:val="28"/>
                <w:lang w:val="en-US"/>
              </w:rPr>
            </w:pPr>
          </w:p>
        </w:tc>
      </w:tr>
      <w:tr w:rsidR="00F12EDD" w:rsidRPr="00463F85" w14:paraId="295C88EC" w14:textId="77777777" w:rsidTr="00F12EDD">
        <w:tc>
          <w:tcPr>
            <w:tcW w:w="8188" w:type="dxa"/>
            <w:gridSpan w:val="2"/>
            <w:tcMar>
              <w:left w:w="28" w:type="dxa"/>
              <w:right w:w="28" w:type="dxa"/>
            </w:tcMar>
          </w:tcPr>
          <w:p w14:paraId="61CB8B88" w14:textId="77777777" w:rsidR="00F12EDD" w:rsidRPr="00463F85" w:rsidRDefault="00F12EDD" w:rsidP="00B4491A">
            <w:pPr>
              <w:spacing w:line="312" w:lineRule="auto"/>
              <w:rPr>
                <w:b/>
                <w:sz w:val="28"/>
                <w:lang w:val="en-US"/>
              </w:rPr>
            </w:pPr>
            <w:r w:rsidRPr="00463F85">
              <w:rPr>
                <w:b/>
                <w:sz w:val="28"/>
                <w:lang w:val="en-US"/>
              </w:rPr>
              <w:t>Appendix C</w:t>
            </w:r>
          </w:p>
        </w:tc>
        <w:tc>
          <w:tcPr>
            <w:tcW w:w="1427" w:type="dxa"/>
            <w:tcMar>
              <w:left w:w="28" w:type="dxa"/>
              <w:right w:w="28" w:type="dxa"/>
            </w:tcMar>
            <w:vAlign w:val="center"/>
          </w:tcPr>
          <w:p w14:paraId="58B4C0FD" w14:textId="77777777" w:rsidR="00F12EDD" w:rsidRPr="00463F85" w:rsidRDefault="00F12EDD" w:rsidP="00B4491A">
            <w:pPr>
              <w:spacing w:line="312" w:lineRule="auto"/>
              <w:jc w:val="center"/>
              <w:rPr>
                <w:b/>
                <w:sz w:val="28"/>
                <w:lang w:val="en-US"/>
              </w:rPr>
            </w:pPr>
            <w:r w:rsidRPr="00463F85">
              <w:rPr>
                <w:b/>
                <w:sz w:val="28"/>
                <w:lang w:val="en-US"/>
              </w:rPr>
              <w:t>Chapter 9</w:t>
            </w:r>
          </w:p>
        </w:tc>
      </w:tr>
      <w:tr w:rsidR="00F12EDD" w:rsidRPr="00463F85" w14:paraId="68D2F64C" w14:textId="77777777" w:rsidTr="00F12EDD">
        <w:tc>
          <w:tcPr>
            <w:tcW w:w="1484" w:type="dxa"/>
            <w:tcMar>
              <w:left w:w="28" w:type="dxa"/>
              <w:right w:w="28" w:type="dxa"/>
            </w:tcMar>
          </w:tcPr>
          <w:p w14:paraId="5DFD857F" w14:textId="77777777" w:rsidR="00F12EDD" w:rsidRPr="00463F85" w:rsidRDefault="00F12EDD" w:rsidP="00B4491A">
            <w:pPr>
              <w:spacing w:line="312" w:lineRule="auto"/>
              <w:rPr>
                <w:sz w:val="28"/>
                <w:lang w:val="en-US"/>
              </w:rPr>
            </w:pPr>
            <w:r w:rsidRPr="00463F85">
              <w:rPr>
                <w:b/>
                <w:sz w:val="28"/>
                <w:lang w:val="en-US"/>
              </w:rPr>
              <w:t>Table C.1</w:t>
            </w:r>
          </w:p>
          <w:p w14:paraId="61F74914" w14:textId="77777777" w:rsidR="00F12EDD" w:rsidRPr="00463F85" w:rsidRDefault="00F12EDD" w:rsidP="00B4491A">
            <w:pPr>
              <w:spacing w:line="312" w:lineRule="auto"/>
              <w:rPr>
                <w:b/>
                <w:sz w:val="28"/>
                <w:lang w:val="en-US"/>
              </w:rPr>
            </w:pPr>
          </w:p>
        </w:tc>
        <w:tc>
          <w:tcPr>
            <w:tcW w:w="6704" w:type="dxa"/>
            <w:tcMar>
              <w:left w:w="28" w:type="dxa"/>
              <w:right w:w="28" w:type="dxa"/>
            </w:tcMar>
          </w:tcPr>
          <w:p w14:paraId="66BB6C57" w14:textId="77777777" w:rsidR="00F12EDD" w:rsidRPr="00463F85" w:rsidRDefault="00F12EDD" w:rsidP="00B4491A">
            <w:pPr>
              <w:spacing w:line="312" w:lineRule="auto"/>
              <w:rPr>
                <w:sz w:val="28"/>
                <w:lang w:val="en-US"/>
              </w:rPr>
            </w:pPr>
            <w:r w:rsidRPr="00463F85">
              <w:rPr>
                <w:sz w:val="28"/>
                <w:lang w:val="en-US"/>
              </w:rPr>
              <w:t>List of important financial ratios for financial market analysis</w:t>
            </w:r>
          </w:p>
        </w:tc>
        <w:tc>
          <w:tcPr>
            <w:tcW w:w="1427" w:type="dxa"/>
            <w:tcMar>
              <w:left w:w="28" w:type="dxa"/>
              <w:right w:w="28" w:type="dxa"/>
            </w:tcMar>
          </w:tcPr>
          <w:p w14:paraId="3F382AE9" w14:textId="77777777" w:rsidR="00F12EDD" w:rsidRPr="000552CE" w:rsidRDefault="00F12EDD" w:rsidP="002C1F42">
            <w:pPr>
              <w:spacing w:line="312" w:lineRule="auto"/>
              <w:jc w:val="center"/>
              <w:rPr>
                <w:sz w:val="28"/>
                <w:lang w:val="en-US"/>
              </w:rPr>
            </w:pPr>
            <w:r w:rsidRPr="000552CE">
              <w:rPr>
                <w:sz w:val="28"/>
                <w:lang w:val="en-US"/>
              </w:rPr>
              <w:t>18</w:t>
            </w:r>
            <w:r w:rsidR="002C1F42" w:rsidRPr="000552CE">
              <w:rPr>
                <w:sz w:val="28"/>
                <w:lang w:val="en-US"/>
              </w:rPr>
              <w:t>1</w:t>
            </w:r>
            <w:r w:rsidR="000552CE" w:rsidRPr="00543EEA">
              <w:rPr>
                <w:sz w:val="28"/>
                <w:lang w:val="en-US"/>
              </w:rPr>
              <w:t>–</w:t>
            </w:r>
            <w:r w:rsidRPr="000552CE">
              <w:rPr>
                <w:sz w:val="28"/>
                <w:lang w:val="en-US"/>
              </w:rPr>
              <w:t>18</w:t>
            </w:r>
            <w:r w:rsidR="002C1F42" w:rsidRPr="000552CE">
              <w:rPr>
                <w:sz w:val="28"/>
                <w:lang w:val="en-US"/>
              </w:rPr>
              <w:t>2</w:t>
            </w:r>
          </w:p>
        </w:tc>
      </w:tr>
    </w:tbl>
    <w:p w14:paraId="003FB0A8" w14:textId="77777777" w:rsidR="00F12EDD" w:rsidRDefault="00F12EDD" w:rsidP="00F12EDD">
      <w:pPr>
        <w:rPr>
          <w:sz w:val="28"/>
          <w:lang w:val="en-US"/>
        </w:rPr>
      </w:pPr>
    </w:p>
    <w:p w14:paraId="2668D7DA" w14:textId="77777777" w:rsidR="00F12EDD" w:rsidRDefault="00F12EDD">
      <w:pPr>
        <w:rPr>
          <w:sz w:val="28"/>
          <w:lang w:val="en-US"/>
        </w:rPr>
      </w:pPr>
      <w:r>
        <w:rPr>
          <w:sz w:val="28"/>
          <w:lang w:val="en-US"/>
        </w:rPr>
        <w:br w:type="page"/>
      </w:r>
    </w:p>
    <w:p w14:paraId="1F2D903A" w14:textId="77777777" w:rsidR="00FB375D" w:rsidRPr="00FB375D" w:rsidRDefault="00FB375D" w:rsidP="00FB375D">
      <w:pPr>
        <w:pStyle w:val="end2"/>
        <w:rPr>
          <w:rFonts w:eastAsia="Arial Unicode MS" w:hAnsi="Arial Unicode MS" w:cs="Arial Unicode MS"/>
          <w:bCs/>
          <w:u w:color="000000"/>
        </w:rPr>
      </w:pPr>
      <w:r w:rsidRPr="00FB375D">
        <w:rPr>
          <w:rFonts w:eastAsia="Arial Unicode MS" w:hAnsi="Arial Unicode MS" w:cs="Arial Unicode MS"/>
          <w:bCs/>
          <w:u w:color="000000"/>
        </w:rPr>
        <w:lastRenderedPageBreak/>
        <w:t>Index of key terms</w:t>
      </w:r>
    </w:p>
    <w:tbl>
      <w:tblPr>
        <w:tblStyle w:val="TableNormal10"/>
        <w:tblW w:w="9585" w:type="dxa"/>
        <w:jc w:val="center"/>
        <w:tblInd w:w="0" w:type="dxa"/>
        <w:tblLayout w:type="fixed"/>
        <w:tblLook w:val="04A0" w:firstRow="1" w:lastRow="0" w:firstColumn="1" w:lastColumn="0" w:noHBand="0" w:noVBand="1"/>
      </w:tblPr>
      <w:tblGrid>
        <w:gridCol w:w="4004"/>
        <w:gridCol w:w="888"/>
        <w:gridCol w:w="222"/>
        <w:gridCol w:w="3502"/>
        <w:gridCol w:w="969"/>
      </w:tblGrid>
      <w:tr w:rsidR="00FB375D" w:rsidRPr="00706B0E" w14:paraId="7493C691" w14:textId="77777777" w:rsidTr="00B13457">
        <w:trPr>
          <w:trHeight w:val="270"/>
          <w:jc w:val="center"/>
        </w:trPr>
        <w:tc>
          <w:tcPr>
            <w:tcW w:w="4001" w:type="dxa"/>
            <w:shd w:val="clear" w:color="auto" w:fill="BFBFBF"/>
            <w:tcMar>
              <w:top w:w="0" w:type="dxa"/>
              <w:left w:w="28" w:type="dxa"/>
              <w:bottom w:w="0" w:type="dxa"/>
              <w:right w:w="28" w:type="dxa"/>
            </w:tcMar>
            <w:hideMark/>
          </w:tcPr>
          <w:p w14:paraId="3202D49E"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b/>
                <w:bCs/>
                <w:sz w:val="28"/>
                <w:szCs w:val="28"/>
                <w:u w:color="000000"/>
                <w:lang w:val="en-US" w:eastAsia="en-US"/>
              </w:rPr>
              <w:t>A</w:t>
            </w:r>
          </w:p>
        </w:tc>
        <w:tc>
          <w:tcPr>
            <w:tcW w:w="888" w:type="dxa"/>
            <w:shd w:val="clear" w:color="auto" w:fill="BFBFBF"/>
            <w:tcMar>
              <w:top w:w="0" w:type="dxa"/>
              <w:left w:w="28" w:type="dxa"/>
              <w:bottom w:w="0" w:type="dxa"/>
              <w:right w:w="28" w:type="dxa"/>
            </w:tcMar>
            <w:vAlign w:val="bottom"/>
          </w:tcPr>
          <w:p w14:paraId="31A3792E"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222" w:type="dxa"/>
            <w:tcMar>
              <w:top w:w="0" w:type="dxa"/>
              <w:left w:w="28" w:type="dxa"/>
              <w:bottom w:w="0" w:type="dxa"/>
              <w:right w:w="28" w:type="dxa"/>
            </w:tcMar>
          </w:tcPr>
          <w:p w14:paraId="676CB3FF"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042391E"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insurance adjuster</w:t>
            </w:r>
          </w:p>
        </w:tc>
        <w:tc>
          <w:tcPr>
            <w:tcW w:w="969" w:type="dxa"/>
            <w:tcMar>
              <w:top w:w="0" w:type="dxa"/>
              <w:left w:w="28" w:type="dxa"/>
              <w:bottom w:w="0" w:type="dxa"/>
              <w:right w:w="28" w:type="dxa"/>
            </w:tcMar>
            <w:vAlign w:val="bottom"/>
          </w:tcPr>
          <w:p w14:paraId="17961AED"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193</w:t>
            </w:r>
          </w:p>
        </w:tc>
      </w:tr>
      <w:tr w:rsidR="00FB375D" w:rsidRPr="00706B0E" w14:paraId="5C645ABE" w14:textId="77777777" w:rsidTr="00B13457">
        <w:trPr>
          <w:trHeight w:val="270"/>
          <w:jc w:val="center"/>
        </w:trPr>
        <w:tc>
          <w:tcPr>
            <w:tcW w:w="4001" w:type="dxa"/>
            <w:tcMar>
              <w:top w:w="0" w:type="dxa"/>
              <w:left w:w="28" w:type="dxa"/>
              <w:bottom w:w="0" w:type="dxa"/>
              <w:right w:w="28" w:type="dxa"/>
            </w:tcMar>
            <w:hideMark/>
          </w:tcPr>
          <w:p w14:paraId="6435AC06"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actuary</w:t>
            </w:r>
          </w:p>
        </w:tc>
        <w:tc>
          <w:tcPr>
            <w:tcW w:w="888" w:type="dxa"/>
            <w:tcMar>
              <w:top w:w="0" w:type="dxa"/>
              <w:left w:w="28" w:type="dxa"/>
              <w:bottom w:w="0" w:type="dxa"/>
              <w:right w:w="28" w:type="dxa"/>
            </w:tcMar>
            <w:hideMark/>
          </w:tcPr>
          <w:p w14:paraId="7A154C0D" w14:textId="77777777" w:rsidR="00FB375D" w:rsidRPr="00706B0E" w:rsidRDefault="00FB375D" w:rsidP="00FA1742">
            <w:pPr>
              <w:spacing w:line="312" w:lineRule="auto"/>
              <w:jc w:val="center"/>
              <w:rPr>
                <w:rFonts w:ascii="Garamond" w:eastAsia="Calibri" w:hAnsi="Garamond" w:cs="Calibri"/>
                <w:sz w:val="28"/>
                <w:szCs w:val="28"/>
                <w:u w:color="000000"/>
                <w:lang w:val="en-US" w:eastAsia="en-US"/>
              </w:rPr>
            </w:pPr>
            <w:r w:rsidRPr="00706B0E">
              <w:rPr>
                <w:rFonts w:ascii="Garamond" w:eastAsia="Calibri" w:hAnsi="Garamond" w:cs="Calibri"/>
                <w:b/>
                <w:bCs/>
                <w:sz w:val="28"/>
                <w:szCs w:val="28"/>
                <w:u w:color="000000"/>
                <w:lang w:val="en-US" w:eastAsia="en-US"/>
              </w:rPr>
              <w:t>1</w:t>
            </w:r>
            <w:r w:rsidR="00FA1742">
              <w:rPr>
                <w:rFonts w:ascii="Garamond" w:eastAsia="Calibri" w:hAnsi="Garamond" w:cs="Calibri"/>
                <w:b/>
                <w:bCs/>
                <w:sz w:val="28"/>
                <w:szCs w:val="28"/>
                <w:u w:color="000000"/>
                <w:lang w:val="en-US" w:eastAsia="en-US"/>
              </w:rPr>
              <w:t>93</w:t>
            </w:r>
          </w:p>
        </w:tc>
        <w:tc>
          <w:tcPr>
            <w:tcW w:w="222" w:type="dxa"/>
            <w:tcMar>
              <w:top w:w="0" w:type="dxa"/>
              <w:left w:w="28" w:type="dxa"/>
              <w:bottom w:w="0" w:type="dxa"/>
              <w:right w:w="28" w:type="dxa"/>
            </w:tcMar>
          </w:tcPr>
          <w:p w14:paraId="1E1381D1"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D67E266"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insurance agent</w:t>
            </w:r>
          </w:p>
        </w:tc>
        <w:tc>
          <w:tcPr>
            <w:tcW w:w="969" w:type="dxa"/>
            <w:tcMar>
              <w:top w:w="0" w:type="dxa"/>
              <w:left w:w="28" w:type="dxa"/>
              <w:bottom w:w="0" w:type="dxa"/>
              <w:right w:w="28" w:type="dxa"/>
            </w:tcMar>
            <w:vAlign w:val="bottom"/>
          </w:tcPr>
          <w:p w14:paraId="45655B17"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192</w:t>
            </w:r>
          </w:p>
        </w:tc>
      </w:tr>
      <w:tr w:rsidR="00FB375D" w:rsidRPr="00706B0E" w14:paraId="1238EF26" w14:textId="77777777" w:rsidTr="00B13457">
        <w:trPr>
          <w:trHeight w:val="270"/>
          <w:jc w:val="center"/>
        </w:trPr>
        <w:tc>
          <w:tcPr>
            <w:tcW w:w="4001" w:type="dxa"/>
            <w:tcMar>
              <w:top w:w="0" w:type="dxa"/>
              <w:left w:w="28" w:type="dxa"/>
              <w:bottom w:w="0" w:type="dxa"/>
              <w:right w:w="28" w:type="dxa"/>
            </w:tcMar>
            <w:hideMark/>
          </w:tcPr>
          <w:p w14:paraId="10FA1F9D" w14:textId="77777777" w:rsidR="00FB375D" w:rsidRPr="00706B0E" w:rsidRDefault="00706B0E" w:rsidP="004A340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s>
              <w:spacing w:line="312" w:lineRule="auto"/>
              <w:rPr>
                <w:rFonts w:ascii="Garamond" w:hAnsi="Garamond" w:cs="Arial Unicode MS"/>
                <w:sz w:val="28"/>
                <w:szCs w:val="28"/>
                <w:lang w:val="en-US"/>
              </w:rPr>
            </w:pPr>
            <w:r>
              <w:rPr>
                <w:rFonts w:ascii="Garamond" w:hAnsi="Garamond" w:cs="Arial Unicode MS"/>
                <w:sz w:val="28"/>
                <w:szCs w:val="28"/>
                <w:lang w:val="en-US"/>
              </w:rPr>
              <w:t>annual ceiling on payment</w:t>
            </w:r>
          </w:p>
        </w:tc>
        <w:tc>
          <w:tcPr>
            <w:tcW w:w="888" w:type="dxa"/>
            <w:tcMar>
              <w:top w:w="0" w:type="dxa"/>
              <w:left w:w="28" w:type="dxa"/>
              <w:bottom w:w="0" w:type="dxa"/>
              <w:right w:w="28" w:type="dxa"/>
            </w:tcMar>
            <w:vAlign w:val="bottom"/>
            <w:hideMark/>
          </w:tcPr>
          <w:p w14:paraId="669B95C9" w14:textId="77777777" w:rsidR="00FB375D" w:rsidRPr="00706B0E" w:rsidRDefault="00FA1742" w:rsidP="00FA1742">
            <w:pPr>
              <w:spacing w:line="312" w:lineRule="auto"/>
              <w:jc w:val="center"/>
              <w:rPr>
                <w:rFonts w:ascii="Garamond" w:eastAsia="Calibri" w:hAnsi="Garamond" w:cs="Calibri"/>
                <w:sz w:val="28"/>
                <w:szCs w:val="28"/>
                <w:u w:color="000000"/>
                <w:lang w:val="en-US" w:eastAsia="en-US"/>
              </w:rPr>
            </w:pPr>
            <w:r>
              <w:rPr>
                <w:rFonts w:ascii="Garamond" w:eastAsia="Calibri" w:hAnsi="Garamond" w:cs="Calibri"/>
                <w:b/>
                <w:bCs/>
                <w:sz w:val="28"/>
                <w:szCs w:val="28"/>
                <w:u w:color="000000"/>
                <w:lang w:val="en-US" w:eastAsia="en-US"/>
              </w:rPr>
              <w:t>228</w:t>
            </w:r>
          </w:p>
        </w:tc>
        <w:tc>
          <w:tcPr>
            <w:tcW w:w="222" w:type="dxa"/>
            <w:tcMar>
              <w:top w:w="0" w:type="dxa"/>
              <w:left w:w="28" w:type="dxa"/>
              <w:bottom w:w="0" w:type="dxa"/>
              <w:right w:w="28" w:type="dxa"/>
            </w:tcMar>
          </w:tcPr>
          <w:p w14:paraId="79CE325B"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66ED44D"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insurance broker</w:t>
            </w:r>
          </w:p>
        </w:tc>
        <w:tc>
          <w:tcPr>
            <w:tcW w:w="969" w:type="dxa"/>
            <w:tcMar>
              <w:top w:w="0" w:type="dxa"/>
              <w:left w:w="28" w:type="dxa"/>
              <w:bottom w:w="0" w:type="dxa"/>
              <w:right w:w="28" w:type="dxa"/>
            </w:tcMar>
          </w:tcPr>
          <w:p w14:paraId="14D388EF"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192</w:t>
            </w:r>
          </w:p>
        </w:tc>
      </w:tr>
      <w:tr w:rsidR="00FB375D" w:rsidRPr="00706B0E" w14:paraId="187631A3" w14:textId="77777777" w:rsidTr="00B13457">
        <w:trPr>
          <w:trHeight w:val="790"/>
          <w:jc w:val="center"/>
        </w:trPr>
        <w:tc>
          <w:tcPr>
            <w:tcW w:w="4001" w:type="dxa"/>
            <w:tcMar>
              <w:top w:w="0" w:type="dxa"/>
              <w:left w:w="28" w:type="dxa"/>
              <w:bottom w:w="0" w:type="dxa"/>
              <w:right w:w="28" w:type="dxa"/>
            </w:tcMar>
            <w:hideMark/>
          </w:tcPr>
          <w:p w14:paraId="2D3B52BB"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authorized capital (authorized share capital, registered capital o</w:t>
            </w:r>
            <w:r w:rsidR="00706B0E">
              <w:rPr>
                <w:rFonts w:ascii="Garamond" w:eastAsia="Calibri" w:hAnsi="Garamond" w:cs="Calibri"/>
                <w:sz w:val="28"/>
                <w:szCs w:val="28"/>
                <w:u w:color="000000"/>
                <w:lang w:val="en-US" w:eastAsia="en-US"/>
              </w:rPr>
              <w:t>r nominal capital)</w:t>
            </w:r>
          </w:p>
        </w:tc>
        <w:tc>
          <w:tcPr>
            <w:tcW w:w="888" w:type="dxa"/>
            <w:tcMar>
              <w:top w:w="0" w:type="dxa"/>
              <w:left w:w="28" w:type="dxa"/>
              <w:bottom w:w="0" w:type="dxa"/>
              <w:right w:w="28" w:type="dxa"/>
            </w:tcMar>
            <w:vAlign w:val="bottom"/>
            <w:hideMark/>
          </w:tcPr>
          <w:p w14:paraId="57E1A62D" w14:textId="77777777" w:rsidR="00FB375D" w:rsidRPr="00706B0E" w:rsidRDefault="00FB375D" w:rsidP="00FA1742">
            <w:pPr>
              <w:spacing w:line="312" w:lineRule="auto"/>
              <w:jc w:val="center"/>
              <w:rPr>
                <w:rFonts w:ascii="Garamond" w:eastAsia="Calibri" w:hAnsi="Garamond" w:cs="Calibri"/>
                <w:sz w:val="28"/>
                <w:szCs w:val="28"/>
                <w:u w:color="000000"/>
                <w:lang w:val="en-US" w:eastAsia="en-US"/>
              </w:rPr>
            </w:pPr>
            <w:r w:rsidRPr="00706B0E">
              <w:rPr>
                <w:rFonts w:ascii="Garamond" w:eastAsia="Calibri" w:hAnsi="Garamond" w:cs="Calibri"/>
                <w:b/>
                <w:bCs/>
                <w:sz w:val="28"/>
                <w:szCs w:val="28"/>
                <w:u w:color="000000"/>
                <w:lang w:val="en-US" w:eastAsia="en-US"/>
              </w:rPr>
              <w:t>1</w:t>
            </w:r>
            <w:r w:rsidR="00FA1742">
              <w:rPr>
                <w:rFonts w:ascii="Garamond" w:eastAsia="Calibri" w:hAnsi="Garamond" w:cs="Calibri"/>
                <w:b/>
                <w:bCs/>
                <w:sz w:val="28"/>
                <w:szCs w:val="28"/>
                <w:u w:color="000000"/>
                <w:lang w:val="en-US" w:eastAsia="en-US"/>
              </w:rPr>
              <w:t>23</w:t>
            </w:r>
          </w:p>
        </w:tc>
        <w:tc>
          <w:tcPr>
            <w:tcW w:w="222" w:type="dxa"/>
            <w:tcMar>
              <w:top w:w="0" w:type="dxa"/>
              <w:left w:w="28" w:type="dxa"/>
              <w:bottom w:w="0" w:type="dxa"/>
              <w:right w:w="28" w:type="dxa"/>
            </w:tcMar>
          </w:tcPr>
          <w:p w14:paraId="06B0E8D0"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BE02C95"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insurance claim</w:t>
            </w:r>
          </w:p>
        </w:tc>
        <w:tc>
          <w:tcPr>
            <w:tcW w:w="969" w:type="dxa"/>
            <w:tcMar>
              <w:top w:w="0" w:type="dxa"/>
              <w:left w:w="28" w:type="dxa"/>
              <w:bottom w:w="0" w:type="dxa"/>
              <w:right w:w="28" w:type="dxa"/>
            </w:tcMar>
          </w:tcPr>
          <w:p w14:paraId="721B32BB"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192</w:t>
            </w:r>
          </w:p>
        </w:tc>
      </w:tr>
      <w:tr w:rsidR="00FB375D" w:rsidRPr="00706B0E" w14:paraId="6620E9F4" w14:textId="77777777" w:rsidTr="00B13457">
        <w:trPr>
          <w:trHeight w:val="270"/>
          <w:jc w:val="center"/>
        </w:trPr>
        <w:tc>
          <w:tcPr>
            <w:tcW w:w="4001" w:type="dxa"/>
            <w:shd w:val="clear" w:color="auto" w:fill="BFBFBF"/>
            <w:tcMar>
              <w:top w:w="0" w:type="dxa"/>
              <w:left w:w="28" w:type="dxa"/>
              <w:bottom w:w="0" w:type="dxa"/>
              <w:right w:w="28" w:type="dxa"/>
            </w:tcMar>
            <w:hideMark/>
          </w:tcPr>
          <w:p w14:paraId="095AFDE1"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b/>
                <w:bCs/>
                <w:sz w:val="28"/>
                <w:szCs w:val="28"/>
                <w:u w:color="000000"/>
                <w:lang w:val="en-US" w:eastAsia="en-US"/>
              </w:rPr>
              <w:t>B</w:t>
            </w:r>
          </w:p>
        </w:tc>
        <w:tc>
          <w:tcPr>
            <w:tcW w:w="888" w:type="dxa"/>
            <w:shd w:val="clear" w:color="auto" w:fill="BFBFBF"/>
            <w:tcMar>
              <w:top w:w="0" w:type="dxa"/>
              <w:left w:w="28" w:type="dxa"/>
              <w:bottom w:w="0" w:type="dxa"/>
              <w:right w:w="28" w:type="dxa"/>
            </w:tcMar>
            <w:vAlign w:val="bottom"/>
          </w:tcPr>
          <w:p w14:paraId="02CA550B"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222" w:type="dxa"/>
            <w:tcMar>
              <w:top w:w="0" w:type="dxa"/>
              <w:left w:w="28" w:type="dxa"/>
              <w:bottom w:w="0" w:type="dxa"/>
              <w:right w:w="28" w:type="dxa"/>
            </w:tcMar>
          </w:tcPr>
          <w:p w14:paraId="272D323B"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BECD3DC"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insurance policy</w:t>
            </w:r>
          </w:p>
        </w:tc>
        <w:tc>
          <w:tcPr>
            <w:tcW w:w="969" w:type="dxa"/>
            <w:tcMar>
              <w:top w:w="0" w:type="dxa"/>
              <w:left w:w="28" w:type="dxa"/>
              <w:bottom w:w="0" w:type="dxa"/>
              <w:right w:w="28" w:type="dxa"/>
            </w:tcMar>
            <w:vAlign w:val="bottom"/>
          </w:tcPr>
          <w:p w14:paraId="178861E9"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192</w:t>
            </w:r>
          </w:p>
        </w:tc>
      </w:tr>
      <w:tr w:rsidR="00FB375D" w:rsidRPr="00706B0E" w14:paraId="14393CDC" w14:textId="77777777" w:rsidTr="00B13457">
        <w:trPr>
          <w:trHeight w:val="270"/>
          <w:jc w:val="center"/>
        </w:trPr>
        <w:tc>
          <w:tcPr>
            <w:tcW w:w="4001" w:type="dxa"/>
            <w:tcMar>
              <w:top w:w="0" w:type="dxa"/>
              <w:left w:w="28" w:type="dxa"/>
              <w:bottom w:w="0" w:type="dxa"/>
              <w:right w:w="28" w:type="dxa"/>
            </w:tcMar>
            <w:hideMark/>
          </w:tcPr>
          <w:p w14:paraId="17BC2C54" w14:textId="77777777" w:rsidR="00FB375D" w:rsidRPr="00706B0E" w:rsidRDefault="00706B0E"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Pr>
                <w:rFonts w:ascii="Garamond" w:eastAsia="Calibri" w:hAnsi="Garamond" w:cs="Calibri"/>
                <w:sz w:val="28"/>
                <w:szCs w:val="28"/>
                <w:u w:color="000000"/>
                <w:lang w:val="en-US" w:eastAsia="en-US"/>
              </w:rPr>
              <w:t>balance of payments (BOP)</w:t>
            </w:r>
          </w:p>
        </w:tc>
        <w:tc>
          <w:tcPr>
            <w:tcW w:w="888" w:type="dxa"/>
            <w:tcMar>
              <w:top w:w="0" w:type="dxa"/>
              <w:left w:w="28" w:type="dxa"/>
              <w:bottom w:w="0" w:type="dxa"/>
              <w:right w:w="28" w:type="dxa"/>
            </w:tcMar>
            <w:vAlign w:val="bottom"/>
          </w:tcPr>
          <w:p w14:paraId="28FD6191"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208</w:t>
            </w:r>
          </w:p>
        </w:tc>
        <w:tc>
          <w:tcPr>
            <w:tcW w:w="222" w:type="dxa"/>
            <w:tcMar>
              <w:top w:w="0" w:type="dxa"/>
              <w:left w:w="28" w:type="dxa"/>
              <w:bottom w:w="0" w:type="dxa"/>
              <w:right w:w="28" w:type="dxa"/>
            </w:tcMar>
          </w:tcPr>
          <w:p w14:paraId="1B94C35B"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5173F12"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insurance premium</w:t>
            </w:r>
          </w:p>
        </w:tc>
        <w:tc>
          <w:tcPr>
            <w:tcW w:w="969" w:type="dxa"/>
            <w:tcMar>
              <w:top w:w="0" w:type="dxa"/>
              <w:left w:w="28" w:type="dxa"/>
              <w:bottom w:w="0" w:type="dxa"/>
              <w:right w:w="28" w:type="dxa"/>
            </w:tcMar>
            <w:vAlign w:val="bottom"/>
          </w:tcPr>
          <w:p w14:paraId="57DB542E"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192</w:t>
            </w:r>
          </w:p>
        </w:tc>
      </w:tr>
      <w:tr w:rsidR="00FB375D" w:rsidRPr="00706B0E" w14:paraId="13E15C7B" w14:textId="77777777" w:rsidTr="00B13457">
        <w:trPr>
          <w:trHeight w:val="270"/>
          <w:jc w:val="center"/>
        </w:trPr>
        <w:tc>
          <w:tcPr>
            <w:tcW w:w="4001" w:type="dxa"/>
            <w:tcMar>
              <w:top w:w="0" w:type="dxa"/>
              <w:left w:w="28" w:type="dxa"/>
              <w:bottom w:w="0" w:type="dxa"/>
              <w:right w:w="28" w:type="dxa"/>
            </w:tcMar>
            <w:hideMark/>
          </w:tcPr>
          <w:p w14:paraId="72E076B8"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balanc</w:t>
            </w:r>
            <w:r w:rsidR="00706B0E">
              <w:rPr>
                <w:rFonts w:ascii="Garamond" w:eastAsia="Calibri" w:hAnsi="Garamond" w:cs="Calibri"/>
                <w:sz w:val="28"/>
                <w:szCs w:val="28"/>
                <w:u w:color="000000"/>
                <w:lang w:val="en-US" w:eastAsia="en-US"/>
              </w:rPr>
              <w:t>e of trade/ trade balance (BOT)</w:t>
            </w:r>
          </w:p>
        </w:tc>
        <w:tc>
          <w:tcPr>
            <w:tcW w:w="888" w:type="dxa"/>
            <w:tcMar>
              <w:top w:w="0" w:type="dxa"/>
              <w:left w:w="28" w:type="dxa"/>
              <w:bottom w:w="0" w:type="dxa"/>
              <w:right w:w="28" w:type="dxa"/>
            </w:tcMar>
            <w:vAlign w:val="bottom"/>
          </w:tcPr>
          <w:p w14:paraId="283776E4"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209</w:t>
            </w:r>
          </w:p>
        </w:tc>
        <w:tc>
          <w:tcPr>
            <w:tcW w:w="222" w:type="dxa"/>
            <w:tcMar>
              <w:top w:w="0" w:type="dxa"/>
              <w:left w:w="28" w:type="dxa"/>
              <w:bottom w:w="0" w:type="dxa"/>
              <w:right w:w="28" w:type="dxa"/>
            </w:tcMar>
          </w:tcPr>
          <w:p w14:paraId="72D8E10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53D4EA4"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insurance risk (event risk, pure risk)</w:t>
            </w:r>
          </w:p>
        </w:tc>
        <w:tc>
          <w:tcPr>
            <w:tcW w:w="969" w:type="dxa"/>
            <w:tcMar>
              <w:top w:w="0" w:type="dxa"/>
              <w:left w:w="28" w:type="dxa"/>
              <w:bottom w:w="0" w:type="dxa"/>
              <w:right w:w="28" w:type="dxa"/>
            </w:tcMar>
            <w:vAlign w:val="bottom"/>
          </w:tcPr>
          <w:p w14:paraId="1BFEAA8B"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192</w:t>
            </w:r>
          </w:p>
        </w:tc>
      </w:tr>
      <w:tr w:rsidR="00FB375D" w:rsidRPr="00706B0E" w14:paraId="444FF7CA" w14:textId="77777777" w:rsidTr="00B13457">
        <w:trPr>
          <w:trHeight w:val="186"/>
          <w:jc w:val="center"/>
        </w:trPr>
        <w:tc>
          <w:tcPr>
            <w:tcW w:w="4001" w:type="dxa"/>
            <w:tcMar>
              <w:top w:w="0" w:type="dxa"/>
              <w:left w:w="28" w:type="dxa"/>
              <w:bottom w:w="0" w:type="dxa"/>
              <w:right w:w="28" w:type="dxa"/>
            </w:tcMar>
            <w:hideMark/>
          </w:tcPr>
          <w:p w14:paraId="47A5A72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blended family (stepfamily)</w:t>
            </w:r>
          </w:p>
        </w:tc>
        <w:tc>
          <w:tcPr>
            <w:tcW w:w="888" w:type="dxa"/>
            <w:tcMar>
              <w:top w:w="0" w:type="dxa"/>
              <w:left w:w="28" w:type="dxa"/>
              <w:bottom w:w="0" w:type="dxa"/>
              <w:right w:w="28" w:type="dxa"/>
            </w:tcMar>
          </w:tcPr>
          <w:p w14:paraId="390BA15F"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106</w:t>
            </w:r>
          </w:p>
        </w:tc>
        <w:tc>
          <w:tcPr>
            <w:tcW w:w="222" w:type="dxa"/>
            <w:tcMar>
              <w:top w:w="0" w:type="dxa"/>
              <w:left w:w="28" w:type="dxa"/>
              <w:bottom w:w="0" w:type="dxa"/>
              <w:right w:w="28" w:type="dxa"/>
            </w:tcMar>
          </w:tcPr>
          <w:p w14:paraId="0E3A978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8D4AE1F"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insured</w:t>
            </w:r>
          </w:p>
        </w:tc>
        <w:tc>
          <w:tcPr>
            <w:tcW w:w="969" w:type="dxa"/>
            <w:tcMar>
              <w:top w:w="0" w:type="dxa"/>
              <w:left w:w="28" w:type="dxa"/>
              <w:bottom w:w="0" w:type="dxa"/>
              <w:right w:w="28" w:type="dxa"/>
            </w:tcMar>
          </w:tcPr>
          <w:p w14:paraId="1228DA6B"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192</w:t>
            </w:r>
          </w:p>
        </w:tc>
      </w:tr>
      <w:tr w:rsidR="00FB375D" w:rsidRPr="00706B0E" w14:paraId="1DBD3267" w14:textId="77777777" w:rsidTr="00B13457">
        <w:trPr>
          <w:trHeight w:val="270"/>
          <w:jc w:val="center"/>
        </w:trPr>
        <w:tc>
          <w:tcPr>
            <w:tcW w:w="4001" w:type="dxa"/>
            <w:tcMar>
              <w:top w:w="0" w:type="dxa"/>
              <w:left w:w="28" w:type="dxa"/>
              <w:bottom w:w="0" w:type="dxa"/>
              <w:right w:w="28" w:type="dxa"/>
            </w:tcMar>
            <w:hideMark/>
          </w:tcPr>
          <w:p w14:paraId="4AE1CDB5" w14:textId="77777777" w:rsidR="00FB375D" w:rsidRPr="00706B0E" w:rsidRDefault="004A535F"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Pr>
                <w:rFonts w:ascii="Garamond" w:eastAsia="Calibri" w:hAnsi="Garamond" w:cs="Calibri"/>
                <w:sz w:val="28"/>
                <w:szCs w:val="28"/>
                <w:u w:color="000000"/>
                <w:lang w:val="en-US" w:eastAsia="en-US"/>
              </w:rPr>
              <w:t>bond</w:t>
            </w:r>
          </w:p>
        </w:tc>
        <w:tc>
          <w:tcPr>
            <w:tcW w:w="888" w:type="dxa"/>
            <w:tcMar>
              <w:top w:w="0" w:type="dxa"/>
              <w:left w:w="28" w:type="dxa"/>
              <w:bottom w:w="0" w:type="dxa"/>
              <w:right w:w="28" w:type="dxa"/>
            </w:tcMar>
            <w:vAlign w:val="bottom"/>
          </w:tcPr>
          <w:p w14:paraId="539D83FA"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173</w:t>
            </w:r>
          </w:p>
        </w:tc>
        <w:tc>
          <w:tcPr>
            <w:tcW w:w="222" w:type="dxa"/>
            <w:tcMar>
              <w:top w:w="0" w:type="dxa"/>
              <w:left w:w="28" w:type="dxa"/>
              <w:bottom w:w="0" w:type="dxa"/>
              <w:right w:w="28" w:type="dxa"/>
            </w:tcMar>
          </w:tcPr>
          <w:p w14:paraId="5CDCE4E3"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145B4DB"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insurer</w:t>
            </w:r>
          </w:p>
        </w:tc>
        <w:tc>
          <w:tcPr>
            <w:tcW w:w="969" w:type="dxa"/>
            <w:tcMar>
              <w:top w:w="0" w:type="dxa"/>
              <w:left w:w="28" w:type="dxa"/>
              <w:bottom w:w="0" w:type="dxa"/>
              <w:right w:w="28" w:type="dxa"/>
            </w:tcMar>
            <w:vAlign w:val="bottom"/>
          </w:tcPr>
          <w:p w14:paraId="0A37E79D"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192</w:t>
            </w:r>
          </w:p>
        </w:tc>
      </w:tr>
      <w:tr w:rsidR="00FB375D" w:rsidRPr="00706B0E" w14:paraId="465BD692" w14:textId="77777777" w:rsidTr="00B13457">
        <w:trPr>
          <w:trHeight w:val="270"/>
          <w:jc w:val="center"/>
        </w:trPr>
        <w:tc>
          <w:tcPr>
            <w:tcW w:w="4001" w:type="dxa"/>
            <w:tcMar>
              <w:top w:w="0" w:type="dxa"/>
              <w:left w:w="28" w:type="dxa"/>
              <w:bottom w:w="0" w:type="dxa"/>
              <w:right w:w="28" w:type="dxa"/>
            </w:tcMar>
            <w:hideMark/>
          </w:tcPr>
          <w:p w14:paraId="7E434E04" w14:textId="77777777" w:rsidR="00FB375D" w:rsidRPr="00706B0E" w:rsidRDefault="004A535F"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Pr>
                <w:rFonts w:ascii="Garamond" w:eastAsia="Calibri" w:hAnsi="Garamond" w:cs="Calibri"/>
                <w:sz w:val="28"/>
                <w:szCs w:val="28"/>
                <w:u w:color="000000"/>
                <w:lang w:val="en-US" w:eastAsia="en-US"/>
              </w:rPr>
              <w:t>borrowing</w:t>
            </w:r>
          </w:p>
        </w:tc>
        <w:tc>
          <w:tcPr>
            <w:tcW w:w="888" w:type="dxa"/>
            <w:tcMar>
              <w:top w:w="0" w:type="dxa"/>
              <w:left w:w="28" w:type="dxa"/>
              <w:bottom w:w="0" w:type="dxa"/>
              <w:right w:w="28" w:type="dxa"/>
            </w:tcMar>
            <w:vAlign w:val="bottom"/>
          </w:tcPr>
          <w:p w14:paraId="7714DCEC"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87</w:t>
            </w:r>
          </w:p>
        </w:tc>
        <w:tc>
          <w:tcPr>
            <w:tcW w:w="222" w:type="dxa"/>
            <w:tcMar>
              <w:top w:w="0" w:type="dxa"/>
              <w:left w:w="28" w:type="dxa"/>
              <w:bottom w:w="0" w:type="dxa"/>
              <w:right w:w="28" w:type="dxa"/>
            </w:tcMar>
          </w:tcPr>
          <w:p w14:paraId="766C321B"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FCB3710" w14:textId="77777777" w:rsidR="00FB375D" w:rsidRPr="00706B0E" w:rsidRDefault="004A535F"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Pr>
                <w:rFonts w:ascii="Garamond" w:eastAsia="Calibri" w:hAnsi="Garamond" w:cs="Calibri"/>
                <w:sz w:val="28"/>
                <w:szCs w:val="28"/>
                <w:u w:color="000000"/>
                <w:lang w:val="en-US" w:eastAsia="en-US"/>
              </w:rPr>
              <w:t>import duty</w:t>
            </w:r>
          </w:p>
        </w:tc>
        <w:tc>
          <w:tcPr>
            <w:tcW w:w="969" w:type="dxa"/>
            <w:tcMar>
              <w:top w:w="0" w:type="dxa"/>
              <w:left w:w="28" w:type="dxa"/>
              <w:bottom w:w="0" w:type="dxa"/>
              <w:right w:w="28" w:type="dxa"/>
            </w:tcMar>
            <w:vAlign w:val="bottom"/>
          </w:tcPr>
          <w:p w14:paraId="220C2107"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53</w:t>
            </w:r>
          </w:p>
        </w:tc>
      </w:tr>
      <w:tr w:rsidR="00FB375D" w:rsidRPr="00706B0E" w14:paraId="36998268" w14:textId="77777777" w:rsidTr="00B13457">
        <w:trPr>
          <w:trHeight w:val="270"/>
          <w:jc w:val="center"/>
        </w:trPr>
        <w:tc>
          <w:tcPr>
            <w:tcW w:w="4001" w:type="dxa"/>
            <w:tcMar>
              <w:top w:w="0" w:type="dxa"/>
              <w:left w:w="28" w:type="dxa"/>
              <w:bottom w:w="0" w:type="dxa"/>
              <w:right w:w="28" w:type="dxa"/>
            </w:tcMar>
            <w:hideMark/>
          </w:tcPr>
          <w:p w14:paraId="4C436E63" w14:textId="77777777" w:rsidR="00FB375D" w:rsidRPr="00706B0E" w:rsidRDefault="004A535F"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Pr>
                <w:rFonts w:ascii="Garamond" w:eastAsia="Calibri" w:hAnsi="Garamond" w:cs="Calibri"/>
                <w:sz w:val="28"/>
                <w:szCs w:val="28"/>
                <w:u w:color="000000"/>
                <w:lang w:val="en-US" w:eastAsia="en-US"/>
              </w:rPr>
              <w:t>broker</w:t>
            </w:r>
          </w:p>
        </w:tc>
        <w:tc>
          <w:tcPr>
            <w:tcW w:w="888" w:type="dxa"/>
            <w:tcMar>
              <w:top w:w="0" w:type="dxa"/>
              <w:left w:w="28" w:type="dxa"/>
              <w:bottom w:w="0" w:type="dxa"/>
              <w:right w:w="28" w:type="dxa"/>
            </w:tcMar>
            <w:vAlign w:val="bottom"/>
          </w:tcPr>
          <w:p w14:paraId="51EEB384"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174</w:t>
            </w:r>
          </w:p>
        </w:tc>
        <w:tc>
          <w:tcPr>
            <w:tcW w:w="222" w:type="dxa"/>
            <w:tcMar>
              <w:top w:w="0" w:type="dxa"/>
              <w:left w:w="28" w:type="dxa"/>
              <w:bottom w:w="0" w:type="dxa"/>
              <w:right w:w="28" w:type="dxa"/>
            </w:tcMar>
          </w:tcPr>
          <w:p w14:paraId="4D69A9D7"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9A5839B" w14:textId="77777777" w:rsidR="00FB375D" w:rsidRPr="00706B0E" w:rsidRDefault="004A535F"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Pr>
                <w:rFonts w:ascii="Garamond" w:eastAsia="Calibri" w:hAnsi="Garamond" w:cs="Calibri"/>
                <w:sz w:val="28"/>
                <w:szCs w:val="28"/>
                <w:u w:color="000000"/>
                <w:lang w:val="en-US" w:eastAsia="en-US"/>
              </w:rPr>
              <w:t>import quota</w:t>
            </w:r>
          </w:p>
        </w:tc>
        <w:tc>
          <w:tcPr>
            <w:tcW w:w="969" w:type="dxa"/>
            <w:tcMar>
              <w:top w:w="0" w:type="dxa"/>
              <w:left w:w="28" w:type="dxa"/>
              <w:bottom w:w="0" w:type="dxa"/>
              <w:right w:w="28" w:type="dxa"/>
            </w:tcMar>
            <w:vAlign w:val="bottom"/>
          </w:tcPr>
          <w:p w14:paraId="0DB6BDBC"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53</w:t>
            </w:r>
          </w:p>
        </w:tc>
      </w:tr>
      <w:tr w:rsidR="00FB375D" w:rsidRPr="00706B0E" w14:paraId="38EC7674" w14:textId="77777777" w:rsidTr="00B13457">
        <w:trPr>
          <w:trHeight w:val="270"/>
          <w:jc w:val="center"/>
        </w:trPr>
        <w:tc>
          <w:tcPr>
            <w:tcW w:w="4001" w:type="dxa"/>
            <w:tcMar>
              <w:top w:w="0" w:type="dxa"/>
              <w:left w:w="28" w:type="dxa"/>
              <w:bottom w:w="0" w:type="dxa"/>
              <w:right w:w="28" w:type="dxa"/>
            </w:tcMar>
            <w:hideMark/>
          </w:tcPr>
          <w:p w14:paraId="3A2C9098" w14:textId="77777777" w:rsidR="00FB375D" w:rsidRPr="00706B0E" w:rsidRDefault="004A535F"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Pr>
                <w:rFonts w:ascii="Garamond" w:eastAsia="Calibri" w:hAnsi="Garamond" w:cs="Calibri"/>
                <w:sz w:val="28"/>
                <w:szCs w:val="28"/>
                <w:u w:color="000000"/>
                <w:lang w:val="en-US" w:eastAsia="en-US"/>
              </w:rPr>
              <w:t>budget allocation</w:t>
            </w:r>
          </w:p>
        </w:tc>
        <w:tc>
          <w:tcPr>
            <w:tcW w:w="888" w:type="dxa"/>
            <w:tcMar>
              <w:top w:w="0" w:type="dxa"/>
              <w:left w:w="28" w:type="dxa"/>
              <w:bottom w:w="0" w:type="dxa"/>
              <w:right w:w="28" w:type="dxa"/>
            </w:tcMar>
            <w:vAlign w:val="bottom"/>
          </w:tcPr>
          <w:p w14:paraId="5AB3F5A1"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87</w:t>
            </w:r>
          </w:p>
        </w:tc>
        <w:tc>
          <w:tcPr>
            <w:tcW w:w="222" w:type="dxa"/>
            <w:tcMar>
              <w:top w:w="0" w:type="dxa"/>
              <w:left w:w="28" w:type="dxa"/>
              <w:bottom w:w="0" w:type="dxa"/>
              <w:right w:w="28" w:type="dxa"/>
            </w:tcMar>
          </w:tcPr>
          <w:p w14:paraId="44E2F63B"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20D1FFB"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indemnity</w:t>
            </w:r>
          </w:p>
        </w:tc>
        <w:tc>
          <w:tcPr>
            <w:tcW w:w="969" w:type="dxa"/>
            <w:tcMar>
              <w:top w:w="0" w:type="dxa"/>
              <w:left w:w="28" w:type="dxa"/>
              <w:bottom w:w="0" w:type="dxa"/>
              <w:right w:w="28" w:type="dxa"/>
            </w:tcMar>
            <w:vAlign w:val="bottom"/>
          </w:tcPr>
          <w:p w14:paraId="5C90C543"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192</w:t>
            </w:r>
          </w:p>
        </w:tc>
      </w:tr>
      <w:tr w:rsidR="00FB375D" w:rsidRPr="00706B0E" w14:paraId="0F669C5E" w14:textId="77777777" w:rsidTr="00B13457">
        <w:trPr>
          <w:trHeight w:val="270"/>
          <w:jc w:val="center"/>
        </w:trPr>
        <w:tc>
          <w:tcPr>
            <w:tcW w:w="4001" w:type="dxa"/>
            <w:tcMar>
              <w:top w:w="0" w:type="dxa"/>
              <w:left w:w="28" w:type="dxa"/>
              <w:bottom w:w="0" w:type="dxa"/>
              <w:right w:w="28" w:type="dxa"/>
            </w:tcMar>
            <w:hideMark/>
          </w:tcPr>
          <w:p w14:paraId="6289152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budget appropriation</w:t>
            </w:r>
          </w:p>
        </w:tc>
        <w:tc>
          <w:tcPr>
            <w:tcW w:w="888" w:type="dxa"/>
            <w:tcMar>
              <w:top w:w="0" w:type="dxa"/>
              <w:left w:w="28" w:type="dxa"/>
              <w:bottom w:w="0" w:type="dxa"/>
              <w:right w:w="28" w:type="dxa"/>
            </w:tcMar>
            <w:vAlign w:val="bottom"/>
          </w:tcPr>
          <w:p w14:paraId="3FFE8C22"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87</w:t>
            </w:r>
          </w:p>
        </w:tc>
        <w:tc>
          <w:tcPr>
            <w:tcW w:w="222" w:type="dxa"/>
            <w:tcMar>
              <w:top w:w="0" w:type="dxa"/>
              <w:left w:w="28" w:type="dxa"/>
              <w:bottom w:w="0" w:type="dxa"/>
              <w:right w:w="28" w:type="dxa"/>
            </w:tcMar>
          </w:tcPr>
          <w:p w14:paraId="2352C8F3"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9F3C887"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institutional investor</w:t>
            </w:r>
          </w:p>
        </w:tc>
        <w:tc>
          <w:tcPr>
            <w:tcW w:w="969" w:type="dxa"/>
            <w:tcMar>
              <w:top w:w="0" w:type="dxa"/>
              <w:left w:w="28" w:type="dxa"/>
              <w:bottom w:w="0" w:type="dxa"/>
              <w:right w:w="28" w:type="dxa"/>
            </w:tcMar>
            <w:vAlign w:val="bottom"/>
          </w:tcPr>
          <w:p w14:paraId="5860AA00"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173</w:t>
            </w:r>
          </w:p>
        </w:tc>
      </w:tr>
      <w:tr w:rsidR="00FB375D" w:rsidRPr="00706B0E" w14:paraId="33BB3153" w14:textId="77777777" w:rsidTr="00B13457">
        <w:trPr>
          <w:trHeight w:val="270"/>
          <w:jc w:val="center"/>
        </w:trPr>
        <w:tc>
          <w:tcPr>
            <w:tcW w:w="4001" w:type="dxa"/>
            <w:tcMar>
              <w:top w:w="0" w:type="dxa"/>
              <w:left w:w="28" w:type="dxa"/>
              <w:bottom w:w="0" w:type="dxa"/>
              <w:right w:w="28" w:type="dxa"/>
            </w:tcMar>
            <w:hideMark/>
          </w:tcPr>
          <w:p w14:paraId="6E8977D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budget apportionment</w:t>
            </w:r>
          </w:p>
        </w:tc>
        <w:tc>
          <w:tcPr>
            <w:tcW w:w="888" w:type="dxa"/>
            <w:tcMar>
              <w:top w:w="0" w:type="dxa"/>
              <w:left w:w="28" w:type="dxa"/>
              <w:bottom w:w="0" w:type="dxa"/>
              <w:right w:w="28" w:type="dxa"/>
            </w:tcMar>
            <w:vAlign w:val="bottom"/>
          </w:tcPr>
          <w:p w14:paraId="2AC888EB"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88</w:t>
            </w:r>
          </w:p>
        </w:tc>
        <w:tc>
          <w:tcPr>
            <w:tcW w:w="222" w:type="dxa"/>
            <w:tcMar>
              <w:top w:w="0" w:type="dxa"/>
              <w:left w:w="28" w:type="dxa"/>
              <w:bottom w:w="0" w:type="dxa"/>
              <w:right w:w="28" w:type="dxa"/>
            </w:tcMar>
          </w:tcPr>
          <w:p w14:paraId="6A397037"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892EDC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interbank market</w:t>
            </w:r>
          </w:p>
        </w:tc>
        <w:tc>
          <w:tcPr>
            <w:tcW w:w="969" w:type="dxa"/>
            <w:tcMar>
              <w:top w:w="0" w:type="dxa"/>
              <w:left w:w="28" w:type="dxa"/>
              <w:bottom w:w="0" w:type="dxa"/>
              <w:right w:w="28" w:type="dxa"/>
            </w:tcMar>
            <w:vAlign w:val="bottom"/>
          </w:tcPr>
          <w:p w14:paraId="77B9F364"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174</w:t>
            </w:r>
          </w:p>
        </w:tc>
      </w:tr>
      <w:tr w:rsidR="00FB375D" w:rsidRPr="00706B0E" w14:paraId="00F0BAFF" w14:textId="77777777" w:rsidTr="00B13457">
        <w:trPr>
          <w:trHeight w:val="270"/>
          <w:jc w:val="center"/>
        </w:trPr>
        <w:tc>
          <w:tcPr>
            <w:tcW w:w="4001" w:type="dxa"/>
            <w:tcMar>
              <w:top w:w="0" w:type="dxa"/>
              <w:left w:w="28" w:type="dxa"/>
              <w:bottom w:w="0" w:type="dxa"/>
              <w:right w:w="28" w:type="dxa"/>
            </w:tcMar>
            <w:hideMark/>
          </w:tcPr>
          <w:p w14:paraId="2F60098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budget commitment</w:t>
            </w:r>
          </w:p>
        </w:tc>
        <w:tc>
          <w:tcPr>
            <w:tcW w:w="888" w:type="dxa"/>
            <w:tcMar>
              <w:top w:w="0" w:type="dxa"/>
              <w:left w:w="28" w:type="dxa"/>
              <w:bottom w:w="0" w:type="dxa"/>
              <w:right w:w="28" w:type="dxa"/>
            </w:tcMar>
            <w:vAlign w:val="bottom"/>
          </w:tcPr>
          <w:p w14:paraId="1259773A"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87</w:t>
            </w:r>
          </w:p>
        </w:tc>
        <w:tc>
          <w:tcPr>
            <w:tcW w:w="222" w:type="dxa"/>
            <w:tcMar>
              <w:top w:w="0" w:type="dxa"/>
              <w:left w:w="28" w:type="dxa"/>
              <w:bottom w:w="0" w:type="dxa"/>
              <w:right w:w="28" w:type="dxa"/>
            </w:tcMar>
          </w:tcPr>
          <w:p w14:paraId="0D3FABF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EB5BA1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inter-governmental transfers</w:t>
            </w:r>
          </w:p>
        </w:tc>
        <w:tc>
          <w:tcPr>
            <w:tcW w:w="969" w:type="dxa"/>
            <w:tcMar>
              <w:top w:w="0" w:type="dxa"/>
              <w:left w:w="28" w:type="dxa"/>
              <w:bottom w:w="0" w:type="dxa"/>
              <w:right w:w="28" w:type="dxa"/>
            </w:tcMar>
            <w:vAlign w:val="bottom"/>
          </w:tcPr>
          <w:p w14:paraId="7CAFD7A4"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87</w:t>
            </w:r>
          </w:p>
        </w:tc>
      </w:tr>
      <w:tr w:rsidR="00FB375D" w:rsidRPr="00706B0E" w14:paraId="4EDA3F19" w14:textId="77777777" w:rsidTr="00B13457">
        <w:trPr>
          <w:trHeight w:val="530"/>
          <w:jc w:val="center"/>
        </w:trPr>
        <w:tc>
          <w:tcPr>
            <w:tcW w:w="4001" w:type="dxa"/>
            <w:tcMar>
              <w:top w:w="0" w:type="dxa"/>
              <w:left w:w="28" w:type="dxa"/>
              <w:bottom w:w="0" w:type="dxa"/>
              <w:right w:w="28" w:type="dxa"/>
            </w:tcMar>
            <w:hideMark/>
          </w:tcPr>
          <w:p w14:paraId="2E428B4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budget deficit</w:t>
            </w:r>
          </w:p>
        </w:tc>
        <w:tc>
          <w:tcPr>
            <w:tcW w:w="888" w:type="dxa"/>
            <w:tcMar>
              <w:top w:w="0" w:type="dxa"/>
              <w:left w:w="28" w:type="dxa"/>
              <w:bottom w:w="0" w:type="dxa"/>
              <w:right w:w="28" w:type="dxa"/>
            </w:tcMar>
            <w:vAlign w:val="bottom"/>
          </w:tcPr>
          <w:p w14:paraId="49E4DC16"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88</w:t>
            </w:r>
          </w:p>
        </w:tc>
        <w:tc>
          <w:tcPr>
            <w:tcW w:w="222" w:type="dxa"/>
            <w:tcMar>
              <w:top w:w="0" w:type="dxa"/>
              <w:left w:w="28" w:type="dxa"/>
              <w:bottom w:w="0" w:type="dxa"/>
              <w:right w:w="28" w:type="dxa"/>
            </w:tcMar>
          </w:tcPr>
          <w:p w14:paraId="6BDC020E"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247D54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intermediate commodities (producer goods)</w:t>
            </w:r>
          </w:p>
        </w:tc>
        <w:tc>
          <w:tcPr>
            <w:tcW w:w="969" w:type="dxa"/>
            <w:tcMar>
              <w:top w:w="0" w:type="dxa"/>
              <w:left w:w="28" w:type="dxa"/>
              <w:bottom w:w="0" w:type="dxa"/>
              <w:right w:w="28" w:type="dxa"/>
            </w:tcMar>
            <w:vAlign w:val="bottom"/>
          </w:tcPr>
          <w:p w14:paraId="48CF2C10"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105</w:t>
            </w:r>
          </w:p>
        </w:tc>
      </w:tr>
      <w:tr w:rsidR="00FB375D" w:rsidRPr="00706B0E" w14:paraId="5F1AF29A" w14:textId="77777777" w:rsidTr="00B13457">
        <w:trPr>
          <w:trHeight w:val="270"/>
          <w:jc w:val="center"/>
        </w:trPr>
        <w:tc>
          <w:tcPr>
            <w:tcW w:w="4001" w:type="dxa"/>
            <w:tcMar>
              <w:top w:w="0" w:type="dxa"/>
              <w:left w:w="28" w:type="dxa"/>
              <w:bottom w:w="0" w:type="dxa"/>
              <w:right w:w="28" w:type="dxa"/>
            </w:tcMar>
            <w:hideMark/>
          </w:tcPr>
          <w:p w14:paraId="25B3816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budget entity</w:t>
            </w:r>
          </w:p>
        </w:tc>
        <w:tc>
          <w:tcPr>
            <w:tcW w:w="888" w:type="dxa"/>
            <w:tcMar>
              <w:top w:w="0" w:type="dxa"/>
              <w:left w:w="28" w:type="dxa"/>
              <w:bottom w:w="0" w:type="dxa"/>
              <w:right w:w="28" w:type="dxa"/>
            </w:tcMar>
          </w:tcPr>
          <w:p w14:paraId="7277B4F6"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87</w:t>
            </w:r>
          </w:p>
        </w:tc>
        <w:tc>
          <w:tcPr>
            <w:tcW w:w="222" w:type="dxa"/>
            <w:tcMar>
              <w:top w:w="0" w:type="dxa"/>
              <w:left w:w="28" w:type="dxa"/>
              <w:bottom w:w="0" w:type="dxa"/>
              <w:right w:w="28" w:type="dxa"/>
            </w:tcMar>
          </w:tcPr>
          <w:p w14:paraId="75664730"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FC5E60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international finance</w:t>
            </w:r>
          </w:p>
        </w:tc>
        <w:tc>
          <w:tcPr>
            <w:tcW w:w="969" w:type="dxa"/>
            <w:tcMar>
              <w:top w:w="0" w:type="dxa"/>
              <w:left w:w="28" w:type="dxa"/>
              <w:bottom w:w="0" w:type="dxa"/>
              <w:right w:w="28" w:type="dxa"/>
            </w:tcMar>
            <w:vAlign w:val="bottom"/>
          </w:tcPr>
          <w:p w14:paraId="1615D862"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54, 208</w:t>
            </w:r>
          </w:p>
        </w:tc>
      </w:tr>
      <w:tr w:rsidR="00FB375D" w:rsidRPr="00706B0E" w14:paraId="004A5DB4" w14:textId="77777777" w:rsidTr="00B13457">
        <w:trPr>
          <w:trHeight w:val="530"/>
          <w:jc w:val="center"/>
        </w:trPr>
        <w:tc>
          <w:tcPr>
            <w:tcW w:w="4001" w:type="dxa"/>
            <w:tcMar>
              <w:top w:w="0" w:type="dxa"/>
              <w:left w:w="28" w:type="dxa"/>
              <w:bottom w:w="0" w:type="dxa"/>
              <w:right w:w="28" w:type="dxa"/>
            </w:tcMar>
            <w:hideMark/>
          </w:tcPr>
          <w:p w14:paraId="27D9F75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budget financing</w:t>
            </w:r>
          </w:p>
        </w:tc>
        <w:tc>
          <w:tcPr>
            <w:tcW w:w="888" w:type="dxa"/>
            <w:tcMar>
              <w:top w:w="0" w:type="dxa"/>
              <w:left w:w="28" w:type="dxa"/>
              <w:bottom w:w="0" w:type="dxa"/>
              <w:right w:w="28" w:type="dxa"/>
            </w:tcMar>
            <w:vAlign w:val="bottom"/>
          </w:tcPr>
          <w:p w14:paraId="6FF2353E"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88</w:t>
            </w:r>
          </w:p>
        </w:tc>
        <w:tc>
          <w:tcPr>
            <w:tcW w:w="222" w:type="dxa"/>
            <w:tcMar>
              <w:top w:w="0" w:type="dxa"/>
              <w:left w:w="28" w:type="dxa"/>
              <w:bottom w:w="0" w:type="dxa"/>
              <w:right w:w="28" w:type="dxa"/>
            </w:tcMar>
          </w:tcPr>
          <w:p w14:paraId="39F182A9"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12E5FE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international financial institutions (IFIs)</w:t>
            </w:r>
          </w:p>
        </w:tc>
        <w:tc>
          <w:tcPr>
            <w:tcW w:w="969" w:type="dxa"/>
            <w:tcMar>
              <w:top w:w="0" w:type="dxa"/>
              <w:left w:w="28" w:type="dxa"/>
              <w:bottom w:w="0" w:type="dxa"/>
              <w:right w:w="28" w:type="dxa"/>
            </w:tcMar>
            <w:vAlign w:val="bottom"/>
          </w:tcPr>
          <w:p w14:paraId="6B218724"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208</w:t>
            </w:r>
          </w:p>
        </w:tc>
      </w:tr>
      <w:tr w:rsidR="00FB375D" w:rsidRPr="00706B0E" w14:paraId="65FA7C96" w14:textId="77777777" w:rsidTr="00B13457">
        <w:trPr>
          <w:trHeight w:val="530"/>
          <w:jc w:val="center"/>
        </w:trPr>
        <w:tc>
          <w:tcPr>
            <w:tcW w:w="4001" w:type="dxa"/>
            <w:tcMar>
              <w:top w:w="0" w:type="dxa"/>
              <w:left w:w="28" w:type="dxa"/>
              <w:bottom w:w="0" w:type="dxa"/>
              <w:right w:w="28" w:type="dxa"/>
            </w:tcMar>
            <w:hideMark/>
          </w:tcPr>
          <w:p w14:paraId="3FF9775E"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budget program</w:t>
            </w:r>
          </w:p>
        </w:tc>
        <w:tc>
          <w:tcPr>
            <w:tcW w:w="888" w:type="dxa"/>
            <w:tcMar>
              <w:top w:w="0" w:type="dxa"/>
              <w:left w:w="28" w:type="dxa"/>
              <w:bottom w:w="0" w:type="dxa"/>
              <w:right w:w="28" w:type="dxa"/>
            </w:tcMar>
          </w:tcPr>
          <w:p w14:paraId="606514BC"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87</w:t>
            </w:r>
          </w:p>
        </w:tc>
        <w:tc>
          <w:tcPr>
            <w:tcW w:w="222" w:type="dxa"/>
            <w:tcMar>
              <w:top w:w="0" w:type="dxa"/>
              <w:left w:w="28" w:type="dxa"/>
              <w:bottom w:w="0" w:type="dxa"/>
              <w:right w:w="28" w:type="dxa"/>
            </w:tcMar>
          </w:tcPr>
          <w:p w14:paraId="20D95261"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C3A242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international investment position (IIP)</w:t>
            </w:r>
          </w:p>
        </w:tc>
        <w:tc>
          <w:tcPr>
            <w:tcW w:w="969" w:type="dxa"/>
            <w:tcMar>
              <w:top w:w="0" w:type="dxa"/>
              <w:left w:w="28" w:type="dxa"/>
              <w:bottom w:w="0" w:type="dxa"/>
              <w:right w:w="28" w:type="dxa"/>
            </w:tcMar>
            <w:vAlign w:val="bottom"/>
          </w:tcPr>
          <w:p w14:paraId="6D8A1953"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209</w:t>
            </w:r>
          </w:p>
        </w:tc>
      </w:tr>
      <w:tr w:rsidR="00FB375D" w:rsidRPr="00706B0E" w14:paraId="396F2C10" w14:textId="77777777" w:rsidTr="00B13457">
        <w:trPr>
          <w:trHeight w:val="270"/>
          <w:jc w:val="center"/>
        </w:trPr>
        <w:tc>
          <w:tcPr>
            <w:tcW w:w="4001" w:type="dxa"/>
            <w:tcMar>
              <w:top w:w="0" w:type="dxa"/>
              <w:left w:w="28" w:type="dxa"/>
              <w:bottom w:w="0" w:type="dxa"/>
              <w:right w:w="28" w:type="dxa"/>
            </w:tcMar>
            <w:hideMark/>
          </w:tcPr>
          <w:p w14:paraId="558A74D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budget receipts</w:t>
            </w:r>
          </w:p>
        </w:tc>
        <w:tc>
          <w:tcPr>
            <w:tcW w:w="888" w:type="dxa"/>
            <w:tcMar>
              <w:top w:w="0" w:type="dxa"/>
              <w:left w:w="28" w:type="dxa"/>
              <w:bottom w:w="0" w:type="dxa"/>
              <w:right w:w="28" w:type="dxa"/>
            </w:tcMar>
          </w:tcPr>
          <w:p w14:paraId="3BB20B1E"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87</w:t>
            </w:r>
          </w:p>
        </w:tc>
        <w:tc>
          <w:tcPr>
            <w:tcW w:w="222" w:type="dxa"/>
            <w:tcMar>
              <w:top w:w="0" w:type="dxa"/>
              <w:left w:w="28" w:type="dxa"/>
              <w:bottom w:w="0" w:type="dxa"/>
              <w:right w:w="28" w:type="dxa"/>
            </w:tcMar>
          </w:tcPr>
          <w:p w14:paraId="386146A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6E05CD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International Monetary Fund (IMF)</w:t>
            </w:r>
          </w:p>
        </w:tc>
        <w:tc>
          <w:tcPr>
            <w:tcW w:w="969" w:type="dxa"/>
            <w:tcMar>
              <w:top w:w="0" w:type="dxa"/>
              <w:left w:w="28" w:type="dxa"/>
              <w:bottom w:w="0" w:type="dxa"/>
              <w:right w:w="28" w:type="dxa"/>
            </w:tcMar>
            <w:vAlign w:val="bottom"/>
          </w:tcPr>
          <w:p w14:paraId="6855AA32"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208</w:t>
            </w:r>
          </w:p>
        </w:tc>
      </w:tr>
      <w:tr w:rsidR="00FB375D" w:rsidRPr="00706B0E" w14:paraId="39DB4791" w14:textId="77777777" w:rsidTr="00B13457">
        <w:trPr>
          <w:trHeight w:val="270"/>
          <w:jc w:val="center"/>
        </w:trPr>
        <w:tc>
          <w:tcPr>
            <w:tcW w:w="4001" w:type="dxa"/>
            <w:tcMar>
              <w:top w:w="0" w:type="dxa"/>
              <w:left w:w="28" w:type="dxa"/>
              <w:bottom w:w="0" w:type="dxa"/>
              <w:right w:w="28" w:type="dxa"/>
            </w:tcMar>
            <w:hideMark/>
          </w:tcPr>
          <w:p w14:paraId="78FA2AD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budget surplus</w:t>
            </w:r>
          </w:p>
        </w:tc>
        <w:tc>
          <w:tcPr>
            <w:tcW w:w="888" w:type="dxa"/>
            <w:tcMar>
              <w:top w:w="0" w:type="dxa"/>
              <w:left w:w="28" w:type="dxa"/>
              <w:bottom w:w="0" w:type="dxa"/>
              <w:right w:w="28" w:type="dxa"/>
            </w:tcMar>
          </w:tcPr>
          <w:p w14:paraId="304B644F"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88</w:t>
            </w:r>
          </w:p>
        </w:tc>
        <w:tc>
          <w:tcPr>
            <w:tcW w:w="222" w:type="dxa"/>
            <w:tcMar>
              <w:top w:w="0" w:type="dxa"/>
              <w:left w:w="28" w:type="dxa"/>
              <w:bottom w:w="0" w:type="dxa"/>
              <w:right w:w="28" w:type="dxa"/>
            </w:tcMar>
          </w:tcPr>
          <w:p w14:paraId="5754067C"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D89B07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investing activities</w:t>
            </w:r>
          </w:p>
        </w:tc>
        <w:tc>
          <w:tcPr>
            <w:tcW w:w="969" w:type="dxa"/>
            <w:tcMar>
              <w:top w:w="0" w:type="dxa"/>
              <w:left w:w="28" w:type="dxa"/>
              <w:bottom w:w="0" w:type="dxa"/>
              <w:right w:w="28" w:type="dxa"/>
            </w:tcMar>
            <w:vAlign w:val="bottom"/>
          </w:tcPr>
          <w:p w14:paraId="3642C062"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124</w:t>
            </w:r>
          </w:p>
        </w:tc>
      </w:tr>
      <w:tr w:rsidR="00FB375D" w:rsidRPr="00706B0E" w14:paraId="2C97407F" w14:textId="77777777" w:rsidTr="00B13457">
        <w:trPr>
          <w:trHeight w:val="270"/>
          <w:jc w:val="center"/>
        </w:trPr>
        <w:tc>
          <w:tcPr>
            <w:tcW w:w="4001" w:type="dxa"/>
            <w:tcMar>
              <w:top w:w="0" w:type="dxa"/>
              <w:left w:w="28" w:type="dxa"/>
              <w:bottom w:w="0" w:type="dxa"/>
              <w:right w:w="28" w:type="dxa"/>
            </w:tcMar>
            <w:hideMark/>
          </w:tcPr>
          <w:p w14:paraId="2C5568F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 xml:space="preserve">business entity </w:t>
            </w:r>
          </w:p>
        </w:tc>
        <w:tc>
          <w:tcPr>
            <w:tcW w:w="888" w:type="dxa"/>
            <w:tcMar>
              <w:top w:w="0" w:type="dxa"/>
              <w:left w:w="28" w:type="dxa"/>
              <w:bottom w:w="0" w:type="dxa"/>
              <w:right w:w="28" w:type="dxa"/>
            </w:tcMar>
          </w:tcPr>
          <w:p w14:paraId="63A84C54"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123</w:t>
            </w:r>
          </w:p>
        </w:tc>
        <w:tc>
          <w:tcPr>
            <w:tcW w:w="222" w:type="dxa"/>
            <w:tcMar>
              <w:top w:w="0" w:type="dxa"/>
              <w:left w:w="28" w:type="dxa"/>
              <w:bottom w:w="0" w:type="dxa"/>
              <w:right w:w="28" w:type="dxa"/>
            </w:tcMar>
          </w:tcPr>
          <w:p w14:paraId="4A851DB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FD2B2B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issued share capital</w:t>
            </w:r>
          </w:p>
        </w:tc>
        <w:tc>
          <w:tcPr>
            <w:tcW w:w="969" w:type="dxa"/>
            <w:tcMar>
              <w:top w:w="0" w:type="dxa"/>
              <w:left w:w="28" w:type="dxa"/>
              <w:bottom w:w="0" w:type="dxa"/>
              <w:right w:w="28" w:type="dxa"/>
            </w:tcMar>
            <w:vAlign w:val="bottom"/>
          </w:tcPr>
          <w:p w14:paraId="011F65F6"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123</w:t>
            </w:r>
          </w:p>
        </w:tc>
      </w:tr>
      <w:tr w:rsidR="00FB375D" w:rsidRPr="00706B0E" w14:paraId="54F1BECD" w14:textId="77777777" w:rsidTr="00CE389C">
        <w:trPr>
          <w:trHeight w:val="270"/>
          <w:jc w:val="center"/>
        </w:trPr>
        <w:tc>
          <w:tcPr>
            <w:tcW w:w="4001" w:type="dxa"/>
            <w:shd w:val="clear" w:color="auto" w:fill="BFBFBF"/>
            <w:tcMar>
              <w:top w:w="0" w:type="dxa"/>
              <w:left w:w="28" w:type="dxa"/>
              <w:bottom w:w="0" w:type="dxa"/>
              <w:right w:w="28" w:type="dxa"/>
            </w:tcMar>
            <w:hideMark/>
          </w:tcPr>
          <w:p w14:paraId="41920F78"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b/>
                <w:bCs/>
                <w:sz w:val="28"/>
                <w:szCs w:val="28"/>
                <w:u w:color="000000"/>
                <w:lang w:val="en-US" w:eastAsia="en-US"/>
              </w:rPr>
              <w:t>C</w:t>
            </w:r>
          </w:p>
        </w:tc>
        <w:tc>
          <w:tcPr>
            <w:tcW w:w="888" w:type="dxa"/>
            <w:shd w:val="clear" w:color="auto" w:fill="BFBFBF"/>
            <w:tcMar>
              <w:top w:w="0" w:type="dxa"/>
              <w:left w:w="28" w:type="dxa"/>
              <w:bottom w:w="0" w:type="dxa"/>
              <w:right w:w="28" w:type="dxa"/>
            </w:tcMar>
            <w:vAlign w:val="bottom"/>
          </w:tcPr>
          <w:p w14:paraId="1B6850F1" w14:textId="77777777" w:rsidR="00FB375D" w:rsidRPr="00B13457" w:rsidRDefault="00FB375D" w:rsidP="004A3400">
            <w:pPr>
              <w:spacing w:line="312" w:lineRule="auto"/>
              <w:ind w:firstLine="709"/>
              <w:rPr>
                <w:rFonts w:ascii="Garamond" w:eastAsia="Calibri" w:hAnsi="Garamond" w:cs="Calibri"/>
                <w:b/>
                <w:sz w:val="28"/>
                <w:szCs w:val="28"/>
                <w:u w:color="000000"/>
                <w:lang w:val="en-US" w:eastAsia="en-US"/>
              </w:rPr>
            </w:pPr>
          </w:p>
        </w:tc>
        <w:tc>
          <w:tcPr>
            <w:tcW w:w="222" w:type="dxa"/>
            <w:tcMar>
              <w:top w:w="0" w:type="dxa"/>
              <w:left w:w="28" w:type="dxa"/>
              <w:bottom w:w="0" w:type="dxa"/>
              <w:right w:w="28" w:type="dxa"/>
            </w:tcMar>
          </w:tcPr>
          <w:p w14:paraId="0BF5DD5C"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7239C18D"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eastAsia="Helvetica" w:hAnsi="Garamond" w:cs="Helvetica"/>
                <w:b/>
                <w:bCs/>
                <w:sz w:val="28"/>
                <w:szCs w:val="28"/>
              </w:rPr>
              <w:t>K</w:t>
            </w:r>
          </w:p>
        </w:tc>
        <w:tc>
          <w:tcPr>
            <w:tcW w:w="969" w:type="dxa"/>
            <w:shd w:val="clear" w:color="auto" w:fill="BFBFBF"/>
            <w:tcMar>
              <w:top w:w="0" w:type="dxa"/>
              <w:left w:w="28" w:type="dxa"/>
              <w:bottom w:w="0" w:type="dxa"/>
              <w:right w:w="28" w:type="dxa"/>
            </w:tcMar>
            <w:vAlign w:val="bottom"/>
          </w:tcPr>
          <w:p w14:paraId="2CC321BB" w14:textId="77777777" w:rsidR="00FB375D" w:rsidRPr="00B1345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254439CD" w14:textId="77777777" w:rsidTr="00B13457">
        <w:trPr>
          <w:trHeight w:val="270"/>
          <w:jc w:val="center"/>
        </w:trPr>
        <w:tc>
          <w:tcPr>
            <w:tcW w:w="4001" w:type="dxa"/>
            <w:tcMar>
              <w:top w:w="0" w:type="dxa"/>
              <w:left w:w="28" w:type="dxa"/>
              <w:bottom w:w="0" w:type="dxa"/>
              <w:right w:w="28" w:type="dxa"/>
            </w:tcMar>
            <w:hideMark/>
          </w:tcPr>
          <w:p w14:paraId="59319D5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calculation of the tax amount</w:t>
            </w:r>
          </w:p>
        </w:tc>
        <w:tc>
          <w:tcPr>
            <w:tcW w:w="888" w:type="dxa"/>
            <w:tcMar>
              <w:top w:w="0" w:type="dxa"/>
              <w:left w:w="28" w:type="dxa"/>
              <w:bottom w:w="0" w:type="dxa"/>
              <w:right w:w="28" w:type="dxa"/>
            </w:tcMar>
            <w:vAlign w:val="bottom"/>
          </w:tcPr>
          <w:p w14:paraId="5F6D9E11"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70</w:t>
            </w:r>
          </w:p>
        </w:tc>
        <w:tc>
          <w:tcPr>
            <w:tcW w:w="222" w:type="dxa"/>
            <w:tcMar>
              <w:top w:w="0" w:type="dxa"/>
              <w:left w:w="28" w:type="dxa"/>
              <w:bottom w:w="0" w:type="dxa"/>
              <w:right w:w="28" w:type="dxa"/>
            </w:tcMar>
          </w:tcPr>
          <w:p w14:paraId="0B55EA5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A0CB2B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key spending units</w:t>
            </w:r>
          </w:p>
        </w:tc>
        <w:tc>
          <w:tcPr>
            <w:tcW w:w="969" w:type="dxa"/>
            <w:tcMar>
              <w:top w:w="0" w:type="dxa"/>
              <w:left w:w="28" w:type="dxa"/>
              <w:bottom w:w="0" w:type="dxa"/>
              <w:right w:w="28" w:type="dxa"/>
            </w:tcMar>
            <w:vAlign w:val="bottom"/>
          </w:tcPr>
          <w:p w14:paraId="543235BB" w14:textId="77777777" w:rsidR="00FB375D" w:rsidRPr="00B13457" w:rsidRDefault="00B13457" w:rsidP="004A3400">
            <w:pPr>
              <w:spacing w:line="312" w:lineRule="auto"/>
              <w:jc w:val="center"/>
              <w:rPr>
                <w:rFonts w:ascii="Garamond" w:eastAsia="Helvetica" w:hAnsi="Garamond" w:cs="Helvetica"/>
                <w:b/>
                <w:sz w:val="28"/>
                <w:szCs w:val="28"/>
                <w:lang w:val="en-US"/>
              </w:rPr>
            </w:pPr>
            <w:r w:rsidRPr="00B13457">
              <w:rPr>
                <w:rFonts w:ascii="Garamond" w:eastAsia="Helvetica" w:hAnsi="Garamond" w:cs="Helvetica"/>
                <w:b/>
                <w:sz w:val="28"/>
                <w:szCs w:val="28"/>
                <w:lang w:val="en-US"/>
              </w:rPr>
              <w:t>88</w:t>
            </w:r>
          </w:p>
        </w:tc>
      </w:tr>
      <w:tr w:rsidR="00FB375D" w:rsidRPr="00706B0E" w14:paraId="0E0BCF2C" w14:textId="77777777" w:rsidTr="00CE389C">
        <w:trPr>
          <w:trHeight w:val="270"/>
          <w:jc w:val="center"/>
        </w:trPr>
        <w:tc>
          <w:tcPr>
            <w:tcW w:w="4001" w:type="dxa"/>
            <w:tcMar>
              <w:top w:w="0" w:type="dxa"/>
              <w:left w:w="28" w:type="dxa"/>
              <w:bottom w:w="0" w:type="dxa"/>
              <w:right w:w="28" w:type="dxa"/>
            </w:tcMar>
            <w:hideMark/>
          </w:tcPr>
          <w:p w14:paraId="456A3268"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lastRenderedPageBreak/>
              <w:t>capital account</w:t>
            </w:r>
          </w:p>
        </w:tc>
        <w:tc>
          <w:tcPr>
            <w:tcW w:w="888" w:type="dxa"/>
            <w:tcMar>
              <w:top w:w="0" w:type="dxa"/>
              <w:left w:w="28" w:type="dxa"/>
              <w:bottom w:w="0" w:type="dxa"/>
              <w:right w:w="28" w:type="dxa"/>
            </w:tcMar>
            <w:vAlign w:val="bottom"/>
            <w:hideMark/>
          </w:tcPr>
          <w:p w14:paraId="161C9DD2"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bCs/>
                <w:sz w:val="28"/>
                <w:szCs w:val="28"/>
                <w:lang w:val="en-US"/>
              </w:rPr>
              <w:t>209</w:t>
            </w:r>
          </w:p>
        </w:tc>
        <w:tc>
          <w:tcPr>
            <w:tcW w:w="222" w:type="dxa"/>
            <w:tcMar>
              <w:top w:w="0" w:type="dxa"/>
              <w:left w:w="28" w:type="dxa"/>
              <w:bottom w:w="0" w:type="dxa"/>
              <w:right w:w="28" w:type="dxa"/>
            </w:tcMar>
          </w:tcPr>
          <w:p w14:paraId="62DF3331"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27BBB798"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eastAsia="Helvetica" w:hAnsi="Garamond" w:cs="Helvetica"/>
                <w:b/>
                <w:bCs/>
                <w:sz w:val="28"/>
                <w:szCs w:val="28"/>
              </w:rPr>
              <w:t>L</w:t>
            </w:r>
          </w:p>
        </w:tc>
        <w:tc>
          <w:tcPr>
            <w:tcW w:w="969" w:type="dxa"/>
            <w:shd w:val="clear" w:color="auto" w:fill="BFBFBF"/>
            <w:tcMar>
              <w:top w:w="0" w:type="dxa"/>
              <w:left w:w="28" w:type="dxa"/>
              <w:bottom w:w="0" w:type="dxa"/>
              <w:right w:w="28" w:type="dxa"/>
            </w:tcMar>
            <w:vAlign w:val="bottom"/>
          </w:tcPr>
          <w:p w14:paraId="677EFF0F"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r>
      <w:tr w:rsidR="00FB375D" w:rsidRPr="00706B0E" w14:paraId="0BD93EB6" w14:textId="77777777" w:rsidTr="00B13457">
        <w:trPr>
          <w:trHeight w:val="270"/>
          <w:jc w:val="center"/>
        </w:trPr>
        <w:tc>
          <w:tcPr>
            <w:tcW w:w="4001" w:type="dxa"/>
            <w:tcMar>
              <w:top w:w="0" w:type="dxa"/>
              <w:left w:w="28" w:type="dxa"/>
              <w:bottom w:w="0" w:type="dxa"/>
              <w:right w:w="28" w:type="dxa"/>
            </w:tcMar>
            <w:hideMark/>
          </w:tcPr>
          <w:p w14:paraId="761793F6"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capital asset pricing model (CAPM)</w:t>
            </w:r>
          </w:p>
        </w:tc>
        <w:tc>
          <w:tcPr>
            <w:tcW w:w="888" w:type="dxa"/>
            <w:tcMar>
              <w:top w:w="0" w:type="dxa"/>
              <w:left w:w="28" w:type="dxa"/>
              <w:bottom w:w="0" w:type="dxa"/>
              <w:right w:w="28" w:type="dxa"/>
            </w:tcMar>
            <w:vAlign w:val="bottom"/>
          </w:tcPr>
          <w:p w14:paraId="0194416D"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39</w:t>
            </w:r>
          </w:p>
        </w:tc>
        <w:tc>
          <w:tcPr>
            <w:tcW w:w="222" w:type="dxa"/>
            <w:tcMar>
              <w:top w:w="0" w:type="dxa"/>
              <w:left w:w="28" w:type="dxa"/>
              <w:bottom w:w="0" w:type="dxa"/>
              <w:right w:w="28" w:type="dxa"/>
            </w:tcMar>
          </w:tcPr>
          <w:p w14:paraId="2F9EAC3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541ADF8"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liability insurance</w:t>
            </w:r>
          </w:p>
        </w:tc>
        <w:tc>
          <w:tcPr>
            <w:tcW w:w="969" w:type="dxa"/>
            <w:tcMar>
              <w:top w:w="0" w:type="dxa"/>
              <w:left w:w="28" w:type="dxa"/>
              <w:bottom w:w="0" w:type="dxa"/>
              <w:right w:w="28" w:type="dxa"/>
            </w:tcMar>
            <w:vAlign w:val="bottom"/>
          </w:tcPr>
          <w:p w14:paraId="73BBEF53"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192</w:t>
            </w:r>
          </w:p>
        </w:tc>
      </w:tr>
      <w:tr w:rsidR="00FB375D" w:rsidRPr="00706B0E" w14:paraId="566B4576" w14:textId="77777777" w:rsidTr="00B13457">
        <w:trPr>
          <w:trHeight w:val="270"/>
          <w:jc w:val="center"/>
        </w:trPr>
        <w:tc>
          <w:tcPr>
            <w:tcW w:w="4001" w:type="dxa"/>
            <w:tcMar>
              <w:top w:w="0" w:type="dxa"/>
              <w:left w:w="28" w:type="dxa"/>
              <w:bottom w:w="0" w:type="dxa"/>
              <w:right w:w="28" w:type="dxa"/>
            </w:tcMar>
            <w:hideMark/>
          </w:tcPr>
          <w:p w14:paraId="284793D3"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cash and cash equivalents</w:t>
            </w:r>
          </w:p>
        </w:tc>
        <w:tc>
          <w:tcPr>
            <w:tcW w:w="888" w:type="dxa"/>
            <w:tcMar>
              <w:top w:w="0" w:type="dxa"/>
              <w:left w:w="28" w:type="dxa"/>
              <w:bottom w:w="0" w:type="dxa"/>
              <w:right w:w="28" w:type="dxa"/>
            </w:tcMar>
            <w:vAlign w:val="bottom"/>
          </w:tcPr>
          <w:p w14:paraId="5CFED8F9"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124</w:t>
            </w:r>
          </w:p>
        </w:tc>
        <w:tc>
          <w:tcPr>
            <w:tcW w:w="222" w:type="dxa"/>
            <w:tcMar>
              <w:top w:w="0" w:type="dxa"/>
              <w:left w:w="28" w:type="dxa"/>
              <w:bottom w:w="0" w:type="dxa"/>
              <w:right w:w="28" w:type="dxa"/>
            </w:tcMar>
          </w:tcPr>
          <w:p w14:paraId="37D6A1B3"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006105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local financial authority</w:t>
            </w:r>
          </w:p>
        </w:tc>
        <w:tc>
          <w:tcPr>
            <w:tcW w:w="969" w:type="dxa"/>
            <w:tcMar>
              <w:top w:w="0" w:type="dxa"/>
              <w:left w:w="28" w:type="dxa"/>
              <w:bottom w:w="0" w:type="dxa"/>
              <w:right w:w="28" w:type="dxa"/>
            </w:tcMar>
            <w:vAlign w:val="bottom"/>
          </w:tcPr>
          <w:p w14:paraId="43ACC76C"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87</w:t>
            </w:r>
          </w:p>
        </w:tc>
      </w:tr>
      <w:tr w:rsidR="00FB375D" w:rsidRPr="00706B0E" w14:paraId="61AE4FFB" w14:textId="77777777" w:rsidTr="00B13457">
        <w:trPr>
          <w:trHeight w:val="270"/>
          <w:jc w:val="center"/>
        </w:trPr>
        <w:tc>
          <w:tcPr>
            <w:tcW w:w="4001" w:type="dxa"/>
            <w:tcMar>
              <w:top w:w="0" w:type="dxa"/>
              <w:left w:w="28" w:type="dxa"/>
              <w:bottom w:w="0" w:type="dxa"/>
              <w:right w:w="28" w:type="dxa"/>
            </w:tcMar>
            <w:hideMark/>
          </w:tcPr>
          <w:p w14:paraId="6C54A7CA"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cash inflow</w:t>
            </w:r>
          </w:p>
        </w:tc>
        <w:tc>
          <w:tcPr>
            <w:tcW w:w="888" w:type="dxa"/>
            <w:tcMar>
              <w:top w:w="0" w:type="dxa"/>
              <w:left w:w="28" w:type="dxa"/>
              <w:bottom w:w="0" w:type="dxa"/>
              <w:right w:w="28" w:type="dxa"/>
            </w:tcMar>
            <w:vAlign w:val="bottom"/>
          </w:tcPr>
          <w:p w14:paraId="06B5EE1E"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123</w:t>
            </w:r>
          </w:p>
        </w:tc>
        <w:tc>
          <w:tcPr>
            <w:tcW w:w="222" w:type="dxa"/>
            <w:tcMar>
              <w:top w:w="0" w:type="dxa"/>
              <w:left w:w="28" w:type="dxa"/>
              <w:bottom w:w="0" w:type="dxa"/>
              <w:right w:w="28" w:type="dxa"/>
            </w:tcMar>
          </w:tcPr>
          <w:p w14:paraId="0C7CA06F"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4238A4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long-term liability</w:t>
            </w:r>
          </w:p>
        </w:tc>
        <w:tc>
          <w:tcPr>
            <w:tcW w:w="969" w:type="dxa"/>
            <w:tcMar>
              <w:top w:w="0" w:type="dxa"/>
              <w:left w:w="28" w:type="dxa"/>
              <w:bottom w:w="0" w:type="dxa"/>
              <w:right w:w="28" w:type="dxa"/>
            </w:tcMar>
            <w:vAlign w:val="bottom"/>
          </w:tcPr>
          <w:p w14:paraId="027BC7D8"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149</w:t>
            </w:r>
          </w:p>
        </w:tc>
      </w:tr>
      <w:tr w:rsidR="00FB375D" w:rsidRPr="00706B0E" w14:paraId="4C4177A4" w14:textId="77777777" w:rsidTr="00B13457">
        <w:trPr>
          <w:trHeight w:val="270"/>
          <w:jc w:val="center"/>
        </w:trPr>
        <w:tc>
          <w:tcPr>
            <w:tcW w:w="4001" w:type="dxa"/>
            <w:tcMar>
              <w:top w:w="0" w:type="dxa"/>
              <w:left w:w="28" w:type="dxa"/>
              <w:bottom w:w="0" w:type="dxa"/>
              <w:right w:w="28" w:type="dxa"/>
            </w:tcMar>
            <w:hideMark/>
          </w:tcPr>
          <w:p w14:paraId="773F37F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closing balance</w:t>
            </w:r>
          </w:p>
        </w:tc>
        <w:tc>
          <w:tcPr>
            <w:tcW w:w="888" w:type="dxa"/>
            <w:tcMar>
              <w:top w:w="0" w:type="dxa"/>
              <w:left w:w="28" w:type="dxa"/>
              <w:bottom w:w="0" w:type="dxa"/>
              <w:right w:w="28" w:type="dxa"/>
            </w:tcMar>
          </w:tcPr>
          <w:p w14:paraId="4F52B8CD"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151</w:t>
            </w:r>
          </w:p>
        </w:tc>
        <w:tc>
          <w:tcPr>
            <w:tcW w:w="222" w:type="dxa"/>
            <w:tcMar>
              <w:top w:w="0" w:type="dxa"/>
              <w:left w:w="28" w:type="dxa"/>
              <w:bottom w:w="0" w:type="dxa"/>
              <w:right w:w="28" w:type="dxa"/>
            </w:tcMar>
          </w:tcPr>
          <w:p w14:paraId="3388619F"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1215DFB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living wage (subsistence minimum)</w:t>
            </w:r>
          </w:p>
        </w:tc>
        <w:tc>
          <w:tcPr>
            <w:tcW w:w="969" w:type="dxa"/>
            <w:tcMar>
              <w:top w:w="0" w:type="dxa"/>
              <w:left w:w="28" w:type="dxa"/>
              <w:bottom w:w="0" w:type="dxa"/>
              <w:right w:w="28" w:type="dxa"/>
            </w:tcMar>
            <w:vAlign w:val="bottom"/>
          </w:tcPr>
          <w:p w14:paraId="6C351A5E"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106</w:t>
            </w:r>
          </w:p>
        </w:tc>
      </w:tr>
      <w:tr w:rsidR="00FB375D" w:rsidRPr="00706B0E" w14:paraId="34B11697" w14:textId="77777777" w:rsidTr="00B13457">
        <w:trPr>
          <w:trHeight w:val="270"/>
          <w:jc w:val="center"/>
        </w:trPr>
        <w:tc>
          <w:tcPr>
            <w:tcW w:w="4001" w:type="dxa"/>
            <w:tcMar>
              <w:top w:w="0" w:type="dxa"/>
              <w:left w:w="28" w:type="dxa"/>
              <w:bottom w:w="0" w:type="dxa"/>
              <w:right w:w="28" w:type="dxa"/>
            </w:tcMar>
            <w:hideMark/>
          </w:tcPr>
          <w:p w14:paraId="0697B336"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commodity-money relations</w:t>
            </w:r>
          </w:p>
        </w:tc>
        <w:tc>
          <w:tcPr>
            <w:tcW w:w="888" w:type="dxa"/>
            <w:tcMar>
              <w:top w:w="0" w:type="dxa"/>
              <w:left w:w="28" w:type="dxa"/>
              <w:bottom w:w="0" w:type="dxa"/>
              <w:right w:w="28" w:type="dxa"/>
            </w:tcMar>
            <w:vAlign w:val="bottom"/>
          </w:tcPr>
          <w:p w14:paraId="04C2CFED"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38</w:t>
            </w:r>
          </w:p>
        </w:tc>
        <w:tc>
          <w:tcPr>
            <w:tcW w:w="222" w:type="dxa"/>
            <w:tcMar>
              <w:top w:w="0" w:type="dxa"/>
              <w:left w:w="28" w:type="dxa"/>
              <w:bottom w:w="0" w:type="dxa"/>
              <w:right w:w="28" w:type="dxa"/>
            </w:tcMar>
          </w:tcPr>
          <w:p w14:paraId="40AF582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21D53AE4"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eastAsia="Helvetica" w:hAnsi="Garamond" w:cs="Helvetica"/>
                <w:b/>
                <w:bCs/>
                <w:sz w:val="28"/>
                <w:szCs w:val="28"/>
              </w:rPr>
              <w:t>M</w:t>
            </w:r>
          </w:p>
        </w:tc>
        <w:tc>
          <w:tcPr>
            <w:tcW w:w="969" w:type="dxa"/>
            <w:shd w:val="clear" w:color="auto" w:fill="BFBFBF"/>
            <w:tcMar>
              <w:top w:w="0" w:type="dxa"/>
              <w:left w:w="28" w:type="dxa"/>
              <w:bottom w:w="0" w:type="dxa"/>
              <w:right w:w="28" w:type="dxa"/>
            </w:tcMar>
            <w:vAlign w:val="bottom"/>
          </w:tcPr>
          <w:p w14:paraId="0C410031" w14:textId="77777777" w:rsidR="00FB375D" w:rsidRPr="0071403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33672994" w14:textId="77777777" w:rsidTr="00B13457">
        <w:trPr>
          <w:trHeight w:val="270"/>
          <w:jc w:val="center"/>
        </w:trPr>
        <w:tc>
          <w:tcPr>
            <w:tcW w:w="4001" w:type="dxa"/>
            <w:tcMar>
              <w:top w:w="0" w:type="dxa"/>
              <w:left w:w="28" w:type="dxa"/>
              <w:bottom w:w="0" w:type="dxa"/>
              <w:right w:w="28" w:type="dxa"/>
            </w:tcMar>
            <w:hideMark/>
          </w:tcPr>
          <w:p w14:paraId="08BC80F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lang w:val="en-US"/>
              </w:rPr>
              <w:t>consumer debt</w:t>
            </w:r>
          </w:p>
        </w:tc>
        <w:tc>
          <w:tcPr>
            <w:tcW w:w="888" w:type="dxa"/>
            <w:tcMar>
              <w:top w:w="0" w:type="dxa"/>
              <w:left w:w="28" w:type="dxa"/>
              <w:bottom w:w="0" w:type="dxa"/>
              <w:right w:w="28" w:type="dxa"/>
            </w:tcMar>
            <w:vAlign w:val="bottom"/>
          </w:tcPr>
          <w:p w14:paraId="42AB481C"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106</w:t>
            </w:r>
          </w:p>
        </w:tc>
        <w:tc>
          <w:tcPr>
            <w:tcW w:w="222" w:type="dxa"/>
            <w:tcMar>
              <w:top w:w="0" w:type="dxa"/>
              <w:left w:w="28" w:type="dxa"/>
              <w:bottom w:w="0" w:type="dxa"/>
              <w:right w:w="28" w:type="dxa"/>
            </w:tcMar>
          </w:tcPr>
          <w:p w14:paraId="3FFA3A9B"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DA71D61" w14:textId="77777777" w:rsidR="00FB375D" w:rsidRPr="00706B0E" w:rsidRDefault="00FB375D" w:rsidP="004A3400">
            <w:pPr>
              <w:tabs>
                <w:tab w:val="left" w:pos="709"/>
                <w:tab w:val="left" w:pos="1418"/>
                <w:tab w:val="left" w:pos="2127"/>
                <w:tab w:val="left" w:pos="2836"/>
                <w:tab w:val="left" w:pos="3545"/>
                <w:tab w:val="left" w:pos="4254"/>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macro-financial assistance</w:t>
            </w:r>
          </w:p>
        </w:tc>
        <w:tc>
          <w:tcPr>
            <w:tcW w:w="969" w:type="dxa"/>
            <w:tcMar>
              <w:top w:w="0" w:type="dxa"/>
              <w:left w:w="28" w:type="dxa"/>
              <w:bottom w:w="0" w:type="dxa"/>
              <w:right w:w="28" w:type="dxa"/>
            </w:tcMar>
            <w:vAlign w:val="bottom"/>
          </w:tcPr>
          <w:p w14:paraId="0F1F009C"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229</w:t>
            </w:r>
          </w:p>
        </w:tc>
      </w:tr>
      <w:tr w:rsidR="00FB375D" w:rsidRPr="00706B0E" w14:paraId="32326C01" w14:textId="77777777" w:rsidTr="00B13457">
        <w:trPr>
          <w:trHeight w:val="530"/>
          <w:jc w:val="center"/>
        </w:trPr>
        <w:tc>
          <w:tcPr>
            <w:tcW w:w="4001" w:type="dxa"/>
            <w:tcMar>
              <w:top w:w="0" w:type="dxa"/>
              <w:left w:w="28" w:type="dxa"/>
              <w:bottom w:w="0" w:type="dxa"/>
              <w:right w:w="28" w:type="dxa"/>
            </w:tcMar>
            <w:hideMark/>
          </w:tcPr>
          <w:p w14:paraId="17B2E27E"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core activity</w:t>
            </w:r>
          </w:p>
        </w:tc>
        <w:tc>
          <w:tcPr>
            <w:tcW w:w="888" w:type="dxa"/>
            <w:tcMar>
              <w:top w:w="0" w:type="dxa"/>
              <w:left w:w="28" w:type="dxa"/>
              <w:bottom w:w="0" w:type="dxa"/>
              <w:right w:w="28" w:type="dxa"/>
            </w:tcMar>
          </w:tcPr>
          <w:p w14:paraId="44A7B971"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124</w:t>
            </w:r>
          </w:p>
        </w:tc>
        <w:tc>
          <w:tcPr>
            <w:tcW w:w="222" w:type="dxa"/>
            <w:tcMar>
              <w:top w:w="0" w:type="dxa"/>
              <w:left w:w="28" w:type="dxa"/>
              <w:bottom w:w="0" w:type="dxa"/>
              <w:right w:w="28" w:type="dxa"/>
            </w:tcMar>
          </w:tcPr>
          <w:p w14:paraId="7181EA55"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007A74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main income earner in the household</w:t>
            </w:r>
          </w:p>
        </w:tc>
        <w:tc>
          <w:tcPr>
            <w:tcW w:w="969" w:type="dxa"/>
            <w:tcMar>
              <w:top w:w="0" w:type="dxa"/>
              <w:left w:w="28" w:type="dxa"/>
              <w:bottom w:w="0" w:type="dxa"/>
              <w:right w:w="28" w:type="dxa"/>
            </w:tcMar>
            <w:vAlign w:val="bottom"/>
          </w:tcPr>
          <w:p w14:paraId="60A84380"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106</w:t>
            </w:r>
          </w:p>
        </w:tc>
      </w:tr>
      <w:tr w:rsidR="00FB375D" w:rsidRPr="00706B0E" w14:paraId="1D1AF8DA" w14:textId="77777777" w:rsidTr="00B13457">
        <w:trPr>
          <w:trHeight w:val="270"/>
          <w:jc w:val="center"/>
        </w:trPr>
        <w:tc>
          <w:tcPr>
            <w:tcW w:w="4001" w:type="dxa"/>
            <w:tcMar>
              <w:top w:w="0" w:type="dxa"/>
              <w:left w:w="28" w:type="dxa"/>
              <w:bottom w:w="0" w:type="dxa"/>
              <w:right w:w="28" w:type="dxa"/>
            </w:tcMar>
            <w:hideMark/>
          </w:tcPr>
          <w:p w14:paraId="5366286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corporate finance</w:t>
            </w:r>
          </w:p>
        </w:tc>
        <w:tc>
          <w:tcPr>
            <w:tcW w:w="888" w:type="dxa"/>
            <w:tcMar>
              <w:top w:w="0" w:type="dxa"/>
              <w:left w:w="28" w:type="dxa"/>
              <w:bottom w:w="0" w:type="dxa"/>
              <w:right w:w="28" w:type="dxa"/>
            </w:tcMar>
          </w:tcPr>
          <w:p w14:paraId="11298AB5"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39, 54</w:t>
            </w:r>
          </w:p>
        </w:tc>
        <w:tc>
          <w:tcPr>
            <w:tcW w:w="222" w:type="dxa"/>
            <w:tcMar>
              <w:top w:w="0" w:type="dxa"/>
              <w:left w:w="28" w:type="dxa"/>
              <w:bottom w:w="0" w:type="dxa"/>
              <w:right w:w="28" w:type="dxa"/>
            </w:tcMar>
          </w:tcPr>
          <w:p w14:paraId="01BB0292"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E5E531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market value</w:t>
            </w:r>
          </w:p>
        </w:tc>
        <w:tc>
          <w:tcPr>
            <w:tcW w:w="969" w:type="dxa"/>
            <w:tcMar>
              <w:top w:w="0" w:type="dxa"/>
              <w:left w:w="28" w:type="dxa"/>
              <w:bottom w:w="0" w:type="dxa"/>
              <w:right w:w="28" w:type="dxa"/>
            </w:tcMar>
            <w:vAlign w:val="bottom"/>
          </w:tcPr>
          <w:p w14:paraId="03A647BE"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175</w:t>
            </w:r>
          </w:p>
        </w:tc>
      </w:tr>
      <w:tr w:rsidR="00FB375D" w:rsidRPr="00706B0E" w14:paraId="2CF52ED3" w14:textId="77777777" w:rsidTr="00B13457">
        <w:trPr>
          <w:trHeight w:val="270"/>
          <w:jc w:val="center"/>
        </w:trPr>
        <w:tc>
          <w:tcPr>
            <w:tcW w:w="4001" w:type="dxa"/>
            <w:tcMar>
              <w:top w:w="0" w:type="dxa"/>
              <w:left w:w="28" w:type="dxa"/>
              <w:bottom w:w="0" w:type="dxa"/>
              <w:right w:w="28" w:type="dxa"/>
            </w:tcMar>
            <w:hideMark/>
          </w:tcPr>
          <w:p w14:paraId="2EC978D8"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coupon (coupon rate)</w:t>
            </w:r>
          </w:p>
        </w:tc>
        <w:tc>
          <w:tcPr>
            <w:tcW w:w="888" w:type="dxa"/>
            <w:tcMar>
              <w:top w:w="0" w:type="dxa"/>
              <w:left w:w="28" w:type="dxa"/>
              <w:bottom w:w="0" w:type="dxa"/>
              <w:right w:w="28" w:type="dxa"/>
            </w:tcMar>
            <w:vAlign w:val="bottom"/>
          </w:tcPr>
          <w:p w14:paraId="022DD269"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175</w:t>
            </w:r>
          </w:p>
        </w:tc>
        <w:tc>
          <w:tcPr>
            <w:tcW w:w="222" w:type="dxa"/>
            <w:tcMar>
              <w:top w:w="0" w:type="dxa"/>
              <w:left w:w="28" w:type="dxa"/>
              <w:bottom w:w="0" w:type="dxa"/>
              <w:right w:w="28" w:type="dxa"/>
            </w:tcMar>
          </w:tcPr>
          <w:p w14:paraId="32EDB4C0"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43C02D7"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minimum wage</w:t>
            </w:r>
          </w:p>
        </w:tc>
        <w:tc>
          <w:tcPr>
            <w:tcW w:w="969" w:type="dxa"/>
            <w:tcMar>
              <w:top w:w="0" w:type="dxa"/>
              <w:left w:w="28" w:type="dxa"/>
              <w:bottom w:w="0" w:type="dxa"/>
              <w:right w:w="28" w:type="dxa"/>
            </w:tcMar>
            <w:vAlign w:val="bottom"/>
          </w:tcPr>
          <w:p w14:paraId="6D45E1D2"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106</w:t>
            </w:r>
          </w:p>
        </w:tc>
      </w:tr>
      <w:tr w:rsidR="00FB375D" w:rsidRPr="00706B0E" w14:paraId="337AD3E1" w14:textId="77777777" w:rsidTr="00B13457">
        <w:trPr>
          <w:trHeight w:val="270"/>
          <w:jc w:val="center"/>
        </w:trPr>
        <w:tc>
          <w:tcPr>
            <w:tcW w:w="4001" w:type="dxa"/>
            <w:tcMar>
              <w:top w:w="0" w:type="dxa"/>
              <w:left w:w="28" w:type="dxa"/>
              <w:bottom w:w="0" w:type="dxa"/>
              <w:right w:w="28" w:type="dxa"/>
            </w:tcMar>
            <w:hideMark/>
          </w:tcPr>
          <w:p w14:paraId="55121FF4"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coverage</w:t>
            </w:r>
          </w:p>
        </w:tc>
        <w:tc>
          <w:tcPr>
            <w:tcW w:w="888" w:type="dxa"/>
            <w:tcMar>
              <w:top w:w="0" w:type="dxa"/>
              <w:left w:w="28" w:type="dxa"/>
              <w:bottom w:w="0" w:type="dxa"/>
              <w:right w:w="28" w:type="dxa"/>
            </w:tcMar>
            <w:vAlign w:val="bottom"/>
          </w:tcPr>
          <w:p w14:paraId="3360C289"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192</w:t>
            </w:r>
          </w:p>
        </w:tc>
        <w:tc>
          <w:tcPr>
            <w:tcW w:w="222" w:type="dxa"/>
            <w:tcMar>
              <w:top w:w="0" w:type="dxa"/>
              <w:left w:w="28" w:type="dxa"/>
              <w:bottom w:w="0" w:type="dxa"/>
              <w:right w:w="28" w:type="dxa"/>
            </w:tcMar>
          </w:tcPr>
          <w:p w14:paraId="2213D50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DDFCCB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monetary fund</w:t>
            </w:r>
          </w:p>
        </w:tc>
        <w:tc>
          <w:tcPr>
            <w:tcW w:w="969" w:type="dxa"/>
            <w:tcMar>
              <w:top w:w="0" w:type="dxa"/>
              <w:left w:w="28" w:type="dxa"/>
              <w:bottom w:w="0" w:type="dxa"/>
              <w:right w:w="28" w:type="dxa"/>
            </w:tcMar>
            <w:vAlign w:val="bottom"/>
          </w:tcPr>
          <w:p w14:paraId="3DBDBFF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123</w:t>
            </w:r>
          </w:p>
        </w:tc>
      </w:tr>
      <w:tr w:rsidR="00FB375D" w:rsidRPr="00706B0E" w14:paraId="246FA62B" w14:textId="77777777" w:rsidTr="00B13457">
        <w:trPr>
          <w:trHeight w:val="270"/>
          <w:jc w:val="center"/>
        </w:trPr>
        <w:tc>
          <w:tcPr>
            <w:tcW w:w="4001" w:type="dxa"/>
            <w:tcMar>
              <w:top w:w="0" w:type="dxa"/>
              <w:left w:w="28" w:type="dxa"/>
              <w:bottom w:w="0" w:type="dxa"/>
              <w:right w:w="28" w:type="dxa"/>
            </w:tcMar>
            <w:hideMark/>
          </w:tcPr>
          <w:p w14:paraId="0A1F3476"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cross rate</w:t>
            </w:r>
          </w:p>
        </w:tc>
        <w:tc>
          <w:tcPr>
            <w:tcW w:w="888" w:type="dxa"/>
            <w:tcMar>
              <w:top w:w="0" w:type="dxa"/>
              <w:left w:w="28" w:type="dxa"/>
              <w:bottom w:w="0" w:type="dxa"/>
              <w:right w:w="28" w:type="dxa"/>
            </w:tcMar>
            <w:vAlign w:val="bottom"/>
          </w:tcPr>
          <w:p w14:paraId="6A2C3E8C"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208</w:t>
            </w:r>
          </w:p>
        </w:tc>
        <w:tc>
          <w:tcPr>
            <w:tcW w:w="222" w:type="dxa"/>
            <w:tcMar>
              <w:top w:w="0" w:type="dxa"/>
              <w:left w:w="28" w:type="dxa"/>
              <w:bottom w:w="0" w:type="dxa"/>
              <w:right w:w="28" w:type="dxa"/>
            </w:tcMar>
          </w:tcPr>
          <w:p w14:paraId="3E687D17"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993BB57"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monetary policy</w:t>
            </w:r>
          </w:p>
        </w:tc>
        <w:tc>
          <w:tcPr>
            <w:tcW w:w="969" w:type="dxa"/>
            <w:tcMar>
              <w:top w:w="0" w:type="dxa"/>
              <w:left w:w="28" w:type="dxa"/>
              <w:bottom w:w="0" w:type="dxa"/>
              <w:right w:w="28" w:type="dxa"/>
            </w:tcMar>
            <w:vAlign w:val="bottom"/>
          </w:tcPr>
          <w:p w14:paraId="4386C63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53</w:t>
            </w:r>
          </w:p>
        </w:tc>
      </w:tr>
      <w:tr w:rsidR="00FB375D" w:rsidRPr="00706B0E" w14:paraId="2EF8642A" w14:textId="77777777" w:rsidTr="00B13457">
        <w:trPr>
          <w:trHeight w:val="270"/>
          <w:jc w:val="center"/>
        </w:trPr>
        <w:tc>
          <w:tcPr>
            <w:tcW w:w="4001" w:type="dxa"/>
            <w:tcMar>
              <w:top w:w="0" w:type="dxa"/>
              <w:left w:w="28" w:type="dxa"/>
              <w:bottom w:w="0" w:type="dxa"/>
              <w:right w:w="28" w:type="dxa"/>
            </w:tcMar>
            <w:hideMark/>
          </w:tcPr>
          <w:p w14:paraId="6A468634"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currency restriction</w:t>
            </w:r>
          </w:p>
        </w:tc>
        <w:tc>
          <w:tcPr>
            <w:tcW w:w="888" w:type="dxa"/>
            <w:tcMar>
              <w:top w:w="0" w:type="dxa"/>
              <w:left w:w="28" w:type="dxa"/>
              <w:bottom w:w="0" w:type="dxa"/>
              <w:right w:w="28" w:type="dxa"/>
            </w:tcMar>
            <w:vAlign w:val="bottom"/>
          </w:tcPr>
          <w:p w14:paraId="2E9756C7"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53</w:t>
            </w:r>
          </w:p>
        </w:tc>
        <w:tc>
          <w:tcPr>
            <w:tcW w:w="222" w:type="dxa"/>
            <w:tcMar>
              <w:top w:w="0" w:type="dxa"/>
              <w:left w:w="28" w:type="dxa"/>
              <w:bottom w:w="0" w:type="dxa"/>
              <w:right w:w="28" w:type="dxa"/>
            </w:tcMar>
          </w:tcPr>
          <w:p w14:paraId="7EE8DA9E"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617E6CB" w14:textId="77777777" w:rsidR="00FB375D" w:rsidRPr="00706B0E" w:rsidRDefault="00FB375D" w:rsidP="004A3400">
            <w:pPr>
              <w:tabs>
                <w:tab w:val="left" w:pos="709"/>
                <w:tab w:val="left" w:pos="1418"/>
                <w:tab w:val="left" w:pos="2127"/>
                <w:tab w:val="left" w:pos="2836"/>
                <w:tab w:val="left" w:pos="3545"/>
                <w:tab w:val="left" w:pos="4254"/>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multiannual financial framework</w:t>
            </w:r>
          </w:p>
        </w:tc>
        <w:tc>
          <w:tcPr>
            <w:tcW w:w="969" w:type="dxa"/>
            <w:tcMar>
              <w:top w:w="0" w:type="dxa"/>
              <w:left w:w="28" w:type="dxa"/>
              <w:bottom w:w="0" w:type="dxa"/>
              <w:right w:w="28" w:type="dxa"/>
            </w:tcMar>
            <w:vAlign w:val="bottom"/>
          </w:tcPr>
          <w:p w14:paraId="1DFDDC47"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228</w:t>
            </w:r>
          </w:p>
        </w:tc>
      </w:tr>
      <w:tr w:rsidR="00FB375D" w:rsidRPr="00706B0E" w14:paraId="78282DCA" w14:textId="77777777" w:rsidTr="00B13457">
        <w:trPr>
          <w:trHeight w:val="530"/>
          <w:jc w:val="center"/>
        </w:trPr>
        <w:tc>
          <w:tcPr>
            <w:tcW w:w="4001" w:type="dxa"/>
            <w:tcMar>
              <w:top w:w="0" w:type="dxa"/>
              <w:left w:w="28" w:type="dxa"/>
              <w:bottom w:w="0" w:type="dxa"/>
              <w:right w:w="28" w:type="dxa"/>
            </w:tcMar>
            <w:hideMark/>
          </w:tcPr>
          <w:p w14:paraId="0A2766F8"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current account</w:t>
            </w:r>
          </w:p>
        </w:tc>
        <w:tc>
          <w:tcPr>
            <w:tcW w:w="888" w:type="dxa"/>
            <w:tcMar>
              <w:top w:w="0" w:type="dxa"/>
              <w:left w:w="28" w:type="dxa"/>
              <w:bottom w:w="0" w:type="dxa"/>
              <w:right w:w="28" w:type="dxa"/>
            </w:tcMar>
          </w:tcPr>
          <w:p w14:paraId="24A5E50D"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209</w:t>
            </w:r>
          </w:p>
        </w:tc>
        <w:tc>
          <w:tcPr>
            <w:tcW w:w="222" w:type="dxa"/>
            <w:tcMar>
              <w:top w:w="0" w:type="dxa"/>
              <w:left w:w="28" w:type="dxa"/>
              <w:bottom w:w="0" w:type="dxa"/>
              <w:right w:w="28" w:type="dxa"/>
            </w:tcMar>
          </w:tcPr>
          <w:p w14:paraId="0B50FCF7"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D05500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multilateral development bank (MDB)</w:t>
            </w:r>
          </w:p>
        </w:tc>
        <w:tc>
          <w:tcPr>
            <w:tcW w:w="969" w:type="dxa"/>
            <w:tcMar>
              <w:top w:w="0" w:type="dxa"/>
              <w:left w:w="28" w:type="dxa"/>
              <w:bottom w:w="0" w:type="dxa"/>
              <w:right w:w="28" w:type="dxa"/>
            </w:tcMar>
            <w:vAlign w:val="bottom"/>
          </w:tcPr>
          <w:p w14:paraId="0FDBA3D0"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208</w:t>
            </w:r>
          </w:p>
        </w:tc>
      </w:tr>
      <w:tr w:rsidR="00FB375D" w:rsidRPr="00706B0E" w14:paraId="542A178E" w14:textId="77777777" w:rsidTr="00B13457">
        <w:trPr>
          <w:trHeight w:val="270"/>
          <w:jc w:val="center"/>
        </w:trPr>
        <w:tc>
          <w:tcPr>
            <w:tcW w:w="4001" w:type="dxa"/>
            <w:tcMar>
              <w:top w:w="0" w:type="dxa"/>
              <w:left w:w="28" w:type="dxa"/>
              <w:bottom w:w="0" w:type="dxa"/>
              <w:right w:w="28" w:type="dxa"/>
            </w:tcMar>
            <w:hideMark/>
          </w:tcPr>
          <w:p w14:paraId="3871864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current account deficit</w:t>
            </w:r>
          </w:p>
        </w:tc>
        <w:tc>
          <w:tcPr>
            <w:tcW w:w="888" w:type="dxa"/>
            <w:tcMar>
              <w:top w:w="0" w:type="dxa"/>
              <w:left w:w="28" w:type="dxa"/>
              <w:bottom w:w="0" w:type="dxa"/>
              <w:right w:w="28" w:type="dxa"/>
            </w:tcMar>
            <w:vAlign w:val="bottom"/>
          </w:tcPr>
          <w:p w14:paraId="763A5C23"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209</w:t>
            </w:r>
          </w:p>
        </w:tc>
        <w:tc>
          <w:tcPr>
            <w:tcW w:w="222" w:type="dxa"/>
            <w:tcMar>
              <w:top w:w="0" w:type="dxa"/>
              <w:left w:w="28" w:type="dxa"/>
              <w:bottom w:w="0" w:type="dxa"/>
              <w:right w:w="28" w:type="dxa"/>
            </w:tcMar>
          </w:tcPr>
          <w:p w14:paraId="37EDA9F2"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339D6CBA"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N</w:t>
            </w:r>
          </w:p>
        </w:tc>
        <w:tc>
          <w:tcPr>
            <w:tcW w:w="969" w:type="dxa"/>
            <w:shd w:val="clear" w:color="auto" w:fill="BFBFBF"/>
            <w:tcMar>
              <w:top w:w="0" w:type="dxa"/>
              <w:left w:w="28" w:type="dxa"/>
              <w:bottom w:w="0" w:type="dxa"/>
              <w:right w:w="28" w:type="dxa"/>
            </w:tcMar>
            <w:vAlign w:val="bottom"/>
          </w:tcPr>
          <w:p w14:paraId="3960DDCF" w14:textId="77777777" w:rsidR="00FB375D" w:rsidRPr="0071403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27223F72" w14:textId="77777777" w:rsidTr="00B13457">
        <w:trPr>
          <w:trHeight w:val="270"/>
          <w:jc w:val="center"/>
        </w:trPr>
        <w:tc>
          <w:tcPr>
            <w:tcW w:w="4001" w:type="dxa"/>
            <w:tcMar>
              <w:top w:w="0" w:type="dxa"/>
              <w:left w:w="28" w:type="dxa"/>
              <w:bottom w:w="0" w:type="dxa"/>
              <w:right w:w="28" w:type="dxa"/>
            </w:tcMar>
            <w:hideMark/>
          </w:tcPr>
          <w:p w14:paraId="6DD675C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current account surplus</w:t>
            </w:r>
          </w:p>
        </w:tc>
        <w:tc>
          <w:tcPr>
            <w:tcW w:w="888" w:type="dxa"/>
            <w:tcMar>
              <w:top w:w="0" w:type="dxa"/>
              <w:left w:w="28" w:type="dxa"/>
              <w:bottom w:w="0" w:type="dxa"/>
              <w:right w:w="28" w:type="dxa"/>
            </w:tcMar>
            <w:vAlign w:val="bottom"/>
          </w:tcPr>
          <w:p w14:paraId="57705EC7"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209</w:t>
            </w:r>
          </w:p>
        </w:tc>
        <w:tc>
          <w:tcPr>
            <w:tcW w:w="222" w:type="dxa"/>
            <w:tcMar>
              <w:top w:w="0" w:type="dxa"/>
              <w:left w:w="28" w:type="dxa"/>
              <w:bottom w:w="0" w:type="dxa"/>
              <w:right w:w="28" w:type="dxa"/>
            </w:tcMar>
          </w:tcPr>
          <w:p w14:paraId="0CF0E74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10E4CF8F" w14:textId="77777777" w:rsidR="00FB375D" w:rsidRPr="00CE389C" w:rsidRDefault="00FB375D"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rPr>
                <w:rFonts w:ascii="Garamond" w:eastAsia="Helvetica" w:hAnsi="Garamond" w:cs="Helvetica"/>
                <w:sz w:val="28"/>
                <w:szCs w:val="28"/>
                <w:lang w:val="en-US"/>
              </w:rPr>
            </w:pPr>
            <w:r w:rsidRPr="00CE389C">
              <w:rPr>
                <w:rFonts w:ascii="Garamond" w:hAnsi="Garamond" w:cs="Calibri"/>
                <w:sz w:val="28"/>
                <w:szCs w:val="28"/>
                <w:lang w:val="en-US"/>
              </w:rPr>
              <w:t xml:space="preserve">national debt </w:t>
            </w:r>
          </w:p>
        </w:tc>
        <w:tc>
          <w:tcPr>
            <w:tcW w:w="969" w:type="dxa"/>
            <w:tcMar>
              <w:top w:w="0" w:type="dxa"/>
              <w:left w:w="28" w:type="dxa"/>
              <w:bottom w:w="0" w:type="dxa"/>
              <w:right w:w="28" w:type="dxa"/>
            </w:tcMar>
            <w:vAlign w:val="bottom"/>
          </w:tcPr>
          <w:p w14:paraId="34FB48BD"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53</w:t>
            </w:r>
          </w:p>
        </w:tc>
      </w:tr>
      <w:tr w:rsidR="00FB375D" w:rsidRPr="00706B0E" w14:paraId="2F8E5D6B" w14:textId="77777777" w:rsidTr="00B13457">
        <w:trPr>
          <w:trHeight w:val="270"/>
          <w:jc w:val="center"/>
        </w:trPr>
        <w:tc>
          <w:tcPr>
            <w:tcW w:w="4001" w:type="dxa"/>
            <w:shd w:val="clear" w:color="auto" w:fill="BFBFBF"/>
            <w:tcMar>
              <w:top w:w="0" w:type="dxa"/>
              <w:left w:w="28" w:type="dxa"/>
              <w:bottom w:w="0" w:type="dxa"/>
              <w:right w:w="28" w:type="dxa"/>
            </w:tcMar>
            <w:hideMark/>
          </w:tcPr>
          <w:p w14:paraId="67E8C883"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D</w:t>
            </w:r>
          </w:p>
        </w:tc>
        <w:tc>
          <w:tcPr>
            <w:tcW w:w="888" w:type="dxa"/>
            <w:shd w:val="clear" w:color="auto" w:fill="BFBFBF"/>
            <w:tcMar>
              <w:top w:w="0" w:type="dxa"/>
              <w:left w:w="28" w:type="dxa"/>
              <w:bottom w:w="0" w:type="dxa"/>
              <w:right w:w="28" w:type="dxa"/>
            </w:tcMar>
            <w:vAlign w:val="bottom"/>
          </w:tcPr>
          <w:p w14:paraId="68612A18" w14:textId="77777777" w:rsidR="00FB375D" w:rsidRPr="00B13457" w:rsidRDefault="00FB375D" w:rsidP="004A3400">
            <w:pPr>
              <w:spacing w:line="312" w:lineRule="auto"/>
              <w:ind w:firstLine="709"/>
              <w:rPr>
                <w:rFonts w:ascii="Garamond" w:eastAsia="Calibri" w:hAnsi="Garamond" w:cs="Calibri"/>
                <w:b/>
                <w:sz w:val="28"/>
                <w:szCs w:val="28"/>
                <w:u w:color="000000"/>
                <w:lang w:val="en-US" w:eastAsia="en-US"/>
              </w:rPr>
            </w:pPr>
          </w:p>
        </w:tc>
        <w:tc>
          <w:tcPr>
            <w:tcW w:w="222" w:type="dxa"/>
            <w:tcMar>
              <w:top w:w="0" w:type="dxa"/>
              <w:left w:w="28" w:type="dxa"/>
              <w:bottom w:w="0" w:type="dxa"/>
              <w:right w:w="28" w:type="dxa"/>
            </w:tcMar>
          </w:tcPr>
          <w:p w14:paraId="7298D91F"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CCE648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net loss</w:t>
            </w:r>
          </w:p>
        </w:tc>
        <w:tc>
          <w:tcPr>
            <w:tcW w:w="969" w:type="dxa"/>
            <w:tcMar>
              <w:top w:w="0" w:type="dxa"/>
              <w:left w:w="28" w:type="dxa"/>
              <w:bottom w:w="0" w:type="dxa"/>
              <w:right w:w="28" w:type="dxa"/>
            </w:tcMar>
            <w:vAlign w:val="bottom"/>
          </w:tcPr>
          <w:p w14:paraId="44F2BEC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124</w:t>
            </w:r>
          </w:p>
        </w:tc>
      </w:tr>
      <w:tr w:rsidR="00FB375D" w:rsidRPr="00706B0E" w14:paraId="285AEEA8" w14:textId="77777777" w:rsidTr="00B13457">
        <w:trPr>
          <w:trHeight w:val="530"/>
          <w:jc w:val="center"/>
        </w:trPr>
        <w:tc>
          <w:tcPr>
            <w:tcW w:w="4001" w:type="dxa"/>
            <w:tcMar>
              <w:top w:w="0" w:type="dxa"/>
              <w:left w:w="28" w:type="dxa"/>
              <w:bottom w:w="0" w:type="dxa"/>
              <w:right w:w="28" w:type="dxa"/>
            </w:tcMar>
            <w:hideMark/>
          </w:tcPr>
          <w:p w14:paraId="03A2AC63"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dealer</w:t>
            </w:r>
          </w:p>
        </w:tc>
        <w:tc>
          <w:tcPr>
            <w:tcW w:w="888" w:type="dxa"/>
            <w:tcMar>
              <w:top w:w="0" w:type="dxa"/>
              <w:left w:w="28" w:type="dxa"/>
              <w:bottom w:w="0" w:type="dxa"/>
              <w:right w:w="28" w:type="dxa"/>
            </w:tcMar>
          </w:tcPr>
          <w:p w14:paraId="12BC15A1"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174</w:t>
            </w:r>
          </w:p>
        </w:tc>
        <w:tc>
          <w:tcPr>
            <w:tcW w:w="222" w:type="dxa"/>
            <w:tcMar>
              <w:top w:w="0" w:type="dxa"/>
              <w:left w:w="28" w:type="dxa"/>
              <w:bottom w:w="0" w:type="dxa"/>
              <w:right w:w="28" w:type="dxa"/>
            </w:tcMar>
          </w:tcPr>
          <w:p w14:paraId="549675CA"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B3197FB"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nominal value (book value or par value or face value)</w:t>
            </w:r>
          </w:p>
        </w:tc>
        <w:tc>
          <w:tcPr>
            <w:tcW w:w="969" w:type="dxa"/>
            <w:tcMar>
              <w:top w:w="0" w:type="dxa"/>
              <w:left w:w="28" w:type="dxa"/>
              <w:bottom w:w="0" w:type="dxa"/>
              <w:right w:w="28" w:type="dxa"/>
            </w:tcMar>
            <w:vAlign w:val="bottom"/>
          </w:tcPr>
          <w:p w14:paraId="28A04A9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175</w:t>
            </w:r>
          </w:p>
        </w:tc>
      </w:tr>
      <w:tr w:rsidR="00FB375D" w:rsidRPr="00706B0E" w14:paraId="1A56E283" w14:textId="77777777" w:rsidTr="00B13457">
        <w:trPr>
          <w:trHeight w:val="270"/>
          <w:jc w:val="center"/>
        </w:trPr>
        <w:tc>
          <w:tcPr>
            <w:tcW w:w="4001" w:type="dxa"/>
            <w:tcMar>
              <w:top w:w="0" w:type="dxa"/>
              <w:left w:w="28" w:type="dxa"/>
              <w:bottom w:w="0" w:type="dxa"/>
              <w:right w:w="28" w:type="dxa"/>
            </w:tcMar>
            <w:hideMark/>
          </w:tcPr>
          <w:p w14:paraId="43826E6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debt consolidation</w:t>
            </w:r>
          </w:p>
        </w:tc>
        <w:tc>
          <w:tcPr>
            <w:tcW w:w="888" w:type="dxa"/>
            <w:tcMar>
              <w:top w:w="0" w:type="dxa"/>
              <w:left w:w="28" w:type="dxa"/>
              <w:bottom w:w="0" w:type="dxa"/>
              <w:right w:w="28" w:type="dxa"/>
            </w:tcMar>
          </w:tcPr>
          <w:p w14:paraId="7DD281A4"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38</w:t>
            </w:r>
          </w:p>
        </w:tc>
        <w:tc>
          <w:tcPr>
            <w:tcW w:w="222" w:type="dxa"/>
            <w:tcMar>
              <w:top w:w="0" w:type="dxa"/>
              <w:left w:w="28" w:type="dxa"/>
              <w:bottom w:w="0" w:type="dxa"/>
              <w:right w:w="28" w:type="dxa"/>
            </w:tcMar>
          </w:tcPr>
          <w:p w14:paraId="0FC46612"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C8C6CD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non-family-based households</w:t>
            </w:r>
          </w:p>
        </w:tc>
        <w:tc>
          <w:tcPr>
            <w:tcW w:w="969" w:type="dxa"/>
            <w:tcMar>
              <w:top w:w="0" w:type="dxa"/>
              <w:left w:w="28" w:type="dxa"/>
              <w:bottom w:w="0" w:type="dxa"/>
              <w:right w:w="28" w:type="dxa"/>
            </w:tcMar>
          </w:tcPr>
          <w:p w14:paraId="32379B8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106</w:t>
            </w:r>
          </w:p>
        </w:tc>
      </w:tr>
      <w:tr w:rsidR="00FB375D" w:rsidRPr="00706B0E" w14:paraId="72D0EE58" w14:textId="77777777" w:rsidTr="00B13457">
        <w:trPr>
          <w:trHeight w:val="270"/>
          <w:jc w:val="center"/>
        </w:trPr>
        <w:tc>
          <w:tcPr>
            <w:tcW w:w="4001" w:type="dxa"/>
            <w:tcMar>
              <w:top w:w="0" w:type="dxa"/>
              <w:left w:w="28" w:type="dxa"/>
              <w:bottom w:w="0" w:type="dxa"/>
              <w:right w:w="28" w:type="dxa"/>
            </w:tcMar>
            <w:hideMark/>
          </w:tcPr>
          <w:p w14:paraId="123C8C37"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debt instrument</w:t>
            </w:r>
          </w:p>
        </w:tc>
        <w:tc>
          <w:tcPr>
            <w:tcW w:w="888" w:type="dxa"/>
            <w:tcMar>
              <w:top w:w="0" w:type="dxa"/>
              <w:left w:w="28" w:type="dxa"/>
              <w:bottom w:w="0" w:type="dxa"/>
              <w:right w:w="28" w:type="dxa"/>
            </w:tcMar>
            <w:vAlign w:val="bottom"/>
          </w:tcPr>
          <w:p w14:paraId="37DBDE8A"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174</w:t>
            </w:r>
          </w:p>
        </w:tc>
        <w:tc>
          <w:tcPr>
            <w:tcW w:w="222" w:type="dxa"/>
            <w:tcMar>
              <w:top w:w="0" w:type="dxa"/>
              <w:left w:w="28" w:type="dxa"/>
              <w:bottom w:w="0" w:type="dxa"/>
              <w:right w:w="28" w:type="dxa"/>
            </w:tcMar>
          </w:tcPr>
          <w:p w14:paraId="08F535B1"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42198DCF"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O</w:t>
            </w:r>
          </w:p>
        </w:tc>
        <w:tc>
          <w:tcPr>
            <w:tcW w:w="969" w:type="dxa"/>
            <w:shd w:val="clear" w:color="auto" w:fill="BFBFBF"/>
            <w:tcMar>
              <w:top w:w="0" w:type="dxa"/>
              <w:left w:w="28" w:type="dxa"/>
              <w:bottom w:w="0" w:type="dxa"/>
              <w:right w:w="28" w:type="dxa"/>
            </w:tcMar>
            <w:vAlign w:val="bottom"/>
          </w:tcPr>
          <w:p w14:paraId="6962151D" w14:textId="77777777" w:rsidR="00FB375D" w:rsidRPr="0071403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7403E439" w14:textId="77777777" w:rsidTr="00B13457">
        <w:trPr>
          <w:trHeight w:val="270"/>
          <w:jc w:val="center"/>
        </w:trPr>
        <w:tc>
          <w:tcPr>
            <w:tcW w:w="4001" w:type="dxa"/>
            <w:tcMar>
              <w:top w:w="0" w:type="dxa"/>
              <w:left w:w="28" w:type="dxa"/>
              <w:bottom w:w="0" w:type="dxa"/>
              <w:right w:w="28" w:type="dxa"/>
            </w:tcMar>
            <w:hideMark/>
          </w:tcPr>
          <w:p w14:paraId="5454ACF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decision on the local budget</w:t>
            </w:r>
          </w:p>
        </w:tc>
        <w:tc>
          <w:tcPr>
            <w:tcW w:w="888" w:type="dxa"/>
            <w:tcMar>
              <w:top w:w="0" w:type="dxa"/>
              <w:left w:w="28" w:type="dxa"/>
              <w:bottom w:w="0" w:type="dxa"/>
              <w:right w:w="28" w:type="dxa"/>
            </w:tcMar>
            <w:vAlign w:val="bottom"/>
          </w:tcPr>
          <w:p w14:paraId="4F7D4BE3"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88</w:t>
            </w:r>
          </w:p>
        </w:tc>
        <w:tc>
          <w:tcPr>
            <w:tcW w:w="222" w:type="dxa"/>
            <w:tcMar>
              <w:top w:w="0" w:type="dxa"/>
              <w:left w:w="28" w:type="dxa"/>
              <w:bottom w:w="0" w:type="dxa"/>
              <w:right w:w="28" w:type="dxa"/>
            </w:tcMar>
          </w:tcPr>
          <w:p w14:paraId="14D52579"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00B5CE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off balance sheet</w:t>
            </w:r>
          </w:p>
        </w:tc>
        <w:tc>
          <w:tcPr>
            <w:tcW w:w="969" w:type="dxa"/>
            <w:tcMar>
              <w:top w:w="0" w:type="dxa"/>
              <w:left w:w="28" w:type="dxa"/>
              <w:bottom w:w="0" w:type="dxa"/>
              <w:right w:w="28" w:type="dxa"/>
            </w:tcMar>
            <w:vAlign w:val="bottom"/>
          </w:tcPr>
          <w:p w14:paraId="5EF83B32"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151</w:t>
            </w:r>
          </w:p>
        </w:tc>
      </w:tr>
      <w:tr w:rsidR="00FB375D" w:rsidRPr="00706B0E" w14:paraId="43040395" w14:textId="77777777" w:rsidTr="00B13457">
        <w:trPr>
          <w:trHeight w:val="270"/>
          <w:jc w:val="center"/>
        </w:trPr>
        <w:tc>
          <w:tcPr>
            <w:tcW w:w="4001" w:type="dxa"/>
            <w:tcMar>
              <w:top w:w="0" w:type="dxa"/>
              <w:left w:w="28" w:type="dxa"/>
              <w:bottom w:w="0" w:type="dxa"/>
              <w:right w:w="28" w:type="dxa"/>
            </w:tcMar>
            <w:hideMark/>
          </w:tcPr>
          <w:p w14:paraId="54575099"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deductible</w:t>
            </w:r>
          </w:p>
        </w:tc>
        <w:tc>
          <w:tcPr>
            <w:tcW w:w="888" w:type="dxa"/>
            <w:tcMar>
              <w:top w:w="0" w:type="dxa"/>
              <w:left w:w="28" w:type="dxa"/>
              <w:bottom w:w="0" w:type="dxa"/>
              <w:right w:w="28" w:type="dxa"/>
            </w:tcMar>
            <w:vAlign w:val="bottom"/>
          </w:tcPr>
          <w:p w14:paraId="34BBDB05"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192</w:t>
            </w:r>
          </w:p>
        </w:tc>
        <w:tc>
          <w:tcPr>
            <w:tcW w:w="222" w:type="dxa"/>
            <w:tcMar>
              <w:top w:w="0" w:type="dxa"/>
              <w:left w:w="28" w:type="dxa"/>
              <w:bottom w:w="0" w:type="dxa"/>
              <w:right w:w="28" w:type="dxa"/>
            </w:tcMar>
          </w:tcPr>
          <w:p w14:paraId="25CE15B3"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E23476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offshore financial center</w:t>
            </w:r>
          </w:p>
        </w:tc>
        <w:tc>
          <w:tcPr>
            <w:tcW w:w="969" w:type="dxa"/>
            <w:tcMar>
              <w:top w:w="0" w:type="dxa"/>
              <w:left w:w="28" w:type="dxa"/>
              <w:bottom w:w="0" w:type="dxa"/>
              <w:right w:w="28" w:type="dxa"/>
            </w:tcMar>
            <w:vAlign w:val="bottom"/>
          </w:tcPr>
          <w:p w14:paraId="5A77DA71"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209</w:t>
            </w:r>
          </w:p>
        </w:tc>
      </w:tr>
      <w:tr w:rsidR="00FB375D" w:rsidRPr="00706B0E" w14:paraId="4312C199" w14:textId="77777777" w:rsidTr="00B13457">
        <w:trPr>
          <w:trHeight w:val="270"/>
          <w:jc w:val="center"/>
        </w:trPr>
        <w:tc>
          <w:tcPr>
            <w:tcW w:w="4001" w:type="dxa"/>
            <w:tcMar>
              <w:top w:w="0" w:type="dxa"/>
              <w:left w:w="28" w:type="dxa"/>
              <w:bottom w:w="0" w:type="dxa"/>
              <w:right w:w="28" w:type="dxa"/>
            </w:tcMar>
            <w:hideMark/>
          </w:tcPr>
          <w:p w14:paraId="0C0A3F8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depreciation</w:t>
            </w:r>
          </w:p>
        </w:tc>
        <w:tc>
          <w:tcPr>
            <w:tcW w:w="888" w:type="dxa"/>
            <w:tcMar>
              <w:top w:w="0" w:type="dxa"/>
              <w:left w:w="28" w:type="dxa"/>
              <w:bottom w:w="0" w:type="dxa"/>
              <w:right w:w="28" w:type="dxa"/>
            </w:tcMar>
            <w:vAlign w:val="bottom"/>
          </w:tcPr>
          <w:p w14:paraId="0032D936"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54</w:t>
            </w:r>
          </w:p>
        </w:tc>
        <w:tc>
          <w:tcPr>
            <w:tcW w:w="222" w:type="dxa"/>
            <w:tcMar>
              <w:top w:w="0" w:type="dxa"/>
              <w:left w:w="28" w:type="dxa"/>
              <w:bottom w:w="0" w:type="dxa"/>
              <w:right w:w="28" w:type="dxa"/>
            </w:tcMar>
          </w:tcPr>
          <w:p w14:paraId="39C39993"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1FE775A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open market operations</w:t>
            </w:r>
          </w:p>
        </w:tc>
        <w:tc>
          <w:tcPr>
            <w:tcW w:w="969" w:type="dxa"/>
            <w:tcMar>
              <w:top w:w="0" w:type="dxa"/>
              <w:left w:w="28" w:type="dxa"/>
              <w:bottom w:w="0" w:type="dxa"/>
              <w:right w:w="28" w:type="dxa"/>
            </w:tcMar>
            <w:vAlign w:val="bottom"/>
          </w:tcPr>
          <w:p w14:paraId="0D99099F"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53</w:t>
            </w:r>
          </w:p>
        </w:tc>
      </w:tr>
      <w:tr w:rsidR="00FB375D" w:rsidRPr="00706B0E" w14:paraId="70C8F444" w14:textId="77777777" w:rsidTr="00B13457">
        <w:trPr>
          <w:trHeight w:val="270"/>
          <w:jc w:val="center"/>
        </w:trPr>
        <w:tc>
          <w:tcPr>
            <w:tcW w:w="4001" w:type="dxa"/>
            <w:tcMar>
              <w:top w:w="0" w:type="dxa"/>
              <w:left w:w="28" w:type="dxa"/>
              <w:bottom w:w="0" w:type="dxa"/>
              <w:right w:w="28" w:type="dxa"/>
            </w:tcMar>
            <w:hideMark/>
          </w:tcPr>
          <w:p w14:paraId="4199E43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depreciation fund</w:t>
            </w:r>
          </w:p>
        </w:tc>
        <w:tc>
          <w:tcPr>
            <w:tcW w:w="888" w:type="dxa"/>
            <w:tcMar>
              <w:top w:w="0" w:type="dxa"/>
              <w:left w:w="28" w:type="dxa"/>
              <w:bottom w:w="0" w:type="dxa"/>
              <w:right w:w="28" w:type="dxa"/>
            </w:tcMar>
            <w:vAlign w:val="bottom"/>
          </w:tcPr>
          <w:p w14:paraId="47D4354B"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123</w:t>
            </w:r>
          </w:p>
        </w:tc>
        <w:tc>
          <w:tcPr>
            <w:tcW w:w="222" w:type="dxa"/>
            <w:tcMar>
              <w:top w:w="0" w:type="dxa"/>
              <w:left w:w="28" w:type="dxa"/>
              <w:bottom w:w="0" w:type="dxa"/>
              <w:right w:w="28" w:type="dxa"/>
            </w:tcMar>
          </w:tcPr>
          <w:p w14:paraId="330D6400"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3C2211A"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opening balance</w:t>
            </w:r>
          </w:p>
        </w:tc>
        <w:tc>
          <w:tcPr>
            <w:tcW w:w="969" w:type="dxa"/>
            <w:tcMar>
              <w:top w:w="0" w:type="dxa"/>
              <w:left w:w="28" w:type="dxa"/>
              <w:bottom w:w="0" w:type="dxa"/>
              <w:right w:w="28" w:type="dxa"/>
            </w:tcMar>
            <w:vAlign w:val="bottom"/>
          </w:tcPr>
          <w:p w14:paraId="697CB8C3"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151</w:t>
            </w:r>
          </w:p>
        </w:tc>
      </w:tr>
      <w:tr w:rsidR="00FB375D" w:rsidRPr="00706B0E" w14:paraId="0CE56703" w14:textId="77777777" w:rsidTr="00B13457">
        <w:trPr>
          <w:trHeight w:val="270"/>
          <w:jc w:val="center"/>
        </w:trPr>
        <w:tc>
          <w:tcPr>
            <w:tcW w:w="4001" w:type="dxa"/>
            <w:tcMar>
              <w:top w:w="0" w:type="dxa"/>
              <w:left w:w="28" w:type="dxa"/>
              <w:bottom w:w="0" w:type="dxa"/>
              <w:right w:w="28" w:type="dxa"/>
            </w:tcMar>
            <w:hideMark/>
          </w:tcPr>
          <w:p w14:paraId="684FD654"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 xml:space="preserve">derivative </w:t>
            </w:r>
          </w:p>
        </w:tc>
        <w:tc>
          <w:tcPr>
            <w:tcW w:w="888" w:type="dxa"/>
            <w:tcMar>
              <w:top w:w="0" w:type="dxa"/>
              <w:left w:w="28" w:type="dxa"/>
              <w:bottom w:w="0" w:type="dxa"/>
              <w:right w:w="28" w:type="dxa"/>
            </w:tcMar>
            <w:vAlign w:val="bottom"/>
          </w:tcPr>
          <w:p w14:paraId="59DE377F"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175</w:t>
            </w:r>
          </w:p>
        </w:tc>
        <w:tc>
          <w:tcPr>
            <w:tcW w:w="222" w:type="dxa"/>
            <w:tcMar>
              <w:top w:w="0" w:type="dxa"/>
              <w:left w:w="28" w:type="dxa"/>
              <w:bottom w:w="0" w:type="dxa"/>
              <w:right w:w="28" w:type="dxa"/>
            </w:tcMar>
          </w:tcPr>
          <w:p w14:paraId="3D03DAF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7F397F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ordinary shares (common stock)</w:t>
            </w:r>
          </w:p>
        </w:tc>
        <w:tc>
          <w:tcPr>
            <w:tcW w:w="969" w:type="dxa"/>
            <w:tcMar>
              <w:top w:w="0" w:type="dxa"/>
              <w:left w:w="28" w:type="dxa"/>
              <w:bottom w:w="0" w:type="dxa"/>
              <w:right w:w="28" w:type="dxa"/>
            </w:tcMar>
            <w:vAlign w:val="bottom"/>
          </w:tcPr>
          <w:p w14:paraId="371A741E"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174</w:t>
            </w:r>
          </w:p>
        </w:tc>
      </w:tr>
      <w:tr w:rsidR="00FB375D" w:rsidRPr="00706B0E" w14:paraId="604519E9" w14:textId="77777777" w:rsidTr="00B13457">
        <w:trPr>
          <w:trHeight w:val="270"/>
          <w:jc w:val="center"/>
        </w:trPr>
        <w:tc>
          <w:tcPr>
            <w:tcW w:w="4001" w:type="dxa"/>
            <w:tcMar>
              <w:top w:w="0" w:type="dxa"/>
              <w:left w:w="28" w:type="dxa"/>
              <w:bottom w:w="0" w:type="dxa"/>
              <w:right w:w="28" w:type="dxa"/>
            </w:tcMar>
            <w:hideMark/>
          </w:tcPr>
          <w:p w14:paraId="57AD95D6" w14:textId="77777777" w:rsidR="00FB375D" w:rsidRPr="00706B0E" w:rsidRDefault="00FB375D" w:rsidP="004A340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discharge</w:t>
            </w:r>
          </w:p>
        </w:tc>
        <w:tc>
          <w:tcPr>
            <w:tcW w:w="888" w:type="dxa"/>
            <w:tcMar>
              <w:top w:w="0" w:type="dxa"/>
              <w:left w:w="28" w:type="dxa"/>
              <w:bottom w:w="0" w:type="dxa"/>
              <w:right w:w="28" w:type="dxa"/>
            </w:tcMar>
            <w:vAlign w:val="bottom"/>
          </w:tcPr>
          <w:p w14:paraId="395A11FA"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229</w:t>
            </w:r>
          </w:p>
        </w:tc>
        <w:tc>
          <w:tcPr>
            <w:tcW w:w="222" w:type="dxa"/>
            <w:tcMar>
              <w:top w:w="0" w:type="dxa"/>
              <w:left w:w="28" w:type="dxa"/>
              <w:bottom w:w="0" w:type="dxa"/>
              <w:right w:w="28" w:type="dxa"/>
            </w:tcMar>
          </w:tcPr>
          <w:p w14:paraId="4F70787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8CB36FE"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other operating activities</w:t>
            </w:r>
          </w:p>
        </w:tc>
        <w:tc>
          <w:tcPr>
            <w:tcW w:w="969" w:type="dxa"/>
            <w:tcMar>
              <w:top w:w="0" w:type="dxa"/>
              <w:left w:w="28" w:type="dxa"/>
              <w:bottom w:w="0" w:type="dxa"/>
              <w:right w:w="28" w:type="dxa"/>
            </w:tcMar>
            <w:vAlign w:val="bottom"/>
          </w:tcPr>
          <w:p w14:paraId="1709711D"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124</w:t>
            </w:r>
          </w:p>
        </w:tc>
      </w:tr>
      <w:tr w:rsidR="00FB375D" w:rsidRPr="00706B0E" w14:paraId="5E6CEB64" w14:textId="77777777" w:rsidTr="00B13457">
        <w:trPr>
          <w:trHeight w:val="270"/>
          <w:jc w:val="center"/>
        </w:trPr>
        <w:tc>
          <w:tcPr>
            <w:tcW w:w="4001" w:type="dxa"/>
            <w:tcMar>
              <w:top w:w="0" w:type="dxa"/>
              <w:left w:w="28" w:type="dxa"/>
              <w:bottom w:w="0" w:type="dxa"/>
              <w:right w:w="28" w:type="dxa"/>
            </w:tcMar>
            <w:hideMark/>
          </w:tcPr>
          <w:p w14:paraId="55FFD83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discount window</w:t>
            </w:r>
          </w:p>
        </w:tc>
        <w:tc>
          <w:tcPr>
            <w:tcW w:w="888" w:type="dxa"/>
            <w:tcMar>
              <w:top w:w="0" w:type="dxa"/>
              <w:left w:w="28" w:type="dxa"/>
              <w:bottom w:w="0" w:type="dxa"/>
              <w:right w:w="28" w:type="dxa"/>
            </w:tcMar>
            <w:vAlign w:val="bottom"/>
          </w:tcPr>
          <w:p w14:paraId="53165DEB" w14:textId="77777777" w:rsidR="00FB375D" w:rsidRPr="00B13457" w:rsidRDefault="00B13457" w:rsidP="004A3400">
            <w:pPr>
              <w:spacing w:line="312" w:lineRule="auto"/>
              <w:jc w:val="center"/>
              <w:rPr>
                <w:rFonts w:ascii="Garamond" w:eastAsia="Helvetica" w:hAnsi="Garamond" w:cs="Helvetica"/>
                <w:b/>
                <w:sz w:val="28"/>
                <w:szCs w:val="28"/>
                <w:lang w:val="en-US"/>
              </w:rPr>
            </w:pPr>
            <w:r>
              <w:rPr>
                <w:rFonts w:ascii="Garamond" w:eastAsia="Helvetica" w:hAnsi="Garamond" w:cs="Helvetica"/>
                <w:b/>
                <w:sz w:val="28"/>
                <w:szCs w:val="28"/>
                <w:lang w:val="en-US"/>
              </w:rPr>
              <w:t>53</w:t>
            </w:r>
          </w:p>
        </w:tc>
        <w:tc>
          <w:tcPr>
            <w:tcW w:w="222" w:type="dxa"/>
            <w:tcMar>
              <w:top w:w="0" w:type="dxa"/>
              <w:left w:w="28" w:type="dxa"/>
              <w:bottom w:w="0" w:type="dxa"/>
              <w:right w:w="28" w:type="dxa"/>
            </w:tcMar>
          </w:tcPr>
          <w:p w14:paraId="1C1DD31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F380793" w14:textId="77777777" w:rsidR="00FB375D" w:rsidRPr="00706B0E" w:rsidRDefault="00FB375D" w:rsidP="004A3400">
            <w:pPr>
              <w:tabs>
                <w:tab w:val="left" w:pos="709"/>
                <w:tab w:val="left" w:pos="1418"/>
                <w:tab w:val="left" w:pos="2127"/>
                <w:tab w:val="left" w:pos="2836"/>
                <w:tab w:val="left" w:pos="3545"/>
                <w:tab w:val="left" w:pos="4254"/>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outturn</w:t>
            </w:r>
          </w:p>
        </w:tc>
        <w:tc>
          <w:tcPr>
            <w:tcW w:w="969" w:type="dxa"/>
            <w:tcMar>
              <w:top w:w="0" w:type="dxa"/>
              <w:left w:w="28" w:type="dxa"/>
              <w:bottom w:w="0" w:type="dxa"/>
              <w:right w:w="28" w:type="dxa"/>
            </w:tcMar>
            <w:vAlign w:val="bottom"/>
          </w:tcPr>
          <w:p w14:paraId="638773A8"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229</w:t>
            </w:r>
          </w:p>
        </w:tc>
      </w:tr>
      <w:tr w:rsidR="00FB375D" w:rsidRPr="00706B0E" w14:paraId="62830FE1" w14:textId="77777777" w:rsidTr="00B13457">
        <w:trPr>
          <w:trHeight w:val="270"/>
          <w:jc w:val="center"/>
        </w:trPr>
        <w:tc>
          <w:tcPr>
            <w:tcW w:w="4001" w:type="dxa"/>
            <w:tcMar>
              <w:top w:w="0" w:type="dxa"/>
              <w:left w:w="28" w:type="dxa"/>
              <w:bottom w:w="0" w:type="dxa"/>
              <w:right w:w="28" w:type="dxa"/>
            </w:tcMar>
            <w:hideMark/>
          </w:tcPr>
          <w:p w14:paraId="138F42BB"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lastRenderedPageBreak/>
              <w:t>dividend</w:t>
            </w:r>
          </w:p>
        </w:tc>
        <w:tc>
          <w:tcPr>
            <w:tcW w:w="888" w:type="dxa"/>
            <w:tcMar>
              <w:top w:w="0" w:type="dxa"/>
              <w:left w:w="28" w:type="dxa"/>
              <w:bottom w:w="0" w:type="dxa"/>
              <w:right w:w="28" w:type="dxa"/>
            </w:tcMar>
            <w:vAlign w:val="bottom"/>
          </w:tcPr>
          <w:p w14:paraId="79FFCCE2"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175</w:t>
            </w:r>
          </w:p>
        </w:tc>
        <w:tc>
          <w:tcPr>
            <w:tcW w:w="222" w:type="dxa"/>
            <w:tcMar>
              <w:top w:w="0" w:type="dxa"/>
              <w:left w:w="28" w:type="dxa"/>
              <w:bottom w:w="0" w:type="dxa"/>
              <w:right w:w="28" w:type="dxa"/>
            </w:tcMar>
          </w:tcPr>
          <w:p w14:paraId="6563E8D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4E89224" w14:textId="77777777" w:rsidR="00FB375D" w:rsidRPr="00CE389C" w:rsidRDefault="00FB375D"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rPr>
                <w:rFonts w:ascii="Garamond" w:eastAsia="Helvetica" w:hAnsi="Garamond" w:cs="Helvetica"/>
                <w:sz w:val="28"/>
                <w:szCs w:val="28"/>
                <w:lang w:val="en-US"/>
              </w:rPr>
            </w:pPr>
            <w:r w:rsidRPr="00CE389C">
              <w:rPr>
                <w:rFonts w:ascii="Garamond" w:hAnsi="Garamond" w:cs="Calibri"/>
                <w:sz w:val="28"/>
                <w:szCs w:val="28"/>
                <w:lang w:val="en-US"/>
              </w:rPr>
              <w:t>own resources</w:t>
            </w:r>
          </w:p>
        </w:tc>
        <w:tc>
          <w:tcPr>
            <w:tcW w:w="969" w:type="dxa"/>
            <w:tcMar>
              <w:top w:w="0" w:type="dxa"/>
              <w:left w:w="28" w:type="dxa"/>
              <w:bottom w:w="0" w:type="dxa"/>
              <w:right w:w="28" w:type="dxa"/>
            </w:tcMar>
            <w:vAlign w:val="bottom"/>
          </w:tcPr>
          <w:p w14:paraId="293B4998"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229</w:t>
            </w:r>
          </w:p>
        </w:tc>
      </w:tr>
      <w:tr w:rsidR="00FB375D" w:rsidRPr="00706B0E" w14:paraId="435DA1DD" w14:textId="77777777" w:rsidTr="00B13457">
        <w:trPr>
          <w:trHeight w:val="270"/>
          <w:jc w:val="center"/>
        </w:trPr>
        <w:tc>
          <w:tcPr>
            <w:tcW w:w="4001" w:type="dxa"/>
            <w:tcMar>
              <w:top w:w="0" w:type="dxa"/>
              <w:left w:w="28" w:type="dxa"/>
              <w:bottom w:w="0" w:type="dxa"/>
              <w:right w:w="28" w:type="dxa"/>
            </w:tcMar>
            <w:hideMark/>
          </w:tcPr>
          <w:p w14:paraId="59050566"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dividend fund</w:t>
            </w:r>
          </w:p>
        </w:tc>
        <w:tc>
          <w:tcPr>
            <w:tcW w:w="888" w:type="dxa"/>
            <w:tcMar>
              <w:top w:w="0" w:type="dxa"/>
              <w:left w:w="28" w:type="dxa"/>
              <w:bottom w:w="0" w:type="dxa"/>
              <w:right w:w="28" w:type="dxa"/>
            </w:tcMar>
            <w:vAlign w:val="bottom"/>
          </w:tcPr>
          <w:p w14:paraId="30AD1204"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123</w:t>
            </w:r>
          </w:p>
        </w:tc>
        <w:tc>
          <w:tcPr>
            <w:tcW w:w="222" w:type="dxa"/>
            <w:tcMar>
              <w:top w:w="0" w:type="dxa"/>
              <w:left w:w="28" w:type="dxa"/>
              <w:bottom w:w="0" w:type="dxa"/>
              <w:right w:w="28" w:type="dxa"/>
            </w:tcMar>
          </w:tcPr>
          <w:p w14:paraId="7A98F5DF"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591D64B8"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P</w:t>
            </w:r>
          </w:p>
        </w:tc>
        <w:tc>
          <w:tcPr>
            <w:tcW w:w="969" w:type="dxa"/>
            <w:shd w:val="clear" w:color="auto" w:fill="BFBFBF"/>
            <w:tcMar>
              <w:top w:w="0" w:type="dxa"/>
              <w:left w:w="28" w:type="dxa"/>
              <w:bottom w:w="0" w:type="dxa"/>
              <w:right w:w="28" w:type="dxa"/>
            </w:tcMar>
            <w:vAlign w:val="bottom"/>
          </w:tcPr>
          <w:p w14:paraId="57ADD8A9" w14:textId="77777777" w:rsidR="00FB375D" w:rsidRPr="0071403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4A058E0B" w14:textId="77777777" w:rsidTr="00B13457">
        <w:trPr>
          <w:trHeight w:val="270"/>
          <w:jc w:val="center"/>
        </w:trPr>
        <w:tc>
          <w:tcPr>
            <w:tcW w:w="4001" w:type="dxa"/>
            <w:tcMar>
              <w:top w:w="0" w:type="dxa"/>
              <w:left w:w="28" w:type="dxa"/>
              <w:bottom w:w="0" w:type="dxa"/>
              <w:right w:w="28" w:type="dxa"/>
            </w:tcMar>
            <w:hideMark/>
          </w:tcPr>
          <w:p w14:paraId="7A17664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draft budget</w:t>
            </w:r>
          </w:p>
        </w:tc>
        <w:tc>
          <w:tcPr>
            <w:tcW w:w="888" w:type="dxa"/>
            <w:tcMar>
              <w:top w:w="0" w:type="dxa"/>
              <w:left w:w="28" w:type="dxa"/>
              <w:bottom w:w="0" w:type="dxa"/>
              <w:right w:w="28" w:type="dxa"/>
            </w:tcMar>
            <w:vAlign w:val="bottom"/>
          </w:tcPr>
          <w:p w14:paraId="6EBBF7E7"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88</w:t>
            </w:r>
          </w:p>
        </w:tc>
        <w:tc>
          <w:tcPr>
            <w:tcW w:w="222" w:type="dxa"/>
            <w:tcMar>
              <w:top w:w="0" w:type="dxa"/>
              <w:left w:w="28" w:type="dxa"/>
              <w:bottom w:w="0" w:type="dxa"/>
              <w:right w:w="28" w:type="dxa"/>
            </w:tcMar>
          </w:tcPr>
          <w:p w14:paraId="3C223CA6"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87D7D28"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pay-roll fund</w:t>
            </w:r>
          </w:p>
        </w:tc>
        <w:tc>
          <w:tcPr>
            <w:tcW w:w="969" w:type="dxa"/>
            <w:tcMar>
              <w:top w:w="0" w:type="dxa"/>
              <w:left w:w="28" w:type="dxa"/>
              <w:bottom w:w="0" w:type="dxa"/>
              <w:right w:w="28" w:type="dxa"/>
            </w:tcMar>
            <w:vAlign w:val="bottom"/>
          </w:tcPr>
          <w:p w14:paraId="51371AA2"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123</w:t>
            </w:r>
          </w:p>
        </w:tc>
      </w:tr>
      <w:tr w:rsidR="00FB375D" w:rsidRPr="00706B0E" w14:paraId="607CA1F4" w14:textId="77777777" w:rsidTr="00B13457">
        <w:trPr>
          <w:trHeight w:val="270"/>
          <w:jc w:val="center"/>
        </w:trPr>
        <w:tc>
          <w:tcPr>
            <w:tcW w:w="4001" w:type="dxa"/>
            <w:tcMar>
              <w:top w:w="0" w:type="dxa"/>
              <w:left w:w="28" w:type="dxa"/>
              <w:bottom w:w="0" w:type="dxa"/>
              <w:right w:w="28" w:type="dxa"/>
            </w:tcMar>
            <w:hideMark/>
          </w:tcPr>
          <w:p w14:paraId="522729F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 xml:space="preserve">duty (payment, contribution) </w:t>
            </w:r>
          </w:p>
        </w:tc>
        <w:tc>
          <w:tcPr>
            <w:tcW w:w="888" w:type="dxa"/>
            <w:tcMar>
              <w:top w:w="0" w:type="dxa"/>
              <w:left w:w="28" w:type="dxa"/>
              <w:bottom w:w="0" w:type="dxa"/>
              <w:right w:w="28" w:type="dxa"/>
            </w:tcMar>
            <w:vAlign w:val="bottom"/>
          </w:tcPr>
          <w:p w14:paraId="4382C1A0"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69</w:t>
            </w:r>
          </w:p>
        </w:tc>
        <w:tc>
          <w:tcPr>
            <w:tcW w:w="222" w:type="dxa"/>
            <w:tcMar>
              <w:top w:w="0" w:type="dxa"/>
              <w:left w:w="28" w:type="dxa"/>
              <w:bottom w:w="0" w:type="dxa"/>
              <w:right w:w="28" w:type="dxa"/>
            </w:tcMar>
          </w:tcPr>
          <w:p w14:paraId="0A4AF47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8921F5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paid up capital</w:t>
            </w:r>
          </w:p>
        </w:tc>
        <w:tc>
          <w:tcPr>
            <w:tcW w:w="969" w:type="dxa"/>
            <w:tcMar>
              <w:top w:w="0" w:type="dxa"/>
              <w:left w:w="28" w:type="dxa"/>
              <w:bottom w:w="0" w:type="dxa"/>
              <w:right w:w="28" w:type="dxa"/>
            </w:tcMar>
            <w:vAlign w:val="bottom"/>
          </w:tcPr>
          <w:p w14:paraId="18C88AAC"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123</w:t>
            </w:r>
          </w:p>
        </w:tc>
      </w:tr>
      <w:tr w:rsidR="00FB375D" w:rsidRPr="00706B0E" w14:paraId="5C002FA0" w14:textId="77777777" w:rsidTr="00B13457">
        <w:trPr>
          <w:trHeight w:val="270"/>
          <w:jc w:val="center"/>
        </w:trPr>
        <w:tc>
          <w:tcPr>
            <w:tcW w:w="4001" w:type="dxa"/>
            <w:shd w:val="clear" w:color="auto" w:fill="BFBFBF" w:themeFill="background1" w:themeFillShade="BF"/>
            <w:tcMar>
              <w:top w:w="0" w:type="dxa"/>
              <w:left w:w="28" w:type="dxa"/>
              <w:bottom w:w="0" w:type="dxa"/>
              <w:right w:w="28" w:type="dxa"/>
            </w:tcMar>
            <w:hideMark/>
          </w:tcPr>
          <w:p w14:paraId="285DF3B2"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b/>
                <w:bCs/>
                <w:sz w:val="28"/>
                <w:szCs w:val="28"/>
                <w:u w:color="000000"/>
                <w:lang w:val="en-US" w:eastAsia="en-US"/>
              </w:rPr>
              <w:t>E</w:t>
            </w:r>
          </w:p>
        </w:tc>
        <w:tc>
          <w:tcPr>
            <w:tcW w:w="888" w:type="dxa"/>
            <w:shd w:val="clear" w:color="auto" w:fill="BFBFBF" w:themeFill="background1" w:themeFillShade="BF"/>
            <w:tcMar>
              <w:top w:w="0" w:type="dxa"/>
              <w:left w:w="28" w:type="dxa"/>
              <w:bottom w:w="0" w:type="dxa"/>
              <w:right w:w="28" w:type="dxa"/>
            </w:tcMar>
            <w:vAlign w:val="bottom"/>
          </w:tcPr>
          <w:p w14:paraId="375AB647" w14:textId="77777777" w:rsidR="00FB375D" w:rsidRPr="003D2007" w:rsidRDefault="00FB375D" w:rsidP="004A3400">
            <w:pPr>
              <w:spacing w:line="312" w:lineRule="auto"/>
              <w:ind w:firstLine="709"/>
              <w:rPr>
                <w:rFonts w:ascii="Garamond" w:eastAsia="Calibri" w:hAnsi="Garamond" w:cs="Calibri"/>
                <w:b/>
                <w:sz w:val="28"/>
                <w:szCs w:val="28"/>
                <w:u w:color="000000"/>
                <w:lang w:val="en-US" w:eastAsia="en-US"/>
              </w:rPr>
            </w:pPr>
          </w:p>
        </w:tc>
        <w:tc>
          <w:tcPr>
            <w:tcW w:w="222" w:type="dxa"/>
            <w:tcMar>
              <w:top w:w="0" w:type="dxa"/>
              <w:left w:w="28" w:type="dxa"/>
              <w:bottom w:w="0" w:type="dxa"/>
              <w:right w:w="28" w:type="dxa"/>
            </w:tcMar>
          </w:tcPr>
          <w:p w14:paraId="2E0F87A1"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4D2EA0E"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pension fixed income</w:t>
            </w:r>
          </w:p>
        </w:tc>
        <w:tc>
          <w:tcPr>
            <w:tcW w:w="969" w:type="dxa"/>
            <w:tcMar>
              <w:top w:w="0" w:type="dxa"/>
              <w:left w:w="28" w:type="dxa"/>
              <w:bottom w:w="0" w:type="dxa"/>
              <w:right w:w="28" w:type="dxa"/>
            </w:tcMar>
            <w:vAlign w:val="bottom"/>
          </w:tcPr>
          <w:p w14:paraId="4A69E843"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106</w:t>
            </w:r>
          </w:p>
        </w:tc>
      </w:tr>
      <w:tr w:rsidR="00FB375D" w:rsidRPr="00706B0E" w14:paraId="05601FCB" w14:textId="77777777" w:rsidTr="00B13457">
        <w:trPr>
          <w:trHeight w:val="270"/>
          <w:jc w:val="center"/>
        </w:trPr>
        <w:tc>
          <w:tcPr>
            <w:tcW w:w="4001" w:type="dxa"/>
            <w:tcMar>
              <w:top w:w="0" w:type="dxa"/>
              <w:left w:w="28" w:type="dxa"/>
              <w:bottom w:w="0" w:type="dxa"/>
              <w:right w:w="28" w:type="dxa"/>
            </w:tcMar>
            <w:hideMark/>
          </w:tcPr>
          <w:p w14:paraId="0E2FEC70" w14:textId="77777777" w:rsidR="00FB375D" w:rsidRPr="00706B0E" w:rsidRDefault="00FB375D" w:rsidP="004A340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Economic and Monetary Union</w:t>
            </w:r>
          </w:p>
        </w:tc>
        <w:tc>
          <w:tcPr>
            <w:tcW w:w="888" w:type="dxa"/>
            <w:tcMar>
              <w:top w:w="0" w:type="dxa"/>
              <w:left w:w="28" w:type="dxa"/>
              <w:bottom w:w="0" w:type="dxa"/>
              <w:right w:w="28" w:type="dxa"/>
            </w:tcMar>
            <w:vAlign w:val="bottom"/>
          </w:tcPr>
          <w:p w14:paraId="5F8E39F6"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228</w:t>
            </w:r>
          </w:p>
        </w:tc>
        <w:tc>
          <w:tcPr>
            <w:tcW w:w="222" w:type="dxa"/>
            <w:tcMar>
              <w:top w:w="0" w:type="dxa"/>
              <w:left w:w="28" w:type="dxa"/>
              <w:bottom w:w="0" w:type="dxa"/>
              <w:right w:w="28" w:type="dxa"/>
            </w:tcMar>
          </w:tcPr>
          <w:p w14:paraId="6E5271D3"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BE5953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personal finance</w:t>
            </w:r>
          </w:p>
        </w:tc>
        <w:tc>
          <w:tcPr>
            <w:tcW w:w="969" w:type="dxa"/>
            <w:tcMar>
              <w:top w:w="0" w:type="dxa"/>
              <w:left w:w="28" w:type="dxa"/>
              <w:bottom w:w="0" w:type="dxa"/>
              <w:right w:w="28" w:type="dxa"/>
            </w:tcMar>
            <w:vAlign w:val="bottom"/>
          </w:tcPr>
          <w:p w14:paraId="619AA95C"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39, 54</w:t>
            </w:r>
          </w:p>
        </w:tc>
      </w:tr>
      <w:tr w:rsidR="00FB375D" w:rsidRPr="00706B0E" w14:paraId="5F2FD728" w14:textId="77777777" w:rsidTr="00B13457">
        <w:trPr>
          <w:trHeight w:val="270"/>
          <w:jc w:val="center"/>
        </w:trPr>
        <w:tc>
          <w:tcPr>
            <w:tcW w:w="4001" w:type="dxa"/>
            <w:tcMar>
              <w:top w:w="0" w:type="dxa"/>
              <w:left w:w="28" w:type="dxa"/>
              <w:bottom w:w="0" w:type="dxa"/>
              <w:right w:w="28" w:type="dxa"/>
            </w:tcMar>
            <w:hideMark/>
          </w:tcPr>
          <w:p w14:paraId="53B05B67"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 xml:space="preserve">effective demand </w:t>
            </w:r>
          </w:p>
        </w:tc>
        <w:tc>
          <w:tcPr>
            <w:tcW w:w="888" w:type="dxa"/>
            <w:tcMar>
              <w:top w:w="0" w:type="dxa"/>
              <w:left w:w="28" w:type="dxa"/>
              <w:bottom w:w="0" w:type="dxa"/>
              <w:right w:w="28" w:type="dxa"/>
            </w:tcMar>
            <w:vAlign w:val="bottom"/>
          </w:tcPr>
          <w:p w14:paraId="2FAF6226"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38</w:t>
            </w:r>
          </w:p>
        </w:tc>
        <w:tc>
          <w:tcPr>
            <w:tcW w:w="222" w:type="dxa"/>
            <w:tcMar>
              <w:top w:w="0" w:type="dxa"/>
              <w:left w:w="28" w:type="dxa"/>
              <w:bottom w:w="0" w:type="dxa"/>
              <w:right w:w="28" w:type="dxa"/>
            </w:tcMar>
          </w:tcPr>
          <w:p w14:paraId="76551C93"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A362C43"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policyholder</w:t>
            </w:r>
          </w:p>
        </w:tc>
        <w:tc>
          <w:tcPr>
            <w:tcW w:w="969" w:type="dxa"/>
            <w:tcMar>
              <w:top w:w="0" w:type="dxa"/>
              <w:left w:w="28" w:type="dxa"/>
              <w:bottom w:w="0" w:type="dxa"/>
              <w:right w:w="28" w:type="dxa"/>
            </w:tcMar>
            <w:vAlign w:val="bottom"/>
          </w:tcPr>
          <w:p w14:paraId="4B4CDFBB" w14:textId="77777777" w:rsidR="00FB375D" w:rsidRPr="00714037" w:rsidRDefault="003D2007"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192</w:t>
            </w:r>
          </w:p>
        </w:tc>
      </w:tr>
      <w:tr w:rsidR="00FB375D" w:rsidRPr="00706B0E" w14:paraId="730EB5A3" w14:textId="77777777" w:rsidTr="00B13457">
        <w:trPr>
          <w:trHeight w:val="270"/>
          <w:jc w:val="center"/>
        </w:trPr>
        <w:tc>
          <w:tcPr>
            <w:tcW w:w="4001" w:type="dxa"/>
            <w:tcMar>
              <w:top w:w="0" w:type="dxa"/>
              <w:left w:w="28" w:type="dxa"/>
              <w:bottom w:w="0" w:type="dxa"/>
              <w:right w:w="28" w:type="dxa"/>
            </w:tcMar>
            <w:hideMark/>
          </w:tcPr>
          <w:p w14:paraId="495E0BA6"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embargo</w:t>
            </w:r>
          </w:p>
        </w:tc>
        <w:tc>
          <w:tcPr>
            <w:tcW w:w="888" w:type="dxa"/>
            <w:tcMar>
              <w:top w:w="0" w:type="dxa"/>
              <w:left w:w="28" w:type="dxa"/>
              <w:bottom w:w="0" w:type="dxa"/>
              <w:right w:w="28" w:type="dxa"/>
            </w:tcMar>
          </w:tcPr>
          <w:p w14:paraId="37F1AB48"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54</w:t>
            </w:r>
          </w:p>
        </w:tc>
        <w:tc>
          <w:tcPr>
            <w:tcW w:w="222" w:type="dxa"/>
            <w:tcMar>
              <w:top w:w="0" w:type="dxa"/>
              <w:left w:w="28" w:type="dxa"/>
              <w:bottom w:w="0" w:type="dxa"/>
              <w:right w:w="28" w:type="dxa"/>
            </w:tcMar>
          </w:tcPr>
          <w:p w14:paraId="4D44CA0A"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307B626"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prefe</w:t>
            </w:r>
            <w:r w:rsidR="00CE389C">
              <w:rPr>
                <w:rFonts w:ascii="Garamond" w:eastAsia="Calibri" w:hAnsi="Garamond" w:cs="Calibri"/>
                <w:sz w:val="28"/>
                <w:szCs w:val="28"/>
                <w:u w:color="000000"/>
                <w:lang w:val="en-US" w:eastAsia="en-US"/>
              </w:rPr>
              <w:t>rence shares (preferred stock)</w:t>
            </w:r>
          </w:p>
        </w:tc>
        <w:tc>
          <w:tcPr>
            <w:tcW w:w="969" w:type="dxa"/>
            <w:tcMar>
              <w:top w:w="0" w:type="dxa"/>
              <w:left w:w="28" w:type="dxa"/>
              <w:bottom w:w="0" w:type="dxa"/>
              <w:right w:w="28" w:type="dxa"/>
            </w:tcMar>
            <w:vAlign w:val="bottom"/>
          </w:tcPr>
          <w:p w14:paraId="39E3CBD0" w14:textId="77777777" w:rsidR="00FB375D" w:rsidRPr="00714037" w:rsidRDefault="003D2007"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174</w:t>
            </w:r>
          </w:p>
        </w:tc>
      </w:tr>
      <w:tr w:rsidR="00FB375D" w:rsidRPr="00706B0E" w14:paraId="5503DF3F" w14:textId="77777777" w:rsidTr="00B13457">
        <w:trPr>
          <w:trHeight w:val="270"/>
          <w:jc w:val="center"/>
        </w:trPr>
        <w:tc>
          <w:tcPr>
            <w:tcW w:w="4001" w:type="dxa"/>
            <w:tcMar>
              <w:top w:w="0" w:type="dxa"/>
              <w:left w:w="28" w:type="dxa"/>
              <w:bottom w:w="0" w:type="dxa"/>
              <w:right w:w="28" w:type="dxa"/>
            </w:tcMar>
            <w:hideMark/>
          </w:tcPr>
          <w:p w14:paraId="165B2E9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s-ES_tradnl" w:eastAsia="en-US"/>
              </w:rPr>
              <w:t>equity</w:t>
            </w:r>
            <w:r w:rsidRPr="00706B0E">
              <w:rPr>
                <w:rFonts w:ascii="Garamond" w:eastAsia="Calibri" w:hAnsi="Garamond" w:cs="Calibri"/>
                <w:sz w:val="28"/>
                <w:szCs w:val="28"/>
                <w:u w:color="000000"/>
                <w:lang w:val="en-US" w:eastAsia="en-US"/>
              </w:rPr>
              <w:t xml:space="preserve"> (</w:t>
            </w:r>
            <w:r w:rsidRPr="00706B0E">
              <w:rPr>
                <w:rFonts w:ascii="Garamond" w:eastAsia="Calibri" w:hAnsi="Garamond" w:cs="Calibri"/>
                <w:sz w:val="28"/>
                <w:szCs w:val="28"/>
                <w:u w:color="000000"/>
                <w:lang w:val="nl-NL" w:eastAsia="en-US"/>
              </w:rPr>
              <w:t>net worth</w:t>
            </w:r>
            <w:r w:rsidRPr="00706B0E">
              <w:rPr>
                <w:rFonts w:ascii="Garamond" w:eastAsia="Calibri" w:hAnsi="Garamond" w:cs="Calibri"/>
                <w:sz w:val="28"/>
                <w:szCs w:val="28"/>
                <w:u w:color="000000"/>
                <w:lang w:val="en-US" w:eastAsia="en-US"/>
              </w:rPr>
              <w:t>, shareholder’</w:t>
            </w:r>
            <w:r w:rsidRPr="00706B0E">
              <w:rPr>
                <w:rFonts w:ascii="Garamond" w:eastAsia="Calibri" w:hAnsi="Garamond" w:cs="Calibri"/>
                <w:sz w:val="28"/>
                <w:szCs w:val="28"/>
                <w:u w:color="000000"/>
                <w:lang w:val="es-ES_tradnl" w:eastAsia="en-US"/>
              </w:rPr>
              <w:t>s equity</w:t>
            </w:r>
            <w:r w:rsidR="00CE389C">
              <w:rPr>
                <w:rFonts w:ascii="Garamond" w:eastAsia="Calibri" w:hAnsi="Garamond" w:cs="Calibri"/>
                <w:sz w:val="28"/>
                <w:szCs w:val="28"/>
                <w:u w:color="000000"/>
                <w:lang w:val="en-US" w:eastAsia="en-US"/>
              </w:rPr>
              <w:t>)</w:t>
            </w:r>
          </w:p>
        </w:tc>
        <w:tc>
          <w:tcPr>
            <w:tcW w:w="888" w:type="dxa"/>
            <w:tcMar>
              <w:top w:w="0" w:type="dxa"/>
              <w:left w:w="28" w:type="dxa"/>
              <w:bottom w:w="0" w:type="dxa"/>
              <w:right w:w="28" w:type="dxa"/>
            </w:tcMar>
            <w:vAlign w:val="bottom"/>
          </w:tcPr>
          <w:p w14:paraId="4316505C"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150</w:t>
            </w:r>
          </w:p>
        </w:tc>
        <w:tc>
          <w:tcPr>
            <w:tcW w:w="222" w:type="dxa"/>
            <w:tcMar>
              <w:top w:w="0" w:type="dxa"/>
              <w:left w:w="28" w:type="dxa"/>
              <w:bottom w:w="0" w:type="dxa"/>
              <w:right w:w="28" w:type="dxa"/>
            </w:tcMar>
          </w:tcPr>
          <w:p w14:paraId="4A15B18A"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D48C5F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production-development fund</w:t>
            </w:r>
          </w:p>
        </w:tc>
        <w:tc>
          <w:tcPr>
            <w:tcW w:w="969" w:type="dxa"/>
            <w:tcMar>
              <w:top w:w="0" w:type="dxa"/>
              <w:left w:w="28" w:type="dxa"/>
              <w:bottom w:w="0" w:type="dxa"/>
              <w:right w:w="28" w:type="dxa"/>
            </w:tcMar>
            <w:vAlign w:val="bottom"/>
          </w:tcPr>
          <w:p w14:paraId="2BE03FFF" w14:textId="77777777" w:rsidR="00FB375D" w:rsidRPr="00714037" w:rsidRDefault="003D2007"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123</w:t>
            </w:r>
          </w:p>
        </w:tc>
      </w:tr>
      <w:tr w:rsidR="00FB375D" w:rsidRPr="00706B0E" w14:paraId="158850EC" w14:textId="77777777" w:rsidTr="00B13457">
        <w:trPr>
          <w:trHeight w:val="270"/>
          <w:jc w:val="center"/>
        </w:trPr>
        <w:tc>
          <w:tcPr>
            <w:tcW w:w="4001" w:type="dxa"/>
            <w:tcMar>
              <w:top w:w="0" w:type="dxa"/>
              <w:left w:w="28" w:type="dxa"/>
              <w:bottom w:w="0" w:type="dxa"/>
              <w:right w:w="28" w:type="dxa"/>
            </w:tcMar>
            <w:hideMark/>
          </w:tcPr>
          <w:p w14:paraId="109843EA"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equity instrument</w:t>
            </w:r>
          </w:p>
        </w:tc>
        <w:tc>
          <w:tcPr>
            <w:tcW w:w="888" w:type="dxa"/>
            <w:tcMar>
              <w:top w:w="0" w:type="dxa"/>
              <w:left w:w="28" w:type="dxa"/>
              <w:bottom w:w="0" w:type="dxa"/>
              <w:right w:w="28" w:type="dxa"/>
            </w:tcMar>
            <w:vAlign w:val="bottom"/>
          </w:tcPr>
          <w:p w14:paraId="3C721B2F"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174</w:t>
            </w:r>
          </w:p>
        </w:tc>
        <w:tc>
          <w:tcPr>
            <w:tcW w:w="222" w:type="dxa"/>
            <w:tcMar>
              <w:top w:w="0" w:type="dxa"/>
              <w:left w:w="28" w:type="dxa"/>
              <w:bottom w:w="0" w:type="dxa"/>
              <w:right w:w="28" w:type="dxa"/>
            </w:tcMar>
          </w:tcPr>
          <w:p w14:paraId="0089B63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E2105A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profit</w:t>
            </w:r>
          </w:p>
        </w:tc>
        <w:tc>
          <w:tcPr>
            <w:tcW w:w="969" w:type="dxa"/>
            <w:tcMar>
              <w:top w:w="0" w:type="dxa"/>
              <w:left w:w="28" w:type="dxa"/>
              <w:bottom w:w="0" w:type="dxa"/>
              <w:right w:w="28" w:type="dxa"/>
            </w:tcMar>
            <w:vAlign w:val="bottom"/>
          </w:tcPr>
          <w:p w14:paraId="13E36437" w14:textId="77777777" w:rsidR="00FB375D" w:rsidRPr="00714037" w:rsidRDefault="003D2007"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124</w:t>
            </w:r>
          </w:p>
        </w:tc>
      </w:tr>
      <w:tr w:rsidR="00FB375D" w:rsidRPr="00706B0E" w14:paraId="5FC0B84D" w14:textId="77777777" w:rsidTr="00B13457">
        <w:trPr>
          <w:trHeight w:val="270"/>
          <w:jc w:val="center"/>
        </w:trPr>
        <w:tc>
          <w:tcPr>
            <w:tcW w:w="4001" w:type="dxa"/>
            <w:tcMar>
              <w:top w:w="0" w:type="dxa"/>
              <w:left w:w="28" w:type="dxa"/>
              <w:bottom w:w="0" w:type="dxa"/>
              <w:right w:w="28" w:type="dxa"/>
            </w:tcMar>
            <w:hideMark/>
          </w:tcPr>
          <w:p w14:paraId="29953764" w14:textId="77777777" w:rsidR="00FB375D" w:rsidRPr="00706B0E" w:rsidRDefault="00FB375D" w:rsidP="004A340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 xml:space="preserve">Erasmus+ </w:t>
            </w:r>
          </w:p>
        </w:tc>
        <w:tc>
          <w:tcPr>
            <w:tcW w:w="888" w:type="dxa"/>
            <w:tcMar>
              <w:top w:w="0" w:type="dxa"/>
              <w:left w:w="28" w:type="dxa"/>
              <w:bottom w:w="0" w:type="dxa"/>
              <w:right w:w="28" w:type="dxa"/>
            </w:tcMar>
            <w:vAlign w:val="bottom"/>
          </w:tcPr>
          <w:p w14:paraId="5C7AC002"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229</w:t>
            </w:r>
          </w:p>
        </w:tc>
        <w:tc>
          <w:tcPr>
            <w:tcW w:w="222" w:type="dxa"/>
            <w:tcMar>
              <w:top w:w="0" w:type="dxa"/>
              <w:left w:w="28" w:type="dxa"/>
              <w:bottom w:w="0" w:type="dxa"/>
              <w:right w:w="28" w:type="dxa"/>
            </w:tcMar>
          </w:tcPr>
          <w:p w14:paraId="6C24EDE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FC7CDAC"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property insurance</w:t>
            </w:r>
          </w:p>
        </w:tc>
        <w:tc>
          <w:tcPr>
            <w:tcW w:w="969" w:type="dxa"/>
            <w:tcMar>
              <w:top w:w="0" w:type="dxa"/>
              <w:left w:w="28" w:type="dxa"/>
              <w:bottom w:w="0" w:type="dxa"/>
              <w:right w:w="28" w:type="dxa"/>
            </w:tcMar>
            <w:vAlign w:val="bottom"/>
          </w:tcPr>
          <w:p w14:paraId="0F2A2B03" w14:textId="77777777" w:rsidR="00FB375D" w:rsidRPr="00714037" w:rsidRDefault="003D2007"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192</w:t>
            </w:r>
          </w:p>
        </w:tc>
      </w:tr>
      <w:tr w:rsidR="00FB375D" w:rsidRPr="00706B0E" w14:paraId="3D284811" w14:textId="77777777" w:rsidTr="00B13457">
        <w:trPr>
          <w:trHeight w:val="270"/>
          <w:jc w:val="center"/>
        </w:trPr>
        <w:tc>
          <w:tcPr>
            <w:tcW w:w="4001" w:type="dxa"/>
            <w:tcMar>
              <w:top w:w="0" w:type="dxa"/>
              <w:left w:w="28" w:type="dxa"/>
              <w:bottom w:w="0" w:type="dxa"/>
              <w:right w:w="28" w:type="dxa"/>
            </w:tcMar>
            <w:hideMark/>
          </w:tcPr>
          <w:p w14:paraId="7F6B543C" w14:textId="77777777" w:rsidR="00FB375D" w:rsidRPr="00706B0E" w:rsidRDefault="00FB375D" w:rsidP="004A340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European Court of Auditors</w:t>
            </w:r>
          </w:p>
        </w:tc>
        <w:tc>
          <w:tcPr>
            <w:tcW w:w="888" w:type="dxa"/>
            <w:tcMar>
              <w:top w:w="0" w:type="dxa"/>
              <w:left w:w="28" w:type="dxa"/>
              <w:bottom w:w="0" w:type="dxa"/>
              <w:right w:w="28" w:type="dxa"/>
            </w:tcMar>
            <w:vAlign w:val="bottom"/>
          </w:tcPr>
          <w:p w14:paraId="538B8213"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229</w:t>
            </w:r>
          </w:p>
        </w:tc>
        <w:tc>
          <w:tcPr>
            <w:tcW w:w="222" w:type="dxa"/>
            <w:tcMar>
              <w:top w:w="0" w:type="dxa"/>
              <w:left w:w="28" w:type="dxa"/>
              <w:bottom w:w="0" w:type="dxa"/>
              <w:right w:w="28" w:type="dxa"/>
            </w:tcMar>
          </w:tcPr>
          <w:p w14:paraId="2A09EB8B"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99E08C3" w14:textId="77777777" w:rsidR="00FB375D" w:rsidRPr="00CE389C" w:rsidRDefault="00FB375D"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rPr>
                <w:rFonts w:ascii="Garamond" w:eastAsia="Helvetica" w:hAnsi="Garamond" w:cs="Helvetica"/>
                <w:sz w:val="28"/>
                <w:szCs w:val="28"/>
                <w:lang w:val="en-US"/>
              </w:rPr>
            </w:pPr>
            <w:r w:rsidRPr="00CE389C">
              <w:rPr>
                <w:rFonts w:ascii="Garamond" w:hAnsi="Garamond" w:cs="Calibri"/>
                <w:sz w:val="28"/>
                <w:szCs w:val="28"/>
                <w:lang w:val="en-US"/>
              </w:rPr>
              <w:t>public finance</w:t>
            </w:r>
          </w:p>
        </w:tc>
        <w:tc>
          <w:tcPr>
            <w:tcW w:w="969" w:type="dxa"/>
            <w:tcMar>
              <w:top w:w="0" w:type="dxa"/>
              <w:left w:w="28" w:type="dxa"/>
              <w:bottom w:w="0" w:type="dxa"/>
              <w:right w:w="28" w:type="dxa"/>
            </w:tcMar>
            <w:vAlign w:val="bottom"/>
          </w:tcPr>
          <w:p w14:paraId="1EC315CE" w14:textId="77777777" w:rsidR="00FB375D" w:rsidRPr="00714037" w:rsidRDefault="003D2007"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54</w:t>
            </w:r>
          </w:p>
        </w:tc>
      </w:tr>
      <w:tr w:rsidR="00FB375D" w:rsidRPr="00706B0E" w14:paraId="6474F5EA" w14:textId="77777777" w:rsidTr="00B13457">
        <w:trPr>
          <w:trHeight w:val="270"/>
          <w:jc w:val="center"/>
        </w:trPr>
        <w:tc>
          <w:tcPr>
            <w:tcW w:w="4001" w:type="dxa"/>
            <w:tcMar>
              <w:top w:w="0" w:type="dxa"/>
              <w:left w:w="28" w:type="dxa"/>
              <w:bottom w:w="0" w:type="dxa"/>
              <w:right w:w="28" w:type="dxa"/>
            </w:tcMar>
            <w:hideMark/>
          </w:tcPr>
          <w:p w14:paraId="4D6191E9" w14:textId="77777777" w:rsidR="00FB375D" w:rsidRPr="00706B0E" w:rsidRDefault="00FB375D" w:rsidP="004A340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EU budget headings</w:t>
            </w:r>
          </w:p>
        </w:tc>
        <w:tc>
          <w:tcPr>
            <w:tcW w:w="888" w:type="dxa"/>
            <w:tcMar>
              <w:top w:w="0" w:type="dxa"/>
              <w:left w:w="28" w:type="dxa"/>
              <w:bottom w:w="0" w:type="dxa"/>
              <w:right w:w="28" w:type="dxa"/>
            </w:tcMar>
            <w:vAlign w:val="bottom"/>
          </w:tcPr>
          <w:p w14:paraId="33277A67"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228</w:t>
            </w:r>
          </w:p>
        </w:tc>
        <w:tc>
          <w:tcPr>
            <w:tcW w:w="222" w:type="dxa"/>
            <w:tcMar>
              <w:top w:w="0" w:type="dxa"/>
              <w:left w:w="28" w:type="dxa"/>
              <w:bottom w:w="0" w:type="dxa"/>
              <w:right w:w="28" w:type="dxa"/>
            </w:tcMar>
          </w:tcPr>
          <w:p w14:paraId="0C8F8455"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8D46C38"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 xml:space="preserve">public debt </w:t>
            </w:r>
          </w:p>
        </w:tc>
        <w:tc>
          <w:tcPr>
            <w:tcW w:w="969" w:type="dxa"/>
            <w:tcMar>
              <w:top w:w="0" w:type="dxa"/>
              <w:left w:w="28" w:type="dxa"/>
              <w:bottom w:w="0" w:type="dxa"/>
              <w:right w:w="28" w:type="dxa"/>
            </w:tcMar>
            <w:vAlign w:val="bottom"/>
          </w:tcPr>
          <w:p w14:paraId="08489B28"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38</w:t>
            </w:r>
          </w:p>
        </w:tc>
      </w:tr>
      <w:tr w:rsidR="00FB375D" w:rsidRPr="00706B0E" w14:paraId="0568FACA" w14:textId="77777777" w:rsidTr="00B13457">
        <w:trPr>
          <w:trHeight w:val="265"/>
          <w:jc w:val="center"/>
        </w:trPr>
        <w:tc>
          <w:tcPr>
            <w:tcW w:w="4001" w:type="dxa"/>
            <w:tcMar>
              <w:top w:w="0" w:type="dxa"/>
              <w:left w:w="28" w:type="dxa"/>
              <w:bottom w:w="0" w:type="dxa"/>
              <w:right w:w="28" w:type="dxa"/>
            </w:tcMar>
            <w:hideMark/>
          </w:tcPr>
          <w:p w14:paraId="760B0E89" w14:textId="77777777" w:rsidR="00FB375D" w:rsidRPr="00706B0E" w:rsidRDefault="00FB375D" w:rsidP="004A340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EU draft budget</w:t>
            </w:r>
          </w:p>
        </w:tc>
        <w:tc>
          <w:tcPr>
            <w:tcW w:w="888" w:type="dxa"/>
            <w:tcMar>
              <w:top w:w="0" w:type="dxa"/>
              <w:left w:w="28" w:type="dxa"/>
              <w:bottom w:w="0" w:type="dxa"/>
              <w:right w:w="28" w:type="dxa"/>
            </w:tcMar>
            <w:vAlign w:val="bottom"/>
          </w:tcPr>
          <w:p w14:paraId="213999A1"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228</w:t>
            </w:r>
          </w:p>
        </w:tc>
        <w:tc>
          <w:tcPr>
            <w:tcW w:w="222" w:type="dxa"/>
            <w:tcMar>
              <w:top w:w="0" w:type="dxa"/>
              <w:left w:w="28" w:type="dxa"/>
              <w:bottom w:w="0" w:type="dxa"/>
              <w:right w:w="28" w:type="dxa"/>
            </w:tcMar>
          </w:tcPr>
          <w:p w14:paraId="39C772B5"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33884C97"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R</w:t>
            </w:r>
          </w:p>
        </w:tc>
        <w:tc>
          <w:tcPr>
            <w:tcW w:w="969" w:type="dxa"/>
            <w:shd w:val="clear" w:color="auto" w:fill="BFBFBF"/>
            <w:tcMar>
              <w:top w:w="0" w:type="dxa"/>
              <w:left w:w="28" w:type="dxa"/>
              <w:bottom w:w="0" w:type="dxa"/>
              <w:right w:w="28" w:type="dxa"/>
            </w:tcMar>
            <w:vAlign w:val="bottom"/>
          </w:tcPr>
          <w:p w14:paraId="0EEF1799" w14:textId="77777777" w:rsidR="00FB375D" w:rsidRPr="0071403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3B4A1316" w14:textId="77777777" w:rsidTr="00B13457">
        <w:trPr>
          <w:trHeight w:val="265"/>
          <w:jc w:val="center"/>
        </w:trPr>
        <w:tc>
          <w:tcPr>
            <w:tcW w:w="4001" w:type="dxa"/>
            <w:tcMar>
              <w:top w:w="0" w:type="dxa"/>
              <w:left w:w="28" w:type="dxa"/>
              <w:bottom w:w="0" w:type="dxa"/>
              <w:right w:w="28" w:type="dxa"/>
            </w:tcMar>
            <w:hideMark/>
          </w:tcPr>
          <w:p w14:paraId="2769BF52" w14:textId="77777777" w:rsidR="00FB375D" w:rsidRPr="00706B0E" w:rsidRDefault="00FB375D" w:rsidP="004A340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EU programme</w:t>
            </w:r>
          </w:p>
        </w:tc>
        <w:tc>
          <w:tcPr>
            <w:tcW w:w="888" w:type="dxa"/>
            <w:tcMar>
              <w:top w:w="0" w:type="dxa"/>
              <w:left w:w="28" w:type="dxa"/>
              <w:bottom w:w="0" w:type="dxa"/>
              <w:right w:w="28" w:type="dxa"/>
            </w:tcMar>
            <w:vAlign w:val="bottom"/>
          </w:tcPr>
          <w:p w14:paraId="1EDD7F83"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229</w:t>
            </w:r>
          </w:p>
        </w:tc>
        <w:tc>
          <w:tcPr>
            <w:tcW w:w="222" w:type="dxa"/>
            <w:tcMar>
              <w:top w:w="0" w:type="dxa"/>
              <w:left w:w="28" w:type="dxa"/>
              <w:bottom w:w="0" w:type="dxa"/>
              <w:right w:w="28" w:type="dxa"/>
            </w:tcMar>
          </w:tcPr>
          <w:p w14:paraId="32718C72"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925D2AC"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reinsurance</w:t>
            </w:r>
          </w:p>
        </w:tc>
        <w:tc>
          <w:tcPr>
            <w:tcW w:w="969" w:type="dxa"/>
            <w:tcMar>
              <w:top w:w="0" w:type="dxa"/>
              <w:left w:w="28" w:type="dxa"/>
              <w:bottom w:w="0" w:type="dxa"/>
              <w:right w:w="28" w:type="dxa"/>
            </w:tcMar>
            <w:vAlign w:val="bottom"/>
          </w:tcPr>
          <w:p w14:paraId="4B0FE17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192</w:t>
            </w:r>
          </w:p>
        </w:tc>
      </w:tr>
      <w:tr w:rsidR="00FB375D" w:rsidRPr="00706B0E" w14:paraId="46D44E4A" w14:textId="77777777" w:rsidTr="00B13457">
        <w:trPr>
          <w:trHeight w:val="530"/>
          <w:jc w:val="center"/>
        </w:trPr>
        <w:tc>
          <w:tcPr>
            <w:tcW w:w="4001" w:type="dxa"/>
            <w:tcMar>
              <w:top w:w="0" w:type="dxa"/>
              <w:left w:w="28" w:type="dxa"/>
              <w:bottom w:w="0" w:type="dxa"/>
              <w:right w:w="28" w:type="dxa"/>
            </w:tcMar>
            <w:hideMark/>
          </w:tcPr>
          <w:p w14:paraId="23CAFFF2" w14:textId="77777777" w:rsidR="00FB375D" w:rsidRPr="00706B0E" w:rsidRDefault="00FB375D" w:rsidP="004A340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EU treaty</w:t>
            </w:r>
          </w:p>
        </w:tc>
        <w:tc>
          <w:tcPr>
            <w:tcW w:w="888" w:type="dxa"/>
            <w:tcMar>
              <w:top w:w="0" w:type="dxa"/>
              <w:left w:w="28" w:type="dxa"/>
              <w:bottom w:w="0" w:type="dxa"/>
              <w:right w:w="28" w:type="dxa"/>
            </w:tcMar>
          </w:tcPr>
          <w:p w14:paraId="3DC9AF4C"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228</w:t>
            </w:r>
          </w:p>
        </w:tc>
        <w:tc>
          <w:tcPr>
            <w:tcW w:w="222" w:type="dxa"/>
            <w:tcMar>
              <w:top w:w="0" w:type="dxa"/>
              <w:left w:w="28" w:type="dxa"/>
              <w:bottom w:w="0" w:type="dxa"/>
              <w:right w:w="28" w:type="dxa"/>
            </w:tcMar>
          </w:tcPr>
          <w:p w14:paraId="7D56BBEA"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37400E3"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reporting period (accounting period)</w:t>
            </w:r>
          </w:p>
        </w:tc>
        <w:tc>
          <w:tcPr>
            <w:tcW w:w="969" w:type="dxa"/>
            <w:tcMar>
              <w:top w:w="0" w:type="dxa"/>
              <w:left w:w="28" w:type="dxa"/>
              <w:bottom w:w="0" w:type="dxa"/>
              <w:right w:w="28" w:type="dxa"/>
            </w:tcMar>
            <w:vAlign w:val="bottom"/>
          </w:tcPr>
          <w:p w14:paraId="1452C821"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150</w:t>
            </w:r>
          </w:p>
        </w:tc>
      </w:tr>
      <w:tr w:rsidR="00FB375D" w:rsidRPr="00706B0E" w14:paraId="72368A90" w14:textId="77777777" w:rsidTr="00B13457">
        <w:trPr>
          <w:trHeight w:val="270"/>
          <w:jc w:val="center"/>
        </w:trPr>
        <w:tc>
          <w:tcPr>
            <w:tcW w:w="4001" w:type="dxa"/>
            <w:tcMar>
              <w:top w:w="0" w:type="dxa"/>
              <w:left w:w="28" w:type="dxa"/>
              <w:bottom w:w="0" w:type="dxa"/>
              <w:right w:w="28" w:type="dxa"/>
            </w:tcMar>
            <w:hideMark/>
          </w:tcPr>
          <w:p w14:paraId="59CC3E7A"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exchange rate</w:t>
            </w:r>
          </w:p>
        </w:tc>
        <w:tc>
          <w:tcPr>
            <w:tcW w:w="888" w:type="dxa"/>
            <w:tcMar>
              <w:top w:w="0" w:type="dxa"/>
              <w:left w:w="28" w:type="dxa"/>
              <w:bottom w:w="0" w:type="dxa"/>
              <w:right w:w="28" w:type="dxa"/>
            </w:tcMar>
            <w:vAlign w:val="bottom"/>
          </w:tcPr>
          <w:p w14:paraId="0B85C71C"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208</w:t>
            </w:r>
          </w:p>
        </w:tc>
        <w:tc>
          <w:tcPr>
            <w:tcW w:w="222" w:type="dxa"/>
            <w:tcMar>
              <w:top w:w="0" w:type="dxa"/>
              <w:left w:w="28" w:type="dxa"/>
              <w:bottom w:w="0" w:type="dxa"/>
              <w:right w:w="28" w:type="dxa"/>
            </w:tcMar>
          </w:tcPr>
          <w:p w14:paraId="2634292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A1BAEE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reserve requirements</w:t>
            </w:r>
          </w:p>
        </w:tc>
        <w:tc>
          <w:tcPr>
            <w:tcW w:w="969" w:type="dxa"/>
            <w:tcMar>
              <w:top w:w="0" w:type="dxa"/>
              <w:left w:w="28" w:type="dxa"/>
              <w:bottom w:w="0" w:type="dxa"/>
              <w:right w:w="28" w:type="dxa"/>
            </w:tcMar>
            <w:vAlign w:val="bottom"/>
          </w:tcPr>
          <w:p w14:paraId="5311F025"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53</w:t>
            </w:r>
          </w:p>
        </w:tc>
      </w:tr>
      <w:tr w:rsidR="00FB375D" w:rsidRPr="00706B0E" w14:paraId="60E39D8F" w14:textId="77777777" w:rsidTr="00B13457">
        <w:trPr>
          <w:trHeight w:val="270"/>
          <w:jc w:val="center"/>
        </w:trPr>
        <w:tc>
          <w:tcPr>
            <w:tcW w:w="4001" w:type="dxa"/>
            <w:tcMar>
              <w:top w:w="0" w:type="dxa"/>
              <w:left w:w="28" w:type="dxa"/>
              <w:bottom w:w="0" w:type="dxa"/>
              <w:right w:w="28" w:type="dxa"/>
            </w:tcMar>
            <w:hideMark/>
          </w:tcPr>
          <w:p w14:paraId="316EAF53"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exchange rate regime</w:t>
            </w:r>
          </w:p>
        </w:tc>
        <w:tc>
          <w:tcPr>
            <w:tcW w:w="888" w:type="dxa"/>
            <w:tcMar>
              <w:top w:w="0" w:type="dxa"/>
              <w:left w:w="28" w:type="dxa"/>
              <w:bottom w:w="0" w:type="dxa"/>
              <w:right w:w="28" w:type="dxa"/>
            </w:tcMar>
            <w:vAlign w:val="bottom"/>
          </w:tcPr>
          <w:p w14:paraId="7E48C41D" w14:textId="77777777" w:rsidR="00FB375D" w:rsidRPr="003D2007" w:rsidRDefault="00B1345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53</w:t>
            </w:r>
          </w:p>
        </w:tc>
        <w:tc>
          <w:tcPr>
            <w:tcW w:w="222" w:type="dxa"/>
            <w:tcMar>
              <w:top w:w="0" w:type="dxa"/>
              <w:left w:w="28" w:type="dxa"/>
              <w:bottom w:w="0" w:type="dxa"/>
              <w:right w:w="28" w:type="dxa"/>
            </w:tcMar>
          </w:tcPr>
          <w:p w14:paraId="489878E2"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1C62429B"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retail investor</w:t>
            </w:r>
          </w:p>
        </w:tc>
        <w:tc>
          <w:tcPr>
            <w:tcW w:w="969" w:type="dxa"/>
            <w:tcMar>
              <w:top w:w="0" w:type="dxa"/>
              <w:left w:w="28" w:type="dxa"/>
              <w:bottom w:w="0" w:type="dxa"/>
              <w:right w:w="28" w:type="dxa"/>
            </w:tcMar>
            <w:vAlign w:val="bottom"/>
          </w:tcPr>
          <w:p w14:paraId="00A1F93F"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173</w:t>
            </w:r>
          </w:p>
        </w:tc>
      </w:tr>
      <w:tr w:rsidR="00FB375D" w:rsidRPr="00706B0E" w14:paraId="3AA4526F" w14:textId="77777777" w:rsidTr="00B13457">
        <w:trPr>
          <w:trHeight w:val="1050"/>
          <w:jc w:val="center"/>
        </w:trPr>
        <w:tc>
          <w:tcPr>
            <w:tcW w:w="4001" w:type="dxa"/>
            <w:tcMar>
              <w:top w:w="0" w:type="dxa"/>
              <w:left w:w="28" w:type="dxa"/>
              <w:bottom w:w="0" w:type="dxa"/>
              <w:right w:w="28" w:type="dxa"/>
            </w:tcMar>
            <w:hideMark/>
          </w:tcPr>
          <w:p w14:paraId="17204F38"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export</w:t>
            </w:r>
          </w:p>
        </w:tc>
        <w:tc>
          <w:tcPr>
            <w:tcW w:w="888" w:type="dxa"/>
            <w:tcMar>
              <w:top w:w="0" w:type="dxa"/>
              <w:left w:w="28" w:type="dxa"/>
              <w:bottom w:w="0" w:type="dxa"/>
              <w:right w:w="28" w:type="dxa"/>
            </w:tcMar>
          </w:tcPr>
          <w:p w14:paraId="4D8BD53C" w14:textId="77777777" w:rsidR="00FB375D" w:rsidRPr="003D2007" w:rsidRDefault="00B13457" w:rsidP="00B13457">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209</w:t>
            </w:r>
          </w:p>
        </w:tc>
        <w:tc>
          <w:tcPr>
            <w:tcW w:w="222" w:type="dxa"/>
            <w:tcMar>
              <w:top w:w="0" w:type="dxa"/>
              <w:left w:w="28" w:type="dxa"/>
              <w:bottom w:w="0" w:type="dxa"/>
              <w:right w:w="28" w:type="dxa"/>
            </w:tcMar>
          </w:tcPr>
          <w:p w14:paraId="088039F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A3D548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shd w:val="clear" w:color="auto" w:fill="FFFFFF"/>
                <w:lang w:val="en-US" w:eastAsia="en-US"/>
              </w:rPr>
              <w:t>retained earnings</w:t>
            </w:r>
            <w:r w:rsidRPr="00706B0E">
              <w:rPr>
                <w:rFonts w:ascii="Garamond" w:eastAsia="Calibri" w:hAnsi="Garamond" w:cs="Calibri"/>
                <w:sz w:val="28"/>
                <w:szCs w:val="28"/>
                <w:u w:color="000000"/>
                <w:lang w:val="en-US" w:eastAsia="en-US"/>
              </w:rPr>
              <w:t xml:space="preserve"> (blowback, accumulated profit/income/surplus, undistributed earnings, undivided profits)</w:t>
            </w:r>
          </w:p>
        </w:tc>
        <w:tc>
          <w:tcPr>
            <w:tcW w:w="969" w:type="dxa"/>
            <w:tcMar>
              <w:top w:w="0" w:type="dxa"/>
              <w:left w:w="28" w:type="dxa"/>
              <w:bottom w:w="0" w:type="dxa"/>
              <w:right w:w="28" w:type="dxa"/>
            </w:tcMar>
            <w:vAlign w:val="bottom"/>
          </w:tcPr>
          <w:p w14:paraId="5DE1CDE2"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150</w:t>
            </w:r>
          </w:p>
        </w:tc>
      </w:tr>
      <w:tr w:rsidR="00FB375D" w:rsidRPr="00706B0E" w14:paraId="301024D3" w14:textId="77777777" w:rsidTr="00B13457">
        <w:trPr>
          <w:trHeight w:val="270"/>
          <w:jc w:val="center"/>
        </w:trPr>
        <w:tc>
          <w:tcPr>
            <w:tcW w:w="4001" w:type="dxa"/>
            <w:shd w:val="clear" w:color="auto" w:fill="BFBFBF"/>
            <w:tcMar>
              <w:top w:w="0" w:type="dxa"/>
              <w:left w:w="28" w:type="dxa"/>
              <w:bottom w:w="0" w:type="dxa"/>
              <w:right w:w="28" w:type="dxa"/>
            </w:tcMar>
            <w:hideMark/>
          </w:tcPr>
          <w:p w14:paraId="4CFB456A"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b/>
                <w:bCs/>
                <w:sz w:val="28"/>
                <w:szCs w:val="28"/>
                <w:u w:color="000000"/>
                <w:lang w:val="en-US" w:eastAsia="en-US"/>
              </w:rPr>
              <w:t>F</w:t>
            </w:r>
          </w:p>
        </w:tc>
        <w:tc>
          <w:tcPr>
            <w:tcW w:w="888" w:type="dxa"/>
            <w:shd w:val="clear" w:color="auto" w:fill="BFBFBF"/>
            <w:tcMar>
              <w:top w:w="0" w:type="dxa"/>
              <w:left w:w="28" w:type="dxa"/>
              <w:bottom w:w="0" w:type="dxa"/>
              <w:right w:w="28" w:type="dxa"/>
            </w:tcMar>
            <w:vAlign w:val="bottom"/>
          </w:tcPr>
          <w:p w14:paraId="5EA2CC39" w14:textId="77777777" w:rsidR="00FB375D" w:rsidRPr="003D2007" w:rsidRDefault="00FB375D" w:rsidP="00B13457">
            <w:pPr>
              <w:spacing w:line="312" w:lineRule="auto"/>
              <w:ind w:firstLine="709"/>
              <w:jc w:val="center"/>
              <w:rPr>
                <w:rFonts w:ascii="Garamond" w:eastAsia="Calibri" w:hAnsi="Garamond" w:cs="Calibri"/>
                <w:b/>
                <w:sz w:val="28"/>
                <w:szCs w:val="28"/>
                <w:u w:color="000000"/>
                <w:lang w:val="en-US" w:eastAsia="en-US"/>
              </w:rPr>
            </w:pPr>
          </w:p>
        </w:tc>
        <w:tc>
          <w:tcPr>
            <w:tcW w:w="222" w:type="dxa"/>
            <w:tcMar>
              <w:top w:w="0" w:type="dxa"/>
              <w:left w:w="28" w:type="dxa"/>
              <w:bottom w:w="0" w:type="dxa"/>
              <w:right w:w="28" w:type="dxa"/>
            </w:tcMar>
          </w:tcPr>
          <w:p w14:paraId="268182F2"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1894864"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revenue collection units</w:t>
            </w:r>
          </w:p>
        </w:tc>
        <w:tc>
          <w:tcPr>
            <w:tcW w:w="969" w:type="dxa"/>
            <w:tcMar>
              <w:top w:w="0" w:type="dxa"/>
              <w:left w:w="28" w:type="dxa"/>
              <w:bottom w:w="0" w:type="dxa"/>
              <w:right w:w="28" w:type="dxa"/>
            </w:tcMar>
            <w:vAlign w:val="bottom"/>
          </w:tcPr>
          <w:p w14:paraId="1AAB134D"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88</w:t>
            </w:r>
          </w:p>
        </w:tc>
      </w:tr>
      <w:tr w:rsidR="00FB375D" w:rsidRPr="00706B0E" w14:paraId="762AC83F" w14:textId="77777777" w:rsidTr="00B13457">
        <w:trPr>
          <w:trHeight w:val="530"/>
          <w:jc w:val="center"/>
        </w:trPr>
        <w:tc>
          <w:tcPr>
            <w:tcW w:w="4001" w:type="dxa"/>
            <w:tcMar>
              <w:top w:w="0" w:type="dxa"/>
              <w:left w:w="28" w:type="dxa"/>
              <w:bottom w:w="0" w:type="dxa"/>
              <w:right w:w="28" w:type="dxa"/>
            </w:tcMar>
            <w:hideMark/>
          </w:tcPr>
          <w:p w14:paraId="766180C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family</w:t>
            </w:r>
          </w:p>
        </w:tc>
        <w:tc>
          <w:tcPr>
            <w:tcW w:w="888" w:type="dxa"/>
            <w:tcMar>
              <w:top w:w="0" w:type="dxa"/>
              <w:left w:w="28" w:type="dxa"/>
              <w:bottom w:w="0" w:type="dxa"/>
              <w:right w:w="28" w:type="dxa"/>
            </w:tcMar>
          </w:tcPr>
          <w:p w14:paraId="1597239F" w14:textId="77777777" w:rsidR="00FB375D" w:rsidRPr="003D2007" w:rsidRDefault="003D2007" w:rsidP="00B13457">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107</w:t>
            </w:r>
          </w:p>
        </w:tc>
        <w:tc>
          <w:tcPr>
            <w:tcW w:w="222" w:type="dxa"/>
            <w:tcMar>
              <w:top w:w="0" w:type="dxa"/>
              <w:left w:w="28" w:type="dxa"/>
              <w:bottom w:w="0" w:type="dxa"/>
              <w:right w:w="28" w:type="dxa"/>
            </w:tcMar>
          </w:tcPr>
          <w:p w14:paraId="623E5ADC"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D308A6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revision of a tax and fee payment period</w:t>
            </w:r>
          </w:p>
        </w:tc>
        <w:tc>
          <w:tcPr>
            <w:tcW w:w="969" w:type="dxa"/>
            <w:tcMar>
              <w:top w:w="0" w:type="dxa"/>
              <w:left w:w="28" w:type="dxa"/>
              <w:bottom w:w="0" w:type="dxa"/>
              <w:right w:w="28" w:type="dxa"/>
            </w:tcMar>
            <w:vAlign w:val="bottom"/>
          </w:tcPr>
          <w:p w14:paraId="1A3B7601"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70</w:t>
            </w:r>
          </w:p>
        </w:tc>
      </w:tr>
      <w:tr w:rsidR="00FB375D" w:rsidRPr="00706B0E" w14:paraId="1374C563" w14:textId="77777777" w:rsidTr="00B13457">
        <w:trPr>
          <w:trHeight w:val="270"/>
          <w:jc w:val="center"/>
        </w:trPr>
        <w:tc>
          <w:tcPr>
            <w:tcW w:w="4001" w:type="dxa"/>
            <w:tcMar>
              <w:top w:w="0" w:type="dxa"/>
              <w:left w:w="28" w:type="dxa"/>
              <w:bottom w:w="0" w:type="dxa"/>
              <w:right w:w="28" w:type="dxa"/>
            </w:tcMar>
            <w:hideMark/>
          </w:tcPr>
          <w:p w14:paraId="62510874"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family-based households</w:t>
            </w:r>
          </w:p>
        </w:tc>
        <w:tc>
          <w:tcPr>
            <w:tcW w:w="888" w:type="dxa"/>
            <w:tcMar>
              <w:top w:w="0" w:type="dxa"/>
              <w:left w:w="28" w:type="dxa"/>
              <w:bottom w:w="0" w:type="dxa"/>
              <w:right w:w="28" w:type="dxa"/>
            </w:tcMar>
            <w:vAlign w:val="bottom"/>
          </w:tcPr>
          <w:p w14:paraId="59BE35D0" w14:textId="77777777" w:rsidR="00FB375D" w:rsidRPr="003D2007" w:rsidRDefault="003D2007" w:rsidP="00B13457">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106</w:t>
            </w:r>
          </w:p>
        </w:tc>
        <w:tc>
          <w:tcPr>
            <w:tcW w:w="222" w:type="dxa"/>
            <w:tcMar>
              <w:top w:w="0" w:type="dxa"/>
              <w:left w:w="28" w:type="dxa"/>
              <w:bottom w:w="0" w:type="dxa"/>
              <w:right w:w="28" w:type="dxa"/>
            </w:tcMar>
          </w:tcPr>
          <w:p w14:paraId="71234713"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716A8DEC"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S</w:t>
            </w:r>
          </w:p>
        </w:tc>
        <w:tc>
          <w:tcPr>
            <w:tcW w:w="969" w:type="dxa"/>
            <w:shd w:val="clear" w:color="auto" w:fill="BFBFBF"/>
            <w:tcMar>
              <w:top w:w="0" w:type="dxa"/>
              <w:left w:w="28" w:type="dxa"/>
              <w:bottom w:w="0" w:type="dxa"/>
              <w:right w:w="28" w:type="dxa"/>
            </w:tcMar>
            <w:vAlign w:val="bottom"/>
          </w:tcPr>
          <w:p w14:paraId="1FD397D7"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r>
      <w:tr w:rsidR="00FB375D" w:rsidRPr="00706B0E" w14:paraId="5F84B9F3" w14:textId="77777777" w:rsidTr="00B13457">
        <w:trPr>
          <w:trHeight w:val="270"/>
          <w:jc w:val="center"/>
        </w:trPr>
        <w:tc>
          <w:tcPr>
            <w:tcW w:w="4001" w:type="dxa"/>
            <w:tcMar>
              <w:top w:w="0" w:type="dxa"/>
              <w:left w:w="28" w:type="dxa"/>
              <w:bottom w:w="0" w:type="dxa"/>
              <w:right w:w="28" w:type="dxa"/>
            </w:tcMar>
            <w:hideMark/>
          </w:tcPr>
          <w:p w14:paraId="01C515E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family life cycle</w:t>
            </w:r>
          </w:p>
        </w:tc>
        <w:tc>
          <w:tcPr>
            <w:tcW w:w="888" w:type="dxa"/>
            <w:tcMar>
              <w:top w:w="0" w:type="dxa"/>
              <w:left w:w="28" w:type="dxa"/>
              <w:bottom w:w="0" w:type="dxa"/>
              <w:right w:w="28" w:type="dxa"/>
            </w:tcMar>
            <w:vAlign w:val="bottom"/>
          </w:tcPr>
          <w:p w14:paraId="00E4DA9E" w14:textId="77777777" w:rsidR="00FB375D" w:rsidRPr="003D2007" w:rsidRDefault="003D2007" w:rsidP="00B13457">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107</w:t>
            </w:r>
          </w:p>
        </w:tc>
        <w:tc>
          <w:tcPr>
            <w:tcW w:w="222" w:type="dxa"/>
            <w:tcMar>
              <w:top w:w="0" w:type="dxa"/>
              <w:left w:w="28" w:type="dxa"/>
              <w:bottom w:w="0" w:type="dxa"/>
              <w:right w:w="28" w:type="dxa"/>
            </w:tcMar>
          </w:tcPr>
          <w:p w14:paraId="66A3814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9A3027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securities</w:t>
            </w:r>
          </w:p>
        </w:tc>
        <w:tc>
          <w:tcPr>
            <w:tcW w:w="969" w:type="dxa"/>
            <w:tcMar>
              <w:top w:w="0" w:type="dxa"/>
              <w:left w:w="28" w:type="dxa"/>
              <w:bottom w:w="0" w:type="dxa"/>
              <w:right w:w="28" w:type="dxa"/>
            </w:tcMar>
            <w:vAlign w:val="bottom"/>
          </w:tcPr>
          <w:p w14:paraId="6DA14944"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174</w:t>
            </w:r>
          </w:p>
        </w:tc>
      </w:tr>
      <w:tr w:rsidR="00FB375D" w:rsidRPr="00706B0E" w14:paraId="32551395" w14:textId="77777777" w:rsidTr="00B13457">
        <w:trPr>
          <w:trHeight w:val="270"/>
          <w:jc w:val="center"/>
        </w:trPr>
        <w:tc>
          <w:tcPr>
            <w:tcW w:w="4001" w:type="dxa"/>
            <w:tcMar>
              <w:top w:w="0" w:type="dxa"/>
              <w:left w:w="28" w:type="dxa"/>
              <w:bottom w:w="0" w:type="dxa"/>
              <w:right w:w="28" w:type="dxa"/>
            </w:tcMar>
            <w:hideMark/>
          </w:tcPr>
          <w:p w14:paraId="01DE900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final consumption commodities</w:t>
            </w:r>
          </w:p>
        </w:tc>
        <w:tc>
          <w:tcPr>
            <w:tcW w:w="888" w:type="dxa"/>
            <w:tcMar>
              <w:top w:w="0" w:type="dxa"/>
              <w:left w:w="28" w:type="dxa"/>
              <w:bottom w:w="0" w:type="dxa"/>
              <w:right w:w="28" w:type="dxa"/>
            </w:tcMar>
            <w:vAlign w:val="bottom"/>
          </w:tcPr>
          <w:p w14:paraId="5248DDFF" w14:textId="77777777" w:rsidR="00FB375D" w:rsidRPr="003D2007" w:rsidRDefault="003D2007" w:rsidP="00B13457">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105</w:t>
            </w:r>
          </w:p>
        </w:tc>
        <w:tc>
          <w:tcPr>
            <w:tcW w:w="222" w:type="dxa"/>
            <w:tcMar>
              <w:top w:w="0" w:type="dxa"/>
              <w:left w:w="28" w:type="dxa"/>
              <w:bottom w:w="0" w:type="dxa"/>
              <w:right w:w="28" w:type="dxa"/>
            </w:tcMar>
          </w:tcPr>
          <w:p w14:paraId="50795DF9"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B16FE3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share</w:t>
            </w:r>
          </w:p>
        </w:tc>
        <w:tc>
          <w:tcPr>
            <w:tcW w:w="969" w:type="dxa"/>
            <w:tcMar>
              <w:top w:w="0" w:type="dxa"/>
              <w:left w:w="28" w:type="dxa"/>
              <w:bottom w:w="0" w:type="dxa"/>
              <w:right w:w="28" w:type="dxa"/>
            </w:tcMar>
            <w:vAlign w:val="bottom"/>
          </w:tcPr>
          <w:p w14:paraId="1C242967"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174</w:t>
            </w:r>
          </w:p>
        </w:tc>
      </w:tr>
      <w:tr w:rsidR="00FB375D" w:rsidRPr="00706B0E" w14:paraId="43290417" w14:textId="77777777" w:rsidTr="00B13457">
        <w:trPr>
          <w:trHeight w:val="270"/>
          <w:jc w:val="center"/>
        </w:trPr>
        <w:tc>
          <w:tcPr>
            <w:tcW w:w="4001" w:type="dxa"/>
            <w:tcMar>
              <w:top w:w="0" w:type="dxa"/>
              <w:left w:w="28" w:type="dxa"/>
              <w:bottom w:w="0" w:type="dxa"/>
              <w:right w:w="28" w:type="dxa"/>
            </w:tcMar>
            <w:hideMark/>
          </w:tcPr>
          <w:p w14:paraId="04DD19B1"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finance company</w:t>
            </w:r>
          </w:p>
        </w:tc>
        <w:tc>
          <w:tcPr>
            <w:tcW w:w="888" w:type="dxa"/>
            <w:tcMar>
              <w:top w:w="0" w:type="dxa"/>
              <w:left w:w="28" w:type="dxa"/>
              <w:bottom w:w="0" w:type="dxa"/>
              <w:right w:w="28" w:type="dxa"/>
            </w:tcMar>
            <w:vAlign w:val="bottom"/>
          </w:tcPr>
          <w:p w14:paraId="312F579F" w14:textId="77777777" w:rsidR="00FB375D" w:rsidRPr="003D2007" w:rsidRDefault="003D2007" w:rsidP="00B13457">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w:t>
            </w:r>
          </w:p>
        </w:tc>
        <w:tc>
          <w:tcPr>
            <w:tcW w:w="222" w:type="dxa"/>
            <w:tcMar>
              <w:top w:w="0" w:type="dxa"/>
              <w:left w:w="28" w:type="dxa"/>
              <w:bottom w:w="0" w:type="dxa"/>
              <w:right w:w="28" w:type="dxa"/>
            </w:tcMar>
          </w:tcPr>
          <w:p w14:paraId="00412AB5"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F102137"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spending units</w:t>
            </w:r>
          </w:p>
        </w:tc>
        <w:tc>
          <w:tcPr>
            <w:tcW w:w="969" w:type="dxa"/>
            <w:tcMar>
              <w:top w:w="0" w:type="dxa"/>
              <w:left w:w="28" w:type="dxa"/>
              <w:bottom w:w="0" w:type="dxa"/>
              <w:right w:w="28" w:type="dxa"/>
            </w:tcMar>
            <w:vAlign w:val="bottom"/>
          </w:tcPr>
          <w:p w14:paraId="08D7356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88</w:t>
            </w:r>
          </w:p>
        </w:tc>
      </w:tr>
      <w:tr w:rsidR="00FB375D" w:rsidRPr="00706B0E" w14:paraId="5934A3D6" w14:textId="77777777" w:rsidTr="00B13457">
        <w:trPr>
          <w:trHeight w:val="270"/>
          <w:jc w:val="center"/>
        </w:trPr>
        <w:tc>
          <w:tcPr>
            <w:tcW w:w="4001" w:type="dxa"/>
            <w:tcMar>
              <w:top w:w="0" w:type="dxa"/>
              <w:left w:w="28" w:type="dxa"/>
              <w:bottom w:w="0" w:type="dxa"/>
              <w:right w:w="28" w:type="dxa"/>
            </w:tcMar>
            <w:hideMark/>
          </w:tcPr>
          <w:p w14:paraId="178EC55E"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lastRenderedPageBreak/>
              <w:t>financial accelerator</w:t>
            </w:r>
          </w:p>
        </w:tc>
        <w:tc>
          <w:tcPr>
            <w:tcW w:w="888" w:type="dxa"/>
            <w:tcMar>
              <w:top w:w="0" w:type="dxa"/>
              <w:left w:w="28" w:type="dxa"/>
              <w:bottom w:w="0" w:type="dxa"/>
              <w:right w:w="28" w:type="dxa"/>
            </w:tcMar>
            <w:vAlign w:val="bottom"/>
          </w:tcPr>
          <w:p w14:paraId="5B3666E9" w14:textId="77777777" w:rsidR="00FB375D" w:rsidRPr="003D2007" w:rsidRDefault="003D2007" w:rsidP="00B13457">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w:t>
            </w:r>
          </w:p>
        </w:tc>
        <w:tc>
          <w:tcPr>
            <w:tcW w:w="222" w:type="dxa"/>
            <w:tcMar>
              <w:top w:w="0" w:type="dxa"/>
              <w:left w:w="28" w:type="dxa"/>
              <w:bottom w:w="0" w:type="dxa"/>
              <w:right w:w="28" w:type="dxa"/>
            </w:tcMar>
          </w:tcPr>
          <w:p w14:paraId="5116E896"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6E5AA9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statement of cash flow</w:t>
            </w:r>
          </w:p>
        </w:tc>
        <w:tc>
          <w:tcPr>
            <w:tcW w:w="969" w:type="dxa"/>
            <w:tcMar>
              <w:top w:w="0" w:type="dxa"/>
              <w:left w:w="28" w:type="dxa"/>
              <w:bottom w:w="0" w:type="dxa"/>
              <w:right w:w="28" w:type="dxa"/>
            </w:tcMar>
            <w:vAlign w:val="bottom"/>
          </w:tcPr>
          <w:p w14:paraId="63CD61FA"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 xml:space="preserve">124, 151 </w:t>
            </w:r>
          </w:p>
        </w:tc>
      </w:tr>
      <w:tr w:rsidR="00FB375D" w:rsidRPr="00706B0E" w14:paraId="29D95B78" w14:textId="77777777" w:rsidTr="00B13457">
        <w:trPr>
          <w:trHeight w:val="790"/>
          <w:jc w:val="center"/>
        </w:trPr>
        <w:tc>
          <w:tcPr>
            <w:tcW w:w="4001" w:type="dxa"/>
            <w:tcMar>
              <w:top w:w="0" w:type="dxa"/>
              <w:left w:w="28" w:type="dxa"/>
              <w:bottom w:w="0" w:type="dxa"/>
              <w:right w:w="28" w:type="dxa"/>
            </w:tcMar>
            <w:hideMark/>
          </w:tcPr>
          <w:p w14:paraId="537E37C9"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activities (financing activities)</w:t>
            </w:r>
          </w:p>
        </w:tc>
        <w:tc>
          <w:tcPr>
            <w:tcW w:w="888" w:type="dxa"/>
            <w:tcMar>
              <w:top w:w="0" w:type="dxa"/>
              <w:left w:w="28" w:type="dxa"/>
              <w:bottom w:w="0" w:type="dxa"/>
              <w:right w:w="28" w:type="dxa"/>
            </w:tcMar>
          </w:tcPr>
          <w:p w14:paraId="2C2EFB34" w14:textId="77777777" w:rsidR="00FB375D" w:rsidRPr="003D2007" w:rsidRDefault="003D2007" w:rsidP="00B13457">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23, 124</w:t>
            </w:r>
          </w:p>
        </w:tc>
        <w:tc>
          <w:tcPr>
            <w:tcW w:w="222" w:type="dxa"/>
            <w:tcMar>
              <w:top w:w="0" w:type="dxa"/>
              <w:left w:w="28" w:type="dxa"/>
              <w:bottom w:w="0" w:type="dxa"/>
              <w:right w:w="28" w:type="dxa"/>
            </w:tcMar>
          </w:tcPr>
          <w:p w14:paraId="2167C3EC"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4D3F9E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statement of changes in equity (statement of retained earnings in U.S. GAAP, equity statement)</w:t>
            </w:r>
          </w:p>
        </w:tc>
        <w:tc>
          <w:tcPr>
            <w:tcW w:w="969" w:type="dxa"/>
            <w:tcMar>
              <w:top w:w="0" w:type="dxa"/>
              <w:left w:w="28" w:type="dxa"/>
              <w:bottom w:w="0" w:type="dxa"/>
              <w:right w:w="28" w:type="dxa"/>
            </w:tcMar>
            <w:vAlign w:val="bottom"/>
          </w:tcPr>
          <w:p w14:paraId="732692C4"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150</w:t>
            </w:r>
          </w:p>
        </w:tc>
      </w:tr>
      <w:tr w:rsidR="00FB375D" w:rsidRPr="00706B0E" w14:paraId="660D7994" w14:textId="77777777" w:rsidTr="00B13457">
        <w:trPr>
          <w:trHeight w:val="530"/>
          <w:jc w:val="center"/>
        </w:trPr>
        <w:tc>
          <w:tcPr>
            <w:tcW w:w="4001" w:type="dxa"/>
            <w:tcMar>
              <w:top w:w="0" w:type="dxa"/>
              <w:left w:w="28" w:type="dxa"/>
              <w:bottom w:w="0" w:type="dxa"/>
              <w:right w:w="28" w:type="dxa"/>
            </w:tcMar>
            <w:hideMark/>
          </w:tcPr>
          <w:p w14:paraId="1296E496"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capability</w:t>
            </w:r>
          </w:p>
        </w:tc>
        <w:tc>
          <w:tcPr>
            <w:tcW w:w="888" w:type="dxa"/>
            <w:tcMar>
              <w:top w:w="0" w:type="dxa"/>
              <w:left w:w="28" w:type="dxa"/>
              <w:bottom w:w="0" w:type="dxa"/>
              <w:right w:w="28" w:type="dxa"/>
            </w:tcMar>
          </w:tcPr>
          <w:p w14:paraId="41CC07BD" w14:textId="77777777" w:rsidR="00FB375D" w:rsidRPr="003D2007" w:rsidRDefault="003D2007" w:rsidP="00B13457">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22</w:t>
            </w:r>
          </w:p>
        </w:tc>
        <w:tc>
          <w:tcPr>
            <w:tcW w:w="222" w:type="dxa"/>
            <w:tcMar>
              <w:top w:w="0" w:type="dxa"/>
              <w:left w:w="28" w:type="dxa"/>
              <w:bottom w:w="0" w:type="dxa"/>
              <w:right w:w="28" w:type="dxa"/>
            </w:tcMar>
          </w:tcPr>
          <w:p w14:paraId="4B51AECF"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17AC0A2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 xml:space="preserve">statement of financial position (balance sheet) </w:t>
            </w:r>
          </w:p>
        </w:tc>
        <w:tc>
          <w:tcPr>
            <w:tcW w:w="969" w:type="dxa"/>
            <w:tcMar>
              <w:top w:w="0" w:type="dxa"/>
              <w:left w:w="28" w:type="dxa"/>
              <w:bottom w:w="0" w:type="dxa"/>
              <w:right w:w="28" w:type="dxa"/>
            </w:tcMar>
            <w:vAlign w:val="bottom"/>
          </w:tcPr>
          <w:p w14:paraId="3E0F250F"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150</w:t>
            </w:r>
          </w:p>
        </w:tc>
      </w:tr>
      <w:tr w:rsidR="00FB375D" w:rsidRPr="00706B0E" w14:paraId="3CE0471B" w14:textId="77777777" w:rsidTr="00B13457">
        <w:trPr>
          <w:trHeight w:val="2090"/>
          <w:jc w:val="center"/>
        </w:trPr>
        <w:tc>
          <w:tcPr>
            <w:tcW w:w="4001" w:type="dxa"/>
            <w:tcMar>
              <w:top w:w="0" w:type="dxa"/>
              <w:left w:w="28" w:type="dxa"/>
              <w:bottom w:w="0" w:type="dxa"/>
              <w:right w:w="28" w:type="dxa"/>
            </w:tcMar>
            <w:hideMark/>
          </w:tcPr>
          <w:p w14:paraId="2DFE0765"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capital</w:t>
            </w:r>
          </w:p>
        </w:tc>
        <w:tc>
          <w:tcPr>
            <w:tcW w:w="888" w:type="dxa"/>
            <w:tcMar>
              <w:top w:w="0" w:type="dxa"/>
              <w:left w:w="28" w:type="dxa"/>
              <w:bottom w:w="0" w:type="dxa"/>
              <w:right w:w="28" w:type="dxa"/>
            </w:tcMar>
          </w:tcPr>
          <w:p w14:paraId="056E855D" w14:textId="77777777" w:rsidR="00FB375D" w:rsidRPr="003D2007" w:rsidRDefault="003D2007" w:rsidP="00B13457">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w:t>
            </w:r>
          </w:p>
        </w:tc>
        <w:tc>
          <w:tcPr>
            <w:tcW w:w="222" w:type="dxa"/>
            <w:tcMar>
              <w:top w:w="0" w:type="dxa"/>
              <w:left w:w="28" w:type="dxa"/>
              <w:bottom w:w="0" w:type="dxa"/>
              <w:right w:w="28" w:type="dxa"/>
            </w:tcMar>
          </w:tcPr>
          <w:p w14:paraId="7BFEE1D3"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C2A5FD3"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statement of profit or loss and other comprehensive income (</w:t>
            </w:r>
            <w:r w:rsidRPr="00706B0E">
              <w:rPr>
                <w:rFonts w:ascii="Garamond" w:eastAsia="Calibri" w:hAnsi="Garamond" w:cs="Calibri"/>
                <w:sz w:val="28"/>
                <w:szCs w:val="28"/>
                <w:u w:color="000000"/>
                <w:lang w:val="it-IT" w:eastAsia="en-US"/>
              </w:rPr>
              <w:t>income statement</w:t>
            </w:r>
            <w:r w:rsidRPr="00706B0E">
              <w:rPr>
                <w:rFonts w:ascii="Garamond" w:eastAsia="Calibri" w:hAnsi="Garamond" w:cs="Calibri"/>
                <w:sz w:val="28"/>
                <w:szCs w:val="28"/>
                <w:u w:color="000000"/>
                <w:lang w:val="en-US" w:eastAsia="en-US"/>
              </w:rPr>
              <w:t xml:space="preserve"> (US English), profit and loss account (UK English), profit and loss statement (P&amp;L), statement of financial performance, earnings statement, operating statement)</w:t>
            </w:r>
          </w:p>
        </w:tc>
        <w:tc>
          <w:tcPr>
            <w:tcW w:w="969" w:type="dxa"/>
            <w:tcMar>
              <w:top w:w="0" w:type="dxa"/>
              <w:left w:w="28" w:type="dxa"/>
              <w:bottom w:w="0" w:type="dxa"/>
              <w:right w:w="28" w:type="dxa"/>
            </w:tcMar>
            <w:vAlign w:val="bottom"/>
          </w:tcPr>
          <w:p w14:paraId="00AB0B61"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150</w:t>
            </w:r>
          </w:p>
        </w:tc>
      </w:tr>
      <w:tr w:rsidR="00FB375D" w:rsidRPr="00706B0E" w14:paraId="7137385A" w14:textId="77777777" w:rsidTr="00B13457">
        <w:trPr>
          <w:trHeight w:val="270"/>
          <w:jc w:val="center"/>
        </w:trPr>
        <w:tc>
          <w:tcPr>
            <w:tcW w:w="4001" w:type="dxa"/>
            <w:tcMar>
              <w:top w:w="0" w:type="dxa"/>
              <w:left w:w="28" w:type="dxa"/>
              <w:bottom w:w="0" w:type="dxa"/>
              <w:right w:w="28" w:type="dxa"/>
            </w:tcMar>
            <w:hideMark/>
          </w:tcPr>
          <w:p w14:paraId="0314998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account</w:t>
            </w:r>
          </w:p>
        </w:tc>
        <w:tc>
          <w:tcPr>
            <w:tcW w:w="888" w:type="dxa"/>
            <w:tcMar>
              <w:top w:w="0" w:type="dxa"/>
              <w:left w:w="28" w:type="dxa"/>
              <w:bottom w:w="0" w:type="dxa"/>
              <w:right w:w="28" w:type="dxa"/>
            </w:tcMar>
            <w:vAlign w:val="bottom"/>
          </w:tcPr>
          <w:p w14:paraId="48517567" w14:textId="77777777" w:rsidR="00FB375D" w:rsidRPr="003D2007" w:rsidRDefault="003D2007" w:rsidP="00B13457">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209</w:t>
            </w:r>
          </w:p>
        </w:tc>
        <w:tc>
          <w:tcPr>
            <w:tcW w:w="222" w:type="dxa"/>
            <w:tcMar>
              <w:top w:w="0" w:type="dxa"/>
              <w:left w:w="28" w:type="dxa"/>
              <w:bottom w:w="0" w:type="dxa"/>
              <w:right w:w="28" w:type="dxa"/>
            </w:tcMar>
          </w:tcPr>
          <w:p w14:paraId="7811C935"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D60F076"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subrogation</w:t>
            </w:r>
          </w:p>
        </w:tc>
        <w:tc>
          <w:tcPr>
            <w:tcW w:w="969" w:type="dxa"/>
            <w:tcMar>
              <w:top w:w="0" w:type="dxa"/>
              <w:left w:w="28" w:type="dxa"/>
              <w:bottom w:w="0" w:type="dxa"/>
              <w:right w:w="28" w:type="dxa"/>
            </w:tcMar>
            <w:vAlign w:val="bottom"/>
          </w:tcPr>
          <w:p w14:paraId="6AF5C298"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192</w:t>
            </w:r>
          </w:p>
        </w:tc>
      </w:tr>
      <w:tr w:rsidR="00FB375D" w:rsidRPr="00706B0E" w14:paraId="099A80AE" w14:textId="77777777" w:rsidTr="00B13457">
        <w:trPr>
          <w:trHeight w:val="270"/>
          <w:jc w:val="center"/>
        </w:trPr>
        <w:tc>
          <w:tcPr>
            <w:tcW w:w="4001" w:type="dxa"/>
            <w:tcMar>
              <w:top w:w="0" w:type="dxa"/>
              <w:left w:w="28" w:type="dxa"/>
              <w:bottom w:w="0" w:type="dxa"/>
              <w:right w:w="28" w:type="dxa"/>
            </w:tcMar>
            <w:hideMark/>
          </w:tcPr>
          <w:p w14:paraId="6E79CD8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depth</w:t>
            </w:r>
          </w:p>
        </w:tc>
        <w:tc>
          <w:tcPr>
            <w:tcW w:w="888" w:type="dxa"/>
            <w:tcMar>
              <w:top w:w="0" w:type="dxa"/>
              <w:left w:w="28" w:type="dxa"/>
              <w:bottom w:w="0" w:type="dxa"/>
              <w:right w:w="28" w:type="dxa"/>
            </w:tcMar>
            <w:vAlign w:val="bottom"/>
          </w:tcPr>
          <w:p w14:paraId="51CF99FA" w14:textId="77777777" w:rsidR="00FB375D" w:rsidRPr="003D2007" w:rsidRDefault="003D2007" w:rsidP="00B13457">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40</w:t>
            </w:r>
          </w:p>
        </w:tc>
        <w:tc>
          <w:tcPr>
            <w:tcW w:w="222" w:type="dxa"/>
            <w:tcMar>
              <w:top w:w="0" w:type="dxa"/>
              <w:left w:w="28" w:type="dxa"/>
              <w:bottom w:w="0" w:type="dxa"/>
              <w:right w:w="28" w:type="dxa"/>
            </w:tcMar>
          </w:tcPr>
          <w:p w14:paraId="2452DA1F"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1986A9F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subsidy</w:t>
            </w:r>
          </w:p>
        </w:tc>
        <w:tc>
          <w:tcPr>
            <w:tcW w:w="969" w:type="dxa"/>
            <w:tcMar>
              <w:top w:w="0" w:type="dxa"/>
              <w:left w:w="28" w:type="dxa"/>
              <w:bottom w:w="0" w:type="dxa"/>
              <w:right w:w="28" w:type="dxa"/>
            </w:tcMar>
            <w:vAlign w:val="bottom"/>
          </w:tcPr>
          <w:p w14:paraId="5E33F067"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53</w:t>
            </w:r>
          </w:p>
        </w:tc>
      </w:tr>
      <w:tr w:rsidR="00FB375D" w:rsidRPr="00706B0E" w14:paraId="4EBECEFB" w14:textId="77777777" w:rsidTr="00B13457">
        <w:trPr>
          <w:trHeight w:val="270"/>
          <w:jc w:val="center"/>
        </w:trPr>
        <w:tc>
          <w:tcPr>
            <w:tcW w:w="4001" w:type="dxa"/>
            <w:tcMar>
              <w:top w:w="0" w:type="dxa"/>
              <w:left w:w="28" w:type="dxa"/>
              <w:bottom w:w="0" w:type="dxa"/>
              <w:right w:w="28" w:type="dxa"/>
            </w:tcMar>
            <w:hideMark/>
          </w:tcPr>
          <w:p w14:paraId="07473DD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development</w:t>
            </w:r>
          </w:p>
        </w:tc>
        <w:tc>
          <w:tcPr>
            <w:tcW w:w="888" w:type="dxa"/>
            <w:tcMar>
              <w:top w:w="0" w:type="dxa"/>
              <w:left w:w="28" w:type="dxa"/>
              <w:bottom w:w="0" w:type="dxa"/>
              <w:right w:w="28" w:type="dxa"/>
            </w:tcMar>
            <w:vAlign w:val="bottom"/>
          </w:tcPr>
          <w:p w14:paraId="531C6EDE" w14:textId="77777777" w:rsidR="00FB375D" w:rsidRPr="003D2007" w:rsidRDefault="003D2007" w:rsidP="00B13457">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40</w:t>
            </w:r>
          </w:p>
        </w:tc>
        <w:tc>
          <w:tcPr>
            <w:tcW w:w="222" w:type="dxa"/>
            <w:tcMar>
              <w:top w:w="0" w:type="dxa"/>
              <w:left w:w="28" w:type="dxa"/>
              <w:bottom w:w="0" w:type="dxa"/>
              <w:right w:w="28" w:type="dxa"/>
            </w:tcMar>
          </w:tcPr>
          <w:p w14:paraId="04D62DF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7AE251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subventions</w:t>
            </w:r>
          </w:p>
        </w:tc>
        <w:tc>
          <w:tcPr>
            <w:tcW w:w="969" w:type="dxa"/>
            <w:tcMar>
              <w:top w:w="0" w:type="dxa"/>
              <w:left w:w="28" w:type="dxa"/>
              <w:bottom w:w="0" w:type="dxa"/>
              <w:right w:w="28" w:type="dxa"/>
            </w:tcMar>
            <w:vAlign w:val="bottom"/>
          </w:tcPr>
          <w:p w14:paraId="5ED28ED8"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88</w:t>
            </w:r>
          </w:p>
        </w:tc>
      </w:tr>
      <w:tr w:rsidR="00FB375D" w:rsidRPr="00706B0E" w14:paraId="5ADB1F59" w14:textId="77777777" w:rsidTr="00B13457">
        <w:trPr>
          <w:trHeight w:val="270"/>
          <w:jc w:val="center"/>
        </w:trPr>
        <w:tc>
          <w:tcPr>
            <w:tcW w:w="4001" w:type="dxa"/>
            <w:tcMar>
              <w:top w:w="0" w:type="dxa"/>
              <w:left w:w="28" w:type="dxa"/>
              <w:bottom w:w="0" w:type="dxa"/>
              <w:right w:w="28" w:type="dxa"/>
            </w:tcMar>
            <w:hideMark/>
          </w:tcPr>
          <w:p w14:paraId="09175D36"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economics</w:t>
            </w:r>
          </w:p>
        </w:tc>
        <w:tc>
          <w:tcPr>
            <w:tcW w:w="888" w:type="dxa"/>
            <w:tcMar>
              <w:top w:w="0" w:type="dxa"/>
              <w:left w:w="28" w:type="dxa"/>
              <w:bottom w:w="0" w:type="dxa"/>
              <w:right w:w="28" w:type="dxa"/>
            </w:tcMar>
            <w:vAlign w:val="bottom"/>
          </w:tcPr>
          <w:p w14:paraId="605F94EA" w14:textId="77777777" w:rsidR="00FB375D" w:rsidRPr="003D2007" w:rsidRDefault="003D2007" w:rsidP="00B13457">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23, 39</w:t>
            </w:r>
          </w:p>
        </w:tc>
        <w:tc>
          <w:tcPr>
            <w:tcW w:w="222" w:type="dxa"/>
            <w:tcMar>
              <w:top w:w="0" w:type="dxa"/>
              <w:left w:w="28" w:type="dxa"/>
              <w:bottom w:w="0" w:type="dxa"/>
              <w:right w:w="28" w:type="dxa"/>
            </w:tcMar>
          </w:tcPr>
          <w:p w14:paraId="4DE0CCF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44241884"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T</w:t>
            </w:r>
          </w:p>
        </w:tc>
        <w:tc>
          <w:tcPr>
            <w:tcW w:w="969" w:type="dxa"/>
            <w:shd w:val="clear" w:color="auto" w:fill="BFBFBF"/>
            <w:tcMar>
              <w:top w:w="0" w:type="dxa"/>
              <w:left w:w="28" w:type="dxa"/>
              <w:bottom w:w="0" w:type="dxa"/>
              <w:right w:w="28" w:type="dxa"/>
            </w:tcMar>
            <w:vAlign w:val="bottom"/>
          </w:tcPr>
          <w:p w14:paraId="37CD524D" w14:textId="77777777" w:rsidR="00FB375D" w:rsidRPr="0071403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62DEA3BF" w14:textId="77777777" w:rsidTr="00B13457">
        <w:trPr>
          <w:trHeight w:val="270"/>
          <w:jc w:val="center"/>
        </w:trPr>
        <w:tc>
          <w:tcPr>
            <w:tcW w:w="4001" w:type="dxa"/>
            <w:tcMar>
              <w:top w:w="0" w:type="dxa"/>
              <w:left w:w="28" w:type="dxa"/>
              <w:bottom w:w="0" w:type="dxa"/>
              <w:right w:w="28" w:type="dxa"/>
            </w:tcMar>
            <w:hideMark/>
          </w:tcPr>
          <w:p w14:paraId="234E8F3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institution</w:t>
            </w:r>
          </w:p>
        </w:tc>
        <w:tc>
          <w:tcPr>
            <w:tcW w:w="888" w:type="dxa"/>
            <w:tcMar>
              <w:top w:w="0" w:type="dxa"/>
              <w:left w:w="28" w:type="dxa"/>
              <w:bottom w:w="0" w:type="dxa"/>
              <w:right w:w="28" w:type="dxa"/>
            </w:tcMar>
            <w:vAlign w:val="bottom"/>
          </w:tcPr>
          <w:p w14:paraId="17D8404B" w14:textId="77777777" w:rsidR="00FB375D" w:rsidRPr="003D2007" w:rsidRDefault="003D2007" w:rsidP="00B13457">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38</w:t>
            </w:r>
          </w:p>
        </w:tc>
        <w:tc>
          <w:tcPr>
            <w:tcW w:w="222" w:type="dxa"/>
            <w:tcMar>
              <w:top w:w="0" w:type="dxa"/>
              <w:left w:w="28" w:type="dxa"/>
              <w:bottom w:w="0" w:type="dxa"/>
              <w:right w:w="28" w:type="dxa"/>
            </w:tcMar>
          </w:tcPr>
          <w:p w14:paraId="5E272987"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1F71074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w:t>
            </w:r>
          </w:p>
        </w:tc>
        <w:tc>
          <w:tcPr>
            <w:tcW w:w="969" w:type="dxa"/>
            <w:tcMar>
              <w:top w:w="0" w:type="dxa"/>
              <w:left w:w="28" w:type="dxa"/>
              <w:bottom w:w="0" w:type="dxa"/>
              <w:right w:w="28" w:type="dxa"/>
            </w:tcMar>
            <w:vAlign w:val="bottom"/>
          </w:tcPr>
          <w:p w14:paraId="4E31ADA0"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69</w:t>
            </w:r>
          </w:p>
        </w:tc>
      </w:tr>
      <w:tr w:rsidR="00FB375D" w:rsidRPr="00706B0E" w14:paraId="4D75495F" w14:textId="77777777" w:rsidTr="00B13457">
        <w:trPr>
          <w:trHeight w:val="270"/>
          <w:jc w:val="center"/>
        </w:trPr>
        <w:tc>
          <w:tcPr>
            <w:tcW w:w="4001" w:type="dxa"/>
            <w:tcMar>
              <w:top w:w="0" w:type="dxa"/>
              <w:left w:w="28" w:type="dxa"/>
              <w:bottom w:w="0" w:type="dxa"/>
              <w:right w:w="28" w:type="dxa"/>
            </w:tcMar>
            <w:hideMark/>
          </w:tcPr>
          <w:p w14:paraId="123CC150"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instrument</w:t>
            </w:r>
          </w:p>
        </w:tc>
        <w:tc>
          <w:tcPr>
            <w:tcW w:w="888" w:type="dxa"/>
            <w:tcMar>
              <w:top w:w="0" w:type="dxa"/>
              <w:left w:w="28" w:type="dxa"/>
              <w:bottom w:w="0" w:type="dxa"/>
              <w:right w:w="28" w:type="dxa"/>
            </w:tcMar>
            <w:vAlign w:val="bottom"/>
          </w:tcPr>
          <w:p w14:paraId="3FD0D542" w14:textId="77777777" w:rsidR="00FB375D" w:rsidRPr="003D2007" w:rsidRDefault="003D2007" w:rsidP="004A3400">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23, 174</w:t>
            </w:r>
          </w:p>
        </w:tc>
        <w:tc>
          <w:tcPr>
            <w:tcW w:w="222" w:type="dxa"/>
            <w:tcMar>
              <w:top w:w="0" w:type="dxa"/>
              <w:left w:w="28" w:type="dxa"/>
              <w:bottom w:w="0" w:type="dxa"/>
              <w:right w:w="28" w:type="dxa"/>
            </w:tcMar>
          </w:tcPr>
          <w:p w14:paraId="49920B7C"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2CF6AF8"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agent</w:t>
            </w:r>
          </w:p>
        </w:tc>
        <w:tc>
          <w:tcPr>
            <w:tcW w:w="969" w:type="dxa"/>
            <w:tcMar>
              <w:top w:w="0" w:type="dxa"/>
              <w:left w:w="28" w:type="dxa"/>
              <w:bottom w:w="0" w:type="dxa"/>
              <w:right w:w="28" w:type="dxa"/>
            </w:tcMar>
            <w:vAlign w:val="bottom"/>
          </w:tcPr>
          <w:p w14:paraId="6A47542E"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69</w:t>
            </w:r>
          </w:p>
        </w:tc>
      </w:tr>
      <w:tr w:rsidR="00FB375D" w:rsidRPr="00706B0E" w14:paraId="049CA25A" w14:textId="77777777" w:rsidTr="00B13457">
        <w:trPr>
          <w:trHeight w:val="270"/>
          <w:jc w:val="center"/>
        </w:trPr>
        <w:tc>
          <w:tcPr>
            <w:tcW w:w="4001" w:type="dxa"/>
            <w:tcMar>
              <w:top w:w="0" w:type="dxa"/>
              <w:left w:w="28" w:type="dxa"/>
              <w:bottom w:w="0" w:type="dxa"/>
              <w:right w:w="28" w:type="dxa"/>
            </w:tcMar>
            <w:hideMark/>
          </w:tcPr>
          <w:p w14:paraId="278C982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intermediary</w:t>
            </w:r>
          </w:p>
        </w:tc>
        <w:tc>
          <w:tcPr>
            <w:tcW w:w="888" w:type="dxa"/>
            <w:tcMar>
              <w:top w:w="0" w:type="dxa"/>
              <w:left w:w="28" w:type="dxa"/>
              <w:bottom w:w="0" w:type="dxa"/>
              <w:right w:w="28" w:type="dxa"/>
            </w:tcMar>
            <w:vAlign w:val="bottom"/>
          </w:tcPr>
          <w:p w14:paraId="57B502ED"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39, 174</w:t>
            </w:r>
          </w:p>
        </w:tc>
        <w:tc>
          <w:tcPr>
            <w:tcW w:w="222" w:type="dxa"/>
            <w:tcMar>
              <w:top w:w="0" w:type="dxa"/>
              <w:left w:w="28" w:type="dxa"/>
              <w:bottom w:w="0" w:type="dxa"/>
              <w:right w:w="28" w:type="dxa"/>
            </w:tcMar>
          </w:tcPr>
          <w:p w14:paraId="563E2F3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AA71BA4"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sz w:val="28"/>
                <w:szCs w:val="28"/>
                <w:lang w:val="en-US"/>
              </w:rPr>
              <w:t>tax authorities</w:t>
            </w:r>
          </w:p>
        </w:tc>
        <w:tc>
          <w:tcPr>
            <w:tcW w:w="969" w:type="dxa"/>
            <w:tcMar>
              <w:top w:w="0" w:type="dxa"/>
              <w:left w:w="28" w:type="dxa"/>
              <w:bottom w:w="0" w:type="dxa"/>
              <w:right w:w="28" w:type="dxa"/>
            </w:tcMar>
            <w:vAlign w:val="bottom"/>
          </w:tcPr>
          <w:p w14:paraId="67DC2C4E"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70</w:t>
            </w:r>
          </w:p>
        </w:tc>
      </w:tr>
      <w:tr w:rsidR="00FB375D" w:rsidRPr="00706B0E" w14:paraId="23FBECB8" w14:textId="77777777" w:rsidTr="00B13457">
        <w:trPr>
          <w:trHeight w:val="270"/>
          <w:jc w:val="center"/>
        </w:trPr>
        <w:tc>
          <w:tcPr>
            <w:tcW w:w="4001" w:type="dxa"/>
            <w:tcMar>
              <w:top w:w="0" w:type="dxa"/>
              <w:left w:w="28" w:type="dxa"/>
              <w:bottom w:w="0" w:type="dxa"/>
              <w:right w:w="28" w:type="dxa"/>
            </w:tcMar>
            <w:hideMark/>
          </w:tcPr>
          <w:p w14:paraId="080D0D66"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lang w:val="en-US"/>
              </w:rPr>
              <w:t>financial investment</w:t>
            </w:r>
          </w:p>
        </w:tc>
        <w:tc>
          <w:tcPr>
            <w:tcW w:w="888" w:type="dxa"/>
            <w:tcMar>
              <w:top w:w="0" w:type="dxa"/>
              <w:left w:w="28" w:type="dxa"/>
              <w:bottom w:w="0" w:type="dxa"/>
              <w:right w:w="28" w:type="dxa"/>
            </w:tcMar>
            <w:vAlign w:val="bottom"/>
          </w:tcPr>
          <w:p w14:paraId="77C7A618"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106</w:t>
            </w:r>
          </w:p>
        </w:tc>
        <w:tc>
          <w:tcPr>
            <w:tcW w:w="222" w:type="dxa"/>
            <w:tcMar>
              <w:top w:w="0" w:type="dxa"/>
              <w:left w:w="28" w:type="dxa"/>
              <w:bottom w:w="0" w:type="dxa"/>
              <w:right w:w="28" w:type="dxa"/>
            </w:tcMar>
          </w:tcPr>
          <w:p w14:paraId="413BCEB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E76472E"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avoidance</w:t>
            </w:r>
          </w:p>
        </w:tc>
        <w:tc>
          <w:tcPr>
            <w:tcW w:w="969" w:type="dxa"/>
            <w:tcMar>
              <w:top w:w="0" w:type="dxa"/>
              <w:left w:w="28" w:type="dxa"/>
              <w:bottom w:w="0" w:type="dxa"/>
              <w:right w:w="28" w:type="dxa"/>
            </w:tcMar>
            <w:vAlign w:val="bottom"/>
          </w:tcPr>
          <w:p w14:paraId="0A957D7D"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70</w:t>
            </w:r>
          </w:p>
        </w:tc>
      </w:tr>
      <w:tr w:rsidR="00FB375D" w:rsidRPr="00706B0E" w14:paraId="044E183A" w14:textId="77777777" w:rsidTr="00B13457">
        <w:trPr>
          <w:trHeight w:val="270"/>
          <w:jc w:val="center"/>
        </w:trPr>
        <w:tc>
          <w:tcPr>
            <w:tcW w:w="4001" w:type="dxa"/>
            <w:tcMar>
              <w:top w:w="0" w:type="dxa"/>
              <w:left w:w="28" w:type="dxa"/>
              <w:bottom w:w="0" w:type="dxa"/>
              <w:right w:w="28" w:type="dxa"/>
            </w:tcMar>
            <w:hideMark/>
          </w:tcPr>
          <w:p w14:paraId="12B50D3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leverage</w:t>
            </w:r>
          </w:p>
        </w:tc>
        <w:tc>
          <w:tcPr>
            <w:tcW w:w="888" w:type="dxa"/>
            <w:tcMar>
              <w:top w:w="0" w:type="dxa"/>
              <w:left w:w="28" w:type="dxa"/>
              <w:bottom w:w="0" w:type="dxa"/>
              <w:right w:w="28" w:type="dxa"/>
            </w:tcMar>
            <w:vAlign w:val="bottom"/>
          </w:tcPr>
          <w:p w14:paraId="46C7A2B5"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151</w:t>
            </w:r>
          </w:p>
        </w:tc>
        <w:tc>
          <w:tcPr>
            <w:tcW w:w="222" w:type="dxa"/>
            <w:tcMar>
              <w:top w:w="0" w:type="dxa"/>
              <w:left w:w="28" w:type="dxa"/>
              <w:bottom w:w="0" w:type="dxa"/>
              <w:right w:w="28" w:type="dxa"/>
            </w:tcMar>
          </w:tcPr>
          <w:p w14:paraId="73B9E366"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3D55C49A"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base</w:t>
            </w:r>
          </w:p>
        </w:tc>
        <w:tc>
          <w:tcPr>
            <w:tcW w:w="969" w:type="dxa"/>
            <w:tcMar>
              <w:top w:w="0" w:type="dxa"/>
              <w:left w:w="28" w:type="dxa"/>
              <w:bottom w:w="0" w:type="dxa"/>
              <w:right w:w="28" w:type="dxa"/>
            </w:tcMar>
            <w:vAlign w:val="bottom"/>
          </w:tcPr>
          <w:p w14:paraId="1E642E3A"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69</w:t>
            </w:r>
          </w:p>
        </w:tc>
      </w:tr>
      <w:tr w:rsidR="00FB375D" w:rsidRPr="00706B0E" w14:paraId="003E1B35" w14:textId="77777777" w:rsidTr="00B13457">
        <w:trPr>
          <w:trHeight w:val="270"/>
          <w:jc w:val="center"/>
        </w:trPr>
        <w:tc>
          <w:tcPr>
            <w:tcW w:w="4001" w:type="dxa"/>
            <w:tcMar>
              <w:top w:w="0" w:type="dxa"/>
              <w:left w:w="28" w:type="dxa"/>
              <w:bottom w:w="0" w:type="dxa"/>
              <w:right w:w="28" w:type="dxa"/>
            </w:tcMar>
            <w:hideMark/>
          </w:tcPr>
          <w:p w14:paraId="4304228A"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market(s)</w:t>
            </w:r>
          </w:p>
        </w:tc>
        <w:tc>
          <w:tcPr>
            <w:tcW w:w="888" w:type="dxa"/>
            <w:tcMar>
              <w:top w:w="0" w:type="dxa"/>
              <w:left w:w="28" w:type="dxa"/>
              <w:bottom w:w="0" w:type="dxa"/>
              <w:right w:w="28" w:type="dxa"/>
            </w:tcMar>
            <w:vAlign w:val="bottom"/>
          </w:tcPr>
          <w:p w14:paraId="10ADEE30" w14:textId="77777777" w:rsidR="00FB375D" w:rsidRPr="003D2007" w:rsidRDefault="003D2007" w:rsidP="004A3400">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23, 54</w:t>
            </w:r>
          </w:p>
        </w:tc>
        <w:tc>
          <w:tcPr>
            <w:tcW w:w="222" w:type="dxa"/>
            <w:tcMar>
              <w:top w:w="0" w:type="dxa"/>
              <w:left w:w="28" w:type="dxa"/>
              <w:bottom w:w="0" w:type="dxa"/>
              <w:right w:w="28" w:type="dxa"/>
            </w:tcMar>
          </w:tcPr>
          <w:p w14:paraId="7B976A0C"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ACC3A8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concession</w:t>
            </w:r>
          </w:p>
        </w:tc>
        <w:tc>
          <w:tcPr>
            <w:tcW w:w="969" w:type="dxa"/>
            <w:tcMar>
              <w:top w:w="0" w:type="dxa"/>
              <w:left w:w="28" w:type="dxa"/>
              <w:bottom w:w="0" w:type="dxa"/>
              <w:right w:w="28" w:type="dxa"/>
            </w:tcMar>
            <w:vAlign w:val="bottom"/>
          </w:tcPr>
          <w:p w14:paraId="07EF3E85"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69</w:t>
            </w:r>
          </w:p>
        </w:tc>
      </w:tr>
      <w:tr w:rsidR="00FB375D" w:rsidRPr="00706B0E" w14:paraId="564EE80D" w14:textId="77777777" w:rsidTr="00B13457">
        <w:trPr>
          <w:trHeight w:val="270"/>
          <w:jc w:val="center"/>
        </w:trPr>
        <w:tc>
          <w:tcPr>
            <w:tcW w:w="4001" w:type="dxa"/>
            <w:tcMar>
              <w:top w:w="0" w:type="dxa"/>
              <w:left w:w="28" w:type="dxa"/>
              <w:bottom w:w="0" w:type="dxa"/>
              <w:right w:w="28" w:type="dxa"/>
            </w:tcMar>
            <w:hideMark/>
          </w:tcPr>
          <w:p w14:paraId="69A67E24"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mechanism</w:t>
            </w:r>
          </w:p>
        </w:tc>
        <w:tc>
          <w:tcPr>
            <w:tcW w:w="888" w:type="dxa"/>
            <w:tcMar>
              <w:top w:w="0" w:type="dxa"/>
              <w:left w:w="28" w:type="dxa"/>
              <w:bottom w:w="0" w:type="dxa"/>
              <w:right w:w="28" w:type="dxa"/>
            </w:tcMar>
            <w:vAlign w:val="bottom"/>
          </w:tcPr>
          <w:p w14:paraId="33422CA2" w14:textId="77777777" w:rsidR="00FB375D" w:rsidRPr="003D2007" w:rsidRDefault="003D2007" w:rsidP="004A3400">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w:t>
            </w:r>
          </w:p>
        </w:tc>
        <w:tc>
          <w:tcPr>
            <w:tcW w:w="222" w:type="dxa"/>
            <w:tcMar>
              <w:top w:w="0" w:type="dxa"/>
              <w:left w:w="28" w:type="dxa"/>
              <w:bottom w:w="0" w:type="dxa"/>
              <w:right w:w="28" w:type="dxa"/>
            </w:tcMar>
          </w:tcPr>
          <w:p w14:paraId="0CB706E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490099B"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declaration (return)</w:t>
            </w:r>
          </w:p>
        </w:tc>
        <w:tc>
          <w:tcPr>
            <w:tcW w:w="969" w:type="dxa"/>
            <w:tcMar>
              <w:top w:w="0" w:type="dxa"/>
              <w:left w:w="28" w:type="dxa"/>
              <w:bottom w:w="0" w:type="dxa"/>
              <w:right w:w="28" w:type="dxa"/>
            </w:tcMar>
            <w:vAlign w:val="bottom"/>
          </w:tcPr>
          <w:p w14:paraId="04CD62A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70</w:t>
            </w:r>
          </w:p>
        </w:tc>
      </w:tr>
      <w:tr w:rsidR="00FB375D" w:rsidRPr="00706B0E" w14:paraId="031200C3" w14:textId="77777777" w:rsidTr="00B13457">
        <w:trPr>
          <w:trHeight w:val="270"/>
          <w:jc w:val="center"/>
        </w:trPr>
        <w:tc>
          <w:tcPr>
            <w:tcW w:w="4001" w:type="dxa"/>
            <w:tcMar>
              <w:top w:w="0" w:type="dxa"/>
              <w:left w:w="28" w:type="dxa"/>
              <w:bottom w:w="0" w:type="dxa"/>
              <w:right w:w="28" w:type="dxa"/>
            </w:tcMar>
            <w:hideMark/>
          </w:tcPr>
          <w:p w14:paraId="2C2921D3"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objective</w:t>
            </w:r>
          </w:p>
        </w:tc>
        <w:tc>
          <w:tcPr>
            <w:tcW w:w="888" w:type="dxa"/>
            <w:tcMar>
              <w:top w:w="0" w:type="dxa"/>
              <w:left w:w="28" w:type="dxa"/>
              <w:bottom w:w="0" w:type="dxa"/>
              <w:right w:w="28" w:type="dxa"/>
            </w:tcMar>
            <w:vAlign w:val="bottom"/>
          </w:tcPr>
          <w:p w14:paraId="41037318" w14:textId="77777777" w:rsidR="00FB375D" w:rsidRPr="003D2007" w:rsidRDefault="003D2007" w:rsidP="004A3400">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w:t>
            </w:r>
          </w:p>
        </w:tc>
        <w:tc>
          <w:tcPr>
            <w:tcW w:w="222" w:type="dxa"/>
            <w:tcMar>
              <w:top w:w="0" w:type="dxa"/>
              <w:left w:w="28" w:type="dxa"/>
              <w:bottom w:w="0" w:type="dxa"/>
              <w:right w:w="28" w:type="dxa"/>
            </w:tcMar>
          </w:tcPr>
          <w:p w14:paraId="3C633896"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57E964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effect</w:t>
            </w:r>
          </w:p>
        </w:tc>
        <w:tc>
          <w:tcPr>
            <w:tcW w:w="969" w:type="dxa"/>
            <w:tcMar>
              <w:top w:w="0" w:type="dxa"/>
              <w:left w:w="28" w:type="dxa"/>
              <w:bottom w:w="0" w:type="dxa"/>
              <w:right w:w="28" w:type="dxa"/>
            </w:tcMar>
            <w:vAlign w:val="bottom"/>
          </w:tcPr>
          <w:p w14:paraId="2458F093"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151</w:t>
            </w:r>
          </w:p>
        </w:tc>
      </w:tr>
      <w:tr w:rsidR="00FB375D" w:rsidRPr="00706B0E" w14:paraId="327E2392" w14:textId="77777777" w:rsidTr="00B13457">
        <w:trPr>
          <w:trHeight w:val="270"/>
          <w:jc w:val="center"/>
        </w:trPr>
        <w:tc>
          <w:tcPr>
            <w:tcW w:w="4001" w:type="dxa"/>
            <w:tcMar>
              <w:top w:w="0" w:type="dxa"/>
              <w:left w:w="28" w:type="dxa"/>
              <w:bottom w:w="0" w:type="dxa"/>
              <w:right w:w="28" w:type="dxa"/>
            </w:tcMar>
            <w:hideMark/>
          </w:tcPr>
          <w:p w14:paraId="64B3E5A5"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performance</w:t>
            </w:r>
          </w:p>
        </w:tc>
        <w:tc>
          <w:tcPr>
            <w:tcW w:w="888" w:type="dxa"/>
            <w:tcMar>
              <w:top w:w="0" w:type="dxa"/>
              <w:left w:w="28" w:type="dxa"/>
              <w:bottom w:w="0" w:type="dxa"/>
              <w:right w:w="28" w:type="dxa"/>
            </w:tcMar>
            <w:vAlign w:val="bottom"/>
          </w:tcPr>
          <w:p w14:paraId="647DDC9C" w14:textId="77777777" w:rsidR="00FB375D" w:rsidRPr="003D2007" w:rsidRDefault="003D2007" w:rsidP="004A3400">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w:t>
            </w:r>
          </w:p>
        </w:tc>
        <w:tc>
          <w:tcPr>
            <w:tcW w:w="222" w:type="dxa"/>
            <w:tcMar>
              <w:top w:w="0" w:type="dxa"/>
              <w:left w:w="28" w:type="dxa"/>
              <w:bottom w:w="0" w:type="dxa"/>
              <w:right w:w="28" w:type="dxa"/>
            </w:tcMar>
          </w:tcPr>
          <w:p w14:paraId="4B852C3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EFDB76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havens</w:t>
            </w:r>
          </w:p>
        </w:tc>
        <w:tc>
          <w:tcPr>
            <w:tcW w:w="969" w:type="dxa"/>
            <w:tcMar>
              <w:top w:w="0" w:type="dxa"/>
              <w:left w:w="28" w:type="dxa"/>
              <w:bottom w:w="0" w:type="dxa"/>
              <w:right w:w="28" w:type="dxa"/>
            </w:tcMar>
            <w:vAlign w:val="bottom"/>
          </w:tcPr>
          <w:p w14:paraId="7672F06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70</w:t>
            </w:r>
          </w:p>
        </w:tc>
      </w:tr>
      <w:tr w:rsidR="00FB375D" w:rsidRPr="00706B0E" w14:paraId="656808A9" w14:textId="77777777" w:rsidTr="00B13457">
        <w:trPr>
          <w:trHeight w:val="270"/>
          <w:jc w:val="center"/>
        </w:trPr>
        <w:tc>
          <w:tcPr>
            <w:tcW w:w="4001" w:type="dxa"/>
            <w:tcMar>
              <w:top w:w="0" w:type="dxa"/>
              <w:left w:w="28" w:type="dxa"/>
              <w:bottom w:w="0" w:type="dxa"/>
              <w:right w:w="28" w:type="dxa"/>
            </w:tcMar>
            <w:hideMark/>
          </w:tcPr>
          <w:p w14:paraId="2C2764B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policy</w:t>
            </w:r>
          </w:p>
        </w:tc>
        <w:tc>
          <w:tcPr>
            <w:tcW w:w="888" w:type="dxa"/>
            <w:tcMar>
              <w:top w:w="0" w:type="dxa"/>
              <w:left w:w="28" w:type="dxa"/>
              <w:bottom w:w="0" w:type="dxa"/>
              <w:right w:w="28" w:type="dxa"/>
            </w:tcMar>
            <w:vAlign w:val="bottom"/>
          </w:tcPr>
          <w:p w14:paraId="7E4EAD2B"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38, 53</w:t>
            </w:r>
          </w:p>
        </w:tc>
        <w:tc>
          <w:tcPr>
            <w:tcW w:w="222" w:type="dxa"/>
            <w:tcMar>
              <w:top w:w="0" w:type="dxa"/>
              <w:left w:w="28" w:type="dxa"/>
              <w:bottom w:w="0" w:type="dxa"/>
              <w:right w:w="28" w:type="dxa"/>
            </w:tcMar>
          </w:tcPr>
          <w:p w14:paraId="2B5646C7"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7E6196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liability</w:t>
            </w:r>
          </w:p>
        </w:tc>
        <w:tc>
          <w:tcPr>
            <w:tcW w:w="969" w:type="dxa"/>
            <w:tcMar>
              <w:top w:w="0" w:type="dxa"/>
              <w:left w:w="28" w:type="dxa"/>
              <w:bottom w:w="0" w:type="dxa"/>
              <w:right w:w="28" w:type="dxa"/>
            </w:tcMar>
            <w:vAlign w:val="bottom"/>
          </w:tcPr>
          <w:p w14:paraId="41689D51"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69</w:t>
            </w:r>
          </w:p>
        </w:tc>
      </w:tr>
      <w:tr w:rsidR="00FB375D" w:rsidRPr="00706B0E" w14:paraId="6BFEE9D4" w14:textId="77777777" w:rsidTr="00B13457">
        <w:trPr>
          <w:trHeight w:val="270"/>
          <w:jc w:val="center"/>
        </w:trPr>
        <w:tc>
          <w:tcPr>
            <w:tcW w:w="4001" w:type="dxa"/>
            <w:tcMar>
              <w:top w:w="0" w:type="dxa"/>
              <w:left w:w="28" w:type="dxa"/>
              <w:bottom w:w="0" w:type="dxa"/>
              <w:right w:w="28" w:type="dxa"/>
            </w:tcMar>
            <w:hideMark/>
          </w:tcPr>
          <w:p w14:paraId="63212C3C"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projection</w:t>
            </w:r>
          </w:p>
        </w:tc>
        <w:tc>
          <w:tcPr>
            <w:tcW w:w="888" w:type="dxa"/>
            <w:tcMar>
              <w:top w:w="0" w:type="dxa"/>
              <w:left w:w="28" w:type="dxa"/>
              <w:bottom w:w="0" w:type="dxa"/>
              <w:right w:w="28" w:type="dxa"/>
            </w:tcMar>
            <w:vAlign w:val="bottom"/>
          </w:tcPr>
          <w:p w14:paraId="0AAAE8C5" w14:textId="77777777" w:rsidR="00FB375D" w:rsidRPr="003D2007" w:rsidRDefault="003D2007" w:rsidP="004A3400">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24</w:t>
            </w:r>
          </w:p>
        </w:tc>
        <w:tc>
          <w:tcPr>
            <w:tcW w:w="222" w:type="dxa"/>
            <w:tcMar>
              <w:top w:w="0" w:type="dxa"/>
              <w:left w:w="28" w:type="dxa"/>
              <w:bottom w:w="0" w:type="dxa"/>
              <w:right w:w="28" w:type="dxa"/>
            </w:tcMar>
          </w:tcPr>
          <w:p w14:paraId="59B0816A"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361B405"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rate</w:t>
            </w:r>
          </w:p>
        </w:tc>
        <w:tc>
          <w:tcPr>
            <w:tcW w:w="969" w:type="dxa"/>
            <w:tcMar>
              <w:top w:w="0" w:type="dxa"/>
              <w:left w:w="28" w:type="dxa"/>
              <w:bottom w:w="0" w:type="dxa"/>
              <w:right w:w="28" w:type="dxa"/>
            </w:tcMar>
            <w:vAlign w:val="bottom"/>
          </w:tcPr>
          <w:p w14:paraId="36440EF7"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69</w:t>
            </w:r>
          </w:p>
        </w:tc>
      </w:tr>
      <w:tr w:rsidR="00FB375D" w:rsidRPr="00706B0E" w14:paraId="3FEFDD6D" w14:textId="77777777" w:rsidTr="00B13457">
        <w:trPr>
          <w:trHeight w:val="270"/>
          <w:jc w:val="center"/>
        </w:trPr>
        <w:tc>
          <w:tcPr>
            <w:tcW w:w="4001" w:type="dxa"/>
            <w:tcMar>
              <w:top w:w="0" w:type="dxa"/>
              <w:left w:w="28" w:type="dxa"/>
              <w:bottom w:w="0" w:type="dxa"/>
              <w:right w:w="28" w:type="dxa"/>
            </w:tcMar>
            <w:hideMark/>
          </w:tcPr>
          <w:p w14:paraId="2D5D4A86"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relation</w:t>
            </w:r>
            <w:r w:rsidR="00CE389C">
              <w:rPr>
                <w:rFonts w:ascii="Garamond" w:eastAsia="Calibri" w:hAnsi="Garamond" w:cs="Calibri"/>
                <w:sz w:val="28"/>
                <w:szCs w:val="28"/>
                <w:u w:color="000000"/>
                <w:lang w:val="en-US" w:eastAsia="en-US"/>
              </w:rPr>
              <w:t>s</w:t>
            </w:r>
          </w:p>
        </w:tc>
        <w:tc>
          <w:tcPr>
            <w:tcW w:w="888" w:type="dxa"/>
            <w:tcMar>
              <w:top w:w="0" w:type="dxa"/>
              <w:left w:w="28" w:type="dxa"/>
              <w:bottom w:w="0" w:type="dxa"/>
              <w:right w:w="28" w:type="dxa"/>
            </w:tcMar>
            <w:vAlign w:val="bottom"/>
          </w:tcPr>
          <w:p w14:paraId="6F00CEB8" w14:textId="77777777" w:rsidR="00FB375D" w:rsidRPr="003D2007" w:rsidRDefault="003D2007" w:rsidP="004A3400">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22</w:t>
            </w:r>
          </w:p>
        </w:tc>
        <w:tc>
          <w:tcPr>
            <w:tcW w:w="222" w:type="dxa"/>
            <w:tcMar>
              <w:top w:w="0" w:type="dxa"/>
              <w:left w:w="28" w:type="dxa"/>
              <w:bottom w:w="0" w:type="dxa"/>
              <w:right w:w="28" w:type="dxa"/>
            </w:tcMar>
          </w:tcPr>
          <w:p w14:paraId="0D075318"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D0B88EC"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violation</w:t>
            </w:r>
          </w:p>
        </w:tc>
        <w:tc>
          <w:tcPr>
            <w:tcW w:w="969" w:type="dxa"/>
            <w:tcMar>
              <w:top w:w="0" w:type="dxa"/>
              <w:left w:w="28" w:type="dxa"/>
              <w:bottom w:w="0" w:type="dxa"/>
              <w:right w:w="28" w:type="dxa"/>
            </w:tcMar>
            <w:vAlign w:val="bottom"/>
          </w:tcPr>
          <w:p w14:paraId="6E90B154"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70</w:t>
            </w:r>
          </w:p>
        </w:tc>
      </w:tr>
      <w:tr w:rsidR="00FB375D" w:rsidRPr="00706B0E" w14:paraId="15BB650A" w14:textId="77777777" w:rsidTr="00B13457">
        <w:trPr>
          <w:trHeight w:val="270"/>
          <w:jc w:val="center"/>
        </w:trPr>
        <w:tc>
          <w:tcPr>
            <w:tcW w:w="4001" w:type="dxa"/>
            <w:tcMar>
              <w:top w:w="0" w:type="dxa"/>
              <w:left w:w="28" w:type="dxa"/>
              <w:bottom w:w="0" w:type="dxa"/>
              <w:right w:w="28" w:type="dxa"/>
            </w:tcMar>
            <w:hideMark/>
          </w:tcPr>
          <w:p w14:paraId="700E6674"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resources</w:t>
            </w:r>
          </w:p>
        </w:tc>
        <w:tc>
          <w:tcPr>
            <w:tcW w:w="888" w:type="dxa"/>
            <w:tcMar>
              <w:top w:w="0" w:type="dxa"/>
              <w:left w:w="28" w:type="dxa"/>
              <w:bottom w:w="0" w:type="dxa"/>
              <w:right w:w="28" w:type="dxa"/>
            </w:tcMar>
            <w:vAlign w:val="bottom"/>
          </w:tcPr>
          <w:p w14:paraId="737D5165" w14:textId="77777777" w:rsidR="00FB375D" w:rsidRPr="003D2007" w:rsidRDefault="003D2007" w:rsidP="004A3400">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22</w:t>
            </w:r>
          </w:p>
        </w:tc>
        <w:tc>
          <w:tcPr>
            <w:tcW w:w="222" w:type="dxa"/>
            <w:tcMar>
              <w:top w:w="0" w:type="dxa"/>
              <w:left w:w="28" w:type="dxa"/>
              <w:bottom w:w="0" w:type="dxa"/>
              <w:right w:w="28" w:type="dxa"/>
            </w:tcMar>
          </w:tcPr>
          <w:p w14:paraId="29A8870E"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151E533"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 and fee payment period</w:t>
            </w:r>
          </w:p>
        </w:tc>
        <w:tc>
          <w:tcPr>
            <w:tcW w:w="969" w:type="dxa"/>
            <w:tcMar>
              <w:top w:w="0" w:type="dxa"/>
              <w:left w:w="28" w:type="dxa"/>
              <w:bottom w:w="0" w:type="dxa"/>
              <w:right w:w="28" w:type="dxa"/>
            </w:tcMar>
            <w:vAlign w:val="bottom"/>
          </w:tcPr>
          <w:p w14:paraId="7DD2A972"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69</w:t>
            </w:r>
          </w:p>
        </w:tc>
      </w:tr>
      <w:tr w:rsidR="00FB375D" w:rsidRPr="00706B0E" w14:paraId="0BE6781A" w14:textId="77777777" w:rsidTr="00B13457">
        <w:trPr>
          <w:trHeight w:val="270"/>
          <w:jc w:val="center"/>
        </w:trPr>
        <w:tc>
          <w:tcPr>
            <w:tcW w:w="4001" w:type="dxa"/>
            <w:tcMar>
              <w:top w:w="0" w:type="dxa"/>
              <w:left w:w="28" w:type="dxa"/>
              <w:bottom w:w="0" w:type="dxa"/>
              <w:right w:w="28" w:type="dxa"/>
            </w:tcMar>
            <w:hideMark/>
          </w:tcPr>
          <w:p w14:paraId="511FF664" w14:textId="77777777" w:rsidR="00FB375D" w:rsidRPr="00706B0E" w:rsidRDefault="00FB375D" w:rsidP="004A3400">
            <w:pPr>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lastRenderedPageBreak/>
              <w:t>financial sector</w:t>
            </w:r>
          </w:p>
        </w:tc>
        <w:tc>
          <w:tcPr>
            <w:tcW w:w="888" w:type="dxa"/>
            <w:tcMar>
              <w:top w:w="0" w:type="dxa"/>
              <w:left w:w="28" w:type="dxa"/>
              <w:bottom w:w="0" w:type="dxa"/>
              <w:right w:w="28" w:type="dxa"/>
            </w:tcMar>
            <w:vAlign w:val="bottom"/>
          </w:tcPr>
          <w:p w14:paraId="523C384A" w14:textId="77777777" w:rsidR="00FB375D" w:rsidRPr="003D2007" w:rsidRDefault="003D2007" w:rsidP="004A3400">
            <w:pPr>
              <w:spacing w:line="312" w:lineRule="auto"/>
              <w:jc w:val="center"/>
              <w:rPr>
                <w:rFonts w:ascii="Garamond" w:eastAsia="Calibri" w:hAnsi="Garamond" w:cs="Calibri"/>
                <w:b/>
                <w:sz w:val="28"/>
                <w:szCs w:val="28"/>
                <w:u w:color="000000"/>
                <w:lang w:val="en-US" w:eastAsia="en-US"/>
              </w:rPr>
            </w:pPr>
            <w:r w:rsidRPr="003D2007">
              <w:rPr>
                <w:rFonts w:ascii="Garamond" w:eastAsia="Calibri" w:hAnsi="Garamond" w:cs="Calibri"/>
                <w:b/>
                <w:sz w:val="28"/>
                <w:szCs w:val="28"/>
                <w:u w:color="000000"/>
                <w:lang w:val="en-US" w:eastAsia="en-US"/>
              </w:rPr>
              <w:t>23</w:t>
            </w:r>
          </w:p>
        </w:tc>
        <w:tc>
          <w:tcPr>
            <w:tcW w:w="222" w:type="dxa"/>
            <w:tcMar>
              <w:top w:w="0" w:type="dxa"/>
              <w:left w:w="28" w:type="dxa"/>
              <w:bottom w:w="0" w:type="dxa"/>
              <w:right w:w="28" w:type="dxa"/>
            </w:tcMar>
          </w:tcPr>
          <w:p w14:paraId="6B48402D"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DD3019F" w14:textId="77777777" w:rsidR="00FB375D" w:rsidRPr="00CE389C" w:rsidRDefault="00FB375D" w:rsidP="004A3400">
            <w:pPr>
              <w:spacing w:line="312" w:lineRule="auto"/>
              <w:rPr>
                <w:rFonts w:ascii="Garamond" w:eastAsia="Helvetica" w:hAnsi="Garamond" w:cs="Helvetica"/>
                <w:sz w:val="28"/>
                <w:szCs w:val="28"/>
                <w:lang w:val="en-US"/>
              </w:rPr>
            </w:pPr>
            <w:r w:rsidRPr="00CE389C">
              <w:rPr>
                <w:rFonts w:ascii="Garamond" w:hAnsi="Garamond" w:cs="Calibri"/>
                <w:sz w:val="28"/>
                <w:szCs w:val="28"/>
                <w:lang w:val="en-US"/>
              </w:rPr>
              <w:t>taxable income</w:t>
            </w:r>
          </w:p>
        </w:tc>
        <w:tc>
          <w:tcPr>
            <w:tcW w:w="969" w:type="dxa"/>
            <w:tcMar>
              <w:top w:w="0" w:type="dxa"/>
              <w:left w:w="28" w:type="dxa"/>
              <w:bottom w:w="0" w:type="dxa"/>
              <w:right w:w="28" w:type="dxa"/>
            </w:tcMar>
            <w:vAlign w:val="bottom"/>
          </w:tcPr>
          <w:p w14:paraId="32F21398"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70</w:t>
            </w:r>
          </w:p>
        </w:tc>
      </w:tr>
      <w:tr w:rsidR="00FB375D" w:rsidRPr="00706B0E" w14:paraId="4DB00AB4" w14:textId="77777777" w:rsidTr="00B13457">
        <w:trPr>
          <w:trHeight w:val="270"/>
          <w:jc w:val="center"/>
        </w:trPr>
        <w:tc>
          <w:tcPr>
            <w:tcW w:w="4001" w:type="dxa"/>
            <w:tcMar>
              <w:top w:w="0" w:type="dxa"/>
              <w:left w:w="28" w:type="dxa"/>
              <w:bottom w:w="0" w:type="dxa"/>
              <w:right w:w="28" w:type="dxa"/>
            </w:tcMar>
            <w:hideMark/>
          </w:tcPr>
          <w:p w14:paraId="239A34AB"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 xml:space="preserve">financial </w:t>
            </w:r>
            <w:r w:rsidR="00CE389C">
              <w:rPr>
                <w:rFonts w:ascii="Garamond" w:eastAsia="Calibri" w:hAnsi="Garamond" w:cs="Calibri"/>
                <w:sz w:val="28"/>
                <w:szCs w:val="28"/>
                <w:u w:color="000000"/>
                <w:lang w:val="en-US" w:eastAsia="en-US"/>
              </w:rPr>
              <w:t>standard of budget sufficiency</w:t>
            </w:r>
          </w:p>
        </w:tc>
        <w:tc>
          <w:tcPr>
            <w:tcW w:w="888" w:type="dxa"/>
            <w:tcMar>
              <w:top w:w="0" w:type="dxa"/>
              <w:left w:w="28" w:type="dxa"/>
              <w:bottom w:w="0" w:type="dxa"/>
              <w:right w:w="28" w:type="dxa"/>
            </w:tcMar>
            <w:vAlign w:val="bottom"/>
          </w:tcPr>
          <w:p w14:paraId="6DE358F0"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87</w:t>
            </w:r>
          </w:p>
        </w:tc>
        <w:tc>
          <w:tcPr>
            <w:tcW w:w="222" w:type="dxa"/>
            <w:tcMar>
              <w:top w:w="0" w:type="dxa"/>
              <w:left w:w="28" w:type="dxa"/>
              <w:bottom w:w="0" w:type="dxa"/>
              <w:right w:w="28" w:type="dxa"/>
            </w:tcMar>
          </w:tcPr>
          <w:p w14:paraId="45D7E0B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5D43A6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 xml:space="preserve">taxable item </w:t>
            </w:r>
          </w:p>
        </w:tc>
        <w:tc>
          <w:tcPr>
            <w:tcW w:w="969" w:type="dxa"/>
            <w:tcMar>
              <w:top w:w="0" w:type="dxa"/>
              <w:left w:w="28" w:type="dxa"/>
              <w:bottom w:w="0" w:type="dxa"/>
              <w:right w:w="28" w:type="dxa"/>
            </w:tcMar>
            <w:vAlign w:val="bottom"/>
          </w:tcPr>
          <w:p w14:paraId="39D223B1"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69</w:t>
            </w:r>
          </w:p>
        </w:tc>
      </w:tr>
      <w:tr w:rsidR="00FB375D" w:rsidRPr="00706B0E" w14:paraId="3E5E4166" w14:textId="77777777" w:rsidTr="00B13457">
        <w:trPr>
          <w:trHeight w:val="270"/>
          <w:jc w:val="center"/>
        </w:trPr>
        <w:tc>
          <w:tcPr>
            <w:tcW w:w="4001" w:type="dxa"/>
            <w:tcMar>
              <w:top w:w="0" w:type="dxa"/>
              <w:left w:w="28" w:type="dxa"/>
              <w:bottom w:w="0" w:type="dxa"/>
              <w:right w:w="28" w:type="dxa"/>
            </w:tcMar>
            <w:hideMark/>
          </w:tcPr>
          <w:p w14:paraId="75976737"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structure</w:t>
            </w:r>
          </w:p>
        </w:tc>
        <w:tc>
          <w:tcPr>
            <w:tcW w:w="888" w:type="dxa"/>
            <w:tcMar>
              <w:top w:w="0" w:type="dxa"/>
              <w:left w:w="28" w:type="dxa"/>
              <w:bottom w:w="0" w:type="dxa"/>
              <w:right w:w="28" w:type="dxa"/>
            </w:tcMar>
            <w:vAlign w:val="bottom"/>
          </w:tcPr>
          <w:p w14:paraId="4C5FA24A"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39</w:t>
            </w:r>
          </w:p>
        </w:tc>
        <w:tc>
          <w:tcPr>
            <w:tcW w:w="222" w:type="dxa"/>
            <w:tcMar>
              <w:top w:w="0" w:type="dxa"/>
              <w:left w:w="28" w:type="dxa"/>
              <w:bottom w:w="0" w:type="dxa"/>
              <w:right w:w="28" w:type="dxa"/>
            </w:tcMar>
          </w:tcPr>
          <w:p w14:paraId="0BE1CDB9"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709DE7B4"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taxation</w:t>
            </w:r>
          </w:p>
        </w:tc>
        <w:tc>
          <w:tcPr>
            <w:tcW w:w="969" w:type="dxa"/>
            <w:tcMar>
              <w:top w:w="0" w:type="dxa"/>
              <w:left w:w="28" w:type="dxa"/>
              <w:bottom w:w="0" w:type="dxa"/>
              <w:right w:w="28" w:type="dxa"/>
            </w:tcMar>
            <w:vAlign w:val="bottom"/>
          </w:tcPr>
          <w:p w14:paraId="74CED8C0"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53</w:t>
            </w:r>
          </w:p>
        </w:tc>
      </w:tr>
      <w:tr w:rsidR="00FB375D" w:rsidRPr="00706B0E" w14:paraId="5B421F15" w14:textId="77777777" w:rsidTr="00B13457">
        <w:trPr>
          <w:trHeight w:val="270"/>
          <w:jc w:val="center"/>
        </w:trPr>
        <w:tc>
          <w:tcPr>
            <w:tcW w:w="4001" w:type="dxa"/>
            <w:tcMar>
              <w:top w:w="0" w:type="dxa"/>
              <w:left w:w="28" w:type="dxa"/>
              <w:bottom w:w="0" w:type="dxa"/>
              <w:right w:w="28" w:type="dxa"/>
            </w:tcMar>
            <w:hideMark/>
          </w:tcPr>
          <w:p w14:paraId="40FFC57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financial system</w:t>
            </w:r>
          </w:p>
        </w:tc>
        <w:tc>
          <w:tcPr>
            <w:tcW w:w="888" w:type="dxa"/>
            <w:tcMar>
              <w:top w:w="0" w:type="dxa"/>
              <w:left w:w="28" w:type="dxa"/>
              <w:bottom w:w="0" w:type="dxa"/>
              <w:right w:w="28" w:type="dxa"/>
            </w:tcMar>
            <w:vAlign w:val="bottom"/>
          </w:tcPr>
          <w:p w14:paraId="2F463C4B"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38</w:t>
            </w:r>
          </w:p>
        </w:tc>
        <w:tc>
          <w:tcPr>
            <w:tcW w:w="222" w:type="dxa"/>
            <w:tcMar>
              <w:top w:w="0" w:type="dxa"/>
              <w:left w:w="28" w:type="dxa"/>
              <w:bottom w:w="0" w:type="dxa"/>
              <w:right w:w="28" w:type="dxa"/>
            </w:tcMar>
          </w:tcPr>
          <w:p w14:paraId="3483E496"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2E51214"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taxpayers</w:t>
            </w:r>
          </w:p>
        </w:tc>
        <w:tc>
          <w:tcPr>
            <w:tcW w:w="969" w:type="dxa"/>
            <w:tcMar>
              <w:top w:w="0" w:type="dxa"/>
              <w:left w:w="28" w:type="dxa"/>
              <w:bottom w:w="0" w:type="dxa"/>
              <w:right w:w="28" w:type="dxa"/>
            </w:tcMar>
            <w:vAlign w:val="bottom"/>
          </w:tcPr>
          <w:p w14:paraId="68F35CF5"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69</w:t>
            </w:r>
          </w:p>
        </w:tc>
      </w:tr>
      <w:tr w:rsidR="00FB375D" w:rsidRPr="00706B0E" w14:paraId="553DA9D1" w14:textId="77777777" w:rsidTr="00B13457">
        <w:trPr>
          <w:trHeight w:val="270"/>
          <w:jc w:val="center"/>
        </w:trPr>
        <w:tc>
          <w:tcPr>
            <w:tcW w:w="4001" w:type="dxa"/>
            <w:tcMar>
              <w:top w:w="0" w:type="dxa"/>
              <w:left w:w="28" w:type="dxa"/>
              <w:bottom w:w="0" w:type="dxa"/>
              <w:right w:w="28" w:type="dxa"/>
            </w:tcMar>
            <w:hideMark/>
          </w:tcPr>
          <w:p w14:paraId="12AF610B"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fixed asset</w:t>
            </w:r>
          </w:p>
        </w:tc>
        <w:tc>
          <w:tcPr>
            <w:tcW w:w="888" w:type="dxa"/>
            <w:tcMar>
              <w:top w:w="0" w:type="dxa"/>
              <w:left w:w="28" w:type="dxa"/>
              <w:bottom w:w="0" w:type="dxa"/>
              <w:right w:w="28" w:type="dxa"/>
            </w:tcMar>
            <w:vAlign w:val="bottom"/>
          </w:tcPr>
          <w:p w14:paraId="6D2A9280"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149</w:t>
            </w:r>
          </w:p>
        </w:tc>
        <w:tc>
          <w:tcPr>
            <w:tcW w:w="222" w:type="dxa"/>
            <w:tcMar>
              <w:top w:w="0" w:type="dxa"/>
              <w:left w:w="28" w:type="dxa"/>
              <w:bottom w:w="0" w:type="dxa"/>
              <w:right w:w="28" w:type="dxa"/>
            </w:tcMar>
          </w:tcPr>
          <w:p w14:paraId="1543187C"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A0F1ABF" w14:textId="77777777" w:rsidR="00FB375D" w:rsidRPr="00706B0E" w:rsidRDefault="00FB375D" w:rsidP="004A3400">
            <w:pPr>
              <w:tabs>
                <w:tab w:val="left" w:pos="709"/>
                <w:tab w:val="left" w:pos="1418"/>
                <w:tab w:val="left" w:pos="2127"/>
                <w:tab w:val="left" w:pos="2836"/>
                <w:tab w:val="left" w:pos="3545"/>
                <w:tab w:val="left" w:pos="4254"/>
              </w:tabs>
              <w:spacing w:line="312" w:lineRule="auto"/>
              <w:rPr>
                <w:rFonts w:ascii="Garamond" w:hAnsi="Garamond" w:cs="Arial Unicode MS"/>
                <w:sz w:val="28"/>
                <w:szCs w:val="28"/>
                <w:lang w:val="en-US"/>
              </w:rPr>
            </w:pPr>
            <w:r w:rsidRPr="00706B0E">
              <w:rPr>
                <w:rFonts w:ascii="Garamond" w:hAnsi="Garamond" w:cs="Arial Unicode MS"/>
                <w:sz w:val="28"/>
                <w:szCs w:val="28"/>
                <w:lang w:val="en-US"/>
              </w:rPr>
              <w:t>territorial cohesion</w:t>
            </w:r>
          </w:p>
        </w:tc>
        <w:tc>
          <w:tcPr>
            <w:tcW w:w="969" w:type="dxa"/>
            <w:tcMar>
              <w:top w:w="0" w:type="dxa"/>
              <w:left w:w="28" w:type="dxa"/>
              <w:bottom w:w="0" w:type="dxa"/>
              <w:right w:w="28" w:type="dxa"/>
            </w:tcMar>
            <w:vAlign w:val="bottom"/>
          </w:tcPr>
          <w:p w14:paraId="4081F916"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229</w:t>
            </w:r>
          </w:p>
        </w:tc>
      </w:tr>
      <w:tr w:rsidR="00FB375D" w:rsidRPr="00706B0E" w14:paraId="618355F0" w14:textId="77777777" w:rsidTr="00B13457">
        <w:trPr>
          <w:trHeight w:val="530"/>
          <w:jc w:val="center"/>
        </w:trPr>
        <w:tc>
          <w:tcPr>
            <w:tcW w:w="4001" w:type="dxa"/>
            <w:tcMar>
              <w:top w:w="0" w:type="dxa"/>
              <w:left w:w="28" w:type="dxa"/>
              <w:bottom w:w="0" w:type="dxa"/>
              <w:right w:w="28" w:type="dxa"/>
            </w:tcMar>
            <w:hideMark/>
          </w:tcPr>
          <w:p w14:paraId="39A8953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free cash flow</w:t>
            </w:r>
          </w:p>
        </w:tc>
        <w:tc>
          <w:tcPr>
            <w:tcW w:w="888" w:type="dxa"/>
            <w:tcMar>
              <w:top w:w="0" w:type="dxa"/>
              <w:left w:w="28" w:type="dxa"/>
              <w:bottom w:w="0" w:type="dxa"/>
              <w:right w:w="28" w:type="dxa"/>
            </w:tcMar>
          </w:tcPr>
          <w:p w14:paraId="1370193F"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124</w:t>
            </w:r>
          </w:p>
        </w:tc>
        <w:tc>
          <w:tcPr>
            <w:tcW w:w="222" w:type="dxa"/>
            <w:tcMar>
              <w:top w:w="0" w:type="dxa"/>
              <w:left w:w="28" w:type="dxa"/>
              <w:bottom w:w="0" w:type="dxa"/>
              <w:right w:w="28" w:type="dxa"/>
            </w:tcMar>
          </w:tcPr>
          <w:p w14:paraId="4E855250"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6BB3AB64"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transfer payments (government transfer)</w:t>
            </w:r>
          </w:p>
        </w:tc>
        <w:tc>
          <w:tcPr>
            <w:tcW w:w="969" w:type="dxa"/>
            <w:tcMar>
              <w:top w:w="0" w:type="dxa"/>
              <w:left w:w="28" w:type="dxa"/>
              <w:bottom w:w="0" w:type="dxa"/>
              <w:right w:w="28" w:type="dxa"/>
            </w:tcMar>
            <w:vAlign w:val="bottom"/>
          </w:tcPr>
          <w:p w14:paraId="66C2FD7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53</w:t>
            </w:r>
          </w:p>
        </w:tc>
      </w:tr>
      <w:tr w:rsidR="00FB375D" w:rsidRPr="00706B0E" w14:paraId="75E28965" w14:textId="77777777" w:rsidTr="00B13457">
        <w:trPr>
          <w:trHeight w:val="270"/>
          <w:jc w:val="center"/>
        </w:trPr>
        <w:tc>
          <w:tcPr>
            <w:tcW w:w="4001" w:type="dxa"/>
            <w:tcMar>
              <w:top w:w="0" w:type="dxa"/>
              <w:left w:w="28" w:type="dxa"/>
              <w:bottom w:w="0" w:type="dxa"/>
              <w:right w:w="28" w:type="dxa"/>
            </w:tcMar>
            <w:hideMark/>
          </w:tcPr>
          <w:p w14:paraId="0684B481"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fulfillment of tax liability</w:t>
            </w:r>
          </w:p>
        </w:tc>
        <w:tc>
          <w:tcPr>
            <w:tcW w:w="888" w:type="dxa"/>
            <w:tcMar>
              <w:top w:w="0" w:type="dxa"/>
              <w:left w:w="28" w:type="dxa"/>
              <w:bottom w:w="0" w:type="dxa"/>
              <w:right w:w="28" w:type="dxa"/>
            </w:tcMar>
            <w:vAlign w:val="bottom"/>
          </w:tcPr>
          <w:p w14:paraId="2C0D63F3"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70</w:t>
            </w:r>
          </w:p>
        </w:tc>
        <w:tc>
          <w:tcPr>
            <w:tcW w:w="222" w:type="dxa"/>
            <w:tcMar>
              <w:top w:w="0" w:type="dxa"/>
              <w:left w:w="28" w:type="dxa"/>
              <w:bottom w:w="0" w:type="dxa"/>
              <w:right w:w="28" w:type="dxa"/>
            </w:tcMar>
          </w:tcPr>
          <w:p w14:paraId="18C025C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1E75846E"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transfer price (transfer cost)</w:t>
            </w:r>
          </w:p>
        </w:tc>
        <w:tc>
          <w:tcPr>
            <w:tcW w:w="969" w:type="dxa"/>
            <w:tcMar>
              <w:top w:w="0" w:type="dxa"/>
              <w:left w:w="28" w:type="dxa"/>
              <w:bottom w:w="0" w:type="dxa"/>
              <w:right w:w="28" w:type="dxa"/>
            </w:tcMar>
            <w:vAlign w:val="bottom"/>
          </w:tcPr>
          <w:p w14:paraId="1D663A98"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209</w:t>
            </w:r>
          </w:p>
        </w:tc>
      </w:tr>
      <w:tr w:rsidR="00FB375D" w:rsidRPr="00706B0E" w14:paraId="0A2C5ED6" w14:textId="77777777" w:rsidTr="00B13457">
        <w:trPr>
          <w:trHeight w:val="530"/>
          <w:jc w:val="center"/>
        </w:trPr>
        <w:tc>
          <w:tcPr>
            <w:tcW w:w="4001" w:type="dxa"/>
            <w:shd w:val="clear" w:color="auto" w:fill="BFBFBF"/>
            <w:tcMar>
              <w:top w:w="0" w:type="dxa"/>
              <w:left w:w="28" w:type="dxa"/>
              <w:bottom w:w="0" w:type="dxa"/>
              <w:right w:w="28" w:type="dxa"/>
            </w:tcMar>
            <w:hideMark/>
          </w:tcPr>
          <w:p w14:paraId="0EBDE008"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eastAsia="Helvetica" w:hAnsi="Garamond" w:cs="Helvetica"/>
                <w:b/>
                <w:bCs/>
                <w:sz w:val="28"/>
                <w:szCs w:val="28"/>
              </w:rPr>
              <w:t>H</w:t>
            </w:r>
          </w:p>
        </w:tc>
        <w:tc>
          <w:tcPr>
            <w:tcW w:w="888" w:type="dxa"/>
            <w:shd w:val="clear" w:color="auto" w:fill="BFBFBF"/>
            <w:tcMar>
              <w:top w:w="0" w:type="dxa"/>
              <w:left w:w="28" w:type="dxa"/>
              <w:bottom w:w="0" w:type="dxa"/>
              <w:right w:w="28" w:type="dxa"/>
            </w:tcMar>
            <w:vAlign w:val="bottom"/>
          </w:tcPr>
          <w:p w14:paraId="25483B72" w14:textId="77777777" w:rsidR="00FB375D" w:rsidRPr="003D2007" w:rsidRDefault="00FB375D" w:rsidP="004A3400">
            <w:pPr>
              <w:spacing w:line="312" w:lineRule="auto"/>
              <w:ind w:firstLine="709"/>
              <w:rPr>
                <w:rFonts w:ascii="Garamond" w:eastAsia="Calibri" w:hAnsi="Garamond" w:cs="Calibri"/>
                <w:b/>
                <w:sz w:val="28"/>
                <w:szCs w:val="28"/>
                <w:u w:color="000000"/>
                <w:lang w:val="en-US" w:eastAsia="en-US"/>
              </w:rPr>
            </w:pPr>
          </w:p>
        </w:tc>
        <w:tc>
          <w:tcPr>
            <w:tcW w:w="222" w:type="dxa"/>
            <w:tcMar>
              <w:top w:w="0" w:type="dxa"/>
              <w:left w:w="28" w:type="dxa"/>
              <w:bottom w:w="0" w:type="dxa"/>
              <w:right w:w="28" w:type="dxa"/>
            </w:tcMar>
          </w:tcPr>
          <w:p w14:paraId="5F1D4227"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007FC5C9"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transnational/multinational corporation (TNC/MNC)</w:t>
            </w:r>
          </w:p>
        </w:tc>
        <w:tc>
          <w:tcPr>
            <w:tcW w:w="969" w:type="dxa"/>
            <w:tcMar>
              <w:top w:w="0" w:type="dxa"/>
              <w:left w:w="28" w:type="dxa"/>
              <w:bottom w:w="0" w:type="dxa"/>
              <w:right w:w="28" w:type="dxa"/>
            </w:tcMar>
            <w:vAlign w:val="bottom"/>
          </w:tcPr>
          <w:p w14:paraId="40D36DE9"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209</w:t>
            </w:r>
          </w:p>
        </w:tc>
      </w:tr>
      <w:tr w:rsidR="00FB375D" w:rsidRPr="00706B0E" w14:paraId="078EE11F" w14:textId="77777777" w:rsidTr="00B13457">
        <w:trPr>
          <w:trHeight w:val="270"/>
          <w:jc w:val="center"/>
        </w:trPr>
        <w:tc>
          <w:tcPr>
            <w:tcW w:w="4001" w:type="dxa"/>
            <w:tcMar>
              <w:top w:w="0" w:type="dxa"/>
              <w:left w:w="28" w:type="dxa"/>
              <w:bottom w:w="0" w:type="dxa"/>
              <w:right w:w="28" w:type="dxa"/>
            </w:tcMar>
            <w:hideMark/>
          </w:tcPr>
          <w:p w14:paraId="633EF8DA"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head of household</w:t>
            </w:r>
          </w:p>
        </w:tc>
        <w:tc>
          <w:tcPr>
            <w:tcW w:w="888" w:type="dxa"/>
            <w:tcMar>
              <w:top w:w="0" w:type="dxa"/>
              <w:left w:w="28" w:type="dxa"/>
              <w:bottom w:w="0" w:type="dxa"/>
              <w:right w:w="28" w:type="dxa"/>
            </w:tcMar>
            <w:vAlign w:val="bottom"/>
          </w:tcPr>
          <w:p w14:paraId="01DDBD7B"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106</w:t>
            </w:r>
          </w:p>
        </w:tc>
        <w:tc>
          <w:tcPr>
            <w:tcW w:w="222" w:type="dxa"/>
            <w:tcMar>
              <w:top w:w="0" w:type="dxa"/>
              <w:left w:w="28" w:type="dxa"/>
              <w:bottom w:w="0" w:type="dxa"/>
              <w:right w:w="28" w:type="dxa"/>
            </w:tcMar>
          </w:tcPr>
          <w:p w14:paraId="32BADBF2"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4594989A"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treasury bills</w:t>
            </w:r>
          </w:p>
        </w:tc>
        <w:tc>
          <w:tcPr>
            <w:tcW w:w="969" w:type="dxa"/>
            <w:tcMar>
              <w:top w:w="0" w:type="dxa"/>
              <w:left w:w="28" w:type="dxa"/>
              <w:bottom w:w="0" w:type="dxa"/>
              <w:right w:w="28" w:type="dxa"/>
            </w:tcMar>
            <w:vAlign w:val="bottom"/>
          </w:tcPr>
          <w:p w14:paraId="70AF1393"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173</w:t>
            </w:r>
          </w:p>
        </w:tc>
      </w:tr>
      <w:tr w:rsidR="00FB375D" w:rsidRPr="00706B0E" w14:paraId="42FC6C7D" w14:textId="77777777" w:rsidTr="00B13457">
        <w:trPr>
          <w:trHeight w:val="270"/>
          <w:jc w:val="center"/>
        </w:trPr>
        <w:tc>
          <w:tcPr>
            <w:tcW w:w="4001" w:type="dxa"/>
            <w:tcMar>
              <w:top w:w="0" w:type="dxa"/>
              <w:left w:w="28" w:type="dxa"/>
              <w:bottom w:w="0" w:type="dxa"/>
              <w:right w:w="28" w:type="dxa"/>
            </w:tcMar>
            <w:hideMark/>
          </w:tcPr>
          <w:p w14:paraId="0F5F1956"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household economy</w:t>
            </w:r>
          </w:p>
        </w:tc>
        <w:tc>
          <w:tcPr>
            <w:tcW w:w="888" w:type="dxa"/>
            <w:tcMar>
              <w:top w:w="0" w:type="dxa"/>
              <w:left w:w="28" w:type="dxa"/>
              <w:bottom w:w="0" w:type="dxa"/>
              <w:right w:w="28" w:type="dxa"/>
            </w:tcMar>
            <w:vAlign w:val="bottom"/>
          </w:tcPr>
          <w:p w14:paraId="4E5BBF20"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105</w:t>
            </w:r>
          </w:p>
        </w:tc>
        <w:tc>
          <w:tcPr>
            <w:tcW w:w="222" w:type="dxa"/>
            <w:tcMar>
              <w:top w:w="0" w:type="dxa"/>
              <w:left w:w="28" w:type="dxa"/>
              <w:bottom w:w="0" w:type="dxa"/>
              <w:right w:w="28" w:type="dxa"/>
            </w:tcMar>
          </w:tcPr>
          <w:p w14:paraId="30C00205"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511A5A06"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U</w:t>
            </w:r>
          </w:p>
        </w:tc>
        <w:tc>
          <w:tcPr>
            <w:tcW w:w="969" w:type="dxa"/>
            <w:shd w:val="clear" w:color="auto" w:fill="BFBFBF"/>
            <w:tcMar>
              <w:top w:w="0" w:type="dxa"/>
              <w:left w:w="28" w:type="dxa"/>
              <w:bottom w:w="0" w:type="dxa"/>
              <w:right w:w="28" w:type="dxa"/>
            </w:tcMar>
            <w:vAlign w:val="bottom"/>
          </w:tcPr>
          <w:p w14:paraId="7AFC7AB5" w14:textId="77777777" w:rsidR="00FB375D" w:rsidRPr="0071403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2A6F6DE6" w14:textId="77777777" w:rsidTr="00B13457">
        <w:trPr>
          <w:trHeight w:val="530"/>
          <w:jc w:val="center"/>
        </w:trPr>
        <w:tc>
          <w:tcPr>
            <w:tcW w:w="4001" w:type="dxa"/>
            <w:tcMar>
              <w:top w:w="0" w:type="dxa"/>
              <w:left w:w="28" w:type="dxa"/>
              <w:bottom w:w="0" w:type="dxa"/>
              <w:right w:w="28" w:type="dxa"/>
            </w:tcMar>
            <w:hideMark/>
          </w:tcPr>
          <w:p w14:paraId="68DABF1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household final consumption expenditure (HFCE)</w:t>
            </w:r>
          </w:p>
        </w:tc>
        <w:tc>
          <w:tcPr>
            <w:tcW w:w="888" w:type="dxa"/>
            <w:tcMar>
              <w:top w:w="0" w:type="dxa"/>
              <w:left w:w="28" w:type="dxa"/>
              <w:bottom w:w="0" w:type="dxa"/>
              <w:right w:w="28" w:type="dxa"/>
            </w:tcMar>
            <w:vAlign w:val="bottom"/>
          </w:tcPr>
          <w:p w14:paraId="2AE2B538"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105</w:t>
            </w:r>
          </w:p>
        </w:tc>
        <w:tc>
          <w:tcPr>
            <w:tcW w:w="222" w:type="dxa"/>
            <w:tcMar>
              <w:top w:w="0" w:type="dxa"/>
              <w:left w:w="28" w:type="dxa"/>
              <w:bottom w:w="0" w:type="dxa"/>
              <w:right w:w="28" w:type="dxa"/>
            </w:tcMar>
          </w:tcPr>
          <w:p w14:paraId="564EFE95"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F8980C8" w14:textId="77777777" w:rsidR="00FB375D" w:rsidRPr="00706B0E" w:rsidRDefault="00FB375D" w:rsidP="004A34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rPr>
                <w:rFonts w:ascii="Garamond" w:eastAsia="Helvetica" w:hAnsi="Garamond" w:cs="Helvetica"/>
                <w:sz w:val="28"/>
                <w:szCs w:val="28"/>
              </w:rPr>
            </w:pPr>
            <w:r w:rsidRPr="00706B0E">
              <w:rPr>
                <w:rFonts w:ascii="Garamond" w:hAnsi="Garamond" w:cs="Calibri"/>
                <w:sz w:val="28"/>
                <w:szCs w:val="28"/>
              </w:rPr>
              <w:t xml:space="preserve">UK correction </w:t>
            </w:r>
          </w:p>
        </w:tc>
        <w:tc>
          <w:tcPr>
            <w:tcW w:w="969" w:type="dxa"/>
            <w:tcMar>
              <w:top w:w="0" w:type="dxa"/>
              <w:left w:w="28" w:type="dxa"/>
              <w:bottom w:w="0" w:type="dxa"/>
              <w:right w:w="28" w:type="dxa"/>
            </w:tcMar>
          </w:tcPr>
          <w:p w14:paraId="491E4CA7"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229</w:t>
            </w:r>
          </w:p>
        </w:tc>
      </w:tr>
      <w:tr w:rsidR="00FB375D" w:rsidRPr="00706B0E" w14:paraId="6C9B72D2" w14:textId="77777777" w:rsidTr="00B13457">
        <w:trPr>
          <w:trHeight w:val="270"/>
          <w:jc w:val="center"/>
        </w:trPr>
        <w:tc>
          <w:tcPr>
            <w:tcW w:w="4001" w:type="dxa"/>
            <w:tcMar>
              <w:top w:w="0" w:type="dxa"/>
              <w:left w:w="28" w:type="dxa"/>
              <w:bottom w:w="0" w:type="dxa"/>
              <w:right w:w="28" w:type="dxa"/>
            </w:tcMar>
            <w:hideMark/>
          </w:tcPr>
          <w:p w14:paraId="0FD7D21F"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household goods</w:t>
            </w:r>
          </w:p>
        </w:tc>
        <w:tc>
          <w:tcPr>
            <w:tcW w:w="888" w:type="dxa"/>
            <w:tcMar>
              <w:top w:w="0" w:type="dxa"/>
              <w:left w:w="28" w:type="dxa"/>
              <w:bottom w:w="0" w:type="dxa"/>
              <w:right w:w="28" w:type="dxa"/>
            </w:tcMar>
            <w:vAlign w:val="bottom"/>
          </w:tcPr>
          <w:p w14:paraId="65A4A043"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106</w:t>
            </w:r>
          </w:p>
        </w:tc>
        <w:tc>
          <w:tcPr>
            <w:tcW w:w="222" w:type="dxa"/>
            <w:tcMar>
              <w:top w:w="0" w:type="dxa"/>
              <w:left w:w="28" w:type="dxa"/>
              <w:bottom w:w="0" w:type="dxa"/>
              <w:right w:w="28" w:type="dxa"/>
            </w:tcMar>
          </w:tcPr>
          <w:p w14:paraId="77A52299"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152D35E1"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underwriting</w:t>
            </w:r>
          </w:p>
        </w:tc>
        <w:tc>
          <w:tcPr>
            <w:tcW w:w="969" w:type="dxa"/>
            <w:tcMar>
              <w:top w:w="0" w:type="dxa"/>
              <w:left w:w="28" w:type="dxa"/>
              <w:bottom w:w="0" w:type="dxa"/>
              <w:right w:w="28" w:type="dxa"/>
            </w:tcMar>
            <w:vAlign w:val="bottom"/>
          </w:tcPr>
          <w:p w14:paraId="0278BA9B"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193</w:t>
            </w:r>
          </w:p>
        </w:tc>
      </w:tr>
      <w:tr w:rsidR="00FB375D" w:rsidRPr="00706B0E" w14:paraId="74221E4E" w14:textId="77777777" w:rsidTr="00B13457">
        <w:trPr>
          <w:trHeight w:val="270"/>
          <w:jc w:val="center"/>
        </w:trPr>
        <w:tc>
          <w:tcPr>
            <w:tcW w:w="4001" w:type="dxa"/>
            <w:tcMar>
              <w:top w:w="0" w:type="dxa"/>
              <w:left w:w="28" w:type="dxa"/>
              <w:bottom w:w="0" w:type="dxa"/>
              <w:right w:w="28" w:type="dxa"/>
            </w:tcMar>
            <w:hideMark/>
          </w:tcPr>
          <w:p w14:paraId="2290CA1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household living arrangement</w:t>
            </w:r>
          </w:p>
        </w:tc>
        <w:tc>
          <w:tcPr>
            <w:tcW w:w="888" w:type="dxa"/>
            <w:tcMar>
              <w:top w:w="0" w:type="dxa"/>
              <w:left w:w="28" w:type="dxa"/>
              <w:bottom w:w="0" w:type="dxa"/>
              <w:right w:w="28" w:type="dxa"/>
            </w:tcMar>
            <w:vAlign w:val="bottom"/>
          </w:tcPr>
          <w:p w14:paraId="27A4CE9C"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106</w:t>
            </w:r>
          </w:p>
        </w:tc>
        <w:tc>
          <w:tcPr>
            <w:tcW w:w="222" w:type="dxa"/>
            <w:tcMar>
              <w:top w:w="0" w:type="dxa"/>
              <w:left w:w="28" w:type="dxa"/>
              <w:bottom w:w="0" w:type="dxa"/>
              <w:right w:w="28" w:type="dxa"/>
            </w:tcMar>
          </w:tcPr>
          <w:p w14:paraId="789707BE"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510F264"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unpaid capital</w:t>
            </w:r>
          </w:p>
        </w:tc>
        <w:tc>
          <w:tcPr>
            <w:tcW w:w="969" w:type="dxa"/>
            <w:tcMar>
              <w:top w:w="0" w:type="dxa"/>
              <w:left w:w="28" w:type="dxa"/>
              <w:bottom w:w="0" w:type="dxa"/>
              <w:right w:w="28" w:type="dxa"/>
            </w:tcMar>
            <w:vAlign w:val="bottom"/>
          </w:tcPr>
          <w:p w14:paraId="062FD59A"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123</w:t>
            </w:r>
          </w:p>
        </w:tc>
      </w:tr>
      <w:tr w:rsidR="00FB375D" w:rsidRPr="00706B0E" w14:paraId="72CF1D2E" w14:textId="77777777" w:rsidTr="00B13457">
        <w:trPr>
          <w:trHeight w:val="270"/>
          <w:jc w:val="center"/>
        </w:trPr>
        <w:tc>
          <w:tcPr>
            <w:tcW w:w="4001" w:type="dxa"/>
            <w:tcMar>
              <w:top w:w="0" w:type="dxa"/>
              <w:left w:w="28" w:type="dxa"/>
              <w:bottom w:w="0" w:type="dxa"/>
              <w:right w:w="28" w:type="dxa"/>
            </w:tcMar>
            <w:hideMark/>
          </w:tcPr>
          <w:p w14:paraId="5BF17A5D"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household production</w:t>
            </w:r>
          </w:p>
        </w:tc>
        <w:tc>
          <w:tcPr>
            <w:tcW w:w="888" w:type="dxa"/>
            <w:tcMar>
              <w:top w:w="0" w:type="dxa"/>
              <w:left w:w="28" w:type="dxa"/>
              <w:bottom w:w="0" w:type="dxa"/>
              <w:right w:w="28" w:type="dxa"/>
            </w:tcMar>
            <w:vAlign w:val="bottom"/>
          </w:tcPr>
          <w:p w14:paraId="59F02E81"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105</w:t>
            </w:r>
          </w:p>
        </w:tc>
        <w:tc>
          <w:tcPr>
            <w:tcW w:w="222" w:type="dxa"/>
            <w:tcMar>
              <w:top w:w="0" w:type="dxa"/>
              <w:left w:w="28" w:type="dxa"/>
              <w:bottom w:w="0" w:type="dxa"/>
              <w:right w:w="28" w:type="dxa"/>
            </w:tcMar>
          </w:tcPr>
          <w:p w14:paraId="6E34FA3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016F99F3"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W</w:t>
            </w:r>
          </w:p>
        </w:tc>
        <w:tc>
          <w:tcPr>
            <w:tcW w:w="969" w:type="dxa"/>
            <w:shd w:val="clear" w:color="auto" w:fill="BFBFBF"/>
            <w:tcMar>
              <w:top w:w="0" w:type="dxa"/>
              <w:left w:w="28" w:type="dxa"/>
              <w:bottom w:w="0" w:type="dxa"/>
              <w:right w:w="28" w:type="dxa"/>
            </w:tcMar>
            <w:vAlign w:val="bottom"/>
          </w:tcPr>
          <w:p w14:paraId="3171B8E6" w14:textId="77777777" w:rsidR="00FB375D" w:rsidRPr="0071403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38F37C63" w14:textId="77777777" w:rsidTr="00B13457">
        <w:trPr>
          <w:trHeight w:val="270"/>
          <w:jc w:val="center"/>
        </w:trPr>
        <w:tc>
          <w:tcPr>
            <w:tcW w:w="4001" w:type="dxa"/>
            <w:tcMar>
              <w:top w:w="0" w:type="dxa"/>
              <w:left w:w="28" w:type="dxa"/>
              <w:bottom w:w="0" w:type="dxa"/>
              <w:right w:w="28" w:type="dxa"/>
            </w:tcMar>
            <w:hideMark/>
          </w:tcPr>
          <w:p w14:paraId="0E9F59F3"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hAnsi="Garamond" w:cs="Arial Unicode MS"/>
                <w:sz w:val="28"/>
                <w:szCs w:val="28"/>
                <w:u w:color="000000"/>
                <w:lang w:val="nl-NL"/>
              </w:rPr>
            </w:pPr>
            <w:r w:rsidRPr="00706B0E">
              <w:rPr>
                <w:rFonts w:ascii="Garamond" w:hAnsi="Garamond" w:cs="Arial Unicode MS"/>
                <w:sz w:val="28"/>
                <w:szCs w:val="28"/>
                <w:u w:color="000000"/>
                <w:shd w:val="clear" w:color="auto" w:fill="FFFFFF"/>
                <w:lang w:val="en-US"/>
              </w:rPr>
              <w:t>household size</w:t>
            </w:r>
          </w:p>
        </w:tc>
        <w:tc>
          <w:tcPr>
            <w:tcW w:w="888" w:type="dxa"/>
            <w:tcMar>
              <w:top w:w="0" w:type="dxa"/>
              <w:left w:w="28" w:type="dxa"/>
              <w:bottom w:w="0" w:type="dxa"/>
              <w:right w:w="28" w:type="dxa"/>
            </w:tcMar>
            <w:vAlign w:val="bottom"/>
          </w:tcPr>
          <w:p w14:paraId="124A6E1C"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106</w:t>
            </w:r>
          </w:p>
        </w:tc>
        <w:tc>
          <w:tcPr>
            <w:tcW w:w="222" w:type="dxa"/>
            <w:tcMar>
              <w:top w:w="0" w:type="dxa"/>
              <w:left w:w="28" w:type="dxa"/>
              <w:bottom w:w="0" w:type="dxa"/>
              <w:right w:w="28" w:type="dxa"/>
            </w:tcMar>
          </w:tcPr>
          <w:p w14:paraId="4C6EEFCE"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56F27E30"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World Bank</w:t>
            </w:r>
          </w:p>
        </w:tc>
        <w:tc>
          <w:tcPr>
            <w:tcW w:w="969" w:type="dxa"/>
            <w:tcMar>
              <w:top w:w="0" w:type="dxa"/>
              <w:left w:w="28" w:type="dxa"/>
              <w:bottom w:w="0" w:type="dxa"/>
              <w:right w:w="28" w:type="dxa"/>
            </w:tcMar>
            <w:vAlign w:val="bottom"/>
          </w:tcPr>
          <w:p w14:paraId="2FDFD4CD"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208</w:t>
            </w:r>
          </w:p>
        </w:tc>
      </w:tr>
      <w:tr w:rsidR="00FB375D" w:rsidRPr="00706B0E" w14:paraId="268E50D2" w14:textId="77777777" w:rsidTr="00CE389C">
        <w:trPr>
          <w:trHeight w:val="270"/>
          <w:jc w:val="center"/>
        </w:trPr>
        <w:tc>
          <w:tcPr>
            <w:tcW w:w="4001" w:type="dxa"/>
            <w:shd w:val="clear" w:color="auto" w:fill="BFBFBF"/>
            <w:tcMar>
              <w:top w:w="0" w:type="dxa"/>
              <w:left w:w="28" w:type="dxa"/>
              <w:bottom w:w="0" w:type="dxa"/>
              <w:right w:w="28" w:type="dxa"/>
            </w:tcMar>
            <w:hideMark/>
          </w:tcPr>
          <w:p w14:paraId="6FF7B97A"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eastAsia="Helvetica" w:hAnsi="Garamond" w:cs="Helvetica"/>
                <w:b/>
                <w:bCs/>
                <w:sz w:val="28"/>
                <w:szCs w:val="28"/>
              </w:rPr>
              <w:t>I</w:t>
            </w:r>
          </w:p>
        </w:tc>
        <w:tc>
          <w:tcPr>
            <w:tcW w:w="888" w:type="dxa"/>
            <w:shd w:val="clear" w:color="auto" w:fill="BFBFBF"/>
            <w:tcMar>
              <w:top w:w="0" w:type="dxa"/>
              <w:left w:w="28" w:type="dxa"/>
              <w:bottom w:w="0" w:type="dxa"/>
              <w:right w:w="28" w:type="dxa"/>
            </w:tcMar>
            <w:vAlign w:val="bottom"/>
          </w:tcPr>
          <w:p w14:paraId="0D938385" w14:textId="77777777" w:rsidR="00FB375D" w:rsidRPr="003D2007" w:rsidRDefault="00FB375D" w:rsidP="004A3400">
            <w:pPr>
              <w:spacing w:line="312" w:lineRule="auto"/>
              <w:ind w:firstLine="709"/>
              <w:rPr>
                <w:rFonts w:ascii="Garamond" w:eastAsia="Calibri" w:hAnsi="Garamond" w:cs="Calibri"/>
                <w:b/>
                <w:sz w:val="28"/>
                <w:szCs w:val="28"/>
                <w:u w:color="000000"/>
                <w:lang w:val="en-US" w:eastAsia="en-US"/>
              </w:rPr>
            </w:pPr>
          </w:p>
        </w:tc>
        <w:tc>
          <w:tcPr>
            <w:tcW w:w="222" w:type="dxa"/>
            <w:tcMar>
              <w:top w:w="0" w:type="dxa"/>
              <w:left w:w="28" w:type="dxa"/>
              <w:bottom w:w="0" w:type="dxa"/>
              <w:right w:w="28" w:type="dxa"/>
            </w:tcMar>
          </w:tcPr>
          <w:p w14:paraId="6F294514"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shd w:val="clear" w:color="auto" w:fill="BFBFBF"/>
            <w:tcMar>
              <w:top w:w="0" w:type="dxa"/>
              <w:left w:w="28" w:type="dxa"/>
              <w:bottom w:w="0" w:type="dxa"/>
              <w:right w:w="28" w:type="dxa"/>
            </w:tcMar>
            <w:hideMark/>
          </w:tcPr>
          <w:p w14:paraId="1D4C0036" w14:textId="77777777" w:rsidR="00FB375D" w:rsidRPr="00706B0E" w:rsidRDefault="00FB375D" w:rsidP="004A3400">
            <w:pPr>
              <w:spacing w:line="312" w:lineRule="auto"/>
              <w:rPr>
                <w:rFonts w:ascii="Garamond" w:eastAsia="Helvetica" w:hAnsi="Garamond" w:cs="Helvetica"/>
                <w:sz w:val="28"/>
                <w:szCs w:val="28"/>
              </w:rPr>
            </w:pPr>
            <w:r w:rsidRPr="00706B0E">
              <w:rPr>
                <w:rFonts w:ascii="Garamond" w:hAnsi="Garamond" w:cs="Calibri"/>
                <w:b/>
                <w:bCs/>
                <w:sz w:val="28"/>
                <w:szCs w:val="28"/>
              </w:rPr>
              <w:t>Y</w:t>
            </w:r>
          </w:p>
        </w:tc>
        <w:tc>
          <w:tcPr>
            <w:tcW w:w="969" w:type="dxa"/>
            <w:shd w:val="clear" w:color="auto" w:fill="BFBFBF"/>
            <w:tcMar>
              <w:top w:w="0" w:type="dxa"/>
              <w:left w:w="28" w:type="dxa"/>
              <w:bottom w:w="0" w:type="dxa"/>
              <w:right w:w="28" w:type="dxa"/>
            </w:tcMar>
            <w:vAlign w:val="bottom"/>
          </w:tcPr>
          <w:p w14:paraId="07B0D955" w14:textId="77777777" w:rsidR="00FB375D" w:rsidRPr="00714037" w:rsidRDefault="00FB375D" w:rsidP="004A3400">
            <w:pPr>
              <w:spacing w:line="312" w:lineRule="auto"/>
              <w:ind w:firstLine="709"/>
              <w:rPr>
                <w:rFonts w:ascii="Garamond" w:eastAsia="Calibri" w:hAnsi="Garamond" w:cs="Calibri"/>
                <w:b/>
                <w:sz w:val="28"/>
                <w:szCs w:val="28"/>
                <w:u w:color="000000"/>
                <w:lang w:val="en-US" w:eastAsia="en-US"/>
              </w:rPr>
            </w:pPr>
          </w:p>
        </w:tc>
      </w:tr>
      <w:tr w:rsidR="00FB375D" w:rsidRPr="00706B0E" w14:paraId="23BF95C4" w14:textId="77777777" w:rsidTr="00B13457">
        <w:trPr>
          <w:trHeight w:val="270"/>
          <w:jc w:val="center"/>
        </w:trPr>
        <w:tc>
          <w:tcPr>
            <w:tcW w:w="4001" w:type="dxa"/>
            <w:tcMar>
              <w:top w:w="0" w:type="dxa"/>
              <w:left w:w="28" w:type="dxa"/>
              <w:bottom w:w="0" w:type="dxa"/>
              <w:right w:w="28" w:type="dxa"/>
            </w:tcMar>
            <w:hideMark/>
          </w:tcPr>
          <w:p w14:paraId="3CBF51F2"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 w:val="left" w:pos="11880"/>
                <w:tab w:val="left" w:pos="12240"/>
                <w:tab w:val="left" w:pos="12600"/>
                <w:tab w:val="left" w:pos="12960"/>
                <w:tab w:val="left" w:pos="13320"/>
                <w:tab w:val="left" w:pos="13680"/>
                <w:tab w:val="left" w:pos="14040"/>
                <w:tab w:val="left" w:pos="1440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import</w:t>
            </w:r>
          </w:p>
        </w:tc>
        <w:tc>
          <w:tcPr>
            <w:tcW w:w="888" w:type="dxa"/>
            <w:tcMar>
              <w:top w:w="0" w:type="dxa"/>
              <w:left w:w="28" w:type="dxa"/>
              <w:bottom w:w="0" w:type="dxa"/>
              <w:right w:w="28" w:type="dxa"/>
            </w:tcMar>
            <w:vAlign w:val="bottom"/>
          </w:tcPr>
          <w:p w14:paraId="12B77999"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209</w:t>
            </w:r>
          </w:p>
        </w:tc>
        <w:tc>
          <w:tcPr>
            <w:tcW w:w="222" w:type="dxa"/>
            <w:tcMar>
              <w:top w:w="0" w:type="dxa"/>
              <w:left w:w="28" w:type="dxa"/>
              <w:bottom w:w="0" w:type="dxa"/>
              <w:right w:w="28" w:type="dxa"/>
            </w:tcMar>
          </w:tcPr>
          <w:p w14:paraId="23C09D67"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hideMark/>
          </w:tcPr>
          <w:p w14:paraId="2F634273" w14:textId="77777777" w:rsidR="00FB375D" w:rsidRPr="00706B0E" w:rsidRDefault="00FB375D" w:rsidP="004A340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spacing w:line="312" w:lineRule="auto"/>
              <w:rPr>
                <w:rFonts w:ascii="Garamond" w:eastAsia="Calibri" w:hAnsi="Garamond" w:cs="Calibri"/>
                <w:sz w:val="28"/>
                <w:szCs w:val="28"/>
                <w:u w:color="000000"/>
                <w:lang w:val="en-US" w:eastAsia="en-US"/>
              </w:rPr>
            </w:pPr>
            <w:r w:rsidRPr="00706B0E">
              <w:rPr>
                <w:rFonts w:ascii="Garamond" w:eastAsia="Calibri" w:hAnsi="Garamond" w:cs="Calibri"/>
                <w:sz w:val="28"/>
                <w:szCs w:val="28"/>
                <w:u w:color="000000"/>
                <w:lang w:val="en-US" w:eastAsia="en-US"/>
              </w:rPr>
              <w:t>yield</w:t>
            </w:r>
          </w:p>
        </w:tc>
        <w:tc>
          <w:tcPr>
            <w:tcW w:w="969" w:type="dxa"/>
            <w:tcMar>
              <w:top w:w="0" w:type="dxa"/>
              <w:left w:w="28" w:type="dxa"/>
              <w:bottom w:w="0" w:type="dxa"/>
              <w:right w:w="28" w:type="dxa"/>
            </w:tcMar>
            <w:vAlign w:val="bottom"/>
          </w:tcPr>
          <w:p w14:paraId="0DF8FAF1" w14:textId="77777777" w:rsidR="00FB375D" w:rsidRPr="00714037" w:rsidRDefault="003D2007" w:rsidP="004A3400">
            <w:pPr>
              <w:spacing w:line="312" w:lineRule="auto"/>
              <w:jc w:val="center"/>
              <w:rPr>
                <w:rFonts w:ascii="Garamond" w:eastAsia="Helvetica" w:hAnsi="Garamond" w:cs="Helvetica"/>
                <w:b/>
                <w:sz w:val="28"/>
                <w:szCs w:val="28"/>
                <w:lang w:val="en-US"/>
              </w:rPr>
            </w:pPr>
            <w:r w:rsidRPr="00714037">
              <w:rPr>
                <w:rFonts w:ascii="Garamond" w:eastAsia="Helvetica" w:hAnsi="Garamond" w:cs="Helvetica"/>
                <w:b/>
                <w:sz w:val="28"/>
                <w:szCs w:val="28"/>
                <w:lang w:val="en-US"/>
              </w:rPr>
              <w:t>151</w:t>
            </w:r>
          </w:p>
        </w:tc>
      </w:tr>
      <w:tr w:rsidR="00FB375D" w:rsidRPr="00706B0E" w14:paraId="0B49C898" w14:textId="77777777" w:rsidTr="00B13457">
        <w:trPr>
          <w:trHeight w:val="270"/>
          <w:jc w:val="center"/>
        </w:trPr>
        <w:tc>
          <w:tcPr>
            <w:tcW w:w="4001" w:type="dxa"/>
            <w:tcMar>
              <w:top w:w="0" w:type="dxa"/>
              <w:left w:w="28" w:type="dxa"/>
              <w:bottom w:w="0" w:type="dxa"/>
              <w:right w:w="28" w:type="dxa"/>
            </w:tcMar>
            <w:hideMark/>
          </w:tcPr>
          <w:p w14:paraId="07E14C1C" w14:textId="77777777" w:rsidR="00FB375D" w:rsidRPr="00706B0E" w:rsidRDefault="00FB375D" w:rsidP="004A3400">
            <w:pPr>
              <w:spacing w:line="312" w:lineRule="auto"/>
              <w:rPr>
                <w:rFonts w:ascii="Garamond" w:hAnsi="Garamond" w:cs="Arial Unicode MS"/>
                <w:sz w:val="28"/>
                <w:szCs w:val="28"/>
                <w:lang w:val="en-US"/>
              </w:rPr>
            </w:pPr>
            <w:r w:rsidRPr="00706B0E">
              <w:rPr>
                <w:rFonts w:ascii="Garamond" w:hAnsi="Garamond" w:cs="Calibri"/>
                <w:sz w:val="28"/>
                <w:szCs w:val="28"/>
                <w:lang w:val="en-US"/>
              </w:rPr>
              <w:t>insurance (assurance)</w:t>
            </w:r>
          </w:p>
        </w:tc>
        <w:tc>
          <w:tcPr>
            <w:tcW w:w="888" w:type="dxa"/>
            <w:tcMar>
              <w:top w:w="0" w:type="dxa"/>
              <w:left w:w="28" w:type="dxa"/>
              <w:bottom w:w="0" w:type="dxa"/>
              <w:right w:w="28" w:type="dxa"/>
            </w:tcMar>
            <w:vAlign w:val="bottom"/>
          </w:tcPr>
          <w:p w14:paraId="693181B8" w14:textId="77777777" w:rsidR="00FB375D" w:rsidRPr="003D2007" w:rsidRDefault="003D2007" w:rsidP="004A3400">
            <w:pPr>
              <w:spacing w:line="312" w:lineRule="auto"/>
              <w:jc w:val="center"/>
              <w:rPr>
                <w:rFonts w:ascii="Garamond" w:eastAsia="Helvetica" w:hAnsi="Garamond" w:cs="Helvetica"/>
                <w:b/>
                <w:sz w:val="28"/>
                <w:szCs w:val="28"/>
                <w:lang w:val="en-US"/>
              </w:rPr>
            </w:pPr>
            <w:r w:rsidRPr="003D2007">
              <w:rPr>
                <w:rFonts w:ascii="Garamond" w:eastAsia="Helvetica" w:hAnsi="Garamond" w:cs="Helvetica"/>
                <w:b/>
                <w:sz w:val="28"/>
                <w:szCs w:val="28"/>
                <w:lang w:val="en-US"/>
              </w:rPr>
              <w:t>191</w:t>
            </w:r>
          </w:p>
        </w:tc>
        <w:tc>
          <w:tcPr>
            <w:tcW w:w="222" w:type="dxa"/>
            <w:tcMar>
              <w:top w:w="0" w:type="dxa"/>
              <w:left w:w="28" w:type="dxa"/>
              <w:bottom w:w="0" w:type="dxa"/>
              <w:right w:w="28" w:type="dxa"/>
            </w:tcMar>
          </w:tcPr>
          <w:p w14:paraId="2B4A6ED9"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3501" w:type="dxa"/>
            <w:tcMar>
              <w:top w:w="0" w:type="dxa"/>
              <w:left w:w="28" w:type="dxa"/>
              <w:bottom w:w="0" w:type="dxa"/>
              <w:right w:w="28" w:type="dxa"/>
            </w:tcMar>
          </w:tcPr>
          <w:p w14:paraId="618B5019"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c>
          <w:tcPr>
            <w:tcW w:w="969" w:type="dxa"/>
            <w:tcMar>
              <w:top w:w="0" w:type="dxa"/>
              <w:left w:w="28" w:type="dxa"/>
              <w:bottom w:w="0" w:type="dxa"/>
              <w:right w:w="28" w:type="dxa"/>
            </w:tcMar>
          </w:tcPr>
          <w:p w14:paraId="388CC40C" w14:textId="77777777" w:rsidR="00FB375D" w:rsidRPr="00706B0E" w:rsidRDefault="00FB375D" w:rsidP="004A3400">
            <w:pPr>
              <w:spacing w:line="312" w:lineRule="auto"/>
              <w:ind w:firstLine="709"/>
              <w:rPr>
                <w:rFonts w:ascii="Garamond" w:eastAsia="Calibri" w:hAnsi="Garamond" w:cs="Calibri"/>
                <w:sz w:val="28"/>
                <w:szCs w:val="28"/>
                <w:u w:color="000000"/>
                <w:lang w:val="en-US" w:eastAsia="en-US"/>
              </w:rPr>
            </w:pPr>
          </w:p>
        </w:tc>
      </w:tr>
    </w:tbl>
    <w:p w14:paraId="28A12698" w14:textId="77777777" w:rsidR="00FB375D" w:rsidRPr="00FB375D" w:rsidRDefault="00FB375D" w:rsidP="00FB375D">
      <w:pPr>
        <w:keepNext/>
        <w:keepLines/>
        <w:spacing w:before="240" w:after="240"/>
        <w:jc w:val="center"/>
        <w:outlineLvl w:val="0"/>
        <w:rPr>
          <w:rFonts w:eastAsia="Arial Unicode MS" w:hAnsi="Arial Unicode MS" w:cs="Arial Unicode MS"/>
          <w:b/>
          <w:bCs/>
          <w:caps/>
          <w:spacing w:val="20"/>
          <w:kern w:val="16"/>
          <w:u w:color="000000"/>
          <w:lang w:val="en-US"/>
        </w:rPr>
      </w:pPr>
    </w:p>
    <w:p w14:paraId="4952519C" w14:textId="77777777" w:rsidR="003C51B1" w:rsidRDefault="003C51B1" w:rsidP="003C51B1">
      <w:pPr>
        <w:pStyle w:val="a4"/>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7611B6F1" w14:textId="77777777" w:rsidR="003C51B1" w:rsidRDefault="003C51B1" w:rsidP="003C51B1">
      <w:pPr>
        <w:pStyle w:val="a4"/>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20A4439F" w14:textId="77777777" w:rsidR="003C51B1" w:rsidRDefault="003C51B1" w:rsidP="003C51B1">
      <w:pPr>
        <w:pStyle w:val="a4"/>
        <w:spacing w:line="240" w:lineRule="auto"/>
        <w:rPr>
          <w:rFonts w:ascii="Times New Roman" w:eastAsia="Times New Roman" w:hAnsi="Times New Roman" w:cs="Times New Roman"/>
          <w:sz w:val="24"/>
          <w:szCs w:val="24"/>
        </w:rPr>
      </w:pPr>
    </w:p>
    <w:p w14:paraId="58C2FF34" w14:textId="77777777" w:rsidR="003C51B1" w:rsidRDefault="003C51B1" w:rsidP="003C51B1">
      <w:pPr>
        <w:pStyle w:val="a4"/>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4BC562EE" w14:textId="77777777" w:rsidR="00BE42A0" w:rsidRPr="002819A0" w:rsidRDefault="002819A0" w:rsidP="002819A0">
      <w:pPr>
        <w:pStyle w:val="a4"/>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6E7113A8" w14:textId="77777777" w:rsidR="00BE42A0" w:rsidRPr="00BE42A0" w:rsidRDefault="00BE42A0" w:rsidP="00BE42A0">
      <w:pPr>
        <w:rPr>
          <w:lang w:val="en-US"/>
        </w:rPr>
      </w:pPr>
    </w:p>
    <w:p w14:paraId="030C1403" w14:textId="77777777" w:rsidR="00BE42A0" w:rsidRDefault="00BE42A0" w:rsidP="00BE42A0">
      <w:pPr>
        <w:rPr>
          <w:lang w:val="en-US"/>
        </w:rPr>
      </w:pPr>
    </w:p>
    <w:p w14:paraId="016873DC" w14:textId="77777777" w:rsidR="006E3F55" w:rsidRDefault="00BE42A0" w:rsidP="00BE42A0">
      <w:pPr>
        <w:tabs>
          <w:tab w:val="left" w:pos="5268"/>
        </w:tabs>
        <w:rPr>
          <w:lang w:val="en-US"/>
        </w:rPr>
      </w:pPr>
      <w:r>
        <w:rPr>
          <w:lang w:val="en-US"/>
        </w:rPr>
        <w:tab/>
      </w:r>
    </w:p>
    <w:p w14:paraId="1F317E51" w14:textId="77777777" w:rsidR="00BE42A0" w:rsidRDefault="00BE42A0" w:rsidP="00BE42A0">
      <w:pPr>
        <w:tabs>
          <w:tab w:val="left" w:pos="5268"/>
        </w:tabs>
        <w:rPr>
          <w:lang w:val="en-US"/>
        </w:rPr>
      </w:pPr>
    </w:p>
    <w:p w14:paraId="48C7A729" w14:textId="77777777" w:rsidR="00BE42A0" w:rsidRDefault="00BE42A0" w:rsidP="00BE42A0">
      <w:pPr>
        <w:tabs>
          <w:tab w:val="left" w:pos="5268"/>
        </w:tabs>
        <w:rPr>
          <w:lang w:val="en-US"/>
        </w:rPr>
      </w:pPr>
    </w:p>
    <w:p w14:paraId="2E64B067" w14:textId="77777777" w:rsidR="00BE42A0" w:rsidRDefault="00BE42A0" w:rsidP="00BE42A0">
      <w:pPr>
        <w:tabs>
          <w:tab w:val="left" w:pos="5268"/>
        </w:tabs>
        <w:rPr>
          <w:lang w:val="en-US"/>
        </w:rPr>
      </w:pPr>
    </w:p>
    <w:p w14:paraId="67D03775" w14:textId="77777777" w:rsidR="00BE42A0" w:rsidRDefault="00BE42A0" w:rsidP="00BE42A0">
      <w:pPr>
        <w:tabs>
          <w:tab w:val="left" w:pos="5268"/>
        </w:tabs>
        <w:rPr>
          <w:lang w:val="en-US"/>
        </w:rPr>
      </w:pPr>
    </w:p>
    <w:p w14:paraId="39EC6DC1" w14:textId="77777777" w:rsidR="00DA7DB5" w:rsidRDefault="00DA7DB5" w:rsidP="00BE42A0">
      <w:pPr>
        <w:tabs>
          <w:tab w:val="left" w:pos="5268"/>
        </w:tabs>
        <w:rPr>
          <w:lang w:val="en-US"/>
        </w:rPr>
      </w:pPr>
    </w:p>
    <w:p w14:paraId="3E3B4E52" w14:textId="77777777" w:rsidR="00DA7DB5" w:rsidRDefault="00DA7DB5" w:rsidP="00BE42A0">
      <w:pPr>
        <w:tabs>
          <w:tab w:val="left" w:pos="5268"/>
        </w:tabs>
        <w:rPr>
          <w:lang w:val="en-US"/>
        </w:rPr>
      </w:pPr>
    </w:p>
    <w:p w14:paraId="04386507" w14:textId="77777777" w:rsidR="00DA7DB5" w:rsidRDefault="00DA7DB5" w:rsidP="00BE42A0">
      <w:pPr>
        <w:tabs>
          <w:tab w:val="left" w:pos="5268"/>
        </w:tabs>
        <w:rPr>
          <w:lang w:val="en-US"/>
        </w:rPr>
      </w:pPr>
    </w:p>
    <w:p w14:paraId="02886ABB" w14:textId="77777777" w:rsidR="00DA7DB5" w:rsidRPr="00DA7DB5" w:rsidRDefault="00DA7DB5" w:rsidP="00DA7DB5">
      <w:pPr>
        <w:jc w:val="center"/>
        <w:rPr>
          <w:color w:val="auto"/>
          <w:sz w:val="28"/>
        </w:rPr>
      </w:pPr>
      <w:r w:rsidRPr="00DA7DB5">
        <w:rPr>
          <w:sz w:val="32"/>
          <w:szCs w:val="28"/>
        </w:rPr>
        <w:lastRenderedPageBreak/>
        <w:t>Навчальне видання</w:t>
      </w:r>
    </w:p>
    <w:p w14:paraId="4673295A" w14:textId="77777777" w:rsidR="00DA7DB5" w:rsidRPr="00625503" w:rsidRDefault="00DA7DB5" w:rsidP="00DA7DB5">
      <w:pPr>
        <w:rPr>
          <w:color w:val="auto"/>
          <w:lang w:val="ru-RU"/>
        </w:rPr>
      </w:pPr>
    </w:p>
    <w:p w14:paraId="4B063BFC" w14:textId="77777777" w:rsidR="00DA7DB5" w:rsidRPr="00625503" w:rsidRDefault="00DA7DB5" w:rsidP="00DA7DB5">
      <w:pPr>
        <w:rPr>
          <w:color w:val="auto"/>
          <w:lang w:val="ru-RU"/>
        </w:rPr>
      </w:pPr>
    </w:p>
    <w:p w14:paraId="49381EAB" w14:textId="77777777" w:rsidR="00DA7DB5" w:rsidRPr="009B1FE7" w:rsidRDefault="00625503" w:rsidP="00625503">
      <w:pPr>
        <w:jc w:val="center"/>
        <w:rPr>
          <w:color w:val="auto"/>
          <w:sz w:val="36"/>
          <w:szCs w:val="36"/>
        </w:rPr>
      </w:pPr>
      <w:r w:rsidRPr="009B1FE7">
        <w:rPr>
          <w:b/>
          <w:color w:val="auto"/>
          <w:sz w:val="36"/>
          <w:szCs w:val="36"/>
        </w:rPr>
        <w:t>Школьни</w:t>
      </w:r>
      <w:r w:rsidRPr="009B1FE7">
        <w:rPr>
          <w:color w:val="auto"/>
          <w:sz w:val="36"/>
          <w:szCs w:val="36"/>
        </w:rPr>
        <w:t>к Інна Олександрівна,</w:t>
      </w:r>
    </w:p>
    <w:p w14:paraId="08FD6416" w14:textId="77777777" w:rsidR="00625503" w:rsidRPr="009B1FE7" w:rsidRDefault="00625503" w:rsidP="00625503">
      <w:pPr>
        <w:jc w:val="center"/>
        <w:rPr>
          <w:color w:val="auto"/>
          <w:sz w:val="36"/>
          <w:szCs w:val="36"/>
        </w:rPr>
      </w:pPr>
      <w:r w:rsidRPr="009B1FE7">
        <w:rPr>
          <w:b/>
          <w:color w:val="auto"/>
          <w:sz w:val="36"/>
          <w:szCs w:val="36"/>
        </w:rPr>
        <w:t>Бричко</w:t>
      </w:r>
      <w:r w:rsidRPr="009B1FE7">
        <w:rPr>
          <w:color w:val="auto"/>
          <w:sz w:val="36"/>
          <w:szCs w:val="36"/>
        </w:rPr>
        <w:t xml:space="preserve"> Марина Михайлівна,</w:t>
      </w:r>
    </w:p>
    <w:p w14:paraId="7BF54AEC" w14:textId="77777777" w:rsidR="00625503" w:rsidRPr="009B1FE7" w:rsidRDefault="00625503" w:rsidP="00625503">
      <w:pPr>
        <w:jc w:val="center"/>
        <w:rPr>
          <w:color w:val="auto"/>
          <w:sz w:val="36"/>
          <w:szCs w:val="36"/>
        </w:rPr>
      </w:pPr>
      <w:r w:rsidRPr="009B1FE7">
        <w:rPr>
          <w:b/>
          <w:color w:val="auto"/>
          <w:sz w:val="36"/>
          <w:szCs w:val="36"/>
        </w:rPr>
        <w:t>Пахненко</w:t>
      </w:r>
      <w:r w:rsidRPr="009B1FE7">
        <w:rPr>
          <w:color w:val="auto"/>
          <w:sz w:val="36"/>
          <w:szCs w:val="36"/>
        </w:rPr>
        <w:t> Олена Михайлівна та ін.</w:t>
      </w:r>
    </w:p>
    <w:p w14:paraId="0C484303" w14:textId="77777777" w:rsidR="00DA7DB5" w:rsidRPr="00625503" w:rsidRDefault="00DA7DB5" w:rsidP="00DA7DB5">
      <w:pPr>
        <w:rPr>
          <w:color w:val="auto"/>
          <w:sz w:val="32"/>
          <w:szCs w:val="32"/>
          <w:lang w:val="ru-RU"/>
        </w:rPr>
      </w:pPr>
    </w:p>
    <w:p w14:paraId="4B3F868E" w14:textId="77777777" w:rsidR="00DA7DB5" w:rsidRPr="00625503" w:rsidRDefault="00DA7DB5" w:rsidP="00DA7DB5">
      <w:pPr>
        <w:rPr>
          <w:color w:val="auto"/>
          <w:lang w:val="ru-RU"/>
        </w:rPr>
      </w:pPr>
    </w:p>
    <w:p w14:paraId="5F19E5D4" w14:textId="77777777" w:rsidR="009B1FE7" w:rsidRPr="009B1FE7" w:rsidRDefault="00DA7DB5" w:rsidP="00DA7DB5">
      <w:pPr>
        <w:spacing w:before="480" w:after="120"/>
        <w:jc w:val="center"/>
        <w:outlineLvl w:val="0"/>
        <w:rPr>
          <w:b/>
          <w:bCs/>
          <w:kern w:val="36"/>
          <w:sz w:val="72"/>
          <w:szCs w:val="72"/>
        </w:rPr>
      </w:pPr>
      <w:r w:rsidRPr="009B1FE7">
        <w:rPr>
          <w:b/>
          <w:bCs/>
          <w:kern w:val="36"/>
          <w:sz w:val="72"/>
          <w:szCs w:val="72"/>
        </w:rPr>
        <w:t>ВСТУП ДО ФІНАНСІВ</w:t>
      </w:r>
      <w:r w:rsidR="009B1FE7" w:rsidRPr="009B1FE7">
        <w:rPr>
          <w:b/>
          <w:bCs/>
          <w:kern w:val="36"/>
          <w:sz w:val="72"/>
          <w:szCs w:val="72"/>
        </w:rPr>
        <w:t xml:space="preserve">: </w:t>
      </w:r>
    </w:p>
    <w:p w14:paraId="7F92D399" w14:textId="77777777" w:rsidR="00DA7DB5" w:rsidRPr="009B1FE7" w:rsidRDefault="009B1FE7" w:rsidP="00DA7DB5">
      <w:pPr>
        <w:spacing w:before="480" w:after="120"/>
        <w:jc w:val="center"/>
        <w:outlineLvl w:val="0"/>
        <w:rPr>
          <w:b/>
          <w:bCs/>
          <w:color w:val="auto"/>
          <w:kern w:val="36"/>
          <w:sz w:val="48"/>
          <w:szCs w:val="48"/>
        </w:rPr>
      </w:pPr>
      <w:r>
        <w:rPr>
          <w:b/>
          <w:bCs/>
          <w:kern w:val="36"/>
          <w:sz w:val="48"/>
          <w:szCs w:val="48"/>
        </w:rPr>
        <w:t>ТЕОРІЯ І ПРАКТИКА</w:t>
      </w:r>
    </w:p>
    <w:p w14:paraId="3ECC8FC4" w14:textId="77777777" w:rsidR="00DA7DB5" w:rsidRPr="009B1FE7" w:rsidRDefault="00DA7DB5" w:rsidP="00DA7DB5">
      <w:pPr>
        <w:jc w:val="center"/>
        <w:rPr>
          <w:sz w:val="36"/>
          <w:szCs w:val="36"/>
          <w:lang w:val="ru-RU"/>
        </w:rPr>
      </w:pPr>
    </w:p>
    <w:p w14:paraId="48B41D5B" w14:textId="77777777" w:rsidR="00DA7DB5" w:rsidRPr="009B1FE7" w:rsidRDefault="00DA7DB5" w:rsidP="00DA7DB5">
      <w:pPr>
        <w:jc w:val="center"/>
        <w:rPr>
          <w:color w:val="auto"/>
          <w:sz w:val="40"/>
          <w:szCs w:val="40"/>
        </w:rPr>
      </w:pPr>
      <w:r w:rsidRPr="009B1FE7">
        <w:rPr>
          <w:sz w:val="40"/>
          <w:szCs w:val="40"/>
        </w:rPr>
        <w:t>Навчальний посібник</w:t>
      </w:r>
    </w:p>
    <w:p w14:paraId="40D70D04" w14:textId="77777777" w:rsidR="00DA7DB5" w:rsidRPr="00DA7DB5" w:rsidRDefault="00DA7DB5" w:rsidP="00DA7DB5">
      <w:pPr>
        <w:jc w:val="center"/>
        <w:rPr>
          <w:color w:val="auto"/>
        </w:rPr>
      </w:pPr>
      <w:r w:rsidRPr="00DA7DB5">
        <w:rPr>
          <w:sz w:val="32"/>
          <w:szCs w:val="32"/>
        </w:rPr>
        <w:t>(Англійською мовою)</w:t>
      </w:r>
    </w:p>
    <w:p w14:paraId="151B2DF2" w14:textId="77777777" w:rsidR="00DA7DB5" w:rsidRPr="00F217CE" w:rsidRDefault="00DA7DB5" w:rsidP="009B1FE7">
      <w:pPr>
        <w:rPr>
          <w:sz w:val="32"/>
          <w:szCs w:val="32"/>
          <w:lang w:val="ru-RU"/>
        </w:rPr>
      </w:pPr>
    </w:p>
    <w:p w14:paraId="4EBE4812" w14:textId="77777777" w:rsidR="00DA7DB5" w:rsidRPr="00F217CE" w:rsidRDefault="00DA7DB5" w:rsidP="00DA7DB5">
      <w:pPr>
        <w:rPr>
          <w:sz w:val="32"/>
          <w:szCs w:val="32"/>
          <w:lang w:val="ru-RU"/>
        </w:rPr>
      </w:pPr>
    </w:p>
    <w:p w14:paraId="74DFCC5A" w14:textId="77777777" w:rsidR="00DA7DB5" w:rsidRPr="00DA7DB5" w:rsidRDefault="00DA7DB5" w:rsidP="00DA7DB5">
      <w:pPr>
        <w:jc w:val="center"/>
        <w:rPr>
          <w:color w:val="auto"/>
        </w:rPr>
      </w:pPr>
      <w:r w:rsidRPr="00DA7DB5">
        <w:rPr>
          <w:sz w:val="32"/>
          <w:szCs w:val="32"/>
        </w:rPr>
        <w:t xml:space="preserve">За редакцією </w:t>
      </w:r>
    </w:p>
    <w:p w14:paraId="48AF9587" w14:textId="77777777" w:rsidR="00DA7DB5" w:rsidRPr="00DA7DB5" w:rsidRDefault="00DA7DB5" w:rsidP="00DA7DB5">
      <w:pPr>
        <w:jc w:val="center"/>
        <w:rPr>
          <w:color w:val="auto"/>
        </w:rPr>
      </w:pPr>
      <w:r w:rsidRPr="00DA7DB5">
        <w:rPr>
          <w:sz w:val="32"/>
          <w:szCs w:val="32"/>
        </w:rPr>
        <w:t xml:space="preserve">доктора економічних наук, професора </w:t>
      </w:r>
      <w:r w:rsidR="001967C7" w:rsidRPr="00DA7DB5">
        <w:rPr>
          <w:sz w:val="32"/>
          <w:szCs w:val="32"/>
        </w:rPr>
        <w:t>І.</w:t>
      </w:r>
      <w:r w:rsidR="001967C7">
        <w:rPr>
          <w:sz w:val="32"/>
          <w:szCs w:val="32"/>
          <w:lang w:val="en-US"/>
        </w:rPr>
        <w:t> </w:t>
      </w:r>
      <w:r w:rsidR="001967C7" w:rsidRPr="00DA7DB5">
        <w:rPr>
          <w:sz w:val="32"/>
          <w:szCs w:val="32"/>
        </w:rPr>
        <w:t>О.</w:t>
      </w:r>
      <w:r w:rsidR="001967C7">
        <w:rPr>
          <w:sz w:val="32"/>
          <w:szCs w:val="32"/>
          <w:lang w:val="en-US"/>
        </w:rPr>
        <w:t> </w:t>
      </w:r>
      <w:r w:rsidRPr="00DA7DB5">
        <w:rPr>
          <w:sz w:val="32"/>
          <w:szCs w:val="32"/>
        </w:rPr>
        <w:t>Школьник,</w:t>
      </w:r>
      <w:r w:rsidRPr="00DA7DB5">
        <w:rPr>
          <w:sz w:val="32"/>
          <w:szCs w:val="32"/>
        </w:rPr>
        <w:tab/>
      </w:r>
    </w:p>
    <w:p w14:paraId="1308270D" w14:textId="77777777" w:rsidR="00DA7DB5" w:rsidRPr="00DA7DB5" w:rsidRDefault="001967C7" w:rsidP="00DA7DB5">
      <w:pPr>
        <w:jc w:val="center"/>
        <w:rPr>
          <w:color w:val="auto"/>
        </w:rPr>
      </w:pPr>
      <w:r>
        <w:rPr>
          <w:sz w:val="32"/>
          <w:szCs w:val="32"/>
        </w:rPr>
        <w:t>кандидата економічних наук</w:t>
      </w:r>
      <w:r w:rsidR="00DA7DB5" w:rsidRPr="00DA7DB5">
        <w:rPr>
          <w:sz w:val="32"/>
          <w:szCs w:val="32"/>
        </w:rPr>
        <w:t xml:space="preserve"> </w:t>
      </w:r>
      <w:r w:rsidRPr="00DA7DB5">
        <w:rPr>
          <w:sz w:val="32"/>
          <w:szCs w:val="32"/>
        </w:rPr>
        <w:t>М.</w:t>
      </w:r>
      <w:r>
        <w:rPr>
          <w:sz w:val="32"/>
          <w:szCs w:val="32"/>
          <w:lang w:val="en-US"/>
        </w:rPr>
        <w:t> </w:t>
      </w:r>
      <w:r w:rsidRPr="00DA7DB5">
        <w:rPr>
          <w:sz w:val="32"/>
          <w:szCs w:val="32"/>
        </w:rPr>
        <w:t>М.</w:t>
      </w:r>
      <w:r>
        <w:rPr>
          <w:sz w:val="32"/>
          <w:szCs w:val="32"/>
          <w:lang w:val="en-US"/>
        </w:rPr>
        <w:t> </w:t>
      </w:r>
      <w:r w:rsidR="00DA7DB5" w:rsidRPr="00DA7DB5">
        <w:rPr>
          <w:sz w:val="32"/>
          <w:szCs w:val="32"/>
        </w:rPr>
        <w:t xml:space="preserve">Бричко </w:t>
      </w:r>
    </w:p>
    <w:p w14:paraId="3ACECA61" w14:textId="77777777" w:rsidR="00DA7DB5" w:rsidRPr="00841A5E" w:rsidRDefault="00DA7DB5" w:rsidP="00DA7DB5">
      <w:pPr>
        <w:rPr>
          <w:sz w:val="28"/>
          <w:szCs w:val="28"/>
          <w:lang w:val="ru-RU"/>
        </w:rPr>
      </w:pPr>
      <w:r w:rsidRPr="00DA7DB5">
        <w:rPr>
          <w:sz w:val="28"/>
          <w:szCs w:val="28"/>
        </w:rPr>
        <w:tab/>
      </w:r>
      <w:r w:rsidRPr="00DA7DB5">
        <w:rPr>
          <w:sz w:val="28"/>
          <w:szCs w:val="28"/>
        </w:rPr>
        <w:tab/>
      </w:r>
      <w:r w:rsidRPr="00DA7DB5">
        <w:rPr>
          <w:sz w:val="28"/>
          <w:szCs w:val="28"/>
        </w:rPr>
        <w:tab/>
      </w:r>
      <w:r w:rsidRPr="00DA7DB5">
        <w:rPr>
          <w:sz w:val="28"/>
          <w:szCs w:val="28"/>
        </w:rPr>
        <w:tab/>
      </w:r>
    </w:p>
    <w:p w14:paraId="2A36CEF8" w14:textId="77777777" w:rsidR="00DA7DB5" w:rsidRPr="00841A5E" w:rsidRDefault="00DA7DB5" w:rsidP="00DA7DB5">
      <w:pPr>
        <w:rPr>
          <w:sz w:val="28"/>
          <w:szCs w:val="28"/>
          <w:lang w:val="ru-RU"/>
        </w:rPr>
      </w:pPr>
    </w:p>
    <w:p w14:paraId="13AED0DF" w14:textId="77777777" w:rsidR="00DA7DB5" w:rsidRPr="00841A5E" w:rsidRDefault="00DA7DB5" w:rsidP="00DA7DB5">
      <w:pPr>
        <w:rPr>
          <w:color w:val="auto"/>
          <w:lang w:val="ru-RU"/>
        </w:rPr>
      </w:pPr>
    </w:p>
    <w:p w14:paraId="348FA725" w14:textId="77777777" w:rsidR="00DA7DB5" w:rsidRPr="00DA7DB5" w:rsidRDefault="00DA7DB5" w:rsidP="00DA7DB5">
      <w:pPr>
        <w:rPr>
          <w:color w:val="auto"/>
        </w:rPr>
      </w:pPr>
      <w:r w:rsidRPr="00DA7DB5">
        <w:rPr>
          <w:sz w:val="28"/>
          <w:szCs w:val="28"/>
        </w:rPr>
        <w:tab/>
      </w:r>
      <w:r w:rsidRPr="00DA7DB5">
        <w:rPr>
          <w:sz w:val="28"/>
          <w:szCs w:val="28"/>
        </w:rPr>
        <w:tab/>
      </w:r>
      <w:r w:rsidRPr="00DA7DB5">
        <w:rPr>
          <w:sz w:val="28"/>
          <w:szCs w:val="28"/>
        </w:rPr>
        <w:tab/>
      </w:r>
    </w:p>
    <w:p w14:paraId="060C0FC3" w14:textId="77777777" w:rsidR="00DA7DB5" w:rsidRPr="009B1FE7" w:rsidRDefault="00DA7DB5" w:rsidP="00DA7DB5">
      <w:pPr>
        <w:jc w:val="center"/>
        <w:rPr>
          <w:color w:val="auto"/>
          <w:sz w:val="28"/>
          <w:szCs w:val="28"/>
        </w:rPr>
      </w:pPr>
      <w:r w:rsidRPr="009B1FE7">
        <w:rPr>
          <w:sz w:val="28"/>
          <w:szCs w:val="28"/>
        </w:rPr>
        <w:t xml:space="preserve">Художнє оформлення обкладинки </w:t>
      </w:r>
      <w:r w:rsidR="009B1FE7" w:rsidRPr="009B1FE7">
        <w:rPr>
          <w:sz w:val="28"/>
          <w:szCs w:val="28"/>
        </w:rPr>
        <w:t>М. М. Бричко</w:t>
      </w:r>
    </w:p>
    <w:p w14:paraId="17C54CBC" w14:textId="77777777" w:rsidR="00DA7DB5" w:rsidRPr="009B1FE7" w:rsidRDefault="00DA7DB5" w:rsidP="00DA7DB5">
      <w:pPr>
        <w:jc w:val="center"/>
        <w:rPr>
          <w:color w:val="auto"/>
          <w:sz w:val="28"/>
          <w:szCs w:val="28"/>
        </w:rPr>
      </w:pPr>
      <w:r w:rsidRPr="009B1FE7">
        <w:rPr>
          <w:sz w:val="28"/>
          <w:szCs w:val="28"/>
        </w:rPr>
        <w:t>Редактор</w:t>
      </w:r>
      <w:r w:rsidR="009B1FE7" w:rsidRPr="009B1FE7">
        <w:rPr>
          <w:sz w:val="28"/>
          <w:szCs w:val="28"/>
        </w:rPr>
        <w:t>и: О. О. Кучмій,</w:t>
      </w:r>
      <w:r w:rsidRPr="009B1FE7">
        <w:rPr>
          <w:sz w:val="28"/>
          <w:szCs w:val="28"/>
        </w:rPr>
        <w:t xml:space="preserve"> </w:t>
      </w:r>
      <w:r w:rsidRPr="009B1FE7">
        <w:rPr>
          <w:bCs/>
          <w:iCs/>
          <w:sz w:val="28"/>
          <w:szCs w:val="28"/>
        </w:rPr>
        <w:t>С. В. Чечоткіна</w:t>
      </w:r>
    </w:p>
    <w:p w14:paraId="071D982D" w14:textId="77777777" w:rsidR="00DA7DB5" w:rsidRPr="009B1FE7" w:rsidRDefault="00DA7DB5" w:rsidP="00DA7DB5">
      <w:pPr>
        <w:jc w:val="center"/>
        <w:rPr>
          <w:color w:val="auto"/>
          <w:sz w:val="28"/>
          <w:szCs w:val="28"/>
        </w:rPr>
      </w:pPr>
      <w:r w:rsidRPr="009B1FE7">
        <w:rPr>
          <w:sz w:val="28"/>
          <w:szCs w:val="28"/>
        </w:rPr>
        <w:t>Комп'ютерне верстання  М. М. Бричко</w:t>
      </w:r>
    </w:p>
    <w:p w14:paraId="15639B97" w14:textId="77777777" w:rsidR="00DA7DB5" w:rsidRPr="001967C7" w:rsidRDefault="00DA7DB5" w:rsidP="00DA7DB5">
      <w:pPr>
        <w:jc w:val="center"/>
        <w:rPr>
          <w:sz w:val="22"/>
          <w:szCs w:val="22"/>
          <w:lang w:val="ru-RU"/>
        </w:rPr>
      </w:pPr>
    </w:p>
    <w:p w14:paraId="2954ADE6" w14:textId="77777777" w:rsidR="001967C7" w:rsidRPr="009B1FE7" w:rsidRDefault="001967C7" w:rsidP="00625503">
      <w:pPr>
        <w:rPr>
          <w:sz w:val="22"/>
          <w:szCs w:val="22"/>
          <w:lang w:val="ru-RU"/>
        </w:rPr>
      </w:pPr>
    </w:p>
    <w:p w14:paraId="30A01351" w14:textId="77777777" w:rsidR="00DA7DB5" w:rsidRPr="00841A5E" w:rsidRDefault="00DA7DB5" w:rsidP="00DA7DB5">
      <w:pPr>
        <w:jc w:val="center"/>
        <w:rPr>
          <w:sz w:val="22"/>
          <w:szCs w:val="22"/>
          <w:lang w:val="ru-RU"/>
        </w:rPr>
      </w:pPr>
    </w:p>
    <w:p w14:paraId="0811DE33" w14:textId="77777777" w:rsidR="00DA7DB5" w:rsidRPr="00841A5E" w:rsidRDefault="00DA7DB5" w:rsidP="00DA7DB5">
      <w:pPr>
        <w:jc w:val="center"/>
        <w:rPr>
          <w:szCs w:val="22"/>
          <w:lang w:val="ru-RU"/>
        </w:rPr>
      </w:pPr>
    </w:p>
    <w:p w14:paraId="308600DA" w14:textId="77777777" w:rsidR="00DA7DB5" w:rsidRPr="001967C7" w:rsidRDefault="00DA7DB5" w:rsidP="00DA7DB5">
      <w:pPr>
        <w:jc w:val="center"/>
        <w:rPr>
          <w:color w:val="auto"/>
          <w:sz w:val="28"/>
          <w:lang w:val="ru-RU"/>
        </w:rPr>
      </w:pPr>
      <w:r w:rsidRPr="001967C7">
        <w:rPr>
          <w:szCs w:val="22"/>
        </w:rPr>
        <w:t xml:space="preserve">Формат </w:t>
      </w:r>
      <w:r w:rsidRPr="001967C7">
        <w:rPr>
          <w:bCs/>
          <w:iCs/>
          <w:szCs w:val="22"/>
        </w:rPr>
        <w:t>60х84/8</w:t>
      </w:r>
      <w:r w:rsidRPr="001967C7">
        <w:rPr>
          <w:szCs w:val="22"/>
        </w:rPr>
        <w:t xml:space="preserve">. Ум. друк. арк. </w:t>
      </w:r>
      <w:r w:rsidR="009B1FE7">
        <w:rPr>
          <w:bCs/>
          <w:iCs/>
          <w:szCs w:val="22"/>
        </w:rPr>
        <w:t>32,09</w:t>
      </w:r>
      <w:r w:rsidRPr="001967C7">
        <w:rPr>
          <w:szCs w:val="22"/>
        </w:rPr>
        <w:t>. Обл.-вид. арк.</w:t>
      </w:r>
      <w:r w:rsidR="009B1FE7">
        <w:rPr>
          <w:bCs/>
          <w:iCs/>
          <w:szCs w:val="22"/>
        </w:rPr>
        <w:t xml:space="preserve"> 28,46</w:t>
      </w:r>
      <w:r w:rsidRPr="001967C7">
        <w:rPr>
          <w:szCs w:val="22"/>
        </w:rPr>
        <w:t xml:space="preserve">. Тираж </w:t>
      </w:r>
      <w:r w:rsidRPr="001967C7">
        <w:rPr>
          <w:bCs/>
          <w:iCs/>
          <w:szCs w:val="22"/>
        </w:rPr>
        <w:t>300 пр.</w:t>
      </w:r>
      <w:r w:rsidRPr="001967C7">
        <w:rPr>
          <w:szCs w:val="22"/>
        </w:rPr>
        <w:t xml:space="preserve"> Зам. </w:t>
      </w:r>
      <w:r w:rsidRPr="001967C7">
        <w:rPr>
          <w:bCs/>
          <w:iCs/>
          <w:szCs w:val="22"/>
        </w:rPr>
        <w:t>№</w:t>
      </w:r>
    </w:p>
    <w:p w14:paraId="1FDB791F" w14:textId="77777777" w:rsidR="00DA7DB5" w:rsidRPr="001967C7" w:rsidRDefault="00DA7DB5" w:rsidP="00DA7DB5">
      <w:pPr>
        <w:jc w:val="center"/>
        <w:rPr>
          <w:szCs w:val="22"/>
          <w:lang w:val="ru-RU"/>
        </w:rPr>
      </w:pPr>
    </w:p>
    <w:p w14:paraId="41C27081" w14:textId="77777777" w:rsidR="00DA7DB5" w:rsidRPr="001967C7" w:rsidRDefault="00DA7DB5" w:rsidP="00DA7DB5">
      <w:pPr>
        <w:rPr>
          <w:szCs w:val="22"/>
          <w:lang w:val="ru-RU"/>
        </w:rPr>
      </w:pPr>
    </w:p>
    <w:p w14:paraId="5B62E153" w14:textId="77777777" w:rsidR="00DA7DB5" w:rsidRPr="001967C7" w:rsidRDefault="00DA7DB5" w:rsidP="00DA7DB5">
      <w:pPr>
        <w:jc w:val="center"/>
        <w:rPr>
          <w:szCs w:val="22"/>
          <w:lang w:val="ru-RU"/>
        </w:rPr>
      </w:pPr>
    </w:p>
    <w:p w14:paraId="7B6B0C88" w14:textId="77777777" w:rsidR="00DA7DB5" w:rsidRPr="001967C7" w:rsidRDefault="00DA7DB5" w:rsidP="00DA7DB5">
      <w:pPr>
        <w:jc w:val="center"/>
        <w:rPr>
          <w:szCs w:val="22"/>
          <w:lang w:val="ru-RU"/>
        </w:rPr>
      </w:pPr>
    </w:p>
    <w:p w14:paraId="54CCC660" w14:textId="77777777" w:rsidR="00DA7DB5" w:rsidRPr="001967C7" w:rsidRDefault="00DA7DB5" w:rsidP="00DA7DB5">
      <w:pPr>
        <w:jc w:val="center"/>
        <w:rPr>
          <w:color w:val="auto"/>
          <w:sz w:val="28"/>
        </w:rPr>
      </w:pPr>
      <w:r w:rsidRPr="001967C7">
        <w:rPr>
          <w:szCs w:val="22"/>
        </w:rPr>
        <w:t>Видавець і виготовлювач</w:t>
      </w:r>
    </w:p>
    <w:p w14:paraId="4EE32C36" w14:textId="77777777" w:rsidR="00DA7DB5" w:rsidRPr="001967C7" w:rsidRDefault="00DA7DB5" w:rsidP="00DA7DB5">
      <w:pPr>
        <w:jc w:val="center"/>
        <w:rPr>
          <w:color w:val="auto"/>
          <w:sz w:val="28"/>
        </w:rPr>
      </w:pPr>
      <w:r w:rsidRPr="001967C7">
        <w:rPr>
          <w:szCs w:val="22"/>
        </w:rPr>
        <w:t>Сумський державний університет,</w:t>
      </w:r>
    </w:p>
    <w:p w14:paraId="7C23FD90" w14:textId="77777777" w:rsidR="00DA7DB5" w:rsidRPr="001967C7" w:rsidRDefault="00DA7DB5" w:rsidP="00DA7DB5">
      <w:pPr>
        <w:jc w:val="center"/>
        <w:rPr>
          <w:color w:val="auto"/>
          <w:sz w:val="28"/>
        </w:rPr>
      </w:pPr>
      <w:r w:rsidRPr="001967C7">
        <w:rPr>
          <w:szCs w:val="22"/>
        </w:rPr>
        <w:t>вул. Римського-Корсакова, 2, м. Суми, 40007</w:t>
      </w:r>
    </w:p>
    <w:p w14:paraId="0BC37760" w14:textId="77777777" w:rsidR="005A6907" w:rsidRPr="001967C7" w:rsidRDefault="001967C7" w:rsidP="005A6907">
      <w:pPr>
        <w:jc w:val="center"/>
        <w:rPr>
          <w:szCs w:val="22"/>
          <w:lang w:val="ru-RU"/>
        </w:rPr>
      </w:pPr>
      <w:r>
        <w:rPr>
          <w:noProof/>
          <w:szCs w:val="22"/>
          <w:lang w:val="ru-RU" w:eastAsia="ru-RU"/>
        </w:rPr>
        <mc:AlternateContent>
          <mc:Choice Requires="wps">
            <w:drawing>
              <wp:anchor distT="0" distB="0" distL="114300" distR="114300" simplePos="0" relativeHeight="251717120" behindDoc="0" locked="0" layoutInCell="1" allowOverlap="1" wp14:anchorId="50EF2D06" wp14:editId="029F102E">
                <wp:simplePos x="0" y="0"/>
                <wp:positionH relativeFrom="column">
                  <wp:posOffset>2489200</wp:posOffset>
                </wp:positionH>
                <wp:positionV relativeFrom="paragraph">
                  <wp:posOffset>229870</wp:posOffset>
                </wp:positionV>
                <wp:extent cx="914400" cy="631825"/>
                <wp:effectExtent l="0" t="0" r="19050" b="15875"/>
                <wp:wrapNone/>
                <wp:docPr id="1" name="Прямоугольник 1"/>
                <wp:cNvGraphicFramePr/>
                <a:graphic xmlns:a="http://schemas.openxmlformats.org/drawingml/2006/main">
                  <a:graphicData uri="http://schemas.microsoft.com/office/word/2010/wordprocessingShape">
                    <wps:wsp>
                      <wps:cNvSpPr/>
                      <wps:spPr>
                        <a:xfrm>
                          <a:off x="0" y="0"/>
                          <a:ext cx="914400" cy="6318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 o:spid="_x0000_s1026" style="position:absolute;margin-left:196pt;margin-top:18.1pt;width:1in;height:49.75pt;z-index:251717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" fillcolor="white [3212]" strokecolor="white [3212]" strokeweight="2pt"/>
            </w:pict>
          </mc:Fallback>
        </mc:AlternateContent>
      </w:r>
      <w:r w:rsidR="00DA7DB5" w:rsidRPr="001967C7">
        <w:rPr>
          <w:szCs w:val="22"/>
        </w:rPr>
        <w:t>Свідоцтво суб'єкта видавничої справи ДК № 3062 від 17.12.2007.</w:t>
      </w:r>
    </w:p>
    <w:sectPr w:rsidR="005A6907" w:rsidRPr="001967C7" w:rsidSect="007B5371">
      <w:headerReference w:type="even" r:id="rId94"/>
      <w:headerReference w:type="default" r:id="rId95"/>
      <w:headerReference w:type="first" r:id="rId96"/>
      <w:type w:val="continuous"/>
      <w:pgSz w:w="11907" w:h="16839"/>
      <w:pgMar w:top="1440" w:right="708" w:bottom="1440" w:left="1800" w:header="720" w:footer="965" w:gutter="0"/>
      <w:pgNumType w:start="258"/>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F32C96" w14:textId="77777777" w:rsidR="000B6F42" w:rsidRDefault="000B6F42">
      <w:r>
        <w:separator/>
      </w:r>
    </w:p>
  </w:endnote>
  <w:endnote w:type="continuationSeparator" w:id="0">
    <w:p w14:paraId="688A9CAB" w14:textId="77777777" w:rsidR="000B6F42" w:rsidRDefault="000B6F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2"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Bold">
    <w:panose1 w:val="020B0604020202020204"/>
    <w:charset w:val="00"/>
    <w:family w:val="roman"/>
    <w:pitch w:val="default"/>
  </w:font>
  <w:font w:name="Times New Roman Bold">
    <w:panose1 w:val="020B0604020202020204"/>
    <w:charset w:val="00"/>
    <w:family w:val="roman"/>
    <w:pitch w:val="default"/>
  </w:font>
  <w:font w:name="Cambria Math">
    <w:panose1 w:val="02040503050406030204"/>
    <w:charset w:val="00"/>
    <w:family w:val="roman"/>
    <w:pitch w:val="variable"/>
    <w:sig w:usb0="E00002FF" w:usb1="420024FF" w:usb2="00000000" w:usb3="00000000" w:csb0="0000019F" w:csb1="00000000"/>
  </w:font>
  <w:font w:name="StoneSans">
    <w:altName w:val="Arial"/>
    <w:panose1 w:val="020B0604020202020204"/>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3341347"/>
      <w:docPartObj>
        <w:docPartGallery w:val="Page Numbers (Bottom of Page)"/>
        <w:docPartUnique/>
      </w:docPartObj>
    </w:sdtPr>
    <w:sdtContent>
      <w:p w14:paraId="1077DCE2" w14:textId="77777777" w:rsidR="00B56753" w:rsidRDefault="00B56753">
        <w:pPr>
          <w:pStyle w:val="Footer"/>
          <w:jc w:val="center"/>
        </w:pPr>
        <w:r>
          <w:fldChar w:fldCharType="begin"/>
        </w:r>
        <w:r>
          <w:instrText>PAGE   \* MERGEFORMAT</w:instrText>
        </w:r>
        <w:r>
          <w:fldChar w:fldCharType="separate"/>
        </w:r>
        <w:r w:rsidRPr="007B41AA">
          <w:rPr>
            <w:noProof/>
            <w:lang w:val="ru-RU"/>
          </w:rPr>
          <w:t>2</w:t>
        </w:r>
        <w:r>
          <w:fldChar w:fldCharType="end"/>
        </w:r>
      </w:p>
    </w:sdtContent>
  </w:sdt>
  <w:p w14:paraId="61618AC3" w14:textId="77777777" w:rsidR="00B56753" w:rsidRDefault="00B567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B36D6" w14:textId="77777777" w:rsidR="00B56753" w:rsidRDefault="00B56753">
    <w:pPr>
      <w:pStyle w:val="Footer"/>
      <w:jc w:val="center"/>
    </w:pPr>
  </w:p>
  <w:p w14:paraId="1CA37341" w14:textId="77777777" w:rsidR="00B56753" w:rsidRDefault="00B5675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2367159"/>
      <w:docPartObj>
        <w:docPartGallery w:val="Page Numbers (Bottom of Page)"/>
        <w:docPartUnique/>
      </w:docPartObj>
    </w:sdtPr>
    <w:sdtContent>
      <w:p w14:paraId="40025072" w14:textId="77777777" w:rsidR="00B56753" w:rsidRDefault="00B56753">
        <w:pPr>
          <w:pStyle w:val="Footer"/>
          <w:jc w:val="center"/>
        </w:pPr>
        <w:r>
          <w:fldChar w:fldCharType="begin"/>
        </w:r>
        <w:r>
          <w:instrText>PAGE   \* MERGEFORMAT</w:instrText>
        </w:r>
        <w:r>
          <w:fldChar w:fldCharType="separate"/>
        </w:r>
        <w:r w:rsidR="00FC6D29" w:rsidRPr="00FC6D29">
          <w:rPr>
            <w:noProof/>
            <w:lang w:val="ru-RU"/>
          </w:rPr>
          <w:t>27</w:t>
        </w:r>
        <w:r>
          <w:fldChar w:fldCharType="end"/>
        </w:r>
      </w:p>
    </w:sdtContent>
  </w:sdt>
  <w:p w14:paraId="33D4F716" w14:textId="77777777" w:rsidR="00B56753" w:rsidRDefault="00B567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00FEFC" w14:textId="77777777" w:rsidR="000B6F42" w:rsidRDefault="000B6F42">
      <w:r>
        <w:separator/>
      </w:r>
    </w:p>
  </w:footnote>
  <w:footnote w:type="continuationSeparator" w:id="0">
    <w:p w14:paraId="5B264C28" w14:textId="77777777" w:rsidR="000B6F42" w:rsidRDefault="000B6F42">
      <w:r>
        <w:separator/>
      </w:r>
    </w:p>
  </w:footnote>
  <w:footnote w:type="continuationNotice" w:id="1">
    <w:p w14:paraId="4CCBBD29" w14:textId="77777777" w:rsidR="000B6F42" w:rsidRDefault="000B6F42">
      <w:pPr>
        <w:rPr>
          <w:i/>
          <w:iCs/>
          <w:sz w:val="18"/>
          <w:szCs w:val="20"/>
        </w:rPr>
      </w:pPr>
      <w:r>
        <w:rPr>
          <w:i/>
          <w:iCs/>
          <w:sz w:val="18"/>
          <w:szCs w:val="20"/>
        </w:rPr>
        <w:t>(продолжение сноски)</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7DDD5" w14:textId="77777777" w:rsidR="00B56753" w:rsidRDefault="00B5675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0268A" w14:textId="77777777" w:rsidR="00B56753" w:rsidRDefault="00B56753"/>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3F4D5" w14:textId="77777777" w:rsidR="00B56753" w:rsidRDefault="00B56753"/>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29619" w14:textId="77777777" w:rsidR="00B56753" w:rsidRDefault="00B56753"/>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2F167" w14:textId="77777777" w:rsidR="00B56753" w:rsidRDefault="00B56753"/>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4834C" w14:textId="77777777" w:rsidR="00B56753" w:rsidRDefault="00B5675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styleLink w:val="4112"/>
    <w:lvl w:ilvl="0">
      <w:numFmt w:val="decimal"/>
      <w:pStyle w:val="ListBullet"/>
      <w:lvlText w:val="*"/>
      <w:lvlJc w:val="left"/>
      <w:pPr>
        <w:ind w:left="0" w:firstLine="0"/>
      </w:pPr>
    </w:lvl>
  </w:abstractNum>
  <w:abstractNum w:abstractNumId="1" w15:restartNumberingAfterBreak="0">
    <w:nsid w:val="00000002"/>
    <w:multiLevelType w:val="multilevel"/>
    <w:tmpl w:val="CC509866"/>
    <w:lvl w:ilvl="0">
      <w:start w:val="1"/>
      <w:numFmt w:val="decimal"/>
      <w:lvlText w:val="%1."/>
      <w:lvlJc w:val="left"/>
      <w:pPr>
        <w:tabs>
          <w:tab w:val="num" w:pos="210"/>
        </w:tabs>
        <w:ind w:left="210" w:hanging="210"/>
      </w:pPr>
      <w:rPr>
        <w:rFonts w:ascii="Garamond" w:eastAsia="Garamond" w:hAnsi="Garamond" w:cs="Garamond"/>
        <w:position w:val="0"/>
        <w:sz w:val="28"/>
        <w:szCs w:val="24"/>
        <w:lang w:val="en-US"/>
      </w:rPr>
    </w:lvl>
    <w:lvl w:ilvl="1">
      <w:start w:val="1"/>
      <w:numFmt w:val="lowerLetter"/>
      <w:lvlText w:val="%2."/>
      <w:lvlJc w:val="left"/>
      <w:pPr>
        <w:tabs>
          <w:tab w:val="num" w:pos="1440"/>
        </w:tabs>
        <w:ind w:left="1440" w:hanging="360"/>
      </w:pPr>
      <w:rPr>
        <w:rFonts w:ascii="Garamond" w:eastAsia="Garamond" w:hAnsi="Garamond" w:cs="Garamond"/>
        <w:position w:val="0"/>
        <w:sz w:val="24"/>
        <w:szCs w:val="24"/>
        <w:lang w:val="en-US"/>
      </w:rPr>
    </w:lvl>
    <w:lvl w:ilvl="2">
      <w:start w:val="1"/>
      <w:numFmt w:val="lowerRoman"/>
      <w:lvlText w:val="%3."/>
      <w:lvlJc w:val="left"/>
      <w:pPr>
        <w:tabs>
          <w:tab w:val="num" w:pos="2160"/>
        </w:tabs>
        <w:ind w:left="2160" w:hanging="296"/>
      </w:pPr>
      <w:rPr>
        <w:rFonts w:ascii="Garamond" w:eastAsia="Garamond" w:hAnsi="Garamond" w:cs="Garamond"/>
        <w:position w:val="0"/>
        <w:sz w:val="24"/>
        <w:szCs w:val="24"/>
        <w:lang w:val="en-US"/>
      </w:rPr>
    </w:lvl>
    <w:lvl w:ilvl="3">
      <w:start w:val="1"/>
      <w:numFmt w:val="decimal"/>
      <w:lvlText w:val="%4."/>
      <w:lvlJc w:val="left"/>
      <w:pPr>
        <w:tabs>
          <w:tab w:val="num" w:pos="2880"/>
        </w:tabs>
        <w:ind w:left="2880" w:hanging="360"/>
      </w:pPr>
      <w:rPr>
        <w:rFonts w:ascii="Garamond" w:eastAsia="Garamond" w:hAnsi="Garamond" w:cs="Garamond"/>
        <w:position w:val="0"/>
        <w:sz w:val="24"/>
        <w:szCs w:val="24"/>
        <w:lang w:val="en-US"/>
      </w:rPr>
    </w:lvl>
    <w:lvl w:ilvl="4">
      <w:start w:val="1"/>
      <w:numFmt w:val="lowerLetter"/>
      <w:lvlText w:val="%5."/>
      <w:lvlJc w:val="left"/>
      <w:pPr>
        <w:tabs>
          <w:tab w:val="num" w:pos="3600"/>
        </w:tabs>
        <w:ind w:left="3600" w:hanging="360"/>
      </w:pPr>
      <w:rPr>
        <w:rFonts w:ascii="Garamond" w:eastAsia="Garamond" w:hAnsi="Garamond" w:cs="Garamond"/>
        <w:position w:val="0"/>
        <w:sz w:val="24"/>
        <w:szCs w:val="24"/>
        <w:lang w:val="en-US"/>
      </w:rPr>
    </w:lvl>
    <w:lvl w:ilvl="5">
      <w:start w:val="1"/>
      <w:numFmt w:val="lowerRoman"/>
      <w:lvlText w:val="%6."/>
      <w:lvlJc w:val="left"/>
      <w:pPr>
        <w:tabs>
          <w:tab w:val="num" w:pos="4320"/>
        </w:tabs>
        <w:ind w:left="4320" w:hanging="296"/>
      </w:pPr>
      <w:rPr>
        <w:rFonts w:ascii="Garamond" w:eastAsia="Garamond" w:hAnsi="Garamond" w:cs="Garamond"/>
        <w:position w:val="0"/>
        <w:sz w:val="24"/>
        <w:szCs w:val="24"/>
        <w:lang w:val="en-US"/>
      </w:rPr>
    </w:lvl>
    <w:lvl w:ilvl="6">
      <w:start w:val="1"/>
      <w:numFmt w:val="decimal"/>
      <w:lvlText w:val="%7."/>
      <w:lvlJc w:val="left"/>
      <w:pPr>
        <w:tabs>
          <w:tab w:val="num" w:pos="5040"/>
        </w:tabs>
        <w:ind w:left="5040" w:hanging="360"/>
      </w:pPr>
      <w:rPr>
        <w:rFonts w:ascii="Garamond" w:eastAsia="Garamond" w:hAnsi="Garamond" w:cs="Garamond"/>
        <w:position w:val="0"/>
        <w:sz w:val="24"/>
        <w:szCs w:val="24"/>
        <w:lang w:val="en-US"/>
      </w:rPr>
    </w:lvl>
    <w:lvl w:ilvl="7">
      <w:start w:val="1"/>
      <w:numFmt w:val="lowerLetter"/>
      <w:lvlText w:val="%8."/>
      <w:lvlJc w:val="left"/>
      <w:pPr>
        <w:tabs>
          <w:tab w:val="num" w:pos="5760"/>
        </w:tabs>
        <w:ind w:left="5760" w:hanging="360"/>
      </w:pPr>
      <w:rPr>
        <w:rFonts w:ascii="Garamond" w:eastAsia="Garamond" w:hAnsi="Garamond" w:cs="Garamond"/>
        <w:position w:val="0"/>
        <w:sz w:val="24"/>
        <w:szCs w:val="24"/>
        <w:lang w:val="en-US"/>
      </w:rPr>
    </w:lvl>
    <w:lvl w:ilvl="8">
      <w:start w:val="1"/>
      <w:numFmt w:val="lowerRoman"/>
      <w:lvlText w:val="%9."/>
      <w:lvlJc w:val="left"/>
      <w:pPr>
        <w:tabs>
          <w:tab w:val="num" w:pos="6480"/>
        </w:tabs>
        <w:ind w:left="6480" w:hanging="296"/>
      </w:pPr>
      <w:rPr>
        <w:rFonts w:ascii="Garamond" w:eastAsia="Garamond" w:hAnsi="Garamond" w:cs="Garamond"/>
        <w:position w:val="0"/>
        <w:sz w:val="24"/>
        <w:szCs w:val="24"/>
        <w:lang w:val="en-US"/>
      </w:rPr>
    </w:lvl>
  </w:abstractNum>
  <w:abstractNum w:abstractNumId="2" w15:restartNumberingAfterBreak="0">
    <w:nsid w:val="00000004"/>
    <w:multiLevelType w:val="multilevel"/>
    <w:tmpl w:val="F194732C"/>
    <w:lvl w:ilvl="0">
      <w:start w:val="1"/>
      <w:numFmt w:val="decimal"/>
      <w:lvlText w:val="%1."/>
      <w:lvlJc w:val="left"/>
      <w:pPr>
        <w:tabs>
          <w:tab w:val="num" w:pos="426"/>
        </w:tabs>
        <w:ind w:left="426" w:hanging="357"/>
      </w:pPr>
      <w:rPr>
        <w:rFonts w:hint="default"/>
        <w:position w:val="0"/>
        <w:sz w:val="28"/>
        <w:szCs w:val="24"/>
        <w:rtl w:val="0"/>
        <w:lang w:val="en-US"/>
      </w:rPr>
    </w:lvl>
    <w:lvl w:ilvl="1">
      <w:start w:val="1"/>
      <w:numFmt w:val="decimal"/>
      <w:lvlText w:val="%2."/>
      <w:lvlJc w:val="left"/>
      <w:pPr>
        <w:tabs>
          <w:tab w:val="num" w:pos="1440"/>
        </w:tabs>
        <w:ind w:left="1440" w:hanging="360"/>
      </w:pPr>
      <w:rPr>
        <w:rFonts w:hint="default"/>
        <w:position w:val="0"/>
        <w:sz w:val="24"/>
        <w:szCs w:val="24"/>
        <w:rtl w:val="0"/>
        <w:lang w:val="en-US"/>
      </w:rPr>
    </w:lvl>
    <w:lvl w:ilvl="2">
      <w:start w:val="1"/>
      <w:numFmt w:val="decimal"/>
      <w:lvlText w:val="%3."/>
      <w:lvlJc w:val="left"/>
      <w:pPr>
        <w:tabs>
          <w:tab w:val="num" w:pos="2160"/>
        </w:tabs>
        <w:ind w:left="2160" w:hanging="360"/>
      </w:pPr>
      <w:rPr>
        <w:rFonts w:hint="default"/>
        <w:position w:val="0"/>
        <w:sz w:val="24"/>
        <w:szCs w:val="24"/>
        <w:rtl w:val="0"/>
        <w:lang w:val="en-US"/>
      </w:rPr>
    </w:lvl>
    <w:lvl w:ilvl="3">
      <w:start w:val="1"/>
      <w:numFmt w:val="decimal"/>
      <w:lvlText w:val="%4."/>
      <w:lvlJc w:val="left"/>
      <w:pPr>
        <w:tabs>
          <w:tab w:val="num" w:pos="2880"/>
        </w:tabs>
        <w:ind w:left="2880" w:hanging="360"/>
      </w:pPr>
      <w:rPr>
        <w:rFonts w:hint="default"/>
        <w:position w:val="0"/>
        <w:sz w:val="24"/>
        <w:szCs w:val="24"/>
        <w:rtl w:val="0"/>
        <w:lang w:val="en-US"/>
      </w:rPr>
    </w:lvl>
    <w:lvl w:ilvl="4">
      <w:start w:val="1"/>
      <w:numFmt w:val="decimal"/>
      <w:lvlText w:val="%5."/>
      <w:lvlJc w:val="left"/>
      <w:pPr>
        <w:tabs>
          <w:tab w:val="num" w:pos="3600"/>
        </w:tabs>
        <w:ind w:left="3600" w:hanging="360"/>
      </w:pPr>
      <w:rPr>
        <w:rFonts w:hint="default"/>
        <w:position w:val="0"/>
        <w:sz w:val="24"/>
        <w:szCs w:val="24"/>
        <w:rtl w:val="0"/>
        <w:lang w:val="en-US"/>
      </w:rPr>
    </w:lvl>
    <w:lvl w:ilvl="5">
      <w:start w:val="1"/>
      <w:numFmt w:val="decimal"/>
      <w:lvlText w:val="%6."/>
      <w:lvlJc w:val="left"/>
      <w:pPr>
        <w:tabs>
          <w:tab w:val="num" w:pos="4320"/>
        </w:tabs>
        <w:ind w:left="4320" w:hanging="360"/>
      </w:pPr>
      <w:rPr>
        <w:rFonts w:hint="default"/>
        <w:position w:val="0"/>
        <w:sz w:val="24"/>
        <w:szCs w:val="24"/>
        <w:rtl w:val="0"/>
        <w:lang w:val="en-US"/>
      </w:rPr>
    </w:lvl>
    <w:lvl w:ilvl="6">
      <w:start w:val="1"/>
      <w:numFmt w:val="decimal"/>
      <w:lvlText w:val="%7."/>
      <w:lvlJc w:val="left"/>
      <w:pPr>
        <w:tabs>
          <w:tab w:val="num" w:pos="5040"/>
        </w:tabs>
        <w:ind w:left="5040" w:hanging="360"/>
      </w:pPr>
      <w:rPr>
        <w:rFonts w:hint="default"/>
        <w:position w:val="0"/>
        <w:sz w:val="24"/>
        <w:szCs w:val="24"/>
        <w:rtl w:val="0"/>
        <w:lang w:val="en-US"/>
      </w:rPr>
    </w:lvl>
    <w:lvl w:ilvl="7">
      <w:start w:val="1"/>
      <w:numFmt w:val="decimal"/>
      <w:lvlText w:val="%8."/>
      <w:lvlJc w:val="left"/>
      <w:pPr>
        <w:tabs>
          <w:tab w:val="num" w:pos="5760"/>
        </w:tabs>
        <w:ind w:left="5760" w:hanging="360"/>
      </w:pPr>
      <w:rPr>
        <w:rFonts w:hint="default"/>
        <w:position w:val="0"/>
        <w:sz w:val="24"/>
        <w:szCs w:val="24"/>
        <w:rtl w:val="0"/>
        <w:lang w:val="en-US"/>
      </w:rPr>
    </w:lvl>
    <w:lvl w:ilvl="8">
      <w:start w:val="1"/>
      <w:numFmt w:val="decimal"/>
      <w:lvlText w:val="%9."/>
      <w:lvlJc w:val="left"/>
      <w:pPr>
        <w:tabs>
          <w:tab w:val="num" w:pos="6480"/>
        </w:tabs>
        <w:ind w:left="6480" w:hanging="360"/>
      </w:pPr>
      <w:rPr>
        <w:rFonts w:hint="default"/>
        <w:position w:val="0"/>
        <w:sz w:val="24"/>
        <w:szCs w:val="24"/>
        <w:rtl w:val="0"/>
        <w:lang w:val="en-US"/>
      </w:rPr>
    </w:lvl>
  </w:abstractNum>
  <w:abstractNum w:abstractNumId="3" w15:restartNumberingAfterBreak="0">
    <w:nsid w:val="00000007"/>
    <w:multiLevelType w:val="multilevel"/>
    <w:tmpl w:val="888E1298"/>
    <w:lvl w:ilvl="0">
      <w:start w:val="1"/>
      <w:numFmt w:val="decimal"/>
      <w:lvlText w:val="%1."/>
      <w:lvlJc w:val="left"/>
      <w:pPr>
        <w:tabs>
          <w:tab w:val="num" w:pos="426"/>
        </w:tabs>
        <w:ind w:left="426"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decimal"/>
      <w:lvlText w:val="%2)"/>
      <w:lvlJc w:val="left"/>
      <w:pPr>
        <w:tabs>
          <w:tab w:val="num" w:pos="1440"/>
        </w:tabs>
        <w:ind w:left="1440"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160"/>
        </w:tabs>
        <w:ind w:left="2160"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3600"/>
        </w:tabs>
        <w:ind w:left="3600"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4320"/>
        </w:tabs>
        <w:ind w:left="4320"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5760"/>
        </w:tabs>
        <w:ind w:left="5760"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6480"/>
        </w:tabs>
        <w:ind w:left="6480"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4" w15:restartNumberingAfterBreak="0">
    <w:nsid w:val="00000008"/>
    <w:multiLevelType w:val="multilevel"/>
    <w:tmpl w:val="DED05BCA"/>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5" w15:restartNumberingAfterBreak="0">
    <w:nsid w:val="00000014"/>
    <w:multiLevelType w:val="multilevel"/>
    <w:tmpl w:val="55FC1EB6"/>
    <w:lvl w:ilvl="0">
      <w:start w:val="1"/>
      <w:numFmt w:val="lowerLetter"/>
      <w:lvlText w:val="%1)"/>
      <w:lvlJc w:val="left"/>
      <w:pPr>
        <w:tabs>
          <w:tab w:val="num" w:pos="788"/>
        </w:tabs>
        <w:ind w:left="788" w:hanging="360"/>
      </w:pPr>
      <w:rPr>
        <w:rFonts w:ascii="Garamond" w:eastAsia="Times New Roman" w:hAnsi="Garamond" w:cs="Times New Roman" w:hint="default"/>
        <w:caps w:val="0"/>
        <w:smallCaps w:val="0"/>
        <w:strike w:val="0"/>
        <w:dstrike w:val="0"/>
        <w:outline w:val="0"/>
        <w:color w:val="000000"/>
        <w:spacing w:val="0"/>
        <w:kern w:val="0"/>
        <w:position w:val="0"/>
        <w:sz w:val="28"/>
        <w:szCs w:val="28"/>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6" w15:restartNumberingAfterBreak="0">
    <w:nsid w:val="00000018"/>
    <w:multiLevelType w:val="multilevel"/>
    <w:tmpl w:val="8B4094BC"/>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7" w15:restartNumberingAfterBreak="0">
    <w:nsid w:val="00000022"/>
    <w:multiLevelType w:val="multilevel"/>
    <w:tmpl w:val="67523ED8"/>
    <w:lvl w:ilvl="0">
      <w:start w:val="1"/>
      <w:numFmt w:val="lowerLetter"/>
      <w:lvlText w:val="%1)"/>
      <w:lvlJc w:val="left"/>
      <w:pPr>
        <w:tabs>
          <w:tab w:val="num" w:pos="782"/>
        </w:tabs>
        <w:ind w:left="782" w:hanging="357"/>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8" w15:restartNumberingAfterBreak="0">
    <w:nsid w:val="00000024"/>
    <w:multiLevelType w:val="multilevel"/>
    <w:tmpl w:val="85F69412"/>
    <w:lvl w:ilvl="0">
      <w:start w:val="1"/>
      <w:numFmt w:val="lowerLetter"/>
      <w:lvlText w:val="%1)"/>
      <w:lvlJc w:val="left"/>
      <w:pPr>
        <w:tabs>
          <w:tab w:val="num" w:pos="788"/>
        </w:tabs>
        <w:ind w:left="788" w:hanging="360"/>
      </w:pPr>
      <w:rPr>
        <w:rFonts w:ascii="Garamond" w:eastAsia="Times New Roman" w:hAnsi="Garamond" w:cs="Times New Roman" w:hint="default"/>
        <w:caps w:val="0"/>
        <w:smallCaps w:val="0"/>
        <w:strike w:val="0"/>
        <w:dstrike w:val="0"/>
        <w:outline w:val="0"/>
        <w:color w:val="000000"/>
        <w:spacing w:val="0"/>
        <w:kern w:val="0"/>
        <w:position w:val="0"/>
        <w:sz w:val="28"/>
        <w:szCs w:val="28"/>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9" w15:restartNumberingAfterBreak="0">
    <w:nsid w:val="00000026"/>
    <w:multiLevelType w:val="multilevel"/>
    <w:tmpl w:val="45D8F978"/>
    <w:lvl w:ilvl="0">
      <w:start w:val="1"/>
      <w:numFmt w:val="lowerLetter"/>
      <w:lvlText w:val="%1)"/>
      <w:lvlJc w:val="left"/>
      <w:pPr>
        <w:tabs>
          <w:tab w:val="num" w:pos="782"/>
        </w:tabs>
        <w:ind w:left="782" w:hanging="357"/>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0" w15:restartNumberingAfterBreak="0">
    <w:nsid w:val="00000028"/>
    <w:multiLevelType w:val="multilevel"/>
    <w:tmpl w:val="919EF830"/>
    <w:lvl w:ilvl="0">
      <w:start w:val="1"/>
      <w:numFmt w:val="lowerLetter"/>
      <w:lvlText w:val="%1)"/>
      <w:lvlJc w:val="left"/>
      <w:pPr>
        <w:tabs>
          <w:tab w:val="num" w:pos="788"/>
        </w:tabs>
        <w:ind w:left="788" w:hanging="360"/>
      </w:pPr>
      <w:rPr>
        <w:rFonts w:ascii="Garamond" w:eastAsia="Times New Roman" w:hAnsi="Garamond" w:cs="Times New Roman" w:hint="default"/>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1" w15:restartNumberingAfterBreak="0">
    <w:nsid w:val="0000002A"/>
    <w:multiLevelType w:val="multilevel"/>
    <w:tmpl w:val="AE463A06"/>
    <w:lvl w:ilvl="0">
      <w:start w:val="1"/>
      <w:numFmt w:val="lowerLetter"/>
      <w:lvlText w:val="%1)"/>
      <w:lvlJc w:val="left"/>
      <w:pPr>
        <w:tabs>
          <w:tab w:val="num" w:pos="782"/>
        </w:tabs>
        <w:ind w:left="782" w:hanging="357"/>
      </w:pPr>
      <w:rPr>
        <w:rFonts w:ascii="Garamond" w:eastAsia="Garamond" w:hAnsi="Garamond" w:cs="Garamond"/>
        <w:i w:val="0"/>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2" w15:restartNumberingAfterBreak="0">
    <w:nsid w:val="0000002C"/>
    <w:multiLevelType w:val="multilevel"/>
    <w:tmpl w:val="995E3452"/>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8"/>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3" w15:restartNumberingAfterBreak="0">
    <w:nsid w:val="0000002E"/>
    <w:multiLevelType w:val="multilevel"/>
    <w:tmpl w:val="674C335C"/>
    <w:lvl w:ilvl="0">
      <w:start w:val="1"/>
      <w:numFmt w:val="lowerLetter"/>
      <w:lvlText w:val="%1)"/>
      <w:lvlJc w:val="left"/>
      <w:pPr>
        <w:tabs>
          <w:tab w:val="num" w:pos="782"/>
        </w:tabs>
        <w:ind w:left="782" w:hanging="357"/>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4" w15:restartNumberingAfterBreak="0">
    <w:nsid w:val="00000030"/>
    <w:multiLevelType w:val="multilevel"/>
    <w:tmpl w:val="BFBADC2A"/>
    <w:lvl w:ilvl="0">
      <w:start w:val="1"/>
      <w:numFmt w:val="decimal"/>
      <w:lvlText w:val="%1."/>
      <w:lvlJc w:val="left"/>
      <w:pPr>
        <w:tabs>
          <w:tab w:val="num" w:pos="142"/>
        </w:tabs>
        <w:ind w:left="142" w:hanging="141"/>
      </w:pPr>
      <w:rPr>
        <w:rFonts w:ascii="Garamond" w:eastAsia="Garamond" w:hAnsi="Garamond" w:cs="Garamond"/>
        <w:b w:val="0"/>
        <w:bCs/>
        <w:position w:val="0"/>
        <w:sz w:val="28"/>
        <w:szCs w:val="24"/>
        <w:lang w:val="en-US"/>
      </w:rPr>
    </w:lvl>
    <w:lvl w:ilvl="1">
      <w:start w:val="1"/>
      <w:numFmt w:val="lowerLetter"/>
      <w:lvlText w:val="%2."/>
      <w:lvlJc w:val="left"/>
      <w:pPr>
        <w:tabs>
          <w:tab w:val="num" w:pos="1440"/>
        </w:tabs>
        <w:ind w:left="1440" w:hanging="360"/>
      </w:pPr>
      <w:rPr>
        <w:rFonts w:ascii="Garamond" w:eastAsia="Garamond" w:hAnsi="Garamond" w:cs="Garamond"/>
        <w:b/>
        <w:bCs/>
        <w:position w:val="0"/>
        <w:sz w:val="24"/>
        <w:szCs w:val="24"/>
        <w:lang w:val="en-US"/>
      </w:rPr>
    </w:lvl>
    <w:lvl w:ilvl="2">
      <w:start w:val="1"/>
      <w:numFmt w:val="lowerRoman"/>
      <w:lvlText w:val="%3."/>
      <w:lvlJc w:val="left"/>
      <w:pPr>
        <w:tabs>
          <w:tab w:val="num" w:pos="2160"/>
        </w:tabs>
        <w:ind w:left="2160" w:hanging="296"/>
      </w:pPr>
      <w:rPr>
        <w:rFonts w:ascii="Garamond" w:eastAsia="Garamond" w:hAnsi="Garamond" w:cs="Garamond"/>
        <w:b/>
        <w:bCs/>
        <w:position w:val="0"/>
        <w:sz w:val="24"/>
        <w:szCs w:val="24"/>
        <w:lang w:val="en-US"/>
      </w:rPr>
    </w:lvl>
    <w:lvl w:ilvl="3">
      <w:start w:val="1"/>
      <w:numFmt w:val="decimal"/>
      <w:lvlText w:val="%4."/>
      <w:lvlJc w:val="left"/>
      <w:pPr>
        <w:tabs>
          <w:tab w:val="num" w:pos="2880"/>
        </w:tabs>
        <w:ind w:left="2880" w:hanging="360"/>
      </w:pPr>
      <w:rPr>
        <w:rFonts w:ascii="Garamond" w:eastAsia="Garamond" w:hAnsi="Garamond" w:cs="Garamond"/>
        <w:b/>
        <w:bCs/>
        <w:position w:val="0"/>
        <w:sz w:val="24"/>
        <w:szCs w:val="24"/>
        <w:lang w:val="en-US"/>
      </w:rPr>
    </w:lvl>
    <w:lvl w:ilvl="4">
      <w:start w:val="1"/>
      <w:numFmt w:val="lowerLetter"/>
      <w:lvlText w:val="%5."/>
      <w:lvlJc w:val="left"/>
      <w:pPr>
        <w:tabs>
          <w:tab w:val="num" w:pos="3600"/>
        </w:tabs>
        <w:ind w:left="3600" w:hanging="360"/>
      </w:pPr>
      <w:rPr>
        <w:rFonts w:ascii="Garamond" w:eastAsia="Garamond" w:hAnsi="Garamond" w:cs="Garamond"/>
        <w:b/>
        <w:bCs/>
        <w:position w:val="0"/>
        <w:sz w:val="24"/>
        <w:szCs w:val="24"/>
        <w:lang w:val="en-US"/>
      </w:rPr>
    </w:lvl>
    <w:lvl w:ilvl="5">
      <w:start w:val="1"/>
      <w:numFmt w:val="lowerRoman"/>
      <w:lvlText w:val="%6."/>
      <w:lvlJc w:val="left"/>
      <w:pPr>
        <w:tabs>
          <w:tab w:val="num" w:pos="4320"/>
        </w:tabs>
        <w:ind w:left="4320" w:hanging="296"/>
      </w:pPr>
      <w:rPr>
        <w:rFonts w:ascii="Garamond" w:eastAsia="Garamond" w:hAnsi="Garamond" w:cs="Garamond"/>
        <w:b/>
        <w:bCs/>
        <w:position w:val="0"/>
        <w:sz w:val="24"/>
        <w:szCs w:val="24"/>
        <w:lang w:val="en-US"/>
      </w:rPr>
    </w:lvl>
    <w:lvl w:ilvl="6">
      <w:start w:val="1"/>
      <w:numFmt w:val="decimal"/>
      <w:lvlText w:val="%7."/>
      <w:lvlJc w:val="left"/>
      <w:pPr>
        <w:tabs>
          <w:tab w:val="num" w:pos="5040"/>
        </w:tabs>
        <w:ind w:left="5040" w:hanging="360"/>
      </w:pPr>
      <w:rPr>
        <w:rFonts w:ascii="Garamond" w:eastAsia="Garamond" w:hAnsi="Garamond" w:cs="Garamond"/>
        <w:b/>
        <w:bCs/>
        <w:position w:val="0"/>
        <w:sz w:val="24"/>
        <w:szCs w:val="24"/>
        <w:lang w:val="en-US"/>
      </w:rPr>
    </w:lvl>
    <w:lvl w:ilvl="7">
      <w:start w:val="1"/>
      <w:numFmt w:val="lowerLetter"/>
      <w:lvlText w:val="%8."/>
      <w:lvlJc w:val="left"/>
      <w:pPr>
        <w:tabs>
          <w:tab w:val="num" w:pos="5760"/>
        </w:tabs>
        <w:ind w:left="5760" w:hanging="360"/>
      </w:pPr>
      <w:rPr>
        <w:rFonts w:ascii="Garamond" w:eastAsia="Garamond" w:hAnsi="Garamond" w:cs="Garamond"/>
        <w:b/>
        <w:bCs/>
        <w:position w:val="0"/>
        <w:sz w:val="24"/>
        <w:szCs w:val="24"/>
        <w:lang w:val="en-US"/>
      </w:rPr>
    </w:lvl>
    <w:lvl w:ilvl="8">
      <w:start w:val="1"/>
      <w:numFmt w:val="lowerRoman"/>
      <w:lvlText w:val="%9."/>
      <w:lvlJc w:val="left"/>
      <w:pPr>
        <w:tabs>
          <w:tab w:val="num" w:pos="6480"/>
        </w:tabs>
        <w:ind w:left="6480" w:hanging="296"/>
      </w:pPr>
      <w:rPr>
        <w:rFonts w:ascii="Garamond" w:eastAsia="Garamond" w:hAnsi="Garamond" w:cs="Garamond"/>
        <w:b/>
        <w:bCs/>
        <w:position w:val="0"/>
        <w:sz w:val="24"/>
        <w:szCs w:val="24"/>
        <w:lang w:val="en-US"/>
      </w:rPr>
    </w:lvl>
  </w:abstractNum>
  <w:abstractNum w:abstractNumId="15" w15:restartNumberingAfterBreak="0">
    <w:nsid w:val="00000031"/>
    <w:multiLevelType w:val="multilevel"/>
    <w:tmpl w:val="E81C3B8C"/>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16" w15:restartNumberingAfterBreak="0">
    <w:nsid w:val="00000034"/>
    <w:multiLevelType w:val="multilevel"/>
    <w:tmpl w:val="90FE0610"/>
    <w:lvl w:ilvl="0">
      <w:start w:val="1"/>
      <w:numFmt w:val="decimal"/>
      <w:lvlText w:val="%1."/>
      <w:lvlJc w:val="left"/>
      <w:pPr>
        <w:tabs>
          <w:tab w:val="num" w:pos="717"/>
        </w:tabs>
        <w:ind w:left="717" w:hanging="360"/>
      </w:pPr>
      <w:rPr>
        <w:rFonts w:ascii="Garamond" w:eastAsia="Garamond" w:hAnsi="Garamond" w:cs="Garamond"/>
        <w:color w:val="000000"/>
        <w:position w:val="0"/>
        <w:sz w:val="28"/>
        <w:szCs w:val="24"/>
        <w:u w:color="000000"/>
        <w:lang w:val="en-US"/>
      </w:rPr>
    </w:lvl>
    <w:lvl w:ilvl="1">
      <w:start w:val="1"/>
      <w:numFmt w:val="lowerLetter"/>
      <w:lvlText w:val="%2."/>
      <w:lvlJc w:val="left"/>
      <w:pPr>
        <w:tabs>
          <w:tab w:val="num" w:pos="1437"/>
        </w:tabs>
        <w:ind w:left="1437" w:hanging="360"/>
      </w:pPr>
      <w:rPr>
        <w:rFonts w:ascii="Garamond" w:eastAsia="Garamond" w:hAnsi="Garamond" w:cs="Garamond"/>
        <w:color w:val="000000"/>
        <w:position w:val="0"/>
        <w:sz w:val="24"/>
        <w:szCs w:val="24"/>
        <w:u w:color="000000"/>
        <w:lang w:val="en-US"/>
      </w:rPr>
    </w:lvl>
    <w:lvl w:ilvl="2">
      <w:start w:val="1"/>
      <w:numFmt w:val="lowerRoman"/>
      <w:lvlText w:val="%3."/>
      <w:lvlJc w:val="left"/>
      <w:pPr>
        <w:tabs>
          <w:tab w:val="num" w:pos="2157"/>
        </w:tabs>
        <w:ind w:left="2157" w:hanging="296"/>
      </w:pPr>
      <w:rPr>
        <w:rFonts w:ascii="Garamond" w:eastAsia="Garamond" w:hAnsi="Garamond" w:cs="Garamond"/>
        <w:color w:val="000000"/>
        <w:position w:val="0"/>
        <w:sz w:val="24"/>
        <w:szCs w:val="24"/>
        <w:u w:color="000000"/>
        <w:lang w:val="en-US"/>
      </w:rPr>
    </w:lvl>
    <w:lvl w:ilvl="3">
      <w:start w:val="1"/>
      <w:numFmt w:val="decimal"/>
      <w:lvlText w:val="%4."/>
      <w:lvlJc w:val="left"/>
      <w:pPr>
        <w:tabs>
          <w:tab w:val="num" w:pos="2877"/>
        </w:tabs>
        <w:ind w:left="2877" w:hanging="360"/>
      </w:pPr>
      <w:rPr>
        <w:rFonts w:ascii="Garamond" w:eastAsia="Garamond" w:hAnsi="Garamond" w:cs="Garamond"/>
        <w:color w:val="000000"/>
        <w:position w:val="0"/>
        <w:sz w:val="24"/>
        <w:szCs w:val="24"/>
        <w:u w:color="000000"/>
        <w:lang w:val="en-US"/>
      </w:rPr>
    </w:lvl>
    <w:lvl w:ilvl="4">
      <w:start w:val="1"/>
      <w:numFmt w:val="lowerLetter"/>
      <w:lvlText w:val="%5."/>
      <w:lvlJc w:val="left"/>
      <w:pPr>
        <w:tabs>
          <w:tab w:val="num" w:pos="3597"/>
        </w:tabs>
        <w:ind w:left="3597" w:hanging="360"/>
      </w:pPr>
      <w:rPr>
        <w:rFonts w:ascii="Garamond" w:eastAsia="Garamond" w:hAnsi="Garamond" w:cs="Garamond"/>
        <w:color w:val="000000"/>
        <w:position w:val="0"/>
        <w:sz w:val="24"/>
        <w:szCs w:val="24"/>
        <w:u w:color="000000"/>
        <w:lang w:val="en-US"/>
      </w:rPr>
    </w:lvl>
    <w:lvl w:ilvl="5">
      <w:start w:val="1"/>
      <w:numFmt w:val="lowerRoman"/>
      <w:lvlText w:val="%6."/>
      <w:lvlJc w:val="left"/>
      <w:pPr>
        <w:tabs>
          <w:tab w:val="num" w:pos="4317"/>
        </w:tabs>
        <w:ind w:left="4317" w:hanging="296"/>
      </w:pPr>
      <w:rPr>
        <w:rFonts w:ascii="Garamond" w:eastAsia="Garamond" w:hAnsi="Garamond" w:cs="Garamond"/>
        <w:color w:val="000000"/>
        <w:position w:val="0"/>
        <w:sz w:val="24"/>
        <w:szCs w:val="24"/>
        <w:u w:color="000000"/>
        <w:lang w:val="en-US"/>
      </w:rPr>
    </w:lvl>
    <w:lvl w:ilvl="6">
      <w:start w:val="1"/>
      <w:numFmt w:val="decimal"/>
      <w:lvlText w:val="%7."/>
      <w:lvlJc w:val="left"/>
      <w:pPr>
        <w:tabs>
          <w:tab w:val="num" w:pos="5037"/>
        </w:tabs>
        <w:ind w:left="5037" w:hanging="360"/>
      </w:pPr>
      <w:rPr>
        <w:rFonts w:ascii="Garamond" w:eastAsia="Garamond" w:hAnsi="Garamond" w:cs="Garamond"/>
        <w:color w:val="000000"/>
        <w:position w:val="0"/>
        <w:sz w:val="24"/>
        <w:szCs w:val="24"/>
        <w:u w:color="000000"/>
        <w:lang w:val="en-US"/>
      </w:rPr>
    </w:lvl>
    <w:lvl w:ilvl="7">
      <w:start w:val="1"/>
      <w:numFmt w:val="lowerLetter"/>
      <w:lvlText w:val="%8."/>
      <w:lvlJc w:val="left"/>
      <w:pPr>
        <w:tabs>
          <w:tab w:val="num" w:pos="5757"/>
        </w:tabs>
        <w:ind w:left="5757" w:hanging="360"/>
      </w:pPr>
      <w:rPr>
        <w:rFonts w:ascii="Garamond" w:eastAsia="Garamond" w:hAnsi="Garamond" w:cs="Garamond"/>
        <w:color w:val="000000"/>
        <w:position w:val="0"/>
        <w:sz w:val="24"/>
        <w:szCs w:val="24"/>
        <w:u w:color="000000"/>
        <w:lang w:val="en-US"/>
      </w:rPr>
    </w:lvl>
    <w:lvl w:ilvl="8">
      <w:start w:val="1"/>
      <w:numFmt w:val="lowerRoman"/>
      <w:lvlText w:val="%9."/>
      <w:lvlJc w:val="left"/>
      <w:pPr>
        <w:tabs>
          <w:tab w:val="num" w:pos="6477"/>
        </w:tabs>
        <w:ind w:left="6477" w:hanging="296"/>
      </w:pPr>
      <w:rPr>
        <w:rFonts w:ascii="Garamond" w:eastAsia="Garamond" w:hAnsi="Garamond" w:cs="Garamond"/>
        <w:color w:val="000000"/>
        <w:position w:val="0"/>
        <w:sz w:val="24"/>
        <w:szCs w:val="24"/>
        <w:u w:color="000000"/>
        <w:lang w:val="en-US"/>
      </w:rPr>
    </w:lvl>
  </w:abstractNum>
  <w:abstractNum w:abstractNumId="17" w15:restartNumberingAfterBreak="0">
    <w:nsid w:val="007F380B"/>
    <w:multiLevelType w:val="hybridMultilevel"/>
    <w:tmpl w:val="F97CB0CE"/>
    <w:lvl w:ilvl="0" w:tplc="65D2ACB2">
      <w:start w:val="1"/>
      <w:numFmt w:val="lowerLetter"/>
      <w:lvlText w:val="%1)"/>
      <w:lvlJc w:val="left"/>
      <w:pPr>
        <w:ind w:left="1429" w:hanging="360"/>
      </w:pPr>
      <w:rPr>
        <w:rFonts w:hint="default"/>
      </w:rPr>
    </w:lvl>
    <w:lvl w:ilvl="1" w:tplc="C780120A" w:tentative="1">
      <w:start w:val="1"/>
      <w:numFmt w:val="lowerLetter"/>
      <w:lvlText w:val="%2."/>
      <w:lvlJc w:val="left"/>
      <w:pPr>
        <w:ind w:left="2149" w:hanging="360"/>
      </w:pPr>
    </w:lvl>
    <w:lvl w:ilvl="2" w:tplc="45E4932C" w:tentative="1">
      <w:start w:val="1"/>
      <w:numFmt w:val="lowerRoman"/>
      <w:lvlText w:val="%3."/>
      <w:lvlJc w:val="right"/>
      <w:pPr>
        <w:ind w:left="2869" w:hanging="180"/>
      </w:pPr>
    </w:lvl>
    <w:lvl w:ilvl="3" w:tplc="7A9077B0" w:tentative="1">
      <w:start w:val="1"/>
      <w:numFmt w:val="decimal"/>
      <w:lvlText w:val="%4."/>
      <w:lvlJc w:val="left"/>
      <w:pPr>
        <w:ind w:left="3589" w:hanging="360"/>
      </w:pPr>
    </w:lvl>
    <w:lvl w:ilvl="4" w:tplc="29E48420" w:tentative="1">
      <w:start w:val="1"/>
      <w:numFmt w:val="lowerLetter"/>
      <w:lvlText w:val="%5."/>
      <w:lvlJc w:val="left"/>
      <w:pPr>
        <w:ind w:left="4309" w:hanging="360"/>
      </w:pPr>
    </w:lvl>
    <w:lvl w:ilvl="5" w:tplc="49A6DACA" w:tentative="1">
      <w:start w:val="1"/>
      <w:numFmt w:val="lowerRoman"/>
      <w:lvlText w:val="%6."/>
      <w:lvlJc w:val="right"/>
      <w:pPr>
        <w:ind w:left="5029" w:hanging="180"/>
      </w:pPr>
    </w:lvl>
    <w:lvl w:ilvl="6" w:tplc="F4144E56" w:tentative="1">
      <w:start w:val="1"/>
      <w:numFmt w:val="decimal"/>
      <w:lvlText w:val="%7."/>
      <w:lvlJc w:val="left"/>
      <w:pPr>
        <w:ind w:left="5749" w:hanging="360"/>
      </w:pPr>
    </w:lvl>
    <w:lvl w:ilvl="7" w:tplc="BD168BF0" w:tentative="1">
      <w:start w:val="1"/>
      <w:numFmt w:val="lowerLetter"/>
      <w:lvlText w:val="%8."/>
      <w:lvlJc w:val="left"/>
      <w:pPr>
        <w:ind w:left="6469" w:hanging="360"/>
      </w:pPr>
    </w:lvl>
    <w:lvl w:ilvl="8" w:tplc="D6DA0648" w:tentative="1">
      <w:start w:val="1"/>
      <w:numFmt w:val="lowerRoman"/>
      <w:lvlText w:val="%9."/>
      <w:lvlJc w:val="right"/>
      <w:pPr>
        <w:ind w:left="7189" w:hanging="180"/>
      </w:pPr>
    </w:lvl>
  </w:abstractNum>
  <w:abstractNum w:abstractNumId="18" w15:restartNumberingAfterBreak="0">
    <w:nsid w:val="00A6143D"/>
    <w:multiLevelType w:val="multilevel"/>
    <w:tmpl w:val="9622432A"/>
    <w:lvl w:ilvl="0">
      <w:start w:val="1"/>
      <w:numFmt w:val="lowerLetter"/>
      <w:lvlText w:val="%1)"/>
      <w:lvlJc w:val="left"/>
      <w:pPr>
        <w:tabs>
          <w:tab w:val="num" w:pos="210"/>
        </w:tabs>
        <w:ind w:left="210" w:hanging="210"/>
      </w:pPr>
      <w:rPr>
        <w:b w:val="0"/>
        <w:bCs/>
        <w:position w:val="0"/>
        <w:sz w:val="28"/>
        <w:szCs w:val="24"/>
        <w:lang w:val="en-US"/>
      </w:rPr>
    </w:lvl>
    <w:lvl w:ilvl="1">
      <w:start w:val="1"/>
      <w:numFmt w:val="lowerLetter"/>
      <w:lvlText w:val="%2."/>
      <w:lvlJc w:val="left"/>
      <w:pPr>
        <w:tabs>
          <w:tab w:val="num" w:pos="1789"/>
        </w:tabs>
        <w:ind w:left="1789" w:hanging="360"/>
      </w:pPr>
      <w:rPr>
        <w:rFonts w:ascii="Garamond" w:eastAsia="Garamond" w:hAnsi="Garamond" w:cs="Garamond"/>
        <w:b/>
        <w:bCs/>
        <w:position w:val="0"/>
        <w:sz w:val="24"/>
        <w:szCs w:val="24"/>
        <w:lang w:val="en-US"/>
      </w:rPr>
    </w:lvl>
    <w:lvl w:ilvl="2">
      <w:start w:val="1"/>
      <w:numFmt w:val="lowerRoman"/>
      <w:lvlText w:val="%3."/>
      <w:lvlJc w:val="left"/>
      <w:pPr>
        <w:tabs>
          <w:tab w:val="num" w:pos="2509"/>
        </w:tabs>
        <w:ind w:left="2509" w:hanging="296"/>
      </w:pPr>
      <w:rPr>
        <w:rFonts w:ascii="Garamond" w:eastAsia="Garamond" w:hAnsi="Garamond" w:cs="Garamond"/>
        <w:b/>
        <w:bCs/>
        <w:position w:val="0"/>
        <w:sz w:val="24"/>
        <w:szCs w:val="24"/>
        <w:lang w:val="en-US"/>
      </w:rPr>
    </w:lvl>
    <w:lvl w:ilvl="3">
      <w:start w:val="1"/>
      <w:numFmt w:val="decimal"/>
      <w:lvlText w:val="%4."/>
      <w:lvlJc w:val="left"/>
      <w:pPr>
        <w:tabs>
          <w:tab w:val="num" w:pos="3229"/>
        </w:tabs>
        <w:ind w:left="3229" w:hanging="360"/>
      </w:pPr>
      <w:rPr>
        <w:rFonts w:ascii="Garamond" w:eastAsia="Garamond" w:hAnsi="Garamond" w:cs="Garamond"/>
        <w:b/>
        <w:bCs/>
        <w:position w:val="0"/>
        <w:sz w:val="24"/>
        <w:szCs w:val="24"/>
        <w:lang w:val="en-US"/>
      </w:rPr>
    </w:lvl>
    <w:lvl w:ilvl="4">
      <w:start w:val="1"/>
      <w:numFmt w:val="lowerLetter"/>
      <w:lvlText w:val="%5."/>
      <w:lvlJc w:val="left"/>
      <w:pPr>
        <w:tabs>
          <w:tab w:val="num" w:pos="3949"/>
        </w:tabs>
        <w:ind w:left="3949" w:hanging="360"/>
      </w:pPr>
      <w:rPr>
        <w:rFonts w:ascii="Garamond" w:eastAsia="Garamond" w:hAnsi="Garamond" w:cs="Garamond"/>
        <w:b/>
        <w:bCs/>
        <w:position w:val="0"/>
        <w:sz w:val="24"/>
        <w:szCs w:val="24"/>
        <w:lang w:val="en-US"/>
      </w:rPr>
    </w:lvl>
    <w:lvl w:ilvl="5">
      <w:start w:val="1"/>
      <w:numFmt w:val="lowerRoman"/>
      <w:lvlText w:val="%6."/>
      <w:lvlJc w:val="left"/>
      <w:pPr>
        <w:tabs>
          <w:tab w:val="num" w:pos="4669"/>
        </w:tabs>
        <w:ind w:left="4669" w:hanging="296"/>
      </w:pPr>
      <w:rPr>
        <w:rFonts w:ascii="Garamond" w:eastAsia="Garamond" w:hAnsi="Garamond" w:cs="Garamond"/>
        <w:b/>
        <w:bCs/>
        <w:position w:val="0"/>
        <w:sz w:val="24"/>
        <w:szCs w:val="24"/>
        <w:lang w:val="en-US"/>
      </w:rPr>
    </w:lvl>
    <w:lvl w:ilvl="6">
      <w:start w:val="1"/>
      <w:numFmt w:val="decimal"/>
      <w:lvlText w:val="%7."/>
      <w:lvlJc w:val="left"/>
      <w:pPr>
        <w:tabs>
          <w:tab w:val="num" w:pos="5389"/>
        </w:tabs>
        <w:ind w:left="5389" w:hanging="360"/>
      </w:pPr>
      <w:rPr>
        <w:rFonts w:ascii="Garamond" w:eastAsia="Garamond" w:hAnsi="Garamond" w:cs="Garamond"/>
        <w:b/>
        <w:bCs/>
        <w:position w:val="0"/>
        <w:sz w:val="24"/>
        <w:szCs w:val="24"/>
        <w:lang w:val="en-US"/>
      </w:rPr>
    </w:lvl>
    <w:lvl w:ilvl="7">
      <w:start w:val="1"/>
      <w:numFmt w:val="lowerLetter"/>
      <w:lvlText w:val="%8."/>
      <w:lvlJc w:val="left"/>
      <w:pPr>
        <w:tabs>
          <w:tab w:val="num" w:pos="6109"/>
        </w:tabs>
        <w:ind w:left="6109" w:hanging="360"/>
      </w:pPr>
      <w:rPr>
        <w:rFonts w:ascii="Garamond" w:eastAsia="Garamond" w:hAnsi="Garamond" w:cs="Garamond"/>
        <w:b/>
        <w:bCs/>
        <w:position w:val="0"/>
        <w:sz w:val="24"/>
        <w:szCs w:val="24"/>
        <w:lang w:val="en-US"/>
      </w:rPr>
    </w:lvl>
    <w:lvl w:ilvl="8">
      <w:start w:val="1"/>
      <w:numFmt w:val="lowerRoman"/>
      <w:lvlText w:val="%9."/>
      <w:lvlJc w:val="left"/>
      <w:pPr>
        <w:tabs>
          <w:tab w:val="num" w:pos="6829"/>
        </w:tabs>
        <w:ind w:left="6829" w:hanging="296"/>
      </w:pPr>
      <w:rPr>
        <w:rFonts w:ascii="Garamond" w:eastAsia="Garamond" w:hAnsi="Garamond" w:cs="Garamond"/>
        <w:b/>
        <w:bCs/>
        <w:position w:val="0"/>
        <w:sz w:val="24"/>
        <w:szCs w:val="24"/>
        <w:lang w:val="en-US"/>
      </w:rPr>
    </w:lvl>
  </w:abstractNum>
  <w:abstractNum w:abstractNumId="19" w15:restartNumberingAfterBreak="0">
    <w:nsid w:val="00CA6D00"/>
    <w:multiLevelType w:val="multilevel"/>
    <w:tmpl w:val="DA9639B4"/>
    <w:styleLink w:val="List0"/>
    <w:lvl w:ilvl="0">
      <w:start w:val="1"/>
      <w:numFmt w:val="lowerRoman"/>
      <w:lvlText w:val="%1."/>
      <w:lvlJc w:val="left"/>
      <w:pPr>
        <w:tabs>
          <w:tab w:val="num" w:pos="465"/>
        </w:tabs>
        <w:ind w:left="465" w:hanging="465"/>
      </w:pPr>
      <w:rPr>
        <w:position w:val="0"/>
        <w:sz w:val="24"/>
        <w:szCs w:val="24"/>
      </w:rPr>
    </w:lvl>
    <w:lvl w:ilvl="1">
      <w:start w:val="1"/>
      <w:numFmt w:val="lowerRoman"/>
      <w:lvlText w:val="%2."/>
      <w:lvlJc w:val="left"/>
      <w:pPr>
        <w:tabs>
          <w:tab w:val="num" w:pos="12484"/>
        </w:tabs>
        <w:ind w:left="12484"/>
      </w:pPr>
      <w:rPr>
        <w:position w:val="0"/>
        <w:sz w:val="24"/>
        <w:szCs w:val="24"/>
      </w:rPr>
    </w:lvl>
    <w:lvl w:ilvl="2">
      <w:start w:val="1"/>
      <w:numFmt w:val="lowerRoman"/>
      <w:lvlText w:val="%3."/>
      <w:lvlJc w:val="left"/>
      <w:pPr>
        <w:tabs>
          <w:tab w:val="num" w:pos="12484"/>
        </w:tabs>
        <w:ind w:left="12484"/>
      </w:pPr>
      <w:rPr>
        <w:position w:val="0"/>
        <w:sz w:val="24"/>
        <w:szCs w:val="24"/>
      </w:rPr>
    </w:lvl>
    <w:lvl w:ilvl="3">
      <w:start w:val="1"/>
      <w:numFmt w:val="lowerRoman"/>
      <w:lvlText w:val="%4."/>
      <w:lvlJc w:val="left"/>
      <w:pPr>
        <w:tabs>
          <w:tab w:val="num" w:pos="12484"/>
        </w:tabs>
        <w:ind w:left="12484"/>
      </w:pPr>
      <w:rPr>
        <w:position w:val="0"/>
        <w:sz w:val="24"/>
        <w:szCs w:val="24"/>
      </w:rPr>
    </w:lvl>
    <w:lvl w:ilvl="4">
      <w:start w:val="1"/>
      <w:numFmt w:val="lowerRoman"/>
      <w:lvlText w:val="%5."/>
      <w:lvlJc w:val="left"/>
      <w:pPr>
        <w:tabs>
          <w:tab w:val="num" w:pos="12484"/>
        </w:tabs>
        <w:ind w:left="12484"/>
      </w:pPr>
      <w:rPr>
        <w:position w:val="0"/>
        <w:sz w:val="24"/>
        <w:szCs w:val="24"/>
      </w:rPr>
    </w:lvl>
    <w:lvl w:ilvl="5">
      <w:start w:val="1"/>
      <w:numFmt w:val="lowerRoman"/>
      <w:lvlText w:val="%6."/>
      <w:lvlJc w:val="left"/>
      <w:pPr>
        <w:tabs>
          <w:tab w:val="num" w:pos="12484"/>
        </w:tabs>
        <w:ind w:left="12484"/>
      </w:pPr>
      <w:rPr>
        <w:position w:val="0"/>
        <w:sz w:val="24"/>
        <w:szCs w:val="24"/>
      </w:rPr>
    </w:lvl>
    <w:lvl w:ilvl="6">
      <w:start w:val="1"/>
      <w:numFmt w:val="lowerRoman"/>
      <w:lvlText w:val="%7."/>
      <w:lvlJc w:val="left"/>
      <w:pPr>
        <w:tabs>
          <w:tab w:val="num" w:pos="12484"/>
        </w:tabs>
        <w:ind w:left="12484"/>
      </w:pPr>
      <w:rPr>
        <w:position w:val="0"/>
        <w:sz w:val="24"/>
        <w:szCs w:val="24"/>
      </w:rPr>
    </w:lvl>
    <w:lvl w:ilvl="7">
      <w:start w:val="1"/>
      <w:numFmt w:val="lowerRoman"/>
      <w:lvlText w:val="%8."/>
      <w:lvlJc w:val="left"/>
      <w:pPr>
        <w:tabs>
          <w:tab w:val="num" w:pos="12484"/>
        </w:tabs>
        <w:ind w:left="12484"/>
      </w:pPr>
      <w:rPr>
        <w:position w:val="0"/>
        <w:sz w:val="24"/>
        <w:szCs w:val="24"/>
      </w:rPr>
    </w:lvl>
    <w:lvl w:ilvl="8">
      <w:start w:val="1"/>
      <w:numFmt w:val="lowerRoman"/>
      <w:lvlText w:val="%9."/>
      <w:lvlJc w:val="left"/>
      <w:pPr>
        <w:tabs>
          <w:tab w:val="num" w:pos="12484"/>
        </w:tabs>
        <w:ind w:left="12484"/>
      </w:pPr>
      <w:rPr>
        <w:position w:val="0"/>
        <w:sz w:val="24"/>
        <w:szCs w:val="24"/>
      </w:rPr>
    </w:lvl>
  </w:abstractNum>
  <w:abstractNum w:abstractNumId="20" w15:restartNumberingAfterBreak="0">
    <w:nsid w:val="01106064"/>
    <w:multiLevelType w:val="hybridMultilevel"/>
    <w:tmpl w:val="603C37A8"/>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21" w15:restartNumberingAfterBreak="0">
    <w:nsid w:val="011117EA"/>
    <w:multiLevelType w:val="hybridMultilevel"/>
    <w:tmpl w:val="D0E0A020"/>
    <w:lvl w:ilvl="0" w:tplc="04220017">
      <w:start w:val="1"/>
      <w:numFmt w:val="low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 w15:restartNumberingAfterBreak="0">
    <w:nsid w:val="012057CB"/>
    <w:multiLevelType w:val="hybridMultilevel"/>
    <w:tmpl w:val="7862A7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019603CF"/>
    <w:multiLevelType w:val="hybridMultilevel"/>
    <w:tmpl w:val="B804159E"/>
    <w:lvl w:ilvl="0" w:tplc="0422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021F0E57"/>
    <w:multiLevelType w:val="hybridMultilevel"/>
    <w:tmpl w:val="753C025A"/>
    <w:lvl w:ilvl="0" w:tplc="1A408BF8">
      <w:start w:val="1"/>
      <w:numFmt w:val="decimal"/>
      <w:lvlText w:val="%1."/>
      <w:lvlJc w:val="left"/>
      <w:pPr>
        <w:ind w:left="1070" w:hanging="360"/>
      </w:pPr>
      <w:rPr>
        <w:rFonts w:hint="default"/>
      </w:rPr>
    </w:lvl>
    <w:lvl w:ilvl="1" w:tplc="21C2516C">
      <w:start w:val="1"/>
      <w:numFmt w:val="decimal"/>
      <w:lvlText w:val="%2)"/>
      <w:lvlJc w:val="left"/>
      <w:pPr>
        <w:ind w:left="1440" w:hanging="360"/>
      </w:pPr>
      <w:rPr>
        <w:rFonts w:hint="default"/>
      </w:rPr>
    </w:lvl>
    <w:lvl w:ilvl="2" w:tplc="14CC167C" w:tentative="1">
      <w:start w:val="1"/>
      <w:numFmt w:val="lowerRoman"/>
      <w:lvlText w:val="%3."/>
      <w:lvlJc w:val="right"/>
      <w:pPr>
        <w:ind w:left="2160" w:hanging="180"/>
      </w:pPr>
    </w:lvl>
    <w:lvl w:ilvl="3" w:tplc="D004B7BC" w:tentative="1">
      <w:start w:val="1"/>
      <w:numFmt w:val="decimal"/>
      <w:lvlText w:val="%4."/>
      <w:lvlJc w:val="left"/>
      <w:pPr>
        <w:ind w:left="2880" w:hanging="360"/>
      </w:pPr>
    </w:lvl>
    <w:lvl w:ilvl="4" w:tplc="28860B74" w:tentative="1">
      <w:start w:val="1"/>
      <w:numFmt w:val="lowerLetter"/>
      <w:lvlText w:val="%5."/>
      <w:lvlJc w:val="left"/>
      <w:pPr>
        <w:ind w:left="3600" w:hanging="360"/>
      </w:pPr>
    </w:lvl>
    <w:lvl w:ilvl="5" w:tplc="B73ACD70" w:tentative="1">
      <w:start w:val="1"/>
      <w:numFmt w:val="lowerRoman"/>
      <w:lvlText w:val="%6."/>
      <w:lvlJc w:val="right"/>
      <w:pPr>
        <w:ind w:left="4320" w:hanging="180"/>
      </w:pPr>
    </w:lvl>
    <w:lvl w:ilvl="6" w:tplc="C2945BA8" w:tentative="1">
      <w:start w:val="1"/>
      <w:numFmt w:val="decimal"/>
      <w:lvlText w:val="%7."/>
      <w:lvlJc w:val="left"/>
      <w:pPr>
        <w:ind w:left="5040" w:hanging="360"/>
      </w:pPr>
    </w:lvl>
    <w:lvl w:ilvl="7" w:tplc="9EA0CEB6" w:tentative="1">
      <w:start w:val="1"/>
      <w:numFmt w:val="lowerLetter"/>
      <w:lvlText w:val="%8."/>
      <w:lvlJc w:val="left"/>
      <w:pPr>
        <w:ind w:left="5760" w:hanging="360"/>
      </w:pPr>
    </w:lvl>
    <w:lvl w:ilvl="8" w:tplc="B5DA193C" w:tentative="1">
      <w:start w:val="1"/>
      <w:numFmt w:val="lowerRoman"/>
      <w:lvlText w:val="%9."/>
      <w:lvlJc w:val="right"/>
      <w:pPr>
        <w:ind w:left="6480" w:hanging="180"/>
      </w:pPr>
    </w:lvl>
  </w:abstractNum>
  <w:abstractNum w:abstractNumId="25" w15:restartNumberingAfterBreak="0">
    <w:nsid w:val="024E0AF4"/>
    <w:multiLevelType w:val="hybridMultilevel"/>
    <w:tmpl w:val="95F2DBD2"/>
    <w:styleLink w:val="411"/>
    <w:lvl w:ilvl="0" w:tplc="F63E296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02C436C8"/>
    <w:multiLevelType w:val="hybridMultilevel"/>
    <w:tmpl w:val="CC1AAD98"/>
    <w:lvl w:ilvl="0" w:tplc="0422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033E7EB9"/>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28" w15:restartNumberingAfterBreak="0">
    <w:nsid w:val="03767ABC"/>
    <w:multiLevelType w:val="hybridMultilevel"/>
    <w:tmpl w:val="6C683DB4"/>
    <w:lvl w:ilvl="0" w:tplc="7004D22A">
      <w:start w:val="1"/>
      <w:numFmt w:val="lowerLetter"/>
      <w:lvlText w:val="%1)"/>
      <w:lvlJc w:val="left"/>
      <w:pPr>
        <w:ind w:left="1080" w:hanging="360"/>
      </w:pPr>
      <w:rPr>
        <w:rFonts w:ascii="Garamond" w:hAnsi="Garamond" w:hint="default"/>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9" w15:restartNumberingAfterBreak="0">
    <w:nsid w:val="038E09E9"/>
    <w:multiLevelType w:val="multilevel"/>
    <w:tmpl w:val="5FB645A0"/>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30" w15:restartNumberingAfterBreak="0">
    <w:nsid w:val="03B31E40"/>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04A00D3E"/>
    <w:multiLevelType w:val="hybridMultilevel"/>
    <w:tmpl w:val="89A025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05FF4209"/>
    <w:multiLevelType w:val="hybridMultilevel"/>
    <w:tmpl w:val="F97CB0CE"/>
    <w:lvl w:ilvl="0" w:tplc="EABE1550">
      <w:start w:val="1"/>
      <w:numFmt w:val="lowerLetter"/>
      <w:lvlText w:val="%1)"/>
      <w:lvlJc w:val="left"/>
      <w:pPr>
        <w:ind w:left="1429" w:hanging="360"/>
      </w:pPr>
      <w:rPr>
        <w:rFonts w:hint="default"/>
      </w:rPr>
    </w:lvl>
    <w:lvl w:ilvl="1" w:tplc="24DEAC2E" w:tentative="1">
      <w:start w:val="1"/>
      <w:numFmt w:val="lowerLetter"/>
      <w:lvlText w:val="%2."/>
      <w:lvlJc w:val="left"/>
      <w:pPr>
        <w:ind w:left="2149" w:hanging="360"/>
      </w:pPr>
    </w:lvl>
    <w:lvl w:ilvl="2" w:tplc="16DC6816" w:tentative="1">
      <w:start w:val="1"/>
      <w:numFmt w:val="lowerRoman"/>
      <w:lvlText w:val="%3."/>
      <w:lvlJc w:val="right"/>
      <w:pPr>
        <w:ind w:left="2869" w:hanging="180"/>
      </w:pPr>
    </w:lvl>
    <w:lvl w:ilvl="3" w:tplc="A608EE0E" w:tentative="1">
      <w:start w:val="1"/>
      <w:numFmt w:val="decimal"/>
      <w:lvlText w:val="%4."/>
      <w:lvlJc w:val="left"/>
      <w:pPr>
        <w:ind w:left="3589" w:hanging="360"/>
      </w:pPr>
    </w:lvl>
    <w:lvl w:ilvl="4" w:tplc="40D22F1C" w:tentative="1">
      <w:start w:val="1"/>
      <w:numFmt w:val="lowerLetter"/>
      <w:lvlText w:val="%5."/>
      <w:lvlJc w:val="left"/>
      <w:pPr>
        <w:ind w:left="4309" w:hanging="360"/>
      </w:pPr>
    </w:lvl>
    <w:lvl w:ilvl="5" w:tplc="B7361E96" w:tentative="1">
      <w:start w:val="1"/>
      <w:numFmt w:val="lowerRoman"/>
      <w:lvlText w:val="%6."/>
      <w:lvlJc w:val="right"/>
      <w:pPr>
        <w:ind w:left="5029" w:hanging="180"/>
      </w:pPr>
    </w:lvl>
    <w:lvl w:ilvl="6" w:tplc="BAA84C5C" w:tentative="1">
      <w:start w:val="1"/>
      <w:numFmt w:val="decimal"/>
      <w:lvlText w:val="%7."/>
      <w:lvlJc w:val="left"/>
      <w:pPr>
        <w:ind w:left="5749" w:hanging="360"/>
      </w:pPr>
    </w:lvl>
    <w:lvl w:ilvl="7" w:tplc="DB4A2426" w:tentative="1">
      <w:start w:val="1"/>
      <w:numFmt w:val="lowerLetter"/>
      <w:lvlText w:val="%8."/>
      <w:lvlJc w:val="left"/>
      <w:pPr>
        <w:ind w:left="6469" w:hanging="360"/>
      </w:pPr>
    </w:lvl>
    <w:lvl w:ilvl="8" w:tplc="25629C9C" w:tentative="1">
      <w:start w:val="1"/>
      <w:numFmt w:val="lowerRoman"/>
      <w:lvlText w:val="%9."/>
      <w:lvlJc w:val="right"/>
      <w:pPr>
        <w:ind w:left="7189" w:hanging="180"/>
      </w:pPr>
    </w:lvl>
  </w:abstractNum>
  <w:abstractNum w:abstractNumId="33" w15:restartNumberingAfterBreak="0">
    <w:nsid w:val="06AE6911"/>
    <w:multiLevelType w:val="hybridMultilevel"/>
    <w:tmpl w:val="5916147C"/>
    <w:lvl w:ilvl="0" w:tplc="53B4B280">
      <w:start w:val="1"/>
      <w:numFmt w:val="decimal"/>
      <w:lvlText w:val="%1."/>
      <w:lvlJc w:val="left"/>
      <w:pPr>
        <w:ind w:left="1070" w:hanging="360"/>
      </w:pPr>
      <w:rPr>
        <w:rFonts w:hint="default"/>
        <w:sz w:val="28"/>
      </w:rPr>
    </w:lvl>
    <w:lvl w:ilvl="1" w:tplc="21C2516C">
      <w:start w:val="1"/>
      <w:numFmt w:val="decimal"/>
      <w:lvlText w:val="%2)"/>
      <w:lvlJc w:val="left"/>
      <w:pPr>
        <w:ind w:left="1440" w:hanging="360"/>
      </w:pPr>
      <w:rPr>
        <w:rFonts w:hint="default"/>
      </w:rPr>
    </w:lvl>
    <w:lvl w:ilvl="2" w:tplc="14CC167C" w:tentative="1">
      <w:start w:val="1"/>
      <w:numFmt w:val="lowerRoman"/>
      <w:lvlText w:val="%3."/>
      <w:lvlJc w:val="right"/>
      <w:pPr>
        <w:ind w:left="2160" w:hanging="180"/>
      </w:pPr>
    </w:lvl>
    <w:lvl w:ilvl="3" w:tplc="D004B7BC" w:tentative="1">
      <w:start w:val="1"/>
      <w:numFmt w:val="decimal"/>
      <w:lvlText w:val="%4."/>
      <w:lvlJc w:val="left"/>
      <w:pPr>
        <w:ind w:left="2880" w:hanging="360"/>
      </w:pPr>
    </w:lvl>
    <w:lvl w:ilvl="4" w:tplc="28860B74" w:tentative="1">
      <w:start w:val="1"/>
      <w:numFmt w:val="lowerLetter"/>
      <w:lvlText w:val="%5."/>
      <w:lvlJc w:val="left"/>
      <w:pPr>
        <w:ind w:left="3600" w:hanging="360"/>
      </w:pPr>
    </w:lvl>
    <w:lvl w:ilvl="5" w:tplc="B73ACD70" w:tentative="1">
      <w:start w:val="1"/>
      <w:numFmt w:val="lowerRoman"/>
      <w:lvlText w:val="%6."/>
      <w:lvlJc w:val="right"/>
      <w:pPr>
        <w:ind w:left="4320" w:hanging="180"/>
      </w:pPr>
    </w:lvl>
    <w:lvl w:ilvl="6" w:tplc="C2945BA8" w:tentative="1">
      <w:start w:val="1"/>
      <w:numFmt w:val="decimal"/>
      <w:lvlText w:val="%7."/>
      <w:lvlJc w:val="left"/>
      <w:pPr>
        <w:ind w:left="5040" w:hanging="360"/>
      </w:pPr>
    </w:lvl>
    <w:lvl w:ilvl="7" w:tplc="9EA0CEB6" w:tentative="1">
      <w:start w:val="1"/>
      <w:numFmt w:val="lowerLetter"/>
      <w:lvlText w:val="%8."/>
      <w:lvlJc w:val="left"/>
      <w:pPr>
        <w:ind w:left="5760" w:hanging="360"/>
      </w:pPr>
    </w:lvl>
    <w:lvl w:ilvl="8" w:tplc="B5DA193C" w:tentative="1">
      <w:start w:val="1"/>
      <w:numFmt w:val="lowerRoman"/>
      <w:lvlText w:val="%9."/>
      <w:lvlJc w:val="right"/>
      <w:pPr>
        <w:ind w:left="6480" w:hanging="180"/>
      </w:pPr>
    </w:lvl>
  </w:abstractNum>
  <w:abstractNum w:abstractNumId="34" w15:restartNumberingAfterBreak="0">
    <w:nsid w:val="0776767B"/>
    <w:multiLevelType w:val="hybridMultilevel"/>
    <w:tmpl w:val="AC2A3E14"/>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35" w15:restartNumberingAfterBreak="0">
    <w:nsid w:val="082359ED"/>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36" w15:restartNumberingAfterBreak="0">
    <w:nsid w:val="083213D6"/>
    <w:multiLevelType w:val="hybridMultilevel"/>
    <w:tmpl w:val="33A82EEA"/>
    <w:lvl w:ilvl="0" w:tplc="0422000F">
      <w:start w:val="1"/>
      <w:numFmt w:val="decimal"/>
      <w:lvlText w:val="%1."/>
      <w:lvlJc w:val="left"/>
      <w:pPr>
        <w:ind w:left="644" w:hanging="360"/>
      </w:p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7" w15:restartNumberingAfterBreak="0">
    <w:nsid w:val="08E03B12"/>
    <w:multiLevelType w:val="hybridMultilevel"/>
    <w:tmpl w:val="F97CB0CE"/>
    <w:lvl w:ilvl="0" w:tplc="65D2ACB2">
      <w:start w:val="1"/>
      <w:numFmt w:val="lowerLetter"/>
      <w:lvlText w:val="%1)"/>
      <w:lvlJc w:val="left"/>
      <w:pPr>
        <w:ind w:left="1429" w:hanging="360"/>
      </w:pPr>
      <w:rPr>
        <w:rFonts w:hint="default"/>
      </w:rPr>
    </w:lvl>
    <w:lvl w:ilvl="1" w:tplc="C780120A" w:tentative="1">
      <w:start w:val="1"/>
      <w:numFmt w:val="lowerLetter"/>
      <w:lvlText w:val="%2."/>
      <w:lvlJc w:val="left"/>
      <w:pPr>
        <w:ind w:left="2149" w:hanging="360"/>
      </w:pPr>
    </w:lvl>
    <w:lvl w:ilvl="2" w:tplc="45E4932C" w:tentative="1">
      <w:start w:val="1"/>
      <w:numFmt w:val="lowerRoman"/>
      <w:lvlText w:val="%3."/>
      <w:lvlJc w:val="right"/>
      <w:pPr>
        <w:ind w:left="2869" w:hanging="180"/>
      </w:pPr>
    </w:lvl>
    <w:lvl w:ilvl="3" w:tplc="7A9077B0" w:tentative="1">
      <w:start w:val="1"/>
      <w:numFmt w:val="decimal"/>
      <w:lvlText w:val="%4."/>
      <w:lvlJc w:val="left"/>
      <w:pPr>
        <w:ind w:left="3589" w:hanging="360"/>
      </w:pPr>
    </w:lvl>
    <w:lvl w:ilvl="4" w:tplc="29E48420" w:tentative="1">
      <w:start w:val="1"/>
      <w:numFmt w:val="lowerLetter"/>
      <w:lvlText w:val="%5."/>
      <w:lvlJc w:val="left"/>
      <w:pPr>
        <w:ind w:left="4309" w:hanging="360"/>
      </w:pPr>
    </w:lvl>
    <w:lvl w:ilvl="5" w:tplc="49A6DACA" w:tentative="1">
      <w:start w:val="1"/>
      <w:numFmt w:val="lowerRoman"/>
      <w:lvlText w:val="%6."/>
      <w:lvlJc w:val="right"/>
      <w:pPr>
        <w:ind w:left="5029" w:hanging="180"/>
      </w:pPr>
    </w:lvl>
    <w:lvl w:ilvl="6" w:tplc="F4144E56" w:tentative="1">
      <w:start w:val="1"/>
      <w:numFmt w:val="decimal"/>
      <w:lvlText w:val="%7."/>
      <w:lvlJc w:val="left"/>
      <w:pPr>
        <w:ind w:left="5749" w:hanging="360"/>
      </w:pPr>
    </w:lvl>
    <w:lvl w:ilvl="7" w:tplc="BD168BF0" w:tentative="1">
      <w:start w:val="1"/>
      <w:numFmt w:val="lowerLetter"/>
      <w:lvlText w:val="%8."/>
      <w:lvlJc w:val="left"/>
      <w:pPr>
        <w:ind w:left="6469" w:hanging="360"/>
      </w:pPr>
    </w:lvl>
    <w:lvl w:ilvl="8" w:tplc="D6DA0648" w:tentative="1">
      <w:start w:val="1"/>
      <w:numFmt w:val="lowerRoman"/>
      <w:lvlText w:val="%9."/>
      <w:lvlJc w:val="right"/>
      <w:pPr>
        <w:ind w:left="7189" w:hanging="180"/>
      </w:pPr>
    </w:lvl>
  </w:abstractNum>
  <w:abstractNum w:abstractNumId="38" w15:restartNumberingAfterBreak="0">
    <w:nsid w:val="08EA2353"/>
    <w:multiLevelType w:val="multilevel"/>
    <w:tmpl w:val="AE463A06"/>
    <w:lvl w:ilvl="0">
      <w:start w:val="1"/>
      <w:numFmt w:val="lowerLetter"/>
      <w:lvlText w:val="%1)"/>
      <w:lvlJc w:val="left"/>
      <w:pPr>
        <w:tabs>
          <w:tab w:val="num" w:pos="782"/>
        </w:tabs>
        <w:ind w:left="782" w:hanging="357"/>
      </w:pPr>
      <w:rPr>
        <w:rFonts w:ascii="Garamond" w:eastAsia="Garamond" w:hAnsi="Garamond" w:cs="Garamond"/>
        <w:i w:val="0"/>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39" w15:restartNumberingAfterBreak="0">
    <w:nsid w:val="091474D8"/>
    <w:multiLevelType w:val="hybridMultilevel"/>
    <w:tmpl w:val="882C993C"/>
    <w:lvl w:ilvl="0" w:tplc="005412F0">
      <w:start w:val="1"/>
      <w:numFmt w:val="lowerLetter"/>
      <w:lvlText w:val="%1)"/>
      <w:lvlJc w:val="left"/>
      <w:pPr>
        <w:ind w:left="1077" w:hanging="360"/>
      </w:pPr>
    </w:lvl>
    <w:lvl w:ilvl="1" w:tplc="F4004870" w:tentative="1">
      <w:start w:val="1"/>
      <w:numFmt w:val="lowerLetter"/>
      <w:lvlText w:val="%2."/>
      <w:lvlJc w:val="left"/>
      <w:pPr>
        <w:ind w:left="1797" w:hanging="360"/>
      </w:pPr>
    </w:lvl>
    <w:lvl w:ilvl="2" w:tplc="4B684A0C" w:tentative="1">
      <w:start w:val="1"/>
      <w:numFmt w:val="lowerRoman"/>
      <w:lvlText w:val="%3."/>
      <w:lvlJc w:val="right"/>
      <w:pPr>
        <w:ind w:left="2517" w:hanging="180"/>
      </w:pPr>
    </w:lvl>
    <w:lvl w:ilvl="3" w:tplc="0720C902" w:tentative="1">
      <w:start w:val="1"/>
      <w:numFmt w:val="decimal"/>
      <w:lvlText w:val="%4."/>
      <w:lvlJc w:val="left"/>
      <w:pPr>
        <w:ind w:left="3237" w:hanging="360"/>
      </w:pPr>
    </w:lvl>
    <w:lvl w:ilvl="4" w:tplc="0F4632E4" w:tentative="1">
      <w:start w:val="1"/>
      <w:numFmt w:val="lowerLetter"/>
      <w:lvlText w:val="%5."/>
      <w:lvlJc w:val="left"/>
      <w:pPr>
        <w:ind w:left="3957" w:hanging="360"/>
      </w:pPr>
    </w:lvl>
    <w:lvl w:ilvl="5" w:tplc="9E6ABA0E" w:tentative="1">
      <w:start w:val="1"/>
      <w:numFmt w:val="lowerRoman"/>
      <w:lvlText w:val="%6."/>
      <w:lvlJc w:val="right"/>
      <w:pPr>
        <w:ind w:left="4677" w:hanging="180"/>
      </w:pPr>
    </w:lvl>
    <w:lvl w:ilvl="6" w:tplc="25B62E46" w:tentative="1">
      <w:start w:val="1"/>
      <w:numFmt w:val="decimal"/>
      <w:lvlText w:val="%7."/>
      <w:lvlJc w:val="left"/>
      <w:pPr>
        <w:ind w:left="5397" w:hanging="360"/>
      </w:pPr>
    </w:lvl>
    <w:lvl w:ilvl="7" w:tplc="8BA00438" w:tentative="1">
      <w:start w:val="1"/>
      <w:numFmt w:val="lowerLetter"/>
      <w:lvlText w:val="%8."/>
      <w:lvlJc w:val="left"/>
      <w:pPr>
        <w:ind w:left="6117" w:hanging="360"/>
      </w:pPr>
    </w:lvl>
    <w:lvl w:ilvl="8" w:tplc="1E5AC138" w:tentative="1">
      <w:start w:val="1"/>
      <w:numFmt w:val="lowerRoman"/>
      <w:lvlText w:val="%9."/>
      <w:lvlJc w:val="right"/>
      <w:pPr>
        <w:ind w:left="6837" w:hanging="180"/>
      </w:pPr>
    </w:lvl>
  </w:abstractNum>
  <w:abstractNum w:abstractNumId="40" w15:restartNumberingAfterBreak="0">
    <w:nsid w:val="0A730DC8"/>
    <w:multiLevelType w:val="hybridMultilevel"/>
    <w:tmpl w:val="C0FC193C"/>
    <w:lvl w:ilvl="0" w:tplc="74D0E1B4">
      <w:start w:val="1"/>
      <w:numFmt w:val="lowerLetter"/>
      <w:lvlText w:val="%1)"/>
      <w:lvlJc w:val="left"/>
      <w:pPr>
        <w:ind w:left="720" w:hanging="360"/>
      </w:pPr>
      <w:rPr>
        <w:rFonts w:hint="default"/>
      </w:rPr>
    </w:lvl>
    <w:lvl w:ilvl="1" w:tplc="41605C86" w:tentative="1">
      <w:start w:val="1"/>
      <w:numFmt w:val="lowerLetter"/>
      <w:lvlText w:val="%2."/>
      <w:lvlJc w:val="left"/>
      <w:pPr>
        <w:ind w:left="1440" w:hanging="360"/>
      </w:pPr>
    </w:lvl>
    <w:lvl w:ilvl="2" w:tplc="116CE00A" w:tentative="1">
      <w:start w:val="1"/>
      <w:numFmt w:val="lowerRoman"/>
      <w:lvlText w:val="%3."/>
      <w:lvlJc w:val="right"/>
      <w:pPr>
        <w:ind w:left="2160" w:hanging="180"/>
      </w:pPr>
    </w:lvl>
    <w:lvl w:ilvl="3" w:tplc="61DA3D12" w:tentative="1">
      <w:start w:val="1"/>
      <w:numFmt w:val="decimal"/>
      <w:lvlText w:val="%4."/>
      <w:lvlJc w:val="left"/>
      <w:pPr>
        <w:ind w:left="2880" w:hanging="360"/>
      </w:pPr>
    </w:lvl>
    <w:lvl w:ilvl="4" w:tplc="321AA09C" w:tentative="1">
      <w:start w:val="1"/>
      <w:numFmt w:val="lowerLetter"/>
      <w:lvlText w:val="%5."/>
      <w:lvlJc w:val="left"/>
      <w:pPr>
        <w:ind w:left="3600" w:hanging="360"/>
      </w:pPr>
    </w:lvl>
    <w:lvl w:ilvl="5" w:tplc="EAD8E284" w:tentative="1">
      <w:start w:val="1"/>
      <w:numFmt w:val="lowerRoman"/>
      <w:lvlText w:val="%6."/>
      <w:lvlJc w:val="right"/>
      <w:pPr>
        <w:ind w:left="4320" w:hanging="180"/>
      </w:pPr>
    </w:lvl>
    <w:lvl w:ilvl="6" w:tplc="8CB45F00" w:tentative="1">
      <w:start w:val="1"/>
      <w:numFmt w:val="decimal"/>
      <w:lvlText w:val="%7."/>
      <w:lvlJc w:val="left"/>
      <w:pPr>
        <w:ind w:left="5040" w:hanging="360"/>
      </w:pPr>
    </w:lvl>
    <w:lvl w:ilvl="7" w:tplc="FE06CD8E" w:tentative="1">
      <w:start w:val="1"/>
      <w:numFmt w:val="lowerLetter"/>
      <w:lvlText w:val="%8."/>
      <w:lvlJc w:val="left"/>
      <w:pPr>
        <w:ind w:left="5760" w:hanging="360"/>
      </w:pPr>
    </w:lvl>
    <w:lvl w:ilvl="8" w:tplc="70F8344E" w:tentative="1">
      <w:start w:val="1"/>
      <w:numFmt w:val="lowerRoman"/>
      <w:lvlText w:val="%9."/>
      <w:lvlJc w:val="right"/>
      <w:pPr>
        <w:ind w:left="6480" w:hanging="180"/>
      </w:pPr>
    </w:lvl>
  </w:abstractNum>
  <w:abstractNum w:abstractNumId="41" w15:restartNumberingAfterBreak="0">
    <w:nsid w:val="0A9F28EB"/>
    <w:multiLevelType w:val="multilevel"/>
    <w:tmpl w:val="AE463A06"/>
    <w:lvl w:ilvl="0">
      <w:start w:val="1"/>
      <w:numFmt w:val="lowerLetter"/>
      <w:lvlText w:val="%1)"/>
      <w:lvlJc w:val="left"/>
      <w:pPr>
        <w:tabs>
          <w:tab w:val="num" w:pos="782"/>
        </w:tabs>
        <w:ind w:left="782" w:hanging="357"/>
      </w:pPr>
      <w:rPr>
        <w:rFonts w:ascii="Garamond" w:eastAsia="Garamond" w:hAnsi="Garamond" w:cs="Garamond"/>
        <w:i w:val="0"/>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42" w15:restartNumberingAfterBreak="0">
    <w:nsid w:val="0B8D58E9"/>
    <w:multiLevelType w:val="hybridMultilevel"/>
    <w:tmpl w:val="F97CB0CE"/>
    <w:lvl w:ilvl="0" w:tplc="22BE53DC">
      <w:start w:val="1"/>
      <w:numFmt w:val="lowerLetter"/>
      <w:lvlText w:val="%1)"/>
      <w:lvlJc w:val="left"/>
      <w:pPr>
        <w:ind w:left="1429" w:hanging="360"/>
      </w:pPr>
      <w:rPr>
        <w:rFonts w:hint="default"/>
      </w:rPr>
    </w:lvl>
    <w:lvl w:ilvl="1" w:tplc="B6346FF6" w:tentative="1">
      <w:start w:val="1"/>
      <w:numFmt w:val="lowerLetter"/>
      <w:lvlText w:val="%2."/>
      <w:lvlJc w:val="left"/>
      <w:pPr>
        <w:ind w:left="2149" w:hanging="360"/>
      </w:pPr>
    </w:lvl>
    <w:lvl w:ilvl="2" w:tplc="C72C8A02" w:tentative="1">
      <w:start w:val="1"/>
      <w:numFmt w:val="lowerRoman"/>
      <w:lvlText w:val="%3."/>
      <w:lvlJc w:val="right"/>
      <w:pPr>
        <w:ind w:left="2869" w:hanging="180"/>
      </w:pPr>
    </w:lvl>
    <w:lvl w:ilvl="3" w:tplc="D1228E4A" w:tentative="1">
      <w:start w:val="1"/>
      <w:numFmt w:val="decimal"/>
      <w:lvlText w:val="%4."/>
      <w:lvlJc w:val="left"/>
      <w:pPr>
        <w:ind w:left="3589" w:hanging="360"/>
      </w:pPr>
    </w:lvl>
    <w:lvl w:ilvl="4" w:tplc="4342950A" w:tentative="1">
      <w:start w:val="1"/>
      <w:numFmt w:val="lowerLetter"/>
      <w:lvlText w:val="%5."/>
      <w:lvlJc w:val="left"/>
      <w:pPr>
        <w:ind w:left="4309" w:hanging="360"/>
      </w:pPr>
    </w:lvl>
    <w:lvl w:ilvl="5" w:tplc="0F66F86A" w:tentative="1">
      <w:start w:val="1"/>
      <w:numFmt w:val="lowerRoman"/>
      <w:lvlText w:val="%6."/>
      <w:lvlJc w:val="right"/>
      <w:pPr>
        <w:ind w:left="5029" w:hanging="180"/>
      </w:pPr>
    </w:lvl>
    <w:lvl w:ilvl="6" w:tplc="C66EEA7E" w:tentative="1">
      <w:start w:val="1"/>
      <w:numFmt w:val="decimal"/>
      <w:lvlText w:val="%7."/>
      <w:lvlJc w:val="left"/>
      <w:pPr>
        <w:ind w:left="5749" w:hanging="360"/>
      </w:pPr>
    </w:lvl>
    <w:lvl w:ilvl="7" w:tplc="85601ADC" w:tentative="1">
      <w:start w:val="1"/>
      <w:numFmt w:val="lowerLetter"/>
      <w:lvlText w:val="%8."/>
      <w:lvlJc w:val="left"/>
      <w:pPr>
        <w:ind w:left="6469" w:hanging="360"/>
      </w:pPr>
    </w:lvl>
    <w:lvl w:ilvl="8" w:tplc="C206D34A" w:tentative="1">
      <w:start w:val="1"/>
      <w:numFmt w:val="lowerRoman"/>
      <w:lvlText w:val="%9."/>
      <w:lvlJc w:val="right"/>
      <w:pPr>
        <w:ind w:left="7189" w:hanging="180"/>
      </w:pPr>
    </w:lvl>
  </w:abstractNum>
  <w:abstractNum w:abstractNumId="43" w15:restartNumberingAfterBreak="0">
    <w:nsid w:val="0C59715B"/>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44" w15:restartNumberingAfterBreak="0">
    <w:nsid w:val="0D0700FF"/>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45" w15:restartNumberingAfterBreak="0">
    <w:nsid w:val="0DCB6693"/>
    <w:multiLevelType w:val="multilevel"/>
    <w:tmpl w:val="9026790C"/>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46" w15:restartNumberingAfterBreak="0">
    <w:nsid w:val="0E103077"/>
    <w:multiLevelType w:val="multilevel"/>
    <w:tmpl w:val="EE2A470A"/>
    <w:styleLink w:val="6"/>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47" w15:restartNumberingAfterBreak="0">
    <w:nsid w:val="0E742F23"/>
    <w:multiLevelType w:val="hybridMultilevel"/>
    <w:tmpl w:val="F97CB0CE"/>
    <w:lvl w:ilvl="0" w:tplc="DDD25AFC">
      <w:start w:val="1"/>
      <w:numFmt w:val="lowerLetter"/>
      <w:lvlText w:val="%1)"/>
      <w:lvlJc w:val="left"/>
      <w:pPr>
        <w:ind w:left="1429" w:hanging="360"/>
      </w:pPr>
      <w:rPr>
        <w:rFonts w:hint="default"/>
      </w:rPr>
    </w:lvl>
    <w:lvl w:ilvl="1" w:tplc="DD7094DE" w:tentative="1">
      <w:start w:val="1"/>
      <w:numFmt w:val="lowerLetter"/>
      <w:lvlText w:val="%2."/>
      <w:lvlJc w:val="left"/>
      <w:pPr>
        <w:ind w:left="2149" w:hanging="360"/>
      </w:pPr>
    </w:lvl>
    <w:lvl w:ilvl="2" w:tplc="93F6AC76" w:tentative="1">
      <w:start w:val="1"/>
      <w:numFmt w:val="lowerRoman"/>
      <w:lvlText w:val="%3."/>
      <w:lvlJc w:val="right"/>
      <w:pPr>
        <w:ind w:left="2869" w:hanging="180"/>
      </w:pPr>
    </w:lvl>
    <w:lvl w:ilvl="3" w:tplc="D86E95F4" w:tentative="1">
      <w:start w:val="1"/>
      <w:numFmt w:val="decimal"/>
      <w:lvlText w:val="%4."/>
      <w:lvlJc w:val="left"/>
      <w:pPr>
        <w:ind w:left="3589" w:hanging="360"/>
      </w:pPr>
    </w:lvl>
    <w:lvl w:ilvl="4" w:tplc="46FA35C8" w:tentative="1">
      <w:start w:val="1"/>
      <w:numFmt w:val="lowerLetter"/>
      <w:lvlText w:val="%5."/>
      <w:lvlJc w:val="left"/>
      <w:pPr>
        <w:ind w:left="4309" w:hanging="360"/>
      </w:pPr>
    </w:lvl>
    <w:lvl w:ilvl="5" w:tplc="C61CBBCA" w:tentative="1">
      <w:start w:val="1"/>
      <w:numFmt w:val="lowerRoman"/>
      <w:lvlText w:val="%6."/>
      <w:lvlJc w:val="right"/>
      <w:pPr>
        <w:ind w:left="5029" w:hanging="180"/>
      </w:pPr>
    </w:lvl>
    <w:lvl w:ilvl="6" w:tplc="E9481C58" w:tentative="1">
      <w:start w:val="1"/>
      <w:numFmt w:val="decimal"/>
      <w:lvlText w:val="%7."/>
      <w:lvlJc w:val="left"/>
      <w:pPr>
        <w:ind w:left="5749" w:hanging="360"/>
      </w:pPr>
    </w:lvl>
    <w:lvl w:ilvl="7" w:tplc="BAB8CC46" w:tentative="1">
      <w:start w:val="1"/>
      <w:numFmt w:val="lowerLetter"/>
      <w:lvlText w:val="%8."/>
      <w:lvlJc w:val="left"/>
      <w:pPr>
        <w:ind w:left="6469" w:hanging="360"/>
      </w:pPr>
    </w:lvl>
    <w:lvl w:ilvl="8" w:tplc="52B2F968" w:tentative="1">
      <w:start w:val="1"/>
      <w:numFmt w:val="lowerRoman"/>
      <w:lvlText w:val="%9."/>
      <w:lvlJc w:val="right"/>
      <w:pPr>
        <w:ind w:left="7189" w:hanging="180"/>
      </w:pPr>
    </w:lvl>
  </w:abstractNum>
  <w:abstractNum w:abstractNumId="48" w15:restartNumberingAfterBreak="0">
    <w:nsid w:val="0E9228FF"/>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10930188"/>
    <w:multiLevelType w:val="hybridMultilevel"/>
    <w:tmpl w:val="615EDA08"/>
    <w:lvl w:ilvl="0" w:tplc="CDB2D7F8">
      <w:start w:val="1"/>
      <w:numFmt w:val="lowerRoman"/>
      <w:lvlText w:val="%1)"/>
      <w:lvlJc w:val="left"/>
      <w:pPr>
        <w:ind w:left="1213" w:hanging="360"/>
      </w:pPr>
      <w:rPr>
        <w:rFonts w:hint="default"/>
      </w:rPr>
    </w:lvl>
    <w:lvl w:ilvl="1" w:tplc="46AEE0AE" w:tentative="1">
      <w:start w:val="1"/>
      <w:numFmt w:val="bullet"/>
      <w:lvlText w:val="o"/>
      <w:lvlJc w:val="left"/>
      <w:pPr>
        <w:ind w:left="1933" w:hanging="360"/>
      </w:pPr>
      <w:rPr>
        <w:rFonts w:ascii="Courier New" w:hAnsi="Courier New" w:cs="Courier New" w:hint="default"/>
      </w:rPr>
    </w:lvl>
    <w:lvl w:ilvl="2" w:tplc="148A3616" w:tentative="1">
      <w:start w:val="1"/>
      <w:numFmt w:val="bullet"/>
      <w:lvlText w:val=""/>
      <w:lvlJc w:val="left"/>
      <w:pPr>
        <w:ind w:left="2653" w:hanging="360"/>
      </w:pPr>
      <w:rPr>
        <w:rFonts w:ascii="Wingdings" w:hAnsi="Wingdings" w:hint="default"/>
      </w:rPr>
    </w:lvl>
    <w:lvl w:ilvl="3" w:tplc="347CE5F4" w:tentative="1">
      <w:start w:val="1"/>
      <w:numFmt w:val="bullet"/>
      <w:lvlText w:val=""/>
      <w:lvlJc w:val="left"/>
      <w:pPr>
        <w:ind w:left="3373" w:hanging="360"/>
      </w:pPr>
      <w:rPr>
        <w:rFonts w:ascii="Symbol" w:hAnsi="Symbol" w:hint="default"/>
      </w:rPr>
    </w:lvl>
    <w:lvl w:ilvl="4" w:tplc="3D567748" w:tentative="1">
      <w:start w:val="1"/>
      <w:numFmt w:val="bullet"/>
      <w:lvlText w:val="o"/>
      <w:lvlJc w:val="left"/>
      <w:pPr>
        <w:ind w:left="4093" w:hanging="360"/>
      </w:pPr>
      <w:rPr>
        <w:rFonts w:ascii="Courier New" w:hAnsi="Courier New" w:cs="Courier New" w:hint="default"/>
      </w:rPr>
    </w:lvl>
    <w:lvl w:ilvl="5" w:tplc="A538CF54" w:tentative="1">
      <w:start w:val="1"/>
      <w:numFmt w:val="bullet"/>
      <w:lvlText w:val=""/>
      <w:lvlJc w:val="left"/>
      <w:pPr>
        <w:ind w:left="4813" w:hanging="360"/>
      </w:pPr>
      <w:rPr>
        <w:rFonts w:ascii="Wingdings" w:hAnsi="Wingdings" w:hint="default"/>
      </w:rPr>
    </w:lvl>
    <w:lvl w:ilvl="6" w:tplc="4F1E86C6" w:tentative="1">
      <w:start w:val="1"/>
      <w:numFmt w:val="bullet"/>
      <w:lvlText w:val=""/>
      <w:lvlJc w:val="left"/>
      <w:pPr>
        <w:ind w:left="5533" w:hanging="360"/>
      </w:pPr>
      <w:rPr>
        <w:rFonts w:ascii="Symbol" w:hAnsi="Symbol" w:hint="default"/>
      </w:rPr>
    </w:lvl>
    <w:lvl w:ilvl="7" w:tplc="BB8A4196" w:tentative="1">
      <w:start w:val="1"/>
      <w:numFmt w:val="bullet"/>
      <w:lvlText w:val="o"/>
      <w:lvlJc w:val="left"/>
      <w:pPr>
        <w:ind w:left="6253" w:hanging="360"/>
      </w:pPr>
      <w:rPr>
        <w:rFonts w:ascii="Courier New" w:hAnsi="Courier New" w:cs="Courier New" w:hint="default"/>
      </w:rPr>
    </w:lvl>
    <w:lvl w:ilvl="8" w:tplc="A8B0F4B4" w:tentative="1">
      <w:start w:val="1"/>
      <w:numFmt w:val="bullet"/>
      <w:lvlText w:val=""/>
      <w:lvlJc w:val="left"/>
      <w:pPr>
        <w:ind w:left="6973" w:hanging="360"/>
      </w:pPr>
      <w:rPr>
        <w:rFonts w:ascii="Wingdings" w:hAnsi="Wingdings" w:hint="default"/>
      </w:rPr>
    </w:lvl>
  </w:abstractNum>
  <w:abstractNum w:abstractNumId="50" w15:restartNumberingAfterBreak="0">
    <w:nsid w:val="10FD65D7"/>
    <w:multiLevelType w:val="hybridMultilevel"/>
    <w:tmpl w:val="815C31FC"/>
    <w:lvl w:ilvl="0" w:tplc="4C42EA30">
      <w:start w:val="1"/>
      <w:numFmt w:val="bullet"/>
      <w:lvlText w:val="–"/>
      <w:lvlJc w:val="left"/>
      <w:pPr>
        <w:ind w:left="720" w:hanging="360"/>
      </w:pPr>
      <w:rPr>
        <w:rFonts w:ascii="Times New Roman" w:hAnsi="Times New Roman" w:cs="Times New Roman" w:hint="default"/>
      </w:rPr>
    </w:lvl>
    <w:lvl w:ilvl="1" w:tplc="C136B792" w:tentative="1">
      <w:start w:val="1"/>
      <w:numFmt w:val="bullet"/>
      <w:lvlText w:val="o"/>
      <w:lvlJc w:val="left"/>
      <w:pPr>
        <w:ind w:left="1440" w:hanging="360"/>
      </w:pPr>
      <w:rPr>
        <w:rFonts w:ascii="Courier New" w:hAnsi="Courier New" w:cs="Courier New" w:hint="default"/>
      </w:rPr>
    </w:lvl>
    <w:lvl w:ilvl="2" w:tplc="E98E9818" w:tentative="1">
      <w:start w:val="1"/>
      <w:numFmt w:val="bullet"/>
      <w:lvlText w:val=""/>
      <w:lvlJc w:val="left"/>
      <w:pPr>
        <w:ind w:left="2160" w:hanging="360"/>
      </w:pPr>
      <w:rPr>
        <w:rFonts w:ascii="Wingdings" w:hAnsi="Wingdings" w:hint="default"/>
      </w:rPr>
    </w:lvl>
    <w:lvl w:ilvl="3" w:tplc="4E8E1FC6" w:tentative="1">
      <w:start w:val="1"/>
      <w:numFmt w:val="bullet"/>
      <w:lvlText w:val=""/>
      <w:lvlJc w:val="left"/>
      <w:pPr>
        <w:ind w:left="2880" w:hanging="360"/>
      </w:pPr>
      <w:rPr>
        <w:rFonts w:ascii="Symbol" w:hAnsi="Symbol" w:hint="default"/>
      </w:rPr>
    </w:lvl>
    <w:lvl w:ilvl="4" w:tplc="502ABB7C" w:tentative="1">
      <w:start w:val="1"/>
      <w:numFmt w:val="bullet"/>
      <w:lvlText w:val="o"/>
      <w:lvlJc w:val="left"/>
      <w:pPr>
        <w:ind w:left="3600" w:hanging="360"/>
      </w:pPr>
      <w:rPr>
        <w:rFonts w:ascii="Courier New" w:hAnsi="Courier New" w:cs="Courier New" w:hint="default"/>
      </w:rPr>
    </w:lvl>
    <w:lvl w:ilvl="5" w:tplc="02A6F9D6" w:tentative="1">
      <w:start w:val="1"/>
      <w:numFmt w:val="bullet"/>
      <w:lvlText w:val=""/>
      <w:lvlJc w:val="left"/>
      <w:pPr>
        <w:ind w:left="4320" w:hanging="360"/>
      </w:pPr>
      <w:rPr>
        <w:rFonts w:ascii="Wingdings" w:hAnsi="Wingdings" w:hint="default"/>
      </w:rPr>
    </w:lvl>
    <w:lvl w:ilvl="6" w:tplc="3ED2633E" w:tentative="1">
      <w:start w:val="1"/>
      <w:numFmt w:val="bullet"/>
      <w:lvlText w:val=""/>
      <w:lvlJc w:val="left"/>
      <w:pPr>
        <w:ind w:left="5040" w:hanging="360"/>
      </w:pPr>
      <w:rPr>
        <w:rFonts w:ascii="Symbol" w:hAnsi="Symbol" w:hint="default"/>
      </w:rPr>
    </w:lvl>
    <w:lvl w:ilvl="7" w:tplc="D53A9212" w:tentative="1">
      <w:start w:val="1"/>
      <w:numFmt w:val="bullet"/>
      <w:lvlText w:val="o"/>
      <w:lvlJc w:val="left"/>
      <w:pPr>
        <w:ind w:left="5760" w:hanging="360"/>
      </w:pPr>
      <w:rPr>
        <w:rFonts w:ascii="Courier New" w:hAnsi="Courier New" w:cs="Courier New" w:hint="default"/>
      </w:rPr>
    </w:lvl>
    <w:lvl w:ilvl="8" w:tplc="2678136E" w:tentative="1">
      <w:start w:val="1"/>
      <w:numFmt w:val="bullet"/>
      <w:lvlText w:val=""/>
      <w:lvlJc w:val="left"/>
      <w:pPr>
        <w:ind w:left="6480" w:hanging="360"/>
      </w:pPr>
      <w:rPr>
        <w:rFonts w:ascii="Wingdings" w:hAnsi="Wingdings" w:hint="default"/>
      </w:rPr>
    </w:lvl>
  </w:abstractNum>
  <w:abstractNum w:abstractNumId="51" w15:restartNumberingAfterBreak="0">
    <w:nsid w:val="129E6A70"/>
    <w:multiLevelType w:val="hybridMultilevel"/>
    <w:tmpl w:val="CA6050A0"/>
    <w:lvl w:ilvl="0" w:tplc="0422000F">
      <w:start w:val="1"/>
      <w:numFmt w:val="decimal"/>
      <w:lvlText w:val="%1."/>
      <w:lvlJc w:val="left"/>
      <w:pPr>
        <w:ind w:left="578" w:hanging="360"/>
      </w:pPr>
    </w:lvl>
    <w:lvl w:ilvl="1" w:tplc="04220019" w:tentative="1">
      <w:start w:val="1"/>
      <w:numFmt w:val="lowerLetter"/>
      <w:lvlText w:val="%2."/>
      <w:lvlJc w:val="left"/>
      <w:pPr>
        <w:ind w:left="1298" w:hanging="360"/>
      </w:pPr>
    </w:lvl>
    <w:lvl w:ilvl="2" w:tplc="0422001B" w:tentative="1">
      <w:start w:val="1"/>
      <w:numFmt w:val="lowerRoman"/>
      <w:lvlText w:val="%3."/>
      <w:lvlJc w:val="right"/>
      <w:pPr>
        <w:ind w:left="2018" w:hanging="180"/>
      </w:pPr>
    </w:lvl>
    <w:lvl w:ilvl="3" w:tplc="0422000F" w:tentative="1">
      <w:start w:val="1"/>
      <w:numFmt w:val="decimal"/>
      <w:lvlText w:val="%4."/>
      <w:lvlJc w:val="left"/>
      <w:pPr>
        <w:ind w:left="2738" w:hanging="360"/>
      </w:pPr>
    </w:lvl>
    <w:lvl w:ilvl="4" w:tplc="04220019" w:tentative="1">
      <w:start w:val="1"/>
      <w:numFmt w:val="lowerLetter"/>
      <w:lvlText w:val="%5."/>
      <w:lvlJc w:val="left"/>
      <w:pPr>
        <w:ind w:left="3458" w:hanging="360"/>
      </w:pPr>
    </w:lvl>
    <w:lvl w:ilvl="5" w:tplc="0422001B" w:tentative="1">
      <w:start w:val="1"/>
      <w:numFmt w:val="lowerRoman"/>
      <w:lvlText w:val="%6."/>
      <w:lvlJc w:val="right"/>
      <w:pPr>
        <w:ind w:left="4178" w:hanging="180"/>
      </w:pPr>
    </w:lvl>
    <w:lvl w:ilvl="6" w:tplc="0422000F" w:tentative="1">
      <w:start w:val="1"/>
      <w:numFmt w:val="decimal"/>
      <w:lvlText w:val="%7."/>
      <w:lvlJc w:val="left"/>
      <w:pPr>
        <w:ind w:left="4898" w:hanging="360"/>
      </w:pPr>
    </w:lvl>
    <w:lvl w:ilvl="7" w:tplc="04220019" w:tentative="1">
      <w:start w:val="1"/>
      <w:numFmt w:val="lowerLetter"/>
      <w:lvlText w:val="%8."/>
      <w:lvlJc w:val="left"/>
      <w:pPr>
        <w:ind w:left="5618" w:hanging="360"/>
      </w:pPr>
    </w:lvl>
    <w:lvl w:ilvl="8" w:tplc="0422001B" w:tentative="1">
      <w:start w:val="1"/>
      <w:numFmt w:val="lowerRoman"/>
      <w:lvlText w:val="%9."/>
      <w:lvlJc w:val="right"/>
      <w:pPr>
        <w:ind w:left="6338" w:hanging="180"/>
      </w:pPr>
    </w:lvl>
  </w:abstractNum>
  <w:abstractNum w:abstractNumId="52" w15:restartNumberingAfterBreak="0">
    <w:nsid w:val="13903698"/>
    <w:multiLevelType w:val="hybridMultilevel"/>
    <w:tmpl w:val="3B521754"/>
    <w:lvl w:ilvl="0" w:tplc="D64A82F2">
      <w:start w:val="1"/>
      <w:numFmt w:val="lowerLetter"/>
      <w:lvlText w:val="%1)"/>
      <w:lvlJc w:val="left"/>
      <w:pPr>
        <w:ind w:left="1429" w:hanging="360"/>
      </w:pPr>
      <w:rPr>
        <w:rFonts w:hint="default"/>
        <w:i w:val="0"/>
      </w:rPr>
    </w:lvl>
    <w:lvl w:ilvl="1" w:tplc="2528D840" w:tentative="1">
      <w:start w:val="1"/>
      <w:numFmt w:val="lowerLetter"/>
      <w:lvlText w:val="%2."/>
      <w:lvlJc w:val="left"/>
      <w:pPr>
        <w:ind w:left="2149" w:hanging="360"/>
      </w:pPr>
    </w:lvl>
    <w:lvl w:ilvl="2" w:tplc="ADAE68AE" w:tentative="1">
      <w:start w:val="1"/>
      <w:numFmt w:val="lowerRoman"/>
      <w:lvlText w:val="%3."/>
      <w:lvlJc w:val="right"/>
      <w:pPr>
        <w:ind w:left="2869" w:hanging="180"/>
      </w:pPr>
    </w:lvl>
    <w:lvl w:ilvl="3" w:tplc="3E7A2F28" w:tentative="1">
      <w:start w:val="1"/>
      <w:numFmt w:val="decimal"/>
      <w:lvlText w:val="%4."/>
      <w:lvlJc w:val="left"/>
      <w:pPr>
        <w:ind w:left="3589" w:hanging="360"/>
      </w:pPr>
    </w:lvl>
    <w:lvl w:ilvl="4" w:tplc="5E763D36" w:tentative="1">
      <w:start w:val="1"/>
      <w:numFmt w:val="lowerLetter"/>
      <w:lvlText w:val="%5."/>
      <w:lvlJc w:val="left"/>
      <w:pPr>
        <w:ind w:left="4309" w:hanging="360"/>
      </w:pPr>
    </w:lvl>
    <w:lvl w:ilvl="5" w:tplc="9D044212" w:tentative="1">
      <w:start w:val="1"/>
      <w:numFmt w:val="lowerRoman"/>
      <w:lvlText w:val="%6."/>
      <w:lvlJc w:val="right"/>
      <w:pPr>
        <w:ind w:left="5029" w:hanging="180"/>
      </w:pPr>
    </w:lvl>
    <w:lvl w:ilvl="6" w:tplc="0BB2135E" w:tentative="1">
      <w:start w:val="1"/>
      <w:numFmt w:val="decimal"/>
      <w:lvlText w:val="%7."/>
      <w:lvlJc w:val="left"/>
      <w:pPr>
        <w:ind w:left="5749" w:hanging="360"/>
      </w:pPr>
    </w:lvl>
    <w:lvl w:ilvl="7" w:tplc="47B43882" w:tentative="1">
      <w:start w:val="1"/>
      <w:numFmt w:val="lowerLetter"/>
      <w:lvlText w:val="%8."/>
      <w:lvlJc w:val="left"/>
      <w:pPr>
        <w:ind w:left="6469" w:hanging="360"/>
      </w:pPr>
    </w:lvl>
    <w:lvl w:ilvl="8" w:tplc="6462A250" w:tentative="1">
      <w:start w:val="1"/>
      <w:numFmt w:val="lowerRoman"/>
      <w:lvlText w:val="%9."/>
      <w:lvlJc w:val="right"/>
      <w:pPr>
        <w:ind w:left="7189" w:hanging="180"/>
      </w:pPr>
    </w:lvl>
  </w:abstractNum>
  <w:abstractNum w:abstractNumId="53" w15:restartNumberingAfterBreak="0">
    <w:nsid w:val="13CC1CD6"/>
    <w:multiLevelType w:val="multilevel"/>
    <w:tmpl w:val="DA128EFA"/>
    <w:lvl w:ilvl="0">
      <w:start w:val="1"/>
      <w:numFmt w:val="decimal"/>
      <w:lvlText w:val="%1."/>
      <w:lvlJc w:val="left"/>
      <w:pPr>
        <w:tabs>
          <w:tab w:val="num" w:pos="644"/>
        </w:tabs>
        <w:ind w:left="644"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49A098D"/>
    <w:multiLevelType w:val="hybridMultilevel"/>
    <w:tmpl w:val="44D27D3E"/>
    <w:lvl w:ilvl="0" w:tplc="DFD8DF76">
      <w:start w:val="1"/>
      <w:numFmt w:val="bullet"/>
      <w:lvlText w:val=""/>
      <w:lvlJc w:val="left"/>
      <w:pPr>
        <w:ind w:left="720" w:hanging="360"/>
      </w:pPr>
      <w:rPr>
        <w:rFonts w:ascii="Symbol" w:hAnsi="Symbol" w:hint="default"/>
      </w:rPr>
    </w:lvl>
    <w:lvl w:ilvl="1" w:tplc="4176B140" w:tentative="1">
      <w:start w:val="1"/>
      <w:numFmt w:val="bullet"/>
      <w:lvlText w:val="o"/>
      <w:lvlJc w:val="left"/>
      <w:pPr>
        <w:ind w:left="1440" w:hanging="360"/>
      </w:pPr>
      <w:rPr>
        <w:rFonts w:ascii="Courier New" w:hAnsi="Courier New" w:cs="Courier New" w:hint="default"/>
      </w:rPr>
    </w:lvl>
    <w:lvl w:ilvl="2" w:tplc="55AABB6C" w:tentative="1">
      <w:start w:val="1"/>
      <w:numFmt w:val="bullet"/>
      <w:lvlText w:val=""/>
      <w:lvlJc w:val="left"/>
      <w:pPr>
        <w:ind w:left="2160" w:hanging="360"/>
      </w:pPr>
      <w:rPr>
        <w:rFonts w:ascii="Wingdings" w:hAnsi="Wingdings" w:hint="default"/>
      </w:rPr>
    </w:lvl>
    <w:lvl w:ilvl="3" w:tplc="C93CACC8" w:tentative="1">
      <w:start w:val="1"/>
      <w:numFmt w:val="bullet"/>
      <w:lvlText w:val=""/>
      <w:lvlJc w:val="left"/>
      <w:pPr>
        <w:ind w:left="2880" w:hanging="360"/>
      </w:pPr>
      <w:rPr>
        <w:rFonts w:ascii="Symbol" w:hAnsi="Symbol" w:hint="default"/>
      </w:rPr>
    </w:lvl>
    <w:lvl w:ilvl="4" w:tplc="0F7E9702" w:tentative="1">
      <w:start w:val="1"/>
      <w:numFmt w:val="bullet"/>
      <w:lvlText w:val="o"/>
      <w:lvlJc w:val="left"/>
      <w:pPr>
        <w:ind w:left="3600" w:hanging="360"/>
      </w:pPr>
      <w:rPr>
        <w:rFonts w:ascii="Courier New" w:hAnsi="Courier New" w:cs="Courier New" w:hint="default"/>
      </w:rPr>
    </w:lvl>
    <w:lvl w:ilvl="5" w:tplc="CF765818" w:tentative="1">
      <w:start w:val="1"/>
      <w:numFmt w:val="bullet"/>
      <w:lvlText w:val=""/>
      <w:lvlJc w:val="left"/>
      <w:pPr>
        <w:ind w:left="4320" w:hanging="360"/>
      </w:pPr>
      <w:rPr>
        <w:rFonts w:ascii="Wingdings" w:hAnsi="Wingdings" w:hint="default"/>
      </w:rPr>
    </w:lvl>
    <w:lvl w:ilvl="6" w:tplc="E8D4D332" w:tentative="1">
      <w:start w:val="1"/>
      <w:numFmt w:val="bullet"/>
      <w:lvlText w:val=""/>
      <w:lvlJc w:val="left"/>
      <w:pPr>
        <w:ind w:left="5040" w:hanging="360"/>
      </w:pPr>
      <w:rPr>
        <w:rFonts w:ascii="Symbol" w:hAnsi="Symbol" w:hint="default"/>
      </w:rPr>
    </w:lvl>
    <w:lvl w:ilvl="7" w:tplc="E0ACD3FC" w:tentative="1">
      <w:start w:val="1"/>
      <w:numFmt w:val="bullet"/>
      <w:lvlText w:val="o"/>
      <w:lvlJc w:val="left"/>
      <w:pPr>
        <w:ind w:left="5760" w:hanging="360"/>
      </w:pPr>
      <w:rPr>
        <w:rFonts w:ascii="Courier New" w:hAnsi="Courier New" w:cs="Courier New" w:hint="default"/>
      </w:rPr>
    </w:lvl>
    <w:lvl w:ilvl="8" w:tplc="F3907040" w:tentative="1">
      <w:start w:val="1"/>
      <w:numFmt w:val="bullet"/>
      <w:lvlText w:val=""/>
      <w:lvlJc w:val="left"/>
      <w:pPr>
        <w:ind w:left="6480" w:hanging="360"/>
      </w:pPr>
      <w:rPr>
        <w:rFonts w:ascii="Wingdings" w:hAnsi="Wingdings" w:hint="default"/>
      </w:rPr>
    </w:lvl>
  </w:abstractNum>
  <w:abstractNum w:abstractNumId="55" w15:restartNumberingAfterBreak="0">
    <w:nsid w:val="15603D67"/>
    <w:multiLevelType w:val="multilevel"/>
    <w:tmpl w:val="9E7ED4DA"/>
    <w:lvl w:ilvl="0">
      <w:start w:val="1"/>
      <w:numFmt w:val="decimal"/>
      <w:lvlText w:val="%1."/>
      <w:lvlJc w:val="left"/>
      <w:pPr>
        <w:tabs>
          <w:tab w:val="num" w:pos="210"/>
        </w:tabs>
        <w:ind w:left="210" w:hanging="210"/>
      </w:pPr>
      <w:rPr>
        <w:position w:val="0"/>
        <w:sz w:val="28"/>
        <w:szCs w:val="24"/>
        <w:lang w:val="en-US"/>
      </w:rPr>
    </w:lvl>
    <w:lvl w:ilvl="1">
      <w:start w:val="1"/>
      <w:numFmt w:val="lowerLetter"/>
      <w:lvlText w:val="%2."/>
      <w:lvlJc w:val="left"/>
      <w:pPr>
        <w:tabs>
          <w:tab w:val="num" w:pos="1440"/>
        </w:tabs>
        <w:ind w:left="1440" w:hanging="360"/>
      </w:pPr>
      <w:rPr>
        <w:rFonts w:ascii="Garamond" w:eastAsia="Garamond" w:hAnsi="Garamond" w:cs="Garamond"/>
        <w:position w:val="0"/>
        <w:sz w:val="24"/>
        <w:szCs w:val="24"/>
        <w:lang w:val="en-US"/>
      </w:rPr>
    </w:lvl>
    <w:lvl w:ilvl="2">
      <w:start w:val="1"/>
      <w:numFmt w:val="lowerRoman"/>
      <w:lvlText w:val="%3."/>
      <w:lvlJc w:val="left"/>
      <w:pPr>
        <w:tabs>
          <w:tab w:val="num" w:pos="2160"/>
        </w:tabs>
        <w:ind w:left="2160" w:hanging="296"/>
      </w:pPr>
      <w:rPr>
        <w:rFonts w:ascii="Garamond" w:eastAsia="Garamond" w:hAnsi="Garamond" w:cs="Garamond"/>
        <w:position w:val="0"/>
        <w:sz w:val="24"/>
        <w:szCs w:val="24"/>
        <w:lang w:val="en-US"/>
      </w:rPr>
    </w:lvl>
    <w:lvl w:ilvl="3">
      <w:start w:val="1"/>
      <w:numFmt w:val="decimal"/>
      <w:lvlText w:val="%4."/>
      <w:lvlJc w:val="left"/>
      <w:pPr>
        <w:tabs>
          <w:tab w:val="num" w:pos="2880"/>
        </w:tabs>
        <w:ind w:left="2880" w:hanging="360"/>
      </w:pPr>
      <w:rPr>
        <w:rFonts w:ascii="Garamond" w:eastAsia="Garamond" w:hAnsi="Garamond" w:cs="Garamond"/>
        <w:position w:val="0"/>
        <w:sz w:val="24"/>
        <w:szCs w:val="24"/>
        <w:lang w:val="en-US"/>
      </w:rPr>
    </w:lvl>
    <w:lvl w:ilvl="4">
      <w:start w:val="1"/>
      <w:numFmt w:val="lowerLetter"/>
      <w:lvlText w:val="%5."/>
      <w:lvlJc w:val="left"/>
      <w:pPr>
        <w:tabs>
          <w:tab w:val="num" w:pos="3600"/>
        </w:tabs>
        <w:ind w:left="3600" w:hanging="360"/>
      </w:pPr>
      <w:rPr>
        <w:rFonts w:ascii="Garamond" w:eastAsia="Garamond" w:hAnsi="Garamond" w:cs="Garamond"/>
        <w:position w:val="0"/>
        <w:sz w:val="24"/>
        <w:szCs w:val="24"/>
        <w:lang w:val="en-US"/>
      </w:rPr>
    </w:lvl>
    <w:lvl w:ilvl="5">
      <w:start w:val="1"/>
      <w:numFmt w:val="lowerRoman"/>
      <w:lvlText w:val="%6."/>
      <w:lvlJc w:val="left"/>
      <w:pPr>
        <w:tabs>
          <w:tab w:val="num" w:pos="4320"/>
        </w:tabs>
        <w:ind w:left="4320" w:hanging="296"/>
      </w:pPr>
      <w:rPr>
        <w:rFonts w:ascii="Garamond" w:eastAsia="Garamond" w:hAnsi="Garamond" w:cs="Garamond"/>
        <w:position w:val="0"/>
        <w:sz w:val="24"/>
        <w:szCs w:val="24"/>
        <w:lang w:val="en-US"/>
      </w:rPr>
    </w:lvl>
    <w:lvl w:ilvl="6">
      <w:start w:val="1"/>
      <w:numFmt w:val="decimal"/>
      <w:lvlText w:val="%7."/>
      <w:lvlJc w:val="left"/>
      <w:pPr>
        <w:tabs>
          <w:tab w:val="num" w:pos="5040"/>
        </w:tabs>
        <w:ind w:left="5040" w:hanging="360"/>
      </w:pPr>
      <w:rPr>
        <w:rFonts w:ascii="Garamond" w:eastAsia="Garamond" w:hAnsi="Garamond" w:cs="Garamond"/>
        <w:position w:val="0"/>
        <w:sz w:val="24"/>
        <w:szCs w:val="24"/>
        <w:lang w:val="en-US"/>
      </w:rPr>
    </w:lvl>
    <w:lvl w:ilvl="7">
      <w:start w:val="1"/>
      <w:numFmt w:val="lowerLetter"/>
      <w:lvlText w:val="%8."/>
      <w:lvlJc w:val="left"/>
      <w:pPr>
        <w:tabs>
          <w:tab w:val="num" w:pos="5760"/>
        </w:tabs>
        <w:ind w:left="5760" w:hanging="360"/>
      </w:pPr>
      <w:rPr>
        <w:rFonts w:ascii="Garamond" w:eastAsia="Garamond" w:hAnsi="Garamond" w:cs="Garamond"/>
        <w:position w:val="0"/>
        <w:sz w:val="24"/>
        <w:szCs w:val="24"/>
        <w:lang w:val="en-US"/>
      </w:rPr>
    </w:lvl>
    <w:lvl w:ilvl="8">
      <w:start w:val="1"/>
      <w:numFmt w:val="lowerRoman"/>
      <w:lvlText w:val="%9."/>
      <w:lvlJc w:val="left"/>
      <w:pPr>
        <w:tabs>
          <w:tab w:val="num" w:pos="6480"/>
        </w:tabs>
        <w:ind w:left="6480" w:hanging="296"/>
      </w:pPr>
      <w:rPr>
        <w:rFonts w:ascii="Garamond" w:eastAsia="Garamond" w:hAnsi="Garamond" w:cs="Garamond"/>
        <w:position w:val="0"/>
        <w:sz w:val="24"/>
        <w:szCs w:val="24"/>
        <w:lang w:val="en-US"/>
      </w:rPr>
    </w:lvl>
  </w:abstractNum>
  <w:abstractNum w:abstractNumId="56" w15:restartNumberingAfterBreak="0">
    <w:nsid w:val="15DD012C"/>
    <w:multiLevelType w:val="hybridMultilevel"/>
    <w:tmpl w:val="2E5E54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15:restartNumberingAfterBreak="0">
    <w:nsid w:val="15FD31F6"/>
    <w:multiLevelType w:val="hybridMultilevel"/>
    <w:tmpl w:val="F97CB0CE"/>
    <w:lvl w:ilvl="0" w:tplc="A1BE8B30">
      <w:start w:val="1"/>
      <w:numFmt w:val="lowerLetter"/>
      <w:lvlText w:val="%1)"/>
      <w:lvlJc w:val="left"/>
      <w:pPr>
        <w:ind w:left="1429" w:hanging="360"/>
      </w:pPr>
      <w:rPr>
        <w:rFonts w:hint="default"/>
      </w:rPr>
    </w:lvl>
    <w:lvl w:ilvl="1" w:tplc="3AE00406" w:tentative="1">
      <w:start w:val="1"/>
      <w:numFmt w:val="lowerLetter"/>
      <w:lvlText w:val="%2."/>
      <w:lvlJc w:val="left"/>
      <w:pPr>
        <w:ind w:left="2149" w:hanging="360"/>
      </w:pPr>
    </w:lvl>
    <w:lvl w:ilvl="2" w:tplc="D62E6096" w:tentative="1">
      <w:start w:val="1"/>
      <w:numFmt w:val="lowerRoman"/>
      <w:lvlText w:val="%3."/>
      <w:lvlJc w:val="right"/>
      <w:pPr>
        <w:ind w:left="2869" w:hanging="180"/>
      </w:pPr>
    </w:lvl>
    <w:lvl w:ilvl="3" w:tplc="ECE840BC" w:tentative="1">
      <w:start w:val="1"/>
      <w:numFmt w:val="decimal"/>
      <w:lvlText w:val="%4."/>
      <w:lvlJc w:val="left"/>
      <w:pPr>
        <w:ind w:left="3589" w:hanging="360"/>
      </w:pPr>
    </w:lvl>
    <w:lvl w:ilvl="4" w:tplc="D37CBD90" w:tentative="1">
      <w:start w:val="1"/>
      <w:numFmt w:val="lowerLetter"/>
      <w:lvlText w:val="%5."/>
      <w:lvlJc w:val="left"/>
      <w:pPr>
        <w:ind w:left="4309" w:hanging="360"/>
      </w:pPr>
    </w:lvl>
    <w:lvl w:ilvl="5" w:tplc="E58A92DE" w:tentative="1">
      <w:start w:val="1"/>
      <w:numFmt w:val="lowerRoman"/>
      <w:lvlText w:val="%6."/>
      <w:lvlJc w:val="right"/>
      <w:pPr>
        <w:ind w:left="5029" w:hanging="180"/>
      </w:pPr>
    </w:lvl>
    <w:lvl w:ilvl="6" w:tplc="E0941F44" w:tentative="1">
      <w:start w:val="1"/>
      <w:numFmt w:val="decimal"/>
      <w:lvlText w:val="%7."/>
      <w:lvlJc w:val="left"/>
      <w:pPr>
        <w:ind w:left="5749" w:hanging="360"/>
      </w:pPr>
    </w:lvl>
    <w:lvl w:ilvl="7" w:tplc="E01ACFC2" w:tentative="1">
      <w:start w:val="1"/>
      <w:numFmt w:val="lowerLetter"/>
      <w:lvlText w:val="%8."/>
      <w:lvlJc w:val="left"/>
      <w:pPr>
        <w:ind w:left="6469" w:hanging="360"/>
      </w:pPr>
    </w:lvl>
    <w:lvl w:ilvl="8" w:tplc="CC3463A8" w:tentative="1">
      <w:start w:val="1"/>
      <w:numFmt w:val="lowerRoman"/>
      <w:lvlText w:val="%9."/>
      <w:lvlJc w:val="right"/>
      <w:pPr>
        <w:ind w:left="7189" w:hanging="180"/>
      </w:pPr>
    </w:lvl>
  </w:abstractNum>
  <w:abstractNum w:abstractNumId="58" w15:restartNumberingAfterBreak="0">
    <w:nsid w:val="1673633D"/>
    <w:multiLevelType w:val="hybridMultilevel"/>
    <w:tmpl w:val="D6B464D6"/>
    <w:lvl w:ilvl="0" w:tplc="CDB2D7F8">
      <w:start w:val="1"/>
      <w:numFmt w:val="lowerRoman"/>
      <w:lvlText w:val="%1)"/>
      <w:lvlJc w:val="left"/>
      <w:pPr>
        <w:ind w:left="1077" w:hanging="360"/>
      </w:pPr>
      <w:rPr>
        <w:rFonts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59" w15:restartNumberingAfterBreak="0">
    <w:nsid w:val="16CD65C8"/>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60" w15:restartNumberingAfterBreak="0">
    <w:nsid w:val="16E04B07"/>
    <w:multiLevelType w:val="hybridMultilevel"/>
    <w:tmpl w:val="6C683DB4"/>
    <w:lvl w:ilvl="0" w:tplc="7004D22A">
      <w:start w:val="1"/>
      <w:numFmt w:val="lowerLetter"/>
      <w:lvlText w:val="%1)"/>
      <w:lvlJc w:val="left"/>
      <w:pPr>
        <w:ind w:left="1080" w:hanging="360"/>
      </w:pPr>
      <w:rPr>
        <w:rFonts w:ascii="Garamond" w:hAnsi="Garamond" w:hint="default"/>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1" w15:restartNumberingAfterBreak="0">
    <w:nsid w:val="174442DA"/>
    <w:multiLevelType w:val="hybridMultilevel"/>
    <w:tmpl w:val="CA6050A0"/>
    <w:lvl w:ilvl="0" w:tplc="0422000F">
      <w:start w:val="1"/>
      <w:numFmt w:val="decimal"/>
      <w:lvlText w:val="%1."/>
      <w:lvlJc w:val="left"/>
      <w:pPr>
        <w:ind w:left="578" w:hanging="360"/>
      </w:pPr>
    </w:lvl>
    <w:lvl w:ilvl="1" w:tplc="04220019" w:tentative="1">
      <w:start w:val="1"/>
      <w:numFmt w:val="lowerLetter"/>
      <w:lvlText w:val="%2."/>
      <w:lvlJc w:val="left"/>
      <w:pPr>
        <w:ind w:left="1298" w:hanging="360"/>
      </w:pPr>
    </w:lvl>
    <w:lvl w:ilvl="2" w:tplc="0422001B" w:tentative="1">
      <w:start w:val="1"/>
      <w:numFmt w:val="lowerRoman"/>
      <w:lvlText w:val="%3."/>
      <w:lvlJc w:val="right"/>
      <w:pPr>
        <w:ind w:left="2018" w:hanging="180"/>
      </w:pPr>
    </w:lvl>
    <w:lvl w:ilvl="3" w:tplc="0422000F" w:tentative="1">
      <w:start w:val="1"/>
      <w:numFmt w:val="decimal"/>
      <w:lvlText w:val="%4."/>
      <w:lvlJc w:val="left"/>
      <w:pPr>
        <w:ind w:left="2738" w:hanging="360"/>
      </w:pPr>
    </w:lvl>
    <w:lvl w:ilvl="4" w:tplc="04220019" w:tentative="1">
      <w:start w:val="1"/>
      <w:numFmt w:val="lowerLetter"/>
      <w:lvlText w:val="%5."/>
      <w:lvlJc w:val="left"/>
      <w:pPr>
        <w:ind w:left="3458" w:hanging="360"/>
      </w:pPr>
    </w:lvl>
    <w:lvl w:ilvl="5" w:tplc="0422001B" w:tentative="1">
      <w:start w:val="1"/>
      <w:numFmt w:val="lowerRoman"/>
      <w:lvlText w:val="%6."/>
      <w:lvlJc w:val="right"/>
      <w:pPr>
        <w:ind w:left="4178" w:hanging="180"/>
      </w:pPr>
    </w:lvl>
    <w:lvl w:ilvl="6" w:tplc="0422000F" w:tentative="1">
      <w:start w:val="1"/>
      <w:numFmt w:val="decimal"/>
      <w:lvlText w:val="%7."/>
      <w:lvlJc w:val="left"/>
      <w:pPr>
        <w:ind w:left="4898" w:hanging="360"/>
      </w:pPr>
    </w:lvl>
    <w:lvl w:ilvl="7" w:tplc="04220019" w:tentative="1">
      <w:start w:val="1"/>
      <w:numFmt w:val="lowerLetter"/>
      <w:lvlText w:val="%8."/>
      <w:lvlJc w:val="left"/>
      <w:pPr>
        <w:ind w:left="5618" w:hanging="360"/>
      </w:pPr>
    </w:lvl>
    <w:lvl w:ilvl="8" w:tplc="0422001B" w:tentative="1">
      <w:start w:val="1"/>
      <w:numFmt w:val="lowerRoman"/>
      <w:lvlText w:val="%9."/>
      <w:lvlJc w:val="right"/>
      <w:pPr>
        <w:ind w:left="6338" w:hanging="180"/>
      </w:pPr>
    </w:lvl>
  </w:abstractNum>
  <w:abstractNum w:abstractNumId="62" w15:restartNumberingAfterBreak="0">
    <w:nsid w:val="17B76C28"/>
    <w:multiLevelType w:val="hybridMultilevel"/>
    <w:tmpl w:val="3428431C"/>
    <w:lvl w:ilvl="0" w:tplc="0422000F">
      <w:start w:val="1"/>
      <w:numFmt w:val="decimal"/>
      <w:lvlText w:val="%1."/>
      <w:lvlJc w:val="left"/>
      <w:pPr>
        <w:ind w:left="3305" w:hanging="360"/>
      </w:pPr>
    </w:lvl>
    <w:lvl w:ilvl="1" w:tplc="04220019" w:tentative="1">
      <w:start w:val="1"/>
      <w:numFmt w:val="lowerLetter"/>
      <w:lvlText w:val="%2."/>
      <w:lvlJc w:val="left"/>
      <w:pPr>
        <w:ind w:left="4025" w:hanging="360"/>
      </w:pPr>
    </w:lvl>
    <w:lvl w:ilvl="2" w:tplc="0422001B" w:tentative="1">
      <w:start w:val="1"/>
      <w:numFmt w:val="lowerRoman"/>
      <w:lvlText w:val="%3."/>
      <w:lvlJc w:val="right"/>
      <w:pPr>
        <w:ind w:left="4745" w:hanging="180"/>
      </w:pPr>
    </w:lvl>
    <w:lvl w:ilvl="3" w:tplc="0422000F" w:tentative="1">
      <w:start w:val="1"/>
      <w:numFmt w:val="decimal"/>
      <w:lvlText w:val="%4."/>
      <w:lvlJc w:val="left"/>
      <w:pPr>
        <w:ind w:left="5465" w:hanging="360"/>
      </w:pPr>
    </w:lvl>
    <w:lvl w:ilvl="4" w:tplc="04220019" w:tentative="1">
      <w:start w:val="1"/>
      <w:numFmt w:val="lowerLetter"/>
      <w:lvlText w:val="%5."/>
      <w:lvlJc w:val="left"/>
      <w:pPr>
        <w:ind w:left="6185" w:hanging="360"/>
      </w:pPr>
    </w:lvl>
    <w:lvl w:ilvl="5" w:tplc="0422001B" w:tentative="1">
      <w:start w:val="1"/>
      <w:numFmt w:val="lowerRoman"/>
      <w:lvlText w:val="%6."/>
      <w:lvlJc w:val="right"/>
      <w:pPr>
        <w:ind w:left="6905" w:hanging="180"/>
      </w:pPr>
    </w:lvl>
    <w:lvl w:ilvl="6" w:tplc="0422000F" w:tentative="1">
      <w:start w:val="1"/>
      <w:numFmt w:val="decimal"/>
      <w:lvlText w:val="%7."/>
      <w:lvlJc w:val="left"/>
      <w:pPr>
        <w:ind w:left="7625" w:hanging="360"/>
      </w:pPr>
    </w:lvl>
    <w:lvl w:ilvl="7" w:tplc="04220019" w:tentative="1">
      <w:start w:val="1"/>
      <w:numFmt w:val="lowerLetter"/>
      <w:lvlText w:val="%8."/>
      <w:lvlJc w:val="left"/>
      <w:pPr>
        <w:ind w:left="8345" w:hanging="360"/>
      </w:pPr>
    </w:lvl>
    <w:lvl w:ilvl="8" w:tplc="0422001B" w:tentative="1">
      <w:start w:val="1"/>
      <w:numFmt w:val="lowerRoman"/>
      <w:lvlText w:val="%9."/>
      <w:lvlJc w:val="right"/>
      <w:pPr>
        <w:ind w:left="9065" w:hanging="180"/>
      </w:pPr>
    </w:lvl>
  </w:abstractNum>
  <w:abstractNum w:abstractNumId="63" w15:restartNumberingAfterBreak="0">
    <w:nsid w:val="17DD206D"/>
    <w:multiLevelType w:val="multilevel"/>
    <w:tmpl w:val="6D7A5FD0"/>
    <w:styleLink w:val="5"/>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64" w15:restartNumberingAfterBreak="0">
    <w:nsid w:val="180C49AE"/>
    <w:multiLevelType w:val="hybridMultilevel"/>
    <w:tmpl w:val="FF8A19BE"/>
    <w:lvl w:ilvl="0" w:tplc="EDECFCB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5" w15:restartNumberingAfterBreak="0">
    <w:nsid w:val="1882601E"/>
    <w:multiLevelType w:val="hybridMultilevel"/>
    <w:tmpl w:val="D326E716"/>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66" w15:restartNumberingAfterBreak="0">
    <w:nsid w:val="18DB2DC6"/>
    <w:multiLevelType w:val="hybridMultilevel"/>
    <w:tmpl w:val="6144CE44"/>
    <w:lvl w:ilvl="0" w:tplc="D598A6A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7" w15:restartNumberingAfterBreak="0">
    <w:nsid w:val="19126D26"/>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8" w15:restartNumberingAfterBreak="0">
    <w:nsid w:val="192718F9"/>
    <w:multiLevelType w:val="hybridMultilevel"/>
    <w:tmpl w:val="9668BF7A"/>
    <w:lvl w:ilvl="0" w:tplc="04220017">
      <w:start w:val="1"/>
      <w:numFmt w:val="lowerLetter"/>
      <w:lvlText w:val="%1)"/>
      <w:lvlJc w:val="left"/>
      <w:pPr>
        <w:ind w:left="2468" w:hanging="360"/>
      </w:pPr>
    </w:lvl>
    <w:lvl w:ilvl="1" w:tplc="04220019" w:tentative="1">
      <w:start w:val="1"/>
      <w:numFmt w:val="lowerLetter"/>
      <w:lvlText w:val="%2."/>
      <w:lvlJc w:val="left"/>
      <w:pPr>
        <w:ind w:left="3188" w:hanging="360"/>
      </w:pPr>
    </w:lvl>
    <w:lvl w:ilvl="2" w:tplc="0422001B" w:tentative="1">
      <w:start w:val="1"/>
      <w:numFmt w:val="lowerRoman"/>
      <w:lvlText w:val="%3."/>
      <w:lvlJc w:val="right"/>
      <w:pPr>
        <w:ind w:left="3908" w:hanging="180"/>
      </w:pPr>
    </w:lvl>
    <w:lvl w:ilvl="3" w:tplc="0422000F" w:tentative="1">
      <w:start w:val="1"/>
      <w:numFmt w:val="decimal"/>
      <w:lvlText w:val="%4."/>
      <w:lvlJc w:val="left"/>
      <w:pPr>
        <w:ind w:left="4628" w:hanging="360"/>
      </w:pPr>
    </w:lvl>
    <w:lvl w:ilvl="4" w:tplc="04220019" w:tentative="1">
      <w:start w:val="1"/>
      <w:numFmt w:val="lowerLetter"/>
      <w:lvlText w:val="%5."/>
      <w:lvlJc w:val="left"/>
      <w:pPr>
        <w:ind w:left="5348" w:hanging="360"/>
      </w:pPr>
    </w:lvl>
    <w:lvl w:ilvl="5" w:tplc="0422001B" w:tentative="1">
      <w:start w:val="1"/>
      <w:numFmt w:val="lowerRoman"/>
      <w:lvlText w:val="%6."/>
      <w:lvlJc w:val="right"/>
      <w:pPr>
        <w:ind w:left="6068" w:hanging="180"/>
      </w:pPr>
    </w:lvl>
    <w:lvl w:ilvl="6" w:tplc="0422000F" w:tentative="1">
      <w:start w:val="1"/>
      <w:numFmt w:val="decimal"/>
      <w:lvlText w:val="%7."/>
      <w:lvlJc w:val="left"/>
      <w:pPr>
        <w:ind w:left="6788" w:hanging="360"/>
      </w:pPr>
    </w:lvl>
    <w:lvl w:ilvl="7" w:tplc="04220019" w:tentative="1">
      <w:start w:val="1"/>
      <w:numFmt w:val="lowerLetter"/>
      <w:lvlText w:val="%8."/>
      <w:lvlJc w:val="left"/>
      <w:pPr>
        <w:ind w:left="7508" w:hanging="360"/>
      </w:pPr>
    </w:lvl>
    <w:lvl w:ilvl="8" w:tplc="0422001B" w:tentative="1">
      <w:start w:val="1"/>
      <w:numFmt w:val="lowerRoman"/>
      <w:lvlText w:val="%9."/>
      <w:lvlJc w:val="right"/>
      <w:pPr>
        <w:ind w:left="8228" w:hanging="180"/>
      </w:pPr>
    </w:lvl>
  </w:abstractNum>
  <w:abstractNum w:abstractNumId="69" w15:restartNumberingAfterBreak="0">
    <w:nsid w:val="19A61E95"/>
    <w:multiLevelType w:val="hybridMultilevel"/>
    <w:tmpl w:val="D2D83BD0"/>
    <w:lvl w:ilvl="0" w:tplc="D05AADF4">
      <w:start w:val="1"/>
      <w:numFmt w:val="lowerLetter"/>
      <w:lvlText w:val="%1)"/>
      <w:lvlJc w:val="left"/>
      <w:pPr>
        <w:ind w:left="1429" w:hanging="360"/>
      </w:pPr>
      <w:rPr>
        <w:rFonts w:ascii="Garamond" w:hAnsi="Garamond" w:hint="default"/>
      </w:rPr>
    </w:lvl>
    <w:lvl w:ilvl="1" w:tplc="DF50AD88" w:tentative="1">
      <w:start w:val="1"/>
      <w:numFmt w:val="lowerLetter"/>
      <w:lvlText w:val="%2."/>
      <w:lvlJc w:val="left"/>
      <w:pPr>
        <w:ind w:left="2149" w:hanging="360"/>
      </w:pPr>
    </w:lvl>
    <w:lvl w:ilvl="2" w:tplc="AA54C4AC" w:tentative="1">
      <w:start w:val="1"/>
      <w:numFmt w:val="lowerRoman"/>
      <w:lvlText w:val="%3."/>
      <w:lvlJc w:val="right"/>
      <w:pPr>
        <w:ind w:left="2869" w:hanging="180"/>
      </w:pPr>
    </w:lvl>
    <w:lvl w:ilvl="3" w:tplc="94BC6590" w:tentative="1">
      <w:start w:val="1"/>
      <w:numFmt w:val="decimal"/>
      <w:lvlText w:val="%4."/>
      <w:lvlJc w:val="left"/>
      <w:pPr>
        <w:ind w:left="3589" w:hanging="360"/>
      </w:pPr>
    </w:lvl>
    <w:lvl w:ilvl="4" w:tplc="9AB69D24" w:tentative="1">
      <w:start w:val="1"/>
      <w:numFmt w:val="lowerLetter"/>
      <w:lvlText w:val="%5."/>
      <w:lvlJc w:val="left"/>
      <w:pPr>
        <w:ind w:left="4309" w:hanging="360"/>
      </w:pPr>
    </w:lvl>
    <w:lvl w:ilvl="5" w:tplc="DB6A012C" w:tentative="1">
      <w:start w:val="1"/>
      <w:numFmt w:val="lowerRoman"/>
      <w:lvlText w:val="%6."/>
      <w:lvlJc w:val="right"/>
      <w:pPr>
        <w:ind w:left="5029" w:hanging="180"/>
      </w:pPr>
    </w:lvl>
    <w:lvl w:ilvl="6" w:tplc="2FC86DA0" w:tentative="1">
      <w:start w:val="1"/>
      <w:numFmt w:val="decimal"/>
      <w:lvlText w:val="%7."/>
      <w:lvlJc w:val="left"/>
      <w:pPr>
        <w:ind w:left="5749" w:hanging="360"/>
      </w:pPr>
    </w:lvl>
    <w:lvl w:ilvl="7" w:tplc="2D2C52DE" w:tentative="1">
      <w:start w:val="1"/>
      <w:numFmt w:val="lowerLetter"/>
      <w:lvlText w:val="%8."/>
      <w:lvlJc w:val="left"/>
      <w:pPr>
        <w:ind w:left="6469" w:hanging="360"/>
      </w:pPr>
    </w:lvl>
    <w:lvl w:ilvl="8" w:tplc="93F48BF8" w:tentative="1">
      <w:start w:val="1"/>
      <w:numFmt w:val="lowerRoman"/>
      <w:lvlText w:val="%9."/>
      <w:lvlJc w:val="right"/>
      <w:pPr>
        <w:ind w:left="7189" w:hanging="180"/>
      </w:pPr>
    </w:lvl>
  </w:abstractNum>
  <w:abstractNum w:abstractNumId="70" w15:restartNumberingAfterBreak="0">
    <w:nsid w:val="1ACE7AD0"/>
    <w:multiLevelType w:val="multilevel"/>
    <w:tmpl w:val="DBCCB62E"/>
    <w:lvl w:ilvl="0">
      <w:start w:val="1"/>
      <w:numFmt w:val="lowerLetter"/>
      <w:lvlText w:val="%1)"/>
      <w:lvlJc w:val="left"/>
      <w:pPr>
        <w:tabs>
          <w:tab w:val="num" w:pos="794"/>
        </w:tabs>
        <w:ind w:left="794" w:hanging="303"/>
      </w:pPr>
      <w:rPr>
        <w:position w:val="0"/>
        <w:sz w:val="28"/>
        <w:szCs w:val="24"/>
        <w:lang w:val="en-US"/>
      </w:rPr>
    </w:lvl>
    <w:lvl w:ilvl="1">
      <w:start w:val="1"/>
      <w:numFmt w:val="lowerLetter"/>
      <w:lvlText w:val="%2."/>
      <w:lvlJc w:val="left"/>
      <w:pPr>
        <w:tabs>
          <w:tab w:val="num" w:pos="1797"/>
        </w:tabs>
        <w:ind w:left="1797" w:hanging="360"/>
      </w:pPr>
      <w:rPr>
        <w:rFonts w:ascii="Garamond" w:eastAsia="Garamond" w:hAnsi="Garamond" w:cs="Garamond"/>
        <w:position w:val="0"/>
        <w:sz w:val="24"/>
        <w:szCs w:val="24"/>
        <w:lang w:val="en-US"/>
      </w:rPr>
    </w:lvl>
    <w:lvl w:ilvl="2">
      <w:start w:val="1"/>
      <w:numFmt w:val="lowerRoman"/>
      <w:lvlText w:val="%3."/>
      <w:lvlJc w:val="left"/>
      <w:pPr>
        <w:tabs>
          <w:tab w:val="num" w:pos="2517"/>
        </w:tabs>
        <w:ind w:left="2517" w:hanging="296"/>
      </w:pPr>
      <w:rPr>
        <w:rFonts w:ascii="Garamond" w:eastAsia="Garamond" w:hAnsi="Garamond" w:cs="Garamond"/>
        <w:position w:val="0"/>
        <w:sz w:val="24"/>
        <w:szCs w:val="24"/>
        <w:lang w:val="en-US"/>
      </w:rPr>
    </w:lvl>
    <w:lvl w:ilvl="3">
      <w:start w:val="1"/>
      <w:numFmt w:val="decimal"/>
      <w:lvlText w:val="%4."/>
      <w:lvlJc w:val="left"/>
      <w:pPr>
        <w:tabs>
          <w:tab w:val="num" w:pos="3237"/>
        </w:tabs>
        <w:ind w:left="3237" w:hanging="360"/>
      </w:pPr>
      <w:rPr>
        <w:rFonts w:ascii="Garamond" w:eastAsia="Garamond" w:hAnsi="Garamond" w:cs="Garamond"/>
        <w:position w:val="0"/>
        <w:sz w:val="24"/>
        <w:szCs w:val="24"/>
        <w:lang w:val="en-US"/>
      </w:rPr>
    </w:lvl>
    <w:lvl w:ilvl="4">
      <w:start w:val="1"/>
      <w:numFmt w:val="lowerLetter"/>
      <w:lvlText w:val="%5."/>
      <w:lvlJc w:val="left"/>
      <w:pPr>
        <w:tabs>
          <w:tab w:val="num" w:pos="3957"/>
        </w:tabs>
        <w:ind w:left="3957" w:hanging="360"/>
      </w:pPr>
      <w:rPr>
        <w:rFonts w:ascii="Garamond" w:eastAsia="Garamond" w:hAnsi="Garamond" w:cs="Garamond"/>
        <w:position w:val="0"/>
        <w:sz w:val="24"/>
        <w:szCs w:val="24"/>
        <w:lang w:val="en-US"/>
      </w:rPr>
    </w:lvl>
    <w:lvl w:ilvl="5">
      <w:start w:val="1"/>
      <w:numFmt w:val="lowerRoman"/>
      <w:lvlText w:val="%6."/>
      <w:lvlJc w:val="left"/>
      <w:pPr>
        <w:tabs>
          <w:tab w:val="num" w:pos="4677"/>
        </w:tabs>
        <w:ind w:left="4677" w:hanging="296"/>
      </w:pPr>
      <w:rPr>
        <w:rFonts w:ascii="Garamond" w:eastAsia="Garamond" w:hAnsi="Garamond" w:cs="Garamond"/>
        <w:position w:val="0"/>
        <w:sz w:val="24"/>
        <w:szCs w:val="24"/>
        <w:lang w:val="en-US"/>
      </w:rPr>
    </w:lvl>
    <w:lvl w:ilvl="6">
      <w:start w:val="1"/>
      <w:numFmt w:val="decimal"/>
      <w:lvlText w:val="%7."/>
      <w:lvlJc w:val="left"/>
      <w:pPr>
        <w:tabs>
          <w:tab w:val="num" w:pos="5397"/>
        </w:tabs>
        <w:ind w:left="5397" w:hanging="360"/>
      </w:pPr>
      <w:rPr>
        <w:rFonts w:ascii="Garamond" w:eastAsia="Garamond" w:hAnsi="Garamond" w:cs="Garamond"/>
        <w:position w:val="0"/>
        <w:sz w:val="24"/>
        <w:szCs w:val="24"/>
        <w:lang w:val="en-US"/>
      </w:rPr>
    </w:lvl>
    <w:lvl w:ilvl="7">
      <w:start w:val="1"/>
      <w:numFmt w:val="lowerLetter"/>
      <w:lvlText w:val="%8."/>
      <w:lvlJc w:val="left"/>
      <w:pPr>
        <w:tabs>
          <w:tab w:val="num" w:pos="6117"/>
        </w:tabs>
        <w:ind w:left="6117" w:hanging="360"/>
      </w:pPr>
      <w:rPr>
        <w:rFonts w:ascii="Garamond" w:eastAsia="Garamond" w:hAnsi="Garamond" w:cs="Garamond"/>
        <w:position w:val="0"/>
        <w:sz w:val="24"/>
        <w:szCs w:val="24"/>
        <w:lang w:val="en-US"/>
      </w:rPr>
    </w:lvl>
    <w:lvl w:ilvl="8">
      <w:start w:val="1"/>
      <w:numFmt w:val="lowerRoman"/>
      <w:lvlText w:val="%9."/>
      <w:lvlJc w:val="left"/>
      <w:pPr>
        <w:tabs>
          <w:tab w:val="num" w:pos="6837"/>
        </w:tabs>
        <w:ind w:left="6837" w:hanging="296"/>
      </w:pPr>
      <w:rPr>
        <w:rFonts w:ascii="Garamond" w:eastAsia="Garamond" w:hAnsi="Garamond" w:cs="Garamond"/>
        <w:position w:val="0"/>
        <w:sz w:val="24"/>
        <w:szCs w:val="24"/>
        <w:lang w:val="en-US"/>
      </w:rPr>
    </w:lvl>
  </w:abstractNum>
  <w:abstractNum w:abstractNumId="71" w15:restartNumberingAfterBreak="0">
    <w:nsid w:val="1D241355"/>
    <w:multiLevelType w:val="hybridMultilevel"/>
    <w:tmpl w:val="BEB24716"/>
    <w:lvl w:ilvl="0" w:tplc="0422000F">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72" w15:restartNumberingAfterBreak="0">
    <w:nsid w:val="1DA16DD1"/>
    <w:multiLevelType w:val="hybridMultilevel"/>
    <w:tmpl w:val="6C683DB4"/>
    <w:lvl w:ilvl="0" w:tplc="7004D22A">
      <w:start w:val="1"/>
      <w:numFmt w:val="lowerLetter"/>
      <w:lvlText w:val="%1)"/>
      <w:lvlJc w:val="left"/>
      <w:pPr>
        <w:ind w:left="1080" w:hanging="360"/>
      </w:pPr>
      <w:rPr>
        <w:rFonts w:ascii="Garamond" w:hAnsi="Garamond" w:hint="default"/>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3" w15:restartNumberingAfterBreak="0">
    <w:nsid w:val="1DAC7A01"/>
    <w:multiLevelType w:val="hybridMultilevel"/>
    <w:tmpl w:val="A274B68A"/>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74" w15:restartNumberingAfterBreak="0">
    <w:nsid w:val="1EB54D41"/>
    <w:multiLevelType w:val="hybridMultilevel"/>
    <w:tmpl w:val="E348DCDC"/>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75" w15:restartNumberingAfterBreak="0">
    <w:nsid w:val="1ECB1A82"/>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76" w15:restartNumberingAfterBreak="0">
    <w:nsid w:val="1EF84F81"/>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77" w15:restartNumberingAfterBreak="0">
    <w:nsid w:val="20092CAF"/>
    <w:multiLevelType w:val="hybridMultilevel"/>
    <w:tmpl w:val="857422BC"/>
    <w:styleLink w:val="4111"/>
    <w:lvl w:ilvl="0" w:tplc="04E66558">
      <w:start w:val="1"/>
      <w:numFmt w:val="decimal"/>
      <w:pStyle w:val="NumberedList"/>
      <w:lvlText w:val="%1."/>
      <w:lvlJc w:val="left"/>
      <w:pPr>
        <w:tabs>
          <w:tab w:val="num" w:pos="720"/>
        </w:tabs>
        <w:ind w:left="720" w:hanging="360"/>
      </w:pPr>
      <w:rPr>
        <w:rFonts w:ascii="Garamond" w:hAnsi="Garamond" w:hint="default"/>
        <w:sz w:val="28"/>
        <w:szCs w:val="28"/>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8" w15:restartNumberingAfterBreak="0">
    <w:nsid w:val="20995896"/>
    <w:multiLevelType w:val="hybridMultilevel"/>
    <w:tmpl w:val="F97CB0CE"/>
    <w:lvl w:ilvl="0" w:tplc="04220017">
      <w:start w:val="1"/>
      <w:numFmt w:val="lowerLett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9" w15:restartNumberingAfterBreak="0">
    <w:nsid w:val="2101690E"/>
    <w:multiLevelType w:val="hybridMultilevel"/>
    <w:tmpl w:val="FF8A19BE"/>
    <w:lvl w:ilvl="0" w:tplc="EDECFCB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0" w15:restartNumberingAfterBreak="0">
    <w:nsid w:val="21156831"/>
    <w:multiLevelType w:val="hybridMultilevel"/>
    <w:tmpl w:val="F97CB0CE"/>
    <w:lvl w:ilvl="0" w:tplc="2FA8898A">
      <w:start w:val="1"/>
      <w:numFmt w:val="lowerLetter"/>
      <w:lvlText w:val="%1)"/>
      <w:lvlJc w:val="left"/>
      <w:pPr>
        <w:ind w:left="1429" w:hanging="360"/>
      </w:pPr>
      <w:rPr>
        <w:rFonts w:hint="default"/>
      </w:rPr>
    </w:lvl>
    <w:lvl w:ilvl="1" w:tplc="0A64E23A" w:tentative="1">
      <w:start w:val="1"/>
      <w:numFmt w:val="lowerLetter"/>
      <w:lvlText w:val="%2."/>
      <w:lvlJc w:val="left"/>
      <w:pPr>
        <w:ind w:left="2149" w:hanging="360"/>
      </w:pPr>
    </w:lvl>
    <w:lvl w:ilvl="2" w:tplc="539E32D0" w:tentative="1">
      <w:start w:val="1"/>
      <w:numFmt w:val="lowerRoman"/>
      <w:lvlText w:val="%3."/>
      <w:lvlJc w:val="right"/>
      <w:pPr>
        <w:ind w:left="2869" w:hanging="180"/>
      </w:pPr>
    </w:lvl>
    <w:lvl w:ilvl="3" w:tplc="A0F6A660" w:tentative="1">
      <w:start w:val="1"/>
      <w:numFmt w:val="decimal"/>
      <w:lvlText w:val="%4."/>
      <w:lvlJc w:val="left"/>
      <w:pPr>
        <w:ind w:left="3589" w:hanging="360"/>
      </w:pPr>
    </w:lvl>
    <w:lvl w:ilvl="4" w:tplc="3A92792C" w:tentative="1">
      <w:start w:val="1"/>
      <w:numFmt w:val="lowerLetter"/>
      <w:lvlText w:val="%5."/>
      <w:lvlJc w:val="left"/>
      <w:pPr>
        <w:ind w:left="4309" w:hanging="360"/>
      </w:pPr>
    </w:lvl>
    <w:lvl w:ilvl="5" w:tplc="EC52B5CC" w:tentative="1">
      <w:start w:val="1"/>
      <w:numFmt w:val="lowerRoman"/>
      <w:lvlText w:val="%6."/>
      <w:lvlJc w:val="right"/>
      <w:pPr>
        <w:ind w:left="5029" w:hanging="180"/>
      </w:pPr>
    </w:lvl>
    <w:lvl w:ilvl="6" w:tplc="0B0668EA" w:tentative="1">
      <w:start w:val="1"/>
      <w:numFmt w:val="decimal"/>
      <w:lvlText w:val="%7."/>
      <w:lvlJc w:val="left"/>
      <w:pPr>
        <w:ind w:left="5749" w:hanging="360"/>
      </w:pPr>
    </w:lvl>
    <w:lvl w:ilvl="7" w:tplc="5A281372" w:tentative="1">
      <w:start w:val="1"/>
      <w:numFmt w:val="lowerLetter"/>
      <w:lvlText w:val="%8."/>
      <w:lvlJc w:val="left"/>
      <w:pPr>
        <w:ind w:left="6469" w:hanging="360"/>
      </w:pPr>
    </w:lvl>
    <w:lvl w:ilvl="8" w:tplc="67BC0584" w:tentative="1">
      <w:start w:val="1"/>
      <w:numFmt w:val="lowerRoman"/>
      <w:lvlText w:val="%9."/>
      <w:lvlJc w:val="right"/>
      <w:pPr>
        <w:ind w:left="7189" w:hanging="180"/>
      </w:pPr>
    </w:lvl>
  </w:abstractNum>
  <w:abstractNum w:abstractNumId="81" w15:restartNumberingAfterBreak="0">
    <w:nsid w:val="21364B1D"/>
    <w:multiLevelType w:val="hybridMultilevel"/>
    <w:tmpl w:val="6C683DB4"/>
    <w:lvl w:ilvl="0" w:tplc="7004D22A">
      <w:start w:val="1"/>
      <w:numFmt w:val="lowerLetter"/>
      <w:lvlText w:val="%1)"/>
      <w:lvlJc w:val="left"/>
      <w:pPr>
        <w:ind w:left="1080" w:hanging="360"/>
      </w:pPr>
      <w:rPr>
        <w:rFonts w:ascii="Garamond" w:hAnsi="Garamond" w:hint="default"/>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2" w15:restartNumberingAfterBreak="0">
    <w:nsid w:val="21950CF7"/>
    <w:multiLevelType w:val="multilevel"/>
    <w:tmpl w:val="BA084C2A"/>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83" w15:restartNumberingAfterBreak="0">
    <w:nsid w:val="230359CB"/>
    <w:multiLevelType w:val="hybridMultilevel"/>
    <w:tmpl w:val="AD2E6804"/>
    <w:lvl w:ilvl="0" w:tplc="1AD47C12">
      <w:start w:val="1"/>
      <w:numFmt w:val="lowerLetter"/>
      <w:lvlText w:val="%1)"/>
      <w:lvlJc w:val="left"/>
      <w:pPr>
        <w:ind w:left="1429" w:hanging="360"/>
      </w:pPr>
      <w:rPr>
        <w:rFonts w:ascii="Garamond" w:hAnsi="Garamond" w:hint="default"/>
      </w:rPr>
    </w:lvl>
    <w:lvl w:ilvl="1" w:tplc="466ABDB4" w:tentative="1">
      <w:start w:val="1"/>
      <w:numFmt w:val="lowerLetter"/>
      <w:lvlText w:val="%2."/>
      <w:lvlJc w:val="left"/>
      <w:pPr>
        <w:ind w:left="2149" w:hanging="360"/>
      </w:pPr>
    </w:lvl>
    <w:lvl w:ilvl="2" w:tplc="4BFC6284" w:tentative="1">
      <w:start w:val="1"/>
      <w:numFmt w:val="lowerRoman"/>
      <w:lvlText w:val="%3."/>
      <w:lvlJc w:val="right"/>
      <w:pPr>
        <w:ind w:left="2869" w:hanging="180"/>
      </w:pPr>
    </w:lvl>
    <w:lvl w:ilvl="3" w:tplc="F0D4785C" w:tentative="1">
      <w:start w:val="1"/>
      <w:numFmt w:val="decimal"/>
      <w:lvlText w:val="%4."/>
      <w:lvlJc w:val="left"/>
      <w:pPr>
        <w:ind w:left="3589" w:hanging="360"/>
      </w:pPr>
    </w:lvl>
    <w:lvl w:ilvl="4" w:tplc="E56ACBA6" w:tentative="1">
      <w:start w:val="1"/>
      <w:numFmt w:val="lowerLetter"/>
      <w:lvlText w:val="%5."/>
      <w:lvlJc w:val="left"/>
      <w:pPr>
        <w:ind w:left="4309" w:hanging="360"/>
      </w:pPr>
    </w:lvl>
    <w:lvl w:ilvl="5" w:tplc="5CBE7B1E" w:tentative="1">
      <w:start w:val="1"/>
      <w:numFmt w:val="lowerRoman"/>
      <w:lvlText w:val="%6."/>
      <w:lvlJc w:val="right"/>
      <w:pPr>
        <w:ind w:left="5029" w:hanging="180"/>
      </w:pPr>
    </w:lvl>
    <w:lvl w:ilvl="6" w:tplc="B3845CDC" w:tentative="1">
      <w:start w:val="1"/>
      <w:numFmt w:val="decimal"/>
      <w:lvlText w:val="%7."/>
      <w:lvlJc w:val="left"/>
      <w:pPr>
        <w:ind w:left="5749" w:hanging="360"/>
      </w:pPr>
    </w:lvl>
    <w:lvl w:ilvl="7" w:tplc="F6A249AA" w:tentative="1">
      <w:start w:val="1"/>
      <w:numFmt w:val="lowerLetter"/>
      <w:lvlText w:val="%8."/>
      <w:lvlJc w:val="left"/>
      <w:pPr>
        <w:ind w:left="6469" w:hanging="360"/>
      </w:pPr>
    </w:lvl>
    <w:lvl w:ilvl="8" w:tplc="688E6BBA" w:tentative="1">
      <w:start w:val="1"/>
      <w:numFmt w:val="lowerRoman"/>
      <w:lvlText w:val="%9."/>
      <w:lvlJc w:val="right"/>
      <w:pPr>
        <w:ind w:left="7189" w:hanging="180"/>
      </w:pPr>
    </w:lvl>
  </w:abstractNum>
  <w:abstractNum w:abstractNumId="84" w15:restartNumberingAfterBreak="0">
    <w:nsid w:val="23467AC3"/>
    <w:multiLevelType w:val="hybridMultilevel"/>
    <w:tmpl w:val="89F2B214"/>
    <w:lvl w:ilvl="0" w:tplc="CDB2D7F8">
      <w:start w:val="1"/>
      <w:numFmt w:val="lowerRoman"/>
      <w:lvlText w:val="%1)"/>
      <w:lvlJc w:val="left"/>
      <w:pPr>
        <w:ind w:left="717" w:hanging="360"/>
      </w:pPr>
      <w:rPr>
        <w:rFonts w:hint="default"/>
        <w:b/>
        <w:i w:val="0"/>
      </w:rPr>
    </w:lvl>
    <w:lvl w:ilvl="1" w:tplc="346C8E8C" w:tentative="1">
      <w:start w:val="1"/>
      <w:numFmt w:val="lowerLetter"/>
      <w:lvlText w:val="%2."/>
      <w:lvlJc w:val="left"/>
      <w:pPr>
        <w:ind w:left="1437" w:hanging="360"/>
      </w:pPr>
    </w:lvl>
    <w:lvl w:ilvl="2" w:tplc="2490FE38" w:tentative="1">
      <w:start w:val="1"/>
      <w:numFmt w:val="lowerRoman"/>
      <w:lvlText w:val="%3."/>
      <w:lvlJc w:val="right"/>
      <w:pPr>
        <w:ind w:left="2157" w:hanging="180"/>
      </w:pPr>
    </w:lvl>
    <w:lvl w:ilvl="3" w:tplc="701686D4" w:tentative="1">
      <w:start w:val="1"/>
      <w:numFmt w:val="decimal"/>
      <w:lvlText w:val="%4."/>
      <w:lvlJc w:val="left"/>
      <w:pPr>
        <w:ind w:left="2877" w:hanging="360"/>
      </w:pPr>
    </w:lvl>
    <w:lvl w:ilvl="4" w:tplc="16F41136" w:tentative="1">
      <w:start w:val="1"/>
      <w:numFmt w:val="lowerLetter"/>
      <w:lvlText w:val="%5."/>
      <w:lvlJc w:val="left"/>
      <w:pPr>
        <w:ind w:left="3597" w:hanging="360"/>
      </w:pPr>
    </w:lvl>
    <w:lvl w:ilvl="5" w:tplc="B4360088" w:tentative="1">
      <w:start w:val="1"/>
      <w:numFmt w:val="lowerRoman"/>
      <w:lvlText w:val="%6."/>
      <w:lvlJc w:val="right"/>
      <w:pPr>
        <w:ind w:left="4317" w:hanging="180"/>
      </w:pPr>
    </w:lvl>
    <w:lvl w:ilvl="6" w:tplc="C6B6C70E" w:tentative="1">
      <w:start w:val="1"/>
      <w:numFmt w:val="decimal"/>
      <w:lvlText w:val="%7."/>
      <w:lvlJc w:val="left"/>
      <w:pPr>
        <w:ind w:left="5037" w:hanging="360"/>
      </w:pPr>
    </w:lvl>
    <w:lvl w:ilvl="7" w:tplc="F5242BB0" w:tentative="1">
      <w:start w:val="1"/>
      <w:numFmt w:val="lowerLetter"/>
      <w:lvlText w:val="%8."/>
      <w:lvlJc w:val="left"/>
      <w:pPr>
        <w:ind w:left="5757" w:hanging="360"/>
      </w:pPr>
    </w:lvl>
    <w:lvl w:ilvl="8" w:tplc="4614C3BA" w:tentative="1">
      <w:start w:val="1"/>
      <w:numFmt w:val="lowerRoman"/>
      <w:lvlText w:val="%9."/>
      <w:lvlJc w:val="right"/>
      <w:pPr>
        <w:ind w:left="6477" w:hanging="180"/>
      </w:pPr>
    </w:lvl>
  </w:abstractNum>
  <w:abstractNum w:abstractNumId="85" w15:restartNumberingAfterBreak="0">
    <w:nsid w:val="23775564"/>
    <w:multiLevelType w:val="multilevel"/>
    <w:tmpl w:val="6BA4DE5C"/>
    <w:styleLink w:val="7"/>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86" w15:restartNumberingAfterBreak="0">
    <w:nsid w:val="23787A9F"/>
    <w:multiLevelType w:val="hybridMultilevel"/>
    <w:tmpl w:val="F5A8C55E"/>
    <w:lvl w:ilvl="0" w:tplc="1A408BF8">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87" w15:restartNumberingAfterBreak="0">
    <w:nsid w:val="237B66E8"/>
    <w:multiLevelType w:val="hybridMultilevel"/>
    <w:tmpl w:val="C498A162"/>
    <w:lvl w:ilvl="0" w:tplc="B3B012E2">
      <w:start w:val="1"/>
      <w:numFmt w:val="decimal"/>
      <w:lvlText w:val="%1."/>
      <w:lvlJc w:val="left"/>
      <w:pPr>
        <w:ind w:left="717" w:hanging="360"/>
      </w:pPr>
      <w:rPr>
        <w:rFonts w:hint="default"/>
      </w:r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88" w15:restartNumberingAfterBreak="0">
    <w:nsid w:val="23D42FEA"/>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89" w15:restartNumberingAfterBreak="0">
    <w:nsid w:val="23E11ECB"/>
    <w:multiLevelType w:val="hybridMultilevel"/>
    <w:tmpl w:val="F97CB0CE"/>
    <w:lvl w:ilvl="0" w:tplc="04220017">
      <w:start w:val="1"/>
      <w:numFmt w:val="lowerLett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0" w15:restartNumberingAfterBreak="0">
    <w:nsid w:val="2417338B"/>
    <w:multiLevelType w:val="hybridMultilevel"/>
    <w:tmpl w:val="261C8598"/>
    <w:lvl w:ilvl="0" w:tplc="04220017">
      <w:start w:val="1"/>
      <w:numFmt w:val="lowerLetter"/>
      <w:lvlText w:val="%1)"/>
      <w:lvlJc w:val="left"/>
      <w:pPr>
        <w:ind w:left="1618" w:hanging="360"/>
      </w:pPr>
    </w:lvl>
    <w:lvl w:ilvl="1" w:tplc="04220019" w:tentative="1">
      <w:start w:val="1"/>
      <w:numFmt w:val="lowerLetter"/>
      <w:lvlText w:val="%2."/>
      <w:lvlJc w:val="left"/>
      <w:pPr>
        <w:ind w:left="2338" w:hanging="360"/>
      </w:pPr>
    </w:lvl>
    <w:lvl w:ilvl="2" w:tplc="0422001B" w:tentative="1">
      <w:start w:val="1"/>
      <w:numFmt w:val="lowerRoman"/>
      <w:lvlText w:val="%3."/>
      <w:lvlJc w:val="right"/>
      <w:pPr>
        <w:ind w:left="3058" w:hanging="180"/>
      </w:pPr>
    </w:lvl>
    <w:lvl w:ilvl="3" w:tplc="0422000F" w:tentative="1">
      <w:start w:val="1"/>
      <w:numFmt w:val="decimal"/>
      <w:lvlText w:val="%4."/>
      <w:lvlJc w:val="left"/>
      <w:pPr>
        <w:ind w:left="3778" w:hanging="360"/>
      </w:pPr>
    </w:lvl>
    <w:lvl w:ilvl="4" w:tplc="04220019" w:tentative="1">
      <w:start w:val="1"/>
      <w:numFmt w:val="lowerLetter"/>
      <w:lvlText w:val="%5."/>
      <w:lvlJc w:val="left"/>
      <w:pPr>
        <w:ind w:left="4498" w:hanging="360"/>
      </w:pPr>
    </w:lvl>
    <w:lvl w:ilvl="5" w:tplc="0422001B" w:tentative="1">
      <w:start w:val="1"/>
      <w:numFmt w:val="lowerRoman"/>
      <w:lvlText w:val="%6."/>
      <w:lvlJc w:val="right"/>
      <w:pPr>
        <w:ind w:left="5218" w:hanging="180"/>
      </w:pPr>
    </w:lvl>
    <w:lvl w:ilvl="6" w:tplc="0422000F" w:tentative="1">
      <w:start w:val="1"/>
      <w:numFmt w:val="decimal"/>
      <w:lvlText w:val="%7."/>
      <w:lvlJc w:val="left"/>
      <w:pPr>
        <w:ind w:left="5938" w:hanging="360"/>
      </w:pPr>
    </w:lvl>
    <w:lvl w:ilvl="7" w:tplc="04220019" w:tentative="1">
      <w:start w:val="1"/>
      <w:numFmt w:val="lowerLetter"/>
      <w:lvlText w:val="%8."/>
      <w:lvlJc w:val="left"/>
      <w:pPr>
        <w:ind w:left="6658" w:hanging="360"/>
      </w:pPr>
    </w:lvl>
    <w:lvl w:ilvl="8" w:tplc="0422001B" w:tentative="1">
      <w:start w:val="1"/>
      <w:numFmt w:val="lowerRoman"/>
      <w:lvlText w:val="%9."/>
      <w:lvlJc w:val="right"/>
      <w:pPr>
        <w:ind w:left="7378" w:hanging="180"/>
      </w:pPr>
    </w:lvl>
  </w:abstractNum>
  <w:abstractNum w:abstractNumId="91" w15:restartNumberingAfterBreak="0">
    <w:nsid w:val="24B6141C"/>
    <w:multiLevelType w:val="hybridMultilevel"/>
    <w:tmpl w:val="F97CB0CE"/>
    <w:lvl w:ilvl="0" w:tplc="766A5792">
      <w:start w:val="1"/>
      <w:numFmt w:val="lowerLetter"/>
      <w:lvlText w:val="%1)"/>
      <w:lvlJc w:val="left"/>
      <w:pPr>
        <w:ind w:left="1429" w:hanging="360"/>
      </w:pPr>
      <w:rPr>
        <w:rFonts w:hint="default"/>
      </w:rPr>
    </w:lvl>
    <w:lvl w:ilvl="1" w:tplc="D5B2B5B0" w:tentative="1">
      <w:start w:val="1"/>
      <w:numFmt w:val="lowerLetter"/>
      <w:lvlText w:val="%2."/>
      <w:lvlJc w:val="left"/>
      <w:pPr>
        <w:ind w:left="2149" w:hanging="360"/>
      </w:pPr>
    </w:lvl>
    <w:lvl w:ilvl="2" w:tplc="D72E83D0" w:tentative="1">
      <w:start w:val="1"/>
      <w:numFmt w:val="lowerRoman"/>
      <w:lvlText w:val="%3."/>
      <w:lvlJc w:val="right"/>
      <w:pPr>
        <w:ind w:left="2869" w:hanging="180"/>
      </w:pPr>
    </w:lvl>
    <w:lvl w:ilvl="3" w:tplc="5EECFB0E" w:tentative="1">
      <w:start w:val="1"/>
      <w:numFmt w:val="decimal"/>
      <w:lvlText w:val="%4."/>
      <w:lvlJc w:val="left"/>
      <w:pPr>
        <w:ind w:left="3589" w:hanging="360"/>
      </w:pPr>
    </w:lvl>
    <w:lvl w:ilvl="4" w:tplc="F8628DEE" w:tentative="1">
      <w:start w:val="1"/>
      <w:numFmt w:val="lowerLetter"/>
      <w:lvlText w:val="%5."/>
      <w:lvlJc w:val="left"/>
      <w:pPr>
        <w:ind w:left="4309" w:hanging="360"/>
      </w:pPr>
    </w:lvl>
    <w:lvl w:ilvl="5" w:tplc="58ECCC24" w:tentative="1">
      <w:start w:val="1"/>
      <w:numFmt w:val="lowerRoman"/>
      <w:lvlText w:val="%6."/>
      <w:lvlJc w:val="right"/>
      <w:pPr>
        <w:ind w:left="5029" w:hanging="180"/>
      </w:pPr>
    </w:lvl>
    <w:lvl w:ilvl="6" w:tplc="0B2021DE" w:tentative="1">
      <w:start w:val="1"/>
      <w:numFmt w:val="decimal"/>
      <w:lvlText w:val="%7."/>
      <w:lvlJc w:val="left"/>
      <w:pPr>
        <w:ind w:left="5749" w:hanging="360"/>
      </w:pPr>
    </w:lvl>
    <w:lvl w:ilvl="7" w:tplc="A1C21B8E" w:tentative="1">
      <w:start w:val="1"/>
      <w:numFmt w:val="lowerLetter"/>
      <w:lvlText w:val="%8."/>
      <w:lvlJc w:val="left"/>
      <w:pPr>
        <w:ind w:left="6469" w:hanging="360"/>
      </w:pPr>
    </w:lvl>
    <w:lvl w:ilvl="8" w:tplc="6004D3F4" w:tentative="1">
      <w:start w:val="1"/>
      <w:numFmt w:val="lowerRoman"/>
      <w:lvlText w:val="%9."/>
      <w:lvlJc w:val="right"/>
      <w:pPr>
        <w:ind w:left="7189" w:hanging="180"/>
      </w:pPr>
    </w:lvl>
  </w:abstractNum>
  <w:abstractNum w:abstractNumId="92" w15:restartNumberingAfterBreak="0">
    <w:nsid w:val="24BE3673"/>
    <w:multiLevelType w:val="multilevel"/>
    <w:tmpl w:val="2800F1B2"/>
    <w:styleLink w:val="10"/>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93" w15:restartNumberingAfterBreak="0">
    <w:nsid w:val="25613A1D"/>
    <w:multiLevelType w:val="hybridMultilevel"/>
    <w:tmpl w:val="F97CB0CE"/>
    <w:lvl w:ilvl="0" w:tplc="22BE53DC">
      <w:start w:val="1"/>
      <w:numFmt w:val="lowerLetter"/>
      <w:lvlText w:val="%1)"/>
      <w:lvlJc w:val="left"/>
      <w:pPr>
        <w:ind w:left="1429" w:hanging="360"/>
      </w:pPr>
      <w:rPr>
        <w:rFonts w:hint="default"/>
      </w:rPr>
    </w:lvl>
    <w:lvl w:ilvl="1" w:tplc="B6346FF6" w:tentative="1">
      <w:start w:val="1"/>
      <w:numFmt w:val="lowerLetter"/>
      <w:lvlText w:val="%2."/>
      <w:lvlJc w:val="left"/>
      <w:pPr>
        <w:ind w:left="2149" w:hanging="360"/>
      </w:pPr>
    </w:lvl>
    <w:lvl w:ilvl="2" w:tplc="C72C8A02" w:tentative="1">
      <w:start w:val="1"/>
      <w:numFmt w:val="lowerRoman"/>
      <w:lvlText w:val="%3."/>
      <w:lvlJc w:val="right"/>
      <w:pPr>
        <w:ind w:left="2869" w:hanging="180"/>
      </w:pPr>
    </w:lvl>
    <w:lvl w:ilvl="3" w:tplc="D1228E4A" w:tentative="1">
      <w:start w:val="1"/>
      <w:numFmt w:val="decimal"/>
      <w:lvlText w:val="%4."/>
      <w:lvlJc w:val="left"/>
      <w:pPr>
        <w:ind w:left="3589" w:hanging="360"/>
      </w:pPr>
    </w:lvl>
    <w:lvl w:ilvl="4" w:tplc="4342950A" w:tentative="1">
      <w:start w:val="1"/>
      <w:numFmt w:val="lowerLetter"/>
      <w:lvlText w:val="%5."/>
      <w:lvlJc w:val="left"/>
      <w:pPr>
        <w:ind w:left="4309" w:hanging="360"/>
      </w:pPr>
    </w:lvl>
    <w:lvl w:ilvl="5" w:tplc="0F66F86A" w:tentative="1">
      <w:start w:val="1"/>
      <w:numFmt w:val="lowerRoman"/>
      <w:lvlText w:val="%6."/>
      <w:lvlJc w:val="right"/>
      <w:pPr>
        <w:ind w:left="5029" w:hanging="180"/>
      </w:pPr>
    </w:lvl>
    <w:lvl w:ilvl="6" w:tplc="C66EEA7E" w:tentative="1">
      <w:start w:val="1"/>
      <w:numFmt w:val="decimal"/>
      <w:lvlText w:val="%7."/>
      <w:lvlJc w:val="left"/>
      <w:pPr>
        <w:ind w:left="5749" w:hanging="360"/>
      </w:pPr>
    </w:lvl>
    <w:lvl w:ilvl="7" w:tplc="85601ADC" w:tentative="1">
      <w:start w:val="1"/>
      <w:numFmt w:val="lowerLetter"/>
      <w:lvlText w:val="%8."/>
      <w:lvlJc w:val="left"/>
      <w:pPr>
        <w:ind w:left="6469" w:hanging="360"/>
      </w:pPr>
    </w:lvl>
    <w:lvl w:ilvl="8" w:tplc="C206D34A" w:tentative="1">
      <w:start w:val="1"/>
      <w:numFmt w:val="lowerRoman"/>
      <w:lvlText w:val="%9."/>
      <w:lvlJc w:val="right"/>
      <w:pPr>
        <w:ind w:left="7189" w:hanging="180"/>
      </w:pPr>
    </w:lvl>
  </w:abstractNum>
  <w:abstractNum w:abstractNumId="94" w15:restartNumberingAfterBreak="0">
    <w:nsid w:val="263049A9"/>
    <w:multiLevelType w:val="hybridMultilevel"/>
    <w:tmpl w:val="567097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5" w15:restartNumberingAfterBreak="0">
    <w:nsid w:val="269D1675"/>
    <w:multiLevelType w:val="hybridMultilevel"/>
    <w:tmpl w:val="F97CB0CE"/>
    <w:lvl w:ilvl="0" w:tplc="2FA8898A">
      <w:start w:val="1"/>
      <w:numFmt w:val="lowerLetter"/>
      <w:lvlText w:val="%1)"/>
      <w:lvlJc w:val="left"/>
      <w:pPr>
        <w:ind w:left="1429" w:hanging="360"/>
      </w:pPr>
      <w:rPr>
        <w:rFonts w:hint="default"/>
      </w:rPr>
    </w:lvl>
    <w:lvl w:ilvl="1" w:tplc="0A64E23A" w:tentative="1">
      <w:start w:val="1"/>
      <w:numFmt w:val="lowerLetter"/>
      <w:lvlText w:val="%2."/>
      <w:lvlJc w:val="left"/>
      <w:pPr>
        <w:ind w:left="2149" w:hanging="360"/>
      </w:pPr>
    </w:lvl>
    <w:lvl w:ilvl="2" w:tplc="539E32D0" w:tentative="1">
      <w:start w:val="1"/>
      <w:numFmt w:val="lowerRoman"/>
      <w:lvlText w:val="%3."/>
      <w:lvlJc w:val="right"/>
      <w:pPr>
        <w:ind w:left="2869" w:hanging="180"/>
      </w:pPr>
    </w:lvl>
    <w:lvl w:ilvl="3" w:tplc="A0F6A660" w:tentative="1">
      <w:start w:val="1"/>
      <w:numFmt w:val="decimal"/>
      <w:lvlText w:val="%4."/>
      <w:lvlJc w:val="left"/>
      <w:pPr>
        <w:ind w:left="3589" w:hanging="360"/>
      </w:pPr>
    </w:lvl>
    <w:lvl w:ilvl="4" w:tplc="3A92792C" w:tentative="1">
      <w:start w:val="1"/>
      <w:numFmt w:val="lowerLetter"/>
      <w:lvlText w:val="%5."/>
      <w:lvlJc w:val="left"/>
      <w:pPr>
        <w:ind w:left="4309" w:hanging="360"/>
      </w:pPr>
    </w:lvl>
    <w:lvl w:ilvl="5" w:tplc="EC52B5CC" w:tentative="1">
      <w:start w:val="1"/>
      <w:numFmt w:val="lowerRoman"/>
      <w:lvlText w:val="%6."/>
      <w:lvlJc w:val="right"/>
      <w:pPr>
        <w:ind w:left="5029" w:hanging="180"/>
      </w:pPr>
    </w:lvl>
    <w:lvl w:ilvl="6" w:tplc="0B0668EA" w:tentative="1">
      <w:start w:val="1"/>
      <w:numFmt w:val="decimal"/>
      <w:lvlText w:val="%7."/>
      <w:lvlJc w:val="left"/>
      <w:pPr>
        <w:ind w:left="5749" w:hanging="360"/>
      </w:pPr>
    </w:lvl>
    <w:lvl w:ilvl="7" w:tplc="5A281372" w:tentative="1">
      <w:start w:val="1"/>
      <w:numFmt w:val="lowerLetter"/>
      <w:lvlText w:val="%8."/>
      <w:lvlJc w:val="left"/>
      <w:pPr>
        <w:ind w:left="6469" w:hanging="360"/>
      </w:pPr>
    </w:lvl>
    <w:lvl w:ilvl="8" w:tplc="67BC0584" w:tentative="1">
      <w:start w:val="1"/>
      <w:numFmt w:val="lowerRoman"/>
      <w:lvlText w:val="%9."/>
      <w:lvlJc w:val="right"/>
      <w:pPr>
        <w:ind w:left="7189" w:hanging="180"/>
      </w:pPr>
    </w:lvl>
  </w:abstractNum>
  <w:abstractNum w:abstractNumId="96" w15:restartNumberingAfterBreak="0">
    <w:nsid w:val="26BC2ECB"/>
    <w:multiLevelType w:val="hybridMultilevel"/>
    <w:tmpl w:val="B0A0890C"/>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7" w15:restartNumberingAfterBreak="0">
    <w:nsid w:val="26D8600E"/>
    <w:multiLevelType w:val="hybridMultilevel"/>
    <w:tmpl w:val="0E369F56"/>
    <w:lvl w:ilvl="0" w:tplc="9D02F6C4">
      <w:start w:val="1"/>
      <w:numFmt w:val="decimal"/>
      <w:lvlText w:val="%1."/>
      <w:lvlJc w:val="left"/>
      <w:pPr>
        <w:ind w:left="717" w:hanging="360"/>
      </w:pPr>
      <w:rPr>
        <w:rFonts w:hint="default"/>
      </w:rPr>
    </w:lvl>
    <w:lvl w:ilvl="1" w:tplc="672202F8">
      <w:start w:val="1"/>
      <w:numFmt w:val="lowerLetter"/>
      <w:lvlText w:val="%2."/>
      <w:lvlJc w:val="left"/>
      <w:pPr>
        <w:ind w:left="1437" w:hanging="360"/>
      </w:pPr>
    </w:lvl>
    <w:lvl w:ilvl="2" w:tplc="5B9E1ACA">
      <w:start w:val="1"/>
      <w:numFmt w:val="lowerRoman"/>
      <w:lvlText w:val="%3."/>
      <w:lvlJc w:val="right"/>
      <w:pPr>
        <w:ind w:left="2157" w:hanging="180"/>
      </w:pPr>
    </w:lvl>
    <w:lvl w:ilvl="3" w:tplc="2E7000A4">
      <w:start w:val="1"/>
      <w:numFmt w:val="decimal"/>
      <w:lvlText w:val="%4."/>
      <w:lvlJc w:val="left"/>
      <w:pPr>
        <w:ind w:left="2877" w:hanging="360"/>
      </w:pPr>
    </w:lvl>
    <w:lvl w:ilvl="4" w:tplc="FCFE3898">
      <w:start w:val="1"/>
      <w:numFmt w:val="lowerLetter"/>
      <w:lvlText w:val="%5."/>
      <w:lvlJc w:val="left"/>
      <w:pPr>
        <w:ind w:left="3597" w:hanging="360"/>
      </w:pPr>
    </w:lvl>
    <w:lvl w:ilvl="5" w:tplc="9B686644">
      <w:start w:val="1"/>
      <w:numFmt w:val="lowerRoman"/>
      <w:lvlText w:val="%6."/>
      <w:lvlJc w:val="right"/>
      <w:pPr>
        <w:ind w:left="4317" w:hanging="180"/>
      </w:pPr>
    </w:lvl>
    <w:lvl w:ilvl="6" w:tplc="9C2A64DE" w:tentative="1">
      <w:start w:val="1"/>
      <w:numFmt w:val="decimal"/>
      <w:lvlText w:val="%7."/>
      <w:lvlJc w:val="left"/>
      <w:pPr>
        <w:ind w:left="5037" w:hanging="360"/>
      </w:pPr>
    </w:lvl>
    <w:lvl w:ilvl="7" w:tplc="1F48680A" w:tentative="1">
      <w:start w:val="1"/>
      <w:numFmt w:val="lowerLetter"/>
      <w:lvlText w:val="%8."/>
      <w:lvlJc w:val="left"/>
      <w:pPr>
        <w:ind w:left="5757" w:hanging="360"/>
      </w:pPr>
    </w:lvl>
    <w:lvl w:ilvl="8" w:tplc="DBC22EC8" w:tentative="1">
      <w:start w:val="1"/>
      <w:numFmt w:val="lowerRoman"/>
      <w:lvlText w:val="%9."/>
      <w:lvlJc w:val="right"/>
      <w:pPr>
        <w:ind w:left="6477" w:hanging="180"/>
      </w:pPr>
    </w:lvl>
  </w:abstractNum>
  <w:abstractNum w:abstractNumId="98" w15:restartNumberingAfterBreak="0">
    <w:nsid w:val="26D860C3"/>
    <w:multiLevelType w:val="multilevel"/>
    <w:tmpl w:val="8B4094BC"/>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99" w15:restartNumberingAfterBreak="0">
    <w:nsid w:val="27052E7F"/>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100" w15:restartNumberingAfterBreak="0">
    <w:nsid w:val="27384B7D"/>
    <w:multiLevelType w:val="multilevel"/>
    <w:tmpl w:val="E81C3B8C"/>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101" w15:restartNumberingAfterBreak="0">
    <w:nsid w:val="277D2FD6"/>
    <w:multiLevelType w:val="hybridMultilevel"/>
    <w:tmpl w:val="AC2A3E14"/>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02" w15:restartNumberingAfterBreak="0">
    <w:nsid w:val="27AC239D"/>
    <w:multiLevelType w:val="multilevel"/>
    <w:tmpl w:val="AE463A06"/>
    <w:lvl w:ilvl="0">
      <w:start w:val="1"/>
      <w:numFmt w:val="lowerLetter"/>
      <w:lvlText w:val="%1)"/>
      <w:lvlJc w:val="left"/>
      <w:pPr>
        <w:tabs>
          <w:tab w:val="num" w:pos="782"/>
        </w:tabs>
        <w:ind w:left="782" w:hanging="357"/>
      </w:pPr>
      <w:rPr>
        <w:rFonts w:ascii="Garamond" w:eastAsia="Garamond" w:hAnsi="Garamond" w:cs="Garamond"/>
        <w:i w:val="0"/>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03" w15:restartNumberingAfterBreak="0">
    <w:nsid w:val="2993223A"/>
    <w:multiLevelType w:val="multilevel"/>
    <w:tmpl w:val="D53E3270"/>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104" w15:restartNumberingAfterBreak="0">
    <w:nsid w:val="2A053CBC"/>
    <w:multiLevelType w:val="multilevel"/>
    <w:tmpl w:val="5E5A2AB4"/>
    <w:styleLink w:val="eng123"/>
    <w:lvl w:ilvl="0">
      <w:start w:val="1"/>
      <w:numFmt w:val="decimal"/>
      <w:lvlText w:val="%1."/>
      <w:lvlJc w:val="left"/>
      <w:pPr>
        <w:ind w:left="786" w:hanging="360"/>
      </w:pPr>
      <w:rPr>
        <w:rFonts w:ascii="Garamond" w:hAnsi="Garamond"/>
        <w:b w:val="0"/>
        <w:i w:val="0"/>
        <w:sz w:val="24"/>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05" w15:restartNumberingAfterBreak="0">
    <w:nsid w:val="2AF12D9C"/>
    <w:multiLevelType w:val="multilevel"/>
    <w:tmpl w:val="AE463A06"/>
    <w:lvl w:ilvl="0">
      <w:start w:val="1"/>
      <w:numFmt w:val="lowerLetter"/>
      <w:lvlText w:val="%1)"/>
      <w:lvlJc w:val="left"/>
      <w:pPr>
        <w:tabs>
          <w:tab w:val="num" w:pos="782"/>
        </w:tabs>
        <w:ind w:left="782" w:hanging="357"/>
      </w:pPr>
      <w:rPr>
        <w:rFonts w:ascii="Garamond" w:eastAsia="Garamond" w:hAnsi="Garamond" w:cs="Garamond"/>
        <w:i w:val="0"/>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06" w15:restartNumberingAfterBreak="0">
    <w:nsid w:val="2B243F0C"/>
    <w:multiLevelType w:val="hybridMultilevel"/>
    <w:tmpl w:val="CA6050A0"/>
    <w:lvl w:ilvl="0" w:tplc="0422000F">
      <w:start w:val="1"/>
      <w:numFmt w:val="decimal"/>
      <w:lvlText w:val="%1."/>
      <w:lvlJc w:val="left"/>
      <w:pPr>
        <w:ind w:left="578" w:hanging="360"/>
      </w:pPr>
    </w:lvl>
    <w:lvl w:ilvl="1" w:tplc="04220019" w:tentative="1">
      <w:start w:val="1"/>
      <w:numFmt w:val="lowerLetter"/>
      <w:lvlText w:val="%2."/>
      <w:lvlJc w:val="left"/>
      <w:pPr>
        <w:ind w:left="1298" w:hanging="360"/>
      </w:pPr>
    </w:lvl>
    <w:lvl w:ilvl="2" w:tplc="0422001B" w:tentative="1">
      <w:start w:val="1"/>
      <w:numFmt w:val="lowerRoman"/>
      <w:lvlText w:val="%3."/>
      <w:lvlJc w:val="right"/>
      <w:pPr>
        <w:ind w:left="2018" w:hanging="180"/>
      </w:pPr>
    </w:lvl>
    <w:lvl w:ilvl="3" w:tplc="0422000F" w:tentative="1">
      <w:start w:val="1"/>
      <w:numFmt w:val="decimal"/>
      <w:lvlText w:val="%4."/>
      <w:lvlJc w:val="left"/>
      <w:pPr>
        <w:ind w:left="2738" w:hanging="360"/>
      </w:pPr>
    </w:lvl>
    <w:lvl w:ilvl="4" w:tplc="04220019" w:tentative="1">
      <w:start w:val="1"/>
      <w:numFmt w:val="lowerLetter"/>
      <w:lvlText w:val="%5."/>
      <w:lvlJc w:val="left"/>
      <w:pPr>
        <w:ind w:left="3458" w:hanging="360"/>
      </w:pPr>
    </w:lvl>
    <w:lvl w:ilvl="5" w:tplc="0422001B" w:tentative="1">
      <w:start w:val="1"/>
      <w:numFmt w:val="lowerRoman"/>
      <w:lvlText w:val="%6."/>
      <w:lvlJc w:val="right"/>
      <w:pPr>
        <w:ind w:left="4178" w:hanging="180"/>
      </w:pPr>
    </w:lvl>
    <w:lvl w:ilvl="6" w:tplc="0422000F" w:tentative="1">
      <w:start w:val="1"/>
      <w:numFmt w:val="decimal"/>
      <w:lvlText w:val="%7."/>
      <w:lvlJc w:val="left"/>
      <w:pPr>
        <w:ind w:left="4898" w:hanging="360"/>
      </w:pPr>
    </w:lvl>
    <w:lvl w:ilvl="7" w:tplc="04220019" w:tentative="1">
      <w:start w:val="1"/>
      <w:numFmt w:val="lowerLetter"/>
      <w:lvlText w:val="%8."/>
      <w:lvlJc w:val="left"/>
      <w:pPr>
        <w:ind w:left="5618" w:hanging="360"/>
      </w:pPr>
    </w:lvl>
    <w:lvl w:ilvl="8" w:tplc="0422001B" w:tentative="1">
      <w:start w:val="1"/>
      <w:numFmt w:val="lowerRoman"/>
      <w:lvlText w:val="%9."/>
      <w:lvlJc w:val="right"/>
      <w:pPr>
        <w:ind w:left="6338" w:hanging="180"/>
      </w:pPr>
    </w:lvl>
  </w:abstractNum>
  <w:abstractNum w:abstractNumId="107" w15:restartNumberingAfterBreak="0">
    <w:nsid w:val="2B4111AD"/>
    <w:multiLevelType w:val="hybridMultilevel"/>
    <w:tmpl w:val="6C30C82C"/>
    <w:lvl w:ilvl="0" w:tplc="F63E2960">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8" w15:restartNumberingAfterBreak="0">
    <w:nsid w:val="2B7E487A"/>
    <w:multiLevelType w:val="multilevel"/>
    <w:tmpl w:val="5A04AE6C"/>
    <w:lvl w:ilvl="0">
      <w:start w:val="1"/>
      <w:numFmt w:val="lowerRoman"/>
      <w:lvlText w:val="%1)"/>
      <w:lvlJc w:val="left"/>
      <w:pPr>
        <w:tabs>
          <w:tab w:val="num" w:pos="1070"/>
        </w:tabs>
        <w:ind w:left="1070" w:hanging="360"/>
      </w:pPr>
      <w:rPr>
        <w:rFonts w:hint="default"/>
        <w:color w:val="000000"/>
        <w:position w:val="0"/>
        <w:sz w:val="28"/>
        <w:szCs w:val="28"/>
        <w:u w:color="000000"/>
        <w:rtl w:val="0"/>
        <w:lang w:val="en-US"/>
      </w:rPr>
    </w:lvl>
    <w:lvl w:ilvl="1">
      <w:start w:val="1"/>
      <w:numFmt w:val="decimal"/>
      <w:lvlText w:val="%2."/>
      <w:lvlJc w:val="left"/>
      <w:pPr>
        <w:tabs>
          <w:tab w:val="num" w:pos="1790"/>
        </w:tabs>
        <w:ind w:left="1790" w:hanging="360"/>
      </w:pPr>
      <w:rPr>
        <w:color w:val="000000"/>
        <w:position w:val="0"/>
        <w:sz w:val="24"/>
        <w:szCs w:val="24"/>
        <w:u w:color="000000"/>
        <w:rtl w:val="0"/>
        <w:lang w:val="en-US"/>
      </w:rPr>
    </w:lvl>
    <w:lvl w:ilvl="2">
      <w:start w:val="1"/>
      <w:numFmt w:val="decimal"/>
      <w:lvlText w:val="%3."/>
      <w:lvlJc w:val="left"/>
      <w:pPr>
        <w:tabs>
          <w:tab w:val="num" w:pos="2510"/>
        </w:tabs>
        <w:ind w:left="2510" w:hanging="360"/>
      </w:pPr>
      <w:rPr>
        <w:color w:val="000000"/>
        <w:position w:val="0"/>
        <w:sz w:val="24"/>
        <w:szCs w:val="24"/>
        <w:u w:color="000000"/>
        <w:rtl w:val="0"/>
        <w:lang w:val="en-US"/>
      </w:rPr>
    </w:lvl>
    <w:lvl w:ilvl="3">
      <w:start w:val="1"/>
      <w:numFmt w:val="decimal"/>
      <w:lvlText w:val="%4."/>
      <w:lvlJc w:val="left"/>
      <w:pPr>
        <w:tabs>
          <w:tab w:val="num" w:pos="3230"/>
        </w:tabs>
        <w:ind w:left="3230" w:hanging="360"/>
      </w:pPr>
      <w:rPr>
        <w:color w:val="000000"/>
        <w:position w:val="0"/>
        <w:sz w:val="24"/>
        <w:szCs w:val="24"/>
        <w:u w:color="000000"/>
        <w:rtl w:val="0"/>
        <w:lang w:val="en-US"/>
      </w:rPr>
    </w:lvl>
    <w:lvl w:ilvl="4">
      <w:start w:val="1"/>
      <w:numFmt w:val="decimal"/>
      <w:lvlText w:val="%5."/>
      <w:lvlJc w:val="left"/>
      <w:pPr>
        <w:tabs>
          <w:tab w:val="num" w:pos="3950"/>
        </w:tabs>
        <w:ind w:left="3950" w:hanging="360"/>
      </w:pPr>
      <w:rPr>
        <w:color w:val="000000"/>
        <w:position w:val="0"/>
        <w:sz w:val="24"/>
        <w:szCs w:val="24"/>
        <w:u w:color="000000"/>
        <w:rtl w:val="0"/>
        <w:lang w:val="en-US"/>
      </w:rPr>
    </w:lvl>
    <w:lvl w:ilvl="5">
      <w:start w:val="1"/>
      <w:numFmt w:val="decimal"/>
      <w:lvlText w:val="%6."/>
      <w:lvlJc w:val="left"/>
      <w:pPr>
        <w:tabs>
          <w:tab w:val="num" w:pos="4670"/>
        </w:tabs>
        <w:ind w:left="4670" w:hanging="360"/>
      </w:pPr>
      <w:rPr>
        <w:color w:val="000000"/>
        <w:position w:val="0"/>
        <w:sz w:val="24"/>
        <w:szCs w:val="24"/>
        <w:u w:color="000000"/>
        <w:rtl w:val="0"/>
        <w:lang w:val="en-US"/>
      </w:rPr>
    </w:lvl>
    <w:lvl w:ilvl="6">
      <w:start w:val="1"/>
      <w:numFmt w:val="decimal"/>
      <w:lvlText w:val="%7."/>
      <w:lvlJc w:val="left"/>
      <w:pPr>
        <w:tabs>
          <w:tab w:val="num" w:pos="5390"/>
        </w:tabs>
        <w:ind w:left="5390" w:hanging="360"/>
      </w:pPr>
      <w:rPr>
        <w:color w:val="000000"/>
        <w:position w:val="0"/>
        <w:sz w:val="24"/>
        <w:szCs w:val="24"/>
        <w:u w:color="000000"/>
        <w:rtl w:val="0"/>
        <w:lang w:val="en-US"/>
      </w:rPr>
    </w:lvl>
    <w:lvl w:ilvl="7">
      <w:start w:val="1"/>
      <w:numFmt w:val="decimal"/>
      <w:lvlText w:val="%8."/>
      <w:lvlJc w:val="left"/>
      <w:pPr>
        <w:tabs>
          <w:tab w:val="num" w:pos="6110"/>
        </w:tabs>
        <w:ind w:left="6110" w:hanging="360"/>
      </w:pPr>
      <w:rPr>
        <w:color w:val="000000"/>
        <w:position w:val="0"/>
        <w:sz w:val="24"/>
        <w:szCs w:val="24"/>
        <w:u w:color="000000"/>
        <w:rtl w:val="0"/>
        <w:lang w:val="en-US"/>
      </w:rPr>
    </w:lvl>
    <w:lvl w:ilvl="8">
      <w:start w:val="1"/>
      <w:numFmt w:val="decimal"/>
      <w:lvlText w:val="%9."/>
      <w:lvlJc w:val="left"/>
      <w:pPr>
        <w:tabs>
          <w:tab w:val="num" w:pos="6830"/>
        </w:tabs>
        <w:ind w:left="6830" w:hanging="360"/>
      </w:pPr>
      <w:rPr>
        <w:color w:val="000000"/>
        <w:position w:val="0"/>
        <w:sz w:val="24"/>
        <w:szCs w:val="24"/>
        <w:u w:color="000000"/>
        <w:rtl w:val="0"/>
        <w:lang w:val="en-US"/>
      </w:rPr>
    </w:lvl>
  </w:abstractNum>
  <w:abstractNum w:abstractNumId="109" w15:restartNumberingAfterBreak="0">
    <w:nsid w:val="2D2F2F6D"/>
    <w:multiLevelType w:val="hybridMultilevel"/>
    <w:tmpl w:val="9668BF7A"/>
    <w:lvl w:ilvl="0" w:tplc="04220017">
      <w:start w:val="1"/>
      <w:numFmt w:val="lowerLetter"/>
      <w:lvlText w:val="%1)"/>
      <w:lvlJc w:val="left"/>
      <w:pPr>
        <w:ind w:left="1050" w:hanging="360"/>
      </w:pPr>
    </w:lvl>
    <w:lvl w:ilvl="1" w:tplc="04220019" w:tentative="1">
      <w:start w:val="1"/>
      <w:numFmt w:val="lowerLetter"/>
      <w:lvlText w:val="%2."/>
      <w:lvlJc w:val="left"/>
      <w:pPr>
        <w:ind w:left="1770" w:hanging="360"/>
      </w:pPr>
    </w:lvl>
    <w:lvl w:ilvl="2" w:tplc="0422001B" w:tentative="1">
      <w:start w:val="1"/>
      <w:numFmt w:val="lowerRoman"/>
      <w:lvlText w:val="%3."/>
      <w:lvlJc w:val="right"/>
      <w:pPr>
        <w:ind w:left="2490" w:hanging="180"/>
      </w:pPr>
    </w:lvl>
    <w:lvl w:ilvl="3" w:tplc="0422000F" w:tentative="1">
      <w:start w:val="1"/>
      <w:numFmt w:val="decimal"/>
      <w:lvlText w:val="%4."/>
      <w:lvlJc w:val="left"/>
      <w:pPr>
        <w:ind w:left="3210" w:hanging="360"/>
      </w:pPr>
    </w:lvl>
    <w:lvl w:ilvl="4" w:tplc="04220019" w:tentative="1">
      <w:start w:val="1"/>
      <w:numFmt w:val="lowerLetter"/>
      <w:lvlText w:val="%5."/>
      <w:lvlJc w:val="left"/>
      <w:pPr>
        <w:ind w:left="3930" w:hanging="360"/>
      </w:pPr>
    </w:lvl>
    <w:lvl w:ilvl="5" w:tplc="0422001B" w:tentative="1">
      <w:start w:val="1"/>
      <w:numFmt w:val="lowerRoman"/>
      <w:lvlText w:val="%6."/>
      <w:lvlJc w:val="right"/>
      <w:pPr>
        <w:ind w:left="4650" w:hanging="180"/>
      </w:pPr>
    </w:lvl>
    <w:lvl w:ilvl="6" w:tplc="0422000F" w:tentative="1">
      <w:start w:val="1"/>
      <w:numFmt w:val="decimal"/>
      <w:lvlText w:val="%7."/>
      <w:lvlJc w:val="left"/>
      <w:pPr>
        <w:ind w:left="5370" w:hanging="360"/>
      </w:pPr>
    </w:lvl>
    <w:lvl w:ilvl="7" w:tplc="04220019" w:tentative="1">
      <w:start w:val="1"/>
      <w:numFmt w:val="lowerLetter"/>
      <w:lvlText w:val="%8."/>
      <w:lvlJc w:val="left"/>
      <w:pPr>
        <w:ind w:left="6090" w:hanging="360"/>
      </w:pPr>
    </w:lvl>
    <w:lvl w:ilvl="8" w:tplc="0422001B" w:tentative="1">
      <w:start w:val="1"/>
      <w:numFmt w:val="lowerRoman"/>
      <w:lvlText w:val="%9."/>
      <w:lvlJc w:val="right"/>
      <w:pPr>
        <w:ind w:left="6810" w:hanging="180"/>
      </w:pPr>
    </w:lvl>
  </w:abstractNum>
  <w:abstractNum w:abstractNumId="110" w15:restartNumberingAfterBreak="0">
    <w:nsid w:val="2DD330DC"/>
    <w:multiLevelType w:val="multilevel"/>
    <w:tmpl w:val="DBCCB62E"/>
    <w:lvl w:ilvl="0">
      <w:start w:val="1"/>
      <w:numFmt w:val="lowerLetter"/>
      <w:lvlText w:val="%1)"/>
      <w:lvlJc w:val="left"/>
      <w:pPr>
        <w:tabs>
          <w:tab w:val="num" w:pos="794"/>
        </w:tabs>
        <w:ind w:left="794" w:hanging="303"/>
      </w:pPr>
      <w:rPr>
        <w:position w:val="0"/>
        <w:sz w:val="28"/>
        <w:szCs w:val="24"/>
        <w:lang w:val="en-US"/>
      </w:rPr>
    </w:lvl>
    <w:lvl w:ilvl="1">
      <w:start w:val="1"/>
      <w:numFmt w:val="lowerLetter"/>
      <w:lvlText w:val="%2."/>
      <w:lvlJc w:val="left"/>
      <w:pPr>
        <w:tabs>
          <w:tab w:val="num" w:pos="1797"/>
        </w:tabs>
        <w:ind w:left="1797" w:hanging="360"/>
      </w:pPr>
      <w:rPr>
        <w:rFonts w:ascii="Garamond" w:eastAsia="Garamond" w:hAnsi="Garamond" w:cs="Garamond"/>
        <w:position w:val="0"/>
        <w:sz w:val="24"/>
        <w:szCs w:val="24"/>
        <w:lang w:val="en-US"/>
      </w:rPr>
    </w:lvl>
    <w:lvl w:ilvl="2">
      <w:start w:val="1"/>
      <w:numFmt w:val="lowerRoman"/>
      <w:lvlText w:val="%3."/>
      <w:lvlJc w:val="left"/>
      <w:pPr>
        <w:tabs>
          <w:tab w:val="num" w:pos="2517"/>
        </w:tabs>
        <w:ind w:left="2517" w:hanging="296"/>
      </w:pPr>
      <w:rPr>
        <w:rFonts w:ascii="Garamond" w:eastAsia="Garamond" w:hAnsi="Garamond" w:cs="Garamond"/>
        <w:position w:val="0"/>
        <w:sz w:val="24"/>
        <w:szCs w:val="24"/>
        <w:lang w:val="en-US"/>
      </w:rPr>
    </w:lvl>
    <w:lvl w:ilvl="3">
      <w:start w:val="1"/>
      <w:numFmt w:val="decimal"/>
      <w:lvlText w:val="%4."/>
      <w:lvlJc w:val="left"/>
      <w:pPr>
        <w:tabs>
          <w:tab w:val="num" w:pos="3237"/>
        </w:tabs>
        <w:ind w:left="3237" w:hanging="360"/>
      </w:pPr>
      <w:rPr>
        <w:rFonts w:ascii="Garamond" w:eastAsia="Garamond" w:hAnsi="Garamond" w:cs="Garamond"/>
        <w:position w:val="0"/>
        <w:sz w:val="24"/>
        <w:szCs w:val="24"/>
        <w:lang w:val="en-US"/>
      </w:rPr>
    </w:lvl>
    <w:lvl w:ilvl="4">
      <w:start w:val="1"/>
      <w:numFmt w:val="lowerLetter"/>
      <w:lvlText w:val="%5."/>
      <w:lvlJc w:val="left"/>
      <w:pPr>
        <w:tabs>
          <w:tab w:val="num" w:pos="3957"/>
        </w:tabs>
        <w:ind w:left="3957" w:hanging="360"/>
      </w:pPr>
      <w:rPr>
        <w:rFonts w:ascii="Garamond" w:eastAsia="Garamond" w:hAnsi="Garamond" w:cs="Garamond"/>
        <w:position w:val="0"/>
        <w:sz w:val="24"/>
        <w:szCs w:val="24"/>
        <w:lang w:val="en-US"/>
      </w:rPr>
    </w:lvl>
    <w:lvl w:ilvl="5">
      <w:start w:val="1"/>
      <w:numFmt w:val="lowerRoman"/>
      <w:lvlText w:val="%6."/>
      <w:lvlJc w:val="left"/>
      <w:pPr>
        <w:tabs>
          <w:tab w:val="num" w:pos="4677"/>
        </w:tabs>
        <w:ind w:left="4677" w:hanging="296"/>
      </w:pPr>
      <w:rPr>
        <w:rFonts w:ascii="Garamond" w:eastAsia="Garamond" w:hAnsi="Garamond" w:cs="Garamond"/>
        <w:position w:val="0"/>
        <w:sz w:val="24"/>
        <w:szCs w:val="24"/>
        <w:lang w:val="en-US"/>
      </w:rPr>
    </w:lvl>
    <w:lvl w:ilvl="6">
      <w:start w:val="1"/>
      <w:numFmt w:val="decimal"/>
      <w:lvlText w:val="%7."/>
      <w:lvlJc w:val="left"/>
      <w:pPr>
        <w:tabs>
          <w:tab w:val="num" w:pos="5397"/>
        </w:tabs>
        <w:ind w:left="5397" w:hanging="360"/>
      </w:pPr>
      <w:rPr>
        <w:rFonts w:ascii="Garamond" w:eastAsia="Garamond" w:hAnsi="Garamond" w:cs="Garamond"/>
        <w:position w:val="0"/>
        <w:sz w:val="24"/>
        <w:szCs w:val="24"/>
        <w:lang w:val="en-US"/>
      </w:rPr>
    </w:lvl>
    <w:lvl w:ilvl="7">
      <w:start w:val="1"/>
      <w:numFmt w:val="lowerLetter"/>
      <w:lvlText w:val="%8."/>
      <w:lvlJc w:val="left"/>
      <w:pPr>
        <w:tabs>
          <w:tab w:val="num" w:pos="6117"/>
        </w:tabs>
        <w:ind w:left="6117" w:hanging="360"/>
      </w:pPr>
      <w:rPr>
        <w:rFonts w:ascii="Garamond" w:eastAsia="Garamond" w:hAnsi="Garamond" w:cs="Garamond"/>
        <w:position w:val="0"/>
        <w:sz w:val="24"/>
        <w:szCs w:val="24"/>
        <w:lang w:val="en-US"/>
      </w:rPr>
    </w:lvl>
    <w:lvl w:ilvl="8">
      <w:start w:val="1"/>
      <w:numFmt w:val="lowerRoman"/>
      <w:lvlText w:val="%9."/>
      <w:lvlJc w:val="left"/>
      <w:pPr>
        <w:tabs>
          <w:tab w:val="num" w:pos="6837"/>
        </w:tabs>
        <w:ind w:left="6837" w:hanging="296"/>
      </w:pPr>
      <w:rPr>
        <w:rFonts w:ascii="Garamond" w:eastAsia="Garamond" w:hAnsi="Garamond" w:cs="Garamond"/>
        <w:position w:val="0"/>
        <w:sz w:val="24"/>
        <w:szCs w:val="24"/>
        <w:lang w:val="en-US"/>
      </w:rPr>
    </w:lvl>
  </w:abstractNum>
  <w:abstractNum w:abstractNumId="111" w15:restartNumberingAfterBreak="0">
    <w:nsid w:val="2E204554"/>
    <w:multiLevelType w:val="hybridMultilevel"/>
    <w:tmpl w:val="AA0AF43A"/>
    <w:lvl w:ilvl="0" w:tplc="7D4AEF00">
      <w:start w:val="1"/>
      <w:numFmt w:val="lowerLetter"/>
      <w:lvlText w:val="%1)"/>
      <w:lvlJc w:val="left"/>
      <w:pPr>
        <w:ind w:left="1429" w:hanging="360"/>
      </w:pPr>
      <w:rPr>
        <w:rFonts w:ascii="Garamond" w:hAnsi="Garamond" w:hint="default"/>
      </w:rPr>
    </w:lvl>
    <w:lvl w:ilvl="1" w:tplc="85B63FF8" w:tentative="1">
      <w:start w:val="1"/>
      <w:numFmt w:val="lowerLetter"/>
      <w:lvlText w:val="%2."/>
      <w:lvlJc w:val="left"/>
      <w:pPr>
        <w:ind w:left="2149" w:hanging="360"/>
      </w:pPr>
    </w:lvl>
    <w:lvl w:ilvl="2" w:tplc="9258B61E" w:tentative="1">
      <w:start w:val="1"/>
      <w:numFmt w:val="lowerRoman"/>
      <w:lvlText w:val="%3."/>
      <w:lvlJc w:val="right"/>
      <w:pPr>
        <w:ind w:left="2869" w:hanging="180"/>
      </w:pPr>
    </w:lvl>
    <w:lvl w:ilvl="3" w:tplc="27A8C2A2" w:tentative="1">
      <w:start w:val="1"/>
      <w:numFmt w:val="decimal"/>
      <w:lvlText w:val="%4."/>
      <w:lvlJc w:val="left"/>
      <w:pPr>
        <w:ind w:left="3589" w:hanging="360"/>
      </w:pPr>
    </w:lvl>
    <w:lvl w:ilvl="4" w:tplc="6402FAF6" w:tentative="1">
      <w:start w:val="1"/>
      <w:numFmt w:val="lowerLetter"/>
      <w:lvlText w:val="%5."/>
      <w:lvlJc w:val="left"/>
      <w:pPr>
        <w:ind w:left="4309" w:hanging="360"/>
      </w:pPr>
    </w:lvl>
    <w:lvl w:ilvl="5" w:tplc="45DA1612" w:tentative="1">
      <w:start w:val="1"/>
      <w:numFmt w:val="lowerRoman"/>
      <w:lvlText w:val="%6."/>
      <w:lvlJc w:val="right"/>
      <w:pPr>
        <w:ind w:left="5029" w:hanging="180"/>
      </w:pPr>
    </w:lvl>
    <w:lvl w:ilvl="6" w:tplc="130C2566" w:tentative="1">
      <w:start w:val="1"/>
      <w:numFmt w:val="decimal"/>
      <w:lvlText w:val="%7."/>
      <w:lvlJc w:val="left"/>
      <w:pPr>
        <w:ind w:left="5749" w:hanging="360"/>
      </w:pPr>
    </w:lvl>
    <w:lvl w:ilvl="7" w:tplc="2FFE86B0" w:tentative="1">
      <w:start w:val="1"/>
      <w:numFmt w:val="lowerLetter"/>
      <w:lvlText w:val="%8."/>
      <w:lvlJc w:val="left"/>
      <w:pPr>
        <w:ind w:left="6469" w:hanging="360"/>
      </w:pPr>
    </w:lvl>
    <w:lvl w:ilvl="8" w:tplc="AC6C53C8" w:tentative="1">
      <w:start w:val="1"/>
      <w:numFmt w:val="lowerRoman"/>
      <w:lvlText w:val="%9."/>
      <w:lvlJc w:val="right"/>
      <w:pPr>
        <w:ind w:left="7189" w:hanging="180"/>
      </w:pPr>
    </w:lvl>
  </w:abstractNum>
  <w:abstractNum w:abstractNumId="112" w15:restartNumberingAfterBreak="0">
    <w:nsid w:val="2E5A00D2"/>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3" w15:restartNumberingAfterBreak="0">
    <w:nsid w:val="2E6221D9"/>
    <w:multiLevelType w:val="hybridMultilevel"/>
    <w:tmpl w:val="59BC04EA"/>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14" w15:restartNumberingAfterBreak="0">
    <w:nsid w:val="2F24419C"/>
    <w:multiLevelType w:val="multilevel"/>
    <w:tmpl w:val="9A0C2A6A"/>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15" w15:restartNumberingAfterBreak="0">
    <w:nsid w:val="2F4A5973"/>
    <w:multiLevelType w:val="multilevel"/>
    <w:tmpl w:val="4A6216FE"/>
    <w:styleLink w:val="reviewq"/>
    <w:lvl w:ilvl="0">
      <w:start w:val="1"/>
      <w:numFmt w:val="decimal"/>
      <w:lvlText w:val="%1"/>
      <w:lvlJc w:val="left"/>
      <w:pPr>
        <w:ind w:left="360" w:hanging="360"/>
      </w:pPr>
      <w:rPr>
        <w:rFonts w:ascii="Garamond" w:hAnsi="Garamond" w:hint="default"/>
        <w:b w:val="0"/>
        <w:i w:val="0"/>
        <w:sz w:val="24"/>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6" w15:restartNumberingAfterBreak="0">
    <w:nsid w:val="302B1CB5"/>
    <w:multiLevelType w:val="hybridMultilevel"/>
    <w:tmpl w:val="7862A7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7" w15:restartNumberingAfterBreak="0">
    <w:nsid w:val="310D7DB2"/>
    <w:multiLevelType w:val="hybridMultilevel"/>
    <w:tmpl w:val="3B521754"/>
    <w:lvl w:ilvl="0" w:tplc="D64A82F2">
      <w:start w:val="1"/>
      <w:numFmt w:val="lowerLetter"/>
      <w:lvlText w:val="%1)"/>
      <w:lvlJc w:val="left"/>
      <w:pPr>
        <w:ind w:left="1429" w:hanging="360"/>
      </w:pPr>
      <w:rPr>
        <w:rFonts w:hint="default"/>
        <w:i w:val="0"/>
      </w:rPr>
    </w:lvl>
    <w:lvl w:ilvl="1" w:tplc="2528D840" w:tentative="1">
      <w:start w:val="1"/>
      <w:numFmt w:val="lowerLetter"/>
      <w:lvlText w:val="%2."/>
      <w:lvlJc w:val="left"/>
      <w:pPr>
        <w:ind w:left="2149" w:hanging="360"/>
      </w:pPr>
    </w:lvl>
    <w:lvl w:ilvl="2" w:tplc="ADAE68AE" w:tentative="1">
      <w:start w:val="1"/>
      <w:numFmt w:val="lowerRoman"/>
      <w:lvlText w:val="%3."/>
      <w:lvlJc w:val="right"/>
      <w:pPr>
        <w:ind w:left="2869" w:hanging="180"/>
      </w:pPr>
    </w:lvl>
    <w:lvl w:ilvl="3" w:tplc="3E7A2F28" w:tentative="1">
      <w:start w:val="1"/>
      <w:numFmt w:val="decimal"/>
      <w:lvlText w:val="%4."/>
      <w:lvlJc w:val="left"/>
      <w:pPr>
        <w:ind w:left="3589" w:hanging="360"/>
      </w:pPr>
    </w:lvl>
    <w:lvl w:ilvl="4" w:tplc="5E763D36" w:tentative="1">
      <w:start w:val="1"/>
      <w:numFmt w:val="lowerLetter"/>
      <w:lvlText w:val="%5."/>
      <w:lvlJc w:val="left"/>
      <w:pPr>
        <w:ind w:left="4309" w:hanging="360"/>
      </w:pPr>
    </w:lvl>
    <w:lvl w:ilvl="5" w:tplc="9D044212" w:tentative="1">
      <w:start w:val="1"/>
      <w:numFmt w:val="lowerRoman"/>
      <w:lvlText w:val="%6."/>
      <w:lvlJc w:val="right"/>
      <w:pPr>
        <w:ind w:left="5029" w:hanging="180"/>
      </w:pPr>
    </w:lvl>
    <w:lvl w:ilvl="6" w:tplc="0BB2135E" w:tentative="1">
      <w:start w:val="1"/>
      <w:numFmt w:val="decimal"/>
      <w:lvlText w:val="%7."/>
      <w:lvlJc w:val="left"/>
      <w:pPr>
        <w:ind w:left="5749" w:hanging="360"/>
      </w:pPr>
    </w:lvl>
    <w:lvl w:ilvl="7" w:tplc="47B43882" w:tentative="1">
      <w:start w:val="1"/>
      <w:numFmt w:val="lowerLetter"/>
      <w:lvlText w:val="%8."/>
      <w:lvlJc w:val="left"/>
      <w:pPr>
        <w:ind w:left="6469" w:hanging="360"/>
      </w:pPr>
    </w:lvl>
    <w:lvl w:ilvl="8" w:tplc="6462A250" w:tentative="1">
      <w:start w:val="1"/>
      <w:numFmt w:val="lowerRoman"/>
      <w:lvlText w:val="%9."/>
      <w:lvlJc w:val="right"/>
      <w:pPr>
        <w:ind w:left="7189" w:hanging="180"/>
      </w:pPr>
    </w:lvl>
  </w:abstractNum>
  <w:abstractNum w:abstractNumId="118" w15:restartNumberingAfterBreak="0">
    <w:nsid w:val="313B4EC2"/>
    <w:multiLevelType w:val="hybridMultilevel"/>
    <w:tmpl w:val="567097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9" w15:restartNumberingAfterBreak="0">
    <w:nsid w:val="344E50BF"/>
    <w:multiLevelType w:val="hybridMultilevel"/>
    <w:tmpl w:val="F97CB0CE"/>
    <w:lvl w:ilvl="0" w:tplc="EED4EFF8">
      <w:start w:val="1"/>
      <w:numFmt w:val="lowerLetter"/>
      <w:lvlText w:val="%1)"/>
      <w:lvlJc w:val="left"/>
      <w:pPr>
        <w:ind w:left="1429" w:hanging="360"/>
      </w:pPr>
      <w:rPr>
        <w:rFonts w:hint="default"/>
      </w:rPr>
    </w:lvl>
    <w:lvl w:ilvl="1" w:tplc="A29EF6B8" w:tentative="1">
      <w:start w:val="1"/>
      <w:numFmt w:val="lowerLetter"/>
      <w:lvlText w:val="%2."/>
      <w:lvlJc w:val="left"/>
      <w:pPr>
        <w:ind w:left="2149" w:hanging="360"/>
      </w:pPr>
    </w:lvl>
    <w:lvl w:ilvl="2" w:tplc="A7E0E74A" w:tentative="1">
      <w:start w:val="1"/>
      <w:numFmt w:val="lowerRoman"/>
      <w:lvlText w:val="%3."/>
      <w:lvlJc w:val="right"/>
      <w:pPr>
        <w:ind w:left="2869" w:hanging="180"/>
      </w:pPr>
    </w:lvl>
    <w:lvl w:ilvl="3" w:tplc="ABD0EDFE" w:tentative="1">
      <w:start w:val="1"/>
      <w:numFmt w:val="decimal"/>
      <w:lvlText w:val="%4."/>
      <w:lvlJc w:val="left"/>
      <w:pPr>
        <w:ind w:left="3589" w:hanging="360"/>
      </w:pPr>
    </w:lvl>
    <w:lvl w:ilvl="4" w:tplc="DFAC57AC" w:tentative="1">
      <w:start w:val="1"/>
      <w:numFmt w:val="lowerLetter"/>
      <w:lvlText w:val="%5."/>
      <w:lvlJc w:val="left"/>
      <w:pPr>
        <w:ind w:left="4309" w:hanging="360"/>
      </w:pPr>
    </w:lvl>
    <w:lvl w:ilvl="5" w:tplc="E15C4AEE" w:tentative="1">
      <w:start w:val="1"/>
      <w:numFmt w:val="lowerRoman"/>
      <w:lvlText w:val="%6."/>
      <w:lvlJc w:val="right"/>
      <w:pPr>
        <w:ind w:left="5029" w:hanging="180"/>
      </w:pPr>
    </w:lvl>
    <w:lvl w:ilvl="6" w:tplc="02AA8500" w:tentative="1">
      <w:start w:val="1"/>
      <w:numFmt w:val="decimal"/>
      <w:lvlText w:val="%7."/>
      <w:lvlJc w:val="left"/>
      <w:pPr>
        <w:ind w:left="5749" w:hanging="360"/>
      </w:pPr>
    </w:lvl>
    <w:lvl w:ilvl="7" w:tplc="BD9EF82E" w:tentative="1">
      <w:start w:val="1"/>
      <w:numFmt w:val="lowerLetter"/>
      <w:lvlText w:val="%8."/>
      <w:lvlJc w:val="left"/>
      <w:pPr>
        <w:ind w:left="6469" w:hanging="360"/>
      </w:pPr>
    </w:lvl>
    <w:lvl w:ilvl="8" w:tplc="A51CC488" w:tentative="1">
      <w:start w:val="1"/>
      <w:numFmt w:val="lowerRoman"/>
      <w:lvlText w:val="%9."/>
      <w:lvlJc w:val="right"/>
      <w:pPr>
        <w:ind w:left="7189" w:hanging="180"/>
      </w:pPr>
    </w:lvl>
  </w:abstractNum>
  <w:abstractNum w:abstractNumId="120" w15:restartNumberingAfterBreak="0">
    <w:nsid w:val="35B942A5"/>
    <w:multiLevelType w:val="hybridMultilevel"/>
    <w:tmpl w:val="F97CB0CE"/>
    <w:lvl w:ilvl="0" w:tplc="31E4449E">
      <w:start w:val="1"/>
      <w:numFmt w:val="lowerLetter"/>
      <w:lvlText w:val="%1)"/>
      <w:lvlJc w:val="left"/>
      <w:pPr>
        <w:ind w:left="1429" w:hanging="360"/>
      </w:pPr>
      <w:rPr>
        <w:rFonts w:hint="default"/>
      </w:rPr>
    </w:lvl>
    <w:lvl w:ilvl="1" w:tplc="C0E23EF2" w:tentative="1">
      <w:start w:val="1"/>
      <w:numFmt w:val="lowerLetter"/>
      <w:lvlText w:val="%2."/>
      <w:lvlJc w:val="left"/>
      <w:pPr>
        <w:ind w:left="2149" w:hanging="360"/>
      </w:pPr>
    </w:lvl>
    <w:lvl w:ilvl="2" w:tplc="5F189AB2" w:tentative="1">
      <w:start w:val="1"/>
      <w:numFmt w:val="lowerRoman"/>
      <w:lvlText w:val="%3."/>
      <w:lvlJc w:val="right"/>
      <w:pPr>
        <w:ind w:left="2869" w:hanging="180"/>
      </w:pPr>
    </w:lvl>
    <w:lvl w:ilvl="3" w:tplc="205E0566" w:tentative="1">
      <w:start w:val="1"/>
      <w:numFmt w:val="decimal"/>
      <w:lvlText w:val="%4."/>
      <w:lvlJc w:val="left"/>
      <w:pPr>
        <w:ind w:left="3589" w:hanging="360"/>
      </w:pPr>
    </w:lvl>
    <w:lvl w:ilvl="4" w:tplc="870AF28A" w:tentative="1">
      <w:start w:val="1"/>
      <w:numFmt w:val="lowerLetter"/>
      <w:lvlText w:val="%5."/>
      <w:lvlJc w:val="left"/>
      <w:pPr>
        <w:ind w:left="4309" w:hanging="360"/>
      </w:pPr>
    </w:lvl>
    <w:lvl w:ilvl="5" w:tplc="2E28038C" w:tentative="1">
      <w:start w:val="1"/>
      <w:numFmt w:val="lowerRoman"/>
      <w:lvlText w:val="%6."/>
      <w:lvlJc w:val="right"/>
      <w:pPr>
        <w:ind w:left="5029" w:hanging="180"/>
      </w:pPr>
    </w:lvl>
    <w:lvl w:ilvl="6" w:tplc="70C83E4E" w:tentative="1">
      <w:start w:val="1"/>
      <w:numFmt w:val="decimal"/>
      <w:lvlText w:val="%7."/>
      <w:lvlJc w:val="left"/>
      <w:pPr>
        <w:ind w:left="5749" w:hanging="360"/>
      </w:pPr>
    </w:lvl>
    <w:lvl w:ilvl="7" w:tplc="93C800C4" w:tentative="1">
      <w:start w:val="1"/>
      <w:numFmt w:val="lowerLetter"/>
      <w:lvlText w:val="%8."/>
      <w:lvlJc w:val="left"/>
      <w:pPr>
        <w:ind w:left="6469" w:hanging="360"/>
      </w:pPr>
    </w:lvl>
    <w:lvl w:ilvl="8" w:tplc="D5FCD378" w:tentative="1">
      <w:start w:val="1"/>
      <w:numFmt w:val="lowerRoman"/>
      <w:lvlText w:val="%9."/>
      <w:lvlJc w:val="right"/>
      <w:pPr>
        <w:ind w:left="7189" w:hanging="180"/>
      </w:pPr>
    </w:lvl>
  </w:abstractNum>
  <w:abstractNum w:abstractNumId="121" w15:restartNumberingAfterBreak="0">
    <w:nsid w:val="35F70D0A"/>
    <w:multiLevelType w:val="hybridMultilevel"/>
    <w:tmpl w:val="66E49FA6"/>
    <w:lvl w:ilvl="0" w:tplc="325A0764">
      <w:start w:val="1"/>
      <w:numFmt w:val="decimal"/>
      <w:lvlText w:val="%1."/>
      <w:lvlJc w:val="left"/>
      <w:pPr>
        <w:ind w:left="1070" w:hanging="360"/>
      </w:pPr>
      <w:rPr>
        <w:rFonts w:hint="default"/>
        <w:i w:val="0"/>
      </w:rPr>
    </w:lvl>
    <w:lvl w:ilvl="1" w:tplc="21C2516C">
      <w:start w:val="1"/>
      <w:numFmt w:val="decimal"/>
      <w:lvlText w:val="%2)"/>
      <w:lvlJc w:val="left"/>
      <w:pPr>
        <w:ind w:left="1440" w:hanging="360"/>
      </w:pPr>
      <w:rPr>
        <w:rFonts w:hint="default"/>
      </w:rPr>
    </w:lvl>
    <w:lvl w:ilvl="2" w:tplc="14CC167C" w:tentative="1">
      <w:start w:val="1"/>
      <w:numFmt w:val="lowerRoman"/>
      <w:lvlText w:val="%3."/>
      <w:lvlJc w:val="right"/>
      <w:pPr>
        <w:ind w:left="2160" w:hanging="180"/>
      </w:pPr>
    </w:lvl>
    <w:lvl w:ilvl="3" w:tplc="D004B7BC" w:tentative="1">
      <w:start w:val="1"/>
      <w:numFmt w:val="decimal"/>
      <w:lvlText w:val="%4."/>
      <w:lvlJc w:val="left"/>
      <w:pPr>
        <w:ind w:left="2880" w:hanging="360"/>
      </w:pPr>
    </w:lvl>
    <w:lvl w:ilvl="4" w:tplc="28860B74" w:tentative="1">
      <w:start w:val="1"/>
      <w:numFmt w:val="lowerLetter"/>
      <w:lvlText w:val="%5."/>
      <w:lvlJc w:val="left"/>
      <w:pPr>
        <w:ind w:left="3600" w:hanging="360"/>
      </w:pPr>
    </w:lvl>
    <w:lvl w:ilvl="5" w:tplc="B73ACD70" w:tentative="1">
      <w:start w:val="1"/>
      <w:numFmt w:val="lowerRoman"/>
      <w:lvlText w:val="%6."/>
      <w:lvlJc w:val="right"/>
      <w:pPr>
        <w:ind w:left="4320" w:hanging="180"/>
      </w:pPr>
    </w:lvl>
    <w:lvl w:ilvl="6" w:tplc="C2945BA8" w:tentative="1">
      <w:start w:val="1"/>
      <w:numFmt w:val="decimal"/>
      <w:lvlText w:val="%7."/>
      <w:lvlJc w:val="left"/>
      <w:pPr>
        <w:ind w:left="5040" w:hanging="360"/>
      </w:pPr>
    </w:lvl>
    <w:lvl w:ilvl="7" w:tplc="9EA0CEB6" w:tentative="1">
      <w:start w:val="1"/>
      <w:numFmt w:val="lowerLetter"/>
      <w:lvlText w:val="%8."/>
      <w:lvlJc w:val="left"/>
      <w:pPr>
        <w:ind w:left="5760" w:hanging="360"/>
      </w:pPr>
    </w:lvl>
    <w:lvl w:ilvl="8" w:tplc="B5DA193C" w:tentative="1">
      <w:start w:val="1"/>
      <w:numFmt w:val="lowerRoman"/>
      <w:lvlText w:val="%9."/>
      <w:lvlJc w:val="right"/>
      <w:pPr>
        <w:ind w:left="6480" w:hanging="180"/>
      </w:pPr>
    </w:lvl>
  </w:abstractNum>
  <w:abstractNum w:abstractNumId="122" w15:restartNumberingAfterBreak="0">
    <w:nsid w:val="36127BCF"/>
    <w:multiLevelType w:val="hybridMultilevel"/>
    <w:tmpl w:val="2B3CF870"/>
    <w:lvl w:ilvl="0" w:tplc="0422000F">
      <w:start w:val="1"/>
      <w:numFmt w:val="decimal"/>
      <w:lvlText w:val="%1."/>
      <w:lvlJc w:val="left"/>
      <w:pPr>
        <w:ind w:left="1145" w:hanging="360"/>
      </w:pPr>
    </w:lvl>
    <w:lvl w:ilvl="1" w:tplc="04220019" w:tentative="1">
      <w:start w:val="1"/>
      <w:numFmt w:val="lowerLetter"/>
      <w:lvlText w:val="%2."/>
      <w:lvlJc w:val="left"/>
      <w:pPr>
        <w:ind w:left="1865" w:hanging="360"/>
      </w:pPr>
    </w:lvl>
    <w:lvl w:ilvl="2" w:tplc="0422001B" w:tentative="1">
      <w:start w:val="1"/>
      <w:numFmt w:val="lowerRoman"/>
      <w:lvlText w:val="%3."/>
      <w:lvlJc w:val="right"/>
      <w:pPr>
        <w:ind w:left="2585" w:hanging="180"/>
      </w:pPr>
    </w:lvl>
    <w:lvl w:ilvl="3" w:tplc="0422000F">
      <w:start w:val="1"/>
      <w:numFmt w:val="decimal"/>
      <w:lvlText w:val="%4."/>
      <w:lvlJc w:val="left"/>
      <w:pPr>
        <w:ind w:left="3305" w:hanging="360"/>
      </w:pPr>
    </w:lvl>
    <w:lvl w:ilvl="4" w:tplc="04220019" w:tentative="1">
      <w:start w:val="1"/>
      <w:numFmt w:val="lowerLetter"/>
      <w:lvlText w:val="%5."/>
      <w:lvlJc w:val="left"/>
      <w:pPr>
        <w:ind w:left="4025" w:hanging="360"/>
      </w:pPr>
    </w:lvl>
    <w:lvl w:ilvl="5" w:tplc="0422001B" w:tentative="1">
      <w:start w:val="1"/>
      <w:numFmt w:val="lowerRoman"/>
      <w:lvlText w:val="%6."/>
      <w:lvlJc w:val="right"/>
      <w:pPr>
        <w:ind w:left="4745" w:hanging="180"/>
      </w:pPr>
    </w:lvl>
    <w:lvl w:ilvl="6" w:tplc="0422000F" w:tentative="1">
      <w:start w:val="1"/>
      <w:numFmt w:val="decimal"/>
      <w:lvlText w:val="%7."/>
      <w:lvlJc w:val="left"/>
      <w:pPr>
        <w:ind w:left="5465" w:hanging="360"/>
      </w:pPr>
    </w:lvl>
    <w:lvl w:ilvl="7" w:tplc="04220019" w:tentative="1">
      <w:start w:val="1"/>
      <w:numFmt w:val="lowerLetter"/>
      <w:lvlText w:val="%8."/>
      <w:lvlJc w:val="left"/>
      <w:pPr>
        <w:ind w:left="6185" w:hanging="360"/>
      </w:pPr>
    </w:lvl>
    <w:lvl w:ilvl="8" w:tplc="0422001B" w:tentative="1">
      <w:start w:val="1"/>
      <w:numFmt w:val="lowerRoman"/>
      <w:lvlText w:val="%9."/>
      <w:lvlJc w:val="right"/>
      <w:pPr>
        <w:ind w:left="6905" w:hanging="180"/>
      </w:pPr>
    </w:lvl>
  </w:abstractNum>
  <w:abstractNum w:abstractNumId="123" w15:restartNumberingAfterBreak="0">
    <w:nsid w:val="36675A11"/>
    <w:multiLevelType w:val="multilevel"/>
    <w:tmpl w:val="E81C3B8C"/>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124" w15:restartNumberingAfterBreak="0">
    <w:nsid w:val="36DD7F3F"/>
    <w:multiLevelType w:val="hybridMultilevel"/>
    <w:tmpl w:val="DF92A6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5" w15:restartNumberingAfterBreak="0">
    <w:nsid w:val="374B7654"/>
    <w:multiLevelType w:val="multilevel"/>
    <w:tmpl w:val="B10C876A"/>
    <w:styleLink w:val="4"/>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126" w15:restartNumberingAfterBreak="0">
    <w:nsid w:val="379C1AD0"/>
    <w:multiLevelType w:val="hybridMultilevel"/>
    <w:tmpl w:val="E6BA0F28"/>
    <w:lvl w:ilvl="0" w:tplc="845053D8">
      <w:start w:val="1"/>
      <w:numFmt w:val="lowerLetter"/>
      <w:lvlText w:val="%1)"/>
      <w:lvlJc w:val="left"/>
      <w:pPr>
        <w:ind w:left="1429" w:hanging="360"/>
      </w:pPr>
      <w:rPr>
        <w:rFonts w:ascii="Garamond" w:hAnsi="Garamond" w:hint="default"/>
      </w:rPr>
    </w:lvl>
    <w:lvl w:ilvl="1" w:tplc="DFE056C8" w:tentative="1">
      <w:start w:val="1"/>
      <w:numFmt w:val="lowerLetter"/>
      <w:lvlText w:val="%2."/>
      <w:lvlJc w:val="left"/>
      <w:pPr>
        <w:ind w:left="2149" w:hanging="360"/>
      </w:pPr>
    </w:lvl>
    <w:lvl w:ilvl="2" w:tplc="8A041C22" w:tentative="1">
      <w:start w:val="1"/>
      <w:numFmt w:val="lowerRoman"/>
      <w:lvlText w:val="%3."/>
      <w:lvlJc w:val="right"/>
      <w:pPr>
        <w:ind w:left="2869" w:hanging="180"/>
      </w:pPr>
    </w:lvl>
    <w:lvl w:ilvl="3" w:tplc="CB32BFBE" w:tentative="1">
      <w:start w:val="1"/>
      <w:numFmt w:val="decimal"/>
      <w:lvlText w:val="%4."/>
      <w:lvlJc w:val="left"/>
      <w:pPr>
        <w:ind w:left="3589" w:hanging="360"/>
      </w:pPr>
    </w:lvl>
    <w:lvl w:ilvl="4" w:tplc="96E69D68" w:tentative="1">
      <w:start w:val="1"/>
      <w:numFmt w:val="lowerLetter"/>
      <w:lvlText w:val="%5."/>
      <w:lvlJc w:val="left"/>
      <w:pPr>
        <w:ind w:left="4309" w:hanging="360"/>
      </w:pPr>
    </w:lvl>
    <w:lvl w:ilvl="5" w:tplc="48FEB232" w:tentative="1">
      <w:start w:val="1"/>
      <w:numFmt w:val="lowerRoman"/>
      <w:lvlText w:val="%6."/>
      <w:lvlJc w:val="right"/>
      <w:pPr>
        <w:ind w:left="5029" w:hanging="180"/>
      </w:pPr>
    </w:lvl>
    <w:lvl w:ilvl="6" w:tplc="9F12F1CE" w:tentative="1">
      <w:start w:val="1"/>
      <w:numFmt w:val="decimal"/>
      <w:lvlText w:val="%7."/>
      <w:lvlJc w:val="left"/>
      <w:pPr>
        <w:ind w:left="5749" w:hanging="360"/>
      </w:pPr>
    </w:lvl>
    <w:lvl w:ilvl="7" w:tplc="FA680434" w:tentative="1">
      <w:start w:val="1"/>
      <w:numFmt w:val="lowerLetter"/>
      <w:lvlText w:val="%8."/>
      <w:lvlJc w:val="left"/>
      <w:pPr>
        <w:ind w:left="6469" w:hanging="360"/>
      </w:pPr>
    </w:lvl>
    <w:lvl w:ilvl="8" w:tplc="7FC4DF6E" w:tentative="1">
      <w:start w:val="1"/>
      <w:numFmt w:val="lowerRoman"/>
      <w:lvlText w:val="%9."/>
      <w:lvlJc w:val="right"/>
      <w:pPr>
        <w:ind w:left="7189" w:hanging="180"/>
      </w:pPr>
    </w:lvl>
  </w:abstractNum>
  <w:abstractNum w:abstractNumId="127" w15:restartNumberingAfterBreak="0">
    <w:nsid w:val="37A73773"/>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8" w15:restartNumberingAfterBreak="0">
    <w:nsid w:val="37ED2B1E"/>
    <w:multiLevelType w:val="hybridMultilevel"/>
    <w:tmpl w:val="615EDA08"/>
    <w:lvl w:ilvl="0" w:tplc="CDB2D7F8">
      <w:start w:val="1"/>
      <w:numFmt w:val="lowerRoman"/>
      <w:lvlText w:val="%1)"/>
      <w:lvlJc w:val="left"/>
      <w:pPr>
        <w:ind w:left="1213" w:hanging="360"/>
      </w:pPr>
      <w:rPr>
        <w:rFonts w:hint="default"/>
      </w:rPr>
    </w:lvl>
    <w:lvl w:ilvl="1" w:tplc="46AEE0AE" w:tentative="1">
      <w:start w:val="1"/>
      <w:numFmt w:val="bullet"/>
      <w:lvlText w:val="o"/>
      <w:lvlJc w:val="left"/>
      <w:pPr>
        <w:ind w:left="1933" w:hanging="360"/>
      </w:pPr>
      <w:rPr>
        <w:rFonts w:ascii="Courier New" w:hAnsi="Courier New" w:cs="Courier New" w:hint="default"/>
      </w:rPr>
    </w:lvl>
    <w:lvl w:ilvl="2" w:tplc="148A3616" w:tentative="1">
      <w:start w:val="1"/>
      <w:numFmt w:val="bullet"/>
      <w:lvlText w:val=""/>
      <w:lvlJc w:val="left"/>
      <w:pPr>
        <w:ind w:left="2653" w:hanging="360"/>
      </w:pPr>
      <w:rPr>
        <w:rFonts w:ascii="Wingdings" w:hAnsi="Wingdings" w:hint="default"/>
      </w:rPr>
    </w:lvl>
    <w:lvl w:ilvl="3" w:tplc="347CE5F4" w:tentative="1">
      <w:start w:val="1"/>
      <w:numFmt w:val="bullet"/>
      <w:lvlText w:val=""/>
      <w:lvlJc w:val="left"/>
      <w:pPr>
        <w:ind w:left="3373" w:hanging="360"/>
      </w:pPr>
      <w:rPr>
        <w:rFonts w:ascii="Symbol" w:hAnsi="Symbol" w:hint="default"/>
      </w:rPr>
    </w:lvl>
    <w:lvl w:ilvl="4" w:tplc="3D567748" w:tentative="1">
      <w:start w:val="1"/>
      <w:numFmt w:val="bullet"/>
      <w:lvlText w:val="o"/>
      <w:lvlJc w:val="left"/>
      <w:pPr>
        <w:ind w:left="4093" w:hanging="360"/>
      </w:pPr>
      <w:rPr>
        <w:rFonts w:ascii="Courier New" w:hAnsi="Courier New" w:cs="Courier New" w:hint="default"/>
      </w:rPr>
    </w:lvl>
    <w:lvl w:ilvl="5" w:tplc="A538CF54" w:tentative="1">
      <w:start w:val="1"/>
      <w:numFmt w:val="bullet"/>
      <w:lvlText w:val=""/>
      <w:lvlJc w:val="left"/>
      <w:pPr>
        <w:ind w:left="4813" w:hanging="360"/>
      </w:pPr>
      <w:rPr>
        <w:rFonts w:ascii="Wingdings" w:hAnsi="Wingdings" w:hint="default"/>
      </w:rPr>
    </w:lvl>
    <w:lvl w:ilvl="6" w:tplc="4F1E86C6" w:tentative="1">
      <w:start w:val="1"/>
      <w:numFmt w:val="bullet"/>
      <w:lvlText w:val=""/>
      <w:lvlJc w:val="left"/>
      <w:pPr>
        <w:ind w:left="5533" w:hanging="360"/>
      </w:pPr>
      <w:rPr>
        <w:rFonts w:ascii="Symbol" w:hAnsi="Symbol" w:hint="default"/>
      </w:rPr>
    </w:lvl>
    <w:lvl w:ilvl="7" w:tplc="BB8A4196" w:tentative="1">
      <w:start w:val="1"/>
      <w:numFmt w:val="bullet"/>
      <w:lvlText w:val="o"/>
      <w:lvlJc w:val="left"/>
      <w:pPr>
        <w:ind w:left="6253" w:hanging="360"/>
      </w:pPr>
      <w:rPr>
        <w:rFonts w:ascii="Courier New" w:hAnsi="Courier New" w:cs="Courier New" w:hint="default"/>
      </w:rPr>
    </w:lvl>
    <w:lvl w:ilvl="8" w:tplc="A8B0F4B4" w:tentative="1">
      <w:start w:val="1"/>
      <w:numFmt w:val="bullet"/>
      <w:lvlText w:val=""/>
      <w:lvlJc w:val="left"/>
      <w:pPr>
        <w:ind w:left="6973" w:hanging="360"/>
      </w:pPr>
      <w:rPr>
        <w:rFonts w:ascii="Wingdings" w:hAnsi="Wingdings" w:hint="default"/>
      </w:rPr>
    </w:lvl>
  </w:abstractNum>
  <w:abstractNum w:abstractNumId="129" w15:restartNumberingAfterBreak="0">
    <w:nsid w:val="381003D7"/>
    <w:multiLevelType w:val="hybridMultilevel"/>
    <w:tmpl w:val="E6B07E1A"/>
    <w:lvl w:ilvl="0" w:tplc="0422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0" w15:restartNumberingAfterBreak="0">
    <w:nsid w:val="381538DD"/>
    <w:multiLevelType w:val="hybridMultilevel"/>
    <w:tmpl w:val="C0FC193C"/>
    <w:lvl w:ilvl="0" w:tplc="027002F2">
      <w:start w:val="1"/>
      <w:numFmt w:val="lowerLetter"/>
      <w:lvlText w:val="%1)"/>
      <w:lvlJc w:val="left"/>
      <w:pPr>
        <w:ind w:left="720" w:hanging="360"/>
      </w:pPr>
      <w:rPr>
        <w:rFonts w:hint="default"/>
      </w:rPr>
    </w:lvl>
    <w:lvl w:ilvl="1" w:tplc="37CA93AA" w:tentative="1">
      <w:start w:val="1"/>
      <w:numFmt w:val="lowerLetter"/>
      <w:lvlText w:val="%2."/>
      <w:lvlJc w:val="left"/>
      <w:pPr>
        <w:ind w:left="1440" w:hanging="360"/>
      </w:pPr>
    </w:lvl>
    <w:lvl w:ilvl="2" w:tplc="6150D546" w:tentative="1">
      <w:start w:val="1"/>
      <w:numFmt w:val="lowerRoman"/>
      <w:lvlText w:val="%3."/>
      <w:lvlJc w:val="right"/>
      <w:pPr>
        <w:ind w:left="2160" w:hanging="180"/>
      </w:pPr>
    </w:lvl>
    <w:lvl w:ilvl="3" w:tplc="812028A6" w:tentative="1">
      <w:start w:val="1"/>
      <w:numFmt w:val="decimal"/>
      <w:lvlText w:val="%4."/>
      <w:lvlJc w:val="left"/>
      <w:pPr>
        <w:ind w:left="2880" w:hanging="360"/>
      </w:pPr>
    </w:lvl>
    <w:lvl w:ilvl="4" w:tplc="BA68A9D8" w:tentative="1">
      <w:start w:val="1"/>
      <w:numFmt w:val="lowerLetter"/>
      <w:lvlText w:val="%5."/>
      <w:lvlJc w:val="left"/>
      <w:pPr>
        <w:ind w:left="3600" w:hanging="360"/>
      </w:pPr>
    </w:lvl>
    <w:lvl w:ilvl="5" w:tplc="67CC5256" w:tentative="1">
      <w:start w:val="1"/>
      <w:numFmt w:val="lowerRoman"/>
      <w:lvlText w:val="%6."/>
      <w:lvlJc w:val="right"/>
      <w:pPr>
        <w:ind w:left="4320" w:hanging="180"/>
      </w:pPr>
    </w:lvl>
    <w:lvl w:ilvl="6" w:tplc="3754D980" w:tentative="1">
      <w:start w:val="1"/>
      <w:numFmt w:val="decimal"/>
      <w:lvlText w:val="%7."/>
      <w:lvlJc w:val="left"/>
      <w:pPr>
        <w:ind w:left="5040" w:hanging="360"/>
      </w:pPr>
    </w:lvl>
    <w:lvl w:ilvl="7" w:tplc="C0AE7466" w:tentative="1">
      <w:start w:val="1"/>
      <w:numFmt w:val="lowerLetter"/>
      <w:lvlText w:val="%8."/>
      <w:lvlJc w:val="left"/>
      <w:pPr>
        <w:ind w:left="5760" w:hanging="360"/>
      </w:pPr>
    </w:lvl>
    <w:lvl w:ilvl="8" w:tplc="C924DCD2" w:tentative="1">
      <w:start w:val="1"/>
      <w:numFmt w:val="lowerRoman"/>
      <w:lvlText w:val="%9."/>
      <w:lvlJc w:val="right"/>
      <w:pPr>
        <w:ind w:left="6480" w:hanging="180"/>
      </w:pPr>
    </w:lvl>
  </w:abstractNum>
  <w:abstractNum w:abstractNumId="131" w15:restartNumberingAfterBreak="0">
    <w:nsid w:val="385D7487"/>
    <w:multiLevelType w:val="hybridMultilevel"/>
    <w:tmpl w:val="40D2267A"/>
    <w:lvl w:ilvl="0" w:tplc="04220017">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2" w15:restartNumberingAfterBreak="0">
    <w:nsid w:val="38816CC3"/>
    <w:multiLevelType w:val="hybridMultilevel"/>
    <w:tmpl w:val="F97CB0CE"/>
    <w:lvl w:ilvl="0" w:tplc="EED4EFF8">
      <w:start w:val="1"/>
      <w:numFmt w:val="lowerLetter"/>
      <w:lvlText w:val="%1)"/>
      <w:lvlJc w:val="left"/>
      <w:pPr>
        <w:ind w:left="1429" w:hanging="360"/>
      </w:pPr>
      <w:rPr>
        <w:rFonts w:hint="default"/>
      </w:rPr>
    </w:lvl>
    <w:lvl w:ilvl="1" w:tplc="A29EF6B8" w:tentative="1">
      <w:start w:val="1"/>
      <w:numFmt w:val="lowerLetter"/>
      <w:lvlText w:val="%2."/>
      <w:lvlJc w:val="left"/>
      <w:pPr>
        <w:ind w:left="2149" w:hanging="360"/>
      </w:pPr>
    </w:lvl>
    <w:lvl w:ilvl="2" w:tplc="A7E0E74A" w:tentative="1">
      <w:start w:val="1"/>
      <w:numFmt w:val="lowerRoman"/>
      <w:lvlText w:val="%3."/>
      <w:lvlJc w:val="right"/>
      <w:pPr>
        <w:ind w:left="2869" w:hanging="180"/>
      </w:pPr>
    </w:lvl>
    <w:lvl w:ilvl="3" w:tplc="ABD0EDFE" w:tentative="1">
      <w:start w:val="1"/>
      <w:numFmt w:val="decimal"/>
      <w:lvlText w:val="%4."/>
      <w:lvlJc w:val="left"/>
      <w:pPr>
        <w:ind w:left="3589" w:hanging="360"/>
      </w:pPr>
    </w:lvl>
    <w:lvl w:ilvl="4" w:tplc="DFAC57AC" w:tentative="1">
      <w:start w:val="1"/>
      <w:numFmt w:val="lowerLetter"/>
      <w:lvlText w:val="%5."/>
      <w:lvlJc w:val="left"/>
      <w:pPr>
        <w:ind w:left="4309" w:hanging="360"/>
      </w:pPr>
    </w:lvl>
    <w:lvl w:ilvl="5" w:tplc="E15C4AEE" w:tentative="1">
      <w:start w:val="1"/>
      <w:numFmt w:val="lowerRoman"/>
      <w:lvlText w:val="%6."/>
      <w:lvlJc w:val="right"/>
      <w:pPr>
        <w:ind w:left="5029" w:hanging="180"/>
      </w:pPr>
    </w:lvl>
    <w:lvl w:ilvl="6" w:tplc="02AA8500" w:tentative="1">
      <w:start w:val="1"/>
      <w:numFmt w:val="decimal"/>
      <w:lvlText w:val="%7."/>
      <w:lvlJc w:val="left"/>
      <w:pPr>
        <w:ind w:left="5749" w:hanging="360"/>
      </w:pPr>
    </w:lvl>
    <w:lvl w:ilvl="7" w:tplc="BD9EF82E" w:tentative="1">
      <w:start w:val="1"/>
      <w:numFmt w:val="lowerLetter"/>
      <w:lvlText w:val="%8."/>
      <w:lvlJc w:val="left"/>
      <w:pPr>
        <w:ind w:left="6469" w:hanging="360"/>
      </w:pPr>
    </w:lvl>
    <w:lvl w:ilvl="8" w:tplc="A51CC488" w:tentative="1">
      <w:start w:val="1"/>
      <w:numFmt w:val="lowerRoman"/>
      <w:lvlText w:val="%9."/>
      <w:lvlJc w:val="right"/>
      <w:pPr>
        <w:ind w:left="7189" w:hanging="180"/>
      </w:pPr>
    </w:lvl>
  </w:abstractNum>
  <w:abstractNum w:abstractNumId="133" w15:restartNumberingAfterBreak="0">
    <w:nsid w:val="38A12C70"/>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134" w15:restartNumberingAfterBreak="0">
    <w:nsid w:val="39757D1D"/>
    <w:multiLevelType w:val="hybridMultilevel"/>
    <w:tmpl w:val="F97CB0CE"/>
    <w:lvl w:ilvl="0" w:tplc="1EC81E38">
      <w:start w:val="1"/>
      <w:numFmt w:val="lowerLetter"/>
      <w:lvlText w:val="%1)"/>
      <w:lvlJc w:val="left"/>
      <w:pPr>
        <w:ind w:left="1429" w:hanging="360"/>
      </w:pPr>
      <w:rPr>
        <w:rFonts w:hint="default"/>
      </w:rPr>
    </w:lvl>
    <w:lvl w:ilvl="1" w:tplc="8AC2C6AC" w:tentative="1">
      <w:start w:val="1"/>
      <w:numFmt w:val="lowerLetter"/>
      <w:lvlText w:val="%2."/>
      <w:lvlJc w:val="left"/>
      <w:pPr>
        <w:ind w:left="2149" w:hanging="360"/>
      </w:pPr>
    </w:lvl>
    <w:lvl w:ilvl="2" w:tplc="2BF8411C" w:tentative="1">
      <w:start w:val="1"/>
      <w:numFmt w:val="lowerRoman"/>
      <w:lvlText w:val="%3."/>
      <w:lvlJc w:val="right"/>
      <w:pPr>
        <w:ind w:left="2869" w:hanging="180"/>
      </w:pPr>
    </w:lvl>
    <w:lvl w:ilvl="3" w:tplc="37286A90" w:tentative="1">
      <w:start w:val="1"/>
      <w:numFmt w:val="decimal"/>
      <w:lvlText w:val="%4."/>
      <w:lvlJc w:val="left"/>
      <w:pPr>
        <w:ind w:left="3589" w:hanging="360"/>
      </w:pPr>
    </w:lvl>
    <w:lvl w:ilvl="4" w:tplc="93EA0054" w:tentative="1">
      <w:start w:val="1"/>
      <w:numFmt w:val="lowerLetter"/>
      <w:lvlText w:val="%5."/>
      <w:lvlJc w:val="left"/>
      <w:pPr>
        <w:ind w:left="4309" w:hanging="360"/>
      </w:pPr>
    </w:lvl>
    <w:lvl w:ilvl="5" w:tplc="E5DCDF26" w:tentative="1">
      <w:start w:val="1"/>
      <w:numFmt w:val="lowerRoman"/>
      <w:lvlText w:val="%6."/>
      <w:lvlJc w:val="right"/>
      <w:pPr>
        <w:ind w:left="5029" w:hanging="180"/>
      </w:pPr>
    </w:lvl>
    <w:lvl w:ilvl="6" w:tplc="6A9C76A0" w:tentative="1">
      <w:start w:val="1"/>
      <w:numFmt w:val="decimal"/>
      <w:lvlText w:val="%7."/>
      <w:lvlJc w:val="left"/>
      <w:pPr>
        <w:ind w:left="5749" w:hanging="360"/>
      </w:pPr>
    </w:lvl>
    <w:lvl w:ilvl="7" w:tplc="3EBE7960" w:tentative="1">
      <w:start w:val="1"/>
      <w:numFmt w:val="lowerLetter"/>
      <w:lvlText w:val="%8."/>
      <w:lvlJc w:val="left"/>
      <w:pPr>
        <w:ind w:left="6469" w:hanging="360"/>
      </w:pPr>
    </w:lvl>
    <w:lvl w:ilvl="8" w:tplc="DC58A2FC" w:tentative="1">
      <w:start w:val="1"/>
      <w:numFmt w:val="lowerRoman"/>
      <w:lvlText w:val="%9."/>
      <w:lvlJc w:val="right"/>
      <w:pPr>
        <w:ind w:left="7189" w:hanging="180"/>
      </w:pPr>
    </w:lvl>
  </w:abstractNum>
  <w:abstractNum w:abstractNumId="135" w15:restartNumberingAfterBreak="0">
    <w:nsid w:val="39DD1CDF"/>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36" w15:restartNumberingAfterBreak="0">
    <w:nsid w:val="3A034B38"/>
    <w:multiLevelType w:val="hybridMultilevel"/>
    <w:tmpl w:val="F97CB0CE"/>
    <w:lvl w:ilvl="0" w:tplc="DDD25AFC">
      <w:start w:val="1"/>
      <w:numFmt w:val="lowerLetter"/>
      <w:lvlText w:val="%1)"/>
      <w:lvlJc w:val="left"/>
      <w:pPr>
        <w:ind w:left="1429" w:hanging="360"/>
      </w:pPr>
      <w:rPr>
        <w:rFonts w:hint="default"/>
      </w:rPr>
    </w:lvl>
    <w:lvl w:ilvl="1" w:tplc="DD7094DE" w:tentative="1">
      <w:start w:val="1"/>
      <w:numFmt w:val="lowerLetter"/>
      <w:lvlText w:val="%2."/>
      <w:lvlJc w:val="left"/>
      <w:pPr>
        <w:ind w:left="2149" w:hanging="360"/>
      </w:pPr>
    </w:lvl>
    <w:lvl w:ilvl="2" w:tplc="93F6AC76" w:tentative="1">
      <w:start w:val="1"/>
      <w:numFmt w:val="lowerRoman"/>
      <w:lvlText w:val="%3."/>
      <w:lvlJc w:val="right"/>
      <w:pPr>
        <w:ind w:left="2869" w:hanging="180"/>
      </w:pPr>
    </w:lvl>
    <w:lvl w:ilvl="3" w:tplc="D86E95F4" w:tentative="1">
      <w:start w:val="1"/>
      <w:numFmt w:val="decimal"/>
      <w:lvlText w:val="%4."/>
      <w:lvlJc w:val="left"/>
      <w:pPr>
        <w:ind w:left="3589" w:hanging="360"/>
      </w:pPr>
    </w:lvl>
    <w:lvl w:ilvl="4" w:tplc="46FA35C8" w:tentative="1">
      <w:start w:val="1"/>
      <w:numFmt w:val="lowerLetter"/>
      <w:lvlText w:val="%5."/>
      <w:lvlJc w:val="left"/>
      <w:pPr>
        <w:ind w:left="4309" w:hanging="360"/>
      </w:pPr>
    </w:lvl>
    <w:lvl w:ilvl="5" w:tplc="C61CBBCA" w:tentative="1">
      <w:start w:val="1"/>
      <w:numFmt w:val="lowerRoman"/>
      <w:lvlText w:val="%6."/>
      <w:lvlJc w:val="right"/>
      <w:pPr>
        <w:ind w:left="5029" w:hanging="180"/>
      </w:pPr>
    </w:lvl>
    <w:lvl w:ilvl="6" w:tplc="E9481C58" w:tentative="1">
      <w:start w:val="1"/>
      <w:numFmt w:val="decimal"/>
      <w:lvlText w:val="%7."/>
      <w:lvlJc w:val="left"/>
      <w:pPr>
        <w:ind w:left="5749" w:hanging="360"/>
      </w:pPr>
    </w:lvl>
    <w:lvl w:ilvl="7" w:tplc="BAB8CC46" w:tentative="1">
      <w:start w:val="1"/>
      <w:numFmt w:val="lowerLetter"/>
      <w:lvlText w:val="%8."/>
      <w:lvlJc w:val="left"/>
      <w:pPr>
        <w:ind w:left="6469" w:hanging="360"/>
      </w:pPr>
    </w:lvl>
    <w:lvl w:ilvl="8" w:tplc="52B2F968" w:tentative="1">
      <w:start w:val="1"/>
      <w:numFmt w:val="lowerRoman"/>
      <w:lvlText w:val="%9."/>
      <w:lvlJc w:val="right"/>
      <w:pPr>
        <w:ind w:left="7189" w:hanging="180"/>
      </w:pPr>
    </w:lvl>
  </w:abstractNum>
  <w:abstractNum w:abstractNumId="137" w15:restartNumberingAfterBreak="0">
    <w:nsid w:val="3AF76852"/>
    <w:multiLevelType w:val="hybridMultilevel"/>
    <w:tmpl w:val="C520F2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8" w15:restartNumberingAfterBreak="0">
    <w:nsid w:val="3B026B95"/>
    <w:multiLevelType w:val="hybridMultilevel"/>
    <w:tmpl w:val="F2E24C18"/>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139" w15:restartNumberingAfterBreak="0">
    <w:nsid w:val="3B6D0229"/>
    <w:multiLevelType w:val="hybridMultilevel"/>
    <w:tmpl w:val="C6B20D56"/>
    <w:lvl w:ilvl="0" w:tplc="16CE291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0" w15:restartNumberingAfterBreak="0">
    <w:nsid w:val="3B9912F2"/>
    <w:multiLevelType w:val="hybridMultilevel"/>
    <w:tmpl w:val="F97CB0CE"/>
    <w:lvl w:ilvl="0" w:tplc="04220017">
      <w:start w:val="1"/>
      <w:numFmt w:val="lowerLett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1" w15:restartNumberingAfterBreak="0">
    <w:nsid w:val="3BA60516"/>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42" w15:restartNumberingAfterBreak="0">
    <w:nsid w:val="3BEC1D8E"/>
    <w:multiLevelType w:val="hybridMultilevel"/>
    <w:tmpl w:val="0A00E350"/>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43" w15:restartNumberingAfterBreak="0">
    <w:nsid w:val="3C362498"/>
    <w:multiLevelType w:val="multilevel"/>
    <w:tmpl w:val="33D0014A"/>
    <w:styleLink w:val="41"/>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44" w15:restartNumberingAfterBreak="0">
    <w:nsid w:val="3C815D1B"/>
    <w:multiLevelType w:val="hybridMultilevel"/>
    <w:tmpl w:val="F97CB0CE"/>
    <w:lvl w:ilvl="0" w:tplc="31E4449E">
      <w:start w:val="1"/>
      <w:numFmt w:val="lowerLetter"/>
      <w:lvlText w:val="%1)"/>
      <w:lvlJc w:val="left"/>
      <w:pPr>
        <w:ind w:left="1429" w:hanging="360"/>
      </w:pPr>
      <w:rPr>
        <w:rFonts w:hint="default"/>
      </w:rPr>
    </w:lvl>
    <w:lvl w:ilvl="1" w:tplc="C0E23EF2" w:tentative="1">
      <w:start w:val="1"/>
      <w:numFmt w:val="lowerLetter"/>
      <w:lvlText w:val="%2."/>
      <w:lvlJc w:val="left"/>
      <w:pPr>
        <w:ind w:left="2149" w:hanging="360"/>
      </w:pPr>
    </w:lvl>
    <w:lvl w:ilvl="2" w:tplc="5F189AB2" w:tentative="1">
      <w:start w:val="1"/>
      <w:numFmt w:val="lowerRoman"/>
      <w:lvlText w:val="%3."/>
      <w:lvlJc w:val="right"/>
      <w:pPr>
        <w:ind w:left="2869" w:hanging="180"/>
      </w:pPr>
    </w:lvl>
    <w:lvl w:ilvl="3" w:tplc="205E0566" w:tentative="1">
      <w:start w:val="1"/>
      <w:numFmt w:val="decimal"/>
      <w:lvlText w:val="%4."/>
      <w:lvlJc w:val="left"/>
      <w:pPr>
        <w:ind w:left="3589" w:hanging="360"/>
      </w:pPr>
    </w:lvl>
    <w:lvl w:ilvl="4" w:tplc="870AF28A" w:tentative="1">
      <w:start w:val="1"/>
      <w:numFmt w:val="lowerLetter"/>
      <w:lvlText w:val="%5."/>
      <w:lvlJc w:val="left"/>
      <w:pPr>
        <w:ind w:left="4309" w:hanging="360"/>
      </w:pPr>
    </w:lvl>
    <w:lvl w:ilvl="5" w:tplc="2E28038C" w:tentative="1">
      <w:start w:val="1"/>
      <w:numFmt w:val="lowerRoman"/>
      <w:lvlText w:val="%6."/>
      <w:lvlJc w:val="right"/>
      <w:pPr>
        <w:ind w:left="5029" w:hanging="180"/>
      </w:pPr>
    </w:lvl>
    <w:lvl w:ilvl="6" w:tplc="70C83E4E" w:tentative="1">
      <w:start w:val="1"/>
      <w:numFmt w:val="decimal"/>
      <w:lvlText w:val="%7."/>
      <w:lvlJc w:val="left"/>
      <w:pPr>
        <w:ind w:left="5749" w:hanging="360"/>
      </w:pPr>
    </w:lvl>
    <w:lvl w:ilvl="7" w:tplc="93C800C4" w:tentative="1">
      <w:start w:val="1"/>
      <w:numFmt w:val="lowerLetter"/>
      <w:lvlText w:val="%8."/>
      <w:lvlJc w:val="left"/>
      <w:pPr>
        <w:ind w:left="6469" w:hanging="360"/>
      </w:pPr>
    </w:lvl>
    <w:lvl w:ilvl="8" w:tplc="D5FCD378" w:tentative="1">
      <w:start w:val="1"/>
      <w:numFmt w:val="lowerRoman"/>
      <w:lvlText w:val="%9."/>
      <w:lvlJc w:val="right"/>
      <w:pPr>
        <w:ind w:left="7189" w:hanging="180"/>
      </w:pPr>
    </w:lvl>
  </w:abstractNum>
  <w:abstractNum w:abstractNumId="145" w15:restartNumberingAfterBreak="0">
    <w:nsid w:val="3CE90425"/>
    <w:multiLevelType w:val="multilevel"/>
    <w:tmpl w:val="9622432A"/>
    <w:lvl w:ilvl="0">
      <w:start w:val="1"/>
      <w:numFmt w:val="lowerLetter"/>
      <w:lvlText w:val="%1)"/>
      <w:lvlJc w:val="left"/>
      <w:pPr>
        <w:tabs>
          <w:tab w:val="num" w:pos="210"/>
        </w:tabs>
        <w:ind w:left="210" w:hanging="210"/>
      </w:pPr>
      <w:rPr>
        <w:b w:val="0"/>
        <w:bCs/>
        <w:position w:val="0"/>
        <w:sz w:val="28"/>
        <w:szCs w:val="24"/>
        <w:lang w:val="en-US"/>
      </w:rPr>
    </w:lvl>
    <w:lvl w:ilvl="1">
      <w:start w:val="1"/>
      <w:numFmt w:val="lowerLetter"/>
      <w:lvlText w:val="%2."/>
      <w:lvlJc w:val="left"/>
      <w:pPr>
        <w:tabs>
          <w:tab w:val="num" w:pos="1789"/>
        </w:tabs>
        <w:ind w:left="1789" w:hanging="360"/>
      </w:pPr>
      <w:rPr>
        <w:rFonts w:ascii="Garamond" w:eastAsia="Garamond" w:hAnsi="Garamond" w:cs="Garamond"/>
        <w:b/>
        <w:bCs/>
        <w:position w:val="0"/>
        <w:sz w:val="24"/>
        <w:szCs w:val="24"/>
        <w:lang w:val="en-US"/>
      </w:rPr>
    </w:lvl>
    <w:lvl w:ilvl="2">
      <w:start w:val="1"/>
      <w:numFmt w:val="lowerRoman"/>
      <w:lvlText w:val="%3."/>
      <w:lvlJc w:val="left"/>
      <w:pPr>
        <w:tabs>
          <w:tab w:val="num" w:pos="2509"/>
        </w:tabs>
        <w:ind w:left="2509" w:hanging="296"/>
      </w:pPr>
      <w:rPr>
        <w:rFonts w:ascii="Garamond" w:eastAsia="Garamond" w:hAnsi="Garamond" w:cs="Garamond"/>
        <w:b/>
        <w:bCs/>
        <w:position w:val="0"/>
        <w:sz w:val="24"/>
        <w:szCs w:val="24"/>
        <w:lang w:val="en-US"/>
      </w:rPr>
    </w:lvl>
    <w:lvl w:ilvl="3">
      <w:start w:val="1"/>
      <w:numFmt w:val="decimal"/>
      <w:lvlText w:val="%4."/>
      <w:lvlJc w:val="left"/>
      <w:pPr>
        <w:tabs>
          <w:tab w:val="num" w:pos="3229"/>
        </w:tabs>
        <w:ind w:left="3229" w:hanging="360"/>
      </w:pPr>
      <w:rPr>
        <w:rFonts w:ascii="Garamond" w:eastAsia="Garamond" w:hAnsi="Garamond" w:cs="Garamond"/>
        <w:b/>
        <w:bCs/>
        <w:position w:val="0"/>
        <w:sz w:val="24"/>
        <w:szCs w:val="24"/>
        <w:lang w:val="en-US"/>
      </w:rPr>
    </w:lvl>
    <w:lvl w:ilvl="4">
      <w:start w:val="1"/>
      <w:numFmt w:val="lowerLetter"/>
      <w:lvlText w:val="%5."/>
      <w:lvlJc w:val="left"/>
      <w:pPr>
        <w:tabs>
          <w:tab w:val="num" w:pos="3949"/>
        </w:tabs>
        <w:ind w:left="3949" w:hanging="360"/>
      </w:pPr>
      <w:rPr>
        <w:rFonts w:ascii="Garamond" w:eastAsia="Garamond" w:hAnsi="Garamond" w:cs="Garamond"/>
        <w:b/>
        <w:bCs/>
        <w:position w:val="0"/>
        <w:sz w:val="24"/>
        <w:szCs w:val="24"/>
        <w:lang w:val="en-US"/>
      </w:rPr>
    </w:lvl>
    <w:lvl w:ilvl="5">
      <w:start w:val="1"/>
      <w:numFmt w:val="lowerRoman"/>
      <w:lvlText w:val="%6."/>
      <w:lvlJc w:val="left"/>
      <w:pPr>
        <w:tabs>
          <w:tab w:val="num" w:pos="4669"/>
        </w:tabs>
        <w:ind w:left="4669" w:hanging="296"/>
      </w:pPr>
      <w:rPr>
        <w:rFonts w:ascii="Garamond" w:eastAsia="Garamond" w:hAnsi="Garamond" w:cs="Garamond"/>
        <w:b/>
        <w:bCs/>
        <w:position w:val="0"/>
        <w:sz w:val="24"/>
        <w:szCs w:val="24"/>
        <w:lang w:val="en-US"/>
      </w:rPr>
    </w:lvl>
    <w:lvl w:ilvl="6">
      <w:start w:val="1"/>
      <w:numFmt w:val="decimal"/>
      <w:lvlText w:val="%7."/>
      <w:lvlJc w:val="left"/>
      <w:pPr>
        <w:tabs>
          <w:tab w:val="num" w:pos="5389"/>
        </w:tabs>
        <w:ind w:left="5389" w:hanging="360"/>
      </w:pPr>
      <w:rPr>
        <w:rFonts w:ascii="Garamond" w:eastAsia="Garamond" w:hAnsi="Garamond" w:cs="Garamond"/>
        <w:b/>
        <w:bCs/>
        <w:position w:val="0"/>
        <w:sz w:val="24"/>
        <w:szCs w:val="24"/>
        <w:lang w:val="en-US"/>
      </w:rPr>
    </w:lvl>
    <w:lvl w:ilvl="7">
      <w:start w:val="1"/>
      <w:numFmt w:val="lowerLetter"/>
      <w:lvlText w:val="%8."/>
      <w:lvlJc w:val="left"/>
      <w:pPr>
        <w:tabs>
          <w:tab w:val="num" w:pos="6109"/>
        </w:tabs>
        <w:ind w:left="6109" w:hanging="360"/>
      </w:pPr>
      <w:rPr>
        <w:rFonts w:ascii="Garamond" w:eastAsia="Garamond" w:hAnsi="Garamond" w:cs="Garamond"/>
        <w:b/>
        <w:bCs/>
        <w:position w:val="0"/>
        <w:sz w:val="24"/>
        <w:szCs w:val="24"/>
        <w:lang w:val="en-US"/>
      </w:rPr>
    </w:lvl>
    <w:lvl w:ilvl="8">
      <w:start w:val="1"/>
      <w:numFmt w:val="lowerRoman"/>
      <w:lvlText w:val="%9."/>
      <w:lvlJc w:val="left"/>
      <w:pPr>
        <w:tabs>
          <w:tab w:val="num" w:pos="6829"/>
        </w:tabs>
        <w:ind w:left="6829" w:hanging="296"/>
      </w:pPr>
      <w:rPr>
        <w:rFonts w:ascii="Garamond" w:eastAsia="Garamond" w:hAnsi="Garamond" w:cs="Garamond"/>
        <w:b/>
        <w:bCs/>
        <w:position w:val="0"/>
        <w:sz w:val="24"/>
        <w:szCs w:val="24"/>
        <w:lang w:val="en-US"/>
      </w:rPr>
    </w:lvl>
  </w:abstractNum>
  <w:abstractNum w:abstractNumId="146" w15:restartNumberingAfterBreak="0">
    <w:nsid w:val="3D3556E3"/>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47" w15:restartNumberingAfterBreak="0">
    <w:nsid w:val="3E312310"/>
    <w:multiLevelType w:val="hybridMultilevel"/>
    <w:tmpl w:val="D0E0A020"/>
    <w:lvl w:ilvl="0" w:tplc="04220017">
      <w:start w:val="1"/>
      <w:numFmt w:val="low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8" w15:restartNumberingAfterBreak="0">
    <w:nsid w:val="3EA04F38"/>
    <w:multiLevelType w:val="multilevel"/>
    <w:tmpl w:val="C702519A"/>
    <w:styleLink w:val="3"/>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149" w15:restartNumberingAfterBreak="0">
    <w:nsid w:val="3EC25EA2"/>
    <w:multiLevelType w:val="hybridMultilevel"/>
    <w:tmpl w:val="F97CB0CE"/>
    <w:lvl w:ilvl="0" w:tplc="DDD25AFC">
      <w:start w:val="1"/>
      <w:numFmt w:val="lowerLetter"/>
      <w:lvlText w:val="%1)"/>
      <w:lvlJc w:val="left"/>
      <w:pPr>
        <w:ind w:left="1429" w:hanging="360"/>
      </w:pPr>
      <w:rPr>
        <w:rFonts w:hint="default"/>
      </w:rPr>
    </w:lvl>
    <w:lvl w:ilvl="1" w:tplc="DD7094DE" w:tentative="1">
      <w:start w:val="1"/>
      <w:numFmt w:val="lowerLetter"/>
      <w:lvlText w:val="%2."/>
      <w:lvlJc w:val="left"/>
      <w:pPr>
        <w:ind w:left="2149" w:hanging="360"/>
      </w:pPr>
    </w:lvl>
    <w:lvl w:ilvl="2" w:tplc="93F6AC76" w:tentative="1">
      <w:start w:val="1"/>
      <w:numFmt w:val="lowerRoman"/>
      <w:lvlText w:val="%3."/>
      <w:lvlJc w:val="right"/>
      <w:pPr>
        <w:ind w:left="2869" w:hanging="180"/>
      </w:pPr>
    </w:lvl>
    <w:lvl w:ilvl="3" w:tplc="D86E95F4" w:tentative="1">
      <w:start w:val="1"/>
      <w:numFmt w:val="decimal"/>
      <w:lvlText w:val="%4."/>
      <w:lvlJc w:val="left"/>
      <w:pPr>
        <w:ind w:left="3589" w:hanging="360"/>
      </w:pPr>
    </w:lvl>
    <w:lvl w:ilvl="4" w:tplc="46FA35C8" w:tentative="1">
      <w:start w:val="1"/>
      <w:numFmt w:val="lowerLetter"/>
      <w:lvlText w:val="%5."/>
      <w:lvlJc w:val="left"/>
      <w:pPr>
        <w:ind w:left="4309" w:hanging="360"/>
      </w:pPr>
    </w:lvl>
    <w:lvl w:ilvl="5" w:tplc="C61CBBCA" w:tentative="1">
      <w:start w:val="1"/>
      <w:numFmt w:val="lowerRoman"/>
      <w:lvlText w:val="%6."/>
      <w:lvlJc w:val="right"/>
      <w:pPr>
        <w:ind w:left="5029" w:hanging="180"/>
      </w:pPr>
    </w:lvl>
    <w:lvl w:ilvl="6" w:tplc="E9481C58" w:tentative="1">
      <w:start w:val="1"/>
      <w:numFmt w:val="decimal"/>
      <w:lvlText w:val="%7."/>
      <w:lvlJc w:val="left"/>
      <w:pPr>
        <w:ind w:left="5749" w:hanging="360"/>
      </w:pPr>
    </w:lvl>
    <w:lvl w:ilvl="7" w:tplc="BAB8CC46" w:tentative="1">
      <w:start w:val="1"/>
      <w:numFmt w:val="lowerLetter"/>
      <w:lvlText w:val="%8."/>
      <w:lvlJc w:val="left"/>
      <w:pPr>
        <w:ind w:left="6469" w:hanging="360"/>
      </w:pPr>
    </w:lvl>
    <w:lvl w:ilvl="8" w:tplc="52B2F968" w:tentative="1">
      <w:start w:val="1"/>
      <w:numFmt w:val="lowerRoman"/>
      <w:lvlText w:val="%9."/>
      <w:lvlJc w:val="right"/>
      <w:pPr>
        <w:ind w:left="7189" w:hanging="180"/>
      </w:pPr>
    </w:lvl>
  </w:abstractNum>
  <w:abstractNum w:abstractNumId="150" w15:restartNumberingAfterBreak="0">
    <w:nsid w:val="3EFD3799"/>
    <w:multiLevelType w:val="hybridMultilevel"/>
    <w:tmpl w:val="2C9E1522"/>
    <w:lvl w:ilvl="0" w:tplc="42B69D72">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151" w15:restartNumberingAfterBreak="0">
    <w:nsid w:val="3F5B423C"/>
    <w:multiLevelType w:val="hybridMultilevel"/>
    <w:tmpl w:val="72C6B0CC"/>
    <w:lvl w:ilvl="0" w:tplc="CDB2D7F8">
      <w:start w:val="1"/>
      <w:numFmt w:val="lowerRoman"/>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2" w15:restartNumberingAfterBreak="0">
    <w:nsid w:val="3F8F02A7"/>
    <w:multiLevelType w:val="multilevel"/>
    <w:tmpl w:val="C414B880"/>
    <w:styleLink w:val="31"/>
    <w:lvl w:ilvl="0">
      <w:start w:val="2"/>
      <w:numFmt w:val="lowerLetter"/>
      <w:lvlText w:val="%1)"/>
      <w:lvlJc w:val="left"/>
      <w:rPr>
        <w:position w:val="0"/>
      </w:rPr>
    </w:lvl>
    <w:lvl w:ilvl="1">
      <w:start w:val="1"/>
      <w:numFmt w:val="bullet"/>
      <w:lvlText w:val="-"/>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53" w15:restartNumberingAfterBreak="0">
    <w:nsid w:val="40153954"/>
    <w:multiLevelType w:val="hybridMultilevel"/>
    <w:tmpl w:val="F948E738"/>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4" w15:restartNumberingAfterBreak="0">
    <w:nsid w:val="40827F3E"/>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55" w15:restartNumberingAfterBreak="0">
    <w:nsid w:val="40F405D0"/>
    <w:multiLevelType w:val="hybridMultilevel"/>
    <w:tmpl w:val="F97CB0CE"/>
    <w:lvl w:ilvl="0" w:tplc="1EC81E38">
      <w:start w:val="1"/>
      <w:numFmt w:val="lowerLetter"/>
      <w:lvlText w:val="%1)"/>
      <w:lvlJc w:val="left"/>
      <w:pPr>
        <w:ind w:left="1429" w:hanging="360"/>
      </w:pPr>
      <w:rPr>
        <w:rFonts w:hint="default"/>
      </w:rPr>
    </w:lvl>
    <w:lvl w:ilvl="1" w:tplc="8AC2C6AC" w:tentative="1">
      <w:start w:val="1"/>
      <w:numFmt w:val="lowerLetter"/>
      <w:lvlText w:val="%2."/>
      <w:lvlJc w:val="left"/>
      <w:pPr>
        <w:ind w:left="2149" w:hanging="360"/>
      </w:pPr>
    </w:lvl>
    <w:lvl w:ilvl="2" w:tplc="2BF8411C" w:tentative="1">
      <w:start w:val="1"/>
      <w:numFmt w:val="lowerRoman"/>
      <w:lvlText w:val="%3."/>
      <w:lvlJc w:val="right"/>
      <w:pPr>
        <w:ind w:left="2869" w:hanging="180"/>
      </w:pPr>
    </w:lvl>
    <w:lvl w:ilvl="3" w:tplc="37286A90" w:tentative="1">
      <w:start w:val="1"/>
      <w:numFmt w:val="decimal"/>
      <w:lvlText w:val="%4."/>
      <w:lvlJc w:val="left"/>
      <w:pPr>
        <w:ind w:left="3589" w:hanging="360"/>
      </w:pPr>
    </w:lvl>
    <w:lvl w:ilvl="4" w:tplc="93EA0054" w:tentative="1">
      <w:start w:val="1"/>
      <w:numFmt w:val="lowerLetter"/>
      <w:lvlText w:val="%5."/>
      <w:lvlJc w:val="left"/>
      <w:pPr>
        <w:ind w:left="4309" w:hanging="360"/>
      </w:pPr>
    </w:lvl>
    <w:lvl w:ilvl="5" w:tplc="E5DCDF26" w:tentative="1">
      <w:start w:val="1"/>
      <w:numFmt w:val="lowerRoman"/>
      <w:lvlText w:val="%6."/>
      <w:lvlJc w:val="right"/>
      <w:pPr>
        <w:ind w:left="5029" w:hanging="180"/>
      </w:pPr>
    </w:lvl>
    <w:lvl w:ilvl="6" w:tplc="6A9C76A0" w:tentative="1">
      <w:start w:val="1"/>
      <w:numFmt w:val="decimal"/>
      <w:lvlText w:val="%7."/>
      <w:lvlJc w:val="left"/>
      <w:pPr>
        <w:ind w:left="5749" w:hanging="360"/>
      </w:pPr>
    </w:lvl>
    <w:lvl w:ilvl="7" w:tplc="3EBE7960" w:tentative="1">
      <w:start w:val="1"/>
      <w:numFmt w:val="lowerLetter"/>
      <w:lvlText w:val="%8."/>
      <w:lvlJc w:val="left"/>
      <w:pPr>
        <w:ind w:left="6469" w:hanging="360"/>
      </w:pPr>
    </w:lvl>
    <w:lvl w:ilvl="8" w:tplc="DC58A2FC" w:tentative="1">
      <w:start w:val="1"/>
      <w:numFmt w:val="lowerRoman"/>
      <w:lvlText w:val="%9."/>
      <w:lvlJc w:val="right"/>
      <w:pPr>
        <w:ind w:left="7189" w:hanging="180"/>
      </w:pPr>
    </w:lvl>
  </w:abstractNum>
  <w:abstractNum w:abstractNumId="156" w15:restartNumberingAfterBreak="0">
    <w:nsid w:val="412D2605"/>
    <w:multiLevelType w:val="hybridMultilevel"/>
    <w:tmpl w:val="AD14572C"/>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57" w15:restartNumberingAfterBreak="0">
    <w:nsid w:val="41AE7365"/>
    <w:multiLevelType w:val="hybridMultilevel"/>
    <w:tmpl w:val="5806684C"/>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58" w15:restartNumberingAfterBreak="0">
    <w:nsid w:val="42B43686"/>
    <w:multiLevelType w:val="hybridMultilevel"/>
    <w:tmpl w:val="CE04E984"/>
    <w:lvl w:ilvl="0" w:tplc="CDB2D7F8">
      <w:start w:val="1"/>
      <w:numFmt w:val="lowerRoman"/>
      <w:lvlText w:val="%1)"/>
      <w:lvlJc w:val="left"/>
      <w:pPr>
        <w:ind w:left="1077" w:hanging="360"/>
      </w:pPr>
      <w:rPr>
        <w:rFonts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59" w15:restartNumberingAfterBreak="0">
    <w:nsid w:val="42F270BC"/>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0" w15:restartNumberingAfterBreak="0">
    <w:nsid w:val="43217ABF"/>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161" w15:restartNumberingAfterBreak="0">
    <w:nsid w:val="43512F15"/>
    <w:multiLevelType w:val="hybridMultilevel"/>
    <w:tmpl w:val="6B0C3842"/>
    <w:lvl w:ilvl="0" w:tplc="C464D2BA">
      <w:start w:val="1"/>
      <w:numFmt w:val="lowerLetter"/>
      <w:lvlText w:val="%1)"/>
      <w:lvlJc w:val="left"/>
      <w:pPr>
        <w:ind w:left="1429" w:hanging="360"/>
      </w:pPr>
      <w:rPr>
        <w:rFonts w:ascii="Garamond" w:hAnsi="Garamond" w:hint="default"/>
      </w:rPr>
    </w:lvl>
    <w:lvl w:ilvl="1" w:tplc="D4403A50" w:tentative="1">
      <w:start w:val="1"/>
      <w:numFmt w:val="lowerLetter"/>
      <w:lvlText w:val="%2."/>
      <w:lvlJc w:val="left"/>
      <w:pPr>
        <w:ind w:left="2149" w:hanging="360"/>
      </w:pPr>
    </w:lvl>
    <w:lvl w:ilvl="2" w:tplc="A13017FC" w:tentative="1">
      <w:start w:val="1"/>
      <w:numFmt w:val="lowerRoman"/>
      <w:lvlText w:val="%3."/>
      <w:lvlJc w:val="right"/>
      <w:pPr>
        <w:ind w:left="2869" w:hanging="180"/>
      </w:pPr>
    </w:lvl>
    <w:lvl w:ilvl="3" w:tplc="9E0A615E" w:tentative="1">
      <w:start w:val="1"/>
      <w:numFmt w:val="decimal"/>
      <w:lvlText w:val="%4."/>
      <w:lvlJc w:val="left"/>
      <w:pPr>
        <w:ind w:left="3589" w:hanging="360"/>
      </w:pPr>
    </w:lvl>
    <w:lvl w:ilvl="4" w:tplc="C65892C2" w:tentative="1">
      <w:start w:val="1"/>
      <w:numFmt w:val="lowerLetter"/>
      <w:lvlText w:val="%5."/>
      <w:lvlJc w:val="left"/>
      <w:pPr>
        <w:ind w:left="4309" w:hanging="360"/>
      </w:pPr>
    </w:lvl>
    <w:lvl w:ilvl="5" w:tplc="BF744074" w:tentative="1">
      <w:start w:val="1"/>
      <w:numFmt w:val="lowerRoman"/>
      <w:lvlText w:val="%6."/>
      <w:lvlJc w:val="right"/>
      <w:pPr>
        <w:ind w:left="5029" w:hanging="180"/>
      </w:pPr>
    </w:lvl>
    <w:lvl w:ilvl="6" w:tplc="18500DFE" w:tentative="1">
      <w:start w:val="1"/>
      <w:numFmt w:val="decimal"/>
      <w:lvlText w:val="%7."/>
      <w:lvlJc w:val="left"/>
      <w:pPr>
        <w:ind w:left="5749" w:hanging="360"/>
      </w:pPr>
    </w:lvl>
    <w:lvl w:ilvl="7" w:tplc="479E04DA" w:tentative="1">
      <w:start w:val="1"/>
      <w:numFmt w:val="lowerLetter"/>
      <w:lvlText w:val="%8."/>
      <w:lvlJc w:val="left"/>
      <w:pPr>
        <w:ind w:left="6469" w:hanging="360"/>
      </w:pPr>
    </w:lvl>
    <w:lvl w:ilvl="8" w:tplc="602879B0" w:tentative="1">
      <w:start w:val="1"/>
      <w:numFmt w:val="lowerRoman"/>
      <w:lvlText w:val="%9."/>
      <w:lvlJc w:val="right"/>
      <w:pPr>
        <w:ind w:left="7189" w:hanging="180"/>
      </w:pPr>
    </w:lvl>
  </w:abstractNum>
  <w:abstractNum w:abstractNumId="162" w15:restartNumberingAfterBreak="0">
    <w:nsid w:val="43A720D9"/>
    <w:multiLevelType w:val="hybridMultilevel"/>
    <w:tmpl w:val="D2D83BD0"/>
    <w:lvl w:ilvl="0" w:tplc="D05AADF4">
      <w:start w:val="1"/>
      <w:numFmt w:val="lowerLetter"/>
      <w:lvlText w:val="%1)"/>
      <w:lvlJc w:val="left"/>
      <w:pPr>
        <w:ind w:left="1429" w:hanging="360"/>
      </w:pPr>
      <w:rPr>
        <w:rFonts w:ascii="Garamond" w:hAnsi="Garamond" w:hint="default"/>
      </w:rPr>
    </w:lvl>
    <w:lvl w:ilvl="1" w:tplc="DF50AD88" w:tentative="1">
      <w:start w:val="1"/>
      <w:numFmt w:val="lowerLetter"/>
      <w:lvlText w:val="%2."/>
      <w:lvlJc w:val="left"/>
      <w:pPr>
        <w:ind w:left="2149" w:hanging="360"/>
      </w:pPr>
    </w:lvl>
    <w:lvl w:ilvl="2" w:tplc="AA54C4AC" w:tentative="1">
      <w:start w:val="1"/>
      <w:numFmt w:val="lowerRoman"/>
      <w:lvlText w:val="%3."/>
      <w:lvlJc w:val="right"/>
      <w:pPr>
        <w:ind w:left="2869" w:hanging="180"/>
      </w:pPr>
    </w:lvl>
    <w:lvl w:ilvl="3" w:tplc="94BC6590" w:tentative="1">
      <w:start w:val="1"/>
      <w:numFmt w:val="decimal"/>
      <w:lvlText w:val="%4."/>
      <w:lvlJc w:val="left"/>
      <w:pPr>
        <w:ind w:left="3589" w:hanging="360"/>
      </w:pPr>
    </w:lvl>
    <w:lvl w:ilvl="4" w:tplc="9AB69D24" w:tentative="1">
      <w:start w:val="1"/>
      <w:numFmt w:val="lowerLetter"/>
      <w:lvlText w:val="%5."/>
      <w:lvlJc w:val="left"/>
      <w:pPr>
        <w:ind w:left="4309" w:hanging="360"/>
      </w:pPr>
    </w:lvl>
    <w:lvl w:ilvl="5" w:tplc="DB6A012C" w:tentative="1">
      <w:start w:val="1"/>
      <w:numFmt w:val="lowerRoman"/>
      <w:lvlText w:val="%6."/>
      <w:lvlJc w:val="right"/>
      <w:pPr>
        <w:ind w:left="5029" w:hanging="180"/>
      </w:pPr>
    </w:lvl>
    <w:lvl w:ilvl="6" w:tplc="2FC86DA0" w:tentative="1">
      <w:start w:val="1"/>
      <w:numFmt w:val="decimal"/>
      <w:lvlText w:val="%7."/>
      <w:lvlJc w:val="left"/>
      <w:pPr>
        <w:ind w:left="5749" w:hanging="360"/>
      </w:pPr>
    </w:lvl>
    <w:lvl w:ilvl="7" w:tplc="2D2C52DE" w:tentative="1">
      <w:start w:val="1"/>
      <w:numFmt w:val="lowerLetter"/>
      <w:lvlText w:val="%8."/>
      <w:lvlJc w:val="left"/>
      <w:pPr>
        <w:ind w:left="6469" w:hanging="360"/>
      </w:pPr>
    </w:lvl>
    <w:lvl w:ilvl="8" w:tplc="93F48BF8" w:tentative="1">
      <w:start w:val="1"/>
      <w:numFmt w:val="lowerRoman"/>
      <w:lvlText w:val="%9."/>
      <w:lvlJc w:val="right"/>
      <w:pPr>
        <w:ind w:left="7189" w:hanging="180"/>
      </w:pPr>
    </w:lvl>
  </w:abstractNum>
  <w:abstractNum w:abstractNumId="163" w15:restartNumberingAfterBreak="0">
    <w:nsid w:val="44593F7A"/>
    <w:multiLevelType w:val="multilevel"/>
    <w:tmpl w:val="674C335C"/>
    <w:lvl w:ilvl="0">
      <w:start w:val="1"/>
      <w:numFmt w:val="lowerLetter"/>
      <w:lvlText w:val="%1)"/>
      <w:lvlJc w:val="left"/>
      <w:pPr>
        <w:tabs>
          <w:tab w:val="num" w:pos="782"/>
        </w:tabs>
        <w:ind w:left="782" w:hanging="357"/>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64" w15:restartNumberingAfterBreak="0">
    <w:nsid w:val="449265B4"/>
    <w:multiLevelType w:val="hybridMultilevel"/>
    <w:tmpl w:val="F97CB0CE"/>
    <w:lvl w:ilvl="0" w:tplc="3DA8E788">
      <w:start w:val="1"/>
      <w:numFmt w:val="lowerLetter"/>
      <w:lvlText w:val="%1)"/>
      <w:lvlJc w:val="left"/>
      <w:pPr>
        <w:ind w:left="1429" w:hanging="360"/>
      </w:pPr>
      <w:rPr>
        <w:rFonts w:hint="default"/>
      </w:rPr>
    </w:lvl>
    <w:lvl w:ilvl="1" w:tplc="D182EE38" w:tentative="1">
      <w:start w:val="1"/>
      <w:numFmt w:val="lowerLetter"/>
      <w:lvlText w:val="%2."/>
      <w:lvlJc w:val="left"/>
      <w:pPr>
        <w:ind w:left="2149" w:hanging="360"/>
      </w:pPr>
    </w:lvl>
    <w:lvl w:ilvl="2" w:tplc="744604B8" w:tentative="1">
      <w:start w:val="1"/>
      <w:numFmt w:val="lowerRoman"/>
      <w:lvlText w:val="%3."/>
      <w:lvlJc w:val="right"/>
      <w:pPr>
        <w:ind w:left="2869" w:hanging="180"/>
      </w:pPr>
    </w:lvl>
    <w:lvl w:ilvl="3" w:tplc="72E2DD84" w:tentative="1">
      <w:start w:val="1"/>
      <w:numFmt w:val="decimal"/>
      <w:lvlText w:val="%4."/>
      <w:lvlJc w:val="left"/>
      <w:pPr>
        <w:ind w:left="3589" w:hanging="360"/>
      </w:pPr>
    </w:lvl>
    <w:lvl w:ilvl="4" w:tplc="D2D49E88" w:tentative="1">
      <w:start w:val="1"/>
      <w:numFmt w:val="lowerLetter"/>
      <w:lvlText w:val="%5."/>
      <w:lvlJc w:val="left"/>
      <w:pPr>
        <w:ind w:left="4309" w:hanging="360"/>
      </w:pPr>
    </w:lvl>
    <w:lvl w:ilvl="5" w:tplc="3C60994E" w:tentative="1">
      <w:start w:val="1"/>
      <w:numFmt w:val="lowerRoman"/>
      <w:lvlText w:val="%6."/>
      <w:lvlJc w:val="right"/>
      <w:pPr>
        <w:ind w:left="5029" w:hanging="180"/>
      </w:pPr>
    </w:lvl>
    <w:lvl w:ilvl="6" w:tplc="ECB0CCAA" w:tentative="1">
      <w:start w:val="1"/>
      <w:numFmt w:val="decimal"/>
      <w:lvlText w:val="%7."/>
      <w:lvlJc w:val="left"/>
      <w:pPr>
        <w:ind w:left="5749" w:hanging="360"/>
      </w:pPr>
    </w:lvl>
    <w:lvl w:ilvl="7" w:tplc="4E5EC522" w:tentative="1">
      <w:start w:val="1"/>
      <w:numFmt w:val="lowerLetter"/>
      <w:lvlText w:val="%8."/>
      <w:lvlJc w:val="left"/>
      <w:pPr>
        <w:ind w:left="6469" w:hanging="360"/>
      </w:pPr>
    </w:lvl>
    <w:lvl w:ilvl="8" w:tplc="5862001A" w:tentative="1">
      <w:start w:val="1"/>
      <w:numFmt w:val="lowerRoman"/>
      <w:lvlText w:val="%9."/>
      <w:lvlJc w:val="right"/>
      <w:pPr>
        <w:ind w:left="7189" w:hanging="180"/>
      </w:pPr>
    </w:lvl>
  </w:abstractNum>
  <w:abstractNum w:abstractNumId="165" w15:restartNumberingAfterBreak="0">
    <w:nsid w:val="44F1124A"/>
    <w:multiLevelType w:val="hybridMultilevel"/>
    <w:tmpl w:val="CE04E984"/>
    <w:lvl w:ilvl="0" w:tplc="CDB2D7F8">
      <w:start w:val="1"/>
      <w:numFmt w:val="lowerRoman"/>
      <w:lvlText w:val="%1)"/>
      <w:lvlJc w:val="left"/>
      <w:pPr>
        <w:ind w:left="1077" w:hanging="360"/>
      </w:pPr>
      <w:rPr>
        <w:rFonts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66" w15:restartNumberingAfterBreak="0">
    <w:nsid w:val="44FF1C44"/>
    <w:multiLevelType w:val="hybridMultilevel"/>
    <w:tmpl w:val="E348DCDC"/>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67" w15:restartNumberingAfterBreak="0">
    <w:nsid w:val="455E6F9B"/>
    <w:multiLevelType w:val="hybridMultilevel"/>
    <w:tmpl w:val="CE8C5BFE"/>
    <w:lvl w:ilvl="0" w:tplc="83641992">
      <w:start w:val="1"/>
      <w:numFmt w:val="lowerLetter"/>
      <w:lvlText w:val="%1)"/>
      <w:lvlJc w:val="left"/>
      <w:pPr>
        <w:ind w:left="720" w:hanging="360"/>
      </w:pPr>
      <w:rPr>
        <w:rFonts w:hint="default"/>
      </w:rPr>
    </w:lvl>
    <w:lvl w:ilvl="1" w:tplc="6C928EDC" w:tentative="1">
      <w:start w:val="1"/>
      <w:numFmt w:val="lowerLetter"/>
      <w:lvlText w:val="%2."/>
      <w:lvlJc w:val="left"/>
      <w:pPr>
        <w:ind w:left="1440" w:hanging="360"/>
      </w:pPr>
    </w:lvl>
    <w:lvl w:ilvl="2" w:tplc="0FAA71BA" w:tentative="1">
      <w:start w:val="1"/>
      <w:numFmt w:val="lowerRoman"/>
      <w:lvlText w:val="%3."/>
      <w:lvlJc w:val="right"/>
      <w:pPr>
        <w:ind w:left="2160" w:hanging="180"/>
      </w:pPr>
    </w:lvl>
    <w:lvl w:ilvl="3" w:tplc="492EFBC6" w:tentative="1">
      <w:start w:val="1"/>
      <w:numFmt w:val="decimal"/>
      <w:lvlText w:val="%4."/>
      <w:lvlJc w:val="left"/>
      <w:pPr>
        <w:ind w:left="2880" w:hanging="360"/>
      </w:pPr>
    </w:lvl>
    <w:lvl w:ilvl="4" w:tplc="8CC86BA8" w:tentative="1">
      <w:start w:val="1"/>
      <w:numFmt w:val="lowerLetter"/>
      <w:lvlText w:val="%5."/>
      <w:lvlJc w:val="left"/>
      <w:pPr>
        <w:ind w:left="3600" w:hanging="360"/>
      </w:pPr>
    </w:lvl>
    <w:lvl w:ilvl="5" w:tplc="8884C6AE" w:tentative="1">
      <w:start w:val="1"/>
      <w:numFmt w:val="lowerRoman"/>
      <w:lvlText w:val="%6."/>
      <w:lvlJc w:val="right"/>
      <w:pPr>
        <w:ind w:left="4320" w:hanging="180"/>
      </w:pPr>
    </w:lvl>
    <w:lvl w:ilvl="6" w:tplc="9CC22BDE" w:tentative="1">
      <w:start w:val="1"/>
      <w:numFmt w:val="decimal"/>
      <w:lvlText w:val="%7."/>
      <w:lvlJc w:val="left"/>
      <w:pPr>
        <w:ind w:left="5040" w:hanging="360"/>
      </w:pPr>
    </w:lvl>
    <w:lvl w:ilvl="7" w:tplc="3BE0948C" w:tentative="1">
      <w:start w:val="1"/>
      <w:numFmt w:val="lowerLetter"/>
      <w:lvlText w:val="%8."/>
      <w:lvlJc w:val="left"/>
      <w:pPr>
        <w:ind w:left="5760" w:hanging="360"/>
      </w:pPr>
    </w:lvl>
    <w:lvl w:ilvl="8" w:tplc="52DE8168" w:tentative="1">
      <w:start w:val="1"/>
      <w:numFmt w:val="lowerRoman"/>
      <w:lvlText w:val="%9."/>
      <w:lvlJc w:val="right"/>
      <w:pPr>
        <w:ind w:left="6480" w:hanging="180"/>
      </w:pPr>
    </w:lvl>
  </w:abstractNum>
  <w:abstractNum w:abstractNumId="168" w15:restartNumberingAfterBreak="0">
    <w:nsid w:val="45691316"/>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169" w15:restartNumberingAfterBreak="0">
    <w:nsid w:val="45AF1E0A"/>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170" w15:restartNumberingAfterBreak="0">
    <w:nsid w:val="473E64AD"/>
    <w:multiLevelType w:val="multilevel"/>
    <w:tmpl w:val="7CEA8BBA"/>
    <w:styleLink w:val="2"/>
    <w:lvl w:ilvl="0">
      <w:start w:val="1"/>
      <w:numFmt w:val="decimal"/>
      <w:lvlText w:val="%1"/>
      <w:lvlJc w:val="left"/>
      <w:pPr>
        <w:tabs>
          <w:tab w:val="num" w:pos="788"/>
        </w:tabs>
        <w:ind w:left="788" w:hanging="360"/>
      </w:pPr>
      <w:rPr>
        <w:rFonts w:ascii="Garamond" w:hAnsi="Garamond" w:cs="Garamond" w:hint="default"/>
        <w:b w:val="0"/>
        <w:i w:val="0"/>
        <w:caps w:val="0"/>
        <w:smallCaps w:val="0"/>
        <w:strike w:val="0"/>
        <w:dstrike w:val="0"/>
        <w:outline w:val="0"/>
        <w:vanish w:val="0"/>
        <w:color w:val="000000"/>
        <w:spacing w:val="0"/>
        <w:kern w:val="0"/>
        <w:position w:val="0"/>
        <w:sz w:val="24"/>
        <w:szCs w:val="24"/>
        <w:u w:val="none" w:color="000000"/>
        <w:vertAlign w:val="baseline"/>
      </w:rPr>
    </w:lvl>
    <w:lvl w:ilvl="1">
      <w:start w:val="1"/>
      <w:numFmt w:val="lowerLetter"/>
      <w:lvlText w:val="%2."/>
      <w:lvlJc w:val="left"/>
      <w:pPr>
        <w:tabs>
          <w:tab w:val="num" w:pos="2149"/>
        </w:tabs>
        <w:ind w:left="2149" w:hanging="360"/>
      </w:pPr>
      <w:rPr>
        <w:rFonts w:ascii="Garamond" w:eastAsia="Garamond" w:hAnsi="Garamond" w:cs="Garamond" w:hint="default"/>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hint="default"/>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hint="default"/>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hint="default"/>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hint="default"/>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hint="default"/>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hint="default"/>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hint="default"/>
        <w:caps w:val="0"/>
        <w:smallCaps w:val="0"/>
        <w:strike w:val="0"/>
        <w:dstrike w:val="0"/>
        <w:outline w:val="0"/>
        <w:color w:val="000000"/>
        <w:spacing w:val="0"/>
        <w:kern w:val="0"/>
        <w:position w:val="0"/>
        <w:sz w:val="24"/>
        <w:szCs w:val="24"/>
        <w:u w:val="none" w:color="000000"/>
        <w:vertAlign w:val="baseline"/>
        <w:lang w:val="en-US"/>
      </w:rPr>
    </w:lvl>
  </w:abstractNum>
  <w:abstractNum w:abstractNumId="171" w15:restartNumberingAfterBreak="0">
    <w:nsid w:val="479E4EE1"/>
    <w:multiLevelType w:val="hybridMultilevel"/>
    <w:tmpl w:val="C0FC193C"/>
    <w:lvl w:ilvl="0" w:tplc="2E2CBF16">
      <w:start w:val="1"/>
      <w:numFmt w:val="lowerLetter"/>
      <w:lvlText w:val="%1)"/>
      <w:lvlJc w:val="left"/>
      <w:pPr>
        <w:ind w:left="720" w:hanging="360"/>
      </w:pPr>
      <w:rPr>
        <w:rFonts w:hint="default"/>
      </w:rPr>
    </w:lvl>
    <w:lvl w:ilvl="1" w:tplc="3BBE79F2" w:tentative="1">
      <w:start w:val="1"/>
      <w:numFmt w:val="lowerLetter"/>
      <w:lvlText w:val="%2."/>
      <w:lvlJc w:val="left"/>
      <w:pPr>
        <w:ind w:left="1440" w:hanging="360"/>
      </w:pPr>
    </w:lvl>
    <w:lvl w:ilvl="2" w:tplc="DB0ABC64" w:tentative="1">
      <w:start w:val="1"/>
      <w:numFmt w:val="lowerRoman"/>
      <w:lvlText w:val="%3."/>
      <w:lvlJc w:val="right"/>
      <w:pPr>
        <w:ind w:left="2160" w:hanging="180"/>
      </w:pPr>
    </w:lvl>
    <w:lvl w:ilvl="3" w:tplc="DB2A57EA" w:tentative="1">
      <w:start w:val="1"/>
      <w:numFmt w:val="decimal"/>
      <w:lvlText w:val="%4."/>
      <w:lvlJc w:val="left"/>
      <w:pPr>
        <w:ind w:left="2880" w:hanging="360"/>
      </w:pPr>
    </w:lvl>
    <w:lvl w:ilvl="4" w:tplc="16F2BDAE" w:tentative="1">
      <w:start w:val="1"/>
      <w:numFmt w:val="lowerLetter"/>
      <w:lvlText w:val="%5."/>
      <w:lvlJc w:val="left"/>
      <w:pPr>
        <w:ind w:left="3600" w:hanging="360"/>
      </w:pPr>
    </w:lvl>
    <w:lvl w:ilvl="5" w:tplc="49B879C6" w:tentative="1">
      <w:start w:val="1"/>
      <w:numFmt w:val="lowerRoman"/>
      <w:lvlText w:val="%6."/>
      <w:lvlJc w:val="right"/>
      <w:pPr>
        <w:ind w:left="4320" w:hanging="180"/>
      </w:pPr>
    </w:lvl>
    <w:lvl w:ilvl="6" w:tplc="1F3EEC40" w:tentative="1">
      <w:start w:val="1"/>
      <w:numFmt w:val="decimal"/>
      <w:lvlText w:val="%7."/>
      <w:lvlJc w:val="left"/>
      <w:pPr>
        <w:ind w:left="5040" w:hanging="360"/>
      </w:pPr>
    </w:lvl>
    <w:lvl w:ilvl="7" w:tplc="154C5A7A" w:tentative="1">
      <w:start w:val="1"/>
      <w:numFmt w:val="lowerLetter"/>
      <w:lvlText w:val="%8."/>
      <w:lvlJc w:val="left"/>
      <w:pPr>
        <w:ind w:left="5760" w:hanging="360"/>
      </w:pPr>
    </w:lvl>
    <w:lvl w:ilvl="8" w:tplc="4EAEDB8A" w:tentative="1">
      <w:start w:val="1"/>
      <w:numFmt w:val="lowerRoman"/>
      <w:lvlText w:val="%9."/>
      <w:lvlJc w:val="right"/>
      <w:pPr>
        <w:ind w:left="6480" w:hanging="180"/>
      </w:pPr>
    </w:lvl>
  </w:abstractNum>
  <w:abstractNum w:abstractNumId="172" w15:restartNumberingAfterBreak="0">
    <w:nsid w:val="47E01743"/>
    <w:multiLevelType w:val="hybridMultilevel"/>
    <w:tmpl w:val="735AD602"/>
    <w:lvl w:ilvl="0" w:tplc="4C42EA3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3" w15:restartNumberingAfterBreak="0">
    <w:nsid w:val="49AE59E0"/>
    <w:multiLevelType w:val="hybridMultilevel"/>
    <w:tmpl w:val="33A82EEA"/>
    <w:lvl w:ilvl="0" w:tplc="0422000F">
      <w:start w:val="1"/>
      <w:numFmt w:val="decimal"/>
      <w:lvlText w:val="%1."/>
      <w:lvlJc w:val="left"/>
      <w:pPr>
        <w:ind w:left="644" w:hanging="360"/>
      </w:p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74" w15:restartNumberingAfterBreak="0">
    <w:nsid w:val="49CC4E5D"/>
    <w:multiLevelType w:val="multilevel"/>
    <w:tmpl w:val="9E7ED4DA"/>
    <w:lvl w:ilvl="0">
      <w:start w:val="1"/>
      <w:numFmt w:val="decimal"/>
      <w:lvlText w:val="%1."/>
      <w:lvlJc w:val="left"/>
      <w:pPr>
        <w:tabs>
          <w:tab w:val="num" w:pos="210"/>
        </w:tabs>
        <w:ind w:left="210" w:hanging="210"/>
      </w:pPr>
      <w:rPr>
        <w:position w:val="0"/>
        <w:sz w:val="28"/>
        <w:szCs w:val="24"/>
        <w:lang w:val="en-US"/>
      </w:rPr>
    </w:lvl>
    <w:lvl w:ilvl="1">
      <w:start w:val="1"/>
      <w:numFmt w:val="lowerLetter"/>
      <w:lvlText w:val="%2."/>
      <w:lvlJc w:val="left"/>
      <w:pPr>
        <w:tabs>
          <w:tab w:val="num" w:pos="1440"/>
        </w:tabs>
        <w:ind w:left="1440" w:hanging="360"/>
      </w:pPr>
      <w:rPr>
        <w:rFonts w:ascii="Garamond" w:eastAsia="Garamond" w:hAnsi="Garamond" w:cs="Garamond"/>
        <w:position w:val="0"/>
        <w:sz w:val="24"/>
        <w:szCs w:val="24"/>
        <w:lang w:val="en-US"/>
      </w:rPr>
    </w:lvl>
    <w:lvl w:ilvl="2">
      <w:start w:val="1"/>
      <w:numFmt w:val="lowerRoman"/>
      <w:lvlText w:val="%3."/>
      <w:lvlJc w:val="left"/>
      <w:pPr>
        <w:tabs>
          <w:tab w:val="num" w:pos="2160"/>
        </w:tabs>
        <w:ind w:left="2160" w:hanging="296"/>
      </w:pPr>
      <w:rPr>
        <w:rFonts w:ascii="Garamond" w:eastAsia="Garamond" w:hAnsi="Garamond" w:cs="Garamond"/>
        <w:position w:val="0"/>
        <w:sz w:val="24"/>
        <w:szCs w:val="24"/>
        <w:lang w:val="en-US"/>
      </w:rPr>
    </w:lvl>
    <w:lvl w:ilvl="3">
      <w:start w:val="1"/>
      <w:numFmt w:val="decimal"/>
      <w:lvlText w:val="%4."/>
      <w:lvlJc w:val="left"/>
      <w:pPr>
        <w:tabs>
          <w:tab w:val="num" w:pos="2880"/>
        </w:tabs>
        <w:ind w:left="2880" w:hanging="360"/>
      </w:pPr>
      <w:rPr>
        <w:rFonts w:ascii="Garamond" w:eastAsia="Garamond" w:hAnsi="Garamond" w:cs="Garamond"/>
        <w:position w:val="0"/>
        <w:sz w:val="24"/>
        <w:szCs w:val="24"/>
        <w:lang w:val="en-US"/>
      </w:rPr>
    </w:lvl>
    <w:lvl w:ilvl="4">
      <w:start w:val="1"/>
      <w:numFmt w:val="lowerLetter"/>
      <w:lvlText w:val="%5."/>
      <w:lvlJc w:val="left"/>
      <w:pPr>
        <w:tabs>
          <w:tab w:val="num" w:pos="3600"/>
        </w:tabs>
        <w:ind w:left="3600" w:hanging="360"/>
      </w:pPr>
      <w:rPr>
        <w:rFonts w:ascii="Garamond" w:eastAsia="Garamond" w:hAnsi="Garamond" w:cs="Garamond"/>
        <w:position w:val="0"/>
        <w:sz w:val="24"/>
        <w:szCs w:val="24"/>
        <w:lang w:val="en-US"/>
      </w:rPr>
    </w:lvl>
    <w:lvl w:ilvl="5">
      <w:start w:val="1"/>
      <w:numFmt w:val="lowerRoman"/>
      <w:lvlText w:val="%6."/>
      <w:lvlJc w:val="left"/>
      <w:pPr>
        <w:tabs>
          <w:tab w:val="num" w:pos="4320"/>
        </w:tabs>
        <w:ind w:left="4320" w:hanging="296"/>
      </w:pPr>
      <w:rPr>
        <w:rFonts w:ascii="Garamond" w:eastAsia="Garamond" w:hAnsi="Garamond" w:cs="Garamond"/>
        <w:position w:val="0"/>
        <w:sz w:val="24"/>
        <w:szCs w:val="24"/>
        <w:lang w:val="en-US"/>
      </w:rPr>
    </w:lvl>
    <w:lvl w:ilvl="6">
      <w:start w:val="1"/>
      <w:numFmt w:val="decimal"/>
      <w:lvlText w:val="%7."/>
      <w:lvlJc w:val="left"/>
      <w:pPr>
        <w:tabs>
          <w:tab w:val="num" w:pos="5040"/>
        </w:tabs>
        <w:ind w:left="5040" w:hanging="360"/>
      </w:pPr>
      <w:rPr>
        <w:rFonts w:ascii="Garamond" w:eastAsia="Garamond" w:hAnsi="Garamond" w:cs="Garamond"/>
        <w:position w:val="0"/>
        <w:sz w:val="24"/>
        <w:szCs w:val="24"/>
        <w:lang w:val="en-US"/>
      </w:rPr>
    </w:lvl>
    <w:lvl w:ilvl="7">
      <w:start w:val="1"/>
      <w:numFmt w:val="lowerLetter"/>
      <w:lvlText w:val="%8."/>
      <w:lvlJc w:val="left"/>
      <w:pPr>
        <w:tabs>
          <w:tab w:val="num" w:pos="5760"/>
        </w:tabs>
        <w:ind w:left="5760" w:hanging="360"/>
      </w:pPr>
      <w:rPr>
        <w:rFonts w:ascii="Garamond" w:eastAsia="Garamond" w:hAnsi="Garamond" w:cs="Garamond"/>
        <w:position w:val="0"/>
        <w:sz w:val="24"/>
        <w:szCs w:val="24"/>
        <w:lang w:val="en-US"/>
      </w:rPr>
    </w:lvl>
    <w:lvl w:ilvl="8">
      <w:start w:val="1"/>
      <w:numFmt w:val="lowerRoman"/>
      <w:lvlText w:val="%9."/>
      <w:lvlJc w:val="left"/>
      <w:pPr>
        <w:tabs>
          <w:tab w:val="num" w:pos="6480"/>
        </w:tabs>
        <w:ind w:left="6480" w:hanging="296"/>
      </w:pPr>
      <w:rPr>
        <w:rFonts w:ascii="Garamond" w:eastAsia="Garamond" w:hAnsi="Garamond" w:cs="Garamond"/>
        <w:position w:val="0"/>
        <w:sz w:val="24"/>
        <w:szCs w:val="24"/>
        <w:lang w:val="en-US"/>
      </w:rPr>
    </w:lvl>
  </w:abstractNum>
  <w:abstractNum w:abstractNumId="175" w15:restartNumberingAfterBreak="0">
    <w:nsid w:val="4B176BC3"/>
    <w:multiLevelType w:val="hybridMultilevel"/>
    <w:tmpl w:val="E348DCDC"/>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76" w15:restartNumberingAfterBreak="0">
    <w:nsid w:val="4CDA7E95"/>
    <w:multiLevelType w:val="multilevel"/>
    <w:tmpl w:val="D06EC438"/>
    <w:styleLink w:val="8"/>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177" w15:restartNumberingAfterBreak="0">
    <w:nsid w:val="4CE40DCC"/>
    <w:multiLevelType w:val="multilevel"/>
    <w:tmpl w:val="13C01400"/>
    <w:styleLink w:val="List1"/>
    <w:lvl w:ilvl="0">
      <w:start w:val="1"/>
      <w:numFmt w:val="lowerLetter"/>
      <w:lvlText w:val="%1)"/>
      <w:lvlJc w:val="left"/>
      <w:rPr>
        <w:position w:val="0"/>
      </w:rPr>
    </w:lvl>
    <w:lvl w:ilvl="1">
      <w:start w:val="1"/>
      <w:numFmt w:val="bullet"/>
      <w:lvlText w:val="-"/>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78" w15:restartNumberingAfterBreak="0">
    <w:nsid w:val="4D8D6667"/>
    <w:multiLevelType w:val="hybridMultilevel"/>
    <w:tmpl w:val="C0FC193C"/>
    <w:lvl w:ilvl="0" w:tplc="4F363B80">
      <w:start w:val="1"/>
      <w:numFmt w:val="lowerLetter"/>
      <w:lvlText w:val="%1)"/>
      <w:lvlJc w:val="left"/>
      <w:pPr>
        <w:ind w:left="720" w:hanging="360"/>
      </w:pPr>
      <w:rPr>
        <w:rFonts w:hint="default"/>
      </w:rPr>
    </w:lvl>
    <w:lvl w:ilvl="1" w:tplc="131A097E" w:tentative="1">
      <w:start w:val="1"/>
      <w:numFmt w:val="lowerLetter"/>
      <w:lvlText w:val="%2."/>
      <w:lvlJc w:val="left"/>
      <w:pPr>
        <w:ind w:left="1440" w:hanging="360"/>
      </w:pPr>
    </w:lvl>
    <w:lvl w:ilvl="2" w:tplc="96BADDA0" w:tentative="1">
      <w:start w:val="1"/>
      <w:numFmt w:val="lowerRoman"/>
      <w:lvlText w:val="%3."/>
      <w:lvlJc w:val="right"/>
      <w:pPr>
        <w:ind w:left="2160" w:hanging="180"/>
      </w:pPr>
    </w:lvl>
    <w:lvl w:ilvl="3" w:tplc="E3F6EA92" w:tentative="1">
      <w:start w:val="1"/>
      <w:numFmt w:val="decimal"/>
      <w:lvlText w:val="%4."/>
      <w:lvlJc w:val="left"/>
      <w:pPr>
        <w:ind w:left="2880" w:hanging="360"/>
      </w:pPr>
    </w:lvl>
    <w:lvl w:ilvl="4" w:tplc="680AE6D2" w:tentative="1">
      <w:start w:val="1"/>
      <w:numFmt w:val="lowerLetter"/>
      <w:lvlText w:val="%5."/>
      <w:lvlJc w:val="left"/>
      <w:pPr>
        <w:ind w:left="3600" w:hanging="360"/>
      </w:pPr>
    </w:lvl>
    <w:lvl w:ilvl="5" w:tplc="8328FE1A" w:tentative="1">
      <w:start w:val="1"/>
      <w:numFmt w:val="lowerRoman"/>
      <w:lvlText w:val="%6."/>
      <w:lvlJc w:val="right"/>
      <w:pPr>
        <w:ind w:left="4320" w:hanging="180"/>
      </w:pPr>
    </w:lvl>
    <w:lvl w:ilvl="6" w:tplc="B122064C" w:tentative="1">
      <w:start w:val="1"/>
      <w:numFmt w:val="decimal"/>
      <w:lvlText w:val="%7."/>
      <w:lvlJc w:val="left"/>
      <w:pPr>
        <w:ind w:left="5040" w:hanging="360"/>
      </w:pPr>
    </w:lvl>
    <w:lvl w:ilvl="7" w:tplc="F7507A8E" w:tentative="1">
      <w:start w:val="1"/>
      <w:numFmt w:val="lowerLetter"/>
      <w:lvlText w:val="%8."/>
      <w:lvlJc w:val="left"/>
      <w:pPr>
        <w:ind w:left="5760" w:hanging="360"/>
      </w:pPr>
    </w:lvl>
    <w:lvl w:ilvl="8" w:tplc="FCF60314" w:tentative="1">
      <w:start w:val="1"/>
      <w:numFmt w:val="lowerRoman"/>
      <w:lvlText w:val="%9."/>
      <w:lvlJc w:val="right"/>
      <w:pPr>
        <w:ind w:left="6480" w:hanging="180"/>
      </w:pPr>
    </w:lvl>
  </w:abstractNum>
  <w:abstractNum w:abstractNumId="179" w15:restartNumberingAfterBreak="0">
    <w:nsid w:val="4DCB2301"/>
    <w:multiLevelType w:val="hybridMultilevel"/>
    <w:tmpl w:val="FF8A19BE"/>
    <w:lvl w:ilvl="0" w:tplc="EDECFCB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0" w15:restartNumberingAfterBreak="0">
    <w:nsid w:val="4ECC3740"/>
    <w:multiLevelType w:val="hybridMultilevel"/>
    <w:tmpl w:val="95A8D1C0"/>
    <w:lvl w:ilvl="0" w:tplc="199E3CD8">
      <w:start w:val="1"/>
      <w:numFmt w:val="bullet"/>
      <w:lvlText w:val=""/>
      <w:lvlJc w:val="left"/>
      <w:pPr>
        <w:ind w:left="1077" w:hanging="360"/>
      </w:pPr>
      <w:rPr>
        <w:rFonts w:ascii="Symbol" w:hAnsi="Symbol" w:hint="default"/>
        <w:b w:val="0"/>
        <w:i w:val="0"/>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1" w15:restartNumberingAfterBreak="0">
    <w:nsid w:val="4F3D205A"/>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82" w15:restartNumberingAfterBreak="0">
    <w:nsid w:val="501216B4"/>
    <w:multiLevelType w:val="multilevel"/>
    <w:tmpl w:val="0584DD92"/>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83" w15:restartNumberingAfterBreak="0">
    <w:nsid w:val="5023031D"/>
    <w:multiLevelType w:val="hybridMultilevel"/>
    <w:tmpl w:val="3B521754"/>
    <w:lvl w:ilvl="0" w:tplc="CD0250BA">
      <w:start w:val="1"/>
      <w:numFmt w:val="lowerLetter"/>
      <w:lvlText w:val="%1)"/>
      <w:lvlJc w:val="left"/>
      <w:pPr>
        <w:ind w:left="1429" w:hanging="360"/>
      </w:pPr>
      <w:rPr>
        <w:rFonts w:hint="default"/>
        <w:i w:val="0"/>
      </w:rPr>
    </w:lvl>
    <w:lvl w:ilvl="1" w:tplc="529EED9A" w:tentative="1">
      <w:start w:val="1"/>
      <w:numFmt w:val="lowerLetter"/>
      <w:lvlText w:val="%2."/>
      <w:lvlJc w:val="left"/>
      <w:pPr>
        <w:ind w:left="2149" w:hanging="360"/>
      </w:pPr>
    </w:lvl>
    <w:lvl w:ilvl="2" w:tplc="C4741958" w:tentative="1">
      <w:start w:val="1"/>
      <w:numFmt w:val="lowerRoman"/>
      <w:lvlText w:val="%3."/>
      <w:lvlJc w:val="right"/>
      <w:pPr>
        <w:ind w:left="2869" w:hanging="180"/>
      </w:pPr>
    </w:lvl>
    <w:lvl w:ilvl="3" w:tplc="AE64E3FA" w:tentative="1">
      <w:start w:val="1"/>
      <w:numFmt w:val="decimal"/>
      <w:lvlText w:val="%4."/>
      <w:lvlJc w:val="left"/>
      <w:pPr>
        <w:ind w:left="3589" w:hanging="360"/>
      </w:pPr>
    </w:lvl>
    <w:lvl w:ilvl="4" w:tplc="8EF6FB2A" w:tentative="1">
      <w:start w:val="1"/>
      <w:numFmt w:val="lowerLetter"/>
      <w:lvlText w:val="%5."/>
      <w:lvlJc w:val="left"/>
      <w:pPr>
        <w:ind w:left="4309" w:hanging="360"/>
      </w:pPr>
    </w:lvl>
    <w:lvl w:ilvl="5" w:tplc="13305A8E" w:tentative="1">
      <w:start w:val="1"/>
      <w:numFmt w:val="lowerRoman"/>
      <w:lvlText w:val="%6."/>
      <w:lvlJc w:val="right"/>
      <w:pPr>
        <w:ind w:left="5029" w:hanging="180"/>
      </w:pPr>
    </w:lvl>
    <w:lvl w:ilvl="6" w:tplc="5FD02D80" w:tentative="1">
      <w:start w:val="1"/>
      <w:numFmt w:val="decimal"/>
      <w:lvlText w:val="%7."/>
      <w:lvlJc w:val="left"/>
      <w:pPr>
        <w:ind w:left="5749" w:hanging="360"/>
      </w:pPr>
    </w:lvl>
    <w:lvl w:ilvl="7" w:tplc="E1840F7C" w:tentative="1">
      <w:start w:val="1"/>
      <w:numFmt w:val="lowerLetter"/>
      <w:lvlText w:val="%8."/>
      <w:lvlJc w:val="left"/>
      <w:pPr>
        <w:ind w:left="6469" w:hanging="360"/>
      </w:pPr>
    </w:lvl>
    <w:lvl w:ilvl="8" w:tplc="72EE9E84" w:tentative="1">
      <w:start w:val="1"/>
      <w:numFmt w:val="lowerRoman"/>
      <w:lvlText w:val="%9."/>
      <w:lvlJc w:val="right"/>
      <w:pPr>
        <w:ind w:left="7189" w:hanging="180"/>
      </w:pPr>
    </w:lvl>
  </w:abstractNum>
  <w:abstractNum w:abstractNumId="184" w15:restartNumberingAfterBreak="0">
    <w:nsid w:val="50523059"/>
    <w:multiLevelType w:val="hybridMultilevel"/>
    <w:tmpl w:val="0684413C"/>
    <w:lvl w:ilvl="0" w:tplc="0422000F">
      <w:start w:val="1"/>
      <w:numFmt w:val="decimal"/>
      <w:lvlText w:val="%1."/>
      <w:lvlJc w:val="left"/>
      <w:pPr>
        <w:ind w:left="722" w:hanging="360"/>
      </w:pPr>
    </w:lvl>
    <w:lvl w:ilvl="1" w:tplc="04220019" w:tentative="1">
      <w:start w:val="1"/>
      <w:numFmt w:val="lowerLetter"/>
      <w:lvlText w:val="%2."/>
      <w:lvlJc w:val="left"/>
      <w:pPr>
        <w:ind w:left="1442" w:hanging="360"/>
      </w:pPr>
    </w:lvl>
    <w:lvl w:ilvl="2" w:tplc="0422001B" w:tentative="1">
      <w:start w:val="1"/>
      <w:numFmt w:val="lowerRoman"/>
      <w:lvlText w:val="%3."/>
      <w:lvlJc w:val="right"/>
      <w:pPr>
        <w:ind w:left="2162" w:hanging="180"/>
      </w:pPr>
    </w:lvl>
    <w:lvl w:ilvl="3" w:tplc="0422000F" w:tentative="1">
      <w:start w:val="1"/>
      <w:numFmt w:val="decimal"/>
      <w:lvlText w:val="%4."/>
      <w:lvlJc w:val="left"/>
      <w:pPr>
        <w:ind w:left="2882" w:hanging="360"/>
      </w:pPr>
    </w:lvl>
    <w:lvl w:ilvl="4" w:tplc="04220019" w:tentative="1">
      <w:start w:val="1"/>
      <w:numFmt w:val="lowerLetter"/>
      <w:lvlText w:val="%5."/>
      <w:lvlJc w:val="left"/>
      <w:pPr>
        <w:ind w:left="3602" w:hanging="360"/>
      </w:pPr>
    </w:lvl>
    <w:lvl w:ilvl="5" w:tplc="0422001B" w:tentative="1">
      <w:start w:val="1"/>
      <w:numFmt w:val="lowerRoman"/>
      <w:lvlText w:val="%6."/>
      <w:lvlJc w:val="right"/>
      <w:pPr>
        <w:ind w:left="4322" w:hanging="180"/>
      </w:pPr>
    </w:lvl>
    <w:lvl w:ilvl="6" w:tplc="0422000F" w:tentative="1">
      <w:start w:val="1"/>
      <w:numFmt w:val="decimal"/>
      <w:lvlText w:val="%7."/>
      <w:lvlJc w:val="left"/>
      <w:pPr>
        <w:ind w:left="5042" w:hanging="360"/>
      </w:pPr>
    </w:lvl>
    <w:lvl w:ilvl="7" w:tplc="04220019" w:tentative="1">
      <w:start w:val="1"/>
      <w:numFmt w:val="lowerLetter"/>
      <w:lvlText w:val="%8."/>
      <w:lvlJc w:val="left"/>
      <w:pPr>
        <w:ind w:left="5762" w:hanging="360"/>
      </w:pPr>
    </w:lvl>
    <w:lvl w:ilvl="8" w:tplc="0422001B" w:tentative="1">
      <w:start w:val="1"/>
      <w:numFmt w:val="lowerRoman"/>
      <w:lvlText w:val="%9."/>
      <w:lvlJc w:val="right"/>
      <w:pPr>
        <w:ind w:left="6482" w:hanging="180"/>
      </w:pPr>
    </w:lvl>
  </w:abstractNum>
  <w:abstractNum w:abstractNumId="185" w15:restartNumberingAfterBreak="0">
    <w:nsid w:val="507613D1"/>
    <w:multiLevelType w:val="multilevel"/>
    <w:tmpl w:val="E2A2E0FE"/>
    <w:styleLink w:val="11"/>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186" w15:restartNumberingAfterBreak="0">
    <w:nsid w:val="508709BE"/>
    <w:multiLevelType w:val="multilevel"/>
    <w:tmpl w:val="D53E3270"/>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187" w15:restartNumberingAfterBreak="0">
    <w:nsid w:val="51AA1F94"/>
    <w:multiLevelType w:val="hybridMultilevel"/>
    <w:tmpl w:val="6B0C3842"/>
    <w:lvl w:ilvl="0" w:tplc="C464D2BA">
      <w:start w:val="1"/>
      <w:numFmt w:val="lowerLetter"/>
      <w:lvlText w:val="%1)"/>
      <w:lvlJc w:val="left"/>
      <w:pPr>
        <w:ind w:left="1429" w:hanging="360"/>
      </w:pPr>
      <w:rPr>
        <w:rFonts w:ascii="Garamond" w:hAnsi="Garamond" w:hint="default"/>
      </w:rPr>
    </w:lvl>
    <w:lvl w:ilvl="1" w:tplc="D4403A50" w:tentative="1">
      <w:start w:val="1"/>
      <w:numFmt w:val="lowerLetter"/>
      <w:lvlText w:val="%2."/>
      <w:lvlJc w:val="left"/>
      <w:pPr>
        <w:ind w:left="2149" w:hanging="360"/>
      </w:pPr>
    </w:lvl>
    <w:lvl w:ilvl="2" w:tplc="A13017FC" w:tentative="1">
      <w:start w:val="1"/>
      <w:numFmt w:val="lowerRoman"/>
      <w:lvlText w:val="%3."/>
      <w:lvlJc w:val="right"/>
      <w:pPr>
        <w:ind w:left="2869" w:hanging="180"/>
      </w:pPr>
    </w:lvl>
    <w:lvl w:ilvl="3" w:tplc="9E0A615E" w:tentative="1">
      <w:start w:val="1"/>
      <w:numFmt w:val="decimal"/>
      <w:lvlText w:val="%4."/>
      <w:lvlJc w:val="left"/>
      <w:pPr>
        <w:ind w:left="3589" w:hanging="360"/>
      </w:pPr>
    </w:lvl>
    <w:lvl w:ilvl="4" w:tplc="C65892C2" w:tentative="1">
      <w:start w:val="1"/>
      <w:numFmt w:val="lowerLetter"/>
      <w:lvlText w:val="%5."/>
      <w:lvlJc w:val="left"/>
      <w:pPr>
        <w:ind w:left="4309" w:hanging="360"/>
      </w:pPr>
    </w:lvl>
    <w:lvl w:ilvl="5" w:tplc="BF744074" w:tentative="1">
      <w:start w:val="1"/>
      <w:numFmt w:val="lowerRoman"/>
      <w:lvlText w:val="%6."/>
      <w:lvlJc w:val="right"/>
      <w:pPr>
        <w:ind w:left="5029" w:hanging="180"/>
      </w:pPr>
    </w:lvl>
    <w:lvl w:ilvl="6" w:tplc="18500DFE" w:tentative="1">
      <w:start w:val="1"/>
      <w:numFmt w:val="decimal"/>
      <w:lvlText w:val="%7."/>
      <w:lvlJc w:val="left"/>
      <w:pPr>
        <w:ind w:left="5749" w:hanging="360"/>
      </w:pPr>
    </w:lvl>
    <w:lvl w:ilvl="7" w:tplc="479E04DA" w:tentative="1">
      <w:start w:val="1"/>
      <w:numFmt w:val="lowerLetter"/>
      <w:lvlText w:val="%8."/>
      <w:lvlJc w:val="left"/>
      <w:pPr>
        <w:ind w:left="6469" w:hanging="360"/>
      </w:pPr>
    </w:lvl>
    <w:lvl w:ilvl="8" w:tplc="602879B0" w:tentative="1">
      <w:start w:val="1"/>
      <w:numFmt w:val="lowerRoman"/>
      <w:lvlText w:val="%9."/>
      <w:lvlJc w:val="right"/>
      <w:pPr>
        <w:ind w:left="7189" w:hanging="180"/>
      </w:pPr>
    </w:lvl>
  </w:abstractNum>
  <w:abstractNum w:abstractNumId="188" w15:restartNumberingAfterBreak="0">
    <w:nsid w:val="51AA2331"/>
    <w:multiLevelType w:val="hybridMultilevel"/>
    <w:tmpl w:val="F97CB0CE"/>
    <w:lvl w:ilvl="0" w:tplc="766A5792">
      <w:start w:val="1"/>
      <w:numFmt w:val="lowerLetter"/>
      <w:lvlText w:val="%1)"/>
      <w:lvlJc w:val="left"/>
      <w:pPr>
        <w:ind w:left="1429" w:hanging="360"/>
      </w:pPr>
      <w:rPr>
        <w:rFonts w:hint="default"/>
      </w:rPr>
    </w:lvl>
    <w:lvl w:ilvl="1" w:tplc="D5B2B5B0" w:tentative="1">
      <w:start w:val="1"/>
      <w:numFmt w:val="lowerLetter"/>
      <w:lvlText w:val="%2."/>
      <w:lvlJc w:val="left"/>
      <w:pPr>
        <w:ind w:left="2149" w:hanging="360"/>
      </w:pPr>
    </w:lvl>
    <w:lvl w:ilvl="2" w:tplc="D72E83D0" w:tentative="1">
      <w:start w:val="1"/>
      <w:numFmt w:val="lowerRoman"/>
      <w:lvlText w:val="%3."/>
      <w:lvlJc w:val="right"/>
      <w:pPr>
        <w:ind w:left="2869" w:hanging="180"/>
      </w:pPr>
    </w:lvl>
    <w:lvl w:ilvl="3" w:tplc="5EECFB0E" w:tentative="1">
      <w:start w:val="1"/>
      <w:numFmt w:val="decimal"/>
      <w:lvlText w:val="%4."/>
      <w:lvlJc w:val="left"/>
      <w:pPr>
        <w:ind w:left="3589" w:hanging="360"/>
      </w:pPr>
    </w:lvl>
    <w:lvl w:ilvl="4" w:tplc="F8628DEE" w:tentative="1">
      <w:start w:val="1"/>
      <w:numFmt w:val="lowerLetter"/>
      <w:lvlText w:val="%5."/>
      <w:lvlJc w:val="left"/>
      <w:pPr>
        <w:ind w:left="4309" w:hanging="360"/>
      </w:pPr>
    </w:lvl>
    <w:lvl w:ilvl="5" w:tplc="58ECCC24" w:tentative="1">
      <w:start w:val="1"/>
      <w:numFmt w:val="lowerRoman"/>
      <w:lvlText w:val="%6."/>
      <w:lvlJc w:val="right"/>
      <w:pPr>
        <w:ind w:left="5029" w:hanging="180"/>
      </w:pPr>
    </w:lvl>
    <w:lvl w:ilvl="6" w:tplc="0B2021DE" w:tentative="1">
      <w:start w:val="1"/>
      <w:numFmt w:val="decimal"/>
      <w:lvlText w:val="%7."/>
      <w:lvlJc w:val="left"/>
      <w:pPr>
        <w:ind w:left="5749" w:hanging="360"/>
      </w:pPr>
    </w:lvl>
    <w:lvl w:ilvl="7" w:tplc="A1C21B8E" w:tentative="1">
      <w:start w:val="1"/>
      <w:numFmt w:val="lowerLetter"/>
      <w:lvlText w:val="%8."/>
      <w:lvlJc w:val="left"/>
      <w:pPr>
        <w:ind w:left="6469" w:hanging="360"/>
      </w:pPr>
    </w:lvl>
    <w:lvl w:ilvl="8" w:tplc="6004D3F4" w:tentative="1">
      <w:start w:val="1"/>
      <w:numFmt w:val="lowerRoman"/>
      <w:lvlText w:val="%9."/>
      <w:lvlJc w:val="right"/>
      <w:pPr>
        <w:ind w:left="7189" w:hanging="180"/>
      </w:pPr>
    </w:lvl>
  </w:abstractNum>
  <w:abstractNum w:abstractNumId="189" w15:restartNumberingAfterBreak="0">
    <w:nsid w:val="524A25C6"/>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90" w15:restartNumberingAfterBreak="0">
    <w:nsid w:val="52E55129"/>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91" w15:restartNumberingAfterBreak="0">
    <w:nsid w:val="53081C16"/>
    <w:multiLevelType w:val="hybridMultilevel"/>
    <w:tmpl w:val="F97CB0CE"/>
    <w:lvl w:ilvl="0" w:tplc="EABE1550">
      <w:start w:val="1"/>
      <w:numFmt w:val="lowerLetter"/>
      <w:lvlText w:val="%1)"/>
      <w:lvlJc w:val="left"/>
      <w:pPr>
        <w:ind w:left="1429" w:hanging="360"/>
      </w:pPr>
      <w:rPr>
        <w:rFonts w:hint="default"/>
      </w:rPr>
    </w:lvl>
    <w:lvl w:ilvl="1" w:tplc="24DEAC2E" w:tentative="1">
      <w:start w:val="1"/>
      <w:numFmt w:val="lowerLetter"/>
      <w:lvlText w:val="%2."/>
      <w:lvlJc w:val="left"/>
      <w:pPr>
        <w:ind w:left="2149" w:hanging="360"/>
      </w:pPr>
    </w:lvl>
    <w:lvl w:ilvl="2" w:tplc="16DC6816" w:tentative="1">
      <w:start w:val="1"/>
      <w:numFmt w:val="lowerRoman"/>
      <w:lvlText w:val="%3."/>
      <w:lvlJc w:val="right"/>
      <w:pPr>
        <w:ind w:left="2869" w:hanging="180"/>
      </w:pPr>
    </w:lvl>
    <w:lvl w:ilvl="3" w:tplc="A608EE0E" w:tentative="1">
      <w:start w:val="1"/>
      <w:numFmt w:val="decimal"/>
      <w:lvlText w:val="%4."/>
      <w:lvlJc w:val="left"/>
      <w:pPr>
        <w:ind w:left="3589" w:hanging="360"/>
      </w:pPr>
    </w:lvl>
    <w:lvl w:ilvl="4" w:tplc="40D22F1C" w:tentative="1">
      <w:start w:val="1"/>
      <w:numFmt w:val="lowerLetter"/>
      <w:lvlText w:val="%5."/>
      <w:lvlJc w:val="left"/>
      <w:pPr>
        <w:ind w:left="4309" w:hanging="360"/>
      </w:pPr>
    </w:lvl>
    <w:lvl w:ilvl="5" w:tplc="B7361E96" w:tentative="1">
      <w:start w:val="1"/>
      <w:numFmt w:val="lowerRoman"/>
      <w:lvlText w:val="%6."/>
      <w:lvlJc w:val="right"/>
      <w:pPr>
        <w:ind w:left="5029" w:hanging="180"/>
      </w:pPr>
    </w:lvl>
    <w:lvl w:ilvl="6" w:tplc="BAA84C5C" w:tentative="1">
      <w:start w:val="1"/>
      <w:numFmt w:val="decimal"/>
      <w:lvlText w:val="%7."/>
      <w:lvlJc w:val="left"/>
      <w:pPr>
        <w:ind w:left="5749" w:hanging="360"/>
      </w:pPr>
    </w:lvl>
    <w:lvl w:ilvl="7" w:tplc="DB4A2426" w:tentative="1">
      <w:start w:val="1"/>
      <w:numFmt w:val="lowerLetter"/>
      <w:lvlText w:val="%8."/>
      <w:lvlJc w:val="left"/>
      <w:pPr>
        <w:ind w:left="6469" w:hanging="360"/>
      </w:pPr>
    </w:lvl>
    <w:lvl w:ilvl="8" w:tplc="25629C9C" w:tentative="1">
      <w:start w:val="1"/>
      <w:numFmt w:val="lowerRoman"/>
      <w:lvlText w:val="%9."/>
      <w:lvlJc w:val="right"/>
      <w:pPr>
        <w:ind w:left="7189" w:hanging="180"/>
      </w:pPr>
    </w:lvl>
  </w:abstractNum>
  <w:abstractNum w:abstractNumId="192" w15:restartNumberingAfterBreak="0">
    <w:nsid w:val="5341244E"/>
    <w:multiLevelType w:val="multilevel"/>
    <w:tmpl w:val="AE463A06"/>
    <w:lvl w:ilvl="0">
      <w:start w:val="1"/>
      <w:numFmt w:val="lowerLetter"/>
      <w:lvlText w:val="%1)"/>
      <w:lvlJc w:val="left"/>
      <w:pPr>
        <w:tabs>
          <w:tab w:val="num" w:pos="782"/>
        </w:tabs>
        <w:ind w:left="782" w:hanging="357"/>
      </w:pPr>
      <w:rPr>
        <w:rFonts w:ascii="Garamond" w:eastAsia="Garamond" w:hAnsi="Garamond" w:cs="Garamond"/>
        <w:i w:val="0"/>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193" w15:restartNumberingAfterBreak="0">
    <w:nsid w:val="539E0908"/>
    <w:multiLevelType w:val="hybridMultilevel"/>
    <w:tmpl w:val="E348DCDC"/>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94" w15:restartNumberingAfterBreak="0">
    <w:nsid w:val="53A5251F"/>
    <w:multiLevelType w:val="hybridMultilevel"/>
    <w:tmpl w:val="B7FCF622"/>
    <w:lvl w:ilvl="0" w:tplc="04220017">
      <w:start w:val="1"/>
      <w:numFmt w:val="lowerLetter"/>
      <w:lvlText w:val="%1)"/>
      <w:lvlJc w:val="left"/>
      <w:pPr>
        <w:ind w:left="1077" w:hanging="360"/>
      </w:pPr>
      <w:rPr>
        <w:rFonts w:hint="default"/>
      </w:rPr>
    </w:lvl>
    <w:lvl w:ilvl="1" w:tplc="605ADCCE" w:tentative="1">
      <w:start w:val="1"/>
      <w:numFmt w:val="bullet"/>
      <w:lvlText w:val="o"/>
      <w:lvlJc w:val="left"/>
      <w:pPr>
        <w:ind w:left="1797" w:hanging="360"/>
      </w:pPr>
      <w:rPr>
        <w:rFonts w:ascii="Courier New" w:hAnsi="Courier New" w:cs="Courier New" w:hint="default"/>
      </w:rPr>
    </w:lvl>
    <w:lvl w:ilvl="2" w:tplc="8FBA3C3A" w:tentative="1">
      <w:start w:val="1"/>
      <w:numFmt w:val="bullet"/>
      <w:lvlText w:val=""/>
      <w:lvlJc w:val="left"/>
      <w:pPr>
        <w:ind w:left="2517" w:hanging="360"/>
      </w:pPr>
      <w:rPr>
        <w:rFonts w:ascii="Wingdings" w:hAnsi="Wingdings" w:hint="default"/>
      </w:rPr>
    </w:lvl>
    <w:lvl w:ilvl="3" w:tplc="0E3A47B2" w:tentative="1">
      <w:start w:val="1"/>
      <w:numFmt w:val="bullet"/>
      <w:lvlText w:val=""/>
      <w:lvlJc w:val="left"/>
      <w:pPr>
        <w:ind w:left="3237" w:hanging="360"/>
      </w:pPr>
      <w:rPr>
        <w:rFonts w:ascii="Symbol" w:hAnsi="Symbol" w:hint="default"/>
      </w:rPr>
    </w:lvl>
    <w:lvl w:ilvl="4" w:tplc="C78869D2" w:tentative="1">
      <w:start w:val="1"/>
      <w:numFmt w:val="bullet"/>
      <w:lvlText w:val="o"/>
      <w:lvlJc w:val="left"/>
      <w:pPr>
        <w:ind w:left="3957" w:hanging="360"/>
      </w:pPr>
      <w:rPr>
        <w:rFonts w:ascii="Courier New" w:hAnsi="Courier New" w:cs="Courier New" w:hint="default"/>
      </w:rPr>
    </w:lvl>
    <w:lvl w:ilvl="5" w:tplc="1578039A" w:tentative="1">
      <w:start w:val="1"/>
      <w:numFmt w:val="bullet"/>
      <w:lvlText w:val=""/>
      <w:lvlJc w:val="left"/>
      <w:pPr>
        <w:ind w:left="4677" w:hanging="360"/>
      </w:pPr>
      <w:rPr>
        <w:rFonts w:ascii="Wingdings" w:hAnsi="Wingdings" w:hint="default"/>
      </w:rPr>
    </w:lvl>
    <w:lvl w:ilvl="6" w:tplc="81365D3E" w:tentative="1">
      <w:start w:val="1"/>
      <w:numFmt w:val="bullet"/>
      <w:lvlText w:val=""/>
      <w:lvlJc w:val="left"/>
      <w:pPr>
        <w:ind w:left="5397" w:hanging="360"/>
      </w:pPr>
      <w:rPr>
        <w:rFonts w:ascii="Symbol" w:hAnsi="Symbol" w:hint="default"/>
      </w:rPr>
    </w:lvl>
    <w:lvl w:ilvl="7" w:tplc="7DAEED60" w:tentative="1">
      <w:start w:val="1"/>
      <w:numFmt w:val="bullet"/>
      <w:lvlText w:val="o"/>
      <w:lvlJc w:val="left"/>
      <w:pPr>
        <w:ind w:left="6117" w:hanging="360"/>
      </w:pPr>
      <w:rPr>
        <w:rFonts w:ascii="Courier New" w:hAnsi="Courier New" w:cs="Courier New" w:hint="default"/>
      </w:rPr>
    </w:lvl>
    <w:lvl w:ilvl="8" w:tplc="23501D14" w:tentative="1">
      <w:start w:val="1"/>
      <w:numFmt w:val="bullet"/>
      <w:lvlText w:val=""/>
      <w:lvlJc w:val="left"/>
      <w:pPr>
        <w:ind w:left="6837" w:hanging="360"/>
      </w:pPr>
      <w:rPr>
        <w:rFonts w:ascii="Wingdings" w:hAnsi="Wingdings" w:hint="default"/>
      </w:rPr>
    </w:lvl>
  </w:abstractNum>
  <w:abstractNum w:abstractNumId="195" w15:restartNumberingAfterBreak="0">
    <w:nsid w:val="54214088"/>
    <w:multiLevelType w:val="hybridMultilevel"/>
    <w:tmpl w:val="3B521754"/>
    <w:lvl w:ilvl="0" w:tplc="CD0250BA">
      <w:start w:val="1"/>
      <w:numFmt w:val="lowerLetter"/>
      <w:lvlText w:val="%1)"/>
      <w:lvlJc w:val="left"/>
      <w:pPr>
        <w:ind w:left="1429" w:hanging="360"/>
      </w:pPr>
      <w:rPr>
        <w:rFonts w:hint="default"/>
        <w:i w:val="0"/>
      </w:rPr>
    </w:lvl>
    <w:lvl w:ilvl="1" w:tplc="529EED9A" w:tentative="1">
      <w:start w:val="1"/>
      <w:numFmt w:val="lowerLetter"/>
      <w:lvlText w:val="%2."/>
      <w:lvlJc w:val="left"/>
      <w:pPr>
        <w:ind w:left="2149" w:hanging="360"/>
      </w:pPr>
    </w:lvl>
    <w:lvl w:ilvl="2" w:tplc="C4741958" w:tentative="1">
      <w:start w:val="1"/>
      <w:numFmt w:val="lowerRoman"/>
      <w:lvlText w:val="%3."/>
      <w:lvlJc w:val="right"/>
      <w:pPr>
        <w:ind w:left="2869" w:hanging="180"/>
      </w:pPr>
    </w:lvl>
    <w:lvl w:ilvl="3" w:tplc="AE64E3FA" w:tentative="1">
      <w:start w:val="1"/>
      <w:numFmt w:val="decimal"/>
      <w:lvlText w:val="%4."/>
      <w:lvlJc w:val="left"/>
      <w:pPr>
        <w:ind w:left="3589" w:hanging="360"/>
      </w:pPr>
    </w:lvl>
    <w:lvl w:ilvl="4" w:tplc="8EF6FB2A" w:tentative="1">
      <w:start w:val="1"/>
      <w:numFmt w:val="lowerLetter"/>
      <w:lvlText w:val="%5."/>
      <w:lvlJc w:val="left"/>
      <w:pPr>
        <w:ind w:left="4309" w:hanging="360"/>
      </w:pPr>
    </w:lvl>
    <w:lvl w:ilvl="5" w:tplc="13305A8E" w:tentative="1">
      <w:start w:val="1"/>
      <w:numFmt w:val="lowerRoman"/>
      <w:lvlText w:val="%6."/>
      <w:lvlJc w:val="right"/>
      <w:pPr>
        <w:ind w:left="5029" w:hanging="180"/>
      </w:pPr>
    </w:lvl>
    <w:lvl w:ilvl="6" w:tplc="5FD02D80" w:tentative="1">
      <w:start w:val="1"/>
      <w:numFmt w:val="decimal"/>
      <w:lvlText w:val="%7."/>
      <w:lvlJc w:val="left"/>
      <w:pPr>
        <w:ind w:left="5749" w:hanging="360"/>
      </w:pPr>
    </w:lvl>
    <w:lvl w:ilvl="7" w:tplc="E1840F7C" w:tentative="1">
      <w:start w:val="1"/>
      <w:numFmt w:val="lowerLetter"/>
      <w:lvlText w:val="%8."/>
      <w:lvlJc w:val="left"/>
      <w:pPr>
        <w:ind w:left="6469" w:hanging="360"/>
      </w:pPr>
    </w:lvl>
    <w:lvl w:ilvl="8" w:tplc="72EE9E84" w:tentative="1">
      <w:start w:val="1"/>
      <w:numFmt w:val="lowerRoman"/>
      <w:lvlText w:val="%9."/>
      <w:lvlJc w:val="right"/>
      <w:pPr>
        <w:ind w:left="7189" w:hanging="180"/>
      </w:pPr>
    </w:lvl>
  </w:abstractNum>
  <w:abstractNum w:abstractNumId="196" w15:restartNumberingAfterBreak="0">
    <w:nsid w:val="54C12E8E"/>
    <w:multiLevelType w:val="hybridMultilevel"/>
    <w:tmpl w:val="6AE89CE4"/>
    <w:lvl w:ilvl="0" w:tplc="CDB2D7F8">
      <w:start w:val="1"/>
      <w:numFmt w:val="lowerRoman"/>
      <w:lvlText w:val="%1)"/>
      <w:lvlJc w:val="left"/>
      <w:pPr>
        <w:ind w:left="1077" w:hanging="360"/>
      </w:pPr>
      <w:rPr>
        <w:rFonts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97" w15:restartNumberingAfterBreak="0">
    <w:nsid w:val="54D11C63"/>
    <w:multiLevelType w:val="multilevel"/>
    <w:tmpl w:val="7ED05420"/>
    <w:styleLink w:val="21"/>
    <w:lvl w:ilvl="0">
      <w:start w:val="1"/>
      <w:numFmt w:val="decimal"/>
      <w:lvlText w:val="%1)"/>
      <w:lvlJc w:val="left"/>
      <w:rPr>
        <w:position w:val="0"/>
      </w:rPr>
    </w:lvl>
    <w:lvl w:ilvl="1">
      <w:start w:val="1"/>
      <w:numFmt w:val="decimal"/>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98" w15:restartNumberingAfterBreak="0">
    <w:nsid w:val="555A211E"/>
    <w:multiLevelType w:val="hybridMultilevel"/>
    <w:tmpl w:val="F97CB0CE"/>
    <w:lvl w:ilvl="0" w:tplc="82F68DC2">
      <w:start w:val="1"/>
      <w:numFmt w:val="lowerLetter"/>
      <w:lvlText w:val="%1)"/>
      <w:lvlJc w:val="left"/>
      <w:pPr>
        <w:ind w:left="1429" w:hanging="360"/>
      </w:pPr>
      <w:rPr>
        <w:rFonts w:hint="default"/>
      </w:rPr>
    </w:lvl>
    <w:lvl w:ilvl="1" w:tplc="B4CEBF1C" w:tentative="1">
      <w:start w:val="1"/>
      <w:numFmt w:val="lowerLetter"/>
      <w:lvlText w:val="%2."/>
      <w:lvlJc w:val="left"/>
      <w:pPr>
        <w:ind w:left="2149" w:hanging="360"/>
      </w:pPr>
    </w:lvl>
    <w:lvl w:ilvl="2" w:tplc="2F9E070A" w:tentative="1">
      <w:start w:val="1"/>
      <w:numFmt w:val="lowerRoman"/>
      <w:lvlText w:val="%3."/>
      <w:lvlJc w:val="right"/>
      <w:pPr>
        <w:ind w:left="2869" w:hanging="180"/>
      </w:pPr>
    </w:lvl>
    <w:lvl w:ilvl="3" w:tplc="883A7B16" w:tentative="1">
      <w:start w:val="1"/>
      <w:numFmt w:val="decimal"/>
      <w:lvlText w:val="%4."/>
      <w:lvlJc w:val="left"/>
      <w:pPr>
        <w:ind w:left="3589" w:hanging="360"/>
      </w:pPr>
    </w:lvl>
    <w:lvl w:ilvl="4" w:tplc="8A9ABB08" w:tentative="1">
      <w:start w:val="1"/>
      <w:numFmt w:val="lowerLetter"/>
      <w:lvlText w:val="%5."/>
      <w:lvlJc w:val="left"/>
      <w:pPr>
        <w:ind w:left="4309" w:hanging="360"/>
      </w:pPr>
    </w:lvl>
    <w:lvl w:ilvl="5" w:tplc="A364BE26" w:tentative="1">
      <w:start w:val="1"/>
      <w:numFmt w:val="lowerRoman"/>
      <w:lvlText w:val="%6."/>
      <w:lvlJc w:val="right"/>
      <w:pPr>
        <w:ind w:left="5029" w:hanging="180"/>
      </w:pPr>
    </w:lvl>
    <w:lvl w:ilvl="6" w:tplc="4A365D38" w:tentative="1">
      <w:start w:val="1"/>
      <w:numFmt w:val="decimal"/>
      <w:lvlText w:val="%7."/>
      <w:lvlJc w:val="left"/>
      <w:pPr>
        <w:ind w:left="5749" w:hanging="360"/>
      </w:pPr>
    </w:lvl>
    <w:lvl w:ilvl="7" w:tplc="C9708032" w:tentative="1">
      <w:start w:val="1"/>
      <w:numFmt w:val="lowerLetter"/>
      <w:lvlText w:val="%8."/>
      <w:lvlJc w:val="left"/>
      <w:pPr>
        <w:ind w:left="6469" w:hanging="360"/>
      </w:pPr>
    </w:lvl>
    <w:lvl w:ilvl="8" w:tplc="8660A81E" w:tentative="1">
      <w:start w:val="1"/>
      <w:numFmt w:val="lowerRoman"/>
      <w:lvlText w:val="%9."/>
      <w:lvlJc w:val="right"/>
      <w:pPr>
        <w:ind w:left="7189" w:hanging="180"/>
      </w:pPr>
    </w:lvl>
  </w:abstractNum>
  <w:abstractNum w:abstractNumId="199" w15:restartNumberingAfterBreak="0">
    <w:nsid w:val="555C7C1E"/>
    <w:multiLevelType w:val="multilevel"/>
    <w:tmpl w:val="0E287324"/>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200" w15:restartNumberingAfterBreak="0">
    <w:nsid w:val="55741DB7"/>
    <w:multiLevelType w:val="hybridMultilevel"/>
    <w:tmpl w:val="61D2134C"/>
    <w:lvl w:ilvl="0" w:tplc="DFD8DF7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1" w15:restartNumberingAfterBreak="0">
    <w:nsid w:val="557E090D"/>
    <w:multiLevelType w:val="multilevel"/>
    <w:tmpl w:val="D53E3270"/>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202" w15:restartNumberingAfterBreak="0">
    <w:nsid w:val="55D0474B"/>
    <w:multiLevelType w:val="hybridMultilevel"/>
    <w:tmpl w:val="93B64EBE"/>
    <w:lvl w:ilvl="0" w:tplc="4F7489EE">
      <w:start w:val="1"/>
      <w:numFmt w:val="decimal"/>
      <w:lvlText w:val="%1."/>
      <w:lvlJc w:val="left"/>
      <w:pPr>
        <w:ind w:left="720" w:hanging="360"/>
      </w:pPr>
      <w:rPr>
        <w:b w:val="0"/>
        <w:i w:val="0"/>
        <w:color w:val="auto"/>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03" w15:restartNumberingAfterBreak="0">
    <w:nsid w:val="55F5514F"/>
    <w:multiLevelType w:val="multilevel"/>
    <w:tmpl w:val="DBCCB62E"/>
    <w:lvl w:ilvl="0">
      <w:start w:val="1"/>
      <w:numFmt w:val="lowerLetter"/>
      <w:lvlText w:val="%1)"/>
      <w:lvlJc w:val="left"/>
      <w:pPr>
        <w:tabs>
          <w:tab w:val="num" w:pos="794"/>
        </w:tabs>
        <w:ind w:left="794" w:hanging="303"/>
      </w:pPr>
      <w:rPr>
        <w:position w:val="0"/>
        <w:sz w:val="28"/>
        <w:szCs w:val="24"/>
        <w:lang w:val="en-US"/>
      </w:rPr>
    </w:lvl>
    <w:lvl w:ilvl="1">
      <w:start w:val="1"/>
      <w:numFmt w:val="lowerLetter"/>
      <w:lvlText w:val="%2."/>
      <w:lvlJc w:val="left"/>
      <w:pPr>
        <w:tabs>
          <w:tab w:val="num" w:pos="1797"/>
        </w:tabs>
        <w:ind w:left="1797" w:hanging="360"/>
      </w:pPr>
      <w:rPr>
        <w:rFonts w:ascii="Garamond" w:eastAsia="Garamond" w:hAnsi="Garamond" w:cs="Garamond"/>
        <w:position w:val="0"/>
        <w:sz w:val="24"/>
        <w:szCs w:val="24"/>
        <w:lang w:val="en-US"/>
      </w:rPr>
    </w:lvl>
    <w:lvl w:ilvl="2">
      <w:start w:val="1"/>
      <w:numFmt w:val="lowerRoman"/>
      <w:lvlText w:val="%3."/>
      <w:lvlJc w:val="left"/>
      <w:pPr>
        <w:tabs>
          <w:tab w:val="num" w:pos="2517"/>
        </w:tabs>
        <w:ind w:left="2517" w:hanging="296"/>
      </w:pPr>
      <w:rPr>
        <w:rFonts w:ascii="Garamond" w:eastAsia="Garamond" w:hAnsi="Garamond" w:cs="Garamond"/>
        <w:position w:val="0"/>
        <w:sz w:val="24"/>
        <w:szCs w:val="24"/>
        <w:lang w:val="en-US"/>
      </w:rPr>
    </w:lvl>
    <w:lvl w:ilvl="3">
      <w:start w:val="1"/>
      <w:numFmt w:val="decimal"/>
      <w:lvlText w:val="%4."/>
      <w:lvlJc w:val="left"/>
      <w:pPr>
        <w:tabs>
          <w:tab w:val="num" w:pos="3237"/>
        </w:tabs>
        <w:ind w:left="3237" w:hanging="360"/>
      </w:pPr>
      <w:rPr>
        <w:rFonts w:ascii="Garamond" w:eastAsia="Garamond" w:hAnsi="Garamond" w:cs="Garamond"/>
        <w:position w:val="0"/>
        <w:sz w:val="24"/>
        <w:szCs w:val="24"/>
        <w:lang w:val="en-US"/>
      </w:rPr>
    </w:lvl>
    <w:lvl w:ilvl="4">
      <w:start w:val="1"/>
      <w:numFmt w:val="lowerLetter"/>
      <w:lvlText w:val="%5."/>
      <w:lvlJc w:val="left"/>
      <w:pPr>
        <w:tabs>
          <w:tab w:val="num" w:pos="3957"/>
        </w:tabs>
        <w:ind w:left="3957" w:hanging="360"/>
      </w:pPr>
      <w:rPr>
        <w:rFonts w:ascii="Garamond" w:eastAsia="Garamond" w:hAnsi="Garamond" w:cs="Garamond"/>
        <w:position w:val="0"/>
        <w:sz w:val="24"/>
        <w:szCs w:val="24"/>
        <w:lang w:val="en-US"/>
      </w:rPr>
    </w:lvl>
    <w:lvl w:ilvl="5">
      <w:start w:val="1"/>
      <w:numFmt w:val="lowerRoman"/>
      <w:lvlText w:val="%6."/>
      <w:lvlJc w:val="left"/>
      <w:pPr>
        <w:tabs>
          <w:tab w:val="num" w:pos="4677"/>
        </w:tabs>
        <w:ind w:left="4677" w:hanging="296"/>
      </w:pPr>
      <w:rPr>
        <w:rFonts w:ascii="Garamond" w:eastAsia="Garamond" w:hAnsi="Garamond" w:cs="Garamond"/>
        <w:position w:val="0"/>
        <w:sz w:val="24"/>
        <w:szCs w:val="24"/>
        <w:lang w:val="en-US"/>
      </w:rPr>
    </w:lvl>
    <w:lvl w:ilvl="6">
      <w:start w:val="1"/>
      <w:numFmt w:val="decimal"/>
      <w:lvlText w:val="%7."/>
      <w:lvlJc w:val="left"/>
      <w:pPr>
        <w:tabs>
          <w:tab w:val="num" w:pos="5397"/>
        </w:tabs>
        <w:ind w:left="5397" w:hanging="360"/>
      </w:pPr>
      <w:rPr>
        <w:rFonts w:ascii="Garamond" w:eastAsia="Garamond" w:hAnsi="Garamond" w:cs="Garamond"/>
        <w:position w:val="0"/>
        <w:sz w:val="24"/>
        <w:szCs w:val="24"/>
        <w:lang w:val="en-US"/>
      </w:rPr>
    </w:lvl>
    <w:lvl w:ilvl="7">
      <w:start w:val="1"/>
      <w:numFmt w:val="lowerLetter"/>
      <w:lvlText w:val="%8."/>
      <w:lvlJc w:val="left"/>
      <w:pPr>
        <w:tabs>
          <w:tab w:val="num" w:pos="6117"/>
        </w:tabs>
        <w:ind w:left="6117" w:hanging="360"/>
      </w:pPr>
      <w:rPr>
        <w:rFonts w:ascii="Garamond" w:eastAsia="Garamond" w:hAnsi="Garamond" w:cs="Garamond"/>
        <w:position w:val="0"/>
        <w:sz w:val="24"/>
        <w:szCs w:val="24"/>
        <w:lang w:val="en-US"/>
      </w:rPr>
    </w:lvl>
    <w:lvl w:ilvl="8">
      <w:start w:val="1"/>
      <w:numFmt w:val="lowerRoman"/>
      <w:lvlText w:val="%9."/>
      <w:lvlJc w:val="left"/>
      <w:pPr>
        <w:tabs>
          <w:tab w:val="num" w:pos="6837"/>
        </w:tabs>
        <w:ind w:left="6837" w:hanging="296"/>
      </w:pPr>
      <w:rPr>
        <w:rFonts w:ascii="Garamond" w:eastAsia="Garamond" w:hAnsi="Garamond" w:cs="Garamond"/>
        <w:position w:val="0"/>
        <w:sz w:val="24"/>
        <w:szCs w:val="24"/>
        <w:lang w:val="en-US"/>
      </w:rPr>
    </w:lvl>
  </w:abstractNum>
  <w:abstractNum w:abstractNumId="204" w15:restartNumberingAfterBreak="0">
    <w:nsid w:val="560B1D27"/>
    <w:multiLevelType w:val="hybridMultilevel"/>
    <w:tmpl w:val="CE8C5BFE"/>
    <w:lvl w:ilvl="0" w:tplc="7EE82B90">
      <w:start w:val="1"/>
      <w:numFmt w:val="lowerLetter"/>
      <w:lvlText w:val="%1)"/>
      <w:lvlJc w:val="left"/>
      <w:pPr>
        <w:ind w:left="720" w:hanging="360"/>
      </w:pPr>
      <w:rPr>
        <w:rFonts w:hint="default"/>
      </w:rPr>
    </w:lvl>
    <w:lvl w:ilvl="1" w:tplc="9DA2B68A" w:tentative="1">
      <w:start w:val="1"/>
      <w:numFmt w:val="lowerLetter"/>
      <w:lvlText w:val="%2."/>
      <w:lvlJc w:val="left"/>
      <w:pPr>
        <w:ind w:left="1440" w:hanging="360"/>
      </w:pPr>
    </w:lvl>
    <w:lvl w:ilvl="2" w:tplc="5F9C3A2E" w:tentative="1">
      <w:start w:val="1"/>
      <w:numFmt w:val="lowerRoman"/>
      <w:lvlText w:val="%3."/>
      <w:lvlJc w:val="right"/>
      <w:pPr>
        <w:ind w:left="2160" w:hanging="180"/>
      </w:pPr>
    </w:lvl>
    <w:lvl w:ilvl="3" w:tplc="694014DA" w:tentative="1">
      <w:start w:val="1"/>
      <w:numFmt w:val="decimal"/>
      <w:lvlText w:val="%4."/>
      <w:lvlJc w:val="left"/>
      <w:pPr>
        <w:ind w:left="2880" w:hanging="360"/>
      </w:pPr>
    </w:lvl>
    <w:lvl w:ilvl="4" w:tplc="3B50C84E" w:tentative="1">
      <w:start w:val="1"/>
      <w:numFmt w:val="lowerLetter"/>
      <w:lvlText w:val="%5."/>
      <w:lvlJc w:val="left"/>
      <w:pPr>
        <w:ind w:left="3600" w:hanging="360"/>
      </w:pPr>
    </w:lvl>
    <w:lvl w:ilvl="5" w:tplc="F9D60A88" w:tentative="1">
      <w:start w:val="1"/>
      <w:numFmt w:val="lowerRoman"/>
      <w:lvlText w:val="%6."/>
      <w:lvlJc w:val="right"/>
      <w:pPr>
        <w:ind w:left="4320" w:hanging="180"/>
      </w:pPr>
    </w:lvl>
    <w:lvl w:ilvl="6" w:tplc="7B4C7F36" w:tentative="1">
      <w:start w:val="1"/>
      <w:numFmt w:val="decimal"/>
      <w:lvlText w:val="%7."/>
      <w:lvlJc w:val="left"/>
      <w:pPr>
        <w:ind w:left="5040" w:hanging="360"/>
      </w:pPr>
    </w:lvl>
    <w:lvl w:ilvl="7" w:tplc="AC92FA8E" w:tentative="1">
      <w:start w:val="1"/>
      <w:numFmt w:val="lowerLetter"/>
      <w:lvlText w:val="%8."/>
      <w:lvlJc w:val="left"/>
      <w:pPr>
        <w:ind w:left="5760" w:hanging="360"/>
      </w:pPr>
    </w:lvl>
    <w:lvl w:ilvl="8" w:tplc="AAB2ECEA" w:tentative="1">
      <w:start w:val="1"/>
      <w:numFmt w:val="lowerRoman"/>
      <w:lvlText w:val="%9."/>
      <w:lvlJc w:val="right"/>
      <w:pPr>
        <w:ind w:left="6480" w:hanging="180"/>
      </w:pPr>
    </w:lvl>
  </w:abstractNum>
  <w:abstractNum w:abstractNumId="205" w15:restartNumberingAfterBreak="0">
    <w:nsid w:val="57D970D6"/>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206" w15:restartNumberingAfterBreak="0">
    <w:nsid w:val="57DA1EC4"/>
    <w:multiLevelType w:val="hybridMultilevel"/>
    <w:tmpl w:val="DA4C2856"/>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207" w15:restartNumberingAfterBreak="0">
    <w:nsid w:val="5891701B"/>
    <w:multiLevelType w:val="hybridMultilevel"/>
    <w:tmpl w:val="3A3453A4"/>
    <w:lvl w:ilvl="0" w:tplc="16CE2912">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08" w15:restartNumberingAfterBreak="0">
    <w:nsid w:val="59BD6454"/>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09" w15:restartNumberingAfterBreak="0">
    <w:nsid w:val="5A925F21"/>
    <w:multiLevelType w:val="hybridMultilevel"/>
    <w:tmpl w:val="CE04E984"/>
    <w:lvl w:ilvl="0" w:tplc="CDB2D7F8">
      <w:start w:val="1"/>
      <w:numFmt w:val="lowerRoman"/>
      <w:lvlText w:val="%1)"/>
      <w:lvlJc w:val="left"/>
      <w:pPr>
        <w:ind w:left="1077" w:hanging="360"/>
      </w:pPr>
      <w:rPr>
        <w:rFonts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210" w15:restartNumberingAfterBreak="0">
    <w:nsid w:val="5AC63A38"/>
    <w:multiLevelType w:val="hybridMultilevel"/>
    <w:tmpl w:val="7AE2D23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1" w15:restartNumberingAfterBreak="0">
    <w:nsid w:val="5B924382"/>
    <w:multiLevelType w:val="hybridMultilevel"/>
    <w:tmpl w:val="AD2E6804"/>
    <w:lvl w:ilvl="0" w:tplc="1AD47C12">
      <w:start w:val="1"/>
      <w:numFmt w:val="lowerLetter"/>
      <w:lvlText w:val="%1)"/>
      <w:lvlJc w:val="left"/>
      <w:pPr>
        <w:ind w:left="1429" w:hanging="360"/>
      </w:pPr>
      <w:rPr>
        <w:rFonts w:ascii="Garamond" w:hAnsi="Garamond" w:hint="default"/>
      </w:rPr>
    </w:lvl>
    <w:lvl w:ilvl="1" w:tplc="466ABDB4" w:tentative="1">
      <w:start w:val="1"/>
      <w:numFmt w:val="lowerLetter"/>
      <w:lvlText w:val="%2."/>
      <w:lvlJc w:val="left"/>
      <w:pPr>
        <w:ind w:left="2149" w:hanging="360"/>
      </w:pPr>
    </w:lvl>
    <w:lvl w:ilvl="2" w:tplc="4BFC6284" w:tentative="1">
      <w:start w:val="1"/>
      <w:numFmt w:val="lowerRoman"/>
      <w:lvlText w:val="%3."/>
      <w:lvlJc w:val="right"/>
      <w:pPr>
        <w:ind w:left="2869" w:hanging="180"/>
      </w:pPr>
    </w:lvl>
    <w:lvl w:ilvl="3" w:tplc="F0D4785C" w:tentative="1">
      <w:start w:val="1"/>
      <w:numFmt w:val="decimal"/>
      <w:lvlText w:val="%4."/>
      <w:lvlJc w:val="left"/>
      <w:pPr>
        <w:ind w:left="3589" w:hanging="360"/>
      </w:pPr>
    </w:lvl>
    <w:lvl w:ilvl="4" w:tplc="E56ACBA6" w:tentative="1">
      <w:start w:val="1"/>
      <w:numFmt w:val="lowerLetter"/>
      <w:lvlText w:val="%5."/>
      <w:lvlJc w:val="left"/>
      <w:pPr>
        <w:ind w:left="4309" w:hanging="360"/>
      </w:pPr>
    </w:lvl>
    <w:lvl w:ilvl="5" w:tplc="5CBE7B1E" w:tentative="1">
      <w:start w:val="1"/>
      <w:numFmt w:val="lowerRoman"/>
      <w:lvlText w:val="%6."/>
      <w:lvlJc w:val="right"/>
      <w:pPr>
        <w:ind w:left="5029" w:hanging="180"/>
      </w:pPr>
    </w:lvl>
    <w:lvl w:ilvl="6" w:tplc="B3845CDC" w:tentative="1">
      <w:start w:val="1"/>
      <w:numFmt w:val="decimal"/>
      <w:lvlText w:val="%7."/>
      <w:lvlJc w:val="left"/>
      <w:pPr>
        <w:ind w:left="5749" w:hanging="360"/>
      </w:pPr>
    </w:lvl>
    <w:lvl w:ilvl="7" w:tplc="F6A249AA" w:tentative="1">
      <w:start w:val="1"/>
      <w:numFmt w:val="lowerLetter"/>
      <w:lvlText w:val="%8."/>
      <w:lvlJc w:val="left"/>
      <w:pPr>
        <w:ind w:left="6469" w:hanging="360"/>
      </w:pPr>
    </w:lvl>
    <w:lvl w:ilvl="8" w:tplc="688E6BBA" w:tentative="1">
      <w:start w:val="1"/>
      <w:numFmt w:val="lowerRoman"/>
      <w:lvlText w:val="%9."/>
      <w:lvlJc w:val="right"/>
      <w:pPr>
        <w:ind w:left="7189" w:hanging="180"/>
      </w:pPr>
    </w:lvl>
  </w:abstractNum>
  <w:abstractNum w:abstractNumId="212" w15:restartNumberingAfterBreak="0">
    <w:nsid w:val="5C6674FD"/>
    <w:multiLevelType w:val="hybridMultilevel"/>
    <w:tmpl w:val="48C4FAB6"/>
    <w:lvl w:ilvl="0" w:tplc="1C4E3114">
      <w:start w:val="1"/>
      <w:numFmt w:val="decimal"/>
      <w:lvlText w:val="%1."/>
      <w:lvlJc w:val="left"/>
      <w:pPr>
        <w:ind w:left="717" w:hanging="360"/>
      </w:pPr>
      <w:rPr>
        <w:rFonts w:hint="default"/>
      </w:r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213" w15:restartNumberingAfterBreak="0">
    <w:nsid w:val="5D9D1D35"/>
    <w:multiLevelType w:val="multilevel"/>
    <w:tmpl w:val="7E2CF336"/>
    <w:lvl w:ilvl="0">
      <w:start w:val="1"/>
      <w:numFmt w:val="decimal"/>
      <w:lvlText w:val="%1."/>
      <w:lvlJc w:val="left"/>
      <w:pPr>
        <w:tabs>
          <w:tab w:val="num" w:pos="788"/>
        </w:tabs>
        <w:ind w:left="788" w:hanging="360"/>
      </w:pPr>
      <w:rPr>
        <w:rFonts w:hint="default"/>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14" w15:restartNumberingAfterBreak="0">
    <w:nsid w:val="5DF411E7"/>
    <w:multiLevelType w:val="hybridMultilevel"/>
    <w:tmpl w:val="753C025A"/>
    <w:lvl w:ilvl="0" w:tplc="1A408BF8">
      <w:start w:val="1"/>
      <w:numFmt w:val="decimal"/>
      <w:lvlText w:val="%1."/>
      <w:lvlJc w:val="left"/>
      <w:pPr>
        <w:ind w:left="1070" w:hanging="360"/>
      </w:pPr>
      <w:rPr>
        <w:rFonts w:hint="default"/>
      </w:rPr>
    </w:lvl>
    <w:lvl w:ilvl="1" w:tplc="21C2516C">
      <w:start w:val="1"/>
      <w:numFmt w:val="decimal"/>
      <w:lvlText w:val="%2)"/>
      <w:lvlJc w:val="left"/>
      <w:pPr>
        <w:ind w:left="1440" w:hanging="360"/>
      </w:pPr>
      <w:rPr>
        <w:rFonts w:hint="default"/>
      </w:rPr>
    </w:lvl>
    <w:lvl w:ilvl="2" w:tplc="14CC167C" w:tentative="1">
      <w:start w:val="1"/>
      <w:numFmt w:val="lowerRoman"/>
      <w:lvlText w:val="%3."/>
      <w:lvlJc w:val="right"/>
      <w:pPr>
        <w:ind w:left="2160" w:hanging="180"/>
      </w:pPr>
    </w:lvl>
    <w:lvl w:ilvl="3" w:tplc="D004B7BC" w:tentative="1">
      <w:start w:val="1"/>
      <w:numFmt w:val="decimal"/>
      <w:lvlText w:val="%4."/>
      <w:lvlJc w:val="left"/>
      <w:pPr>
        <w:ind w:left="2880" w:hanging="360"/>
      </w:pPr>
    </w:lvl>
    <w:lvl w:ilvl="4" w:tplc="28860B74" w:tentative="1">
      <w:start w:val="1"/>
      <w:numFmt w:val="lowerLetter"/>
      <w:lvlText w:val="%5."/>
      <w:lvlJc w:val="left"/>
      <w:pPr>
        <w:ind w:left="3600" w:hanging="360"/>
      </w:pPr>
    </w:lvl>
    <w:lvl w:ilvl="5" w:tplc="B73ACD70" w:tentative="1">
      <w:start w:val="1"/>
      <w:numFmt w:val="lowerRoman"/>
      <w:lvlText w:val="%6."/>
      <w:lvlJc w:val="right"/>
      <w:pPr>
        <w:ind w:left="4320" w:hanging="180"/>
      </w:pPr>
    </w:lvl>
    <w:lvl w:ilvl="6" w:tplc="C2945BA8" w:tentative="1">
      <w:start w:val="1"/>
      <w:numFmt w:val="decimal"/>
      <w:lvlText w:val="%7."/>
      <w:lvlJc w:val="left"/>
      <w:pPr>
        <w:ind w:left="5040" w:hanging="360"/>
      </w:pPr>
    </w:lvl>
    <w:lvl w:ilvl="7" w:tplc="9EA0CEB6" w:tentative="1">
      <w:start w:val="1"/>
      <w:numFmt w:val="lowerLetter"/>
      <w:lvlText w:val="%8."/>
      <w:lvlJc w:val="left"/>
      <w:pPr>
        <w:ind w:left="5760" w:hanging="360"/>
      </w:pPr>
    </w:lvl>
    <w:lvl w:ilvl="8" w:tplc="B5DA193C" w:tentative="1">
      <w:start w:val="1"/>
      <w:numFmt w:val="lowerRoman"/>
      <w:lvlText w:val="%9."/>
      <w:lvlJc w:val="right"/>
      <w:pPr>
        <w:ind w:left="6480" w:hanging="180"/>
      </w:pPr>
    </w:lvl>
  </w:abstractNum>
  <w:abstractNum w:abstractNumId="215" w15:restartNumberingAfterBreak="0">
    <w:nsid w:val="5E8E4B1F"/>
    <w:multiLevelType w:val="multilevel"/>
    <w:tmpl w:val="CC509866"/>
    <w:lvl w:ilvl="0">
      <w:start w:val="1"/>
      <w:numFmt w:val="decimal"/>
      <w:lvlText w:val="%1."/>
      <w:lvlJc w:val="left"/>
      <w:pPr>
        <w:tabs>
          <w:tab w:val="num" w:pos="210"/>
        </w:tabs>
        <w:ind w:left="210" w:hanging="210"/>
      </w:pPr>
      <w:rPr>
        <w:rFonts w:ascii="Garamond" w:eastAsia="Garamond" w:hAnsi="Garamond" w:cs="Garamond"/>
        <w:position w:val="0"/>
        <w:sz w:val="28"/>
        <w:szCs w:val="24"/>
        <w:lang w:val="en-US"/>
      </w:rPr>
    </w:lvl>
    <w:lvl w:ilvl="1">
      <w:start w:val="1"/>
      <w:numFmt w:val="lowerLetter"/>
      <w:lvlText w:val="%2."/>
      <w:lvlJc w:val="left"/>
      <w:pPr>
        <w:tabs>
          <w:tab w:val="num" w:pos="1440"/>
        </w:tabs>
        <w:ind w:left="1440" w:hanging="360"/>
      </w:pPr>
      <w:rPr>
        <w:rFonts w:ascii="Garamond" w:eastAsia="Garamond" w:hAnsi="Garamond" w:cs="Garamond"/>
        <w:position w:val="0"/>
        <w:sz w:val="24"/>
        <w:szCs w:val="24"/>
        <w:lang w:val="en-US"/>
      </w:rPr>
    </w:lvl>
    <w:lvl w:ilvl="2">
      <w:start w:val="1"/>
      <w:numFmt w:val="lowerRoman"/>
      <w:lvlText w:val="%3."/>
      <w:lvlJc w:val="left"/>
      <w:pPr>
        <w:tabs>
          <w:tab w:val="num" w:pos="2160"/>
        </w:tabs>
        <w:ind w:left="2160" w:hanging="296"/>
      </w:pPr>
      <w:rPr>
        <w:rFonts w:ascii="Garamond" w:eastAsia="Garamond" w:hAnsi="Garamond" w:cs="Garamond"/>
        <w:position w:val="0"/>
        <w:sz w:val="24"/>
        <w:szCs w:val="24"/>
        <w:lang w:val="en-US"/>
      </w:rPr>
    </w:lvl>
    <w:lvl w:ilvl="3">
      <w:start w:val="1"/>
      <w:numFmt w:val="decimal"/>
      <w:lvlText w:val="%4."/>
      <w:lvlJc w:val="left"/>
      <w:pPr>
        <w:tabs>
          <w:tab w:val="num" w:pos="2880"/>
        </w:tabs>
        <w:ind w:left="2880" w:hanging="360"/>
      </w:pPr>
      <w:rPr>
        <w:rFonts w:ascii="Garamond" w:eastAsia="Garamond" w:hAnsi="Garamond" w:cs="Garamond"/>
        <w:position w:val="0"/>
        <w:sz w:val="24"/>
        <w:szCs w:val="24"/>
        <w:lang w:val="en-US"/>
      </w:rPr>
    </w:lvl>
    <w:lvl w:ilvl="4">
      <w:start w:val="1"/>
      <w:numFmt w:val="lowerLetter"/>
      <w:lvlText w:val="%5."/>
      <w:lvlJc w:val="left"/>
      <w:pPr>
        <w:tabs>
          <w:tab w:val="num" w:pos="3600"/>
        </w:tabs>
        <w:ind w:left="3600" w:hanging="360"/>
      </w:pPr>
      <w:rPr>
        <w:rFonts w:ascii="Garamond" w:eastAsia="Garamond" w:hAnsi="Garamond" w:cs="Garamond"/>
        <w:position w:val="0"/>
        <w:sz w:val="24"/>
        <w:szCs w:val="24"/>
        <w:lang w:val="en-US"/>
      </w:rPr>
    </w:lvl>
    <w:lvl w:ilvl="5">
      <w:start w:val="1"/>
      <w:numFmt w:val="lowerRoman"/>
      <w:lvlText w:val="%6."/>
      <w:lvlJc w:val="left"/>
      <w:pPr>
        <w:tabs>
          <w:tab w:val="num" w:pos="4320"/>
        </w:tabs>
        <w:ind w:left="4320" w:hanging="296"/>
      </w:pPr>
      <w:rPr>
        <w:rFonts w:ascii="Garamond" w:eastAsia="Garamond" w:hAnsi="Garamond" w:cs="Garamond"/>
        <w:position w:val="0"/>
        <w:sz w:val="24"/>
        <w:szCs w:val="24"/>
        <w:lang w:val="en-US"/>
      </w:rPr>
    </w:lvl>
    <w:lvl w:ilvl="6">
      <w:start w:val="1"/>
      <w:numFmt w:val="decimal"/>
      <w:lvlText w:val="%7."/>
      <w:lvlJc w:val="left"/>
      <w:pPr>
        <w:tabs>
          <w:tab w:val="num" w:pos="5040"/>
        </w:tabs>
        <w:ind w:left="5040" w:hanging="360"/>
      </w:pPr>
      <w:rPr>
        <w:rFonts w:ascii="Garamond" w:eastAsia="Garamond" w:hAnsi="Garamond" w:cs="Garamond"/>
        <w:position w:val="0"/>
        <w:sz w:val="24"/>
        <w:szCs w:val="24"/>
        <w:lang w:val="en-US"/>
      </w:rPr>
    </w:lvl>
    <w:lvl w:ilvl="7">
      <w:start w:val="1"/>
      <w:numFmt w:val="lowerLetter"/>
      <w:lvlText w:val="%8."/>
      <w:lvlJc w:val="left"/>
      <w:pPr>
        <w:tabs>
          <w:tab w:val="num" w:pos="5760"/>
        </w:tabs>
        <w:ind w:left="5760" w:hanging="360"/>
      </w:pPr>
      <w:rPr>
        <w:rFonts w:ascii="Garamond" w:eastAsia="Garamond" w:hAnsi="Garamond" w:cs="Garamond"/>
        <w:position w:val="0"/>
        <w:sz w:val="24"/>
        <w:szCs w:val="24"/>
        <w:lang w:val="en-US"/>
      </w:rPr>
    </w:lvl>
    <w:lvl w:ilvl="8">
      <w:start w:val="1"/>
      <w:numFmt w:val="lowerRoman"/>
      <w:lvlText w:val="%9."/>
      <w:lvlJc w:val="left"/>
      <w:pPr>
        <w:tabs>
          <w:tab w:val="num" w:pos="6480"/>
        </w:tabs>
        <w:ind w:left="6480" w:hanging="296"/>
      </w:pPr>
      <w:rPr>
        <w:rFonts w:ascii="Garamond" w:eastAsia="Garamond" w:hAnsi="Garamond" w:cs="Garamond"/>
        <w:position w:val="0"/>
        <w:sz w:val="24"/>
        <w:szCs w:val="24"/>
        <w:lang w:val="en-US"/>
      </w:rPr>
    </w:lvl>
  </w:abstractNum>
  <w:abstractNum w:abstractNumId="216" w15:restartNumberingAfterBreak="0">
    <w:nsid w:val="5F0C0A0D"/>
    <w:multiLevelType w:val="hybridMultilevel"/>
    <w:tmpl w:val="C0FC193C"/>
    <w:lvl w:ilvl="0" w:tplc="0034027A">
      <w:start w:val="1"/>
      <w:numFmt w:val="lowerLetter"/>
      <w:lvlText w:val="%1)"/>
      <w:lvlJc w:val="left"/>
      <w:pPr>
        <w:ind w:left="720" w:hanging="360"/>
      </w:pPr>
      <w:rPr>
        <w:rFonts w:hint="default"/>
      </w:rPr>
    </w:lvl>
    <w:lvl w:ilvl="1" w:tplc="7DBAE75A" w:tentative="1">
      <w:start w:val="1"/>
      <w:numFmt w:val="lowerLetter"/>
      <w:lvlText w:val="%2."/>
      <w:lvlJc w:val="left"/>
      <w:pPr>
        <w:ind w:left="1440" w:hanging="360"/>
      </w:pPr>
    </w:lvl>
    <w:lvl w:ilvl="2" w:tplc="2E62AF42" w:tentative="1">
      <w:start w:val="1"/>
      <w:numFmt w:val="lowerRoman"/>
      <w:lvlText w:val="%3."/>
      <w:lvlJc w:val="right"/>
      <w:pPr>
        <w:ind w:left="2160" w:hanging="180"/>
      </w:pPr>
    </w:lvl>
    <w:lvl w:ilvl="3" w:tplc="EAB00FC2" w:tentative="1">
      <w:start w:val="1"/>
      <w:numFmt w:val="decimal"/>
      <w:lvlText w:val="%4."/>
      <w:lvlJc w:val="left"/>
      <w:pPr>
        <w:ind w:left="2880" w:hanging="360"/>
      </w:pPr>
    </w:lvl>
    <w:lvl w:ilvl="4" w:tplc="FC72378A" w:tentative="1">
      <w:start w:val="1"/>
      <w:numFmt w:val="lowerLetter"/>
      <w:lvlText w:val="%5."/>
      <w:lvlJc w:val="left"/>
      <w:pPr>
        <w:ind w:left="3600" w:hanging="360"/>
      </w:pPr>
    </w:lvl>
    <w:lvl w:ilvl="5" w:tplc="F37444DA" w:tentative="1">
      <w:start w:val="1"/>
      <w:numFmt w:val="lowerRoman"/>
      <w:lvlText w:val="%6."/>
      <w:lvlJc w:val="right"/>
      <w:pPr>
        <w:ind w:left="4320" w:hanging="180"/>
      </w:pPr>
    </w:lvl>
    <w:lvl w:ilvl="6" w:tplc="DE424A52" w:tentative="1">
      <w:start w:val="1"/>
      <w:numFmt w:val="decimal"/>
      <w:lvlText w:val="%7."/>
      <w:lvlJc w:val="left"/>
      <w:pPr>
        <w:ind w:left="5040" w:hanging="360"/>
      </w:pPr>
    </w:lvl>
    <w:lvl w:ilvl="7" w:tplc="83166628" w:tentative="1">
      <w:start w:val="1"/>
      <w:numFmt w:val="lowerLetter"/>
      <w:lvlText w:val="%8."/>
      <w:lvlJc w:val="left"/>
      <w:pPr>
        <w:ind w:left="5760" w:hanging="360"/>
      </w:pPr>
    </w:lvl>
    <w:lvl w:ilvl="8" w:tplc="72968928" w:tentative="1">
      <w:start w:val="1"/>
      <w:numFmt w:val="lowerRoman"/>
      <w:lvlText w:val="%9."/>
      <w:lvlJc w:val="right"/>
      <w:pPr>
        <w:ind w:left="6480" w:hanging="180"/>
      </w:pPr>
    </w:lvl>
  </w:abstractNum>
  <w:abstractNum w:abstractNumId="217" w15:restartNumberingAfterBreak="0">
    <w:nsid w:val="5F307F22"/>
    <w:multiLevelType w:val="multilevel"/>
    <w:tmpl w:val="D53E3270"/>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218" w15:restartNumberingAfterBreak="0">
    <w:nsid w:val="61892302"/>
    <w:multiLevelType w:val="hybridMultilevel"/>
    <w:tmpl w:val="744AC836"/>
    <w:lvl w:ilvl="0" w:tplc="0422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9" w15:restartNumberingAfterBreak="0">
    <w:nsid w:val="619B3417"/>
    <w:multiLevelType w:val="hybridMultilevel"/>
    <w:tmpl w:val="E348DCDC"/>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220" w15:restartNumberingAfterBreak="0">
    <w:nsid w:val="620407A8"/>
    <w:multiLevelType w:val="hybridMultilevel"/>
    <w:tmpl w:val="D0E0A020"/>
    <w:lvl w:ilvl="0" w:tplc="04220017">
      <w:start w:val="1"/>
      <w:numFmt w:val="low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1" w15:restartNumberingAfterBreak="0">
    <w:nsid w:val="64223FAF"/>
    <w:multiLevelType w:val="hybridMultilevel"/>
    <w:tmpl w:val="6C683DB4"/>
    <w:lvl w:ilvl="0" w:tplc="7004D22A">
      <w:start w:val="1"/>
      <w:numFmt w:val="lowerLetter"/>
      <w:lvlText w:val="%1)"/>
      <w:lvlJc w:val="left"/>
      <w:pPr>
        <w:ind w:left="1080" w:hanging="360"/>
      </w:pPr>
      <w:rPr>
        <w:rFonts w:ascii="Garamond" w:hAnsi="Garamond" w:hint="default"/>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2" w15:restartNumberingAfterBreak="0">
    <w:nsid w:val="645718EC"/>
    <w:multiLevelType w:val="multilevel"/>
    <w:tmpl w:val="9E7ED4DA"/>
    <w:lvl w:ilvl="0">
      <w:start w:val="1"/>
      <w:numFmt w:val="decimal"/>
      <w:lvlText w:val="%1."/>
      <w:lvlJc w:val="left"/>
      <w:pPr>
        <w:tabs>
          <w:tab w:val="num" w:pos="210"/>
        </w:tabs>
        <w:ind w:left="210" w:hanging="210"/>
      </w:pPr>
      <w:rPr>
        <w:position w:val="0"/>
        <w:sz w:val="28"/>
        <w:szCs w:val="24"/>
        <w:lang w:val="en-US"/>
      </w:rPr>
    </w:lvl>
    <w:lvl w:ilvl="1">
      <w:start w:val="1"/>
      <w:numFmt w:val="lowerLetter"/>
      <w:lvlText w:val="%2."/>
      <w:lvlJc w:val="left"/>
      <w:pPr>
        <w:tabs>
          <w:tab w:val="num" w:pos="1440"/>
        </w:tabs>
        <w:ind w:left="1440" w:hanging="360"/>
      </w:pPr>
      <w:rPr>
        <w:rFonts w:ascii="Garamond" w:eastAsia="Garamond" w:hAnsi="Garamond" w:cs="Garamond"/>
        <w:position w:val="0"/>
        <w:sz w:val="24"/>
        <w:szCs w:val="24"/>
        <w:lang w:val="en-US"/>
      </w:rPr>
    </w:lvl>
    <w:lvl w:ilvl="2">
      <w:start w:val="1"/>
      <w:numFmt w:val="lowerRoman"/>
      <w:lvlText w:val="%3."/>
      <w:lvlJc w:val="left"/>
      <w:pPr>
        <w:tabs>
          <w:tab w:val="num" w:pos="2160"/>
        </w:tabs>
        <w:ind w:left="2160" w:hanging="296"/>
      </w:pPr>
      <w:rPr>
        <w:rFonts w:ascii="Garamond" w:eastAsia="Garamond" w:hAnsi="Garamond" w:cs="Garamond"/>
        <w:position w:val="0"/>
        <w:sz w:val="24"/>
        <w:szCs w:val="24"/>
        <w:lang w:val="en-US"/>
      </w:rPr>
    </w:lvl>
    <w:lvl w:ilvl="3">
      <w:start w:val="1"/>
      <w:numFmt w:val="decimal"/>
      <w:lvlText w:val="%4."/>
      <w:lvlJc w:val="left"/>
      <w:pPr>
        <w:tabs>
          <w:tab w:val="num" w:pos="2880"/>
        </w:tabs>
        <w:ind w:left="2880" w:hanging="360"/>
      </w:pPr>
      <w:rPr>
        <w:rFonts w:ascii="Garamond" w:eastAsia="Garamond" w:hAnsi="Garamond" w:cs="Garamond"/>
        <w:position w:val="0"/>
        <w:sz w:val="24"/>
        <w:szCs w:val="24"/>
        <w:lang w:val="en-US"/>
      </w:rPr>
    </w:lvl>
    <w:lvl w:ilvl="4">
      <w:start w:val="1"/>
      <w:numFmt w:val="lowerLetter"/>
      <w:lvlText w:val="%5."/>
      <w:lvlJc w:val="left"/>
      <w:pPr>
        <w:tabs>
          <w:tab w:val="num" w:pos="3600"/>
        </w:tabs>
        <w:ind w:left="3600" w:hanging="360"/>
      </w:pPr>
      <w:rPr>
        <w:rFonts w:ascii="Garamond" w:eastAsia="Garamond" w:hAnsi="Garamond" w:cs="Garamond"/>
        <w:position w:val="0"/>
        <w:sz w:val="24"/>
        <w:szCs w:val="24"/>
        <w:lang w:val="en-US"/>
      </w:rPr>
    </w:lvl>
    <w:lvl w:ilvl="5">
      <w:start w:val="1"/>
      <w:numFmt w:val="lowerRoman"/>
      <w:lvlText w:val="%6."/>
      <w:lvlJc w:val="left"/>
      <w:pPr>
        <w:tabs>
          <w:tab w:val="num" w:pos="4320"/>
        </w:tabs>
        <w:ind w:left="4320" w:hanging="296"/>
      </w:pPr>
      <w:rPr>
        <w:rFonts w:ascii="Garamond" w:eastAsia="Garamond" w:hAnsi="Garamond" w:cs="Garamond"/>
        <w:position w:val="0"/>
        <w:sz w:val="24"/>
        <w:szCs w:val="24"/>
        <w:lang w:val="en-US"/>
      </w:rPr>
    </w:lvl>
    <w:lvl w:ilvl="6">
      <w:start w:val="1"/>
      <w:numFmt w:val="decimal"/>
      <w:lvlText w:val="%7."/>
      <w:lvlJc w:val="left"/>
      <w:pPr>
        <w:tabs>
          <w:tab w:val="num" w:pos="5040"/>
        </w:tabs>
        <w:ind w:left="5040" w:hanging="360"/>
      </w:pPr>
      <w:rPr>
        <w:rFonts w:ascii="Garamond" w:eastAsia="Garamond" w:hAnsi="Garamond" w:cs="Garamond"/>
        <w:position w:val="0"/>
        <w:sz w:val="24"/>
        <w:szCs w:val="24"/>
        <w:lang w:val="en-US"/>
      </w:rPr>
    </w:lvl>
    <w:lvl w:ilvl="7">
      <w:start w:val="1"/>
      <w:numFmt w:val="lowerLetter"/>
      <w:lvlText w:val="%8."/>
      <w:lvlJc w:val="left"/>
      <w:pPr>
        <w:tabs>
          <w:tab w:val="num" w:pos="5760"/>
        </w:tabs>
        <w:ind w:left="5760" w:hanging="360"/>
      </w:pPr>
      <w:rPr>
        <w:rFonts w:ascii="Garamond" w:eastAsia="Garamond" w:hAnsi="Garamond" w:cs="Garamond"/>
        <w:position w:val="0"/>
        <w:sz w:val="24"/>
        <w:szCs w:val="24"/>
        <w:lang w:val="en-US"/>
      </w:rPr>
    </w:lvl>
    <w:lvl w:ilvl="8">
      <w:start w:val="1"/>
      <w:numFmt w:val="lowerRoman"/>
      <w:lvlText w:val="%9."/>
      <w:lvlJc w:val="left"/>
      <w:pPr>
        <w:tabs>
          <w:tab w:val="num" w:pos="6480"/>
        </w:tabs>
        <w:ind w:left="6480" w:hanging="296"/>
      </w:pPr>
      <w:rPr>
        <w:rFonts w:ascii="Garamond" w:eastAsia="Garamond" w:hAnsi="Garamond" w:cs="Garamond"/>
        <w:position w:val="0"/>
        <w:sz w:val="24"/>
        <w:szCs w:val="24"/>
        <w:lang w:val="en-US"/>
      </w:rPr>
    </w:lvl>
  </w:abstractNum>
  <w:abstractNum w:abstractNumId="223" w15:restartNumberingAfterBreak="0">
    <w:nsid w:val="652E6302"/>
    <w:multiLevelType w:val="multilevel"/>
    <w:tmpl w:val="489AB6E8"/>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24" w15:restartNumberingAfterBreak="0">
    <w:nsid w:val="663C51BE"/>
    <w:multiLevelType w:val="hybridMultilevel"/>
    <w:tmpl w:val="E6BA0F28"/>
    <w:lvl w:ilvl="0" w:tplc="845053D8">
      <w:start w:val="1"/>
      <w:numFmt w:val="lowerLetter"/>
      <w:lvlText w:val="%1)"/>
      <w:lvlJc w:val="left"/>
      <w:pPr>
        <w:ind w:left="1429" w:hanging="360"/>
      </w:pPr>
      <w:rPr>
        <w:rFonts w:ascii="Garamond" w:hAnsi="Garamond" w:hint="default"/>
      </w:rPr>
    </w:lvl>
    <w:lvl w:ilvl="1" w:tplc="DFE056C8" w:tentative="1">
      <w:start w:val="1"/>
      <w:numFmt w:val="lowerLetter"/>
      <w:lvlText w:val="%2."/>
      <w:lvlJc w:val="left"/>
      <w:pPr>
        <w:ind w:left="2149" w:hanging="360"/>
      </w:pPr>
    </w:lvl>
    <w:lvl w:ilvl="2" w:tplc="8A041C22" w:tentative="1">
      <w:start w:val="1"/>
      <w:numFmt w:val="lowerRoman"/>
      <w:lvlText w:val="%3."/>
      <w:lvlJc w:val="right"/>
      <w:pPr>
        <w:ind w:left="2869" w:hanging="180"/>
      </w:pPr>
    </w:lvl>
    <w:lvl w:ilvl="3" w:tplc="CB32BFBE" w:tentative="1">
      <w:start w:val="1"/>
      <w:numFmt w:val="decimal"/>
      <w:lvlText w:val="%4."/>
      <w:lvlJc w:val="left"/>
      <w:pPr>
        <w:ind w:left="3589" w:hanging="360"/>
      </w:pPr>
    </w:lvl>
    <w:lvl w:ilvl="4" w:tplc="96E69D68" w:tentative="1">
      <w:start w:val="1"/>
      <w:numFmt w:val="lowerLetter"/>
      <w:lvlText w:val="%5."/>
      <w:lvlJc w:val="left"/>
      <w:pPr>
        <w:ind w:left="4309" w:hanging="360"/>
      </w:pPr>
    </w:lvl>
    <w:lvl w:ilvl="5" w:tplc="48FEB232" w:tentative="1">
      <w:start w:val="1"/>
      <w:numFmt w:val="lowerRoman"/>
      <w:lvlText w:val="%6."/>
      <w:lvlJc w:val="right"/>
      <w:pPr>
        <w:ind w:left="5029" w:hanging="180"/>
      </w:pPr>
    </w:lvl>
    <w:lvl w:ilvl="6" w:tplc="9F12F1CE" w:tentative="1">
      <w:start w:val="1"/>
      <w:numFmt w:val="decimal"/>
      <w:lvlText w:val="%7."/>
      <w:lvlJc w:val="left"/>
      <w:pPr>
        <w:ind w:left="5749" w:hanging="360"/>
      </w:pPr>
    </w:lvl>
    <w:lvl w:ilvl="7" w:tplc="FA680434" w:tentative="1">
      <w:start w:val="1"/>
      <w:numFmt w:val="lowerLetter"/>
      <w:lvlText w:val="%8."/>
      <w:lvlJc w:val="left"/>
      <w:pPr>
        <w:ind w:left="6469" w:hanging="360"/>
      </w:pPr>
    </w:lvl>
    <w:lvl w:ilvl="8" w:tplc="7FC4DF6E" w:tentative="1">
      <w:start w:val="1"/>
      <w:numFmt w:val="lowerRoman"/>
      <w:lvlText w:val="%9."/>
      <w:lvlJc w:val="right"/>
      <w:pPr>
        <w:ind w:left="7189" w:hanging="180"/>
      </w:pPr>
    </w:lvl>
  </w:abstractNum>
  <w:abstractNum w:abstractNumId="225" w15:restartNumberingAfterBreak="0">
    <w:nsid w:val="667868E0"/>
    <w:multiLevelType w:val="multilevel"/>
    <w:tmpl w:val="0730FC9A"/>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26" w15:restartNumberingAfterBreak="0">
    <w:nsid w:val="66953728"/>
    <w:multiLevelType w:val="multilevel"/>
    <w:tmpl w:val="3A0075B4"/>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27" w15:restartNumberingAfterBreak="0">
    <w:nsid w:val="66DF44D4"/>
    <w:multiLevelType w:val="hybridMultilevel"/>
    <w:tmpl w:val="8A0A0188"/>
    <w:lvl w:ilvl="0" w:tplc="08ECC72E">
      <w:start w:val="1"/>
      <w:numFmt w:val="lowerLetter"/>
      <w:lvlText w:val="%1)"/>
      <w:lvlJc w:val="left"/>
      <w:pPr>
        <w:ind w:left="1077" w:hanging="360"/>
      </w:pPr>
      <w:rPr>
        <w:rFonts w:hint="default"/>
      </w:rPr>
    </w:lvl>
    <w:lvl w:ilvl="1" w:tplc="A588FFD6" w:tentative="1">
      <w:start w:val="1"/>
      <w:numFmt w:val="lowerLetter"/>
      <w:lvlText w:val="%2."/>
      <w:lvlJc w:val="left"/>
      <w:pPr>
        <w:ind w:left="1797" w:hanging="360"/>
      </w:pPr>
    </w:lvl>
    <w:lvl w:ilvl="2" w:tplc="6E144C9A" w:tentative="1">
      <w:start w:val="1"/>
      <w:numFmt w:val="lowerRoman"/>
      <w:lvlText w:val="%3."/>
      <w:lvlJc w:val="right"/>
      <w:pPr>
        <w:ind w:left="2517" w:hanging="180"/>
      </w:pPr>
    </w:lvl>
    <w:lvl w:ilvl="3" w:tplc="009A8DA8" w:tentative="1">
      <w:start w:val="1"/>
      <w:numFmt w:val="decimal"/>
      <w:lvlText w:val="%4."/>
      <w:lvlJc w:val="left"/>
      <w:pPr>
        <w:ind w:left="3237" w:hanging="360"/>
      </w:pPr>
    </w:lvl>
    <w:lvl w:ilvl="4" w:tplc="008A118C" w:tentative="1">
      <w:start w:val="1"/>
      <w:numFmt w:val="lowerLetter"/>
      <w:lvlText w:val="%5."/>
      <w:lvlJc w:val="left"/>
      <w:pPr>
        <w:ind w:left="3957" w:hanging="360"/>
      </w:pPr>
    </w:lvl>
    <w:lvl w:ilvl="5" w:tplc="9A04209C" w:tentative="1">
      <w:start w:val="1"/>
      <w:numFmt w:val="lowerRoman"/>
      <w:lvlText w:val="%6."/>
      <w:lvlJc w:val="right"/>
      <w:pPr>
        <w:ind w:left="4677" w:hanging="180"/>
      </w:pPr>
    </w:lvl>
    <w:lvl w:ilvl="6" w:tplc="448E9236" w:tentative="1">
      <w:start w:val="1"/>
      <w:numFmt w:val="decimal"/>
      <w:lvlText w:val="%7."/>
      <w:lvlJc w:val="left"/>
      <w:pPr>
        <w:ind w:left="5397" w:hanging="360"/>
      </w:pPr>
    </w:lvl>
    <w:lvl w:ilvl="7" w:tplc="C3F064A8" w:tentative="1">
      <w:start w:val="1"/>
      <w:numFmt w:val="lowerLetter"/>
      <w:lvlText w:val="%8."/>
      <w:lvlJc w:val="left"/>
      <w:pPr>
        <w:ind w:left="6117" w:hanging="360"/>
      </w:pPr>
    </w:lvl>
    <w:lvl w:ilvl="8" w:tplc="1D62A15E" w:tentative="1">
      <w:start w:val="1"/>
      <w:numFmt w:val="lowerRoman"/>
      <w:lvlText w:val="%9."/>
      <w:lvlJc w:val="right"/>
      <w:pPr>
        <w:ind w:left="6837" w:hanging="180"/>
      </w:pPr>
    </w:lvl>
  </w:abstractNum>
  <w:abstractNum w:abstractNumId="228" w15:restartNumberingAfterBreak="0">
    <w:nsid w:val="680E3844"/>
    <w:multiLevelType w:val="hybridMultilevel"/>
    <w:tmpl w:val="93D83E10"/>
    <w:lvl w:ilvl="0" w:tplc="0422000F">
      <w:start w:val="1"/>
      <w:numFmt w:val="decimal"/>
      <w:lvlText w:val="%1."/>
      <w:lvlJc w:val="left"/>
      <w:pPr>
        <w:ind w:left="720" w:hanging="360"/>
      </w:pPr>
    </w:lvl>
    <w:lvl w:ilvl="1" w:tplc="6A9A1B2E">
      <w:start w:val="5"/>
      <w:numFmt w:val="bullet"/>
      <w:lvlText w:val="-"/>
      <w:lvlJc w:val="left"/>
      <w:pPr>
        <w:ind w:left="1440" w:hanging="360"/>
      </w:pPr>
      <w:rPr>
        <w:rFonts w:ascii="Garamond" w:eastAsia="Times New Roman" w:hAnsi="Garamond" w:cs="Garamond"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9" w15:restartNumberingAfterBreak="0">
    <w:nsid w:val="6873630D"/>
    <w:multiLevelType w:val="hybridMultilevel"/>
    <w:tmpl w:val="13065548"/>
    <w:lvl w:ilvl="0" w:tplc="CDB2D7F8">
      <w:start w:val="1"/>
      <w:numFmt w:val="lowerRoman"/>
      <w:lvlText w:val="%1)"/>
      <w:lvlJc w:val="left"/>
      <w:pPr>
        <w:ind w:left="717" w:hanging="360"/>
      </w:pPr>
      <w:rPr>
        <w:rFonts w:hint="default"/>
        <w:b/>
        <w:i w:val="0"/>
      </w:rPr>
    </w:lvl>
    <w:lvl w:ilvl="1" w:tplc="355A0928" w:tentative="1">
      <w:start w:val="1"/>
      <w:numFmt w:val="lowerLetter"/>
      <w:lvlText w:val="%2."/>
      <w:lvlJc w:val="left"/>
      <w:pPr>
        <w:ind w:left="1437" w:hanging="360"/>
      </w:pPr>
    </w:lvl>
    <w:lvl w:ilvl="2" w:tplc="A9AA811C" w:tentative="1">
      <w:start w:val="1"/>
      <w:numFmt w:val="lowerRoman"/>
      <w:lvlText w:val="%3."/>
      <w:lvlJc w:val="right"/>
      <w:pPr>
        <w:ind w:left="2157" w:hanging="180"/>
      </w:pPr>
    </w:lvl>
    <w:lvl w:ilvl="3" w:tplc="9C3ACDE8" w:tentative="1">
      <w:start w:val="1"/>
      <w:numFmt w:val="decimal"/>
      <w:lvlText w:val="%4."/>
      <w:lvlJc w:val="left"/>
      <w:pPr>
        <w:ind w:left="2877" w:hanging="360"/>
      </w:pPr>
    </w:lvl>
    <w:lvl w:ilvl="4" w:tplc="C6E6E4A2" w:tentative="1">
      <w:start w:val="1"/>
      <w:numFmt w:val="lowerLetter"/>
      <w:lvlText w:val="%5."/>
      <w:lvlJc w:val="left"/>
      <w:pPr>
        <w:ind w:left="3597" w:hanging="360"/>
      </w:pPr>
    </w:lvl>
    <w:lvl w:ilvl="5" w:tplc="9A4E46F2" w:tentative="1">
      <w:start w:val="1"/>
      <w:numFmt w:val="lowerRoman"/>
      <w:lvlText w:val="%6."/>
      <w:lvlJc w:val="right"/>
      <w:pPr>
        <w:ind w:left="4317" w:hanging="180"/>
      </w:pPr>
    </w:lvl>
    <w:lvl w:ilvl="6" w:tplc="055CE39E" w:tentative="1">
      <w:start w:val="1"/>
      <w:numFmt w:val="decimal"/>
      <w:lvlText w:val="%7."/>
      <w:lvlJc w:val="left"/>
      <w:pPr>
        <w:ind w:left="5037" w:hanging="360"/>
      </w:pPr>
    </w:lvl>
    <w:lvl w:ilvl="7" w:tplc="CB422550" w:tentative="1">
      <w:start w:val="1"/>
      <w:numFmt w:val="lowerLetter"/>
      <w:lvlText w:val="%8."/>
      <w:lvlJc w:val="left"/>
      <w:pPr>
        <w:ind w:left="5757" w:hanging="360"/>
      </w:pPr>
    </w:lvl>
    <w:lvl w:ilvl="8" w:tplc="D018A0F8" w:tentative="1">
      <w:start w:val="1"/>
      <w:numFmt w:val="lowerRoman"/>
      <w:lvlText w:val="%9."/>
      <w:lvlJc w:val="right"/>
      <w:pPr>
        <w:ind w:left="6477" w:hanging="180"/>
      </w:pPr>
    </w:lvl>
  </w:abstractNum>
  <w:abstractNum w:abstractNumId="230" w15:restartNumberingAfterBreak="0">
    <w:nsid w:val="68E72529"/>
    <w:multiLevelType w:val="hybridMultilevel"/>
    <w:tmpl w:val="C0FC193C"/>
    <w:lvl w:ilvl="0" w:tplc="FDF2B01C">
      <w:start w:val="1"/>
      <w:numFmt w:val="lowerLetter"/>
      <w:lvlText w:val="%1)"/>
      <w:lvlJc w:val="left"/>
      <w:pPr>
        <w:ind w:left="720" w:hanging="360"/>
      </w:pPr>
      <w:rPr>
        <w:rFonts w:hint="default"/>
      </w:rPr>
    </w:lvl>
    <w:lvl w:ilvl="1" w:tplc="B106C8C6" w:tentative="1">
      <w:start w:val="1"/>
      <w:numFmt w:val="lowerLetter"/>
      <w:lvlText w:val="%2."/>
      <w:lvlJc w:val="left"/>
      <w:pPr>
        <w:ind w:left="1440" w:hanging="360"/>
      </w:pPr>
    </w:lvl>
    <w:lvl w:ilvl="2" w:tplc="F608246A" w:tentative="1">
      <w:start w:val="1"/>
      <w:numFmt w:val="lowerRoman"/>
      <w:lvlText w:val="%3."/>
      <w:lvlJc w:val="right"/>
      <w:pPr>
        <w:ind w:left="2160" w:hanging="180"/>
      </w:pPr>
    </w:lvl>
    <w:lvl w:ilvl="3" w:tplc="47A4C508" w:tentative="1">
      <w:start w:val="1"/>
      <w:numFmt w:val="decimal"/>
      <w:lvlText w:val="%4."/>
      <w:lvlJc w:val="left"/>
      <w:pPr>
        <w:ind w:left="2880" w:hanging="360"/>
      </w:pPr>
    </w:lvl>
    <w:lvl w:ilvl="4" w:tplc="4CF6E426" w:tentative="1">
      <w:start w:val="1"/>
      <w:numFmt w:val="lowerLetter"/>
      <w:lvlText w:val="%5."/>
      <w:lvlJc w:val="left"/>
      <w:pPr>
        <w:ind w:left="3600" w:hanging="360"/>
      </w:pPr>
    </w:lvl>
    <w:lvl w:ilvl="5" w:tplc="0D30357A" w:tentative="1">
      <w:start w:val="1"/>
      <w:numFmt w:val="lowerRoman"/>
      <w:lvlText w:val="%6."/>
      <w:lvlJc w:val="right"/>
      <w:pPr>
        <w:ind w:left="4320" w:hanging="180"/>
      </w:pPr>
    </w:lvl>
    <w:lvl w:ilvl="6" w:tplc="0374F56E" w:tentative="1">
      <w:start w:val="1"/>
      <w:numFmt w:val="decimal"/>
      <w:lvlText w:val="%7."/>
      <w:lvlJc w:val="left"/>
      <w:pPr>
        <w:ind w:left="5040" w:hanging="360"/>
      </w:pPr>
    </w:lvl>
    <w:lvl w:ilvl="7" w:tplc="0E7C04C6" w:tentative="1">
      <w:start w:val="1"/>
      <w:numFmt w:val="lowerLetter"/>
      <w:lvlText w:val="%8."/>
      <w:lvlJc w:val="left"/>
      <w:pPr>
        <w:ind w:left="5760" w:hanging="360"/>
      </w:pPr>
    </w:lvl>
    <w:lvl w:ilvl="8" w:tplc="63CAD380" w:tentative="1">
      <w:start w:val="1"/>
      <w:numFmt w:val="lowerRoman"/>
      <w:lvlText w:val="%9."/>
      <w:lvlJc w:val="right"/>
      <w:pPr>
        <w:ind w:left="6480" w:hanging="180"/>
      </w:pPr>
    </w:lvl>
  </w:abstractNum>
  <w:abstractNum w:abstractNumId="231" w15:restartNumberingAfterBreak="0">
    <w:nsid w:val="69E377FE"/>
    <w:multiLevelType w:val="hybridMultilevel"/>
    <w:tmpl w:val="33A82EEA"/>
    <w:lvl w:ilvl="0" w:tplc="0422000F">
      <w:start w:val="1"/>
      <w:numFmt w:val="decimal"/>
      <w:lvlText w:val="%1."/>
      <w:lvlJc w:val="left"/>
      <w:pPr>
        <w:ind w:left="644" w:hanging="360"/>
      </w:p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32" w15:restartNumberingAfterBreak="0">
    <w:nsid w:val="6B0452AE"/>
    <w:multiLevelType w:val="hybridMultilevel"/>
    <w:tmpl w:val="41585188"/>
    <w:lvl w:ilvl="0" w:tplc="5E6CE54A">
      <w:start w:val="1"/>
      <w:numFmt w:val="lowerLett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3" w15:restartNumberingAfterBreak="0">
    <w:nsid w:val="6B584D70"/>
    <w:multiLevelType w:val="hybridMultilevel"/>
    <w:tmpl w:val="EA1E0718"/>
    <w:lvl w:ilvl="0" w:tplc="0422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4" w15:restartNumberingAfterBreak="0">
    <w:nsid w:val="6C4D21AD"/>
    <w:multiLevelType w:val="hybridMultilevel"/>
    <w:tmpl w:val="F97CB0CE"/>
    <w:lvl w:ilvl="0" w:tplc="3DA8E788">
      <w:start w:val="1"/>
      <w:numFmt w:val="lowerLetter"/>
      <w:lvlText w:val="%1)"/>
      <w:lvlJc w:val="left"/>
      <w:pPr>
        <w:ind w:left="1429" w:hanging="360"/>
      </w:pPr>
      <w:rPr>
        <w:rFonts w:hint="default"/>
      </w:rPr>
    </w:lvl>
    <w:lvl w:ilvl="1" w:tplc="D182EE38" w:tentative="1">
      <w:start w:val="1"/>
      <w:numFmt w:val="lowerLetter"/>
      <w:lvlText w:val="%2."/>
      <w:lvlJc w:val="left"/>
      <w:pPr>
        <w:ind w:left="2149" w:hanging="360"/>
      </w:pPr>
    </w:lvl>
    <w:lvl w:ilvl="2" w:tplc="744604B8" w:tentative="1">
      <w:start w:val="1"/>
      <w:numFmt w:val="lowerRoman"/>
      <w:lvlText w:val="%3."/>
      <w:lvlJc w:val="right"/>
      <w:pPr>
        <w:ind w:left="2869" w:hanging="180"/>
      </w:pPr>
    </w:lvl>
    <w:lvl w:ilvl="3" w:tplc="72E2DD84" w:tentative="1">
      <w:start w:val="1"/>
      <w:numFmt w:val="decimal"/>
      <w:lvlText w:val="%4."/>
      <w:lvlJc w:val="left"/>
      <w:pPr>
        <w:ind w:left="3589" w:hanging="360"/>
      </w:pPr>
    </w:lvl>
    <w:lvl w:ilvl="4" w:tplc="D2D49E88" w:tentative="1">
      <w:start w:val="1"/>
      <w:numFmt w:val="lowerLetter"/>
      <w:lvlText w:val="%5."/>
      <w:lvlJc w:val="left"/>
      <w:pPr>
        <w:ind w:left="4309" w:hanging="360"/>
      </w:pPr>
    </w:lvl>
    <w:lvl w:ilvl="5" w:tplc="3C60994E" w:tentative="1">
      <w:start w:val="1"/>
      <w:numFmt w:val="lowerRoman"/>
      <w:lvlText w:val="%6."/>
      <w:lvlJc w:val="right"/>
      <w:pPr>
        <w:ind w:left="5029" w:hanging="180"/>
      </w:pPr>
    </w:lvl>
    <w:lvl w:ilvl="6" w:tplc="ECB0CCAA" w:tentative="1">
      <w:start w:val="1"/>
      <w:numFmt w:val="decimal"/>
      <w:lvlText w:val="%7."/>
      <w:lvlJc w:val="left"/>
      <w:pPr>
        <w:ind w:left="5749" w:hanging="360"/>
      </w:pPr>
    </w:lvl>
    <w:lvl w:ilvl="7" w:tplc="4E5EC522" w:tentative="1">
      <w:start w:val="1"/>
      <w:numFmt w:val="lowerLetter"/>
      <w:lvlText w:val="%8."/>
      <w:lvlJc w:val="left"/>
      <w:pPr>
        <w:ind w:left="6469" w:hanging="360"/>
      </w:pPr>
    </w:lvl>
    <w:lvl w:ilvl="8" w:tplc="5862001A" w:tentative="1">
      <w:start w:val="1"/>
      <w:numFmt w:val="lowerRoman"/>
      <w:lvlText w:val="%9."/>
      <w:lvlJc w:val="right"/>
      <w:pPr>
        <w:ind w:left="7189" w:hanging="180"/>
      </w:pPr>
    </w:lvl>
  </w:abstractNum>
  <w:abstractNum w:abstractNumId="235" w15:restartNumberingAfterBreak="0">
    <w:nsid w:val="6C7515B5"/>
    <w:multiLevelType w:val="hybridMultilevel"/>
    <w:tmpl w:val="CE04E984"/>
    <w:lvl w:ilvl="0" w:tplc="CDB2D7F8">
      <w:start w:val="1"/>
      <w:numFmt w:val="lowerRoman"/>
      <w:lvlText w:val="%1)"/>
      <w:lvlJc w:val="left"/>
      <w:pPr>
        <w:ind w:left="1077" w:hanging="360"/>
      </w:pPr>
      <w:rPr>
        <w:rFonts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236" w15:restartNumberingAfterBreak="0">
    <w:nsid w:val="6C971F47"/>
    <w:multiLevelType w:val="multilevel"/>
    <w:tmpl w:val="83AC058E"/>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37" w15:restartNumberingAfterBreak="0">
    <w:nsid w:val="6DFB13CA"/>
    <w:multiLevelType w:val="multilevel"/>
    <w:tmpl w:val="898674B4"/>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38" w15:restartNumberingAfterBreak="0">
    <w:nsid w:val="6E631959"/>
    <w:multiLevelType w:val="hybridMultilevel"/>
    <w:tmpl w:val="1EEE13A6"/>
    <w:lvl w:ilvl="0" w:tplc="DFD8DF7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9" w15:restartNumberingAfterBreak="0">
    <w:nsid w:val="6F4D1AB2"/>
    <w:multiLevelType w:val="hybridMultilevel"/>
    <w:tmpl w:val="8A0A0188"/>
    <w:lvl w:ilvl="0" w:tplc="A5CAE10A">
      <w:start w:val="1"/>
      <w:numFmt w:val="lowerLetter"/>
      <w:lvlText w:val="%1)"/>
      <w:lvlJc w:val="left"/>
      <w:pPr>
        <w:ind w:left="1077" w:hanging="360"/>
      </w:pPr>
      <w:rPr>
        <w:rFonts w:hint="default"/>
      </w:rPr>
    </w:lvl>
    <w:lvl w:ilvl="1" w:tplc="C79E6E1C" w:tentative="1">
      <w:start w:val="1"/>
      <w:numFmt w:val="lowerLetter"/>
      <w:lvlText w:val="%2."/>
      <w:lvlJc w:val="left"/>
      <w:pPr>
        <w:ind w:left="1797" w:hanging="360"/>
      </w:pPr>
    </w:lvl>
    <w:lvl w:ilvl="2" w:tplc="B404B09A" w:tentative="1">
      <w:start w:val="1"/>
      <w:numFmt w:val="lowerRoman"/>
      <w:lvlText w:val="%3."/>
      <w:lvlJc w:val="right"/>
      <w:pPr>
        <w:ind w:left="2517" w:hanging="180"/>
      </w:pPr>
    </w:lvl>
    <w:lvl w:ilvl="3" w:tplc="B6CC480E" w:tentative="1">
      <w:start w:val="1"/>
      <w:numFmt w:val="decimal"/>
      <w:lvlText w:val="%4."/>
      <w:lvlJc w:val="left"/>
      <w:pPr>
        <w:ind w:left="3237" w:hanging="360"/>
      </w:pPr>
    </w:lvl>
    <w:lvl w:ilvl="4" w:tplc="CB14365E" w:tentative="1">
      <w:start w:val="1"/>
      <w:numFmt w:val="lowerLetter"/>
      <w:lvlText w:val="%5."/>
      <w:lvlJc w:val="left"/>
      <w:pPr>
        <w:ind w:left="3957" w:hanging="360"/>
      </w:pPr>
    </w:lvl>
    <w:lvl w:ilvl="5" w:tplc="11CAE32A" w:tentative="1">
      <w:start w:val="1"/>
      <w:numFmt w:val="lowerRoman"/>
      <w:lvlText w:val="%6."/>
      <w:lvlJc w:val="right"/>
      <w:pPr>
        <w:ind w:left="4677" w:hanging="180"/>
      </w:pPr>
    </w:lvl>
    <w:lvl w:ilvl="6" w:tplc="3DD22BBC" w:tentative="1">
      <w:start w:val="1"/>
      <w:numFmt w:val="decimal"/>
      <w:lvlText w:val="%7."/>
      <w:lvlJc w:val="left"/>
      <w:pPr>
        <w:ind w:left="5397" w:hanging="360"/>
      </w:pPr>
    </w:lvl>
    <w:lvl w:ilvl="7" w:tplc="290AB78C" w:tentative="1">
      <w:start w:val="1"/>
      <w:numFmt w:val="lowerLetter"/>
      <w:lvlText w:val="%8."/>
      <w:lvlJc w:val="left"/>
      <w:pPr>
        <w:ind w:left="6117" w:hanging="360"/>
      </w:pPr>
    </w:lvl>
    <w:lvl w:ilvl="8" w:tplc="168C7B3E" w:tentative="1">
      <w:start w:val="1"/>
      <w:numFmt w:val="lowerRoman"/>
      <w:lvlText w:val="%9."/>
      <w:lvlJc w:val="right"/>
      <w:pPr>
        <w:ind w:left="6837" w:hanging="180"/>
      </w:pPr>
    </w:lvl>
  </w:abstractNum>
  <w:abstractNum w:abstractNumId="240" w15:restartNumberingAfterBreak="0">
    <w:nsid w:val="702769A6"/>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1" w15:restartNumberingAfterBreak="0">
    <w:nsid w:val="70357AC2"/>
    <w:multiLevelType w:val="multilevel"/>
    <w:tmpl w:val="8AE02D86"/>
    <w:lvl w:ilvl="0">
      <w:start w:val="1"/>
      <w:numFmt w:val="lowerLetter"/>
      <w:lvlText w:val="%1)"/>
      <w:lvlJc w:val="left"/>
      <w:pPr>
        <w:tabs>
          <w:tab w:val="num" w:pos="788"/>
        </w:tabs>
        <w:ind w:left="788" w:hanging="360"/>
      </w:pPr>
      <w:rPr>
        <w:rFonts w:ascii="Garamond" w:eastAsia="Garamond" w:hAnsi="Garamond" w:cs="Garamond"/>
        <w:b w:val="0"/>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42" w15:restartNumberingAfterBreak="0">
    <w:nsid w:val="70A662A0"/>
    <w:multiLevelType w:val="hybridMultilevel"/>
    <w:tmpl w:val="C3D0834E"/>
    <w:lvl w:ilvl="0" w:tplc="0F84BAE0">
      <w:start w:val="1"/>
      <w:numFmt w:val="bullet"/>
      <w:lvlText w:val="–"/>
      <w:lvlJc w:val="left"/>
      <w:pPr>
        <w:ind w:left="720" w:hanging="360"/>
      </w:pPr>
      <w:rPr>
        <w:rFonts w:ascii="Times New Roman" w:hAnsi="Times New Roman" w:cs="Times New Roman" w:hint="default"/>
      </w:rPr>
    </w:lvl>
    <w:lvl w:ilvl="1" w:tplc="AE3255D6" w:tentative="1">
      <w:start w:val="1"/>
      <w:numFmt w:val="bullet"/>
      <w:lvlText w:val="o"/>
      <w:lvlJc w:val="left"/>
      <w:pPr>
        <w:ind w:left="1440" w:hanging="360"/>
      </w:pPr>
      <w:rPr>
        <w:rFonts w:ascii="Courier New" w:hAnsi="Courier New" w:cs="Courier New" w:hint="default"/>
      </w:rPr>
    </w:lvl>
    <w:lvl w:ilvl="2" w:tplc="88B85F18" w:tentative="1">
      <w:start w:val="1"/>
      <w:numFmt w:val="bullet"/>
      <w:lvlText w:val=""/>
      <w:lvlJc w:val="left"/>
      <w:pPr>
        <w:ind w:left="2160" w:hanging="360"/>
      </w:pPr>
      <w:rPr>
        <w:rFonts w:ascii="Wingdings" w:hAnsi="Wingdings" w:hint="default"/>
      </w:rPr>
    </w:lvl>
    <w:lvl w:ilvl="3" w:tplc="847630C0" w:tentative="1">
      <w:start w:val="1"/>
      <w:numFmt w:val="bullet"/>
      <w:lvlText w:val=""/>
      <w:lvlJc w:val="left"/>
      <w:pPr>
        <w:ind w:left="2880" w:hanging="360"/>
      </w:pPr>
      <w:rPr>
        <w:rFonts w:ascii="Symbol" w:hAnsi="Symbol" w:hint="default"/>
      </w:rPr>
    </w:lvl>
    <w:lvl w:ilvl="4" w:tplc="B7863904" w:tentative="1">
      <w:start w:val="1"/>
      <w:numFmt w:val="bullet"/>
      <w:lvlText w:val="o"/>
      <w:lvlJc w:val="left"/>
      <w:pPr>
        <w:ind w:left="3600" w:hanging="360"/>
      </w:pPr>
      <w:rPr>
        <w:rFonts w:ascii="Courier New" w:hAnsi="Courier New" w:cs="Courier New" w:hint="default"/>
      </w:rPr>
    </w:lvl>
    <w:lvl w:ilvl="5" w:tplc="D390C064" w:tentative="1">
      <w:start w:val="1"/>
      <w:numFmt w:val="bullet"/>
      <w:lvlText w:val=""/>
      <w:lvlJc w:val="left"/>
      <w:pPr>
        <w:ind w:left="4320" w:hanging="360"/>
      </w:pPr>
      <w:rPr>
        <w:rFonts w:ascii="Wingdings" w:hAnsi="Wingdings" w:hint="default"/>
      </w:rPr>
    </w:lvl>
    <w:lvl w:ilvl="6" w:tplc="6CD48F2A" w:tentative="1">
      <w:start w:val="1"/>
      <w:numFmt w:val="bullet"/>
      <w:lvlText w:val=""/>
      <w:lvlJc w:val="left"/>
      <w:pPr>
        <w:ind w:left="5040" w:hanging="360"/>
      </w:pPr>
      <w:rPr>
        <w:rFonts w:ascii="Symbol" w:hAnsi="Symbol" w:hint="default"/>
      </w:rPr>
    </w:lvl>
    <w:lvl w:ilvl="7" w:tplc="BE460E86" w:tentative="1">
      <w:start w:val="1"/>
      <w:numFmt w:val="bullet"/>
      <w:lvlText w:val="o"/>
      <w:lvlJc w:val="left"/>
      <w:pPr>
        <w:ind w:left="5760" w:hanging="360"/>
      </w:pPr>
      <w:rPr>
        <w:rFonts w:ascii="Courier New" w:hAnsi="Courier New" w:cs="Courier New" w:hint="default"/>
      </w:rPr>
    </w:lvl>
    <w:lvl w:ilvl="8" w:tplc="78803DE6" w:tentative="1">
      <w:start w:val="1"/>
      <w:numFmt w:val="bullet"/>
      <w:lvlText w:val=""/>
      <w:lvlJc w:val="left"/>
      <w:pPr>
        <w:ind w:left="6480" w:hanging="360"/>
      </w:pPr>
      <w:rPr>
        <w:rFonts w:ascii="Wingdings" w:hAnsi="Wingdings" w:hint="default"/>
      </w:rPr>
    </w:lvl>
  </w:abstractNum>
  <w:abstractNum w:abstractNumId="243" w15:restartNumberingAfterBreak="0">
    <w:nsid w:val="71466949"/>
    <w:multiLevelType w:val="hybridMultilevel"/>
    <w:tmpl w:val="753C025A"/>
    <w:lvl w:ilvl="0" w:tplc="1A408BF8">
      <w:start w:val="1"/>
      <w:numFmt w:val="decimal"/>
      <w:lvlText w:val="%1."/>
      <w:lvlJc w:val="left"/>
      <w:pPr>
        <w:ind w:left="1070" w:hanging="360"/>
      </w:pPr>
      <w:rPr>
        <w:rFonts w:hint="default"/>
      </w:rPr>
    </w:lvl>
    <w:lvl w:ilvl="1" w:tplc="21C2516C">
      <w:start w:val="1"/>
      <w:numFmt w:val="decimal"/>
      <w:lvlText w:val="%2)"/>
      <w:lvlJc w:val="left"/>
      <w:pPr>
        <w:ind w:left="1440" w:hanging="360"/>
      </w:pPr>
      <w:rPr>
        <w:rFonts w:hint="default"/>
      </w:rPr>
    </w:lvl>
    <w:lvl w:ilvl="2" w:tplc="14CC167C" w:tentative="1">
      <w:start w:val="1"/>
      <w:numFmt w:val="lowerRoman"/>
      <w:lvlText w:val="%3."/>
      <w:lvlJc w:val="right"/>
      <w:pPr>
        <w:ind w:left="2160" w:hanging="180"/>
      </w:pPr>
    </w:lvl>
    <w:lvl w:ilvl="3" w:tplc="D004B7BC" w:tentative="1">
      <w:start w:val="1"/>
      <w:numFmt w:val="decimal"/>
      <w:lvlText w:val="%4."/>
      <w:lvlJc w:val="left"/>
      <w:pPr>
        <w:ind w:left="2880" w:hanging="360"/>
      </w:pPr>
    </w:lvl>
    <w:lvl w:ilvl="4" w:tplc="28860B74" w:tentative="1">
      <w:start w:val="1"/>
      <w:numFmt w:val="lowerLetter"/>
      <w:lvlText w:val="%5."/>
      <w:lvlJc w:val="left"/>
      <w:pPr>
        <w:ind w:left="3600" w:hanging="360"/>
      </w:pPr>
    </w:lvl>
    <w:lvl w:ilvl="5" w:tplc="B73ACD70" w:tentative="1">
      <w:start w:val="1"/>
      <w:numFmt w:val="lowerRoman"/>
      <w:lvlText w:val="%6."/>
      <w:lvlJc w:val="right"/>
      <w:pPr>
        <w:ind w:left="4320" w:hanging="180"/>
      </w:pPr>
    </w:lvl>
    <w:lvl w:ilvl="6" w:tplc="C2945BA8" w:tentative="1">
      <w:start w:val="1"/>
      <w:numFmt w:val="decimal"/>
      <w:lvlText w:val="%7."/>
      <w:lvlJc w:val="left"/>
      <w:pPr>
        <w:ind w:left="5040" w:hanging="360"/>
      </w:pPr>
    </w:lvl>
    <w:lvl w:ilvl="7" w:tplc="9EA0CEB6" w:tentative="1">
      <w:start w:val="1"/>
      <w:numFmt w:val="lowerLetter"/>
      <w:lvlText w:val="%8."/>
      <w:lvlJc w:val="left"/>
      <w:pPr>
        <w:ind w:left="5760" w:hanging="360"/>
      </w:pPr>
    </w:lvl>
    <w:lvl w:ilvl="8" w:tplc="B5DA193C" w:tentative="1">
      <w:start w:val="1"/>
      <w:numFmt w:val="lowerRoman"/>
      <w:lvlText w:val="%9."/>
      <w:lvlJc w:val="right"/>
      <w:pPr>
        <w:ind w:left="6480" w:hanging="180"/>
      </w:pPr>
    </w:lvl>
  </w:abstractNum>
  <w:abstractNum w:abstractNumId="244" w15:restartNumberingAfterBreak="0">
    <w:nsid w:val="71701699"/>
    <w:multiLevelType w:val="multilevel"/>
    <w:tmpl w:val="5E5A2AB4"/>
    <w:numStyleLink w:val="eng123"/>
  </w:abstractNum>
  <w:abstractNum w:abstractNumId="245" w15:restartNumberingAfterBreak="0">
    <w:nsid w:val="71801955"/>
    <w:multiLevelType w:val="multilevel"/>
    <w:tmpl w:val="01D4A2BE"/>
    <w:styleLink w:val="20"/>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246" w15:restartNumberingAfterBreak="0">
    <w:nsid w:val="72FD16F5"/>
    <w:multiLevelType w:val="hybridMultilevel"/>
    <w:tmpl w:val="6C683DB4"/>
    <w:lvl w:ilvl="0" w:tplc="7004D22A">
      <w:start w:val="1"/>
      <w:numFmt w:val="lowerLetter"/>
      <w:lvlText w:val="%1)"/>
      <w:lvlJc w:val="left"/>
      <w:pPr>
        <w:ind w:left="1080" w:hanging="360"/>
      </w:pPr>
      <w:rPr>
        <w:rFonts w:ascii="Garamond" w:hAnsi="Garamond" w:hint="default"/>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7" w15:restartNumberingAfterBreak="0">
    <w:nsid w:val="73FF5AE6"/>
    <w:multiLevelType w:val="multilevel"/>
    <w:tmpl w:val="DFB855C2"/>
    <w:styleLink w:val="9"/>
    <w:lvl w:ilvl="0">
      <w:numFmt w:val="bullet"/>
      <w:lvlText w:val="–"/>
      <w:lvlJc w:val="left"/>
      <w:pPr>
        <w:tabs>
          <w:tab w:val="num" w:pos="851"/>
        </w:tabs>
        <w:ind w:left="851" w:hanging="360"/>
      </w:pPr>
      <w:rPr>
        <w:rFonts w:ascii="Garamond" w:eastAsia="Garamond" w:hAnsi="Garamond" w:cs="Garamond"/>
        <w:position w:val="0"/>
        <w:sz w:val="22"/>
        <w:szCs w:val="22"/>
        <w:lang w:val="en-US"/>
      </w:rPr>
    </w:lvl>
    <w:lvl w:ilvl="1">
      <w:start w:val="1"/>
      <w:numFmt w:val="bullet"/>
      <w:lvlText w:val="o"/>
      <w:lvlJc w:val="left"/>
      <w:pPr>
        <w:tabs>
          <w:tab w:val="num" w:pos="1797"/>
        </w:tabs>
        <w:ind w:left="1797" w:hanging="360"/>
      </w:pPr>
      <w:rPr>
        <w:rFonts w:ascii="Garamond" w:eastAsia="Garamond" w:hAnsi="Garamond" w:cs="Garamond"/>
        <w:position w:val="0"/>
        <w:sz w:val="24"/>
        <w:szCs w:val="24"/>
        <w:lang w:val="en-US"/>
      </w:rPr>
    </w:lvl>
    <w:lvl w:ilvl="2">
      <w:start w:val="1"/>
      <w:numFmt w:val="bullet"/>
      <w:lvlText w:val="▪"/>
      <w:lvlJc w:val="left"/>
      <w:pPr>
        <w:tabs>
          <w:tab w:val="num" w:pos="2517"/>
        </w:tabs>
        <w:ind w:left="2517" w:hanging="360"/>
      </w:pPr>
      <w:rPr>
        <w:rFonts w:ascii="Garamond" w:eastAsia="Garamond" w:hAnsi="Garamond" w:cs="Garamond"/>
        <w:position w:val="0"/>
        <w:sz w:val="24"/>
        <w:szCs w:val="24"/>
        <w:lang w:val="en-US"/>
      </w:rPr>
    </w:lvl>
    <w:lvl w:ilvl="3">
      <w:start w:val="1"/>
      <w:numFmt w:val="bullet"/>
      <w:lvlText w:val="•"/>
      <w:lvlJc w:val="left"/>
      <w:pPr>
        <w:tabs>
          <w:tab w:val="num" w:pos="3237"/>
        </w:tabs>
        <w:ind w:left="3237" w:hanging="360"/>
      </w:pPr>
      <w:rPr>
        <w:rFonts w:ascii="Garamond" w:eastAsia="Garamond" w:hAnsi="Garamond" w:cs="Garamond"/>
        <w:position w:val="0"/>
        <w:sz w:val="24"/>
        <w:szCs w:val="24"/>
        <w:lang w:val="en-US"/>
      </w:rPr>
    </w:lvl>
    <w:lvl w:ilvl="4">
      <w:start w:val="1"/>
      <w:numFmt w:val="bullet"/>
      <w:lvlText w:val="o"/>
      <w:lvlJc w:val="left"/>
      <w:pPr>
        <w:tabs>
          <w:tab w:val="num" w:pos="3957"/>
        </w:tabs>
        <w:ind w:left="3957" w:hanging="360"/>
      </w:pPr>
      <w:rPr>
        <w:rFonts w:ascii="Garamond" w:eastAsia="Garamond" w:hAnsi="Garamond" w:cs="Garamond"/>
        <w:position w:val="0"/>
        <w:sz w:val="24"/>
        <w:szCs w:val="24"/>
        <w:lang w:val="en-US"/>
      </w:rPr>
    </w:lvl>
    <w:lvl w:ilvl="5">
      <w:start w:val="1"/>
      <w:numFmt w:val="bullet"/>
      <w:lvlText w:val="▪"/>
      <w:lvlJc w:val="left"/>
      <w:pPr>
        <w:tabs>
          <w:tab w:val="num" w:pos="4677"/>
        </w:tabs>
        <w:ind w:left="4677" w:hanging="360"/>
      </w:pPr>
      <w:rPr>
        <w:rFonts w:ascii="Garamond" w:eastAsia="Garamond" w:hAnsi="Garamond" w:cs="Garamond"/>
        <w:position w:val="0"/>
        <w:sz w:val="24"/>
        <w:szCs w:val="24"/>
        <w:lang w:val="en-US"/>
      </w:rPr>
    </w:lvl>
    <w:lvl w:ilvl="6">
      <w:start w:val="1"/>
      <w:numFmt w:val="bullet"/>
      <w:lvlText w:val="•"/>
      <w:lvlJc w:val="left"/>
      <w:pPr>
        <w:tabs>
          <w:tab w:val="num" w:pos="5397"/>
        </w:tabs>
        <w:ind w:left="5397" w:hanging="360"/>
      </w:pPr>
      <w:rPr>
        <w:rFonts w:ascii="Garamond" w:eastAsia="Garamond" w:hAnsi="Garamond" w:cs="Garamond"/>
        <w:position w:val="0"/>
        <w:sz w:val="24"/>
        <w:szCs w:val="24"/>
        <w:lang w:val="en-US"/>
      </w:rPr>
    </w:lvl>
    <w:lvl w:ilvl="7">
      <w:start w:val="1"/>
      <w:numFmt w:val="bullet"/>
      <w:lvlText w:val="o"/>
      <w:lvlJc w:val="left"/>
      <w:pPr>
        <w:tabs>
          <w:tab w:val="num" w:pos="6117"/>
        </w:tabs>
        <w:ind w:left="6117" w:hanging="360"/>
      </w:pPr>
      <w:rPr>
        <w:rFonts w:ascii="Garamond" w:eastAsia="Garamond" w:hAnsi="Garamond" w:cs="Garamond"/>
        <w:position w:val="0"/>
        <w:sz w:val="24"/>
        <w:szCs w:val="24"/>
        <w:lang w:val="en-US"/>
      </w:rPr>
    </w:lvl>
    <w:lvl w:ilvl="8">
      <w:start w:val="1"/>
      <w:numFmt w:val="bullet"/>
      <w:lvlText w:val="▪"/>
      <w:lvlJc w:val="left"/>
      <w:pPr>
        <w:tabs>
          <w:tab w:val="num" w:pos="6837"/>
        </w:tabs>
        <w:ind w:left="6837" w:hanging="360"/>
      </w:pPr>
      <w:rPr>
        <w:rFonts w:ascii="Garamond" w:eastAsia="Garamond" w:hAnsi="Garamond" w:cs="Garamond"/>
        <w:position w:val="0"/>
        <w:sz w:val="24"/>
        <w:szCs w:val="24"/>
        <w:lang w:val="en-US"/>
      </w:rPr>
    </w:lvl>
  </w:abstractNum>
  <w:abstractNum w:abstractNumId="248" w15:restartNumberingAfterBreak="0">
    <w:nsid w:val="74C90396"/>
    <w:multiLevelType w:val="multilevel"/>
    <w:tmpl w:val="723ABC50"/>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49" w15:restartNumberingAfterBreak="0">
    <w:nsid w:val="751A2DC0"/>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0" w15:restartNumberingAfterBreak="0">
    <w:nsid w:val="7693447F"/>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1" w15:restartNumberingAfterBreak="0">
    <w:nsid w:val="769C0C38"/>
    <w:multiLevelType w:val="hybridMultilevel"/>
    <w:tmpl w:val="D78A8A0E"/>
    <w:lvl w:ilvl="0" w:tplc="04220017">
      <w:start w:val="1"/>
      <w:numFmt w:val="lowerLett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2" w15:restartNumberingAfterBreak="0">
    <w:nsid w:val="76B0118D"/>
    <w:multiLevelType w:val="hybridMultilevel"/>
    <w:tmpl w:val="E348DCDC"/>
    <w:lvl w:ilvl="0" w:tplc="04220017">
      <w:start w:val="1"/>
      <w:numFmt w:val="lowerLetter"/>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253" w15:restartNumberingAfterBreak="0">
    <w:nsid w:val="77990728"/>
    <w:multiLevelType w:val="hybridMultilevel"/>
    <w:tmpl w:val="D0E0A020"/>
    <w:lvl w:ilvl="0" w:tplc="04220017">
      <w:start w:val="1"/>
      <w:numFmt w:val="low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54" w15:restartNumberingAfterBreak="0">
    <w:nsid w:val="7823296D"/>
    <w:multiLevelType w:val="hybridMultilevel"/>
    <w:tmpl w:val="C6B20D56"/>
    <w:lvl w:ilvl="0" w:tplc="16CE291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5" w15:restartNumberingAfterBreak="0">
    <w:nsid w:val="78A81E1A"/>
    <w:multiLevelType w:val="hybridMultilevel"/>
    <w:tmpl w:val="F97CB0CE"/>
    <w:lvl w:ilvl="0" w:tplc="3E6AE0C6">
      <w:start w:val="1"/>
      <w:numFmt w:val="lowerLetter"/>
      <w:lvlText w:val="%1)"/>
      <w:lvlJc w:val="left"/>
      <w:pPr>
        <w:ind w:left="1429" w:hanging="360"/>
      </w:pPr>
      <w:rPr>
        <w:rFonts w:hint="default"/>
      </w:rPr>
    </w:lvl>
    <w:lvl w:ilvl="1" w:tplc="8AF8E372" w:tentative="1">
      <w:start w:val="1"/>
      <w:numFmt w:val="lowerLetter"/>
      <w:lvlText w:val="%2."/>
      <w:lvlJc w:val="left"/>
      <w:pPr>
        <w:ind w:left="2149" w:hanging="360"/>
      </w:pPr>
    </w:lvl>
    <w:lvl w:ilvl="2" w:tplc="082A84B2" w:tentative="1">
      <w:start w:val="1"/>
      <w:numFmt w:val="lowerRoman"/>
      <w:lvlText w:val="%3."/>
      <w:lvlJc w:val="right"/>
      <w:pPr>
        <w:ind w:left="2869" w:hanging="180"/>
      </w:pPr>
    </w:lvl>
    <w:lvl w:ilvl="3" w:tplc="19E85032" w:tentative="1">
      <w:start w:val="1"/>
      <w:numFmt w:val="decimal"/>
      <w:lvlText w:val="%4."/>
      <w:lvlJc w:val="left"/>
      <w:pPr>
        <w:ind w:left="3589" w:hanging="360"/>
      </w:pPr>
    </w:lvl>
    <w:lvl w:ilvl="4" w:tplc="F0743C34" w:tentative="1">
      <w:start w:val="1"/>
      <w:numFmt w:val="lowerLetter"/>
      <w:lvlText w:val="%5."/>
      <w:lvlJc w:val="left"/>
      <w:pPr>
        <w:ind w:left="4309" w:hanging="360"/>
      </w:pPr>
    </w:lvl>
    <w:lvl w:ilvl="5" w:tplc="2532331C" w:tentative="1">
      <w:start w:val="1"/>
      <w:numFmt w:val="lowerRoman"/>
      <w:lvlText w:val="%6."/>
      <w:lvlJc w:val="right"/>
      <w:pPr>
        <w:ind w:left="5029" w:hanging="180"/>
      </w:pPr>
    </w:lvl>
    <w:lvl w:ilvl="6" w:tplc="2DBE246C" w:tentative="1">
      <w:start w:val="1"/>
      <w:numFmt w:val="decimal"/>
      <w:lvlText w:val="%7."/>
      <w:lvlJc w:val="left"/>
      <w:pPr>
        <w:ind w:left="5749" w:hanging="360"/>
      </w:pPr>
    </w:lvl>
    <w:lvl w:ilvl="7" w:tplc="AC8E5BEC" w:tentative="1">
      <w:start w:val="1"/>
      <w:numFmt w:val="lowerLetter"/>
      <w:lvlText w:val="%8."/>
      <w:lvlJc w:val="left"/>
      <w:pPr>
        <w:ind w:left="6469" w:hanging="360"/>
      </w:pPr>
    </w:lvl>
    <w:lvl w:ilvl="8" w:tplc="04DA97DE" w:tentative="1">
      <w:start w:val="1"/>
      <w:numFmt w:val="lowerRoman"/>
      <w:lvlText w:val="%9."/>
      <w:lvlJc w:val="right"/>
      <w:pPr>
        <w:ind w:left="7189" w:hanging="180"/>
      </w:pPr>
    </w:lvl>
  </w:abstractNum>
  <w:abstractNum w:abstractNumId="256" w15:restartNumberingAfterBreak="0">
    <w:nsid w:val="78BF0C3C"/>
    <w:multiLevelType w:val="hybridMultilevel"/>
    <w:tmpl w:val="835E518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7" w15:restartNumberingAfterBreak="0">
    <w:nsid w:val="78F23912"/>
    <w:multiLevelType w:val="multilevel"/>
    <w:tmpl w:val="72687352"/>
    <w:lvl w:ilvl="0">
      <w:start w:val="1"/>
      <w:numFmt w:val="decimal"/>
      <w:lvlText w:val="%1."/>
      <w:lvlJc w:val="left"/>
      <w:pPr>
        <w:tabs>
          <w:tab w:val="num" w:pos="465"/>
        </w:tabs>
        <w:ind w:left="465" w:hanging="465"/>
      </w:pPr>
      <w:rPr>
        <w:position w:val="0"/>
        <w:sz w:val="28"/>
        <w:szCs w:val="24"/>
      </w:rPr>
    </w:lvl>
    <w:lvl w:ilvl="1">
      <w:start w:val="1"/>
      <w:numFmt w:val="lowerRoman"/>
      <w:lvlText w:val="%2."/>
      <w:lvlJc w:val="left"/>
      <w:pPr>
        <w:tabs>
          <w:tab w:val="num" w:pos="12484"/>
        </w:tabs>
        <w:ind w:left="12484"/>
      </w:pPr>
      <w:rPr>
        <w:position w:val="0"/>
        <w:sz w:val="24"/>
        <w:szCs w:val="24"/>
      </w:rPr>
    </w:lvl>
    <w:lvl w:ilvl="2">
      <w:start w:val="1"/>
      <w:numFmt w:val="lowerRoman"/>
      <w:lvlText w:val="%3."/>
      <w:lvlJc w:val="left"/>
      <w:pPr>
        <w:tabs>
          <w:tab w:val="num" w:pos="12484"/>
        </w:tabs>
        <w:ind w:left="12484"/>
      </w:pPr>
      <w:rPr>
        <w:position w:val="0"/>
        <w:sz w:val="24"/>
        <w:szCs w:val="24"/>
      </w:rPr>
    </w:lvl>
    <w:lvl w:ilvl="3">
      <w:start w:val="1"/>
      <w:numFmt w:val="lowerRoman"/>
      <w:lvlText w:val="%4."/>
      <w:lvlJc w:val="left"/>
      <w:pPr>
        <w:tabs>
          <w:tab w:val="num" w:pos="12484"/>
        </w:tabs>
        <w:ind w:left="12484"/>
      </w:pPr>
      <w:rPr>
        <w:position w:val="0"/>
        <w:sz w:val="24"/>
        <w:szCs w:val="24"/>
      </w:rPr>
    </w:lvl>
    <w:lvl w:ilvl="4">
      <w:start w:val="1"/>
      <w:numFmt w:val="lowerRoman"/>
      <w:lvlText w:val="%5."/>
      <w:lvlJc w:val="left"/>
      <w:pPr>
        <w:tabs>
          <w:tab w:val="num" w:pos="12484"/>
        </w:tabs>
        <w:ind w:left="12484"/>
      </w:pPr>
      <w:rPr>
        <w:position w:val="0"/>
        <w:sz w:val="24"/>
        <w:szCs w:val="24"/>
      </w:rPr>
    </w:lvl>
    <w:lvl w:ilvl="5">
      <w:start w:val="1"/>
      <w:numFmt w:val="lowerRoman"/>
      <w:lvlText w:val="%6."/>
      <w:lvlJc w:val="left"/>
      <w:pPr>
        <w:tabs>
          <w:tab w:val="num" w:pos="12484"/>
        </w:tabs>
        <w:ind w:left="12484"/>
      </w:pPr>
      <w:rPr>
        <w:position w:val="0"/>
        <w:sz w:val="24"/>
        <w:szCs w:val="24"/>
      </w:rPr>
    </w:lvl>
    <w:lvl w:ilvl="6">
      <w:start w:val="1"/>
      <w:numFmt w:val="lowerRoman"/>
      <w:lvlText w:val="%7."/>
      <w:lvlJc w:val="left"/>
      <w:pPr>
        <w:tabs>
          <w:tab w:val="num" w:pos="12484"/>
        </w:tabs>
        <w:ind w:left="12484"/>
      </w:pPr>
      <w:rPr>
        <w:position w:val="0"/>
        <w:sz w:val="24"/>
        <w:szCs w:val="24"/>
      </w:rPr>
    </w:lvl>
    <w:lvl w:ilvl="7">
      <w:start w:val="1"/>
      <w:numFmt w:val="lowerRoman"/>
      <w:lvlText w:val="%8."/>
      <w:lvlJc w:val="left"/>
      <w:pPr>
        <w:tabs>
          <w:tab w:val="num" w:pos="12484"/>
        </w:tabs>
        <w:ind w:left="12484"/>
      </w:pPr>
      <w:rPr>
        <w:position w:val="0"/>
        <w:sz w:val="24"/>
        <w:szCs w:val="24"/>
      </w:rPr>
    </w:lvl>
    <w:lvl w:ilvl="8">
      <w:start w:val="1"/>
      <w:numFmt w:val="lowerRoman"/>
      <w:lvlText w:val="%9."/>
      <w:lvlJc w:val="left"/>
      <w:pPr>
        <w:tabs>
          <w:tab w:val="num" w:pos="12484"/>
        </w:tabs>
        <w:ind w:left="12484"/>
      </w:pPr>
      <w:rPr>
        <w:position w:val="0"/>
        <w:sz w:val="24"/>
        <w:szCs w:val="24"/>
      </w:rPr>
    </w:lvl>
  </w:abstractNum>
  <w:abstractNum w:abstractNumId="258" w15:restartNumberingAfterBreak="0">
    <w:nsid w:val="7909148B"/>
    <w:multiLevelType w:val="multilevel"/>
    <w:tmpl w:val="8AE02D86"/>
    <w:lvl w:ilvl="0">
      <w:start w:val="1"/>
      <w:numFmt w:val="lowerLetter"/>
      <w:lvlText w:val="%1)"/>
      <w:lvlJc w:val="left"/>
      <w:pPr>
        <w:tabs>
          <w:tab w:val="num" w:pos="788"/>
        </w:tabs>
        <w:ind w:left="788" w:hanging="360"/>
      </w:pPr>
      <w:rPr>
        <w:rFonts w:ascii="Garamond" w:eastAsia="Garamond" w:hAnsi="Garamond" w:cs="Garamond"/>
        <w:b w:val="0"/>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59" w15:restartNumberingAfterBreak="0">
    <w:nsid w:val="797129E2"/>
    <w:multiLevelType w:val="hybridMultilevel"/>
    <w:tmpl w:val="CE8C5BFE"/>
    <w:lvl w:ilvl="0" w:tplc="2830278A">
      <w:start w:val="1"/>
      <w:numFmt w:val="lowerLetter"/>
      <w:lvlText w:val="%1)"/>
      <w:lvlJc w:val="left"/>
      <w:pPr>
        <w:ind w:left="360" w:hanging="360"/>
      </w:pPr>
      <w:rPr>
        <w:rFonts w:hint="default"/>
      </w:rPr>
    </w:lvl>
    <w:lvl w:ilvl="1" w:tplc="54CA1B64" w:tentative="1">
      <w:start w:val="1"/>
      <w:numFmt w:val="lowerLetter"/>
      <w:lvlText w:val="%2."/>
      <w:lvlJc w:val="left"/>
      <w:pPr>
        <w:ind w:left="1440" w:hanging="360"/>
      </w:pPr>
    </w:lvl>
    <w:lvl w:ilvl="2" w:tplc="1A441616" w:tentative="1">
      <w:start w:val="1"/>
      <w:numFmt w:val="lowerRoman"/>
      <w:lvlText w:val="%3."/>
      <w:lvlJc w:val="right"/>
      <w:pPr>
        <w:ind w:left="2160" w:hanging="180"/>
      </w:pPr>
    </w:lvl>
    <w:lvl w:ilvl="3" w:tplc="C6AE8938" w:tentative="1">
      <w:start w:val="1"/>
      <w:numFmt w:val="decimal"/>
      <w:lvlText w:val="%4."/>
      <w:lvlJc w:val="left"/>
      <w:pPr>
        <w:ind w:left="2880" w:hanging="360"/>
      </w:pPr>
    </w:lvl>
    <w:lvl w:ilvl="4" w:tplc="9B188BFC" w:tentative="1">
      <w:start w:val="1"/>
      <w:numFmt w:val="lowerLetter"/>
      <w:lvlText w:val="%5."/>
      <w:lvlJc w:val="left"/>
      <w:pPr>
        <w:ind w:left="3600" w:hanging="360"/>
      </w:pPr>
    </w:lvl>
    <w:lvl w:ilvl="5" w:tplc="DB40C694" w:tentative="1">
      <w:start w:val="1"/>
      <w:numFmt w:val="lowerRoman"/>
      <w:lvlText w:val="%6."/>
      <w:lvlJc w:val="right"/>
      <w:pPr>
        <w:ind w:left="4320" w:hanging="180"/>
      </w:pPr>
    </w:lvl>
    <w:lvl w:ilvl="6" w:tplc="B6764F10" w:tentative="1">
      <w:start w:val="1"/>
      <w:numFmt w:val="decimal"/>
      <w:lvlText w:val="%7."/>
      <w:lvlJc w:val="left"/>
      <w:pPr>
        <w:ind w:left="5040" w:hanging="360"/>
      </w:pPr>
    </w:lvl>
    <w:lvl w:ilvl="7" w:tplc="7426420E" w:tentative="1">
      <w:start w:val="1"/>
      <w:numFmt w:val="lowerLetter"/>
      <w:lvlText w:val="%8."/>
      <w:lvlJc w:val="left"/>
      <w:pPr>
        <w:ind w:left="5760" w:hanging="360"/>
      </w:pPr>
    </w:lvl>
    <w:lvl w:ilvl="8" w:tplc="7376DEDA" w:tentative="1">
      <w:start w:val="1"/>
      <w:numFmt w:val="lowerRoman"/>
      <w:lvlText w:val="%9."/>
      <w:lvlJc w:val="right"/>
      <w:pPr>
        <w:ind w:left="6480" w:hanging="180"/>
      </w:pPr>
    </w:lvl>
  </w:abstractNum>
  <w:abstractNum w:abstractNumId="260" w15:restartNumberingAfterBreak="0">
    <w:nsid w:val="7BE97DF2"/>
    <w:multiLevelType w:val="hybridMultilevel"/>
    <w:tmpl w:val="21D41BF0"/>
    <w:lvl w:ilvl="0" w:tplc="A99896A6">
      <w:start w:val="1"/>
      <w:numFmt w:val="lowerLett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1" w15:restartNumberingAfterBreak="0">
    <w:nsid w:val="7C1D3F7E"/>
    <w:multiLevelType w:val="hybridMultilevel"/>
    <w:tmpl w:val="CE8C5BFE"/>
    <w:lvl w:ilvl="0" w:tplc="171AAA02">
      <w:start w:val="1"/>
      <w:numFmt w:val="lowerLetter"/>
      <w:lvlText w:val="%1)"/>
      <w:lvlJc w:val="left"/>
      <w:pPr>
        <w:ind w:left="720" w:hanging="360"/>
      </w:pPr>
      <w:rPr>
        <w:rFonts w:hint="default"/>
      </w:rPr>
    </w:lvl>
    <w:lvl w:ilvl="1" w:tplc="954AAB18" w:tentative="1">
      <w:start w:val="1"/>
      <w:numFmt w:val="lowerLetter"/>
      <w:lvlText w:val="%2."/>
      <w:lvlJc w:val="left"/>
      <w:pPr>
        <w:ind w:left="1440" w:hanging="360"/>
      </w:pPr>
    </w:lvl>
    <w:lvl w:ilvl="2" w:tplc="5E00BA60" w:tentative="1">
      <w:start w:val="1"/>
      <w:numFmt w:val="lowerRoman"/>
      <w:lvlText w:val="%3."/>
      <w:lvlJc w:val="right"/>
      <w:pPr>
        <w:ind w:left="2160" w:hanging="180"/>
      </w:pPr>
    </w:lvl>
    <w:lvl w:ilvl="3" w:tplc="71F67170" w:tentative="1">
      <w:start w:val="1"/>
      <w:numFmt w:val="decimal"/>
      <w:lvlText w:val="%4."/>
      <w:lvlJc w:val="left"/>
      <w:pPr>
        <w:ind w:left="2880" w:hanging="360"/>
      </w:pPr>
    </w:lvl>
    <w:lvl w:ilvl="4" w:tplc="63DA1502" w:tentative="1">
      <w:start w:val="1"/>
      <w:numFmt w:val="lowerLetter"/>
      <w:lvlText w:val="%5."/>
      <w:lvlJc w:val="left"/>
      <w:pPr>
        <w:ind w:left="3600" w:hanging="360"/>
      </w:pPr>
    </w:lvl>
    <w:lvl w:ilvl="5" w:tplc="3CFCE91C" w:tentative="1">
      <w:start w:val="1"/>
      <w:numFmt w:val="lowerRoman"/>
      <w:lvlText w:val="%6."/>
      <w:lvlJc w:val="right"/>
      <w:pPr>
        <w:ind w:left="4320" w:hanging="180"/>
      </w:pPr>
    </w:lvl>
    <w:lvl w:ilvl="6" w:tplc="759EA58A" w:tentative="1">
      <w:start w:val="1"/>
      <w:numFmt w:val="decimal"/>
      <w:lvlText w:val="%7."/>
      <w:lvlJc w:val="left"/>
      <w:pPr>
        <w:ind w:left="5040" w:hanging="360"/>
      </w:pPr>
    </w:lvl>
    <w:lvl w:ilvl="7" w:tplc="0F466B48" w:tentative="1">
      <w:start w:val="1"/>
      <w:numFmt w:val="lowerLetter"/>
      <w:lvlText w:val="%8."/>
      <w:lvlJc w:val="left"/>
      <w:pPr>
        <w:ind w:left="5760" w:hanging="360"/>
      </w:pPr>
    </w:lvl>
    <w:lvl w:ilvl="8" w:tplc="1A7C7858" w:tentative="1">
      <w:start w:val="1"/>
      <w:numFmt w:val="lowerRoman"/>
      <w:lvlText w:val="%9."/>
      <w:lvlJc w:val="right"/>
      <w:pPr>
        <w:ind w:left="6480" w:hanging="180"/>
      </w:pPr>
    </w:lvl>
  </w:abstractNum>
  <w:abstractNum w:abstractNumId="262" w15:restartNumberingAfterBreak="0">
    <w:nsid w:val="7C286A17"/>
    <w:multiLevelType w:val="multilevel"/>
    <w:tmpl w:val="8F94A8FE"/>
    <w:styleLink w:val="List01"/>
    <w:lvl w:ilvl="0">
      <w:start w:val="1"/>
      <w:numFmt w:val="decimal"/>
      <w:lvlText w:val="%1)"/>
      <w:lvlJc w:val="left"/>
      <w:pPr>
        <w:tabs>
          <w:tab w:val="num" w:pos="794"/>
        </w:tabs>
        <w:ind w:left="794" w:hanging="303"/>
      </w:pPr>
      <w:rPr>
        <w:rFonts w:ascii="Garamond" w:eastAsia="Garamond" w:hAnsi="Garamond" w:cs="Garamond"/>
        <w:position w:val="0"/>
        <w:sz w:val="24"/>
        <w:szCs w:val="24"/>
        <w:lang w:val="en-US"/>
      </w:rPr>
    </w:lvl>
    <w:lvl w:ilvl="1">
      <w:start w:val="1"/>
      <w:numFmt w:val="lowerLetter"/>
      <w:lvlText w:val="%2."/>
      <w:lvlJc w:val="left"/>
      <w:pPr>
        <w:tabs>
          <w:tab w:val="num" w:pos="1797"/>
        </w:tabs>
        <w:ind w:left="1797" w:hanging="360"/>
      </w:pPr>
      <w:rPr>
        <w:rFonts w:ascii="Garamond" w:eastAsia="Garamond" w:hAnsi="Garamond" w:cs="Garamond"/>
        <w:position w:val="0"/>
        <w:sz w:val="24"/>
        <w:szCs w:val="24"/>
        <w:lang w:val="en-US"/>
      </w:rPr>
    </w:lvl>
    <w:lvl w:ilvl="2">
      <w:start w:val="1"/>
      <w:numFmt w:val="lowerRoman"/>
      <w:lvlText w:val="%3."/>
      <w:lvlJc w:val="left"/>
      <w:pPr>
        <w:tabs>
          <w:tab w:val="num" w:pos="2517"/>
        </w:tabs>
        <w:ind w:left="2517" w:hanging="296"/>
      </w:pPr>
      <w:rPr>
        <w:rFonts w:ascii="Garamond" w:eastAsia="Garamond" w:hAnsi="Garamond" w:cs="Garamond"/>
        <w:position w:val="0"/>
        <w:sz w:val="24"/>
        <w:szCs w:val="24"/>
        <w:lang w:val="en-US"/>
      </w:rPr>
    </w:lvl>
    <w:lvl w:ilvl="3">
      <w:start w:val="1"/>
      <w:numFmt w:val="decimal"/>
      <w:lvlText w:val="%4."/>
      <w:lvlJc w:val="left"/>
      <w:pPr>
        <w:tabs>
          <w:tab w:val="num" w:pos="3237"/>
        </w:tabs>
        <w:ind w:left="3237" w:hanging="360"/>
      </w:pPr>
      <w:rPr>
        <w:rFonts w:ascii="Garamond" w:eastAsia="Garamond" w:hAnsi="Garamond" w:cs="Garamond"/>
        <w:position w:val="0"/>
        <w:sz w:val="24"/>
        <w:szCs w:val="24"/>
        <w:lang w:val="en-US"/>
      </w:rPr>
    </w:lvl>
    <w:lvl w:ilvl="4">
      <w:start w:val="1"/>
      <w:numFmt w:val="lowerLetter"/>
      <w:lvlText w:val="%5."/>
      <w:lvlJc w:val="left"/>
      <w:pPr>
        <w:tabs>
          <w:tab w:val="num" w:pos="3957"/>
        </w:tabs>
        <w:ind w:left="3957" w:hanging="360"/>
      </w:pPr>
      <w:rPr>
        <w:rFonts w:ascii="Garamond" w:eastAsia="Garamond" w:hAnsi="Garamond" w:cs="Garamond"/>
        <w:position w:val="0"/>
        <w:sz w:val="24"/>
        <w:szCs w:val="24"/>
        <w:lang w:val="en-US"/>
      </w:rPr>
    </w:lvl>
    <w:lvl w:ilvl="5">
      <w:start w:val="1"/>
      <w:numFmt w:val="lowerRoman"/>
      <w:lvlText w:val="%6."/>
      <w:lvlJc w:val="left"/>
      <w:pPr>
        <w:tabs>
          <w:tab w:val="num" w:pos="4677"/>
        </w:tabs>
        <w:ind w:left="4677" w:hanging="296"/>
      </w:pPr>
      <w:rPr>
        <w:rFonts w:ascii="Garamond" w:eastAsia="Garamond" w:hAnsi="Garamond" w:cs="Garamond"/>
        <w:position w:val="0"/>
        <w:sz w:val="24"/>
        <w:szCs w:val="24"/>
        <w:lang w:val="en-US"/>
      </w:rPr>
    </w:lvl>
    <w:lvl w:ilvl="6">
      <w:start w:val="1"/>
      <w:numFmt w:val="decimal"/>
      <w:lvlText w:val="%7."/>
      <w:lvlJc w:val="left"/>
      <w:pPr>
        <w:tabs>
          <w:tab w:val="num" w:pos="5397"/>
        </w:tabs>
        <w:ind w:left="5397" w:hanging="360"/>
      </w:pPr>
      <w:rPr>
        <w:rFonts w:ascii="Garamond" w:eastAsia="Garamond" w:hAnsi="Garamond" w:cs="Garamond"/>
        <w:position w:val="0"/>
        <w:sz w:val="24"/>
        <w:szCs w:val="24"/>
        <w:lang w:val="en-US"/>
      </w:rPr>
    </w:lvl>
    <w:lvl w:ilvl="7">
      <w:start w:val="1"/>
      <w:numFmt w:val="lowerLetter"/>
      <w:lvlText w:val="%8."/>
      <w:lvlJc w:val="left"/>
      <w:pPr>
        <w:tabs>
          <w:tab w:val="num" w:pos="6117"/>
        </w:tabs>
        <w:ind w:left="6117" w:hanging="360"/>
      </w:pPr>
      <w:rPr>
        <w:rFonts w:ascii="Garamond" w:eastAsia="Garamond" w:hAnsi="Garamond" w:cs="Garamond"/>
        <w:position w:val="0"/>
        <w:sz w:val="24"/>
        <w:szCs w:val="24"/>
        <w:lang w:val="en-US"/>
      </w:rPr>
    </w:lvl>
    <w:lvl w:ilvl="8">
      <w:start w:val="1"/>
      <w:numFmt w:val="lowerRoman"/>
      <w:lvlText w:val="%9."/>
      <w:lvlJc w:val="left"/>
      <w:pPr>
        <w:tabs>
          <w:tab w:val="num" w:pos="6837"/>
        </w:tabs>
        <w:ind w:left="6837" w:hanging="296"/>
      </w:pPr>
      <w:rPr>
        <w:rFonts w:ascii="Garamond" w:eastAsia="Garamond" w:hAnsi="Garamond" w:cs="Garamond"/>
        <w:position w:val="0"/>
        <w:sz w:val="24"/>
        <w:szCs w:val="24"/>
        <w:lang w:val="en-US"/>
      </w:rPr>
    </w:lvl>
  </w:abstractNum>
  <w:abstractNum w:abstractNumId="263" w15:restartNumberingAfterBreak="0">
    <w:nsid w:val="7C6D4227"/>
    <w:multiLevelType w:val="multilevel"/>
    <w:tmpl w:val="8B4094BC"/>
    <w:lvl w:ilvl="0">
      <w:start w:val="1"/>
      <w:numFmt w:val="lowerLetter"/>
      <w:lvlText w:val="%1)"/>
      <w:lvlJc w:val="left"/>
      <w:pPr>
        <w:tabs>
          <w:tab w:val="num" w:pos="788"/>
        </w:tabs>
        <w:ind w:left="788" w:hanging="360"/>
      </w:pPr>
      <w:rPr>
        <w:rFonts w:ascii="Garamond" w:eastAsia="Garamond" w:hAnsi="Garamond" w:cs="Garamond"/>
        <w:caps w:val="0"/>
        <w:smallCaps w:val="0"/>
        <w:strike w:val="0"/>
        <w:dstrike w:val="0"/>
        <w:outline w:val="0"/>
        <w:color w:val="000000"/>
        <w:spacing w:val="0"/>
        <w:kern w:val="0"/>
        <w:position w:val="0"/>
        <w:sz w:val="28"/>
        <w:szCs w:val="24"/>
        <w:u w:val="none" w:color="000000"/>
        <w:vertAlign w:val="baseline"/>
        <w:lang w:val="en-US"/>
      </w:rPr>
    </w:lvl>
    <w:lvl w:ilvl="1">
      <w:start w:val="1"/>
      <w:numFmt w:val="lowerLetter"/>
      <w:lvlText w:val="%2."/>
      <w:lvlJc w:val="left"/>
      <w:pPr>
        <w:tabs>
          <w:tab w:val="num" w:pos="2149"/>
        </w:tabs>
        <w:ind w:left="21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2">
      <w:start w:val="1"/>
      <w:numFmt w:val="lowerRoman"/>
      <w:lvlText w:val="%3."/>
      <w:lvlJc w:val="left"/>
      <w:pPr>
        <w:tabs>
          <w:tab w:val="num" w:pos="2869"/>
        </w:tabs>
        <w:ind w:left="286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3">
      <w:start w:val="1"/>
      <w:numFmt w:val="decimal"/>
      <w:lvlText w:val="%4."/>
      <w:lvlJc w:val="left"/>
      <w:pPr>
        <w:tabs>
          <w:tab w:val="num" w:pos="3589"/>
        </w:tabs>
        <w:ind w:left="358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4">
      <w:start w:val="1"/>
      <w:numFmt w:val="lowerLetter"/>
      <w:lvlText w:val="%5."/>
      <w:lvlJc w:val="left"/>
      <w:pPr>
        <w:tabs>
          <w:tab w:val="num" w:pos="4309"/>
        </w:tabs>
        <w:ind w:left="430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5">
      <w:start w:val="1"/>
      <w:numFmt w:val="lowerRoman"/>
      <w:lvlText w:val="%6."/>
      <w:lvlJc w:val="left"/>
      <w:pPr>
        <w:tabs>
          <w:tab w:val="num" w:pos="5029"/>
        </w:tabs>
        <w:ind w:left="502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6">
      <w:start w:val="1"/>
      <w:numFmt w:val="decimal"/>
      <w:lvlText w:val="%7."/>
      <w:lvlJc w:val="left"/>
      <w:pPr>
        <w:tabs>
          <w:tab w:val="num" w:pos="5749"/>
        </w:tabs>
        <w:ind w:left="574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7">
      <w:start w:val="1"/>
      <w:numFmt w:val="lowerLetter"/>
      <w:lvlText w:val="%8."/>
      <w:lvlJc w:val="left"/>
      <w:pPr>
        <w:tabs>
          <w:tab w:val="num" w:pos="6469"/>
        </w:tabs>
        <w:ind w:left="6469" w:hanging="360"/>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lvl w:ilvl="8">
      <w:start w:val="1"/>
      <w:numFmt w:val="lowerRoman"/>
      <w:lvlText w:val="%9."/>
      <w:lvlJc w:val="left"/>
      <w:pPr>
        <w:tabs>
          <w:tab w:val="num" w:pos="7189"/>
        </w:tabs>
        <w:ind w:left="7189" w:hanging="296"/>
      </w:pPr>
      <w:rPr>
        <w:rFonts w:ascii="Garamond" w:eastAsia="Garamond" w:hAnsi="Garamond" w:cs="Garamond"/>
        <w:caps w:val="0"/>
        <w:smallCaps w:val="0"/>
        <w:strike w:val="0"/>
        <w:dstrike w:val="0"/>
        <w:outline w:val="0"/>
        <w:color w:val="000000"/>
        <w:spacing w:val="0"/>
        <w:kern w:val="0"/>
        <w:position w:val="0"/>
        <w:sz w:val="24"/>
        <w:szCs w:val="24"/>
        <w:u w:val="none" w:color="000000"/>
        <w:vertAlign w:val="baseline"/>
        <w:lang w:val="en-US"/>
      </w:rPr>
    </w:lvl>
  </w:abstractNum>
  <w:abstractNum w:abstractNumId="264" w15:restartNumberingAfterBreak="0">
    <w:nsid w:val="7D2127E2"/>
    <w:multiLevelType w:val="hybridMultilevel"/>
    <w:tmpl w:val="F97CB0CE"/>
    <w:lvl w:ilvl="0" w:tplc="A1BE8B30">
      <w:start w:val="1"/>
      <w:numFmt w:val="lowerLetter"/>
      <w:lvlText w:val="%1)"/>
      <w:lvlJc w:val="left"/>
      <w:pPr>
        <w:ind w:left="1429" w:hanging="360"/>
      </w:pPr>
      <w:rPr>
        <w:rFonts w:hint="default"/>
      </w:rPr>
    </w:lvl>
    <w:lvl w:ilvl="1" w:tplc="3AE00406" w:tentative="1">
      <w:start w:val="1"/>
      <w:numFmt w:val="lowerLetter"/>
      <w:lvlText w:val="%2."/>
      <w:lvlJc w:val="left"/>
      <w:pPr>
        <w:ind w:left="2149" w:hanging="360"/>
      </w:pPr>
    </w:lvl>
    <w:lvl w:ilvl="2" w:tplc="D62E6096" w:tentative="1">
      <w:start w:val="1"/>
      <w:numFmt w:val="lowerRoman"/>
      <w:lvlText w:val="%3."/>
      <w:lvlJc w:val="right"/>
      <w:pPr>
        <w:ind w:left="2869" w:hanging="180"/>
      </w:pPr>
    </w:lvl>
    <w:lvl w:ilvl="3" w:tplc="ECE840BC" w:tentative="1">
      <w:start w:val="1"/>
      <w:numFmt w:val="decimal"/>
      <w:lvlText w:val="%4."/>
      <w:lvlJc w:val="left"/>
      <w:pPr>
        <w:ind w:left="3589" w:hanging="360"/>
      </w:pPr>
    </w:lvl>
    <w:lvl w:ilvl="4" w:tplc="D37CBD90" w:tentative="1">
      <w:start w:val="1"/>
      <w:numFmt w:val="lowerLetter"/>
      <w:lvlText w:val="%5."/>
      <w:lvlJc w:val="left"/>
      <w:pPr>
        <w:ind w:left="4309" w:hanging="360"/>
      </w:pPr>
    </w:lvl>
    <w:lvl w:ilvl="5" w:tplc="E58A92DE" w:tentative="1">
      <w:start w:val="1"/>
      <w:numFmt w:val="lowerRoman"/>
      <w:lvlText w:val="%6."/>
      <w:lvlJc w:val="right"/>
      <w:pPr>
        <w:ind w:left="5029" w:hanging="180"/>
      </w:pPr>
    </w:lvl>
    <w:lvl w:ilvl="6" w:tplc="E0941F44" w:tentative="1">
      <w:start w:val="1"/>
      <w:numFmt w:val="decimal"/>
      <w:lvlText w:val="%7."/>
      <w:lvlJc w:val="left"/>
      <w:pPr>
        <w:ind w:left="5749" w:hanging="360"/>
      </w:pPr>
    </w:lvl>
    <w:lvl w:ilvl="7" w:tplc="E01ACFC2" w:tentative="1">
      <w:start w:val="1"/>
      <w:numFmt w:val="lowerLetter"/>
      <w:lvlText w:val="%8."/>
      <w:lvlJc w:val="left"/>
      <w:pPr>
        <w:ind w:left="6469" w:hanging="360"/>
      </w:pPr>
    </w:lvl>
    <w:lvl w:ilvl="8" w:tplc="CC3463A8" w:tentative="1">
      <w:start w:val="1"/>
      <w:numFmt w:val="lowerRoman"/>
      <w:lvlText w:val="%9."/>
      <w:lvlJc w:val="right"/>
      <w:pPr>
        <w:ind w:left="7189" w:hanging="180"/>
      </w:pPr>
    </w:lvl>
  </w:abstractNum>
  <w:abstractNum w:abstractNumId="265" w15:restartNumberingAfterBreak="0">
    <w:nsid w:val="7DEA3E20"/>
    <w:multiLevelType w:val="hybridMultilevel"/>
    <w:tmpl w:val="AA0AF43A"/>
    <w:lvl w:ilvl="0" w:tplc="7D4AEF00">
      <w:start w:val="1"/>
      <w:numFmt w:val="lowerLetter"/>
      <w:lvlText w:val="%1)"/>
      <w:lvlJc w:val="left"/>
      <w:pPr>
        <w:ind w:left="1429" w:hanging="360"/>
      </w:pPr>
      <w:rPr>
        <w:rFonts w:ascii="Garamond" w:hAnsi="Garamond" w:hint="default"/>
      </w:rPr>
    </w:lvl>
    <w:lvl w:ilvl="1" w:tplc="85B63FF8" w:tentative="1">
      <w:start w:val="1"/>
      <w:numFmt w:val="lowerLetter"/>
      <w:lvlText w:val="%2."/>
      <w:lvlJc w:val="left"/>
      <w:pPr>
        <w:ind w:left="2149" w:hanging="360"/>
      </w:pPr>
    </w:lvl>
    <w:lvl w:ilvl="2" w:tplc="9258B61E" w:tentative="1">
      <w:start w:val="1"/>
      <w:numFmt w:val="lowerRoman"/>
      <w:lvlText w:val="%3."/>
      <w:lvlJc w:val="right"/>
      <w:pPr>
        <w:ind w:left="2869" w:hanging="180"/>
      </w:pPr>
    </w:lvl>
    <w:lvl w:ilvl="3" w:tplc="27A8C2A2" w:tentative="1">
      <w:start w:val="1"/>
      <w:numFmt w:val="decimal"/>
      <w:lvlText w:val="%4."/>
      <w:lvlJc w:val="left"/>
      <w:pPr>
        <w:ind w:left="3589" w:hanging="360"/>
      </w:pPr>
    </w:lvl>
    <w:lvl w:ilvl="4" w:tplc="6402FAF6" w:tentative="1">
      <w:start w:val="1"/>
      <w:numFmt w:val="lowerLetter"/>
      <w:lvlText w:val="%5."/>
      <w:lvlJc w:val="left"/>
      <w:pPr>
        <w:ind w:left="4309" w:hanging="360"/>
      </w:pPr>
    </w:lvl>
    <w:lvl w:ilvl="5" w:tplc="45DA1612" w:tentative="1">
      <w:start w:val="1"/>
      <w:numFmt w:val="lowerRoman"/>
      <w:lvlText w:val="%6."/>
      <w:lvlJc w:val="right"/>
      <w:pPr>
        <w:ind w:left="5029" w:hanging="180"/>
      </w:pPr>
    </w:lvl>
    <w:lvl w:ilvl="6" w:tplc="130C2566" w:tentative="1">
      <w:start w:val="1"/>
      <w:numFmt w:val="decimal"/>
      <w:lvlText w:val="%7."/>
      <w:lvlJc w:val="left"/>
      <w:pPr>
        <w:ind w:left="5749" w:hanging="360"/>
      </w:pPr>
    </w:lvl>
    <w:lvl w:ilvl="7" w:tplc="2FFE86B0" w:tentative="1">
      <w:start w:val="1"/>
      <w:numFmt w:val="lowerLetter"/>
      <w:lvlText w:val="%8."/>
      <w:lvlJc w:val="left"/>
      <w:pPr>
        <w:ind w:left="6469" w:hanging="360"/>
      </w:pPr>
    </w:lvl>
    <w:lvl w:ilvl="8" w:tplc="AC6C53C8" w:tentative="1">
      <w:start w:val="1"/>
      <w:numFmt w:val="lowerRoman"/>
      <w:lvlText w:val="%9."/>
      <w:lvlJc w:val="right"/>
      <w:pPr>
        <w:ind w:left="7189" w:hanging="180"/>
      </w:pPr>
    </w:lvl>
  </w:abstractNum>
  <w:abstractNum w:abstractNumId="266" w15:restartNumberingAfterBreak="0">
    <w:nsid w:val="7DFD339E"/>
    <w:multiLevelType w:val="multilevel"/>
    <w:tmpl w:val="E81C3B8C"/>
    <w:lvl w:ilvl="0">
      <w:start w:val="1"/>
      <w:numFmt w:val="decimal"/>
      <w:lvlText w:val="%1."/>
      <w:lvlJc w:val="left"/>
      <w:pPr>
        <w:tabs>
          <w:tab w:val="num" w:pos="284"/>
        </w:tabs>
        <w:ind w:left="284" w:hanging="284"/>
      </w:pPr>
      <w:rPr>
        <w:color w:val="000000"/>
        <w:position w:val="0"/>
        <w:sz w:val="28"/>
        <w:szCs w:val="24"/>
        <w:u w:color="000000"/>
        <w:rtl w:val="0"/>
        <w:lang w:val="en-US"/>
      </w:rPr>
    </w:lvl>
    <w:lvl w:ilvl="1">
      <w:start w:val="1"/>
      <w:numFmt w:val="lowerLetter"/>
      <w:lvlText w:val="%2."/>
      <w:lvlJc w:val="left"/>
      <w:pPr>
        <w:tabs>
          <w:tab w:val="num" w:pos="1506"/>
        </w:tabs>
        <w:ind w:left="1506" w:hanging="360"/>
      </w:pPr>
      <w:rPr>
        <w:color w:val="000000"/>
        <w:position w:val="0"/>
        <w:sz w:val="24"/>
        <w:szCs w:val="24"/>
        <w:u w:color="000000"/>
        <w:rtl w:val="0"/>
        <w:lang w:val="en-US"/>
      </w:rPr>
    </w:lvl>
    <w:lvl w:ilvl="2">
      <w:start w:val="1"/>
      <w:numFmt w:val="lowerRoman"/>
      <w:lvlText w:val="%3."/>
      <w:lvlJc w:val="left"/>
      <w:pPr>
        <w:tabs>
          <w:tab w:val="num" w:pos="2226"/>
        </w:tabs>
        <w:ind w:left="2226" w:hanging="296"/>
      </w:pPr>
      <w:rPr>
        <w:color w:val="000000"/>
        <w:position w:val="0"/>
        <w:sz w:val="24"/>
        <w:szCs w:val="24"/>
        <w:u w:color="000000"/>
        <w:rtl w:val="0"/>
        <w:lang w:val="en-US"/>
      </w:rPr>
    </w:lvl>
    <w:lvl w:ilvl="3">
      <w:start w:val="1"/>
      <w:numFmt w:val="decimal"/>
      <w:lvlText w:val="%4."/>
      <w:lvlJc w:val="left"/>
      <w:pPr>
        <w:tabs>
          <w:tab w:val="num" w:pos="2946"/>
        </w:tabs>
        <w:ind w:left="2946" w:hanging="360"/>
      </w:pPr>
      <w:rPr>
        <w:color w:val="000000"/>
        <w:position w:val="0"/>
        <w:sz w:val="24"/>
        <w:szCs w:val="24"/>
        <w:u w:color="000000"/>
        <w:rtl w:val="0"/>
        <w:lang w:val="en-US"/>
      </w:rPr>
    </w:lvl>
    <w:lvl w:ilvl="4">
      <w:start w:val="1"/>
      <w:numFmt w:val="lowerLetter"/>
      <w:lvlText w:val="%5."/>
      <w:lvlJc w:val="left"/>
      <w:pPr>
        <w:tabs>
          <w:tab w:val="num" w:pos="3666"/>
        </w:tabs>
        <w:ind w:left="3666" w:hanging="360"/>
      </w:pPr>
      <w:rPr>
        <w:color w:val="000000"/>
        <w:position w:val="0"/>
        <w:sz w:val="24"/>
        <w:szCs w:val="24"/>
        <w:u w:color="000000"/>
        <w:rtl w:val="0"/>
        <w:lang w:val="en-US"/>
      </w:rPr>
    </w:lvl>
    <w:lvl w:ilvl="5">
      <w:start w:val="1"/>
      <w:numFmt w:val="lowerRoman"/>
      <w:lvlText w:val="%6."/>
      <w:lvlJc w:val="left"/>
      <w:pPr>
        <w:tabs>
          <w:tab w:val="num" w:pos="4386"/>
        </w:tabs>
        <w:ind w:left="4386" w:hanging="296"/>
      </w:pPr>
      <w:rPr>
        <w:color w:val="000000"/>
        <w:position w:val="0"/>
        <w:sz w:val="24"/>
        <w:szCs w:val="24"/>
        <w:u w:color="000000"/>
        <w:rtl w:val="0"/>
        <w:lang w:val="en-US"/>
      </w:rPr>
    </w:lvl>
    <w:lvl w:ilvl="6">
      <w:start w:val="1"/>
      <w:numFmt w:val="decimal"/>
      <w:lvlText w:val="%7."/>
      <w:lvlJc w:val="left"/>
      <w:pPr>
        <w:tabs>
          <w:tab w:val="num" w:pos="5106"/>
        </w:tabs>
        <w:ind w:left="5106" w:hanging="360"/>
      </w:pPr>
      <w:rPr>
        <w:color w:val="000000"/>
        <w:position w:val="0"/>
        <w:sz w:val="24"/>
        <w:szCs w:val="24"/>
        <w:u w:color="000000"/>
        <w:rtl w:val="0"/>
        <w:lang w:val="en-US"/>
      </w:rPr>
    </w:lvl>
    <w:lvl w:ilvl="7">
      <w:start w:val="1"/>
      <w:numFmt w:val="lowerLetter"/>
      <w:lvlText w:val="%8."/>
      <w:lvlJc w:val="left"/>
      <w:pPr>
        <w:tabs>
          <w:tab w:val="num" w:pos="5826"/>
        </w:tabs>
        <w:ind w:left="5826" w:hanging="360"/>
      </w:pPr>
      <w:rPr>
        <w:color w:val="000000"/>
        <w:position w:val="0"/>
        <w:sz w:val="24"/>
        <w:szCs w:val="24"/>
        <w:u w:color="000000"/>
        <w:rtl w:val="0"/>
        <w:lang w:val="en-US"/>
      </w:rPr>
    </w:lvl>
    <w:lvl w:ilvl="8">
      <w:start w:val="1"/>
      <w:numFmt w:val="lowerRoman"/>
      <w:lvlText w:val="%9."/>
      <w:lvlJc w:val="left"/>
      <w:pPr>
        <w:tabs>
          <w:tab w:val="num" w:pos="6546"/>
        </w:tabs>
        <w:ind w:left="6546" w:hanging="296"/>
      </w:pPr>
      <w:rPr>
        <w:color w:val="000000"/>
        <w:position w:val="0"/>
        <w:sz w:val="24"/>
        <w:szCs w:val="24"/>
        <w:u w:color="000000"/>
        <w:rtl w:val="0"/>
        <w:lang w:val="en-US"/>
      </w:rPr>
    </w:lvl>
  </w:abstractNum>
  <w:abstractNum w:abstractNumId="267" w15:restartNumberingAfterBreak="0">
    <w:nsid w:val="7E93346F"/>
    <w:multiLevelType w:val="hybridMultilevel"/>
    <w:tmpl w:val="7862A7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8" w15:restartNumberingAfterBreak="0">
    <w:nsid w:val="7EB36677"/>
    <w:multiLevelType w:val="multilevel"/>
    <w:tmpl w:val="DA128EFA"/>
    <w:lvl w:ilvl="0">
      <w:start w:val="1"/>
      <w:numFmt w:val="decimal"/>
      <w:lvlText w:val="%1."/>
      <w:lvlJc w:val="left"/>
      <w:pPr>
        <w:tabs>
          <w:tab w:val="num" w:pos="644"/>
        </w:tabs>
        <w:ind w:left="644"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7FB400FE"/>
    <w:multiLevelType w:val="hybridMultilevel"/>
    <w:tmpl w:val="C0FC193C"/>
    <w:lvl w:ilvl="0" w:tplc="5A40A81A">
      <w:start w:val="1"/>
      <w:numFmt w:val="lowerLetter"/>
      <w:lvlText w:val="%1)"/>
      <w:lvlJc w:val="left"/>
      <w:pPr>
        <w:ind w:left="720" w:hanging="360"/>
      </w:pPr>
      <w:rPr>
        <w:rFonts w:hint="default"/>
      </w:rPr>
    </w:lvl>
    <w:lvl w:ilvl="1" w:tplc="59825B48" w:tentative="1">
      <w:start w:val="1"/>
      <w:numFmt w:val="lowerLetter"/>
      <w:lvlText w:val="%2."/>
      <w:lvlJc w:val="left"/>
      <w:pPr>
        <w:ind w:left="1440" w:hanging="360"/>
      </w:pPr>
    </w:lvl>
    <w:lvl w:ilvl="2" w:tplc="2C309C3A" w:tentative="1">
      <w:start w:val="1"/>
      <w:numFmt w:val="lowerRoman"/>
      <w:lvlText w:val="%3."/>
      <w:lvlJc w:val="right"/>
      <w:pPr>
        <w:ind w:left="2160" w:hanging="180"/>
      </w:pPr>
    </w:lvl>
    <w:lvl w:ilvl="3" w:tplc="D486B418" w:tentative="1">
      <w:start w:val="1"/>
      <w:numFmt w:val="decimal"/>
      <w:lvlText w:val="%4."/>
      <w:lvlJc w:val="left"/>
      <w:pPr>
        <w:ind w:left="2880" w:hanging="360"/>
      </w:pPr>
    </w:lvl>
    <w:lvl w:ilvl="4" w:tplc="80246176" w:tentative="1">
      <w:start w:val="1"/>
      <w:numFmt w:val="lowerLetter"/>
      <w:lvlText w:val="%5."/>
      <w:lvlJc w:val="left"/>
      <w:pPr>
        <w:ind w:left="3600" w:hanging="360"/>
      </w:pPr>
    </w:lvl>
    <w:lvl w:ilvl="5" w:tplc="806AE048" w:tentative="1">
      <w:start w:val="1"/>
      <w:numFmt w:val="lowerRoman"/>
      <w:lvlText w:val="%6."/>
      <w:lvlJc w:val="right"/>
      <w:pPr>
        <w:ind w:left="4320" w:hanging="180"/>
      </w:pPr>
    </w:lvl>
    <w:lvl w:ilvl="6" w:tplc="D88E38DC" w:tentative="1">
      <w:start w:val="1"/>
      <w:numFmt w:val="decimal"/>
      <w:lvlText w:val="%7."/>
      <w:lvlJc w:val="left"/>
      <w:pPr>
        <w:ind w:left="5040" w:hanging="360"/>
      </w:pPr>
    </w:lvl>
    <w:lvl w:ilvl="7" w:tplc="DA78DEE0" w:tentative="1">
      <w:start w:val="1"/>
      <w:numFmt w:val="lowerLetter"/>
      <w:lvlText w:val="%8."/>
      <w:lvlJc w:val="left"/>
      <w:pPr>
        <w:ind w:left="5760" w:hanging="360"/>
      </w:pPr>
    </w:lvl>
    <w:lvl w:ilvl="8" w:tplc="BEAC5A54" w:tentative="1">
      <w:start w:val="1"/>
      <w:numFmt w:val="lowerRoman"/>
      <w:lvlText w:val="%9."/>
      <w:lvlJc w:val="right"/>
      <w:pPr>
        <w:ind w:left="6480" w:hanging="180"/>
      </w:pPr>
    </w:lvl>
  </w:abstractNum>
  <w:num w:numId="1" w16cid:durableId="521824865">
    <w:abstractNumId w:val="0"/>
    <w:lvlOverride w:ilvl="0">
      <w:lvl w:ilvl="0">
        <w:numFmt w:val="bullet"/>
        <w:pStyle w:val="ListBullet"/>
        <w:lvlText w:val=""/>
        <w:legacy w:legacy="1" w:legacySpace="0" w:legacyIndent="360"/>
        <w:lvlJc w:val="left"/>
        <w:pPr>
          <w:ind w:left="0" w:hanging="360"/>
        </w:pPr>
        <w:rPr>
          <w:rFonts w:ascii="Wingdings" w:hAnsi="Wingdings" w:hint="default"/>
          <w:sz w:val="12"/>
        </w:rPr>
      </w:lvl>
    </w:lvlOverride>
  </w:num>
  <w:num w:numId="2" w16cid:durableId="1484345234">
    <w:abstractNumId w:val="77"/>
  </w:num>
  <w:num w:numId="3" w16cid:durableId="111525289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27772012">
    <w:abstractNumId w:val="77"/>
    <w:lvlOverride w:ilvl="0">
      <w:startOverride w:val="1"/>
    </w:lvlOverride>
  </w:num>
  <w:num w:numId="5" w16cid:durableId="737946547">
    <w:abstractNumId w:val="25"/>
  </w:num>
  <w:num w:numId="6" w16cid:durableId="41487224">
    <w:abstractNumId w:val="131"/>
  </w:num>
  <w:num w:numId="7" w16cid:durableId="1835685915">
    <w:abstractNumId w:val="251"/>
  </w:num>
  <w:num w:numId="8" w16cid:durableId="1659991090">
    <w:abstractNumId w:val="107"/>
  </w:num>
  <w:num w:numId="9" w16cid:durableId="677272634">
    <w:abstractNumId w:val="129"/>
  </w:num>
  <w:num w:numId="10" w16cid:durableId="1457065035">
    <w:abstractNumId w:val="26"/>
  </w:num>
  <w:num w:numId="11" w16cid:durableId="317341169">
    <w:abstractNumId w:val="23"/>
  </w:num>
  <w:num w:numId="12" w16cid:durableId="400368086">
    <w:abstractNumId w:val="232"/>
  </w:num>
  <w:num w:numId="13" w16cid:durableId="252516965">
    <w:abstractNumId w:val="89"/>
  </w:num>
  <w:num w:numId="14" w16cid:durableId="559294432">
    <w:abstractNumId w:val="260"/>
  </w:num>
  <w:num w:numId="15" w16cid:durableId="1751192656">
    <w:abstractNumId w:val="233"/>
  </w:num>
  <w:num w:numId="16" w16cid:durableId="757213077">
    <w:abstractNumId w:val="218"/>
  </w:num>
  <w:num w:numId="17" w16cid:durableId="1107650727">
    <w:abstractNumId w:val="243"/>
  </w:num>
  <w:num w:numId="18" w16cid:durableId="1703094051">
    <w:abstractNumId w:val="160"/>
  </w:num>
  <w:num w:numId="19" w16cid:durableId="1313604152">
    <w:abstractNumId w:val="91"/>
  </w:num>
  <w:num w:numId="20" w16cid:durableId="1127819174">
    <w:abstractNumId w:val="42"/>
  </w:num>
  <w:num w:numId="21" w16cid:durableId="1900365500">
    <w:abstractNumId w:val="191"/>
  </w:num>
  <w:num w:numId="22" w16cid:durableId="1176648818">
    <w:abstractNumId w:val="57"/>
  </w:num>
  <w:num w:numId="23" w16cid:durableId="913904014">
    <w:abstractNumId w:val="134"/>
  </w:num>
  <w:num w:numId="24" w16cid:durableId="1055394607">
    <w:abstractNumId w:val="132"/>
  </w:num>
  <w:num w:numId="25" w16cid:durableId="22556731">
    <w:abstractNumId w:val="37"/>
  </w:num>
  <w:num w:numId="26" w16cid:durableId="1008673460">
    <w:abstractNumId w:val="95"/>
  </w:num>
  <w:num w:numId="27" w16cid:durableId="179127377">
    <w:abstractNumId w:val="97"/>
  </w:num>
  <w:num w:numId="28" w16cid:durableId="1472552422">
    <w:abstractNumId w:val="1"/>
  </w:num>
  <w:num w:numId="29" w16cid:durableId="342588593">
    <w:abstractNumId w:val="4"/>
  </w:num>
  <w:num w:numId="30" w16cid:durableId="1585335031">
    <w:abstractNumId w:val="7"/>
  </w:num>
  <w:num w:numId="31" w16cid:durableId="94793527">
    <w:abstractNumId w:val="9"/>
  </w:num>
  <w:num w:numId="32" w16cid:durableId="1003821681">
    <w:abstractNumId w:val="11"/>
  </w:num>
  <w:num w:numId="33" w16cid:durableId="1907372233">
    <w:abstractNumId w:val="13"/>
  </w:num>
  <w:num w:numId="34" w16cid:durableId="1294478618">
    <w:abstractNumId w:val="15"/>
  </w:num>
  <w:num w:numId="35" w16cid:durableId="1749770559">
    <w:abstractNumId w:val="16"/>
  </w:num>
  <w:num w:numId="36" w16cid:durableId="760103532">
    <w:abstractNumId w:val="178"/>
  </w:num>
  <w:num w:numId="37" w16cid:durableId="820655096">
    <w:abstractNumId w:val="171"/>
  </w:num>
  <w:num w:numId="38" w16cid:durableId="657419009">
    <w:abstractNumId w:val="216"/>
  </w:num>
  <w:num w:numId="39" w16cid:durableId="464005854">
    <w:abstractNumId w:val="167"/>
  </w:num>
  <w:num w:numId="40" w16cid:durableId="624501297">
    <w:abstractNumId w:val="269"/>
  </w:num>
  <w:num w:numId="41" w16cid:durableId="1590775129">
    <w:abstractNumId w:val="204"/>
  </w:num>
  <w:num w:numId="42" w16cid:durableId="791096549">
    <w:abstractNumId w:val="261"/>
  </w:num>
  <w:num w:numId="43" w16cid:durableId="1978483819">
    <w:abstractNumId w:val="130"/>
  </w:num>
  <w:num w:numId="44" w16cid:durableId="1947543461">
    <w:abstractNumId w:val="40"/>
  </w:num>
  <w:num w:numId="45" w16cid:durableId="23679696">
    <w:abstractNumId w:val="259"/>
  </w:num>
  <w:num w:numId="46" w16cid:durableId="999651535">
    <w:abstractNumId w:val="54"/>
  </w:num>
  <w:num w:numId="47" w16cid:durableId="936716598">
    <w:abstractNumId w:val="239"/>
  </w:num>
  <w:num w:numId="48" w16cid:durableId="1618483961">
    <w:abstractNumId w:val="227"/>
  </w:num>
  <w:num w:numId="49" w16cid:durableId="1362710395">
    <w:abstractNumId w:val="177"/>
  </w:num>
  <w:num w:numId="50" w16cid:durableId="145434259">
    <w:abstractNumId w:val="197"/>
  </w:num>
  <w:num w:numId="51" w16cid:durableId="1368067310">
    <w:abstractNumId w:val="152"/>
  </w:num>
  <w:num w:numId="52" w16cid:durableId="426190765">
    <w:abstractNumId w:val="143"/>
  </w:num>
  <w:num w:numId="53" w16cid:durableId="404845004">
    <w:abstractNumId w:val="39"/>
  </w:num>
  <w:num w:numId="54" w16cid:durableId="685520072">
    <w:abstractNumId w:val="198"/>
  </w:num>
  <w:num w:numId="55" w16cid:durableId="214317633">
    <w:abstractNumId w:val="19"/>
  </w:num>
  <w:num w:numId="56" w16cid:durableId="2144614070">
    <w:abstractNumId w:val="262"/>
  </w:num>
  <w:num w:numId="57" w16cid:durableId="1591545601">
    <w:abstractNumId w:val="245"/>
  </w:num>
  <w:num w:numId="58" w16cid:durableId="1836804538">
    <w:abstractNumId w:val="148"/>
  </w:num>
  <w:num w:numId="59" w16cid:durableId="706031360">
    <w:abstractNumId w:val="125"/>
  </w:num>
  <w:num w:numId="60" w16cid:durableId="1892686345">
    <w:abstractNumId w:val="63"/>
  </w:num>
  <w:num w:numId="61" w16cid:durableId="881600301">
    <w:abstractNumId w:val="46"/>
  </w:num>
  <w:num w:numId="62" w16cid:durableId="1392802451">
    <w:abstractNumId w:val="85"/>
  </w:num>
  <w:num w:numId="63" w16cid:durableId="560025026">
    <w:abstractNumId w:val="176"/>
  </w:num>
  <w:num w:numId="64" w16cid:durableId="688410798">
    <w:abstractNumId w:val="247"/>
  </w:num>
  <w:num w:numId="65" w16cid:durableId="426119389">
    <w:abstractNumId w:val="92"/>
  </w:num>
  <w:num w:numId="66" w16cid:durableId="738746627">
    <w:abstractNumId w:val="185"/>
  </w:num>
  <w:num w:numId="67" w16cid:durableId="174611116">
    <w:abstractNumId w:val="2"/>
  </w:num>
  <w:num w:numId="68" w16cid:durableId="858860143">
    <w:abstractNumId w:val="3"/>
  </w:num>
  <w:num w:numId="69" w16cid:durableId="1933467562">
    <w:abstractNumId w:val="5"/>
  </w:num>
  <w:num w:numId="70" w16cid:durableId="2040350141">
    <w:abstractNumId w:val="6"/>
  </w:num>
  <w:num w:numId="71" w16cid:durableId="397561792">
    <w:abstractNumId w:val="8"/>
  </w:num>
  <w:num w:numId="72" w16cid:durableId="1067654757">
    <w:abstractNumId w:val="10"/>
  </w:num>
  <w:num w:numId="73" w16cid:durableId="515969968">
    <w:abstractNumId w:val="12"/>
  </w:num>
  <w:num w:numId="74" w16cid:durableId="1430464899">
    <w:abstractNumId w:val="53"/>
  </w:num>
  <w:num w:numId="75" w16cid:durableId="553925499">
    <w:abstractNumId w:val="117"/>
  </w:num>
  <w:num w:numId="76" w16cid:durableId="97876874">
    <w:abstractNumId w:val="265"/>
  </w:num>
  <w:num w:numId="77" w16cid:durableId="1255674354">
    <w:abstractNumId w:val="187"/>
  </w:num>
  <w:num w:numId="78" w16cid:durableId="1220480262">
    <w:abstractNumId w:val="126"/>
  </w:num>
  <w:num w:numId="79" w16cid:durableId="2056343092">
    <w:abstractNumId w:val="83"/>
  </w:num>
  <w:num w:numId="80" w16cid:durableId="874078339">
    <w:abstractNumId w:val="144"/>
  </w:num>
  <w:num w:numId="81" w16cid:durableId="193933150">
    <w:abstractNumId w:val="162"/>
  </w:num>
  <w:num w:numId="82" w16cid:durableId="172915600">
    <w:abstractNumId w:val="183"/>
  </w:num>
  <w:num w:numId="83" w16cid:durableId="180050851">
    <w:abstractNumId w:val="47"/>
  </w:num>
  <w:num w:numId="84" w16cid:durableId="1951474641">
    <w:abstractNumId w:val="234"/>
  </w:num>
  <w:num w:numId="85" w16cid:durableId="1026367412">
    <w:abstractNumId w:val="50"/>
  </w:num>
  <w:num w:numId="86" w16cid:durableId="1007056643">
    <w:abstractNumId w:val="242"/>
  </w:num>
  <w:num w:numId="87" w16cid:durableId="1597598529">
    <w:abstractNumId w:val="113"/>
  </w:num>
  <w:num w:numId="88" w16cid:durableId="1921718776">
    <w:abstractNumId w:val="157"/>
  </w:num>
  <w:num w:numId="89" w16cid:durableId="1335643204">
    <w:abstractNumId w:val="20"/>
  </w:num>
  <w:num w:numId="90" w16cid:durableId="409817152">
    <w:abstractNumId w:val="206"/>
  </w:num>
  <w:num w:numId="91" w16cid:durableId="1288705323">
    <w:abstractNumId w:val="244"/>
    <w:lvlOverride w:ilvl="0">
      <w:lvl w:ilvl="0">
        <w:start w:val="1"/>
        <w:numFmt w:val="decimal"/>
        <w:lvlText w:val="%1."/>
        <w:lvlJc w:val="left"/>
        <w:pPr>
          <w:ind w:left="786" w:hanging="360"/>
        </w:pPr>
        <w:rPr>
          <w:rFonts w:ascii="Garamond" w:hAnsi="Garamond"/>
          <w:b w:val="0"/>
          <w:i w:val="0"/>
          <w:sz w:val="28"/>
        </w:rPr>
      </w:lvl>
    </w:lvlOverride>
  </w:num>
  <w:num w:numId="92" w16cid:durableId="126751465">
    <w:abstractNumId w:val="104"/>
  </w:num>
  <w:num w:numId="93" w16cid:durableId="664557651">
    <w:abstractNumId w:val="145"/>
  </w:num>
  <w:num w:numId="94" w16cid:durableId="185483261">
    <w:abstractNumId w:val="49"/>
  </w:num>
  <w:num w:numId="95" w16cid:durableId="1834249681">
    <w:abstractNumId w:val="84"/>
  </w:num>
  <w:num w:numId="96" w16cid:durableId="530842653">
    <w:abstractNumId w:val="229"/>
  </w:num>
  <w:num w:numId="97" w16cid:durableId="1422262614">
    <w:abstractNumId w:val="14"/>
  </w:num>
  <w:num w:numId="98" w16cid:durableId="596521726">
    <w:abstractNumId w:val="115"/>
  </w:num>
  <w:num w:numId="99" w16cid:durableId="1489203746">
    <w:abstractNumId w:val="213"/>
  </w:num>
  <w:num w:numId="100" w16cid:durableId="1088505474">
    <w:abstractNumId w:val="170"/>
  </w:num>
  <w:num w:numId="101" w16cid:durableId="1134105262">
    <w:abstractNumId w:val="236"/>
  </w:num>
  <w:num w:numId="102" w16cid:durableId="1902789344">
    <w:abstractNumId w:val="237"/>
  </w:num>
  <w:num w:numId="103" w16cid:durableId="885071678">
    <w:abstractNumId w:val="225"/>
  </w:num>
  <w:num w:numId="104" w16cid:durableId="345713926">
    <w:abstractNumId w:val="82"/>
  </w:num>
  <w:num w:numId="105" w16cid:durableId="266234683">
    <w:abstractNumId w:val="182"/>
  </w:num>
  <w:num w:numId="106" w16cid:durableId="1773476027">
    <w:abstractNumId w:val="45"/>
  </w:num>
  <w:num w:numId="107" w16cid:durableId="350885229">
    <w:abstractNumId w:val="223"/>
  </w:num>
  <w:num w:numId="108" w16cid:durableId="1465124263">
    <w:abstractNumId w:val="226"/>
  </w:num>
  <w:num w:numId="109" w16cid:durableId="2008097982">
    <w:abstractNumId w:val="114"/>
  </w:num>
  <w:num w:numId="110" w16cid:durableId="650057308">
    <w:abstractNumId w:val="201"/>
  </w:num>
  <w:num w:numId="111" w16cid:durableId="1002464762">
    <w:abstractNumId w:val="199"/>
  </w:num>
  <w:num w:numId="112" w16cid:durableId="963190668">
    <w:abstractNumId w:val="29"/>
  </w:num>
  <w:num w:numId="113" w16cid:durableId="1199315812">
    <w:abstractNumId w:val="146"/>
  </w:num>
  <w:num w:numId="114" w16cid:durableId="1450737061">
    <w:abstractNumId w:val="79"/>
  </w:num>
  <w:num w:numId="115" w16cid:durableId="2075200573">
    <w:abstractNumId w:val="179"/>
  </w:num>
  <w:num w:numId="116" w16cid:durableId="326636521">
    <w:abstractNumId w:val="64"/>
  </w:num>
  <w:num w:numId="117" w16cid:durableId="2023700552">
    <w:abstractNumId w:val="194"/>
  </w:num>
  <w:num w:numId="118" w16cid:durableId="751659792">
    <w:abstractNumId w:val="207"/>
  </w:num>
  <w:num w:numId="119" w16cid:durableId="277833857">
    <w:abstractNumId w:val="214"/>
  </w:num>
  <w:num w:numId="120" w16cid:durableId="1514297472">
    <w:abstractNumId w:val="78"/>
  </w:num>
  <w:num w:numId="121" w16cid:durableId="2106075767">
    <w:abstractNumId w:val="59"/>
  </w:num>
  <w:num w:numId="122" w16cid:durableId="1758209121">
    <w:abstractNumId w:val="188"/>
  </w:num>
  <w:num w:numId="123" w16cid:durableId="1239512508">
    <w:abstractNumId w:val="93"/>
  </w:num>
  <w:num w:numId="124" w16cid:durableId="1261793883">
    <w:abstractNumId w:val="32"/>
  </w:num>
  <w:num w:numId="125" w16cid:durableId="750783214">
    <w:abstractNumId w:val="264"/>
  </w:num>
  <w:num w:numId="126" w16cid:durableId="384377573">
    <w:abstractNumId w:val="155"/>
  </w:num>
  <w:num w:numId="127" w16cid:durableId="1063413121">
    <w:abstractNumId w:val="119"/>
  </w:num>
  <w:num w:numId="128" w16cid:durableId="1011837696">
    <w:abstractNumId w:val="17"/>
  </w:num>
  <w:num w:numId="129" w16cid:durableId="733892447">
    <w:abstractNumId w:val="80"/>
  </w:num>
  <w:num w:numId="130" w16cid:durableId="2005084832">
    <w:abstractNumId w:val="254"/>
  </w:num>
  <w:num w:numId="131" w16cid:durableId="967705449">
    <w:abstractNumId w:val="139"/>
  </w:num>
  <w:num w:numId="132" w16cid:durableId="588581225">
    <w:abstractNumId w:val="86"/>
  </w:num>
  <w:num w:numId="133" w16cid:durableId="768742208">
    <w:abstractNumId w:val="33"/>
  </w:num>
  <w:num w:numId="134" w16cid:durableId="1392122117">
    <w:abstractNumId w:val="205"/>
  </w:num>
  <w:num w:numId="135" w16cid:durableId="457527282">
    <w:abstractNumId w:val="76"/>
  </w:num>
  <w:num w:numId="136" w16cid:durableId="710300488">
    <w:abstractNumId w:val="168"/>
  </w:num>
  <w:num w:numId="137" w16cid:durableId="1891259844">
    <w:abstractNumId w:val="35"/>
  </w:num>
  <w:num w:numId="138" w16cid:durableId="988899453">
    <w:abstractNumId w:val="99"/>
  </w:num>
  <w:num w:numId="139" w16cid:durableId="1438910303">
    <w:abstractNumId w:val="169"/>
  </w:num>
  <w:num w:numId="140" w16cid:durableId="1814252606">
    <w:abstractNumId w:val="133"/>
  </w:num>
  <w:num w:numId="141" w16cid:durableId="887110155">
    <w:abstractNumId w:val="27"/>
  </w:num>
  <w:num w:numId="142" w16cid:durableId="1656226449">
    <w:abstractNumId w:val="75"/>
  </w:num>
  <w:num w:numId="143" w16cid:durableId="1952854721">
    <w:abstractNumId w:val="255"/>
  </w:num>
  <w:num w:numId="144" w16cid:durableId="2066486546">
    <w:abstractNumId w:val="100"/>
  </w:num>
  <w:num w:numId="145" w16cid:durableId="588855721">
    <w:abstractNumId w:val="123"/>
  </w:num>
  <w:num w:numId="146" w16cid:durableId="43023620">
    <w:abstractNumId w:val="266"/>
  </w:num>
  <w:num w:numId="147" w16cid:durableId="1337535554">
    <w:abstractNumId w:val="73"/>
  </w:num>
  <w:num w:numId="148" w16cid:durableId="628127905">
    <w:abstractNumId w:val="58"/>
  </w:num>
  <w:num w:numId="149" w16cid:durableId="76442847">
    <w:abstractNumId w:val="238"/>
  </w:num>
  <w:num w:numId="150" w16cid:durableId="1070619110">
    <w:abstractNumId w:val="200"/>
  </w:num>
  <w:num w:numId="151" w16cid:durableId="263343074">
    <w:abstractNumId w:val="257"/>
  </w:num>
  <w:num w:numId="152" w16cid:durableId="172110519">
    <w:abstractNumId w:val="56"/>
  </w:num>
  <w:num w:numId="153" w16cid:durableId="833684314">
    <w:abstractNumId w:val="30"/>
  </w:num>
  <w:num w:numId="154" w16cid:durableId="1597205739">
    <w:abstractNumId w:val="112"/>
  </w:num>
  <w:num w:numId="155" w16cid:durableId="1975136618">
    <w:abstractNumId w:val="240"/>
  </w:num>
  <w:num w:numId="156" w16cid:durableId="1774200610">
    <w:abstractNumId w:val="67"/>
  </w:num>
  <w:num w:numId="157" w16cid:durableId="1832983566">
    <w:abstractNumId w:val="249"/>
  </w:num>
  <w:num w:numId="158" w16cid:durableId="152065666">
    <w:abstractNumId w:val="127"/>
  </w:num>
  <w:num w:numId="159" w16cid:durableId="728840828">
    <w:abstractNumId w:val="159"/>
  </w:num>
  <w:num w:numId="160" w16cid:durableId="1744989869">
    <w:abstractNumId w:val="250"/>
  </w:num>
  <w:num w:numId="161" w16cid:durableId="1183515757">
    <w:abstractNumId w:val="256"/>
  </w:num>
  <w:num w:numId="162" w16cid:durableId="908227959">
    <w:abstractNumId w:val="61"/>
  </w:num>
  <w:num w:numId="163" w16cid:durableId="690372989">
    <w:abstractNumId w:val="51"/>
  </w:num>
  <w:num w:numId="164" w16cid:durableId="622540222">
    <w:abstractNumId w:val="106"/>
  </w:num>
  <w:num w:numId="165" w16cid:durableId="630134875">
    <w:abstractNumId w:val="70"/>
  </w:num>
  <w:num w:numId="166" w16cid:durableId="1032682817">
    <w:abstractNumId w:val="110"/>
  </w:num>
  <w:num w:numId="167" w16cid:durableId="303197854">
    <w:abstractNumId w:val="203"/>
  </w:num>
  <w:num w:numId="168" w16cid:durableId="522206391">
    <w:abstractNumId w:val="192"/>
  </w:num>
  <w:num w:numId="169" w16cid:durableId="791941873">
    <w:abstractNumId w:val="38"/>
  </w:num>
  <w:num w:numId="170" w16cid:durableId="58791960">
    <w:abstractNumId w:val="102"/>
  </w:num>
  <w:num w:numId="171" w16cid:durableId="1599755958">
    <w:abstractNumId w:val="41"/>
  </w:num>
  <w:num w:numId="172" w16cid:durableId="1024136104">
    <w:abstractNumId w:val="105"/>
  </w:num>
  <w:num w:numId="173" w16cid:durableId="1287810599">
    <w:abstractNumId w:val="36"/>
  </w:num>
  <w:num w:numId="174" w16cid:durableId="687174815">
    <w:abstractNumId w:val="173"/>
  </w:num>
  <w:num w:numId="175" w16cid:durableId="1900750607">
    <w:abstractNumId w:val="231"/>
  </w:num>
  <w:num w:numId="176" w16cid:durableId="1889954879">
    <w:abstractNumId w:val="151"/>
  </w:num>
  <w:num w:numId="177" w16cid:durableId="524635956">
    <w:abstractNumId w:val="156"/>
  </w:num>
  <w:num w:numId="178" w16cid:durableId="1961690928">
    <w:abstractNumId w:val="184"/>
  </w:num>
  <w:num w:numId="179" w16cid:durableId="1893883095">
    <w:abstractNumId w:val="147"/>
  </w:num>
  <w:num w:numId="180" w16cid:durableId="1271088662">
    <w:abstractNumId w:val="21"/>
  </w:num>
  <w:num w:numId="181" w16cid:durableId="1016731682">
    <w:abstractNumId w:val="253"/>
  </w:num>
  <w:num w:numId="182" w16cid:durableId="1639531797">
    <w:abstractNumId w:val="220"/>
  </w:num>
  <w:num w:numId="183" w16cid:durableId="1355038068">
    <w:abstractNumId w:val="81"/>
  </w:num>
  <w:num w:numId="184" w16cid:durableId="23336425">
    <w:abstractNumId w:val="60"/>
  </w:num>
  <w:num w:numId="185" w16cid:durableId="1678997739">
    <w:abstractNumId w:val="246"/>
  </w:num>
  <w:num w:numId="186" w16cid:durableId="869221420">
    <w:abstractNumId w:val="28"/>
  </w:num>
  <w:num w:numId="187" w16cid:durableId="105471370">
    <w:abstractNumId w:val="72"/>
  </w:num>
  <w:num w:numId="188" w16cid:durableId="1030881642">
    <w:abstractNumId w:val="221"/>
  </w:num>
  <w:num w:numId="189" w16cid:durableId="811413076">
    <w:abstractNumId w:val="124"/>
  </w:num>
  <w:num w:numId="190" w16cid:durableId="131800873">
    <w:abstractNumId w:val="138"/>
  </w:num>
  <w:num w:numId="191" w16cid:durableId="2099597966">
    <w:abstractNumId w:val="65"/>
  </w:num>
  <w:num w:numId="192" w16cid:durableId="515507374">
    <w:abstractNumId w:val="153"/>
  </w:num>
  <w:num w:numId="193" w16cid:durableId="666901132">
    <w:abstractNumId w:val="210"/>
  </w:num>
  <w:num w:numId="194" w16cid:durableId="1306937670">
    <w:abstractNumId w:val="172"/>
  </w:num>
  <w:num w:numId="195" w16cid:durableId="1367830761">
    <w:abstractNumId w:val="215"/>
  </w:num>
  <w:num w:numId="196" w16cid:durableId="95058973">
    <w:abstractNumId w:val="222"/>
  </w:num>
  <w:num w:numId="197" w16cid:durableId="425543686">
    <w:abstractNumId w:val="43"/>
  </w:num>
  <w:num w:numId="198" w16cid:durableId="496657700">
    <w:abstractNumId w:val="189"/>
  </w:num>
  <w:num w:numId="199" w16cid:durableId="898397597">
    <w:abstractNumId w:val="141"/>
  </w:num>
  <w:num w:numId="200" w16cid:durableId="2023781865">
    <w:abstractNumId w:val="263"/>
  </w:num>
  <w:num w:numId="201" w16cid:durableId="1665284072">
    <w:abstractNumId w:val="98"/>
  </w:num>
  <w:num w:numId="202" w16cid:durableId="1211307811">
    <w:abstractNumId w:val="137"/>
  </w:num>
  <w:num w:numId="203" w16cid:durableId="1970085219">
    <w:abstractNumId w:val="122"/>
  </w:num>
  <w:num w:numId="204" w16cid:durableId="439421004">
    <w:abstractNumId w:val="62"/>
  </w:num>
  <w:num w:numId="205" w16cid:durableId="108670051">
    <w:abstractNumId w:val="128"/>
  </w:num>
  <w:num w:numId="206" w16cid:durableId="288165739">
    <w:abstractNumId w:val="24"/>
  </w:num>
  <w:num w:numId="207" w16cid:durableId="1257594806">
    <w:abstractNumId w:val="118"/>
  </w:num>
  <w:num w:numId="208" w16cid:durableId="789326471">
    <w:abstractNumId w:val="94"/>
  </w:num>
  <w:num w:numId="209" w16cid:durableId="1273438963">
    <w:abstractNumId w:val="228"/>
  </w:num>
  <w:num w:numId="210" w16cid:durableId="201673921">
    <w:abstractNumId w:val="252"/>
  </w:num>
  <w:num w:numId="211" w16cid:durableId="1327174140">
    <w:abstractNumId w:val="175"/>
  </w:num>
  <w:num w:numId="212" w16cid:durableId="102191047">
    <w:abstractNumId w:val="74"/>
  </w:num>
  <w:num w:numId="213" w16cid:durableId="543710888">
    <w:abstractNumId w:val="166"/>
  </w:num>
  <w:num w:numId="214" w16cid:durableId="1868178412">
    <w:abstractNumId w:val="193"/>
  </w:num>
  <w:num w:numId="215" w16cid:durableId="1412855191">
    <w:abstractNumId w:val="219"/>
  </w:num>
  <w:num w:numId="216" w16cid:durableId="995962512">
    <w:abstractNumId w:val="268"/>
  </w:num>
  <w:num w:numId="217" w16cid:durableId="1534079873">
    <w:abstractNumId w:val="121"/>
  </w:num>
  <w:num w:numId="218" w16cid:durableId="407314559">
    <w:abstractNumId w:val="52"/>
  </w:num>
  <w:num w:numId="219" w16cid:durableId="1096747165">
    <w:abstractNumId w:val="195"/>
  </w:num>
  <w:num w:numId="220" w16cid:durableId="2048410363">
    <w:abstractNumId w:val="69"/>
  </w:num>
  <w:num w:numId="221" w16cid:durableId="1506869495">
    <w:abstractNumId w:val="111"/>
  </w:num>
  <w:num w:numId="222" w16cid:durableId="2059010074">
    <w:abstractNumId w:val="161"/>
  </w:num>
  <w:num w:numId="223" w16cid:durableId="1208641690">
    <w:abstractNumId w:val="224"/>
  </w:num>
  <w:num w:numId="224" w16cid:durableId="1262374041">
    <w:abstractNumId w:val="211"/>
  </w:num>
  <w:num w:numId="225" w16cid:durableId="1267812887">
    <w:abstractNumId w:val="120"/>
  </w:num>
  <w:num w:numId="226" w16cid:durableId="1263296921">
    <w:abstractNumId w:val="149"/>
  </w:num>
  <w:num w:numId="227" w16cid:durableId="1671713590">
    <w:abstractNumId w:val="164"/>
  </w:num>
  <w:num w:numId="228" w16cid:durableId="983512281">
    <w:abstractNumId w:val="22"/>
  </w:num>
  <w:num w:numId="229" w16cid:durableId="696078800">
    <w:abstractNumId w:val="267"/>
  </w:num>
  <w:num w:numId="230" w16cid:durableId="31616330">
    <w:abstractNumId w:val="116"/>
  </w:num>
  <w:num w:numId="231" w16cid:durableId="406615179">
    <w:abstractNumId w:val="136"/>
  </w:num>
  <w:num w:numId="232" w16cid:durableId="1308977669">
    <w:abstractNumId w:val="196"/>
  </w:num>
  <w:num w:numId="233" w16cid:durableId="1899172616">
    <w:abstractNumId w:val="96"/>
  </w:num>
  <w:num w:numId="234" w16cid:durableId="1849517678">
    <w:abstractNumId w:val="31"/>
  </w:num>
  <w:num w:numId="235" w16cid:durableId="1747414961">
    <w:abstractNumId w:val="90"/>
  </w:num>
  <w:num w:numId="236" w16cid:durableId="871965506">
    <w:abstractNumId w:val="68"/>
  </w:num>
  <w:num w:numId="237" w16cid:durableId="1561939052">
    <w:abstractNumId w:val="109"/>
  </w:num>
  <w:num w:numId="238" w16cid:durableId="912278000">
    <w:abstractNumId w:val="108"/>
  </w:num>
  <w:num w:numId="239" w16cid:durableId="494153794">
    <w:abstractNumId w:val="55"/>
  </w:num>
  <w:num w:numId="240" w16cid:durableId="715197166">
    <w:abstractNumId w:val="174"/>
  </w:num>
  <w:num w:numId="241" w16cid:durableId="1891844891">
    <w:abstractNumId w:val="181"/>
  </w:num>
  <w:num w:numId="242" w16cid:durableId="401610599">
    <w:abstractNumId w:val="44"/>
  </w:num>
  <w:num w:numId="243" w16cid:durableId="292909066">
    <w:abstractNumId w:val="135"/>
  </w:num>
  <w:num w:numId="244" w16cid:durableId="2070496012">
    <w:abstractNumId w:val="154"/>
  </w:num>
  <w:num w:numId="245" w16cid:durableId="662508091">
    <w:abstractNumId w:val="208"/>
  </w:num>
  <w:num w:numId="246" w16cid:durableId="1299535088">
    <w:abstractNumId w:val="190"/>
  </w:num>
  <w:num w:numId="247" w16cid:durableId="1163004615">
    <w:abstractNumId w:val="88"/>
  </w:num>
  <w:num w:numId="248" w16cid:durableId="790438102">
    <w:abstractNumId w:val="248"/>
  </w:num>
  <w:num w:numId="249" w16cid:durableId="1892032926">
    <w:abstractNumId w:val="258"/>
  </w:num>
  <w:num w:numId="250" w16cid:durableId="1314065171">
    <w:abstractNumId w:val="241"/>
  </w:num>
  <w:num w:numId="251" w16cid:durableId="1026908119">
    <w:abstractNumId w:val="103"/>
  </w:num>
  <w:num w:numId="252" w16cid:durableId="1692560419">
    <w:abstractNumId w:val="186"/>
  </w:num>
  <w:num w:numId="253" w16cid:durableId="381515202">
    <w:abstractNumId w:val="217"/>
  </w:num>
  <w:num w:numId="254" w16cid:durableId="679897560">
    <w:abstractNumId w:val="0"/>
  </w:num>
  <w:num w:numId="255" w16cid:durableId="1280182600">
    <w:abstractNumId w:val="142"/>
  </w:num>
  <w:num w:numId="256" w16cid:durableId="1869246971">
    <w:abstractNumId w:val="150"/>
  </w:num>
  <w:num w:numId="257" w16cid:durableId="64185157">
    <w:abstractNumId w:val="101"/>
  </w:num>
  <w:num w:numId="258" w16cid:durableId="1567641938">
    <w:abstractNumId w:val="34"/>
  </w:num>
  <w:num w:numId="259" w16cid:durableId="1988898716">
    <w:abstractNumId w:val="180"/>
  </w:num>
  <w:num w:numId="260" w16cid:durableId="2095206442">
    <w:abstractNumId w:val="66"/>
  </w:num>
  <w:num w:numId="261" w16cid:durableId="2117671538">
    <w:abstractNumId w:val="235"/>
  </w:num>
  <w:num w:numId="262" w16cid:durableId="943464364">
    <w:abstractNumId w:val="165"/>
  </w:num>
  <w:num w:numId="263" w16cid:durableId="1080247536">
    <w:abstractNumId w:val="158"/>
  </w:num>
  <w:num w:numId="264" w16cid:durableId="511144338">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16cid:durableId="1252740811">
    <w:abstractNumId w:val="18"/>
  </w:num>
  <w:num w:numId="266" w16cid:durableId="1554072531">
    <w:abstractNumId w:val="230"/>
  </w:num>
  <w:num w:numId="267" w16cid:durableId="1479499459">
    <w:abstractNumId w:val="140"/>
  </w:num>
  <w:num w:numId="268" w16cid:durableId="2023318657">
    <w:abstractNumId w:val="212"/>
  </w:num>
  <w:num w:numId="269" w16cid:durableId="1713964657">
    <w:abstractNumId w:val="87"/>
  </w:num>
  <w:num w:numId="270" w16cid:durableId="113989264">
    <w:abstractNumId w:val="71"/>
  </w:num>
  <w:num w:numId="271" w16cid:durableId="101262943">
    <w:abstractNumId w:val="48"/>
  </w:num>
  <w:num w:numId="272" w16cid:durableId="1986659807">
    <w:abstractNumId w:val="163"/>
  </w:num>
  <w:num w:numId="273" w16cid:durableId="843711886">
    <w:abstractNumId w:val="209"/>
  </w:num>
  <w:numIdMacAtCleanup w:val="2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embedSystemFont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hyphenationZone w:val="425"/>
  <w:drawingGridHorizontalSpacing w:val="187"/>
  <w:drawingGridVerticalSpacing w:val="187"/>
  <w:doNotUseMarginsForDrawingGridOrigin/>
  <w:drawingGridHorizontalOrigin w:val="1699"/>
  <w:drawingGridVerticalOrigin w:val="1987"/>
  <w:doNotShadeFormData/>
  <w:noPunctuationKerning/>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A6B94"/>
    <w:rsid w:val="000000BB"/>
    <w:rsid w:val="00007CB2"/>
    <w:rsid w:val="00007EC6"/>
    <w:rsid w:val="00020053"/>
    <w:rsid w:val="0002207F"/>
    <w:rsid w:val="0002556C"/>
    <w:rsid w:val="00034CAF"/>
    <w:rsid w:val="00047AFE"/>
    <w:rsid w:val="000504EE"/>
    <w:rsid w:val="00052C5D"/>
    <w:rsid w:val="000552CE"/>
    <w:rsid w:val="00083698"/>
    <w:rsid w:val="00084E83"/>
    <w:rsid w:val="00090A3B"/>
    <w:rsid w:val="0009159C"/>
    <w:rsid w:val="00096A69"/>
    <w:rsid w:val="000A0D23"/>
    <w:rsid w:val="000A7A8B"/>
    <w:rsid w:val="000B2D7B"/>
    <w:rsid w:val="000B3255"/>
    <w:rsid w:val="000B6F42"/>
    <w:rsid w:val="000C63C4"/>
    <w:rsid w:val="000E3420"/>
    <w:rsid w:val="000E35D0"/>
    <w:rsid w:val="000E61F1"/>
    <w:rsid w:val="000F1D00"/>
    <w:rsid w:val="00100A6C"/>
    <w:rsid w:val="001023F2"/>
    <w:rsid w:val="00111437"/>
    <w:rsid w:val="00114A68"/>
    <w:rsid w:val="0012324C"/>
    <w:rsid w:val="00133BF9"/>
    <w:rsid w:val="00137967"/>
    <w:rsid w:val="00137D6A"/>
    <w:rsid w:val="00143C85"/>
    <w:rsid w:val="00154D36"/>
    <w:rsid w:val="00161FB2"/>
    <w:rsid w:val="001659BE"/>
    <w:rsid w:val="001700CC"/>
    <w:rsid w:val="00183F81"/>
    <w:rsid w:val="00193E92"/>
    <w:rsid w:val="00194CAB"/>
    <w:rsid w:val="00196365"/>
    <w:rsid w:val="001967C7"/>
    <w:rsid w:val="001A5DA6"/>
    <w:rsid w:val="001B1CD7"/>
    <w:rsid w:val="001B47BD"/>
    <w:rsid w:val="001B642E"/>
    <w:rsid w:val="001B6A88"/>
    <w:rsid w:val="001B767D"/>
    <w:rsid w:val="001C1709"/>
    <w:rsid w:val="00200242"/>
    <w:rsid w:val="002011F1"/>
    <w:rsid w:val="00202F88"/>
    <w:rsid w:val="00206F64"/>
    <w:rsid w:val="00210D5C"/>
    <w:rsid w:val="002237BC"/>
    <w:rsid w:val="002356AB"/>
    <w:rsid w:val="00242FCC"/>
    <w:rsid w:val="0025241A"/>
    <w:rsid w:val="00252DD6"/>
    <w:rsid w:val="00255FF7"/>
    <w:rsid w:val="00265358"/>
    <w:rsid w:val="00271398"/>
    <w:rsid w:val="002819A0"/>
    <w:rsid w:val="00284651"/>
    <w:rsid w:val="00285956"/>
    <w:rsid w:val="00292820"/>
    <w:rsid w:val="002A045E"/>
    <w:rsid w:val="002A66A8"/>
    <w:rsid w:val="002A7A75"/>
    <w:rsid w:val="002B00B7"/>
    <w:rsid w:val="002B21FB"/>
    <w:rsid w:val="002C1F42"/>
    <w:rsid w:val="002C78DC"/>
    <w:rsid w:val="002D0AC0"/>
    <w:rsid w:val="002D2236"/>
    <w:rsid w:val="002D22F1"/>
    <w:rsid w:val="002D4381"/>
    <w:rsid w:val="002D4F17"/>
    <w:rsid w:val="002D6C8B"/>
    <w:rsid w:val="002D7748"/>
    <w:rsid w:val="002E7F7B"/>
    <w:rsid w:val="002F1D0D"/>
    <w:rsid w:val="00303D5B"/>
    <w:rsid w:val="00305E02"/>
    <w:rsid w:val="00305F71"/>
    <w:rsid w:val="00323BF4"/>
    <w:rsid w:val="00323C6B"/>
    <w:rsid w:val="0032592A"/>
    <w:rsid w:val="00332A4C"/>
    <w:rsid w:val="00350ECE"/>
    <w:rsid w:val="003579F7"/>
    <w:rsid w:val="0036644D"/>
    <w:rsid w:val="0037211E"/>
    <w:rsid w:val="003771E6"/>
    <w:rsid w:val="00377655"/>
    <w:rsid w:val="00391E69"/>
    <w:rsid w:val="00397933"/>
    <w:rsid w:val="003A6B94"/>
    <w:rsid w:val="003A6D9D"/>
    <w:rsid w:val="003B1693"/>
    <w:rsid w:val="003B4919"/>
    <w:rsid w:val="003B7BEB"/>
    <w:rsid w:val="003C1704"/>
    <w:rsid w:val="003C51B1"/>
    <w:rsid w:val="003C6648"/>
    <w:rsid w:val="003C6807"/>
    <w:rsid w:val="003D2007"/>
    <w:rsid w:val="003D693A"/>
    <w:rsid w:val="003D781A"/>
    <w:rsid w:val="003E1ECE"/>
    <w:rsid w:val="003E2A9F"/>
    <w:rsid w:val="003E560A"/>
    <w:rsid w:val="003E745F"/>
    <w:rsid w:val="003F4C0B"/>
    <w:rsid w:val="00407341"/>
    <w:rsid w:val="004248FE"/>
    <w:rsid w:val="00436300"/>
    <w:rsid w:val="004512D8"/>
    <w:rsid w:val="00451DE3"/>
    <w:rsid w:val="00453D5F"/>
    <w:rsid w:val="00463F85"/>
    <w:rsid w:val="00464EB2"/>
    <w:rsid w:val="00467A5A"/>
    <w:rsid w:val="00486060"/>
    <w:rsid w:val="004948D5"/>
    <w:rsid w:val="004A1B27"/>
    <w:rsid w:val="004A3400"/>
    <w:rsid w:val="004A4663"/>
    <w:rsid w:val="004A535F"/>
    <w:rsid w:val="004A6388"/>
    <w:rsid w:val="004B057D"/>
    <w:rsid w:val="004B4308"/>
    <w:rsid w:val="004B4CB5"/>
    <w:rsid w:val="004B7BB5"/>
    <w:rsid w:val="004C5C08"/>
    <w:rsid w:val="004E29C0"/>
    <w:rsid w:val="004E4C2B"/>
    <w:rsid w:val="00505A1C"/>
    <w:rsid w:val="00510732"/>
    <w:rsid w:val="00514EC7"/>
    <w:rsid w:val="00520F9B"/>
    <w:rsid w:val="0052238A"/>
    <w:rsid w:val="00525312"/>
    <w:rsid w:val="005263C1"/>
    <w:rsid w:val="00532F59"/>
    <w:rsid w:val="005367B8"/>
    <w:rsid w:val="005417F0"/>
    <w:rsid w:val="00543EEA"/>
    <w:rsid w:val="005479DD"/>
    <w:rsid w:val="00555B81"/>
    <w:rsid w:val="0055600E"/>
    <w:rsid w:val="00557F5F"/>
    <w:rsid w:val="00561FD7"/>
    <w:rsid w:val="00573A05"/>
    <w:rsid w:val="0057576F"/>
    <w:rsid w:val="00575E15"/>
    <w:rsid w:val="00580666"/>
    <w:rsid w:val="00580B15"/>
    <w:rsid w:val="00583AB4"/>
    <w:rsid w:val="0059237E"/>
    <w:rsid w:val="0059570F"/>
    <w:rsid w:val="005A06A6"/>
    <w:rsid w:val="005A6907"/>
    <w:rsid w:val="005A78C8"/>
    <w:rsid w:val="005A7A1F"/>
    <w:rsid w:val="005B4C7B"/>
    <w:rsid w:val="005C0AB5"/>
    <w:rsid w:val="005C3EC1"/>
    <w:rsid w:val="005D330F"/>
    <w:rsid w:val="005E2532"/>
    <w:rsid w:val="005F1639"/>
    <w:rsid w:val="005F27C2"/>
    <w:rsid w:val="00601B76"/>
    <w:rsid w:val="00612A90"/>
    <w:rsid w:val="00613E76"/>
    <w:rsid w:val="00614217"/>
    <w:rsid w:val="00616151"/>
    <w:rsid w:val="00617CF4"/>
    <w:rsid w:val="00625503"/>
    <w:rsid w:val="00630F27"/>
    <w:rsid w:val="0063143B"/>
    <w:rsid w:val="0064449A"/>
    <w:rsid w:val="0065175A"/>
    <w:rsid w:val="00666D6C"/>
    <w:rsid w:val="00674331"/>
    <w:rsid w:val="00674406"/>
    <w:rsid w:val="00675276"/>
    <w:rsid w:val="00680EED"/>
    <w:rsid w:val="00681394"/>
    <w:rsid w:val="006835AF"/>
    <w:rsid w:val="006907A5"/>
    <w:rsid w:val="0069340A"/>
    <w:rsid w:val="006A75C8"/>
    <w:rsid w:val="006A7885"/>
    <w:rsid w:val="006B246B"/>
    <w:rsid w:val="006B5AF6"/>
    <w:rsid w:val="006C5BC9"/>
    <w:rsid w:val="006C7966"/>
    <w:rsid w:val="006D26A3"/>
    <w:rsid w:val="006E0140"/>
    <w:rsid w:val="006E1266"/>
    <w:rsid w:val="006E3F55"/>
    <w:rsid w:val="006F749C"/>
    <w:rsid w:val="00700AB1"/>
    <w:rsid w:val="007031BC"/>
    <w:rsid w:val="00703F7F"/>
    <w:rsid w:val="00704A9D"/>
    <w:rsid w:val="00706B0E"/>
    <w:rsid w:val="007074BC"/>
    <w:rsid w:val="00707782"/>
    <w:rsid w:val="00711DFF"/>
    <w:rsid w:val="00712E1F"/>
    <w:rsid w:val="00714037"/>
    <w:rsid w:val="00715FD4"/>
    <w:rsid w:val="00720195"/>
    <w:rsid w:val="0072591B"/>
    <w:rsid w:val="00730075"/>
    <w:rsid w:val="0073132A"/>
    <w:rsid w:val="0073536E"/>
    <w:rsid w:val="0074264E"/>
    <w:rsid w:val="00745BA0"/>
    <w:rsid w:val="007557BC"/>
    <w:rsid w:val="00756009"/>
    <w:rsid w:val="00762EFD"/>
    <w:rsid w:val="00764FEA"/>
    <w:rsid w:val="00770895"/>
    <w:rsid w:val="00770BF6"/>
    <w:rsid w:val="00775A57"/>
    <w:rsid w:val="007767A0"/>
    <w:rsid w:val="00781A31"/>
    <w:rsid w:val="007926C7"/>
    <w:rsid w:val="00797229"/>
    <w:rsid w:val="00797BF5"/>
    <w:rsid w:val="007A5D10"/>
    <w:rsid w:val="007B41AA"/>
    <w:rsid w:val="007B5371"/>
    <w:rsid w:val="007C3B9A"/>
    <w:rsid w:val="007C411A"/>
    <w:rsid w:val="007C76DD"/>
    <w:rsid w:val="007E1311"/>
    <w:rsid w:val="007E51D1"/>
    <w:rsid w:val="007E6912"/>
    <w:rsid w:val="007F249B"/>
    <w:rsid w:val="007F656E"/>
    <w:rsid w:val="0080392D"/>
    <w:rsid w:val="00817F79"/>
    <w:rsid w:val="00841A0A"/>
    <w:rsid w:val="00841A5E"/>
    <w:rsid w:val="00853018"/>
    <w:rsid w:val="0086285C"/>
    <w:rsid w:val="008638D3"/>
    <w:rsid w:val="00883B46"/>
    <w:rsid w:val="00884540"/>
    <w:rsid w:val="008914BA"/>
    <w:rsid w:val="00895432"/>
    <w:rsid w:val="008A453E"/>
    <w:rsid w:val="008A5AA7"/>
    <w:rsid w:val="008A6DBC"/>
    <w:rsid w:val="008B03D8"/>
    <w:rsid w:val="008B42F0"/>
    <w:rsid w:val="008C107D"/>
    <w:rsid w:val="008C2F31"/>
    <w:rsid w:val="008C5FCD"/>
    <w:rsid w:val="008C7B0D"/>
    <w:rsid w:val="008D6BE6"/>
    <w:rsid w:val="008E2FF1"/>
    <w:rsid w:val="008E5452"/>
    <w:rsid w:val="008F1309"/>
    <w:rsid w:val="008F194B"/>
    <w:rsid w:val="008F338F"/>
    <w:rsid w:val="008F6A91"/>
    <w:rsid w:val="008F708A"/>
    <w:rsid w:val="009013F5"/>
    <w:rsid w:val="00921FA9"/>
    <w:rsid w:val="00924BFC"/>
    <w:rsid w:val="0093712A"/>
    <w:rsid w:val="00937690"/>
    <w:rsid w:val="00944922"/>
    <w:rsid w:val="00944985"/>
    <w:rsid w:val="00945609"/>
    <w:rsid w:val="00966FB0"/>
    <w:rsid w:val="0097122B"/>
    <w:rsid w:val="009729B1"/>
    <w:rsid w:val="00976ACF"/>
    <w:rsid w:val="0097725A"/>
    <w:rsid w:val="00984233"/>
    <w:rsid w:val="0099035A"/>
    <w:rsid w:val="009935CC"/>
    <w:rsid w:val="009A054F"/>
    <w:rsid w:val="009A2C18"/>
    <w:rsid w:val="009B1FE7"/>
    <w:rsid w:val="009B23A8"/>
    <w:rsid w:val="009C0961"/>
    <w:rsid w:val="009C31B7"/>
    <w:rsid w:val="009C5FE7"/>
    <w:rsid w:val="009D04D4"/>
    <w:rsid w:val="009D094B"/>
    <w:rsid w:val="009D5461"/>
    <w:rsid w:val="009E48E3"/>
    <w:rsid w:val="009E6CC5"/>
    <w:rsid w:val="009F199C"/>
    <w:rsid w:val="009F59F5"/>
    <w:rsid w:val="00A00B68"/>
    <w:rsid w:val="00A04BC2"/>
    <w:rsid w:val="00A068CB"/>
    <w:rsid w:val="00A14FB4"/>
    <w:rsid w:val="00A21682"/>
    <w:rsid w:val="00A31BBA"/>
    <w:rsid w:val="00A31DAC"/>
    <w:rsid w:val="00A502F0"/>
    <w:rsid w:val="00A651CF"/>
    <w:rsid w:val="00A67A26"/>
    <w:rsid w:val="00A82A80"/>
    <w:rsid w:val="00A8383C"/>
    <w:rsid w:val="00A86578"/>
    <w:rsid w:val="00A92FBB"/>
    <w:rsid w:val="00A950CA"/>
    <w:rsid w:val="00AA167D"/>
    <w:rsid w:val="00AA55B8"/>
    <w:rsid w:val="00AC0394"/>
    <w:rsid w:val="00AC1FA9"/>
    <w:rsid w:val="00AC46AE"/>
    <w:rsid w:val="00AD0648"/>
    <w:rsid w:val="00AD2427"/>
    <w:rsid w:val="00AD70E8"/>
    <w:rsid w:val="00AE1076"/>
    <w:rsid w:val="00AE69A1"/>
    <w:rsid w:val="00AF2E0D"/>
    <w:rsid w:val="00AF5B66"/>
    <w:rsid w:val="00B10512"/>
    <w:rsid w:val="00B13457"/>
    <w:rsid w:val="00B1459E"/>
    <w:rsid w:val="00B17A60"/>
    <w:rsid w:val="00B215D2"/>
    <w:rsid w:val="00B26A2E"/>
    <w:rsid w:val="00B34621"/>
    <w:rsid w:val="00B34CA7"/>
    <w:rsid w:val="00B4491A"/>
    <w:rsid w:val="00B54F41"/>
    <w:rsid w:val="00B56753"/>
    <w:rsid w:val="00B629AB"/>
    <w:rsid w:val="00B65769"/>
    <w:rsid w:val="00B66F28"/>
    <w:rsid w:val="00B671A0"/>
    <w:rsid w:val="00B725BF"/>
    <w:rsid w:val="00B95883"/>
    <w:rsid w:val="00B965A2"/>
    <w:rsid w:val="00BA1529"/>
    <w:rsid w:val="00BA75C1"/>
    <w:rsid w:val="00BC2E5D"/>
    <w:rsid w:val="00BC4841"/>
    <w:rsid w:val="00BC5C40"/>
    <w:rsid w:val="00BD715C"/>
    <w:rsid w:val="00BE106F"/>
    <w:rsid w:val="00BE2376"/>
    <w:rsid w:val="00BE42A0"/>
    <w:rsid w:val="00BF4B7E"/>
    <w:rsid w:val="00C13409"/>
    <w:rsid w:val="00C45946"/>
    <w:rsid w:val="00C55564"/>
    <w:rsid w:val="00C55BCC"/>
    <w:rsid w:val="00C62FA2"/>
    <w:rsid w:val="00C66B5C"/>
    <w:rsid w:val="00C66CA3"/>
    <w:rsid w:val="00C91607"/>
    <w:rsid w:val="00C92B81"/>
    <w:rsid w:val="00C95504"/>
    <w:rsid w:val="00CA38EB"/>
    <w:rsid w:val="00CA6A17"/>
    <w:rsid w:val="00CA770B"/>
    <w:rsid w:val="00CB3154"/>
    <w:rsid w:val="00CB4B81"/>
    <w:rsid w:val="00CB5C12"/>
    <w:rsid w:val="00CC1D81"/>
    <w:rsid w:val="00CC28A6"/>
    <w:rsid w:val="00CC3AD9"/>
    <w:rsid w:val="00CD5031"/>
    <w:rsid w:val="00CE0A68"/>
    <w:rsid w:val="00CE0D6E"/>
    <w:rsid w:val="00CE389C"/>
    <w:rsid w:val="00CE4B9F"/>
    <w:rsid w:val="00CE7ABF"/>
    <w:rsid w:val="00CE7CA3"/>
    <w:rsid w:val="00CF1177"/>
    <w:rsid w:val="00D003A0"/>
    <w:rsid w:val="00D0069E"/>
    <w:rsid w:val="00D1006D"/>
    <w:rsid w:val="00D448F0"/>
    <w:rsid w:val="00D44ABD"/>
    <w:rsid w:val="00D50884"/>
    <w:rsid w:val="00D51B4C"/>
    <w:rsid w:val="00D52F97"/>
    <w:rsid w:val="00D6342E"/>
    <w:rsid w:val="00D6586B"/>
    <w:rsid w:val="00D81EA4"/>
    <w:rsid w:val="00D86849"/>
    <w:rsid w:val="00D916B4"/>
    <w:rsid w:val="00DA67B9"/>
    <w:rsid w:val="00DA7DB5"/>
    <w:rsid w:val="00DC1D05"/>
    <w:rsid w:val="00DC64FF"/>
    <w:rsid w:val="00DC7FC5"/>
    <w:rsid w:val="00DD1975"/>
    <w:rsid w:val="00DE789B"/>
    <w:rsid w:val="00DF38E4"/>
    <w:rsid w:val="00DF6D34"/>
    <w:rsid w:val="00E04F56"/>
    <w:rsid w:val="00E15825"/>
    <w:rsid w:val="00E23433"/>
    <w:rsid w:val="00E26AC8"/>
    <w:rsid w:val="00E305D8"/>
    <w:rsid w:val="00E36415"/>
    <w:rsid w:val="00E425AB"/>
    <w:rsid w:val="00E42D64"/>
    <w:rsid w:val="00E43620"/>
    <w:rsid w:val="00E516CD"/>
    <w:rsid w:val="00E62166"/>
    <w:rsid w:val="00E66974"/>
    <w:rsid w:val="00E66982"/>
    <w:rsid w:val="00E723D8"/>
    <w:rsid w:val="00E77C0D"/>
    <w:rsid w:val="00E82249"/>
    <w:rsid w:val="00E861B3"/>
    <w:rsid w:val="00E86F07"/>
    <w:rsid w:val="00EA7CB8"/>
    <w:rsid w:val="00EC1B39"/>
    <w:rsid w:val="00EC245C"/>
    <w:rsid w:val="00EC27BC"/>
    <w:rsid w:val="00EC359B"/>
    <w:rsid w:val="00EC39E7"/>
    <w:rsid w:val="00EC3B3C"/>
    <w:rsid w:val="00EC48BB"/>
    <w:rsid w:val="00ED053B"/>
    <w:rsid w:val="00ED0D27"/>
    <w:rsid w:val="00ED12E8"/>
    <w:rsid w:val="00ED59F7"/>
    <w:rsid w:val="00EF2042"/>
    <w:rsid w:val="00EF43CD"/>
    <w:rsid w:val="00F00F5B"/>
    <w:rsid w:val="00F114E2"/>
    <w:rsid w:val="00F12EDD"/>
    <w:rsid w:val="00F16243"/>
    <w:rsid w:val="00F17567"/>
    <w:rsid w:val="00F217CE"/>
    <w:rsid w:val="00F35620"/>
    <w:rsid w:val="00F4058D"/>
    <w:rsid w:val="00F408F6"/>
    <w:rsid w:val="00F617FF"/>
    <w:rsid w:val="00F811E1"/>
    <w:rsid w:val="00FA1742"/>
    <w:rsid w:val="00FA25B7"/>
    <w:rsid w:val="00FA3957"/>
    <w:rsid w:val="00FA45EF"/>
    <w:rsid w:val="00FA4D69"/>
    <w:rsid w:val="00FA7B64"/>
    <w:rsid w:val="00FB1C63"/>
    <w:rsid w:val="00FB375D"/>
    <w:rsid w:val="00FB3AE0"/>
    <w:rsid w:val="00FB3E51"/>
    <w:rsid w:val="00FC0F5F"/>
    <w:rsid w:val="00FC6D29"/>
    <w:rsid w:val="00FE0736"/>
    <w:rsid w:val="00FF646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84DFF5"/>
  <w15:docId w15:val="{673B5785-3DCD-204B-89C6-744D15399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aramond" w:eastAsia="Times New Roman" w:hAnsi="Garamond" w:cs="Times New Roman"/>
        <w:color w:val="000000"/>
        <w:sz w:val="24"/>
        <w:szCs w:val="24"/>
        <w:lang w:val="uk-UA" w:eastAsia="uk-UA"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footer" w:uiPriority="99"/>
    <w:lsdException w:name="caption"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10732"/>
  </w:style>
  <w:style w:type="paragraph" w:styleId="Heading1">
    <w:name w:val="heading 1"/>
    <w:basedOn w:val="Normal"/>
    <w:next w:val="BodyText"/>
    <w:link w:val="Heading1Char"/>
    <w:uiPriority w:val="9"/>
    <w:qFormat/>
    <w:pPr>
      <w:keepNext/>
      <w:keepLines/>
      <w:pBdr>
        <w:top w:val="single" w:sz="6" w:space="6" w:color="808080"/>
        <w:bottom w:val="single" w:sz="6" w:space="6" w:color="808080"/>
      </w:pBdr>
      <w:spacing w:after="240" w:line="240" w:lineRule="atLeast"/>
      <w:jc w:val="center"/>
      <w:outlineLvl w:val="0"/>
    </w:pPr>
    <w:rPr>
      <w:b/>
      <w:caps/>
      <w:spacing w:val="20"/>
      <w:kern w:val="16"/>
      <w:sz w:val="18"/>
      <w:szCs w:val="18"/>
    </w:rPr>
  </w:style>
  <w:style w:type="paragraph" w:styleId="Heading2">
    <w:name w:val="heading 2"/>
    <w:basedOn w:val="Normal"/>
    <w:next w:val="BodyText"/>
    <w:link w:val="Heading2Char"/>
    <w:uiPriority w:val="9"/>
    <w:qFormat/>
    <w:pPr>
      <w:keepNext/>
      <w:keepLines/>
      <w:spacing w:after="180" w:line="240" w:lineRule="atLeast"/>
      <w:jc w:val="center"/>
      <w:outlineLvl w:val="1"/>
    </w:pPr>
    <w:rPr>
      <w:b/>
      <w:caps/>
      <w:spacing w:val="10"/>
      <w:kern w:val="20"/>
      <w:sz w:val="18"/>
      <w:szCs w:val="18"/>
    </w:rPr>
  </w:style>
  <w:style w:type="paragraph" w:styleId="Heading3">
    <w:name w:val="heading 3"/>
    <w:basedOn w:val="Normal"/>
    <w:next w:val="BodyText"/>
    <w:link w:val="Heading3Char"/>
    <w:uiPriority w:val="9"/>
    <w:qFormat/>
    <w:pPr>
      <w:keepNext/>
      <w:keepLines/>
      <w:spacing w:before="240" w:after="180" w:line="240" w:lineRule="atLeast"/>
      <w:outlineLvl w:val="2"/>
    </w:pPr>
    <w:rPr>
      <w:caps/>
      <w:kern w:val="20"/>
      <w:sz w:val="20"/>
      <w:szCs w:val="20"/>
    </w:rPr>
  </w:style>
  <w:style w:type="paragraph" w:styleId="Heading4">
    <w:name w:val="heading 4"/>
    <w:basedOn w:val="Normal"/>
    <w:next w:val="BodyText"/>
    <w:qFormat/>
    <w:pPr>
      <w:keepNext/>
      <w:keepLines/>
      <w:spacing w:before="240" w:after="240" w:line="240" w:lineRule="atLeast"/>
      <w:ind w:left="360"/>
      <w:outlineLvl w:val="3"/>
    </w:pPr>
    <w:rPr>
      <w:i/>
      <w:spacing w:val="5"/>
      <w:kern w:val="20"/>
    </w:rPr>
  </w:style>
  <w:style w:type="paragraph" w:styleId="Heading5">
    <w:name w:val="heading 5"/>
    <w:basedOn w:val="Normal"/>
    <w:next w:val="BodyText"/>
    <w:qFormat/>
    <w:pPr>
      <w:keepNext/>
      <w:keepLines/>
      <w:spacing w:line="240" w:lineRule="atLeast"/>
      <w:outlineLvl w:val="4"/>
    </w:pPr>
    <w:rPr>
      <w:b/>
      <w:kern w:val="20"/>
    </w:rPr>
  </w:style>
  <w:style w:type="paragraph" w:styleId="Heading6">
    <w:name w:val="heading 6"/>
    <w:basedOn w:val="Normal"/>
    <w:next w:val="BodyText"/>
    <w:qFormat/>
    <w:pPr>
      <w:keepNext/>
      <w:keepLines/>
      <w:spacing w:line="240" w:lineRule="atLeast"/>
      <w:outlineLvl w:val="5"/>
    </w:pPr>
    <w:rPr>
      <w:i/>
      <w:spacing w:val="5"/>
      <w:kern w:val="20"/>
    </w:rPr>
  </w:style>
  <w:style w:type="paragraph" w:styleId="Heading7">
    <w:name w:val="heading 7"/>
    <w:basedOn w:val="Normal"/>
    <w:next w:val="BodyText"/>
    <w:qFormat/>
    <w:pPr>
      <w:keepNext/>
      <w:keepLines/>
      <w:spacing w:line="240" w:lineRule="atLeast"/>
      <w:outlineLvl w:val="6"/>
    </w:pPr>
    <w:rPr>
      <w:caps/>
      <w:kern w:val="20"/>
      <w:sz w:val="18"/>
      <w:szCs w:val="18"/>
    </w:rPr>
  </w:style>
  <w:style w:type="paragraph" w:styleId="Heading8">
    <w:name w:val="heading 8"/>
    <w:basedOn w:val="Normal"/>
    <w:next w:val="BodyText"/>
    <w:qFormat/>
    <w:pPr>
      <w:keepNext/>
      <w:keepLines/>
      <w:spacing w:line="240" w:lineRule="atLeast"/>
      <w:ind w:firstLine="360"/>
      <w:outlineLvl w:val="7"/>
    </w:pPr>
    <w:rPr>
      <w:i/>
      <w:spacing w:val="5"/>
      <w:kern w:val="20"/>
    </w:rPr>
  </w:style>
  <w:style w:type="paragraph" w:styleId="Heading9">
    <w:name w:val="heading 9"/>
    <w:basedOn w:val="Normal"/>
    <w:next w:val="BodyText"/>
    <w:qFormat/>
    <w:pPr>
      <w:keepNext/>
      <w:keepLines/>
      <w:spacing w:line="240" w:lineRule="atLeast"/>
      <w:outlineLvl w:val="8"/>
    </w:pPr>
    <w:rPr>
      <w:spacing w:val="-5"/>
      <w:kern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spacing w:after="240" w:line="240" w:lineRule="atLeast"/>
      <w:ind w:firstLine="360"/>
      <w:jc w:val="both"/>
    </w:pPr>
  </w:style>
  <w:style w:type="paragraph" w:styleId="Index1">
    <w:name w:val="index 1"/>
    <w:basedOn w:val="Normal"/>
    <w:semiHidden/>
    <w:rPr>
      <w:sz w:val="21"/>
      <w:szCs w:val="21"/>
    </w:rPr>
  </w:style>
  <w:style w:type="paragraph" w:styleId="Index2">
    <w:name w:val="index 2"/>
    <w:basedOn w:val="Normal"/>
    <w:semiHidden/>
    <w:pPr>
      <w:ind w:hanging="240"/>
    </w:pPr>
    <w:rPr>
      <w:sz w:val="21"/>
      <w:szCs w:val="21"/>
    </w:rPr>
  </w:style>
  <w:style w:type="paragraph" w:styleId="Index3">
    <w:name w:val="index 3"/>
    <w:basedOn w:val="Normal"/>
    <w:semiHidden/>
    <w:pPr>
      <w:ind w:left="480" w:hanging="240"/>
    </w:pPr>
    <w:rPr>
      <w:sz w:val="21"/>
      <w:szCs w:val="21"/>
    </w:rPr>
  </w:style>
  <w:style w:type="paragraph" w:styleId="Index4">
    <w:name w:val="index 4"/>
    <w:basedOn w:val="Normal"/>
    <w:semiHidden/>
    <w:pPr>
      <w:ind w:left="600" w:hanging="240"/>
    </w:pPr>
    <w:rPr>
      <w:sz w:val="21"/>
      <w:szCs w:val="21"/>
    </w:rPr>
  </w:style>
  <w:style w:type="paragraph" w:styleId="Index5">
    <w:name w:val="index 5"/>
    <w:basedOn w:val="Normal"/>
    <w:semiHidden/>
    <w:pPr>
      <w:ind w:left="840"/>
    </w:pPr>
    <w:rPr>
      <w:sz w:val="21"/>
      <w:szCs w:val="21"/>
    </w:rPr>
  </w:style>
  <w:style w:type="paragraph" w:styleId="TOC1">
    <w:name w:val="toc 1"/>
    <w:basedOn w:val="Normal"/>
    <w:uiPriority w:val="39"/>
    <w:pPr>
      <w:spacing w:before="240" w:after="120"/>
    </w:pPr>
    <w:rPr>
      <w:rFonts w:asciiTheme="minorHAnsi" w:hAnsiTheme="minorHAnsi"/>
      <w:b/>
      <w:bCs/>
      <w:sz w:val="20"/>
      <w:szCs w:val="20"/>
    </w:rPr>
  </w:style>
  <w:style w:type="paragraph" w:styleId="TOC2">
    <w:name w:val="toc 2"/>
    <w:basedOn w:val="Normal"/>
    <w:uiPriority w:val="39"/>
    <w:pPr>
      <w:spacing w:before="120"/>
      <w:ind w:left="220"/>
    </w:pPr>
    <w:rPr>
      <w:rFonts w:asciiTheme="minorHAnsi" w:hAnsiTheme="minorHAnsi"/>
      <w:i/>
      <w:iCs/>
      <w:sz w:val="20"/>
      <w:szCs w:val="20"/>
    </w:rPr>
  </w:style>
  <w:style w:type="paragraph" w:styleId="TOC3">
    <w:name w:val="toc 3"/>
    <w:basedOn w:val="Normal"/>
    <w:semiHidden/>
    <w:pPr>
      <w:ind w:left="440"/>
    </w:pPr>
    <w:rPr>
      <w:rFonts w:asciiTheme="minorHAnsi" w:hAnsiTheme="minorHAnsi"/>
      <w:sz w:val="20"/>
      <w:szCs w:val="20"/>
    </w:rPr>
  </w:style>
  <w:style w:type="paragraph" w:styleId="TOC4">
    <w:name w:val="toc 4"/>
    <w:basedOn w:val="Normal"/>
    <w:semiHidden/>
    <w:pPr>
      <w:ind w:left="660"/>
    </w:pPr>
    <w:rPr>
      <w:rFonts w:asciiTheme="minorHAnsi" w:hAnsiTheme="minorHAnsi"/>
      <w:sz w:val="20"/>
      <w:szCs w:val="20"/>
    </w:rPr>
  </w:style>
  <w:style w:type="paragraph" w:styleId="TOC5">
    <w:name w:val="toc 5"/>
    <w:basedOn w:val="Normal"/>
    <w:semiHidden/>
    <w:pPr>
      <w:ind w:left="880"/>
    </w:pPr>
    <w:rPr>
      <w:rFonts w:asciiTheme="minorHAnsi" w:hAnsiTheme="minorHAnsi"/>
      <w:sz w:val="20"/>
      <w:szCs w:val="20"/>
    </w:rPr>
  </w:style>
  <w:style w:type="paragraph" w:styleId="FootnoteText">
    <w:name w:val="footnote text"/>
    <w:basedOn w:val="Normal"/>
    <w:semiHidden/>
  </w:style>
  <w:style w:type="paragraph" w:styleId="CommentText">
    <w:name w:val="annotation text"/>
    <w:basedOn w:val="Normal"/>
    <w:link w:val="CommentTextChar"/>
    <w:uiPriority w:val="99"/>
    <w:semiHidden/>
  </w:style>
  <w:style w:type="paragraph" w:styleId="IndexHeading">
    <w:name w:val="index heading"/>
    <w:basedOn w:val="Normal"/>
    <w:next w:val="Index1"/>
    <w:semiHidden/>
    <w:pPr>
      <w:spacing w:line="480" w:lineRule="atLeast"/>
    </w:pPr>
    <w:rPr>
      <w:spacing w:val="-5"/>
      <w:sz w:val="28"/>
      <w:szCs w:val="28"/>
    </w:rPr>
  </w:style>
  <w:style w:type="paragraph" w:styleId="Caption">
    <w:name w:val="caption"/>
    <w:basedOn w:val="Normal"/>
    <w:next w:val="BodyText"/>
    <w:qFormat/>
    <w:pPr>
      <w:spacing w:after="240"/>
      <w:contextualSpacing/>
      <w:jc w:val="center"/>
    </w:pPr>
    <w:rPr>
      <w:i/>
    </w:rPr>
  </w:style>
  <w:style w:type="paragraph" w:styleId="TableofFigures">
    <w:name w:val="table of figures"/>
    <w:basedOn w:val="Normal"/>
    <w:semiHidden/>
  </w:style>
  <w:style w:type="paragraph" w:styleId="EndnoteText">
    <w:name w:val="endnote text"/>
    <w:basedOn w:val="Normal"/>
    <w:semiHidden/>
  </w:style>
  <w:style w:type="paragraph" w:styleId="TableofAuthorities">
    <w:name w:val="table of authorities"/>
    <w:basedOn w:val="Normal"/>
    <w:semiHidden/>
    <w:pPr>
      <w:tabs>
        <w:tab w:val="right" w:leader="dot" w:pos="7560"/>
      </w:tabs>
    </w:pPr>
  </w:style>
  <w:style w:type="paragraph" w:styleId="MacroText">
    <w:name w:val="macro"/>
    <w:basedOn w:val="BodyText"/>
    <w:semiHidden/>
    <w:rPr>
      <w:rFonts w:ascii="Courier New" w:hAnsi="Courier New" w:cs="Courier New"/>
    </w:rPr>
  </w:style>
  <w:style w:type="paragraph" w:styleId="TOAHeading">
    <w:name w:val="toa heading"/>
    <w:basedOn w:val="Normal"/>
    <w:next w:val="TableofAuthorities"/>
    <w:semiHidden/>
    <w:pPr>
      <w:keepNext/>
      <w:spacing w:line="720" w:lineRule="atLeast"/>
    </w:pPr>
    <w:rPr>
      <w:caps/>
      <w:spacing w:val="-10"/>
      <w:kern w:val="28"/>
    </w:rPr>
  </w:style>
  <w:style w:type="paragraph" w:styleId="ListBullet">
    <w:name w:val="List Bullet"/>
    <w:basedOn w:val="Normal"/>
    <w:pPr>
      <w:numPr>
        <w:numId w:val="1"/>
      </w:numPr>
      <w:spacing w:after="240" w:line="240" w:lineRule="atLeast"/>
      <w:ind w:left="720" w:right="720"/>
      <w:jc w:val="both"/>
    </w:pPr>
  </w:style>
  <w:style w:type="paragraph" w:styleId="Subtitle">
    <w:name w:val="Subtitle"/>
    <w:basedOn w:val="Title"/>
    <w:next w:val="BodyText"/>
    <w:qFormat/>
    <w:pPr>
      <w:spacing w:after="420"/>
    </w:pPr>
    <w:rPr>
      <w:spacing w:val="20"/>
      <w:sz w:val="22"/>
      <w:szCs w:val="22"/>
    </w:rPr>
  </w:style>
  <w:style w:type="paragraph" w:styleId="Title">
    <w:name w:val="Title"/>
    <w:basedOn w:val="Normal"/>
    <w:next w:val="Subtitle"/>
    <w:qFormat/>
    <w:pPr>
      <w:keepNext/>
      <w:keepLines/>
      <w:spacing w:before="140"/>
      <w:jc w:val="center"/>
    </w:pPr>
    <w:rPr>
      <w:caps/>
      <w:spacing w:val="60"/>
      <w:kern w:val="20"/>
      <w:sz w:val="44"/>
      <w:szCs w:val="44"/>
    </w:rPr>
  </w:style>
  <w:style w:type="character" w:customStyle="1" w:styleId="BodyTextChar">
    <w:name w:val="Body Text Char"/>
    <w:basedOn w:val="DefaultParagraphFont"/>
    <w:link w:val="BodyText"/>
    <w:locked/>
    <w:rPr>
      <w:rFonts w:ascii="Garamond" w:hAnsi="Garamond" w:hint="default"/>
      <w:sz w:val="22"/>
      <w:lang w:val="ru-RU" w:eastAsia="ru-RU" w:bidi="ru-RU"/>
    </w:rPr>
  </w:style>
  <w:style w:type="character" w:customStyle="1" w:styleId="BlockQuotationChar">
    <w:name w:val="Block Quotation Char"/>
    <w:basedOn w:val="DefaultParagraphFont"/>
    <w:link w:val="BlockQuotation"/>
    <w:locked/>
    <w:rPr>
      <w:rFonts w:ascii="Garamond" w:hAnsi="Garamond" w:hint="default"/>
      <w:i/>
      <w:iCs w:val="0"/>
      <w:sz w:val="22"/>
      <w:lang w:val="ru-RU" w:eastAsia="ru-RU" w:bidi="ru-RU"/>
    </w:rPr>
  </w:style>
  <w:style w:type="paragraph" w:customStyle="1" w:styleId="BlockQuotation">
    <w:name w:val="Block Quotation"/>
    <w:basedOn w:val="BodyText"/>
    <w:link w:val="BlockQuotationChar"/>
    <w:pPr>
      <w:keepLines/>
      <w:pBdr>
        <w:top w:val="single" w:sz="6" w:space="14" w:color="808080"/>
        <w:left w:val="single" w:sz="6" w:space="14" w:color="808080"/>
        <w:bottom w:val="single" w:sz="6" w:space="14" w:color="808080"/>
        <w:right w:val="single" w:sz="6" w:space="14" w:color="808080"/>
      </w:pBdr>
      <w:ind w:left="720" w:right="720" w:firstLine="0"/>
    </w:pPr>
    <w:rPr>
      <w:i/>
      <w:lang w:bidi="ru-RU"/>
    </w:rPr>
  </w:style>
  <w:style w:type="paragraph" w:customStyle="1" w:styleId="SubtitleCover">
    <w:name w:val="Subtitle Cover"/>
    <w:basedOn w:val="TitleCover"/>
    <w:next w:val="BodyText"/>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pPr>
      <w:keepNext/>
      <w:keepLines/>
      <w:spacing w:after="240" w:line="720" w:lineRule="atLeast"/>
      <w:jc w:val="center"/>
    </w:pPr>
    <w:rPr>
      <w:caps/>
      <w:spacing w:val="65"/>
      <w:kern w:val="20"/>
      <w:sz w:val="64"/>
      <w:szCs w:val="64"/>
      <w:lang w:bidi="ru-RU"/>
    </w:rPr>
  </w:style>
  <w:style w:type="paragraph" w:customStyle="1" w:styleId="Columnheadings">
    <w:name w:val="Column headings"/>
    <w:basedOn w:val="Normal"/>
    <w:pPr>
      <w:keepNext/>
      <w:spacing w:before="80"/>
      <w:jc w:val="center"/>
    </w:pPr>
    <w:rPr>
      <w:caps/>
      <w:sz w:val="14"/>
      <w:szCs w:val="14"/>
      <w:lang w:bidi="ru-RU"/>
    </w:rPr>
  </w:style>
  <w:style w:type="paragraph" w:customStyle="1" w:styleId="CompanyName">
    <w:name w:val="Company Name"/>
    <w:basedOn w:val="BodyText"/>
    <w:pPr>
      <w:keepLines/>
      <w:framePr w:w="8640" w:h="1440" w:wrap="notBeside" w:vAnchor="page" w:hAnchor="margin" w:xAlign="center" w:y="889"/>
      <w:spacing w:after="40"/>
      <w:ind w:firstLine="0"/>
      <w:jc w:val="center"/>
    </w:pPr>
    <w:rPr>
      <w:caps/>
      <w:spacing w:val="75"/>
      <w:kern w:val="18"/>
      <w:lang w:bidi="ru-RU"/>
    </w:rPr>
  </w:style>
  <w:style w:type="paragraph" w:customStyle="1" w:styleId="Rowlabels">
    <w:name w:val="Row labels"/>
    <w:basedOn w:val="Normal"/>
    <w:pPr>
      <w:keepNext/>
      <w:spacing w:before="40"/>
    </w:pPr>
    <w:rPr>
      <w:sz w:val="18"/>
      <w:szCs w:val="18"/>
      <w:lang w:bidi="ru-RU"/>
    </w:rPr>
  </w:style>
  <w:style w:type="paragraph" w:customStyle="1" w:styleId="Percentage">
    <w:name w:val="Percentage"/>
    <w:basedOn w:val="Normal"/>
    <w:pPr>
      <w:spacing w:before="40"/>
      <w:jc w:val="center"/>
    </w:pPr>
    <w:rPr>
      <w:sz w:val="18"/>
      <w:szCs w:val="18"/>
      <w:lang w:bidi="ru-RU"/>
    </w:rPr>
  </w:style>
  <w:style w:type="character" w:customStyle="1" w:styleId="NumberedListChar">
    <w:name w:val="Numbered List Char"/>
    <w:basedOn w:val="DefaultParagraphFont"/>
    <w:link w:val="NumberedList"/>
    <w:locked/>
    <w:rPr>
      <w:lang w:bidi="ru-RU"/>
    </w:rPr>
  </w:style>
  <w:style w:type="paragraph" w:customStyle="1" w:styleId="NumberedList">
    <w:name w:val="Numbered List"/>
    <w:basedOn w:val="Normal"/>
    <w:link w:val="NumberedListChar"/>
    <w:pPr>
      <w:numPr>
        <w:numId w:val="3"/>
      </w:numPr>
      <w:spacing w:after="240" w:line="312" w:lineRule="auto"/>
      <w:contextualSpacing/>
    </w:pPr>
    <w:rPr>
      <w:lang w:bidi="ru-RU"/>
    </w:rPr>
  </w:style>
  <w:style w:type="character" w:customStyle="1" w:styleId="NumberedListBoldChar">
    <w:name w:val="Numbered List Bold Char"/>
    <w:basedOn w:val="NumberedListChar"/>
    <w:link w:val="NumberedListBold"/>
    <w:locked/>
    <w:rPr>
      <w:b/>
      <w:bCs/>
      <w:lang w:bidi="ru-RU"/>
    </w:rPr>
  </w:style>
  <w:style w:type="paragraph" w:customStyle="1" w:styleId="NumberedListBold">
    <w:name w:val="Numbered List Bold"/>
    <w:basedOn w:val="NumberedList"/>
    <w:link w:val="NumberedListBoldChar"/>
    <w:rPr>
      <w:b/>
      <w:bCs/>
    </w:rPr>
  </w:style>
  <w:style w:type="paragraph" w:customStyle="1" w:styleId="LineSpace">
    <w:name w:val="Line Space"/>
    <w:basedOn w:val="Normal"/>
    <w:rPr>
      <w:rFonts w:ascii="Verdana" w:hAnsi="Verdana" w:cs="Verdana"/>
      <w:sz w:val="12"/>
      <w:szCs w:val="12"/>
      <w:lang w:bidi="ru-RU"/>
    </w:rPr>
  </w:style>
  <w:style w:type="character" w:styleId="FootnoteReference">
    <w:name w:val="footnote reference"/>
    <w:semiHidden/>
    <w:rPr>
      <w:vertAlign w:val="superscript"/>
    </w:rPr>
  </w:style>
  <w:style w:type="character" w:styleId="CommentReference">
    <w:name w:val="annotation reference"/>
    <w:rPr>
      <w:sz w:val="16"/>
    </w:rPr>
  </w:style>
  <w:style w:type="character" w:styleId="PageNumber">
    <w:name w:val="page number"/>
    <w:rPr>
      <w:sz w:val="24"/>
    </w:rPr>
  </w:style>
  <w:style w:type="character" w:styleId="EndnoteReference">
    <w:name w:val="endnote reference"/>
    <w:semiHidden/>
    <w:rPr>
      <w:vertAlign w:val="superscript"/>
    </w:rPr>
  </w:style>
  <w:style w:type="character" w:customStyle="1" w:styleId="Lead-inEmphasis">
    <w:name w:val="Lead-in Emphasis"/>
    <w:rPr>
      <w:caps/>
      <w:sz w:val="18"/>
      <w:lang w:val="ru-RU" w:eastAsia="ru-RU" w:bidi="ru-RU"/>
    </w:rPr>
  </w:style>
  <w:style w:type="paragraph" w:styleId="Header">
    <w:name w:val="header"/>
    <w:basedOn w:val="Normal"/>
    <w:pPr>
      <w:tabs>
        <w:tab w:val="center" w:pos="4536"/>
        <w:tab w:val="right" w:pos="9072"/>
      </w:tabs>
    </w:pPr>
  </w:style>
  <w:style w:type="paragraph" w:styleId="Footer">
    <w:name w:val="footer"/>
    <w:basedOn w:val="Normal"/>
    <w:link w:val="FooterChar"/>
    <w:uiPriority w:val="99"/>
    <w:pPr>
      <w:tabs>
        <w:tab w:val="center" w:pos="4536"/>
        <w:tab w:val="right" w:pos="9072"/>
      </w:tabs>
    </w:pPr>
  </w:style>
  <w:style w:type="paragraph" w:styleId="TOC6">
    <w:name w:val="toc 6"/>
    <w:basedOn w:val="Normal"/>
    <w:next w:val="Normal"/>
    <w:autoRedefine/>
    <w:rsid w:val="003A6B94"/>
    <w:pPr>
      <w:ind w:left="1100"/>
    </w:pPr>
    <w:rPr>
      <w:rFonts w:asciiTheme="minorHAnsi" w:hAnsiTheme="minorHAnsi"/>
      <w:sz w:val="20"/>
      <w:szCs w:val="20"/>
    </w:rPr>
  </w:style>
  <w:style w:type="paragraph" w:styleId="TOC7">
    <w:name w:val="toc 7"/>
    <w:basedOn w:val="Normal"/>
    <w:next w:val="Normal"/>
    <w:autoRedefine/>
    <w:rsid w:val="003A6B94"/>
    <w:pPr>
      <w:ind w:left="1320"/>
    </w:pPr>
    <w:rPr>
      <w:rFonts w:asciiTheme="minorHAnsi" w:hAnsiTheme="minorHAnsi"/>
      <w:sz w:val="20"/>
      <w:szCs w:val="20"/>
    </w:rPr>
  </w:style>
  <w:style w:type="paragraph" w:styleId="TOC8">
    <w:name w:val="toc 8"/>
    <w:basedOn w:val="Normal"/>
    <w:next w:val="Normal"/>
    <w:autoRedefine/>
    <w:rsid w:val="003A6B94"/>
    <w:pPr>
      <w:ind w:left="1540"/>
    </w:pPr>
    <w:rPr>
      <w:rFonts w:asciiTheme="minorHAnsi" w:hAnsiTheme="minorHAnsi"/>
      <w:sz w:val="20"/>
      <w:szCs w:val="20"/>
    </w:rPr>
  </w:style>
  <w:style w:type="paragraph" w:styleId="TOC9">
    <w:name w:val="toc 9"/>
    <w:basedOn w:val="Normal"/>
    <w:next w:val="Normal"/>
    <w:autoRedefine/>
    <w:rsid w:val="003A6B94"/>
    <w:pPr>
      <w:ind w:left="1760"/>
    </w:pPr>
    <w:rPr>
      <w:rFonts w:asciiTheme="minorHAnsi" w:hAnsiTheme="minorHAnsi"/>
      <w:sz w:val="20"/>
      <w:szCs w:val="20"/>
    </w:rPr>
  </w:style>
  <w:style w:type="character" w:styleId="Hyperlink">
    <w:name w:val="Hyperlink"/>
    <w:uiPriority w:val="99"/>
    <w:unhideWhenUsed/>
    <w:rsid w:val="003A6B94"/>
    <w:rPr>
      <w:color w:val="0000FF"/>
      <w:u w:val="single"/>
    </w:rPr>
  </w:style>
  <w:style w:type="table" w:styleId="TableGrid">
    <w:name w:val="Table Grid"/>
    <w:basedOn w:val="TableNormal"/>
    <w:rsid w:val="003F4C0B"/>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F4C0B"/>
    <w:pPr>
      <w:spacing w:after="200" w:line="276" w:lineRule="auto"/>
      <w:ind w:left="720"/>
      <w:contextualSpacing/>
    </w:pPr>
    <w:rPr>
      <w:rFonts w:ascii="Times New Roman" w:eastAsia="Calibri" w:hAnsi="Times New Roman"/>
      <w:sz w:val="28"/>
      <w:lang w:eastAsia="en-US"/>
    </w:rPr>
  </w:style>
  <w:style w:type="paragraph" w:styleId="NormalWeb">
    <w:name w:val="Normal (Web)"/>
    <w:basedOn w:val="Normal"/>
    <w:uiPriority w:val="99"/>
    <w:rsid w:val="003F4C0B"/>
    <w:pPr>
      <w:spacing w:before="100" w:beforeAutospacing="1" w:after="100" w:afterAutospacing="1"/>
    </w:pPr>
    <w:rPr>
      <w:rFonts w:ascii="Times New Roman" w:hAnsi="Times New Roman"/>
    </w:rPr>
  </w:style>
  <w:style w:type="paragraph" w:customStyle="1" w:styleId="NormalText">
    <w:name w:val="Normal Text"/>
    <w:uiPriority w:val="99"/>
    <w:rsid w:val="003F4C0B"/>
    <w:pPr>
      <w:widowControl w:val="0"/>
      <w:autoSpaceDE w:val="0"/>
      <w:autoSpaceDN w:val="0"/>
      <w:adjustRightInd w:val="0"/>
    </w:pPr>
    <w:rPr>
      <w:rFonts w:ascii="Palatino Linotype" w:hAnsi="Palatino Linotype" w:cs="Palatino Linotype"/>
      <w:lang w:val="es-ES" w:eastAsia="es-ES"/>
    </w:rPr>
  </w:style>
  <w:style w:type="table" w:customStyle="1" w:styleId="1">
    <w:name w:val="Сетка таблицы1"/>
    <w:basedOn w:val="TableNormal"/>
    <w:next w:val="TableGrid"/>
    <w:rsid w:val="001659BE"/>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rsid w:val="004B057D"/>
    <w:rPr>
      <w:rFonts w:ascii="Tahoma" w:hAnsi="Tahoma" w:cs="Tahoma"/>
      <w:sz w:val="16"/>
      <w:szCs w:val="16"/>
    </w:rPr>
  </w:style>
  <w:style w:type="character" w:customStyle="1" w:styleId="BalloonTextChar">
    <w:name w:val="Balloon Text Char"/>
    <w:basedOn w:val="DefaultParagraphFont"/>
    <w:link w:val="BalloonText"/>
    <w:uiPriority w:val="99"/>
    <w:rsid w:val="004B057D"/>
    <w:rPr>
      <w:rFonts w:ascii="Tahoma" w:hAnsi="Tahoma" w:cs="Tahoma"/>
      <w:sz w:val="16"/>
      <w:szCs w:val="16"/>
      <w:lang w:val="ru-RU" w:eastAsia="ru-RU"/>
    </w:rPr>
  </w:style>
  <w:style w:type="numbering" w:customStyle="1" w:styleId="12">
    <w:name w:val="Нет списка1"/>
    <w:next w:val="NoList"/>
    <w:uiPriority w:val="99"/>
    <w:semiHidden/>
    <w:unhideWhenUsed/>
    <w:rsid w:val="00BE42A0"/>
  </w:style>
  <w:style w:type="character" w:customStyle="1" w:styleId="Heading1Char">
    <w:name w:val="Heading 1 Char"/>
    <w:basedOn w:val="DefaultParagraphFont"/>
    <w:link w:val="Heading1"/>
    <w:uiPriority w:val="9"/>
    <w:rsid w:val="00BE42A0"/>
    <w:rPr>
      <w:rFonts w:ascii="Garamond" w:hAnsi="Garamond"/>
      <w:b/>
      <w:caps/>
      <w:spacing w:val="20"/>
      <w:kern w:val="16"/>
      <w:sz w:val="18"/>
      <w:szCs w:val="18"/>
      <w:lang w:val="ru-RU" w:eastAsia="ru-RU"/>
    </w:rPr>
  </w:style>
  <w:style w:type="character" w:customStyle="1" w:styleId="Heading2Char">
    <w:name w:val="Heading 2 Char"/>
    <w:basedOn w:val="DefaultParagraphFont"/>
    <w:link w:val="Heading2"/>
    <w:uiPriority w:val="9"/>
    <w:rsid w:val="00BE42A0"/>
    <w:rPr>
      <w:rFonts w:ascii="Garamond" w:hAnsi="Garamond"/>
      <w:b/>
      <w:caps/>
      <w:spacing w:val="10"/>
      <w:kern w:val="20"/>
      <w:sz w:val="18"/>
      <w:szCs w:val="18"/>
      <w:lang w:val="ru-RU" w:eastAsia="ru-RU"/>
    </w:rPr>
  </w:style>
  <w:style w:type="paragraph" w:styleId="NoSpacing">
    <w:name w:val="No Spacing"/>
    <w:uiPriority w:val="1"/>
    <w:qFormat/>
    <w:rsid w:val="00BE42A0"/>
    <w:pPr>
      <w:jc w:val="both"/>
    </w:pPr>
    <w:rPr>
      <w:sz w:val="28"/>
      <w:szCs w:val="28"/>
      <w:lang w:eastAsia="en-US"/>
    </w:rPr>
  </w:style>
  <w:style w:type="paragraph" w:customStyle="1" w:styleId="a">
    <w:name w:val="Работа"/>
    <w:basedOn w:val="Normal"/>
    <w:link w:val="a0"/>
    <w:qFormat/>
    <w:rsid w:val="00BE42A0"/>
    <w:pPr>
      <w:spacing w:line="360" w:lineRule="auto"/>
      <w:jc w:val="both"/>
    </w:pPr>
    <w:rPr>
      <w:rFonts w:ascii="Times New Roman" w:hAnsi="Times New Roman"/>
      <w:sz w:val="28"/>
      <w:szCs w:val="28"/>
      <w:lang w:val="en-US"/>
    </w:rPr>
  </w:style>
  <w:style w:type="character" w:customStyle="1" w:styleId="apple-converted-space">
    <w:name w:val="apple-converted-space"/>
    <w:basedOn w:val="DefaultParagraphFont"/>
    <w:rsid w:val="00BE42A0"/>
  </w:style>
  <w:style w:type="character" w:customStyle="1" w:styleId="a0">
    <w:name w:val="Работа Знак"/>
    <w:basedOn w:val="DefaultParagraphFont"/>
    <w:link w:val="a"/>
    <w:rsid w:val="00BE42A0"/>
    <w:rPr>
      <w:sz w:val="28"/>
      <w:szCs w:val="28"/>
      <w:lang w:val="en-US"/>
    </w:rPr>
  </w:style>
  <w:style w:type="paragraph" w:customStyle="1" w:styleId="a1">
    <w:name w:val="Стандарт"/>
    <w:basedOn w:val="NoSpacing"/>
    <w:link w:val="a2"/>
    <w:qFormat/>
    <w:rsid w:val="00BE42A0"/>
    <w:pPr>
      <w:spacing w:line="360" w:lineRule="auto"/>
      <w:ind w:firstLine="709"/>
    </w:pPr>
  </w:style>
  <w:style w:type="character" w:customStyle="1" w:styleId="a2">
    <w:name w:val="Стандарт Знак"/>
    <w:basedOn w:val="DefaultParagraphFont"/>
    <w:link w:val="a1"/>
    <w:rsid w:val="00BE42A0"/>
    <w:rPr>
      <w:sz w:val="28"/>
      <w:szCs w:val="28"/>
      <w:lang w:eastAsia="en-US"/>
    </w:rPr>
  </w:style>
  <w:style w:type="character" w:customStyle="1" w:styleId="notranslate">
    <w:name w:val="notranslate"/>
    <w:basedOn w:val="DefaultParagraphFont"/>
    <w:rsid w:val="00BE42A0"/>
  </w:style>
  <w:style w:type="character" w:customStyle="1" w:styleId="heading00202char">
    <w:name w:val="heading_00202__char"/>
    <w:basedOn w:val="DefaultParagraphFont"/>
    <w:rsid w:val="00BE42A0"/>
  </w:style>
  <w:style w:type="paragraph" w:customStyle="1" w:styleId="13">
    <w:name w:val="Обычный1"/>
    <w:basedOn w:val="Normal"/>
    <w:rsid w:val="00BE42A0"/>
    <w:pPr>
      <w:spacing w:before="100" w:beforeAutospacing="1" w:after="100" w:afterAutospacing="1"/>
    </w:pPr>
    <w:rPr>
      <w:rFonts w:ascii="Times New Roman" w:hAnsi="Times New Roman"/>
    </w:rPr>
  </w:style>
  <w:style w:type="character" w:customStyle="1" w:styleId="normalchar">
    <w:name w:val="normal__char"/>
    <w:basedOn w:val="DefaultParagraphFont"/>
    <w:rsid w:val="00BE42A0"/>
  </w:style>
  <w:style w:type="paragraph" w:customStyle="1" w:styleId="22">
    <w:name w:val="Обычный2"/>
    <w:basedOn w:val="Normal"/>
    <w:rsid w:val="00BE42A0"/>
    <w:pPr>
      <w:spacing w:before="100" w:beforeAutospacing="1" w:after="100" w:afterAutospacing="1"/>
    </w:pPr>
    <w:rPr>
      <w:rFonts w:ascii="Times New Roman" w:hAnsi="Times New Roman"/>
    </w:rPr>
  </w:style>
  <w:style w:type="character" w:customStyle="1" w:styleId="list0020paragraphchar">
    <w:name w:val="list_0020paragraph__char"/>
    <w:basedOn w:val="DefaultParagraphFont"/>
    <w:rsid w:val="00BE42A0"/>
  </w:style>
  <w:style w:type="paragraph" w:customStyle="1" w:styleId="30">
    <w:name w:val="Обычный3"/>
    <w:basedOn w:val="Normal"/>
    <w:rsid w:val="00BE42A0"/>
    <w:pPr>
      <w:spacing w:before="100" w:beforeAutospacing="1" w:after="100" w:afterAutospacing="1"/>
    </w:pPr>
    <w:rPr>
      <w:rFonts w:ascii="Times New Roman" w:hAnsi="Times New Roman"/>
    </w:rPr>
  </w:style>
  <w:style w:type="paragraph" w:customStyle="1" w:styleId="list0020paragraph">
    <w:name w:val="list_0020paragraph"/>
    <w:basedOn w:val="Normal"/>
    <w:rsid w:val="00BE42A0"/>
    <w:pPr>
      <w:spacing w:before="100" w:beforeAutospacing="1" w:after="100" w:afterAutospacing="1"/>
    </w:pPr>
    <w:rPr>
      <w:rFonts w:ascii="Times New Roman" w:hAnsi="Times New Roman"/>
    </w:rPr>
  </w:style>
  <w:style w:type="character" w:customStyle="1" w:styleId="CommentTextChar">
    <w:name w:val="Comment Text Char"/>
    <w:basedOn w:val="DefaultParagraphFont"/>
    <w:link w:val="CommentText"/>
    <w:uiPriority w:val="99"/>
    <w:semiHidden/>
    <w:rsid w:val="00BE42A0"/>
    <w:rPr>
      <w:rFonts w:ascii="Garamond" w:hAnsi="Garamond" w:cs="Garamond"/>
      <w:sz w:val="22"/>
      <w:szCs w:val="22"/>
      <w:lang w:val="ru-RU" w:eastAsia="ru-RU"/>
    </w:rPr>
  </w:style>
  <w:style w:type="table" w:customStyle="1" w:styleId="23">
    <w:name w:val="Сетка таблицы2"/>
    <w:basedOn w:val="TableNormal"/>
    <w:next w:val="TableGrid"/>
    <w:rsid w:val="00BE42A0"/>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TableNormal"/>
    <w:next w:val="TableGrid"/>
    <w:rsid w:val="00BE42A0"/>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4">
    <w:name w:val="Нет списка2"/>
    <w:next w:val="NoList"/>
    <w:uiPriority w:val="99"/>
    <w:semiHidden/>
    <w:unhideWhenUsed/>
    <w:rsid w:val="00BE42A0"/>
  </w:style>
  <w:style w:type="table" w:customStyle="1" w:styleId="32">
    <w:name w:val="Сетка таблицы3"/>
    <w:basedOn w:val="TableNormal"/>
    <w:next w:val="TableGrid"/>
    <w:rsid w:val="00BE42A0"/>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TableNormal"/>
    <w:next w:val="TableGrid"/>
    <w:rsid w:val="00BE42A0"/>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3">
    <w:name w:val="Стандартний"/>
    <w:rsid w:val="00BE42A0"/>
    <w:pPr>
      <w:pBdr>
        <w:top w:val="nil"/>
        <w:left w:val="nil"/>
        <w:bottom w:val="nil"/>
        <w:right w:val="nil"/>
        <w:between w:val="nil"/>
        <w:bar w:val="nil"/>
      </w:pBdr>
    </w:pPr>
    <w:rPr>
      <w:rFonts w:ascii="Helvetica" w:eastAsia="Arial Unicode MS" w:hAnsi="Arial Unicode MS" w:cs="Arial Unicode MS"/>
      <w:sz w:val="22"/>
      <w:szCs w:val="22"/>
      <w:bdr w:val="nil"/>
    </w:rPr>
  </w:style>
  <w:style w:type="character" w:customStyle="1" w:styleId="Hyperlink8">
    <w:name w:val="Hyperlink.8"/>
    <w:basedOn w:val="Hyperlink"/>
    <w:rsid w:val="00BE42A0"/>
    <w:rPr>
      <w:color w:val="0000FF" w:themeColor="hyperlink"/>
      <w:u w:val="single"/>
    </w:rPr>
  </w:style>
  <w:style w:type="character" w:customStyle="1" w:styleId="Hyperlink9">
    <w:name w:val="Hyperlink.9"/>
    <w:basedOn w:val="Hyperlink"/>
    <w:rsid w:val="00BE42A0"/>
    <w:rPr>
      <w:color w:val="0000FF" w:themeColor="hyperlink"/>
      <w:u w:val="single"/>
    </w:rPr>
  </w:style>
  <w:style w:type="character" w:customStyle="1" w:styleId="Hyperlink10">
    <w:name w:val="Hyperlink.10"/>
    <w:basedOn w:val="Hyperlink"/>
    <w:rsid w:val="00BE42A0"/>
    <w:rPr>
      <w:color w:val="0000FF" w:themeColor="hyperlink"/>
      <w:u w:val="single"/>
    </w:rPr>
  </w:style>
  <w:style w:type="character" w:customStyle="1" w:styleId="Hyperlink11">
    <w:name w:val="Hyperlink.11"/>
    <w:basedOn w:val="Hyperlink"/>
    <w:rsid w:val="00BE42A0"/>
    <w:rPr>
      <w:color w:val="0000FF" w:themeColor="hyperlink"/>
      <w:u w:val="single"/>
    </w:rPr>
  </w:style>
  <w:style w:type="numbering" w:customStyle="1" w:styleId="List1">
    <w:name w:val="List 1"/>
    <w:basedOn w:val="NoList"/>
    <w:rsid w:val="00BE42A0"/>
    <w:pPr>
      <w:numPr>
        <w:numId w:val="49"/>
      </w:numPr>
    </w:pPr>
  </w:style>
  <w:style w:type="numbering" w:customStyle="1" w:styleId="21">
    <w:name w:val="Список 21"/>
    <w:basedOn w:val="NoList"/>
    <w:rsid w:val="00BE42A0"/>
    <w:pPr>
      <w:numPr>
        <w:numId w:val="50"/>
      </w:numPr>
    </w:pPr>
  </w:style>
  <w:style w:type="numbering" w:customStyle="1" w:styleId="31">
    <w:name w:val="Список 31"/>
    <w:basedOn w:val="NoList"/>
    <w:rsid w:val="00BE42A0"/>
    <w:pPr>
      <w:numPr>
        <w:numId w:val="51"/>
      </w:numPr>
    </w:pPr>
  </w:style>
  <w:style w:type="numbering" w:customStyle="1" w:styleId="41">
    <w:name w:val="Список 41"/>
    <w:basedOn w:val="NoList"/>
    <w:rsid w:val="00BE42A0"/>
    <w:pPr>
      <w:numPr>
        <w:numId w:val="52"/>
      </w:numPr>
    </w:pPr>
  </w:style>
  <w:style w:type="paragraph" w:customStyle="1" w:styleId="Default">
    <w:name w:val="Default"/>
    <w:rsid w:val="00BE42A0"/>
    <w:pPr>
      <w:autoSpaceDE w:val="0"/>
      <w:autoSpaceDN w:val="0"/>
      <w:adjustRightInd w:val="0"/>
    </w:pPr>
    <w:rPr>
      <w:rFonts w:eastAsiaTheme="minorHAnsi"/>
      <w:lang w:eastAsia="en-US"/>
    </w:rPr>
  </w:style>
  <w:style w:type="table" w:customStyle="1" w:styleId="Table1">
    <w:name w:val="Table1"/>
    <w:basedOn w:val="TableNormal"/>
    <w:rsid w:val="003C51B1"/>
    <w:pPr>
      <w:spacing w:line="276" w:lineRule="auto"/>
    </w:pPr>
    <w:rPr>
      <w:rFonts w:ascii="Arial" w:eastAsia="Arial" w:hAnsi="Arial" w:cs="Arial"/>
      <w:sz w:val="22"/>
      <w:szCs w:val="22"/>
    </w:rPr>
    <w:tblPr>
      <w:tblStyleRowBandSize w:val="1"/>
      <w:tblStyleColBandSize w:val="1"/>
    </w:tblPr>
  </w:style>
  <w:style w:type="table" w:customStyle="1" w:styleId="Table2">
    <w:name w:val="Table2"/>
    <w:basedOn w:val="TableNormal"/>
    <w:rsid w:val="003C51B1"/>
    <w:pPr>
      <w:spacing w:line="276" w:lineRule="auto"/>
    </w:pPr>
    <w:rPr>
      <w:rFonts w:ascii="Arial" w:eastAsia="Arial" w:hAnsi="Arial" w:cs="Arial"/>
      <w:sz w:val="22"/>
      <w:szCs w:val="22"/>
    </w:rPr>
    <w:tblPr>
      <w:tblStyleRowBandSize w:val="1"/>
      <w:tblStyleColBandSize w:val="1"/>
    </w:tblPr>
  </w:style>
  <w:style w:type="table" w:customStyle="1" w:styleId="Table3">
    <w:name w:val="Table3"/>
    <w:basedOn w:val="TableNormal"/>
    <w:rsid w:val="003C51B1"/>
    <w:pPr>
      <w:spacing w:line="276" w:lineRule="auto"/>
    </w:pPr>
    <w:rPr>
      <w:rFonts w:ascii="Arial" w:eastAsia="Arial" w:hAnsi="Arial" w:cs="Arial"/>
      <w:sz w:val="22"/>
      <w:szCs w:val="22"/>
    </w:rPr>
    <w:tblPr>
      <w:tblStyleRowBandSize w:val="1"/>
      <w:tblStyleColBandSize w:val="1"/>
    </w:tblPr>
  </w:style>
  <w:style w:type="table" w:customStyle="1" w:styleId="Table4">
    <w:name w:val="Table4"/>
    <w:basedOn w:val="TableNormal"/>
    <w:rsid w:val="003C51B1"/>
    <w:pPr>
      <w:spacing w:line="276" w:lineRule="auto"/>
    </w:pPr>
    <w:rPr>
      <w:rFonts w:ascii="Arial" w:eastAsia="Arial" w:hAnsi="Arial" w:cs="Arial"/>
      <w:sz w:val="22"/>
      <w:szCs w:val="22"/>
    </w:rPr>
    <w:tblPr>
      <w:tblStyleRowBandSize w:val="1"/>
      <w:tblStyleColBandSize w:val="1"/>
    </w:tblPr>
  </w:style>
  <w:style w:type="table" w:customStyle="1" w:styleId="Table5">
    <w:name w:val="Table5"/>
    <w:basedOn w:val="TableNormal"/>
    <w:rsid w:val="003C51B1"/>
    <w:pPr>
      <w:spacing w:line="276" w:lineRule="auto"/>
    </w:pPr>
    <w:rPr>
      <w:rFonts w:ascii="Arial" w:eastAsia="Arial" w:hAnsi="Arial" w:cs="Arial"/>
      <w:sz w:val="22"/>
      <w:szCs w:val="22"/>
    </w:rPr>
    <w:tblPr>
      <w:tblStyleRowBandSize w:val="1"/>
      <w:tblStyleColBandSize w:val="1"/>
    </w:tblPr>
  </w:style>
  <w:style w:type="table" w:customStyle="1" w:styleId="Table6">
    <w:name w:val="Table6"/>
    <w:basedOn w:val="TableNormal"/>
    <w:rsid w:val="003C51B1"/>
    <w:pPr>
      <w:spacing w:line="276" w:lineRule="auto"/>
    </w:pPr>
    <w:rPr>
      <w:rFonts w:ascii="Arial" w:eastAsia="Arial" w:hAnsi="Arial" w:cs="Arial"/>
      <w:sz w:val="22"/>
      <w:szCs w:val="22"/>
    </w:rPr>
    <w:tblPr>
      <w:tblStyleRowBandSize w:val="1"/>
      <w:tblStyleColBandSize w:val="1"/>
    </w:tblPr>
  </w:style>
  <w:style w:type="table" w:customStyle="1" w:styleId="Table7">
    <w:name w:val="Table7"/>
    <w:basedOn w:val="TableNormal"/>
    <w:rsid w:val="003C51B1"/>
    <w:pPr>
      <w:spacing w:line="276" w:lineRule="auto"/>
    </w:pPr>
    <w:rPr>
      <w:rFonts w:ascii="Arial" w:eastAsia="Arial" w:hAnsi="Arial" w:cs="Arial"/>
      <w:sz w:val="22"/>
      <w:szCs w:val="22"/>
    </w:rPr>
    <w:tblPr>
      <w:tblStyleRowBandSize w:val="1"/>
      <w:tblStyleColBandSize w:val="1"/>
    </w:tblPr>
  </w:style>
  <w:style w:type="paragraph" w:customStyle="1" w:styleId="a4">
    <w:name w:val="Основний текст"/>
    <w:rsid w:val="003C51B1"/>
    <w:pPr>
      <w:pBdr>
        <w:top w:val="nil"/>
        <w:left w:val="nil"/>
        <w:bottom w:val="nil"/>
        <w:right w:val="nil"/>
        <w:between w:val="nil"/>
        <w:bar w:val="nil"/>
      </w:pBdr>
      <w:spacing w:line="276" w:lineRule="auto"/>
    </w:pPr>
    <w:rPr>
      <w:rFonts w:ascii="Arial" w:eastAsia="Arial Unicode MS" w:hAnsi="Arial Unicode MS" w:cs="Arial Unicode MS"/>
      <w:sz w:val="22"/>
      <w:szCs w:val="22"/>
      <w:u w:color="000000"/>
      <w:bdr w:val="nil"/>
      <w:lang w:val="nl-NL"/>
    </w:rPr>
  </w:style>
  <w:style w:type="character" w:customStyle="1" w:styleId="Hyperlink0">
    <w:name w:val="Hyperlink.0"/>
    <w:basedOn w:val="DefaultParagraphFont"/>
    <w:rsid w:val="003C51B1"/>
    <w:rPr>
      <w:sz w:val="24"/>
      <w:szCs w:val="24"/>
      <w:shd w:val="clear" w:color="auto" w:fill="FFFFFF"/>
    </w:rPr>
  </w:style>
  <w:style w:type="table" w:customStyle="1" w:styleId="TableNormal1">
    <w:name w:val="Table Normal1"/>
    <w:rsid w:val="003C51B1"/>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numbering" w:customStyle="1" w:styleId="List0">
    <w:name w:val="List 0"/>
    <w:basedOn w:val="NoList"/>
    <w:rsid w:val="003C51B1"/>
    <w:pPr>
      <w:numPr>
        <w:numId w:val="55"/>
      </w:numPr>
    </w:pPr>
  </w:style>
  <w:style w:type="paragraph" w:customStyle="1" w:styleId="A5">
    <w:name w:val="Основний текст A"/>
    <w:rsid w:val="003C51B1"/>
    <w:pPr>
      <w:pBdr>
        <w:top w:val="nil"/>
        <w:left w:val="nil"/>
        <w:bottom w:val="nil"/>
        <w:right w:val="nil"/>
        <w:between w:val="nil"/>
        <w:bar w:val="nil"/>
      </w:pBdr>
      <w:ind w:firstLine="709"/>
    </w:pPr>
    <w:rPr>
      <w:rFonts w:ascii="Calibri" w:eastAsia="Calibri" w:hAnsi="Calibri" w:cs="Calibri"/>
      <w:sz w:val="22"/>
      <w:szCs w:val="22"/>
      <w:u w:color="000000"/>
      <w:bdr w:val="nil"/>
      <w:lang w:val="en-US"/>
    </w:rPr>
  </w:style>
  <w:style w:type="numbering" w:customStyle="1" w:styleId="List01">
    <w:name w:val="List 01"/>
    <w:basedOn w:val="NoList"/>
    <w:rsid w:val="003C51B1"/>
    <w:pPr>
      <w:numPr>
        <w:numId w:val="56"/>
      </w:numPr>
    </w:pPr>
  </w:style>
  <w:style w:type="numbering" w:customStyle="1" w:styleId="20">
    <w:name w:val="Імпортований стиль 2"/>
    <w:rsid w:val="003C51B1"/>
    <w:pPr>
      <w:numPr>
        <w:numId w:val="57"/>
      </w:numPr>
    </w:pPr>
  </w:style>
  <w:style w:type="numbering" w:customStyle="1" w:styleId="3">
    <w:name w:val="Імпортований стиль 3"/>
    <w:rsid w:val="003C51B1"/>
    <w:pPr>
      <w:numPr>
        <w:numId w:val="58"/>
      </w:numPr>
    </w:pPr>
  </w:style>
  <w:style w:type="numbering" w:customStyle="1" w:styleId="4">
    <w:name w:val="Імпортований стиль 4"/>
    <w:rsid w:val="003C51B1"/>
    <w:pPr>
      <w:numPr>
        <w:numId w:val="59"/>
      </w:numPr>
    </w:pPr>
  </w:style>
  <w:style w:type="numbering" w:customStyle="1" w:styleId="5">
    <w:name w:val="Імпортований стиль 5"/>
    <w:rsid w:val="003C51B1"/>
    <w:pPr>
      <w:numPr>
        <w:numId w:val="60"/>
      </w:numPr>
    </w:pPr>
  </w:style>
  <w:style w:type="numbering" w:customStyle="1" w:styleId="6">
    <w:name w:val="Імпортований стиль 6"/>
    <w:rsid w:val="003C51B1"/>
    <w:pPr>
      <w:numPr>
        <w:numId w:val="61"/>
      </w:numPr>
    </w:pPr>
  </w:style>
  <w:style w:type="numbering" w:customStyle="1" w:styleId="7">
    <w:name w:val="Імпортований стиль 7"/>
    <w:rsid w:val="003C51B1"/>
    <w:pPr>
      <w:numPr>
        <w:numId w:val="62"/>
      </w:numPr>
    </w:pPr>
  </w:style>
  <w:style w:type="numbering" w:customStyle="1" w:styleId="8">
    <w:name w:val="Імпортований стиль 8"/>
    <w:rsid w:val="003C51B1"/>
    <w:pPr>
      <w:numPr>
        <w:numId w:val="63"/>
      </w:numPr>
    </w:pPr>
  </w:style>
  <w:style w:type="numbering" w:customStyle="1" w:styleId="9">
    <w:name w:val="Імпортований стиль 9"/>
    <w:rsid w:val="003C51B1"/>
    <w:pPr>
      <w:numPr>
        <w:numId w:val="64"/>
      </w:numPr>
    </w:pPr>
  </w:style>
  <w:style w:type="numbering" w:customStyle="1" w:styleId="10">
    <w:name w:val="Імпортований стиль 10"/>
    <w:rsid w:val="003C51B1"/>
    <w:pPr>
      <w:numPr>
        <w:numId w:val="65"/>
      </w:numPr>
    </w:pPr>
  </w:style>
  <w:style w:type="numbering" w:customStyle="1" w:styleId="11">
    <w:name w:val="Імпортований стиль 11"/>
    <w:rsid w:val="003C51B1"/>
    <w:pPr>
      <w:numPr>
        <w:numId w:val="66"/>
      </w:numPr>
    </w:pPr>
  </w:style>
  <w:style w:type="table" w:customStyle="1" w:styleId="40">
    <w:name w:val="Сетка таблицы4"/>
    <w:basedOn w:val="TableNormal"/>
    <w:next w:val="TableGrid"/>
    <w:uiPriority w:val="59"/>
    <w:rsid w:val="003C51B1"/>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Стиль1"/>
    <w:basedOn w:val="Heading3"/>
    <w:link w:val="15"/>
    <w:qFormat/>
    <w:rsid w:val="00CA38EB"/>
    <w:pPr>
      <w:spacing w:before="140"/>
      <w:jc w:val="center"/>
    </w:pPr>
    <w:rPr>
      <w:b/>
      <w:sz w:val="44"/>
      <w:szCs w:val="44"/>
      <w:lang w:val="en-US"/>
    </w:rPr>
  </w:style>
  <w:style w:type="paragraph" w:customStyle="1" w:styleId="eng">
    <w:name w:val="eng"/>
    <w:basedOn w:val="Heading3"/>
    <w:link w:val="eng0"/>
    <w:qFormat/>
    <w:rsid w:val="00CA38EB"/>
    <w:pPr>
      <w:spacing w:before="140" w:after="0" w:line="240" w:lineRule="auto"/>
      <w:jc w:val="center"/>
      <w:outlineLvl w:val="0"/>
    </w:pPr>
    <w:rPr>
      <w:b/>
      <w:sz w:val="44"/>
    </w:rPr>
  </w:style>
  <w:style w:type="character" w:customStyle="1" w:styleId="Heading3Char">
    <w:name w:val="Heading 3 Char"/>
    <w:basedOn w:val="DefaultParagraphFont"/>
    <w:link w:val="Heading3"/>
    <w:uiPriority w:val="9"/>
    <w:rsid w:val="00CA38EB"/>
    <w:rPr>
      <w:rFonts w:ascii="Garamond" w:hAnsi="Garamond"/>
      <w:caps/>
      <w:kern w:val="20"/>
      <w:lang w:val="ru-RU" w:eastAsia="ru-RU"/>
    </w:rPr>
  </w:style>
  <w:style w:type="character" w:customStyle="1" w:styleId="15">
    <w:name w:val="Стиль1 Знак"/>
    <w:basedOn w:val="Heading3Char"/>
    <w:link w:val="14"/>
    <w:rsid w:val="00CA38EB"/>
    <w:rPr>
      <w:rFonts w:ascii="Garamond" w:hAnsi="Garamond"/>
      <w:b/>
      <w:caps/>
      <w:kern w:val="20"/>
      <w:sz w:val="44"/>
      <w:szCs w:val="44"/>
      <w:lang w:val="en-US" w:eastAsia="ru-RU"/>
    </w:rPr>
  </w:style>
  <w:style w:type="paragraph" w:customStyle="1" w:styleId="end2">
    <w:name w:val="end2"/>
    <w:basedOn w:val="Normal"/>
    <w:link w:val="end20"/>
    <w:qFormat/>
    <w:rsid w:val="002D2236"/>
    <w:pPr>
      <w:keepNext/>
      <w:keepLines/>
      <w:pBdr>
        <w:top w:val="single" w:sz="6" w:space="6" w:color="808080"/>
        <w:bottom w:val="single" w:sz="6" w:space="6" w:color="808080"/>
      </w:pBdr>
      <w:spacing w:before="240" w:after="240"/>
      <w:jc w:val="center"/>
      <w:outlineLvl w:val="0"/>
    </w:pPr>
    <w:rPr>
      <w:b/>
      <w:caps/>
      <w:spacing w:val="20"/>
      <w:kern w:val="16"/>
      <w:sz w:val="28"/>
      <w:szCs w:val="18"/>
      <w:lang w:val="en-US"/>
    </w:rPr>
  </w:style>
  <w:style w:type="character" w:customStyle="1" w:styleId="eng0">
    <w:name w:val="eng Знак"/>
    <w:basedOn w:val="Heading3Char"/>
    <w:link w:val="eng"/>
    <w:rsid w:val="00CA38EB"/>
    <w:rPr>
      <w:rFonts w:ascii="Garamond" w:hAnsi="Garamond"/>
      <w:b/>
      <w:caps/>
      <w:kern w:val="20"/>
      <w:sz w:val="44"/>
      <w:lang w:val="ru-RU" w:eastAsia="ru-RU"/>
    </w:rPr>
  </w:style>
  <w:style w:type="paragraph" w:customStyle="1" w:styleId="eng3">
    <w:name w:val="eng3"/>
    <w:basedOn w:val="Normal"/>
    <w:link w:val="eng30"/>
    <w:qFormat/>
    <w:rsid w:val="002D2236"/>
    <w:pPr>
      <w:spacing w:before="120" w:after="120" w:line="240" w:lineRule="atLeast"/>
      <w:jc w:val="both"/>
    </w:pPr>
    <w:rPr>
      <w:b/>
      <w:caps/>
      <w:sz w:val="28"/>
      <w:lang w:val="en-US"/>
    </w:rPr>
  </w:style>
  <w:style w:type="character" w:customStyle="1" w:styleId="end20">
    <w:name w:val="end2 Знак"/>
    <w:basedOn w:val="DefaultParagraphFont"/>
    <w:link w:val="end2"/>
    <w:rsid w:val="002D2236"/>
    <w:rPr>
      <w:b/>
      <w:caps/>
      <w:spacing w:val="20"/>
      <w:kern w:val="16"/>
      <w:sz w:val="28"/>
      <w:szCs w:val="18"/>
      <w:lang w:val="en-US"/>
    </w:rPr>
  </w:style>
  <w:style w:type="numbering" w:customStyle="1" w:styleId="eng123">
    <w:name w:val="eng123"/>
    <w:uiPriority w:val="99"/>
    <w:rsid w:val="007E6912"/>
    <w:pPr>
      <w:numPr>
        <w:numId w:val="92"/>
      </w:numPr>
    </w:pPr>
  </w:style>
  <w:style w:type="character" w:customStyle="1" w:styleId="eng30">
    <w:name w:val="eng3 Знак"/>
    <w:basedOn w:val="DefaultParagraphFont"/>
    <w:link w:val="eng3"/>
    <w:rsid w:val="002D2236"/>
    <w:rPr>
      <w:b/>
      <w:caps/>
      <w:sz w:val="28"/>
      <w:lang w:val="en-US"/>
    </w:rPr>
  </w:style>
  <w:style w:type="paragraph" w:styleId="Revision">
    <w:name w:val="Revision"/>
    <w:hidden/>
    <w:uiPriority w:val="99"/>
    <w:semiHidden/>
    <w:rsid w:val="00FB375D"/>
  </w:style>
  <w:style w:type="table" w:customStyle="1" w:styleId="TableNormal10">
    <w:name w:val="Table Normal1"/>
    <w:rsid w:val="00FB375D"/>
    <w:rPr>
      <w:rFonts w:ascii="Times New Roman" w:eastAsia="Arial Unicode MS" w:hAnsi="Times New Roman"/>
      <w:color w:val="auto"/>
      <w:sz w:val="20"/>
      <w:szCs w:val="20"/>
      <w:bdr w:val="none" w:sz="0" w:space="0" w:color="auto" w:frame="1"/>
    </w:rPr>
    <w:tblPr>
      <w:tblCellMar>
        <w:top w:w="0" w:type="dxa"/>
        <w:left w:w="0" w:type="dxa"/>
        <w:bottom w:w="0" w:type="dxa"/>
        <w:right w:w="0" w:type="dxa"/>
      </w:tblCellMar>
    </w:tblPr>
  </w:style>
  <w:style w:type="numbering" w:customStyle="1" w:styleId="33">
    <w:name w:val="Нет списка3"/>
    <w:next w:val="NoList"/>
    <w:uiPriority w:val="99"/>
    <w:semiHidden/>
    <w:unhideWhenUsed/>
    <w:rsid w:val="00FB375D"/>
  </w:style>
  <w:style w:type="table" w:customStyle="1" w:styleId="50">
    <w:name w:val="Сетка таблицы5"/>
    <w:basedOn w:val="TableNormal"/>
    <w:next w:val="TableGrid"/>
    <w:uiPriority w:val="59"/>
    <w:rsid w:val="00FB375D"/>
    <w:rPr>
      <w:rFonts w:ascii="Times New Roman" w:hAnsi="Times New Roman"/>
      <w:color w:val="auto"/>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TableNormal"/>
    <w:next w:val="TableGrid"/>
    <w:rsid w:val="00FB375D"/>
    <w:rPr>
      <w:rFonts w:ascii="Times New Roman" w:hAnsi="Times New Roman"/>
      <w:color w:val="auto"/>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1">
    <w:name w:val="List 11"/>
    <w:basedOn w:val="NoList"/>
    <w:rsid w:val="00FB375D"/>
  </w:style>
  <w:style w:type="numbering" w:customStyle="1" w:styleId="211">
    <w:name w:val="Список 211"/>
    <w:basedOn w:val="NoList"/>
    <w:rsid w:val="00FB375D"/>
  </w:style>
  <w:style w:type="numbering" w:customStyle="1" w:styleId="311">
    <w:name w:val="Список 311"/>
    <w:basedOn w:val="NoList"/>
    <w:rsid w:val="00FB375D"/>
  </w:style>
  <w:style w:type="numbering" w:customStyle="1" w:styleId="411">
    <w:name w:val="Список 411"/>
    <w:basedOn w:val="NoList"/>
    <w:rsid w:val="00FB375D"/>
    <w:pPr>
      <w:numPr>
        <w:numId w:val="5"/>
      </w:numPr>
    </w:pPr>
  </w:style>
  <w:style w:type="character" w:styleId="PlaceholderText">
    <w:name w:val="Placeholder Text"/>
    <w:basedOn w:val="DefaultParagraphFont"/>
    <w:uiPriority w:val="99"/>
    <w:semiHidden/>
    <w:rsid w:val="00FB375D"/>
    <w:rPr>
      <w:color w:val="808080"/>
    </w:rPr>
  </w:style>
  <w:style w:type="table" w:customStyle="1" w:styleId="-31">
    <w:name w:val="Светлый список - Акцент 31"/>
    <w:basedOn w:val="TableNormal"/>
    <w:next w:val="LightList-Accent3"/>
    <w:uiPriority w:val="61"/>
    <w:rsid w:val="00FB375D"/>
    <w:pPr>
      <w:ind w:firstLine="709"/>
    </w:pPr>
    <w:rPr>
      <w:rFonts w:ascii="Calibri" w:eastAsia="Calibri" w:hAnsi="Calibri"/>
      <w:color w:val="auto"/>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character" w:styleId="Strong">
    <w:name w:val="Strong"/>
    <w:basedOn w:val="DefaultParagraphFont"/>
    <w:uiPriority w:val="22"/>
    <w:qFormat/>
    <w:rsid w:val="00FB375D"/>
    <w:rPr>
      <w:b/>
      <w:bCs/>
    </w:rPr>
  </w:style>
  <w:style w:type="table" w:styleId="LightList-Accent3">
    <w:name w:val="Light List Accent 3"/>
    <w:basedOn w:val="TableNormal"/>
    <w:uiPriority w:val="61"/>
    <w:rsid w:val="00FB375D"/>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numbering" w:customStyle="1" w:styleId="reviewq">
    <w:name w:val="review q"/>
    <w:uiPriority w:val="99"/>
    <w:rsid w:val="008F194B"/>
    <w:pPr>
      <w:numPr>
        <w:numId w:val="98"/>
      </w:numPr>
    </w:pPr>
  </w:style>
  <w:style w:type="numbering" w:customStyle="1" w:styleId="2">
    <w:name w:val="Стиль2"/>
    <w:uiPriority w:val="99"/>
    <w:rsid w:val="00284651"/>
    <w:pPr>
      <w:numPr>
        <w:numId w:val="100"/>
      </w:numPr>
    </w:pPr>
  </w:style>
  <w:style w:type="numbering" w:customStyle="1" w:styleId="4111">
    <w:name w:val="Список 4111"/>
    <w:basedOn w:val="NoList"/>
    <w:rsid w:val="00730075"/>
    <w:pPr>
      <w:numPr>
        <w:numId w:val="2"/>
      </w:numPr>
    </w:pPr>
  </w:style>
  <w:style w:type="table" w:customStyle="1" w:styleId="210">
    <w:name w:val="Сетка таблицы21"/>
    <w:basedOn w:val="TableNormal"/>
    <w:next w:val="TableGrid"/>
    <w:rsid w:val="00A82A80"/>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2">
    <w:name w:val="Список 4112"/>
    <w:basedOn w:val="NoList"/>
    <w:rsid w:val="00A82A80"/>
    <w:pPr>
      <w:numPr>
        <w:numId w:val="254"/>
      </w:numPr>
    </w:pPr>
  </w:style>
  <w:style w:type="table" w:customStyle="1" w:styleId="60">
    <w:name w:val="Сетка таблицы6"/>
    <w:basedOn w:val="TableNormal"/>
    <w:next w:val="TableGrid"/>
    <w:uiPriority w:val="59"/>
    <w:rsid w:val="00ED59F7"/>
    <w:rPr>
      <w:rFonts w:ascii="Times New Roman" w:hAnsi="Times New Roman"/>
      <w:color w:val="auto"/>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Сетка таблицы7"/>
    <w:basedOn w:val="TableNormal"/>
    <w:next w:val="TableGrid"/>
    <w:uiPriority w:val="59"/>
    <w:rsid w:val="00BC2E5D"/>
    <w:rPr>
      <w:rFonts w:ascii="Times New Roman" w:hAnsi="Times New Roman"/>
      <w:color w:val="auto"/>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
    <w:name w:val="Сетка таблицы8"/>
    <w:basedOn w:val="TableNormal"/>
    <w:next w:val="TableGrid"/>
    <w:rsid w:val="00397933"/>
    <w:rPr>
      <w:rFonts w:ascii="Times New Roman" w:hAnsi="Times New Roman"/>
      <w:color w:val="auto"/>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rsid w:val="00397933"/>
    <w:rPr>
      <w:rFonts w:ascii="Times New Roman" w:eastAsia="Arial Unicode MS" w:hAnsi="Times New Roman"/>
      <w:color w:val="auto"/>
      <w:sz w:val="20"/>
      <w:szCs w:val="20"/>
      <w:bdr w:val="none" w:sz="0" w:space="0" w:color="auto" w:frame="1"/>
    </w:rPr>
    <w:tblPr>
      <w:tblCellMar>
        <w:top w:w="0" w:type="dxa"/>
        <w:left w:w="0" w:type="dxa"/>
        <w:bottom w:w="0" w:type="dxa"/>
        <w:right w:w="0" w:type="dxa"/>
      </w:tblCellMar>
    </w:tblPr>
  </w:style>
  <w:style w:type="table" w:customStyle="1" w:styleId="90">
    <w:name w:val="Сетка таблицы9"/>
    <w:basedOn w:val="TableNormal"/>
    <w:next w:val="TableGrid"/>
    <w:rsid w:val="00397933"/>
    <w:rPr>
      <w:rFonts w:ascii="Times New Roman" w:hAnsi="Times New Roman"/>
      <w:color w:val="auto"/>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3">
    <w:name w:val="Table Normal3"/>
    <w:rsid w:val="00397933"/>
    <w:rPr>
      <w:rFonts w:ascii="Times New Roman" w:eastAsia="Arial Unicode MS" w:hAnsi="Times New Roman"/>
      <w:color w:val="auto"/>
      <w:sz w:val="20"/>
      <w:szCs w:val="20"/>
      <w:bdr w:val="none" w:sz="0" w:space="0" w:color="auto" w:frame="1"/>
    </w:rPr>
    <w:tblPr>
      <w:tblCellMar>
        <w:top w:w="0" w:type="dxa"/>
        <w:left w:w="0" w:type="dxa"/>
        <w:bottom w:w="0" w:type="dxa"/>
        <w:right w:w="0" w:type="dxa"/>
      </w:tblCellMar>
    </w:tblPr>
  </w:style>
  <w:style w:type="character" w:customStyle="1" w:styleId="FooterChar">
    <w:name w:val="Footer Char"/>
    <w:basedOn w:val="DefaultParagraphFont"/>
    <w:link w:val="Footer"/>
    <w:uiPriority w:val="99"/>
    <w:rsid w:val="00E77C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68429">
      <w:bodyDiv w:val="1"/>
      <w:marLeft w:val="0"/>
      <w:marRight w:val="0"/>
      <w:marTop w:val="0"/>
      <w:marBottom w:val="0"/>
      <w:divBdr>
        <w:top w:val="none" w:sz="0" w:space="0" w:color="auto"/>
        <w:left w:val="none" w:sz="0" w:space="0" w:color="auto"/>
        <w:bottom w:val="none" w:sz="0" w:space="0" w:color="auto"/>
        <w:right w:val="none" w:sz="0" w:space="0" w:color="auto"/>
      </w:divBdr>
    </w:div>
    <w:div w:id="43873631">
      <w:bodyDiv w:val="1"/>
      <w:marLeft w:val="0"/>
      <w:marRight w:val="0"/>
      <w:marTop w:val="0"/>
      <w:marBottom w:val="0"/>
      <w:divBdr>
        <w:top w:val="none" w:sz="0" w:space="0" w:color="auto"/>
        <w:left w:val="none" w:sz="0" w:space="0" w:color="auto"/>
        <w:bottom w:val="none" w:sz="0" w:space="0" w:color="auto"/>
        <w:right w:val="none" w:sz="0" w:space="0" w:color="auto"/>
      </w:divBdr>
    </w:div>
    <w:div w:id="53044947">
      <w:bodyDiv w:val="1"/>
      <w:marLeft w:val="0"/>
      <w:marRight w:val="0"/>
      <w:marTop w:val="0"/>
      <w:marBottom w:val="0"/>
      <w:divBdr>
        <w:top w:val="none" w:sz="0" w:space="0" w:color="auto"/>
        <w:left w:val="none" w:sz="0" w:space="0" w:color="auto"/>
        <w:bottom w:val="none" w:sz="0" w:space="0" w:color="auto"/>
        <w:right w:val="none" w:sz="0" w:space="0" w:color="auto"/>
      </w:divBdr>
    </w:div>
    <w:div w:id="130906551">
      <w:bodyDiv w:val="1"/>
      <w:marLeft w:val="0"/>
      <w:marRight w:val="0"/>
      <w:marTop w:val="0"/>
      <w:marBottom w:val="0"/>
      <w:divBdr>
        <w:top w:val="none" w:sz="0" w:space="0" w:color="auto"/>
        <w:left w:val="none" w:sz="0" w:space="0" w:color="auto"/>
        <w:bottom w:val="none" w:sz="0" w:space="0" w:color="auto"/>
        <w:right w:val="none" w:sz="0" w:space="0" w:color="auto"/>
      </w:divBdr>
      <w:divsChild>
        <w:div w:id="1618288832">
          <w:marLeft w:val="0"/>
          <w:marRight w:val="0"/>
          <w:marTop w:val="0"/>
          <w:marBottom w:val="0"/>
          <w:divBdr>
            <w:top w:val="none" w:sz="0" w:space="0" w:color="auto"/>
            <w:left w:val="none" w:sz="0" w:space="0" w:color="auto"/>
            <w:bottom w:val="none" w:sz="0" w:space="0" w:color="auto"/>
            <w:right w:val="none" w:sz="0" w:space="0" w:color="auto"/>
          </w:divBdr>
        </w:div>
      </w:divsChild>
    </w:div>
    <w:div w:id="177931790">
      <w:bodyDiv w:val="1"/>
      <w:marLeft w:val="0"/>
      <w:marRight w:val="0"/>
      <w:marTop w:val="0"/>
      <w:marBottom w:val="0"/>
      <w:divBdr>
        <w:top w:val="none" w:sz="0" w:space="0" w:color="auto"/>
        <w:left w:val="none" w:sz="0" w:space="0" w:color="auto"/>
        <w:bottom w:val="none" w:sz="0" w:space="0" w:color="auto"/>
        <w:right w:val="none" w:sz="0" w:space="0" w:color="auto"/>
      </w:divBdr>
    </w:div>
    <w:div w:id="205877851">
      <w:bodyDiv w:val="1"/>
      <w:marLeft w:val="0"/>
      <w:marRight w:val="0"/>
      <w:marTop w:val="0"/>
      <w:marBottom w:val="0"/>
      <w:divBdr>
        <w:top w:val="none" w:sz="0" w:space="0" w:color="auto"/>
        <w:left w:val="none" w:sz="0" w:space="0" w:color="auto"/>
        <w:bottom w:val="none" w:sz="0" w:space="0" w:color="auto"/>
        <w:right w:val="none" w:sz="0" w:space="0" w:color="auto"/>
      </w:divBdr>
    </w:div>
    <w:div w:id="270548423">
      <w:bodyDiv w:val="1"/>
      <w:marLeft w:val="0"/>
      <w:marRight w:val="0"/>
      <w:marTop w:val="0"/>
      <w:marBottom w:val="0"/>
      <w:divBdr>
        <w:top w:val="none" w:sz="0" w:space="0" w:color="auto"/>
        <w:left w:val="none" w:sz="0" w:space="0" w:color="auto"/>
        <w:bottom w:val="none" w:sz="0" w:space="0" w:color="auto"/>
        <w:right w:val="none" w:sz="0" w:space="0" w:color="auto"/>
      </w:divBdr>
    </w:div>
    <w:div w:id="418645332">
      <w:bodyDiv w:val="1"/>
      <w:marLeft w:val="0"/>
      <w:marRight w:val="0"/>
      <w:marTop w:val="0"/>
      <w:marBottom w:val="0"/>
      <w:divBdr>
        <w:top w:val="none" w:sz="0" w:space="0" w:color="auto"/>
        <w:left w:val="none" w:sz="0" w:space="0" w:color="auto"/>
        <w:bottom w:val="none" w:sz="0" w:space="0" w:color="auto"/>
        <w:right w:val="none" w:sz="0" w:space="0" w:color="auto"/>
      </w:divBdr>
    </w:div>
    <w:div w:id="497617204">
      <w:bodyDiv w:val="1"/>
      <w:marLeft w:val="0"/>
      <w:marRight w:val="0"/>
      <w:marTop w:val="0"/>
      <w:marBottom w:val="0"/>
      <w:divBdr>
        <w:top w:val="none" w:sz="0" w:space="0" w:color="auto"/>
        <w:left w:val="none" w:sz="0" w:space="0" w:color="auto"/>
        <w:bottom w:val="none" w:sz="0" w:space="0" w:color="auto"/>
        <w:right w:val="none" w:sz="0" w:space="0" w:color="auto"/>
      </w:divBdr>
    </w:div>
    <w:div w:id="676008247">
      <w:bodyDiv w:val="1"/>
      <w:marLeft w:val="0"/>
      <w:marRight w:val="0"/>
      <w:marTop w:val="0"/>
      <w:marBottom w:val="0"/>
      <w:divBdr>
        <w:top w:val="none" w:sz="0" w:space="0" w:color="auto"/>
        <w:left w:val="none" w:sz="0" w:space="0" w:color="auto"/>
        <w:bottom w:val="none" w:sz="0" w:space="0" w:color="auto"/>
        <w:right w:val="none" w:sz="0" w:space="0" w:color="auto"/>
      </w:divBdr>
      <w:divsChild>
        <w:div w:id="425418476">
          <w:marLeft w:val="0"/>
          <w:marRight w:val="0"/>
          <w:marTop w:val="0"/>
          <w:marBottom w:val="0"/>
          <w:divBdr>
            <w:top w:val="none" w:sz="0" w:space="0" w:color="auto"/>
            <w:left w:val="none" w:sz="0" w:space="0" w:color="auto"/>
            <w:bottom w:val="none" w:sz="0" w:space="0" w:color="auto"/>
            <w:right w:val="none" w:sz="0" w:space="0" w:color="auto"/>
          </w:divBdr>
        </w:div>
      </w:divsChild>
    </w:div>
    <w:div w:id="733356230">
      <w:bodyDiv w:val="1"/>
      <w:marLeft w:val="0"/>
      <w:marRight w:val="0"/>
      <w:marTop w:val="0"/>
      <w:marBottom w:val="0"/>
      <w:divBdr>
        <w:top w:val="none" w:sz="0" w:space="0" w:color="auto"/>
        <w:left w:val="none" w:sz="0" w:space="0" w:color="auto"/>
        <w:bottom w:val="none" w:sz="0" w:space="0" w:color="auto"/>
        <w:right w:val="none" w:sz="0" w:space="0" w:color="auto"/>
      </w:divBdr>
    </w:div>
    <w:div w:id="802963797">
      <w:bodyDiv w:val="1"/>
      <w:marLeft w:val="0"/>
      <w:marRight w:val="0"/>
      <w:marTop w:val="0"/>
      <w:marBottom w:val="0"/>
      <w:divBdr>
        <w:top w:val="none" w:sz="0" w:space="0" w:color="auto"/>
        <w:left w:val="none" w:sz="0" w:space="0" w:color="auto"/>
        <w:bottom w:val="none" w:sz="0" w:space="0" w:color="auto"/>
        <w:right w:val="none" w:sz="0" w:space="0" w:color="auto"/>
      </w:divBdr>
    </w:div>
    <w:div w:id="811870148">
      <w:bodyDiv w:val="1"/>
      <w:marLeft w:val="0"/>
      <w:marRight w:val="0"/>
      <w:marTop w:val="0"/>
      <w:marBottom w:val="0"/>
      <w:divBdr>
        <w:top w:val="none" w:sz="0" w:space="0" w:color="auto"/>
        <w:left w:val="none" w:sz="0" w:space="0" w:color="auto"/>
        <w:bottom w:val="none" w:sz="0" w:space="0" w:color="auto"/>
        <w:right w:val="none" w:sz="0" w:space="0" w:color="auto"/>
      </w:divBdr>
    </w:div>
    <w:div w:id="812794184">
      <w:bodyDiv w:val="1"/>
      <w:marLeft w:val="0"/>
      <w:marRight w:val="0"/>
      <w:marTop w:val="0"/>
      <w:marBottom w:val="0"/>
      <w:divBdr>
        <w:top w:val="none" w:sz="0" w:space="0" w:color="auto"/>
        <w:left w:val="none" w:sz="0" w:space="0" w:color="auto"/>
        <w:bottom w:val="none" w:sz="0" w:space="0" w:color="auto"/>
        <w:right w:val="none" w:sz="0" w:space="0" w:color="auto"/>
      </w:divBdr>
    </w:div>
    <w:div w:id="834221819">
      <w:bodyDiv w:val="1"/>
      <w:marLeft w:val="0"/>
      <w:marRight w:val="0"/>
      <w:marTop w:val="0"/>
      <w:marBottom w:val="0"/>
      <w:divBdr>
        <w:top w:val="none" w:sz="0" w:space="0" w:color="auto"/>
        <w:left w:val="none" w:sz="0" w:space="0" w:color="auto"/>
        <w:bottom w:val="none" w:sz="0" w:space="0" w:color="auto"/>
        <w:right w:val="none" w:sz="0" w:space="0" w:color="auto"/>
      </w:divBdr>
    </w:div>
    <w:div w:id="835222627">
      <w:bodyDiv w:val="1"/>
      <w:marLeft w:val="0"/>
      <w:marRight w:val="0"/>
      <w:marTop w:val="0"/>
      <w:marBottom w:val="0"/>
      <w:divBdr>
        <w:top w:val="none" w:sz="0" w:space="0" w:color="auto"/>
        <w:left w:val="none" w:sz="0" w:space="0" w:color="auto"/>
        <w:bottom w:val="none" w:sz="0" w:space="0" w:color="auto"/>
        <w:right w:val="none" w:sz="0" w:space="0" w:color="auto"/>
      </w:divBdr>
    </w:div>
    <w:div w:id="840238673">
      <w:bodyDiv w:val="1"/>
      <w:marLeft w:val="0"/>
      <w:marRight w:val="0"/>
      <w:marTop w:val="0"/>
      <w:marBottom w:val="0"/>
      <w:divBdr>
        <w:top w:val="none" w:sz="0" w:space="0" w:color="auto"/>
        <w:left w:val="none" w:sz="0" w:space="0" w:color="auto"/>
        <w:bottom w:val="none" w:sz="0" w:space="0" w:color="auto"/>
        <w:right w:val="none" w:sz="0" w:space="0" w:color="auto"/>
      </w:divBdr>
      <w:divsChild>
        <w:div w:id="290861931">
          <w:marLeft w:val="0"/>
          <w:marRight w:val="0"/>
          <w:marTop w:val="0"/>
          <w:marBottom w:val="0"/>
          <w:divBdr>
            <w:top w:val="none" w:sz="0" w:space="0" w:color="auto"/>
            <w:left w:val="none" w:sz="0" w:space="0" w:color="auto"/>
            <w:bottom w:val="none" w:sz="0" w:space="0" w:color="auto"/>
            <w:right w:val="none" w:sz="0" w:space="0" w:color="auto"/>
          </w:divBdr>
        </w:div>
      </w:divsChild>
    </w:div>
    <w:div w:id="846797396">
      <w:bodyDiv w:val="1"/>
      <w:marLeft w:val="0"/>
      <w:marRight w:val="0"/>
      <w:marTop w:val="0"/>
      <w:marBottom w:val="0"/>
      <w:divBdr>
        <w:top w:val="none" w:sz="0" w:space="0" w:color="auto"/>
        <w:left w:val="none" w:sz="0" w:space="0" w:color="auto"/>
        <w:bottom w:val="none" w:sz="0" w:space="0" w:color="auto"/>
        <w:right w:val="none" w:sz="0" w:space="0" w:color="auto"/>
      </w:divBdr>
    </w:div>
    <w:div w:id="1029792397">
      <w:bodyDiv w:val="1"/>
      <w:marLeft w:val="0"/>
      <w:marRight w:val="0"/>
      <w:marTop w:val="0"/>
      <w:marBottom w:val="0"/>
      <w:divBdr>
        <w:top w:val="none" w:sz="0" w:space="0" w:color="auto"/>
        <w:left w:val="none" w:sz="0" w:space="0" w:color="auto"/>
        <w:bottom w:val="none" w:sz="0" w:space="0" w:color="auto"/>
        <w:right w:val="none" w:sz="0" w:space="0" w:color="auto"/>
      </w:divBdr>
    </w:div>
    <w:div w:id="1066144604">
      <w:bodyDiv w:val="1"/>
      <w:marLeft w:val="0"/>
      <w:marRight w:val="0"/>
      <w:marTop w:val="0"/>
      <w:marBottom w:val="0"/>
      <w:divBdr>
        <w:top w:val="none" w:sz="0" w:space="0" w:color="auto"/>
        <w:left w:val="none" w:sz="0" w:space="0" w:color="auto"/>
        <w:bottom w:val="none" w:sz="0" w:space="0" w:color="auto"/>
        <w:right w:val="none" w:sz="0" w:space="0" w:color="auto"/>
      </w:divBdr>
    </w:div>
    <w:div w:id="1095247107">
      <w:bodyDiv w:val="1"/>
      <w:marLeft w:val="0"/>
      <w:marRight w:val="0"/>
      <w:marTop w:val="0"/>
      <w:marBottom w:val="0"/>
      <w:divBdr>
        <w:top w:val="none" w:sz="0" w:space="0" w:color="auto"/>
        <w:left w:val="none" w:sz="0" w:space="0" w:color="auto"/>
        <w:bottom w:val="none" w:sz="0" w:space="0" w:color="auto"/>
        <w:right w:val="none" w:sz="0" w:space="0" w:color="auto"/>
      </w:divBdr>
      <w:divsChild>
        <w:div w:id="927150625">
          <w:marLeft w:val="0"/>
          <w:marRight w:val="0"/>
          <w:marTop w:val="0"/>
          <w:marBottom w:val="0"/>
          <w:divBdr>
            <w:top w:val="none" w:sz="0" w:space="0" w:color="auto"/>
            <w:left w:val="none" w:sz="0" w:space="0" w:color="auto"/>
            <w:bottom w:val="none" w:sz="0" w:space="0" w:color="auto"/>
            <w:right w:val="none" w:sz="0" w:space="0" w:color="auto"/>
          </w:divBdr>
        </w:div>
      </w:divsChild>
    </w:div>
    <w:div w:id="1154300184">
      <w:bodyDiv w:val="1"/>
      <w:marLeft w:val="0"/>
      <w:marRight w:val="0"/>
      <w:marTop w:val="0"/>
      <w:marBottom w:val="0"/>
      <w:divBdr>
        <w:top w:val="none" w:sz="0" w:space="0" w:color="auto"/>
        <w:left w:val="none" w:sz="0" w:space="0" w:color="auto"/>
        <w:bottom w:val="none" w:sz="0" w:space="0" w:color="auto"/>
        <w:right w:val="none" w:sz="0" w:space="0" w:color="auto"/>
      </w:divBdr>
    </w:div>
    <w:div w:id="1176647493">
      <w:bodyDiv w:val="1"/>
      <w:marLeft w:val="0"/>
      <w:marRight w:val="0"/>
      <w:marTop w:val="0"/>
      <w:marBottom w:val="0"/>
      <w:divBdr>
        <w:top w:val="none" w:sz="0" w:space="0" w:color="auto"/>
        <w:left w:val="none" w:sz="0" w:space="0" w:color="auto"/>
        <w:bottom w:val="none" w:sz="0" w:space="0" w:color="auto"/>
        <w:right w:val="none" w:sz="0" w:space="0" w:color="auto"/>
      </w:divBdr>
    </w:div>
    <w:div w:id="1207639865">
      <w:bodyDiv w:val="1"/>
      <w:marLeft w:val="0"/>
      <w:marRight w:val="0"/>
      <w:marTop w:val="0"/>
      <w:marBottom w:val="0"/>
      <w:divBdr>
        <w:top w:val="none" w:sz="0" w:space="0" w:color="auto"/>
        <w:left w:val="none" w:sz="0" w:space="0" w:color="auto"/>
        <w:bottom w:val="none" w:sz="0" w:space="0" w:color="auto"/>
        <w:right w:val="none" w:sz="0" w:space="0" w:color="auto"/>
      </w:divBdr>
    </w:div>
    <w:div w:id="1255432739">
      <w:bodyDiv w:val="1"/>
      <w:marLeft w:val="0"/>
      <w:marRight w:val="0"/>
      <w:marTop w:val="0"/>
      <w:marBottom w:val="0"/>
      <w:divBdr>
        <w:top w:val="none" w:sz="0" w:space="0" w:color="auto"/>
        <w:left w:val="none" w:sz="0" w:space="0" w:color="auto"/>
        <w:bottom w:val="none" w:sz="0" w:space="0" w:color="auto"/>
        <w:right w:val="none" w:sz="0" w:space="0" w:color="auto"/>
      </w:divBdr>
      <w:divsChild>
        <w:div w:id="250310412">
          <w:marLeft w:val="-30"/>
          <w:marRight w:val="0"/>
          <w:marTop w:val="0"/>
          <w:marBottom w:val="0"/>
          <w:divBdr>
            <w:top w:val="none" w:sz="0" w:space="0" w:color="auto"/>
            <w:left w:val="none" w:sz="0" w:space="0" w:color="auto"/>
            <w:bottom w:val="none" w:sz="0" w:space="0" w:color="auto"/>
            <w:right w:val="none" w:sz="0" w:space="0" w:color="auto"/>
          </w:divBdr>
        </w:div>
      </w:divsChild>
    </w:div>
    <w:div w:id="1278876756">
      <w:bodyDiv w:val="1"/>
      <w:marLeft w:val="0"/>
      <w:marRight w:val="0"/>
      <w:marTop w:val="0"/>
      <w:marBottom w:val="0"/>
      <w:divBdr>
        <w:top w:val="none" w:sz="0" w:space="0" w:color="auto"/>
        <w:left w:val="none" w:sz="0" w:space="0" w:color="auto"/>
        <w:bottom w:val="none" w:sz="0" w:space="0" w:color="auto"/>
        <w:right w:val="none" w:sz="0" w:space="0" w:color="auto"/>
      </w:divBdr>
    </w:div>
    <w:div w:id="1293096377">
      <w:bodyDiv w:val="1"/>
      <w:marLeft w:val="0"/>
      <w:marRight w:val="0"/>
      <w:marTop w:val="0"/>
      <w:marBottom w:val="0"/>
      <w:divBdr>
        <w:top w:val="none" w:sz="0" w:space="0" w:color="auto"/>
        <w:left w:val="none" w:sz="0" w:space="0" w:color="auto"/>
        <w:bottom w:val="none" w:sz="0" w:space="0" w:color="auto"/>
        <w:right w:val="none" w:sz="0" w:space="0" w:color="auto"/>
      </w:divBdr>
    </w:div>
    <w:div w:id="1493523421">
      <w:bodyDiv w:val="1"/>
      <w:marLeft w:val="0"/>
      <w:marRight w:val="0"/>
      <w:marTop w:val="0"/>
      <w:marBottom w:val="0"/>
      <w:divBdr>
        <w:top w:val="none" w:sz="0" w:space="0" w:color="auto"/>
        <w:left w:val="none" w:sz="0" w:space="0" w:color="auto"/>
        <w:bottom w:val="none" w:sz="0" w:space="0" w:color="auto"/>
        <w:right w:val="none" w:sz="0" w:space="0" w:color="auto"/>
      </w:divBdr>
    </w:div>
    <w:div w:id="1554778530">
      <w:bodyDiv w:val="1"/>
      <w:marLeft w:val="0"/>
      <w:marRight w:val="0"/>
      <w:marTop w:val="0"/>
      <w:marBottom w:val="0"/>
      <w:divBdr>
        <w:top w:val="none" w:sz="0" w:space="0" w:color="auto"/>
        <w:left w:val="none" w:sz="0" w:space="0" w:color="auto"/>
        <w:bottom w:val="none" w:sz="0" w:space="0" w:color="auto"/>
        <w:right w:val="none" w:sz="0" w:space="0" w:color="auto"/>
      </w:divBdr>
    </w:div>
    <w:div w:id="1597135961">
      <w:bodyDiv w:val="1"/>
      <w:marLeft w:val="0"/>
      <w:marRight w:val="0"/>
      <w:marTop w:val="0"/>
      <w:marBottom w:val="0"/>
      <w:divBdr>
        <w:top w:val="none" w:sz="0" w:space="0" w:color="auto"/>
        <w:left w:val="none" w:sz="0" w:space="0" w:color="auto"/>
        <w:bottom w:val="none" w:sz="0" w:space="0" w:color="auto"/>
        <w:right w:val="none" w:sz="0" w:space="0" w:color="auto"/>
      </w:divBdr>
    </w:div>
    <w:div w:id="1679622214">
      <w:bodyDiv w:val="1"/>
      <w:marLeft w:val="0"/>
      <w:marRight w:val="0"/>
      <w:marTop w:val="0"/>
      <w:marBottom w:val="0"/>
      <w:divBdr>
        <w:top w:val="none" w:sz="0" w:space="0" w:color="auto"/>
        <w:left w:val="none" w:sz="0" w:space="0" w:color="auto"/>
        <w:bottom w:val="none" w:sz="0" w:space="0" w:color="auto"/>
        <w:right w:val="none" w:sz="0" w:space="0" w:color="auto"/>
      </w:divBdr>
    </w:div>
    <w:div w:id="1684814979">
      <w:bodyDiv w:val="1"/>
      <w:marLeft w:val="0"/>
      <w:marRight w:val="0"/>
      <w:marTop w:val="0"/>
      <w:marBottom w:val="0"/>
      <w:divBdr>
        <w:top w:val="none" w:sz="0" w:space="0" w:color="auto"/>
        <w:left w:val="none" w:sz="0" w:space="0" w:color="auto"/>
        <w:bottom w:val="none" w:sz="0" w:space="0" w:color="auto"/>
        <w:right w:val="none" w:sz="0" w:space="0" w:color="auto"/>
      </w:divBdr>
      <w:divsChild>
        <w:div w:id="2047632110">
          <w:marLeft w:val="0"/>
          <w:marRight w:val="0"/>
          <w:marTop w:val="0"/>
          <w:marBottom w:val="0"/>
          <w:divBdr>
            <w:top w:val="none" w:sz="0" w:space="0" w:color="auto"/>
            <w:left w:val="none" w:sz="0" w:space="0" w:color="auto"/>
            <w:bottom w:val="none" w:sz="0" w:space="0" w:color="auto"/>
            <w:right w:val="none" w:sz="0" w:space="0" w:color="auto"/>
          </w:divBdr>
        </w:div>
      </w:divsChild>
    </w:div>
    <w:div w:id="1807548509">
      <w:bodyDiv w:val="1"/>
      <w:marLeft w:val="0"/>
      <w:marRight w:val="0"/>
      <w:marTop w:val="0"/>
      <w:marBottom w:val="0"/>
      <w:divBdr>
        <w:top w:val="none" w:sz="0" w:space="0" w:color="auto"/>
        <w:left w:val="none" w:sz="0" w:space="0" w:color="auto"/>
        <w:bottom w:val="none" w:sz="0" w:space="0" w:color="auto"/>
        <w:right w:val="none" w:sz="0" w:space="0" w:color="auto"/>
      </w:divBdr>
    </w:div>
    <w:div w:id="2103866522">
      <w:bodyDiv w:val="1"/>
      <w:marLeft w:val="0"/>
      <w:marRight w:val="0"/>
      <w:marTop w:val="0"/>
      <w:marBottom w:val="0"/>
      <w:divBdr>
        <w:top w:val="none" w:sz="0" w:space="0" w:color="auto"/>
        <w:left w:val="none" w:sz="0" w:space="0" w:color="auto"/>
        <w:bottom w:val="none" w:sz="0" w:space="0" w:color="auto"/>
        <w:right w:val="none" w:sz="0" w:space="0" w:color="auto"/>
      </w:divBdr>
      <w:divsChild>
        <w:div w:id="87388191">
          <w:marLeft w:val="0"/>
          <w:marRight w:val="0"/>
          <w:marTop w:val="0"/>
          <w:marBottom w:val="0"/>
          <w:divBdr>
            <w:top w:val="none" w:sz="0" w:space="0" w:color="auto"/>
            <w:left w:val="none" w:sz="0" w:space="0" w:color="auto"/>
            <w:bottom w:val="none" w:sz="0" w:space="0" w:color="auto"/>
            <w:right w:val="none" w:sz="0" w:space="0" w:color="auto"/>
          </w:divBdr>
        </w:div>
      </w:divsChild>
    </w:div>
  </w:divs>
  <w:encoding w:val="utf-8"/>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Financial_services" TargetMode="External"/><Relationship Id="rId21" Type="http://schemas.microsoft.com/office/2007/relationships/hdphoto" Target="media/hdphoto5.wdp"/><Relationship Id="rId42" Type="http://schemas.openxmlformats.org/officeDocument/2006/relationships/hyperlink" Target="https://en.wikipedia.org/wiki/Nonprofit_organization" TargetMode="External"/><Relationship Id="rId47" Type="http://schemas.openxmlformats.org/officeDocument/2006/relationships/hyperlink" Target="https://en.wikipedia.org/wiki/IFRS_Foundation" TargetMode="External"/><Relationship Id="rId63" Type="http://schemas.openxmlformats.org/officeDocument/2006/relationships/hyperlink" Target="http://www.businessdictionary.com/definition/pay.html" TargetMode="External"/><Relationship Id="rId68" Type="http://schemas.openxmlformats.org/officeDocument/2006/relationships/hyperlink" Target="http://thelawdictionary.org/accounting-period/" TargetMode="External"/><Relationship Id="rId84" Type="http://schemas.openxmlformats.org/officeDocument/2006/relationships/hyperlink" Target="http://glossary.reuters.com/index.php?title=Budget_Deficit" TargetMode="External"/><Relationship Id="rId89" Type="http://schemas.openxmlformats.org/officeDocument/2006/relationships/hyperlink" Target="http://www.imf.org/external/np/exr/ib/2008/053008.htm" TargetMode="External"/><Relationship Id="rId16" Type="http://schemas.openxmlformats.org/officeDocument/2006/relationships/image" Target="media/image4.jpeg"/><Relationship Id="rId11" Type="http://schemas.openxmlformats.org/officeDocument/2006/relationships/footer" Target="footer3.xml"/><Relationship Id="rId32" Type="http://schemas.openxmlformats.org/officeDocument/2006/relationships/hyperlink" Target="https://en.wikipedia.org/wiki/Affinity_(law)" TargetMode="External"/><Relationship Id="rId37" Type="http://schemas.openxmlformats.org/officeDocument/2006/relationships/diagramData" Target="diagrams/data1.xml"/><Relationship Id="rId53" Type="http://schemas.openxmlformats.org/officeDocument/2006/relationships/hyperlink" Target="http://www.businessdictionary.com/definition/company.html" TargetMode="External"/><Relationship Id="rId58" Type="http://schemas.openxmlformats.org/officeDocument/2006/relationships/hyperlink" Target="http://www.businessdictionary.com/definition/stockholder.html" TargetMode="External"/><Relationship Id="rId74" Type="http://schemas.openxmlformats.org/officeDocument/2006/relationships/hyperlink" Target="https://en.wikipedia.org/wiki/Gross_domestic_product" TargetMode="External"/><Relationship Id="rId79" Type="http://schemas.openxmlformats.org/officeDocument/2006/relationships/hyperlink" Target="http://glossary.reuters.com/index.php?title=Budget_Deficit" TargetMode="External"/><Relationship Id="rId5" Type="http://schemas.openxmlformats.org/officeDocument/2006/relationships/webSettings" Target="webSettings.xml"/><Relationship Id="rId90" Type="http://schemas.openxmlformats.org/officeDocument/2006/relationships/header" Target="header1.xml"/><Relationship Id="rId95" Type="http://schemas.openxmlformats.org/officeDocument/2006/relationships/header" Target="header5.xml"/><Relationship Id="rId22" Type="http://schemas.openxmlformats.org/officeDocument/2006/relationships/hyperlink" Target="http://www.businessdictionary.com" TargetMode="External"/><Relationship Id="rId27" Type="http://schemas.openxmlformats.org/officeDocument/2006/relationships/image" Target="media/image7.png"/><Relationship Id="rId43" Type="http://schemas.openxmlformats.org/officeDocument/2006/relationships/hyperlink" Target="https://en.wikipedia.org/wiki/Accounting" TargetMode="External"/><Relationship Id="rId48" Type="http://schemas.openxmlformats.org/officeDocument/2006/relationships/hyperlink" Target="http://www.businessdictionary.com/definition/ownership-interest.html" TargetMode="External"/><Relationship Id="rId64" Type="http://schemas.openxmlformats.org/officeDocument/2006/relationships/hyperlink" Target="http://www.accountingcoach.com/blog/what-is-a-liability" TargetMode="External"/><Relationship Id="rId69" Type="http://schemas.openxmlformats.org/officeDocument/2006/relationships/hyperlink" Target="http://www.businessdictionary.com/definition/credit.html" TargetMode="External"/><Relationship Id="rId80" Type="http://schemas.openxmlformats.org/officeDocument/2006/relationships/hyperlink" Target="http://glossary.reuters.com/index.php?title=GDP" TargetMode="External"/><Relationship Id="rId85" Type="http://schemas.openxmlformats.org/officeDocument/2006/relationships/hyperlink" Target="http://glossary.reuters.com/index.php?title=GDP" TargetMode="External"/><Relationship Id="rId3" Type="http://schemas.openxmlformats.org/officeDocument/2006/relationships/styles" Target="styles.xml"/><Relationship Id="rId12" Type="http://schemas.openxmlformats.org/officeDocument/2006/relationships/image" Target="media/image2.png"/><Relationship Id="rId17" Type="http://schemas.microsoft.com/office/2007/relationships/hdphoto" Target="media/hdphoto3.wdp"/><Relationship Id="rId25" Type="http://schemas.openxmlformats.org/officeDocument/2006/relationships/hyperlink" Target="https://en.wikipedia.org/wiki/Financial_instruments" TargetMode="External"/><Relationship Id="rId33" Type="http://schemas.openxmlformats.org/officeDocument/2006/relationships/hyperlink" Target="http://www.bls.gov/news.release/cesan.nr0.htm" TargetMode="External"/><Relationship Id="rId38" Type="http://schemas.openxmlformats.org/officeDocument/2006/relationships/diagramLayout" Target="diagrams/layout1.xml"/><Relationship Id="rId46" Type="http://schemas.openxmlformats.org/officeDocument/2006/relationships/hyperlink" Target="https://en.wikipedia.org/wiki/Accounting_standard" TargetMode="External"/><Relationship Id="rId59" Type="http://schemas.openxmlformats.org/officeDocument/2006/relationships/hyperlink" Target="http://www.businessdictionary.com/definition/shareholder.html" TargetMode="External"/><Relationship Id="rId67" Type="http://schemas.openxmlformats.org/officeDocument/2006/relationships/hyperlink" Target="https://en.wikipedia.org/wiki/Other_comprehensive_income" TargetMode="External"/><Relationship Id="rId20" Type="http://schemas.openxmlformats.org/officeDocument/2006/relationships/image" Target="media/image6.jpeg"/><Relationship Id="rId41" Type="http://schemas.microsoft.com/office/2007/relationships/diagramDrawing" Target="diagrams/drawing1.xml"/><Relationship Id="rId54" Type="http://schemas.openxmlformats.org/officeDocument/2006/relationships/hyperlink" Target="http://www.businessdictionary.com/definition/owner.html" TargetMode="External"/><Relationship Id="rId62" Type="http://schemas.openxmlformats.org/officeDocument/2006/relationships/hyperlink" Target="http://www.businessdictionary.com/definition/objective.html" TargetMode="External"/><Relationship Id="rId70" Type="http://schemas.openxmlformats.org/officeDocument/2006/relationships/hyperlink" Target="http://www.businessdictionary.com/definition/debit.html" TargetMode="External"/><Relationship Id="rId75" Type="http://schemas.openxmlformats.org/officeDocument/2006/relationships/hyperlink" Target="https://en.wikipedia.org/wiki/Gross_domestic_product" TargetMode="External"/><Relationship Id="rId83" Type="http://schemas.openxmlformats.org/officeDocument/2006/relationships/hyperlink" Target="http://glossary" TargetMode="External"/><Relationship Id="rId88" Type="http://schemas.openxmlformats.org/officeDocument/2006/relationships/hyperlink" Target="http://glossary.reuters.com/index.php?title=EU" TargetMode="External"/><Relationship Id="rId91" Type="http://schemas.openxmlformats.org/officeDocument/2006/relationships/header" Target="header2.xml"/><Relationship Id="rId9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2.wdp"/><Relationship Id="rId23" Type="http://schemas.openxmlformats.org/officeDocument/2006/relationships/hyperlink" Target="https://en.wikipedia.org/wiki/Banking" TargetMode="External"/><Relationship Id="rId28" Type="http://schemas.openxmlformats.org/officeDocument/2006/relationships/hyperlink" Target="http://dx.doi.org/10.2139/ssrn.2151598" TargetMode="External"/><Relationship Id="rId36" Type="http://schemas.openxmlformats.org/officeDocument/2006/relationships/image" Target="media/image9.png"/><Relationship Id="rId49" Type="http://schemas.openxmlformats.org/officeDocument/2006/relationships/hyperlink" Target="http://www.businessdictionary.com/definition/claim.html" TargetMode="External"/><Relationship Id="rId57" Type="http://schemas.openxmlformats.org/officeDocument/2006/relationships/hyperlink" Target="http://www.businessdictionary.com/definition/balance-sheet.html" TargetMode="External"/><Relationship Id="rId10" Type="http://schemas.openxmlformats.org/officeDocument/2006/relationships/footer" Target="footer2.xml"/><Relationship Id="rId31" Type="http://schemas.openxmlformats.org/officeDocument/2006/relationships/hyperlink" Target="https://en.wikipedia.org/wiki/Consanguinity" TargetMode="External"/><Relationship Id="rId44" Type="http://schemas.openxmlformats.org/officeDocument/2006/relationships/hyperlink" Target="https://en.wikipedia.org/wiki/International_Financial_Reporting_Standards" TargetMode="External"/><Relationship Id="rId52" Type="http://schemas.openxmlformats.org/officeDocument/2006/relationships/hyperlink" Target="http://www.businessdictionary.com/definition/preferred-stock.html" TargetMode="External"/><Relationship Id="rId60" Type="http://schemas.openxmlformats.org/officeDocument/2006/relationships/hyperlink" Target="http://www.businessdictionary.com/definition/dividend.html" TargetMode="External"/><Relationship Id="rId65" Type="http://schemas.openxmlformats.org/officeDocument/2006/relationships/hyperlink" Target="http://www.accountingcoach.com/blog/what-is-an-accounting-period" TargetMode="External"/><Relationship Id="rId73" Type="http://schemas.openxmlformats.org/officeDocument/2006/relationships/hyperlink" Target="http://www.accountingcoach.com/terms/I/inventory" TargetMode="External"/><Relationship Id="rId78" Type="http://schemas.openxmlformats.org/officeDocument/2006/relationships/hyperlink" Target="http://glossary.reuters.com/index.php?title=EU" TargetMode="External"/><Relationship Id="rId81" Type="http://schemas.openxmlformats.org/officeDocument/2006/relationships/hyperlink" Target="http://glossary.reuters.com/index.php?title=Debt" TargetMode="External"/><Relationship Id="rId86" Type="http://schemas.openxmlformats.org/officeDocument/2006/relationships/hyperlink" Target="http://glossary.reuters.com/index.php?title=Debt" TargetMode="External"/><Relationship Id="rId94" Type="http://schemas.openxmlformats.org/officeDocument/2006/relationships/header" Target="header4.xml"/><Relationship Id="rId4" Type="http://schemas.openxmlformats.org/officeDocument/2006/relationships/settings" Target="settings.xml"/><Relationship Id="rId9" Type="http://schemas.openxmlformats.org/officeDocument/2006/relationships/footer" Target="footer1.xml"/><Relationship Id="rId13" Type="http://schemas.microsoft.com/office/2007/relationships/hdphoto" Target="media/hdphoto1.wdp"/><Relationship Id="rId18" Type="http://schemas.openxmlformats.org/officeDocument/2006/relationships/image" Target="media/image5.jpeg"/><Relationship Id="rId39" Type="http://schemas.openxmlformats.org/officeDocument/2006/relationships/diagramQuickStyle" Target="diagrams/quickStyle1.xml"/><Relationship Id="rId34" Type="http://schemas.openxmlformats.org/officeDocument/2006/relationships/chart" Target="charts/chart1.xml"/><Relationship Id="rId50" Type="http://schemas.openxmlformats.org/officeDocument/2006/relationships/hyperlink" Target="http://www.businessdictionary.com/definition/common-stock.html" TargetMode="External"/><Relationship Id="rId55" Type="http://schemas.openxmlformats.org/officeDocument/2006/relationships/hyperlink" Target="http://www.businessdictionary.com/definition/plus.html" TargetMode="External"/><Relationship Id="rId76" Type="http://schemas.openxmlformats.org/officeDocument/2006/relationships/hyperlink" Target="https://en.wikipedia.org/wiki/Human_Development_Index"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businessdictionary.com/definition/ledger.html" TargetMode="External"/><Relationship Id="rId92" Type="http://schemas.openxmlformats.org/officeDocument/2006/relationships/header" Target="header3.xml"/><Relationship Id="rId2" Type="http://schemas.openxmlformats.org/officeDocument/2006/relationships/numbering" Target="numbering.xml"/><Relationship Id="rId29" Type="http://schemas.openxmlformats.org/officeDocument/2006/relationships/hyperlink" Target="https://en.wikipedia.org/wiki/Social_group" TargetMode="External"/><Relationship Id="rId24" Type="http://schemas.openxmlformats.org/officeDocument/2006/relationships/hyperlink" Target="https://en.wikipedia.org/wiki/Financial_market" TargetMode="External"/><Relationship Id="rId40" Type="http://schemas.openxmlformats.org/officeDocument/2006/relationships/diagramColors" Target="diagrams/colors1.xml"/><Relationship Id="rId45" Type="http://schemas.openxmlformats.org/officeDocument/2006/relationships/hyperlink" Target="https://en.wikipedia.org/wiki/International_Accounting_Standards_Board" TargetMode="External"/><Relationship Id="rId66" Type="http://schemas.openxmlformats.org/officeDocument/2006/relationships/hyperlink" Target="https://en.wikipedia.org/wiki/Expense" TargetMode="External"/><Relationship Id="rId87" Type="http://schemas.openxmlformats.org/officeDocument/2006/relationships/hyperlink" Target="http://glossary.reuters.com/index.php?title=Inflation" TargetMode="External"/><Relationship Id="rId61" Type="http://schemas.openxmlformats.org/officeDocument/2006/relationships/hyperlink" Target="http://www.businessdictionary.com/definition/reserves.html" TargetMode="External"/><Relationship Id="rId82" Type="http://schemas.openxmlformats.org/officeDocument/2006/relationships/hyperlink" Target="http://glossary.reuters.com/index.php?title=ERM" TargetMode="External"/><Relationship Id="rId19" Type="http://schemas.microsoft.com/office/2007/relationships/hdphoto" Target="media/hdphoto4.wdp"/><Relationship Id="rId14" Type="http://schemas.openxmlformats.org/officeDocument/2006/relationships/image" Target="media/image3.jpeg"/><Relationship Id="rId30" Type="http://schemas.openxmlformats.org/officeDocument/2006/relationships/hyperlink" Target="https://en.wikipedia.org/wiki/People" TargetMode="External"/><Relationship Id="rId35" Type="http://schemas.openxmlformats.org/officeDocument/2006/relationships/image" Target="media/image8.png"/><Relationship Id="rId56" Type="http://schemas.openxmlformats.org/officeDocument/2006/relationships/hyperlink" Target="http://www.businessdictionary.com/definition/minus.html" TargetMode="External"/><Relationship Id="rId77" Type="http://schemas.openxmlformats.org/officeDocument/2006/relationships/hyperlink" Target="http://glossary.reuters.com/index.php?title=Inflation" TargetMode="External"/><Relationship Id="rId8" Type="http://schemas.openxmlformats.org/officeDocument/2006/relationships/image" Target="media/image1.emf"/><Relationship Id="rId51" Type="http://schemas.openxmlformats.org/officeDocument/2006/relationships/hyperlink" Target="http://www.businessdictionary.com/definition/type.html" TargetMode="External"/><Relationship Id="rId72" Type="http://schemas.openxmlformats.org/officeDocument/2006/relationships/hyperlink" Target="http://www.investopedia.com/terms/o/operatinglease.asp" TargetMode="External"/><Relationship Id="rId93" Type="http://schemas.openxmlformats.org/officeDocument/2006/relationships/hyperlink" Target="http://data.worldbank.org/country" TargetMode="External"/><Relationship Id="rId98"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m.brychko\AppData\Roaming\Microsoft\&#1064;&#1072;&#1073;&#1083;&#1086;&#1085;&#1099;\&#1044;&#1077;&#1083;&#1086;&#1074;&#1086;&#1081;%20&#1086;&#1090;&#1095;&#1077;&#1090;.dot"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43226195626645569"/>
          <c:y val="4.3650793650793648E-2"/>
          <c:w val="0.53708401834386088"/>
          <c:h val="0.83872859642544684"/>
        </c:manualLayout>
      </c:layout>
      <c:barChart>
        <c:barDir val="bar"/>
        <c:grouping val="clustered"/>
        <c:varyColors val="0"/>
        <c:ser>
          <c:idx val="0"/>
          <c:order val="0"/>
          <c:tx>
            <c:strRef>
              <c:f>Лист1!$B$1</c:f>
              <c:strCache>
                <c:ptCount val="1"/>
                <c:pt idx="0">
                  <c:v>EU27</c:v>
                </c:pt>
              </c:strCache>
            </c:strRef>
          </c:tx>
          <c:spPr>
            <a:solidFill>
              <a:schemeClr val="tx1">
                <a:lumMod val="65000"/>
                <a:lumOff val="35000"/>
              </a:schemeClr>
            </a:solidFill>
          </c:spPr>
          <c:invertIfNegative val="0"/>
          <c:cat>
            <c:strRef>
              <c:f>Лист1!$A$2:$A$13</c:f>
              <c:strCache>
                <c:ptCount val="12"/>
                <c:pt idx="0">
                  <c:v>Housing, water, electricity, gas and other fuels</c:v>
                </c:pt>
                <c:pt idx="1">
                  <c:v>Transport</c:v>
                </c:pt>
                <c:pt idx="2">
                  <c:v>Food and non-alcoholic beverages</c:v>
                </c:pt>
                <c:pt idx="3">
                  <c:v>Miscellaneous goods and services</c:v>
                </c:pt>
                <c:pt idx="4">
                  <c:v>Recreation and culture</c:v>
                </c:pt>
                <c:pt idx="5">
                  <c:v>Restaurants and hotels</c:v>
                </c:pt>
                <c:pt idx="6">
                  <c:v>Furnishing, household equipment maintenance</c:v>
                </c:pt>
                <c:pt idx="7">
                  <c:v>Clothing and footwear</c:v>
                </c:pt>
                <c:pt idx="8">
                  <c:v>Alcoholic beverages, tobacco and narcotics</c:v>
                </c:pt>
                <c:pt idx="9">
                  <c:v>Health</c:v>
                </c:pt>
                <c:pt idx="10">
                  <c:v>Communication</c:v>
                </c:pt>
                <c:pt idx="11">
                  <c:v>Education</c:v>
                </c:pt>
              </c:strCache>
            </c:strRef>
          </c:cat>
          <c:val>
            <c:numRef>
              <c:f>Лист1!$B$2:$B$13</c:f>
              <c:numCache>
                <c:formatCode>General</c:formatCode>
                <c:ptCount val="12"/>
                <c:pt idx="0">
                  <c:v>0.23</c:v>
                </c:pt>
                <c:pt idx="1">
                  <c:v>0.13</c:v>
                </c:pt>
                <c:pt idx="2">
                  <c:v>0.12</c:v>
                </c:pt>
                <c:pt idx="3">
                  <c:v>0.11</c:v>
                </c:pt>
                <c:pt idx="4">
                  <c:v>0.09</c:v>
                </c:pt>
                <c:pt idx="5">
                  <c:v>0.08</c:v>
                </c:pt>
                <c:pt idx="6">
                  <c:v>0.05</c:v>
                </c:pt>
                <c:pt idx="7">
                  <c:v>0.05</c:v>
                </c:pt>
                <c:pt idx="8">
                  <c:v>0.04</c:v>
                </c:pt>
                <c:pt idx="9">
                  <c:v>0.04</c:v>
                </c:pt>
                <c:pt idx="10">
                  <c:v>0.03</c:v>
                </c:pt>
                <c:pt idx="11">
                  <c:v>0.03</c:v>
                </c:pt>
              </c:numCache>
            </c:numRef>
          </c:val>
          <c:extLst>
            <c:ext xmlns:c16="http://schemas.microsoft.com/office/drawing/2014/chart" uri="{C3380CC4-5D6E-409C-BE32-E72D297353CC}">
              <c16:uniqueId val="{00000000-66ED-6D45-B020-AAFD9873C96F}"/>
            </c:ext>
          </c:extLst>
        </c:ser>
        <c:ser>
          <c:idx val="1"/>
          <c:order val="1"/>
          <c:tx>
            <c:strRef>
              <c:f>Лист1!$C$1</c:f>
              <c:strCache>
                <c:ptCount val="1"/>
                <c:pt idx="0">
                  <c:v>Ukraine</c:v>
                </c:pt>
              </c:strCache>
            </c:strRef>
          </c:tx>
          <c:spPr>
            <a:solidFill>
              <a:schemeClr val="bg1">
                <a:lumMod val="65000"/>
              </a:schemeClr>
            </a:solidFill>
          </c:spPr>
          <c:invertIfNegative val="0"/>
          <c:cat>
            <c:strRef>
              <c:f>Лист1!$A$2:$A$13</c:f>
              <c:strCache>
                <c:ptCount val="12"/>
                <c:pt idx="0">
                  <c:v>Housing, water, electricity, gas and other fuels</c:v>
                </c:pt>
                <c:pt idx="1">
                  <c:v>Transport</c:v>
                </c:pt>
                <c:pt idx="2">
                  <c:v>Food and non-alcoholic beverages</c:v>
                </c:pt>
                <c:pt idx="3">
                  <c:v>Miscellaneous goods and services</c:v>
                </c:pt>
                <c:pt idx="4">
                  <c:v>Recreation and culture</c:v>
                </c:pt>
                <c:pt idx="5">
                  <c:v>Restaurants and hotels</c:v>
                </c:pt>
                <c:pt idx="6">
                  <c:v>Furnishing, household equipment maintenance</c:v>
                </c:pt>
                <c:pt idx="7">
                  <c:v>Clothing and footwear</c:v>
                </c:pt>
                <c:pt idx="8">
                  <c:v>Alcoholic beverages, tobacco and narcotics</c:v>
                </c:pt>
                <c:pt idx="9">
                  <c:v>Health</c:v>
                </c:pt>
                <c:pt idx="10">
                  <c:v>Communication</c:v>
                </c:pt>
                <c:pt idx="11">
                  <c:v>Education</c:v>
                </c:pt>
              </c:strCache>
            </c:strRef>
          </c:cat>
          <c:val>
            <c:numRef>
              <c:f>Лист1!$C$2:$C$13</c:f>
              <c:numCache>
                <c:formatCode>General</c:formatCode>
                <c:ptCount val="12"/>
                <c:pt idx="0">
                  <c:v>0.1</c:v>
                </c:pt>
                <c:pt idx="1">
                  <c:v>0.04</c:v>
                </c:pt>
                <c:pt idx="2">
                  <c:v>0.56999999999999995</c:v>
                </c:pt>
                <c:pt idx="3">
                  <c:v>0.03</c:v>
                </c:pt>
                <c:pt idx="4">
                  <c:v>0.02</c:v>
                </c:pt>
                <c:pt idx="5">
                  <c:v>0.03</c:v>
                </c:pt>
                <c:pt idx="6">
                  <c:v>0.03</c:v>
                </c:pt>
                <c:pt idx="7">
                  <c:v>7.0000000000000007E-2</c:v>
                </c:pt>
                <c:pt idx="8">
                  <c:v>0.04</c:v>
                </c:pt>
                <c:pt idx="9">
                  <c:v>0.03</c:v>
                </c:pt>
                <c:pt idx="10">
                  <c:v>0.03</c:v>
                </c:pt>
                <c:pt idx="11">
                  <c:v>0.01</c:v>
                </c:pt>
              </c:numCache>
            </c:numRef>
          </c:val>
          <c:extLst>
            <c:ext xmlns:c16="http://schemas.microsoft.com/office/drawing/2014/chart" uri="{C3380CC4-5D6E-409C-BE32-E72D297353CC}">
              <c16:uniqueId val="{00000001-66ED-6D45-B020-AAFD9873C96F}"/>
            </c:ext>
          </c:extLst>
        </c:ser>
        <c:dLbls>
          <c:showLegendKey val="0"/>
          <c:showVal val="0"/>
          <c:showCatName val="0"/>
          <c:showSerName val="0"/>
          <c:showPercent val="0"/>
          <c:showBubbleSize val="0"/>
        </c:dLbls>
        <c:gapWidth val="150"/>
        <c:axId val="36999168"/>
        <c:axId val="37000704"/>
      </c:barChart>
      <c:catAx>
        <c:axId val="36999168"/>
        <c:scaling>
          <c:orientation val="maxMin"/>
        </c:scaling>
        <c:delete val="0"/>
        <c:axPos val="l"/>
        <c:numFmt formatCode="General" sourceLinked="0"/>
        <c:majorTickMark val="out"/>
        <c:minorTickMark val="none"/>
        <c:tickLblPos val="nextTo"/>
        <c:txPr>
          <a:bodyPr/>
          <a:lstStyle/>
          <a:p>
            <a:pPr>
              <a:defRPr sz="1200">
                <a:latin typeface="Garamond" panose="02020404030301010803" pitchFamily="18" charset="0"/>
              </a:defRPr>
            </a:pPr>
            <a:endParaRPr lang="en-SE"/>
          </a:p>
        </c:txPr>
        <c:crossAx val="37000704"/>
        <c:crosses val="autoZero"/>
        <c:auto val="1"/>
        <c:lblAlgn val="ctr"/>
        <c:lblOffset val="100"/>
        <c:tickLblSkip val="1"/>
        <c:noMultiLvlLbl val="0"/>
      </c:catAx>
      <c:valAx>
        <c:axId val="37000704"/>
        <c:scaling>
          <c:orientation val="minMax"/>
          <c:max val="0.60000000000000009"/>
        </c:scaling>
        <c:delete val="0"/>
        <c:axPos val="t"/>
        <c:majorGridlines/>
        <c:numFmt formatCode="0%" sourceLinked="0"/>
        <c:majorTickMark val="out"/>
        <c:minorTickMark val="none"/>
        <c:tickLblPos val="nextTo"/>
        <c:txPr>
          <a:bodyPr/>
          <a:lstStyle/>
          <a:p>
            <a:pPr>
              <a:defRPr sz="1200">
                <a:latin typeface="Garamond" panose="02020404030301010803" pitchFamily="18" charset="0"/>
              </a:defRPr>
            </a:pPr>
            <a:endParaRPr lang="en-SE"/>
          </a:p>
        </c:txPr>
        <c:crossAx val="36999168"/>
        <c:crosses val="autoZero"/>
        <c:crossBetween val="between"/>
        <c:majorUnit val="6.0000000000000012E-2"/>
        <c:minorUnit val="1.0000000000000002E-2"/>
      </c:valAx>
      <c:spPr>
        <a:noFill/>
        <a:ln>
          <a:solidFill>
            <a:schemeClr val="dk1">
              <a:shade val="95000"/>
              <a:satMod val="105000"/>
            </a:schemeClr>
          </a:solidFill>
        </a:ln>
      </c:spPr>
    </c:plotArea>
    <c:legend>
      <c:legendPos val="r"/>
      <c:layout>
        <c:manualLayout>
          <c:xMode val="edge"/>
          <c:yMode val="edge"/>
          <c:x val="0.45429837270341206"/>
          <c:y val="0.94014716910386198"/>
          <c:w val="0.45079797317002041"/>
          <c:h val="5.6213598300212463E-2"/>
        </c:manualLayout>
      </c:layout>
      <c:overlay val="0"/>
      <c:txPr>
        <a:bodyPr/>
        <a:lstStyle/>
        <a:p>
          <a:pPr>
            <a:defRPr sz="1400">
              <a:latin typeface="Garamond" panose="02020404030301010803" pitchFamily="18" charset="0"/>
            </a:defRPr>
          </a:pPr>
          <a:endParaRPr lang="en-SE"/>
        </a:p>
      </c:txPr>
    </c:legend>
    <c:plotVisOnly val="1"/>
    <c:dispBlanksAs val="gap"/>
    <c:showDLblsOverMax val="0"/>
  </c:chart>
  <c:spPr>
    <a:ln>
      <a:noFill/>
    </a:ln>
  </c:sp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D67D95-B792-4A04-85E5-009C9F1F33B7}" type="doc">
      <dgm:prSet loTypeId="urn:microsoft.com/office/officeart/2008/layout/HalfCircleOrganizationChart" loCatId="hierarchy" qsTypeId="urn:microsoft.com/office/officeart/2005/8/quickstyle/simple1" qsCatId="simple" csTypeId="urn:microsoft.com/office/officeart/2005/8/colors/accent0_1" csCatId="mainScheme" phldr="1"/>
      <dgm:spPr/>
      <dgm:t>
        <a:bodyPr/>
        <a:lstStyle/>
        <a:p>
          <a:endParaRPr lang="uk-UA"/>
        </a:p>
      </dgm:t>
    </dgm:pt>
    <dgm:pt modelId="{67EC48A3-EC9C-492E-8F61-538D946D418A}">
      <dgm:prSet phldrT="[Текст]" custT="1"/>
      <dgm:spPr>
        <a:xfrm>
          <a:off x="2422652" y="146786"/>
          <a:ext cx="1046447" cy="334863"/>
        </a:xfrm>
        <a:noFill/>
        <a:ln w="25400" cap="flat" cmpd="sng" algn="ctr">
          <a:noFill/>
          <a:prstDash val="solid"/>
        </a:ln>
        <a:effectLst/>
        <a:sp3d/>
      </dgm:spPr>
      <dgm:t>
        <a:bodyPr/>
        <a:lstStyle/>
        <a:p>
          <a:r>
            <a:rPr lang="en-US" sz="1400" b="1">
              <a:solidFill>
                <a:sysClr val="windowText" lastClr="000000">
                  <a:hueOff val="0"/>
                  <a:satOff val="0"/>
                  <a:lumOff val="0"/>
                  <a:alphaOff val="0"/>
                </a:sysClr>
              </a:solidFill>
              <a:latin typeface="Garamond" panose="02020404030301010803" pitchFamily="18" charset="0"/>
              <a:ea typeface="+mn-ea"/>
              <a:cs typeface="+mn-cs"/>
            </a:rPr>
            <a:t>Return on equity (ROE)</a:t>
          </a:r>
          <a:endParaRPr lang="uk-UA" sz="1400" b="1">
            <a:solidFill>
              <a:sysClr val="windowText" lastClr="000000">
                <a:hueOff val="0"/>
                <a:satOff val="0"/>
                <a:lumOff val="0"/>
                <a:alphaOff val="0"/>
              </a:sysClr>
            </a:solidFill>
            <a:latin typeface="Garamond" panose="02020404030301010803" pitchFamily="18" charset="0"/>
            <a:ea typeface="+mn-ea"/>
            <a:cs typeface="+mn-cs"/>
          </a:endParaRPr>
        </a:p>
      </dgm:t>
    </dgm:pt>
    <dgm:pt modelId="{C69550A6-FCE8-4A97-BB99-C41005A46743}" type="parTrans" cxnId="{371058A3-9D50-46C7-8F0C-CF540F373925}">
      <dgm:prSet/>
      <dgm:spPr/>
      <dgm:t>
        <a:bodyPr/>
        <a:lstStyle/>
        <a:p>
          <a:endParaRPr lang="uk-UA"/>
        </a:p>
      </dgm:t>
    </dgm:pt>
    <dgm:pt modelId="{E45436FB-B7AB-47B9-A31E-5C2250E2E36C}" type="sibTrans" cxnId="{371058A3-9D50-46C7-8F0C-CF540F373925}">
      <dgm:prSet/>
      <dgm:spPr/>
      <dgm:t>
        <a:bodyPr/>
        <a:lstStyle/>
        <a:p>
          <a:endParaRPr lang="uk-UA"/>
        </a:p>
      </dgm:t>
    </dgm:pt>
    <dgm:pt modelId="{B87A35B9-C2A0-466B-A2FA-7ED3BD9E151D}">
      <dgm:prSet phldrT="[Текст]" custT="1"/>
      <dgm:spPr>
        <a:xfrm>
          <a:off x="1043329" y="809979"/>
          <a:ext cx="1046447" cy="334863"/>
        </a:xfrm>
        <a:noFill/>
        <a:ln w="25400" cap="flat" cmpd="sng" algn="ctr">
          <a:noFill/>
          <a:prstDash val="solid"/>
        </a:ln>
        <a:effectLst/>
        <a:sp3d/>
      </dgm:spPr>
      <dgm:t>
        <a:bodyPr/>
        <a:lstStyle/>
        <a:p>
          <a:r>
            <a:rPr lang="en-US" sz="1400">
              <a:solidFill>
                <a:sysClr val="windowText" lastClr="000000">
                  <a:hueOff val="0"/>
                  <a:satOff val="0"/>
                  <a:lumOff val="0"/>
                  <a:alphaOff val="0"/>
                </a:sysClr>
              </a:solidFill>
              <a:latin typeface="Garamond" panose="02020404030301010803" pitchFamily="18" charset="0"/>
              <a:ea typeface="+mn-ea"/>
              <a:cs typeface="+mn-cs"/>
            </a:rPr>
            <a:t>Net profit margin</a:t>
          </a:r>
          <a:endParaRPr lang="uk-UA" sz="1400">
            <a:solidFill>
              <a:sysClr val="windowText" lastClr="000000">
                <a:hueOff val="0"/>
                <a:satOff val="0"/>
                <a:lumOff val="0"/>
                <a:alphaOff val="0"/>
              </a:sysClr>
            </a:solidFill>
            <a:latin typeface="Garamond" panose="02020404030301010803" pitchFamily="18" charset="0"/>
            <a:ea typeface="+mn-ea"/>
            <a:cs typeface="+mn-cs"/>
          </a:endParaRPr>
        </a:p>
      </dgm:t>
    </dgm:pt>
    <dgm:pt modelId="{11FE8EC9-9C11-491A-A964-9BD321C842FD}" type="parTrans" cxnId="{24AB47EE-B34E-4C34-8B74-553528A42A09}">
      <dgm:prSet/>
      <dgm:spPr>
        <a:xfrm>
          <a:off x="1566553" y="575830"/>
          <a:ext cx="1379322" cy="139969"/>
        </a:xfrm>
        <a:noFill/>
        <a:ln w="12700" cap="flat" cmpd="sng" algn="ctr">
          <a:solidFill>
            <a:scrgbClr r="0" g="0" b="0"/>
          </a:solidFill>
          <a:prstDash val="solid"/>
          <a:tailEnd type="stealth"/>
        </a:ln>
        <a:effectLst/>
      </dgm:spPr>
      <dgm:t>
        <a:bodyPr/>
        <a:lstStyle/>
        <a:p>
          <a:endParaRPr lang="uk-UA"/>
        </a:p>
      </dgm:t>
    </dgm:pt>
    <dgm:pt modelId="{D34C4E84-42B5-451B-A92A-C51EC48F935E}" type="sibTrans" cxnId="{24AB47EE-B34E-4C34-8B74-553528A42A09}">
      <dgm:prSet/>
      <dgm:spPr/>
      <dgm:t>
        <a:bodyPr/>
        <a:lstStyle/>
        <a:p>
          <a:endParaRPr lang="uk-UA"/>
        </a:p>
      </dgm:t>
    </dgm:pt>
    <dgm:pt modelId="{A6E75A81-E414-434C-96FC-C6AC6BBAF99A}">
      <dgm:prSet phldrT="[Текст]" custT="1"/>
      <dgm:spPr>
        <a:xfrm>
          <a:off x="3792546" y="819409"/>
          <a:ext cx="1046447" cy="334863"/>
        </a:xfrm>
        <a:noFill/>
        <a:ln w="25400" cap="flat" cmpd="sng" algn="ctr">
          <a:noFill/>
          <a:prstDash val="solid"/>
        </a:ln>
        <a:effectLst/>
        <a:sp3d/>
      </dgm:spPr>
      <dgm:t>
        <a:bodyPr/>
        <a:lstStyle/>
        <a:p>
          <a:r>
            <a:rPr lang="en-US" sz="1400">
              <a:solidFill>
                <a:sysClr val="windowText" lastClr="000000">
                  <a:hueOff val="0"/>
                  <a:satOff val="0"/>
                  <a:lumOff val="0"/>
                  <a:alphaOff val="0"/>
                </a:sysClr>
              </a:solidFill>
              <a:latin typeface="Garamond" panose="02020404030301010803" pitchFamily="18" charset="0"/>
              <a:ea typeface="+mn-ea"/>
              <a:cs typeface="+mn-cs"/>
            </a:rPr>
            <a:t>Total asset turnover</a:t>
          </a:r>
          <a:endParaRPr lang="uk-UA" sz="1400">
            <a:solidFill>
              <a:sysClr val="windowText" lastClr="000000">
                <a:hueOff val="0"/>
                <a:satOff val="0"/>
                <a:lumOff val="0"/>
                <a:alphaOff val="0"/>
              </a:sysClr>
            </a:solidFill>
            <a:latin typeface="Garamond" panose="02020404030301010803" pitchFamily="18" charset="0"/>
            <a:ea typeface="+mn-ea"/>
            <a:cs typeface="+mn-cs"/>
          </a:endParaRPr>
        </a:p>
      </dgm:t>
    </dgm:pt>
    <dgm:pt modelId="{693DAA3F-B4E3-446A-A7D6-D54DB6F93197}" type="parTrans" cxnId="{B8860366-F36F-4816-8ECA-137E5891206C}">
      <dgm:prSet/>
      <dgm:spPr>
        <a:xfrm>
          <a:off x="2945876" y="575830"/>
          <a:ext cx="1369894" cy="149399"/>
        </a:xfrm>
        <a:noFill/>
        <a:ln w="12700" cap="flat" cmpd="sng" algn="ctr">
          <a:solidFill>
            <a:scrgbClr r="0" g="0" b="0"/>
          </a:solidFill>
          <a:prstDash val="solid"/>
          <a:tailEnd type="stealth"/>
        </a:ln>
        <a:effectLst/>
      </dgm:spPr>
      <dgm:t>
        <a:bodyPr/>
        <a:lstStyle/>
        <a:p>
          <a:endParaRPr lang="uk-UA"/>
        </a:p>
      </dgm:t>
    </dgm:pt>
    <dgm:pt modelId="{02BA369B-0182-4C07-B95D-35E11F996B8F}" type="sibTrans" cxnId="{B8860366-F36F-4816-8ECA-137E5891206C}">
      <dgm:prSet/>
      <dgm:spPr/>
      <dgm:t>
        <a:bodyPr/>
        <a:lstStyle/>
        <a:p>
          <a:endParaRPr lang="uk-UA"/>
        </a:p>
      </dgm:t>
    </dgm:pt>
    <dgm:pt modelId="{0027E453-9963-487F-A223-E39D5A236A01}">
      <dgm:prSet phldrT="[Текст]" custT="1"/>
      <dgm:spPr>
        <a:xfrm>
          <a:off x="2422652" y="838262"/>
          <a:ext cx="1046447" cy="334863"/>
        </a:xfrm>
        <a:noFill/>
        <a:ln w="25400" cap="flat" cmpd="sng" algn="ctr">
          <a:noFill/>
          <a:prstDash val="solid"/>
        </a:ln>
        <a:effectLst/>
        <a:sp3d/>
      </dgm:spPr>
      <dgm:t>
        <a:bodyPr/>
        <a:lstStyle/>
        <a:p>
          <a:r>
            <a:rPr lang="en-US" sz="1400">
              <a:solidFill>
                <a:sysClr val="windowText" lastClr="000000">
                  <a:hueOff val="0"/>
                  <a:satOff val="0"/>
                  <a:lumOff val="0"/>
                  <a:alphaOff val="0"/>
                </a:sysClr>
              </a:solidFill>
              <a:latin typeface="Garamond" panose="02020404030301010803" pitchFamily="18" charset="0"/>
              <a:ea typeface="+mn-ea"/>
              <a:cs typeface="+mn-cs"/>
            </a:rPr>
            <a:t>Equity multiplier</a:t>
          </a:r>
          <a:endParaRPr lang="uk-UA" sz="1400">
            <a:solidFill>
              <a:sysClr val="windowText" lastClr="000000">
                <a:hueOff val="0"/>
                <a:satOff val="0"/>
                <a:lumOff val="0"/>
                <a:alphaOff val="0"/>
              </a:sysClr>
            </a:solidFill>
            <a:latin typeface="Garamond" panose="02020404030301010803" pitchFamily="18" charset="0"/>
            <a:ea typeface="+mn-ea"/>
            <a:cs typeface="+mn-cs"/>
          </a:endParaRPr>
        </a:p>
      </dgm:t>
    </dgm:pt>
    <dgm:pt modelId="{9E05ECA7-735D-4345-A7E1-EAA1B3143F67}" type="parTrans" cxnId="{A0C424F1-A04C-4368-9838-028A6583947A}">
      <dgm:prSet/>
      <dgm:spPr>
        <a:xfrm>
          <a:off x="2900156" y="575830"/>
          <a:ext cx="91440" cy="168252"/>
        </a:xfrm>
        <a:noFill/>
        <a:ln w="12700" cap="flat" cmpd="sng" algn="ctr">
          <a:solidFill>
            <a:scrgbClr r="0" g="0" b="0"/>
          </a:solidFill>
          <a:prstDash val="solid"/>
          <a:tailEnd type="stealth"/>
        </a:ln>
        <a:effectLst/>
      </dgm:spPr>
      <dgm:t>
        <a:bodyPr/>
        <a:lstStyle/>
        <a:p>
          <a:endParaRPr lang="uk-UA"/>
        </a:p>
      </dgm:t>
    </dgm:pt>
    <dgm:pt modelId="{D7DF0C84-5507-466B-936F-8CB75A7D5F26}" type="sibTrans" cxnId="{A0C424F1-A04C-4368-9838-028A6583947A}">
      <dgm:prSet/>
      <dgm:spPr/>
      <dgm:t>
        <a:bodyPr/>
        <a:lstStyle/>
        <a:p>
          <a:endParaRPr lang="uk-UA"/>
        </a:p>
      </dgm:t>
    </dgm:pt>
    <dgm:pt modelId="{EC17D067-FD67-4426-BBAC-5A9DADBD42B9}">
      <dgm:prSet custT="1"/>
      <dgm:spPr>
        <a:xfrm>
          <a:off x="1836641" y="1581240"/>
          <a:ext cx="1046447" cy="334863"/>
        </a:xfrm>
        <a:noFill/>
        <a:ln w="25400" cap="flat" cmpd="sng" algn="ctr">
          <a:noFill/>
          <a:prstDash val="solid"/>
        </a:ln>
        <a:effectLst/>
        <a:sp3d/>
      </dgm:spPr>
      <dgm:t>
        <a:bodyPr/>
        <a:lstStyle/>
        <a:p>
          <a:r>
            <a:rPr lang="en-US" sz="1400">
              <a:solidFill>
                <a:sysClr val="windowText" lastClr="000000">
                  <a:hueOff val="0"/>
                  <a:satOff val="0"/>
                  <a:lumOff val="0"/>
                  <a:alphaOff val="0"/>
                </a:sysClr>
              </a:solidFill>
              <a:latin typeface="Garamond" panose="02020404030301010803" pitchFamily="18" charset="0"/>
              <a:ea typeface="+mn-ea"/>
              <a:cs typeface="+mn-cs"/>
            </a:rPr>
            <a:t>Operation profit margin</a:t>
          </a:r>
          <a:endParaRPr lang="uk-UA" sz="1400">
            <a:solidFill>
              <a:sysClr val="windowText" lastClr="000000">
                <a:hueOff val="0"/>
                <a:satOff val="0"/>
                <a:lumOff val="0"/>
                <a:alphaOff val="0"/>
              </a:sysClr>
            </a:solidFill>
            <a:latin typeface="Garamond" panose="02020404030301010803" pitchFamily="18" charset="0"/>
            <a:ea typeface="+mn-ea"/>
            <a:cs typeface="+mn-cs"/>
          </a:endParaRPr>
        </a:p>
      </dgm:t>
    </dgm:pt>
    <dgm:pt modelId="{074153EE-D2FD-4237-A034-1DD5708EEB06}" type="parTrans" cxnId="{1EF760BF-C874-4373-A753-CD0216F80A02}">
      <dgm:prSet/>
      <dgm:spPr>
        <a:xfrm>
          <a:off x="1566553" y="1239023"/>
          <a:ext cx="594487" cy="342216"/>
        </a:xfrm>
        <a:noFill/>
        <a:ln w="12700" cap="flat" cmpd="sng" algn="ctr">
          <a:solidFill>
            <a:scrgbClr r="0" g="0" b="0"/>
          </a:solidFill>
          <a:prstDash val="solid"/>
          <a:tailEnd type="stealth"/>
        </a:ln>
        <a:effectLst/>
      </dgm:spPr>
      <dgm:t>
        <a:bodyPr/>
        <a:lstStyle/>
        <a:p>
          <a:endParaRPr lang="uk-UA"/>
        </a:p>
      </dgm:t>
    </dgm:pt>
    <dgm:pt modelId="{66773045-E475-40C5-9C2E-C3DF46527F79}" type="sibTrans" cxnId="{1EF760BF-C874-4373-A753-CD0216F80A02}">
      <dgm:prSet/>
      <dgm:spPr/>
      <dgm:t>
        <a:bodyPr/>
        <a:lstStyle/>
        <a:p>
          <a:endParaRPr lang="uk-UA"/>
        </a:p>
      </dgm:t>
    </dgm:pt>
    <dgm:pt modelId="{3779E08F-F07B-4B8B-987F-DEBC6F97AA43}">
      <dgm:prSet custT="1"/>
      <dgm:spPr>
        <a:xfrm>
          <a:off x="1836641" y="2324218"/>
          <a:ext cx="1046447" cy="334863"/>
        </a:xfrm>
        <a:noFill/>
        <a:ln w="25400" cap="flat" cmpd="sng" algn="ctr">
          <a:noFill/>
          <a:prstDash val="solid"/>
        </a:ln>
        <a:effectLst/>
        <a:sp3d/>
      </dgm:spPr>
      <dgm:t>
        <a:bodyPr/>
        <a:lstStyle/>
        <a:p>
          <a:r>
            <a:rPr lang="en-US" sz="1400">
              <a:solidFill>
                <a:sysClr val="windowText" lastClr="000000">
                  <a:hueOff val="0"/>
                  <a:satOff val="0"/>
                  <a:lumOff val="0"/>
                  <a:alphaOff val="0"/>
                </a:sysClr>
              </a:solidFill>
              <a:latin typeface="Garamond" panose="02020404030301010803" pitchFamily="18" charset="0"/>
              <a:ea typeface="+mn-ea"/>
              <a:cs typeface="+mn-cs"/>
            </a:rPr>
            <a:t>Tax effect</a:t>
          </a:r>
          <a:endParaRPr lang="uk-UA" sz="1400">
            <a:solidFill>
              <a:sysClr val="windowText" lastClr="000000">
                <a:hueOff val="0"/>
                <a:satOff val="0"/>
                <a:lumOff val="0"/>
                <a:alphaOff val="0"/>
              </a:sysClr>
            </a:solidFill>
            <a:latin typeface="Garamond" panose="02020404030301010803" pitchFamily="18" charset="0"/>
            <a:ea typeface="+mn-ea"/>
            <a:cs typeface="+mn-cs"/>
          </a:endParaRPr>
        </a:p>
      </dgm:t>
    </dgm:pt>
    <dgm:pt modelId="{6C1D002E-20F5-4B36-9D4A-1383F512D19A}" type="parTrans" cxnId="{AFD246FA-99B2-449C-A29D-18666128A600}">
      <dgm:prSet/>
      <dgm:spPr>
        <a:xfrm>
          <a:off x="1566553" y="1239023"/>
          <a:ext cx="594487" cy="1085194"/>
        </a:xfrm>
        <a:noFill/>
        <a:ln w="12700" cap="flat" cmpd="sng" algn="ctr">
          <a:solidFill>
            <a:scrgbClr r="0" g="0" b="0"/>
          </a:solidFill>
          <a:prstDash val="solid"/>
          <a:tailEnd type="stealth"/>
        </a:ln>
        <a:effectLst/>
      </dgm:spPr>
      <dgm:t>
        <a:bodyPr/>
        <a:lstStyle/>
        <a:p>
          <a:endParaRPr lang="uk-UA"/>
        </a:p>
      </dgm:t>
    </dgm:pt>
    <dgm:pt modelId="{0635E090-5449-4286-9F29-49E719D90777}" type="sibTrans" cxnId="{AFD246FA-99B2-449C-A29D-18666128A600}">
      <dgm:prSet/>
      <dgm:spPr/>
      <dgm:t>
        <a:bodyPr/>
        <a:lstStyle/>
        <a:p>
          <a:endParaRPr lang="uk-UA"/>
        </a:p>
      </dgm:t>
    </dgm:pt>
    <dgm:pt modelId="{B315A203-9D2D-4CB5-933D-D27E12E38B2D}">
      <dgm:prSet custT="1"/>
      <dgm:spPr>
        <a:xfrm>
          <a:off x="1836641" y="3067196"/>
          <a:ext cx="1046447" cy="334863"/>
        </a:xfrm>
        <a:noFill/>
        <a:ln w="25400" cap="flat" cmpd="sng" algn="ctr">
          <a:noFill/>
          <a:prstDash val="solid"/>
        </a:ln>
        <a:effectLst/>
        <a:sp3d/>
      </dgm:spPr>
      <dgm:t>
        <a:bodyPr/>
        <a:lstStyle/>
        <a:p>
          <a:r>
            <a:rPr lang="en-US" sz="1400">
              <a:solidFill>
                <a:sysClr val="windowText" lastClr="000000">
                  <a:hueOff val="0"/>
                  <a:satOff val="0"/>
                  <a:lumOff val="0"/>
                  <a:alphaOff val="0"/>
                </a:sysClr>
              </a:solidFill>
              <a:latin typeface="Garamond" panose="02020404030301010803" pitchFamily="18" charset="0"/>
              <a:ea typeface="+mn-ea"/>
              <a:cs typeface="+mn-cs"/>
            </a:rPr>
            <a:t>Effect of non-operating items</a:t>
          </a:r>
          <a:endParaRPr lang="uk-UA" sz="1400">
            <a:solidFill>
              <a:sysClr val="windowText" lastClr="000000">
                <a:hueOff val="0"/>
                <a:satOff val="0"/>
                <a:lumOff val="0"/>
                <a:alphaOff val="0"/>
              </a:sysClr>
            </a:solidFill>
            <a:latin typeface="Garamond" panose="02020404030301010803" pitchFamily="18" charset="0"/>
            <a:ea typeface="+mn-ea"/>
            <a:cs typeface="+mn-cs"/>
          </a:endParaRPr>
        </a:p>
      </dgm:t>
    </dgm:pt>
    <dgm:pt modelId="{40FB7456-DAF0-41E8-A1FC-EEE05BA5D442}" type="parTrans" cxnId="{96AC3C09-BABC-4D2A-9FAA-F09245F616A0}">
      <dgm:prSet/>
      <dgm:spPr>
        <a:xfrm>
          <a:off x="1566553" y="1239023"/>
          <a:ext cx="594487" cy="1828172"/>
        </a:xfrm>
        <a:noFill/>
        <a:ln w="12700" cap="flat" cmpd="sng" algn="ctr">
          <a:solidFill>
            <a:scrgbClr r="0" g="0" b="0"/>
          </a:solidFill>
          <a:prstDash val="solid"/>
          <a:tailEnd type="stealth"/>
        </a:ln>
        <a:effectLst/>
      </dgm:spPr>
      <dgm:t>
        <a:bodyPr/>
        <a:lstStyle/>
        <a:p>
          <a:endParaRPr lang="uk-UA"/>
        </a:p>
      </dgm:t>
    </dgm:pt>
    <dgm:pt modelId="{8C8C3320-B845-43F9-B2B6-59573588969F}" type="sibTrans" cxnId="{96AC3C09-BABC-4D2A-9FAA-F09245F616A0}">
      <dgm:prSet/>
      <dgm:spPr/>
      <dgm:t>
        <a:bodyPr/>
        <a:lstStyle/>
        <a:p>
          <a:endParaRPr lang="uk-UA"/>
        </a:p>
      </dgm:t>
    </dgm:pt>
    <dgm:pt modelId="{2F8F5D5F-22B8-4990-9F79-4DF0EF4F379A}" type="pres">
      <dgm:prSet presAssocID="{90D67D95-B792-4A04-85E5-009C9F1F33B7}" presName="Name0" presStyleCnt="0">
        <dgm:presLayoutVars>
          <dgm:orgChart val="1"/>
          <dgm:chPref val="1"/>
          <dgm:dir/>
          <dgm:animOne val="branch"/>
          <dgm:animLvl val="lvl"/>
          <dgm:resizeHandles/>
        </dgm:presLayoutVars>
      </dgm:prSet>
      <dgm:spPr/>
    </dgm:pt>
    <dgm:pt modelId="{9E99F37A-85A9-4D19-A0FB-5C2A5059A467}" type="pres">
      <dgm:prSet presAssocID="{67EC48A3-EC9C-492E-8F61-538D946D418A}" presName="hierRoot1" presStyleCnt="0">
        <dgm:presLayoutVars>
          <dgm:hierBranch val="init"/>
        </dgm:presLayoutVars>
      </dgm:prSet>
      <dgm:spPr/>
    </dgm:pt>
    <dgm:pt modelId="{BF1F0CE3-138B-493C-9B35-BF5138CA69B6}" type="pres">
      <dgm:prSet presAssocID="{67EC48A3-EC9C-492E-8F61-538D946D418A}" presName="rootComposite1" presStyleCnt="0"/>
      <dgm:spPr/>
    </dgm:pt>
    <dgm:pt modelId="{A787E935-F035-408B-8CA5-8302367DCD77}" type="pres">
      <dgm:prSet presAssocID="{67EC48A3-EC9C-492E-8F61-538D946D418A}" presName="rootText1" presStyleLbl="alignAcc1" presStyleIdx="0" presStyleCnt="0" custLinFactNeighborY="15380">
        <dgm:presLayoutVars>
          <dgm:chPref val="3"/>
        </dgm:presLayoutVars>
      </dgm:prSet>
      <dgm:spPr>
        <a:prstGeom prst="rect">
          <a:avLst/>
        </a:prstGeom>
      </dgm:spPr>
    </dgm:pt>
    <dgm:pt modelId="{E12C7177-0A4C-4D05-AE6C-67BB90D293CF}" type="pres">
      <dgm:prSet presAssocID="{67EC48A3-EC9C-492E-8F61-538D946D418A}" presName="topArc1" presStyleLbl="parChTrans1D1" presStyleIdx="0" presStyleCnt="14"/>
      <dgm:spPr>
        <a:xfrm>
          <a:off x="2684264" y="52606"/>
          <a:ext cx="523223" cy="523223"/>
        </a:xfrm>
        <a:prstGeom prst="arc">
          <a:avLst>
            <a:gd name="adj1" fmla="val 13200000"/>
            <a:gd name="adj2" fmla="val 19200000"/>
          </a:avLst>
        </a:prstGeom>
        <a:noFill/>
        <a:ln w="12700" cap="flat" cmpd="sng" algn="ctr">
          <a:solidFill>
            <a:scrgbClr r="0" g="0" b="0"/>
          </a:solidFill>
          <a:prstDash val="solid"/>
        </a:ln>
        <a:effectLst/>
      </dgm:spPr>
    </dgm:pt>
    <dgm:pt modelId="{255FF030-8C32-4CCC-9883-E16C4EE8ACB3}" type="pres">
      <dgm:prSet presAssocID="{67EC48A3-EC9C-492E-8F61-538D946D418A}" presName="bottomArc1" presStyleLbl="parChTrans1D1" presStyleIdx="1" presStyleCnt="14"/>
      <dgm:spPr>
        <a:xfrm>
          <a:off x="2684264" y="52606"/>
          <a:ext cx="523223" cy="523223"/>
        </a:xfrm>
        <a:prstGeom prst="arc">
          <a:avLst>
            <a:gd name="adj1" fmla="val 2400000"/>
            <a:gd name="adj2" fmla="val 8400000"/>
          </a:avLst>
        </a:prstGeom>
        <a:noFill/>
        <a:ln w="12700" cap="flat" cmpd="sng" algn="ctr">
          <a:solidFill>
            <a:scrgbClr r="0" g="0" b="0"/>
          </a:solidFill>
          <a:prstDash val="solid"/>
        </a:ln>
        <a:effectLst/>
      </dgm:spPr>
    </dgm:pt>
    <dgm:pt modelId="{4E81F765-3ADA-41BE-816E-2FD7C14BEB4A}" type="pres">
      <dgm:prSet presAssocID="{67EC48A3-EC9C-492E-8F61-538D946D418A}" presName="topConnNode1" presStyleLbl="node1" presStyleIdx="0" presStyleCnt="0"/>
      <dgm:spPr/>
    </dgm:pt>
    <dgm:pt modelId="{E6C6CDE7-9B5A-42F1-98BA-B3EF23C76384}" type="pres">
      <dgm:prSet presAssocID="{67EC48A3-EC9C-492E-8F61-538D946D418A}" presName="hierChild2" presStyleCnt="0"/>
      <dgm:spPr/>
    </dgm:pt>
    <dgm:pt modelId="{EC445EC9-02F4-4CAD-8FF0-B8DAAB9712AF}" type="pres">
      <dgm:prSet presAssocID="{11FE8EC9-9C11-491A-A964-9BD321C842FD}" presName="Name28" presStyleLbl="parChTrans1D2" presStyleIdx="0" presStyleCnt="3"/>
      <dgm:spPr>
        <a:custGeom>
          <a:avLst/>
          <a:gdLst/>
          <a:ahLst/>
          <a:cxnLst/>
          <a:rect l="0" t="0" r="0" b="0"/>
          <a:pathLst>
            <a:path>
              <a:moveTo>
                <a:pt x="1379322" y="0"/>
              </a:moveTo>
              <a:lnTo>
                <a:pt x="1379322" y="30092"/>
              </a:lnTo>
              <a:lnTo>
                <a:pt x="0" y="30092"/>
              </a:lnTo>
              <a:lnTo>
                <a:pt x="0" y="139969"/>
              </a:lnTo>
            </a:path>
          </a:pathLst>
        </a:custGeom>
      </dgm:spPr>
    </dgm:pt>
    <dgm:pt modelId="{6DA4035C-149D-4FFB-9608-B433C1B73670}" type="pres">
      <dgm:prSet presAssocID="{B87A35B9-C2A0-466B-A2FA-7ED3BD9E151D}" presName="hierRoot2" presStyleCnt="0">
        <dgm:presLayoutVars>
          <dgm:hierBranch val="init"/>
        </dgm:presLayoutVars>
      </dgm:prSet>
      <dgm:spPr/>
    </dgm:pt>
    <dgm:pt modelId="{E7440DB5-19D0-44CA-BC4D-26C70CDAEC4F}" type="pres">
      <dgm:prSet presAssocID="{B87A35B9-C2A0-466B-A2FA-7ED3BD9E151D}" presName="rootComposite2" presStyleCnt="0"/>
      <dgm:spPr/>
    </dgm:pt>
    <dgm:pt modelId="{0D2AF006-08D6-4010-B9CD-223AE7565513}" type="pres">
      <dgm:prSet presAssocID="{B87A35B9-C2A0-466B-A2FA-7ED3BD9E151D}" presName="rootText2" presStyleLbl="alignAcc1" presStyleIdx="0" presStyleCnt="0" custLinFactNeighborX="-10810" custLinFactNeighborY="-8446">
        <dgm:presLayoutVars>
          <dgm:chPref val="3"/>
        </dgm:presLayoutVars>
      </dgm:prSet>
      <dgm:spPr>
        <a:prstGeom prst="rect">
          <a:avLst/>
        </a:prstGeom>
      </dgm:spPr>
    </dgm:pt>
    <dgm:pt modelId="{72B94A63-CCCE-45E8-89EB-6B8EC593587C}" type="pres">
      <dgm:prSet presAssocID="{B87A35B9-C2A0-466B-A2FA-7ED3BD9E151D}" presName="topArc2" presStyleLbl="parChTrans1D1" presStyleIdx="2" presStyleCnt="14"/>
      <dgm:spPr>
        <a:xfrm>
          <a:off x="1304941" y="715799"/>
          <a:ext cx="523223" cy="523223"/>
        </a:xfrm>
        <a:prstGeom prst="arc">
          <a:avLst>
            <a:gd name="adj1" fmla="val 13200000"/>
            <a:gd name="adj2" fmla="val 19200000"/>
          </a:avLst>
        </a:prstGeom>
        <a:noFill/>
        <a:ln w="12700" cap="flat" cmpd="sng" algn="ctr">
          <a:solidFill>
            <a:scrgbClr r="0" g="0" b="0"/>
          </a:solidFill>
          <a:prstDash val="solid"/>
        </a:ln>
        <a:effectLst/>
      </dgm:spPr>
    </dgm:pt>
    <dgm:pt modelId="{F1075CB0-E62D-4FF9-97F1-5FF2E1FFB994}" type="pres">
      <dgm:prSet presAssocID="{B87A35B9-C2A0-466B-A2FA-7ED3BD9E151D}" presName="bottomArc2" presStyleLbl="parChTrans1D1" presStyleIdx="3" presStyleCnt="14"/>
      <dgm:spPr>
        <a:xfrm>
          <a:off x="1304941" y="715799"/>
          <a:ext cx="523223" cy="523223"/>
        </a:xfrm>
        <a:prstGeom prst="arc">
          <a:avLst>
            <a:gd name="adj1" fmla="val 2400000"/>
            <a:gd name="adj2" fmla="val 8400000"/>
          </a:avLst>
        </a:prstGeom>
        <a:noFill/>
        <a:ln w="12700" cap="flat" cmpd="sng" algn="ctr">
          <a:solidFill>
            <a:scrgbClr r="0" g="0" b="0"/>
          </a:solidFill>
          <a:prstDash val="solid"/>
        </a:ln>
        <a:effectLst/>
      </dgm:spPr>
    </dgm:pt>
    <dgm:pt modelId="{4C68460F-6BDB-4387-B615-BD96EDBC94D7}" type="pres">
      <dgm:prSet presAssocID="{B87A35B9-C2A0-466B-A2FA-7ED3BD9E151D}" presName="topConnNode2" presStyleLbl="node2" presStyleIdx="0" presStyleCnt="0"/>
      <dgm:spPr/>
    </dgm:pt>
    <dgm:pt modelId="{8C728F4B-534A-415A-9A00-EC835F919BDC}" type="pres">
      <dgm:prSet presAssocID="{B87A35B9-C2A0-466B-A2FA-7ED3BD9E151D}" presName="hierChild4" presStyleCnt="0"/>
      <dgm:spPr/>
    </dgm:pt>
    <dgm:pt modelId="{F3AFD0C2-A79A-455A-8E6B-5554063C190E}" type="pres">
      <dgm:prSet presAssocID="{074153EE-D2FD-4237-A034-1DD5708EEB06}" presName="Name28" presStyleLbl="parChTrans1D3" presStyleIdx="0" presStyleCnt="3"/>
      <dgm:spPr>
        <a:custGeom>
          <a:avLst/>
          <a:gdLst/>
          <a:ahLst/>
          <a:cxnLst/>
          <a:rect l="0" t="0" r="0" b="0"/>
          <a:pathLst>
            <a:path>
              <a:moveTo>
                <a:pt x="0" y="0"/>
              </a:moveTo>
              <a:lnTo>
                <a:pt x="0" y="342216"/>
              </a:lnTo>
              <a:lnTo>
                <a:pt x="594487" y="342216"/>
              </a:lnTo>
            </a:path>
          </a:pathLst>
        </a:custGeom>
      </dgm:spPr>
    </dgm:pt>
    <dgm:pt modelId="{BCB71A11-B4C9-46AB-A2CA-557CEFCC6B16}" type="pres">
      <dgm:prSet presAssocID="{EC17D067-FD67-4426-BBAC-5A9DADBD42B9}" presName="hierRoot2" presStyleCnt="0">
        <dgm:presLayoutVars>
          <dgm:hierBranch val="init"/>
        </dgm:presLayoutVars>
      </dgm:prSet>
      <dgm:spPr/>
    </dgm:pt>
    <dgm:pt modelId="{9E7887F8-2239-4493-B427-79715085100E}" type="pres">
      <dgm:prSet presAssocID="{EC17D067-FD67-4426-BBAC-5A9DADBD42B9}" presName="rootComposite2" presStyleCnt="0"/>
      <dgm:spPr/>
    </dgm:pt>
    <dgm:pt modelId="{A95F830A-555F-4430-A575-2B03A59B0FEB}" type="pres">
      <dgm:prSet presAssocID="{EC17D067-FD67-4426-BBAC-5A9DADBD42B9}" presName="rootText2" presStyleLbl="alignAcc1" presStyleIdx="0" presStyleCnt="0">
        <dgm:presLayoutVars>
          <dgm:chPref val="3"/>
        </dgm:presLayoutVars>
      </dgm:prSet>
      <dgm:spPr>
        <a:prstGeom prst="rect">
          <a:avLst/>
        </a:prstGeom>
      </dgm:spPr>
    </dgm:pt>
    <dgm:pt modelId="{07474BAA-C318-471C-90FA-64AD32314619}" type="pres">
      <dgm:prSet presAssocID="{EC17D067-FD67-4426-BBAC-5A9DADBD42B9}" presName="topArc2" presStyleLbl="parChTrans1D1" presStyleIdx="4" presStyleCnt="14"/>
      <dgm:spPr>
        <a:xfrm>
          <a:off x="2098253" y="1487060"/>
          <a:ext cx="523223" cy="523223"/>
        </a:xfrm>
        <a:prstGeom prst="arc">
          <a:avLst>
            <a:gd name="adj1" fmla="val 13200000"/>
            <a:gd name="adj2" fmla="val 19200000"/>
          </a:avLst>
        </a:prstGeom>
        <a:noFill/>
        <a:ln w="12700" cap="flat" cmpd="sng" algn="ctr">
          <a:solidFill>
            <a:scrgbClr r="0" g="0" b="0"/>
          </a:solidFill>
          <a:prstDash val="solid"/>
        </a:ln>
        <a:effectLst/>
      </dgm:spPr>
    </dgm:pt>
    <dgm:pt modelId="{73D6ABE5-F6B8-4D26-B4B5-E4422A30DAA1}" type="pres">
      <dgm:prSet presAssocID="{EC17D067-FD67-4426-BBAC-5A9DADBD42B9}" presName="bottomArc2" presStyleLbl="parChTrans1D1" presStyleIdx="5" presStyleCnt="14"/>
      <dgm:spPr>
        <a:xfrm>
          <a:off x="2098253" y="1487060"/>
          <a:ext cx="523223" cy="523223"/>
        </a:xfrm>
        <a:prstGeom prst="arc">
          <a:avLst>
            <a:gd name="adj1" fmla="val 2400000"/>
            <a:gd name="adj2" fmla="val 8400000"/>
          </a:avLst>
        </a:prstGeom>
        <a:noFill/>
        <a:ln w="12700" cap="flat" cmpd="sng" algn="ctr">
          <a:solidFill>
            <a:scrgbClr r="0" g="0" b="0"/>
          </a:solidFill>
          <a:prstDash val="solid"/>
        </a:ln>
        <a:effectLst/>
      </dgm:spPr>
    </dgm:pt>
    <dgm:pt modelId="{93DDE46B-AAC7-4CA5-BF9B-2583D8E81D34}" type="pres">
      <dgm:prSet presAssocID="{EC17D067-FD67-4426-BBAC-5A9DADBD42B9}" presName="topConnNode2" presStyleLbl="node3" presStyleIdx="0" presStyleCnt="0"/>
      <dgm:spPr/>
    </dgm:pt>
    <dgm:pt modelId="{251A731A-031C-4A16-9CCB-5B9DCB2A7D29}" type="pres">
      <dgm:prSet presAssocID="{EC17D067-FD67-4426-BBAC-5A9DADBD42B9}" presName="hierChild4" presStyleCnt="0"/>
      <dgm:spPr/>
    </dgm:pt>
    <dgm:pt modelId="{FEB5C86E-677A-467C-9D43-26CFD04C0F89}" type="pres">
      <dgm:prSet presAssocID="{EC17D067-FD67-4426-BBAC-5A9DADBD42B9}" presName="hierChild5" presStyleCnt="0"/>
      <dgm:spPr/>
    </dgm:pt>
    <dgm:pt modelId="{46E77182-6917-40A1-BA67-A226CFA12223}" type="pres">
      <dgm:prSet presAssocID="{6C1D002E-20F5-4B36-9D4A-1383F512D19A}" presName="Name28" presStyleLbl="parChTrans1D3" presStyleIdx="1" presStyleCnt="3"/>
      <dgm:spPr>
        <a:custGeom>
          <a:avLst/>
          <a:gdLst/>
          <a:ahLst/>
          <a:cxnLst/>
          <a:rect l="0" t="0" r="0" b="0"/>
          <a:pathLst>
            <a:path>
              <a:moveTo>
                <a:pt x="0" y="0"/>
              </a:moveTo>
              <a:lnTo>
                <a:pt x="0" y="1085194"/>
              </a:lnTo>
              <a:lnTo>
                <a:pt x="594487" y="1085194"/>
              </a:lnTo>
            </a:path>
          </a:pathLst>
        </a:custGeom>
      </dgm:spPr>
    </dgm:pt>
    <dgm:pt modelId="{C16290DD-B885-4112-B5CF-5BF0A353F1E3}" type="pres">
      <dgm:prSet presAssocID="{3779E08F-F07B-4B8B-987F-DEBC6F97AA43}" presName="hierRoot2" presStyleCnt="0">
        <dgm:presLayoutVars>
          <dgm:hierBranch val="init"/>
        </dgm:presLayoutVars>
      </dgm:prSet>
      <dgm:spPr/>
    </dgm:pt>
    <dgm:pt modelId="{DB2311AD-E583-459C-8950-DC821586E067}" type="pres">
      <dgm:prSet presAssocID="{3779E08F-F07B-4B8B-987F-DEBC6F97AA43}" presName="rootComposite2" presStyleCnt="0"/>
      <dgm:spPr/>
    </dgm:pt>
    <dgm:pt modelId="{D5C6D44B-3474-4043-88F3-E423719FC7EF}" type="pres">
      <dgm:prSet presAssocID="{3779E08F-F07B-4B8B-987F-DEBC6F97AA43}" presName="rootText2" presStyleLbl="alignAcc1" presStyleIdx="0" presStyleCnt="0">
        <dgm:presLayoutVars>
          <dgm:chPref val="3"/>
        </dgm:presLayoutVars>
      </dgm:prSet>
      <dgm:spPr>
        <a:prstGeom prst="rect">
          <a:avLst/>
        </a:prstGeom>
      </dgm:spPr>
    </dgm:pt>
    <dgm:pt modelId="{FC1F5114-6941-45F2-B716-8F00C0A38648}" type="pres">
      <dgm:prSet presAssocID="{3779E08F-F07B-4B8B-987F-DEBC6F97AA43}" presName="topArc2" presStyleLbl="parChTrans1D1" presStyleIdx="6" presStyleCnt="14"/>
      <dgm:spPr>
        <a:xfrm>
          <a:off x="2098253" y="2230038"/>
          <a:ext cx="523223" cy="523223"/>
        </a:xfrm>
        <a:prstGeom prst="arc">
          <a:avLst>
            <a:gd name="adj1" fmla="val 13200000"/>
            <a:gd name="adj2" fmla="val 19200000"/>
          </a:avLst>
        </a:prstGeom>
        <a:noFill/>
        <a:ln w="12700" cap="flat" cmpd="sng" algn="ctr">
          <a:solidFill>
            <a:scrgbClr r="0" g="0" b="0"/>
          </a:solidFill>
          <a:prstDash val="solid"/>
        </a:ln>
        <a:effectLst/>
      </dgm:spPr>
    </dgm:pt>
    <dgm:pt modelId="{0AB96013-E449-43BC-87C2-3F3A206FDB2C}" type="pres">
      <dgm:prSet presAssocID="{3779E08F-F07B-4B8B-987F-DEBC6F97AA43}" presName="bottomArc2" presStyleLbl="parChTrans1D1" presStyleIdx="7" presStyleCnt="14"/>
      <dgm:spPr>
        <a:xfrm>
          <a:off x="2098253" y="2230038"/>
          <a:ext cx="523223" cy="523223"/>
        </a:xfrm>
        <a:prstGeom prst="arc">
          <a:avLst>
            <a:gd name="adj1" fmla="val 2400000"/>
            <a:gd name="adj2" fmla="val 8400000"/>
          </a:avLst>
        </a:prstGeom>
        <a:noFill/>
        <a:ln w="12700" cap="flat" cmpd="sng" algn="ctr">
          <a:solidFill>
            <a:scrgbClr r="0" g="0" b="0"/>
          </a:solidFill>
          <a:prstDash val="solid"/>
        </a:ln>
        <a:effectLst/>
      </dgm:spPr>
    </dgm:pt>
    <dgm:pt modelId="{3F4BDF4F-F6C9-4EFB-A575-004BD1F0B329}" type="pres">
      <dgm:prSet presAssocID="{3779E08F-F07B-4B8B-987F-DEBC6F97AA43}" presName="topConnNode2" presStyleLbl="node3" presStyleIdx="0" presStyleCnt="0"/>
      <dgm:spPr/>
    </dgm:pt>
    <dgm:pt modelId="{2F2CF62D-568E-4289-8CC8-B60510390F68}" type="pres">
      <dgm:prSet presAssocID="{3779E08F-F07B-4B8B-987F-DEBC6F97AA43}" presName="hierChild4" presStyleCnt="0"/>
      <dgm:spPr/>
    </dgm:pt>
    <dgm:pt modelId="{F1BBC024-E2D9-40A5-9789-5C77D65B5BAD}" type="pres">
      <dgm:prSet presAssocID="{3779E08F-F07B-4B8B-987F-DEBC6F97AA43}" presName="hierChild5" presStyleCnt="0"/>
      <dgm:spPr/>
    </dgm:pt>
    <dgm:pt modelId="{DA03AFB1-EA5E-4700-BAE6-1391053E0D51}" type="pres">
      <dgm:prSet presAssocID="{40FB7456-DAF0-41E8-A1FC-EEE05BA5D442}" presName="Name28" presStyleLbl="parChTrans1D3" presStyleIdx="2" presStyleCnt="3"/>
      <dgm:spPr>
        <a:custGeom>
          <a:avLst/>
          <a:gdLst/>
          <a:ahLst/>
          <a:cxnLst/>
          <a:rect l="0" t="0" r="0" b="0"/>
          <a:pathLst>
            <a:path>
              <a:moveTo>
                <a:pt x="0" y="0"/>
              </a:moveTo>
              <a:lnTo>
                <a:pt x="0" y="1828172"/>
              </a:lnTo>
              <a:lnTo>
                <a:pt x="594487" y="1828172"/>
              </a:lnTo>
            </a:path>
          </a:pathLst>
        </a:custGeom>
      </dgm:spPr>
    </dgm:pt>
    <dgm:pt modelId="{80E50390-D4DE-495B-91FB-1FE1FC6FAF0F}" type="pres">
      <dgm:prSet presAssocID="{B315A203-9D2D-4CB5-933D-D27E12E38B2D}" presName="hierRoot2" presStyleCnt="0">
        <dgm:presLayoutVars>
          <dgm:hierBranch val="init"/>
        </dgm:presLayoutVars>
      </dgm:prSet>
      <dgm:spPr/>
    </dgm:pt>
    <dgm:pt modelId="{C93B7A75-7544-40FD-84F1-3962B7BD5CD1}" type="pres">
      <dgm:prSet presAssocID="{B315A203-9D2D-4CB5-933D-D27E12E38B2D}" presName="rootComposite2" presStyleCnt="0"/>
      <dgm:spPr/>
    </dgm:pt>
    <dgm:pt modelId="{88DB692F-3177-4DE4-B252-A1D70D022C69}" type="pres">
      <dgm:prSet presAssocID="{B315A203-9D2D-4CB5-933D-D27E12E38B2D}" presName="rootText2" presStyleLbl="alignAcc1" presStyleIdx="0" presStyleCnt="0" custScaleX="177558" custLinFactNeighborX="993" custLinFactNeighborY="12412">
        <dgm:presLayoutVars>
          <dgm:chPref val="3"/>
        </dgm:presLayoutVars>
      </dgm:prSet>
      <dgm:spPr>
        <a:prstGeom prst="rect">
          <a:avLst/>
        </a:prstGeom>
      </dgm:spPr>
    </dgm:pt>
    <dgm:pt modelId="{BD3CE561-02F0-467A-A259-FFF41DFD65D7}" type="pres">
      <dgm:prSet presAssocID="{B315A203-9D2D-4CB5-933D-D27E12E38B2D}" presName="topArc2" presStyleLbl="parChTrans1D1" presStyleIdx="8" presStyleCnt="14"/>
      <dgm:spPr>
        <a:xfrm>
          <a:off x="2098253" y="2973015"/>
          <a:ext cx="523223" cy="523223"/>
        </a:xfrm>
        <a:prstGeom prst="arc">
          <a:avLst>
            <a:gd name="adj1" fmla="val 13200000"/>
            <a:gd name="adj2" fmla="val 19200000"/>
          </a:avLst>
        </a:prstGeom>
        <a:noFill/>
        <a:ln w="12700" cap="flat" cmpd="sng" algn="ctr">
          <a:solidFill>
            <a:scrgbClr r="0" g="0" b="0"/>
          </a:solidFill>
          <a:prstDash val="solid"/>
        </a:ln>
        <a:effectLst/>
      </dgm:spPr>
    </dgm:pt>
    <dgm:pt modelId="{02431569-3776-4B0B-AEC6-6852024B7F94}" type="pres">
      <dgm:prSet presAssocID="{B315A203-9D2D-4CB5-933D-D27E12E38B2D}" presName="bottomArc2" presStyleLbl="parChTrans1D1" presStyleIdx="9" presStyleCnt="14"/>
      <dgm:spPr>
        <a:xfrm>
          <a:off x="2098253" y="2973015"/>
          <a:ext cx="523223" cy="523223"/>
        </a:xfrm>
        <a:prstGeom prst="arc">
          <a:avLst>
            <a:gd name="adj1" fmla="val 2400000"/>
            <a:gd name="adj2" fmla="val 8400000"/>
          </a:avLst>
        </a:prstGeom>
        <a:noFill/>
        <a:ln w="12700" cap="flat" cmpd="sng" algn="ctr">
          <a:solidFill>
            <a:scrgbClr r="0" g="0" b="0"/>
          </a:solidFill>
          <a:prstDash val="solid"/>
        </a:ln>
        <a:effectLst/>
      </dgm:spPr>
    </dgm:pt>
    <dgm:pt modelId="{35AC3A4C-E186-4ADC-BFC6-3827AC3E096D}" type="pres">
      <dgm:prSet presAssocID="{B315A203-9D2D-4CB5-933D-D27E12E38B2D}" presName="topConnNode2" presStyleLbl="node3" presStyleIdx="0" presStyleCnt="0"/>
      <dgm:spPr/>
    </dgm:pt>
    <dgm:pt modelId="{1C9023DE-99F8-4F2E-8970-806ED3202735}" type="pres">
      <dgm:prSet presAssocID="{B315A203-9D2D-4CB5-933D-D27E12E38B2D}" presName="hierChild4" presStyleCnt="0"/>
      <dgm:spPr/>
    </dgm:pt>
    <dgm:pt modelId="{AE86D057-6AE6-4308-95B8-A4E1825E8007}" type="pres">
      <dgm:prSet presAssocID="{B315A203-9D2D-4CB5-933D-D27E12E38B2D}" presName="hierChild5" presStyleCnt="0"/>
      <dgm:spPr/>
    </dgm:pt>
    <dgm:pt modelId="{A407A057-E9F0-419E-B64E-B6C78F85A79B}" type="pres">
      <dgm:prSet presAssocID="{B87A35B9-C2A0-466B-A2FA-7ED3BD9E151D}" presName="hierChild5" presStyleCnt="0"/>
      <dgm:spPr/>
    </dgm:pt>
    <dgm:pt modelId="{A44D388E-7620-4C92-B42E-7877B6033D1D}" type="pres">
      <dgm:prSet presAssocID="{9E05ECA7-735D-4345-A7E1-EAA1B3143F67}" presName="Name28" presStyleLbl="parChTrans1D2" presStyleIdx="1" presStyleCnt="3"/>
      <dgm:spPr>
        <a:custGeom>
          <a:avLst/>
          <a:gdLst/>
          <a:ahLst/>
          <a:cxnLst/>
          <a:rect l="0" t="0" r="0" b="0"/>
          <a:pathLst>
            <a:path>
              <a:moveTo>
                <a:pt x="45720" y="0"/>
              </a:moveTo>
              <a:lnTo>
                <a:pt x="45720" y="168252"/>
              </a:lnTo>
            </a:path>
          </a:pathLst>
        </a:custGeom>
      </dgm:spPr>
    </dgm:pt>
    <dgm:pt modelId="{A9AFAD07-6333-4D8E-89C7-5C45B3BF9863}" type="pres">
      <dgm:prSet presAssocID="{0027E453-9963-487F-A223-E39D5A236A01}" presName="hierRoot2" presStyleCnt="0">
        <dgm:presLayoutVars>
          <dgm:hierBranch val="l"/>
        </dgm:presLayoutVars>
      </dgm:prSet>
      <dgm:spPr/>
    </dgm:pt>
    <dgm:pt modelId="{37702BD1-BDE6-4157-B506-6B36E5F80B2E}" type="pres">
      <dgm:prSet presAssocID="{0027E453-9963-487F-A223-E39D5A236A01}" presName="rootComposite2" presStyleCnt="0"/>
      <dgm:spPr/>
    </dgm:pt>
    <dgm:pt modelId="{65A71810-D135-4F3C-9933-C5AAC9150B36}" type="pres">
      <dgm:prSet presAssocID="{0027E453-9963-487F-A223-E39D5A236A01}" presName="rootText2" presStyleLbl="alignAcc1" presStyleIdx="0" presStyleCnt="0">
        <dgm:presLayoutVars>
          <dgm:chPref val="3"/>
        </dgm:presLayoutVars>
      </dgm:prSet>
      <dgm:spPr>
        <a:prstGeom prst="rect">
          <a:avLst/>
        </a:prstGeom>
      </dgm:spPr>
    </dgm:pt>
    <dgm:pt modelId="{2D66B3BD-F27C-4F2D-994F-C4C5ED40C4EE}" type="pres">
      <dgm:prSet presAssocID="{0027E453-9963-487F-A223-E39D5A236A01}" presName="topArc2" presStyleLbl="parChTrans1D1" presStyleIdx="10" presStyleCnt="14"/>
      <dgm:spPr>
        <a:xfrm>
          <a:off x="2684264" y="744082"/>
          <a:ext cx="523223" cy="523223"/>
        </a:xfrm>
        <a:prstGeom prst="arc">
          <a:avLst>
            <a:gd name="adj1" fmla="val 13200000"/>
            <a:gd name="adj2" fmla="val 19200000"/>
          </a:avLst>
        </a:prstGeom>
        <a:noFill/>
        <a:ln w="12700" cap="flat" cmpd="sng" algn="ctr">
          <a:solidFill>
            <a:scrgbClr r="0" g="0" b="0"/>
          </a:solidFill>
          <a:prstDash val="solid"/>
        </a:ln>
        <a:effectLst/>
      </dgm:spPr>
    </dgm:pt>
    <dgm:pt modelId="{B9DAF87D-7EE3-413F-A39C-EBF127AA7D34}" type="pres">
      <dgm:prSet presAssocID="{0027E453-9963-487F-A223-E39D5A236A01}" presName="bottomArc2" presStyleLbl="parChTrans1D1" presStyleIdx="11" presStyleCnt="14"/>
      <dgm:spPr>
        <a:xfrm>
          <a:off x="2684264" y="744082"/>
          <a:ext cx="523223" cy="523223"/>
        </a:xfrm>
        <a:prstGeom prst="arc">
          <a:avLst>
            <a:gd name="adj1" fmla="val 2400000"/>
            <a:gd name="adj2" fmla="val 8400000"/>
          </a:avLst>
        </a:prstGeom>
        <a:noFill/>
        <a:ln w="12700" cap="flat" cmpd="sng" algn="ctr">
          <a:solidFill>
            <a:scrgbClr r="0" g="0" b="0"/>
          </a:solidFill>
          <a:prstDash val="solid"/>
        </a:ln>
        <a:effectLst/>
      </dgm:spPr>
    </dgm:pt>
    <dgm:pt modelId="{6296CCE6-2021-4EB7-B529-94FE5F735F51}" type="pres">
      <dgm:prSet presAssocID="{0027E453-9963-487F-A223-E39D5A236A01}" presName="topConnNode2" presStyleLbl="node2" presStyleIdx="0" presStyleCnt="0"/>
      <dgm:spPr/>
    </dgm:pt>
    <dgm:pt modelId="{8A1FBD92-CE32-4B1F-A22B-DB532AB442B9}" type="pres">
      <dgm:prSet presAssocID="{0027E453-9963-487F-A223-E39D5A236A01}" presName="hierChild4" presStyleCnt="0"/>
      <dgm:spPr/>
    </dgm:pt>
    <dgm:pt modelId="{6B8BA972-92C8-4201-8BFA-D5B3E6D1E203}" type="pres">
      <dgm:prSet presAssocID="{0027E453-9963-487F-A223-E39D5A236A01}" presName="hierChild5" presStyleCnt="0"/>
      <dgm:spPr/>
    </dgm:pt>
    <dgm:pt modelId="{7C37BFE9-C653-495B-9556-81979EE434D3}" type="pres">
      <dgm:prSet presAssocID="{693DAA3F-B4E3-446A-A7D6-D54DB6F93197}" presName="Name28" presStyleLbl="parChTrans1D2" presStyleIdx="2" presStyleCnt="3"/>
      <dgm:spPr>
        <a:custGeom>
          <a:avLst/>
          <a:gdLst/>
          <a:ahLst/>
          <a:cxnLst/>
          <a:rect l="0" t="0" r="0" b="0"/>
          <a:pathLst>
            <a:path>
              <a:moveTo>
                <a:pt x="0" y="0"/>
              </a:moveTo>
              <a:lnTo>
                <a:pt x="0" y="39522"/>
              </a:lnTo>
              <a:lnTo>
                <a:pt x="1369894" y="39522"/>
              </a:lnTo>
              <a:lnTo>
                <a:pt x="1369894" y="149399"/>
              </a:lnTo>
            </a:path>
          </a:pathLst>
        </a:custGeom>
      </dgm:spPr>
    </dgm:pt>
    <dgm:pt modelId="{653F88F0-323F-4082-A491-8864E98A4603}" type="pres">
      <dgm:prSet presAssocID="{A6E75A81-E414-434C-96FC-C6AC6BBAF99A}" presName="hierRoot2" presStyleCnt="0">
        <dgm:presLayoutVars>
          <dgm:hierBranch val="init"/>
        </dgm:presLayoutVars>
      </dgm:prSet>
      <dgm:spPr/>
    </dgm:pt>
    <dgm:pt modelId="{5B05F769-4ED3-4012-91C0-973800F10D24}" type="pres">
      <dgm:prSet presAssocID="{A6E75A81-E414-434C-96FC-C6AC6BBAF99A}" presName="rootComposite2" presStyleCnt="0"/>
      <dgm:spPr/>
    </dgm:pt>
    <dgm:pt modelId="{FFDE3A8D-7D37-447A-B0E9-67DD8F32B24C}" type="pres">
      <dgm:prSet presAssocID="{A6E75A81-E414-434C-96FC-C6AC6BBAF99A}" presName="rootText2" presStyleLbl="alignAcc1" presStyleIdx="0" presStyleCnt="0" custLinFactNeighborX="9909" custLinFactNeighborY="-5630">
        <dgm:presLayoutVars>
          <dgm:chPref val="3"/>
        </dgm:presLayoutVars>
      </dgm:prSet>
      <dgm:spPr>
        <a:prstGeom prst="rect">
          <a:avLst/>
        </a:prstGeom>
      </dgm:spPr>
    </dgm:pt>
    <dgm:pt modelId="{928109CB-CB74-4815-A305-A46C2A0F08B9}" type="pres">
      <dgm:prSet presAssocID="{A6E75A81-E414-434C-96FC-C6AC6BBAF99A}" presName="topArc2" presStyleLbl="parChTrans1D1" presStyleIdx="12" presStyleCnt="14"/>
      <dgm:spPr>
        <a:xfrm>
          <a:off x="4054158" y="725229"/>
          <a:ext cx="523223" cy="523223"/>
        </a:xfrm>
        <a:prstGeom prst="arc">
          <a:avLst>
            <a:gd name="adj1" fmla="val 13200000"/>
            <a:gd name="adj2" fmla="val 19200000"/>
          </a:avLst>
        </a:prstGeom>
        <a:noFill/>
        <a:ln w="12700" cap="flat" cmpd="sng" algn="ctr">
          <a:solidFill>
            <a:scrgbClr r="0" g="0" b="0"/>
          </a:solidFill>
          <a:prstDash val="solid"/>
        </a:ln>
        <a:effectLst/>
      </dgm:spPr>
    </dgm:pt>
    <dgm:pt modelId="{1F2E04F3-5C63-47C6-85F5-5920123E8E19}" type="pres">
      <dgm:prSet presAssocID="{A6E75A81-E414-434C-96FC-C6AC6BBAF99A}" presName="bottomArc2" presStyleLbl="parChTrans1D1" presStyleIdx="13" presStyleCnt="14"/>
      <dgm:spPr>
        <a:xfrm>
          <a:off x="4054158" y="725229"/>
          <a:ext cx="523223" cy="523223"/>
        </a:xfrm>
        <a:prstGeom prst="arc">
          <a:avLst>
            <a:gd name="adj1" fmla="val 2400000"/>
            <a:gd name="adj2" fmla="val 8400000"/>
          </a:avLst>
        </a:prstGeom>
        <a:noFill/>
        <a:ln w="12700" cap="flat" cmpd="sng" algn="ctr">
          <a:solidFill>
            <a:scrgbClr r="0" g="0" b="0"/>
          </a:solidFill>
          <a:prstDash val="solid"/>
        </a:ln>
        <a:effectLst/>
      </dgm:spPr>
    </dgm:pt>
    <dgm:pt modelId="{0255CCBA-A394-4AF1-BB30-BCA7686ABB1D}" type="pres">
      <dgm:prSet presAssocID="{A6E75A81-E414-434C-96FC-C6AC6BBAF99A}" presName="topConnNode2" presStyleLbl="node2" presStyleIdx="0" presStyleCnt="0"/>
      <dgm:spPr/>
    </dgm:pt>
    <dgm:pt modelId="{D92015BC-49B4-4132-9B9A-4D224830FC69}" type="pres">
      <dgm:prSet presAssocID="{A6E75A81-E414-434C-96FC-C6AC6BBAF99A}" presName="hierChild4" presStyleCnt="0"/>
      <dgm:spPr/>
    </dgm:pt>
    <dgm:pt modelId="{D1658271-6FDA-4900-A286-61EB7680D283}" type="pres">
      <dgm:prSet presAssocID="{A6E75A81-E414-434C-96FC-C6AC6BBAF99A}" presName="hierChild5" presStyleCnt="0"/>
      <dgm:spPr/>
    </dgm:pt>
    <dgm:pt modelId="{41D22390-EEA3-4363-9E92-6BE2832D9EEC}" type="pres">
      <dgm:prSet presAssocID="{67EC48A3-EC9C-492E-8F61-538D946D418A}" presName="hierChild3" presStyleCnt="0"/>
      <dgm:spPr/>
    </dgm:pt>
  </dgm:ptLst>
  <dgm:cxnLst>
    <dgm:cxn modelId="{96AC3C09-BABC-4D2A-9FAA-F09245F616A0}" srcId="{B87A35B9-C2A0-466B-A2FA-7ED3BD9E151D}" destId="{B315A203-9D2D-4CB5-933D-D27E12E38B2D}" srcOrd="2" destOrd="0" parTransId="{40FB7456-DAF0-41E8-A1FC-EEE05BA5D442}" sibTransId="{8C8C3320-B845-43F9-B2B6-59573588969F}"/>
    <dgm:cxn modelId="{1A958D18-FC37-4FAD-BB2F-DD533904BF16}" type="presOf" srcId="{074153EE-D2FD-4237-A034-1DD5708EEB06}" destId="{F3AFD0C2-A79A-455A-8E6B-5554063C190E}" srcOrd="0" destOrd="0" presId="urn:microsoft.com/office/officeart/2008/layout/HalfCircleOrganizationChart"/>
    <dgm:cxn modelId="{81434D19-2702-48D1-996F-CFB0DFE47DB3}" type="presOf" srcId="{9E05ECA7-735D-4345-A7E1-EAA1B3143F67}" destId="{A44D388E-7620-4C92-B42E-7877B6033D1D}" srcOrd="0" destOrd="0" presId="urn:microsoft.com/office/officeart/2008/layout/HalfCircleOrganizationChart"/>
    <dgm:cxn modelId="{E0C67138-C29E-42B6-A931-1284C2C92208}" type="presOf" srcId="{67EC48A3-EC9C-492E-8F61-538D946D418A}" destId="{A787E935-F035-408B-8CA5-8302367DCD77}" srcOrd="0" destOrd="0" presId="urn:microsoft.com/office/officeart/2008/layout/HalfCircleOrganizationChart"/>
    <dgm:cxn modelId="{17CDAC49-F937-456B-9DC5-C50653704FA1}" type="presOf" srcId="{6C1D002E-20F5-4B36-9D4A-1383F512D19A}" destId="{46E77182-6917-40A1-BA67-A226CFA12223}" srcOrd="0" destOrd="0" presId="urn:microsoft.com/office/officeart/2008/layout/HalfCircleOrganizationChart"/>
    <dgm:cxn modelId="{C0C5EB4B-CF9E-481F-910F-5ADB0579F4D5}" type="presOf" srcId="{B87A35B9-C2A0-466B-A2FA-7ED3BD9E151D}" destId="{0D2AF006-08D6-4010-B9CD-223AE7565513}" srcOrd="0" destOrd="0" presId="urn:microsoft.com/office/officeart/2008/layout/HalfCircleOrganizationChart"/>
    <dgm:cxn modelId="{4C6D7461-3874-4B7E-B5E7-2D6F43D1B99C}" type="presOf" srcId="{A6E75A81-E414-434C-96FC-C6AC6BBAF99A}" destId="{0255CCBA-A394-4AF1-BB30-BCA7686ABB1D}" srcOrd="1" destOrd="0" presId="urn:microsoft.com/office/officeart/2008/layout/HalfCircleOrganizationChart"/>
    <dgm:cxn modelId="{57E96B63-E9E5-45EA-B27F-ACC7D07A1770}" type="presOf" srcId="{0027E453-9963-487F-A223-E39D5A236A01}" destId="{6296CCE6-2021-4EB7-B529-94FE5F735F51}" srcOrd="1" destOrd="0" presId="urn:microsoft.com/office/officeart/2008/layout/HalfCircleOrganizationChart"/>
    <dgm:cxn modelId="{B8860366-F36F-4816-8ECA-137E5891206C}" srcId="{67EC48A3-EC9C-492E-8F61-538D946D418A}" destId="{A6E75A81-E414-434C-96FC-C6AC6BBAF99A}" srcOrd="2" destOrd="0" parTransId="{693DAA3F-B4E3-446A-A7D6-D54DB6F93197}" sibTransId="{02BA369B-0182-4C07-B95D-35E11F996B8F}"/>
    <dgm:cxn modelId="{74C10D6C-8F5E-49AE-B712-AD36E33BB154}" type="presOf" srcId="{0027E453-9963-487F-A223-E39D5A236A01}" destId="{65A71810-D135-4F3C-9933-C5AAC9150B36}" srcOrd="0" destOrd="0" presId="urn:microsoft.com/office/officeart/2008/layout/HalfCircleOrganizationChart"/>
    <dgm:cxn modelId="{32923771-BE25-4922-A24D-DCB24EDBCA7F}" type="presOf" srcId="{67EC48A3-EC9C-492E-8F61-538D946D418A}" destId="{4E81F765-3ADA-41BE-816E-2FD7C14BEB4A}" srcOrd="1" destOrd="0" presId="urn:microsoft.com/office/officeart/2008/layout/HalfCircleOrganizationChart"/>
    <dgm:cxn modelId="{FFF51A93-1760-4AEB-9F1C-DE3C8E7FD563}" type="presOf" srcId="{90D67D95-B792-4A04-85E5-009C9F1F33B7}" destId="{2F8F5D5F-22B8-4990-9F79-4DF0EF4F379A}" srcOrd="0" destOrd="0" presId="urn:microsoft.com/office/officeart/2008/layout/HalfCircleOrganizationChart"/>
    <dgm:cxn modelId="{2895B797-AD07-4000-92B5-819D917611C2}" type="presOf" srcId="{B315A203-9D2D-4CB5-933D-D27E12E38B2D}" destId="{35AC3A4C-E186-4ADC-BFC6-3827AC3E096D}" srcOrd="1" destOrd="0" presId="urn:microsoft.com/office/officeart/2008/layout/HalfCircleOrganizationChart"/>
    <dgm:cxn modelId="{DAAF129C-7D2E-4B21-A769-24BCB1C2B4AA}" type="presOf" srcId="{3779E08F-F07B-4B8B-987F-DEBC6F97AA43}" destId="{D5C6D44B-3474-4043-88F3-E423719FC7EF}" srcOrd="0" destOrd="0" presId="urn:microsoft.com/office/officeart/2008/layout/HalfCircleOrganizationChart"/>
    <dgm:cxn modelId="{DD94969D-431B-4A5F-B225-C9186A669862}" type="presOf" srcId="{B315A203-9D2D-4CB5-933D-D27E12E38B2D}" destId="{88DB692F-3177-4DE4-B252-A1D70D022C69}" srcOrd="0" destOrd="0" presId="urn:microsoft.com/office/officeart/2008/layout/HalfCircleOrganizationChart"/>
    <dgm:cxn modelId="{52ACFEA0-0584-4F42-9618-49277BC4AEF2}" type="presOf" srcId="{B87A35B9-C2A0-466B-A2FA-7ED3BD9E151D}" destId="{4C68460F-6BDB-4387-B615-BD96EDBC94D7}" srcOrd="1" destOrd="0" presId="urn:microsoft.com/office/officeart/2008/layout/HalfCircleOrganizationChart"/>
    <dgm:cxn modelId="{371058A3-9D50-46C7-8F0C-CF540F373925}" srcId="{90D67D95-B792-4A04-85E5-009C9F1F33B7}" destId="{67EC48A3-EC9C-492E-8F61-538D946D418A}" srcOrd="0" destOrd="0" parTransId="{C69550A6-FCE8-4A97-BB99-C41005A46743}" sibTransId="{E45436FB-B7AB-47B9-A31E-5C2250E2E36C}"/>
    <dgm:cxn modelId="{01852DB6-F692-43CE-9583-06F8F6E16921}" type="presOf" srcId="{693DAA3F-B4E3-446A-A7D6-D54DB6F93197}" destId="{7C37BFE9-C653-495B-9556-81979EE434D3}" srcOrd="0" destOrd="0" presId="urn:microsoft.com/office/officeart/2008/layout/HalfCircleOrganizationChart"/>
    <dgm:cxn modelId="{1EF760BF-C874-4373-A753-CD0216F80A02}" srcId="{B87A35B9-C2A0-466B-A2FA-7ED3BD9E151D}" destId="{EC17D067-FD67-4426-BBAC-5A9DADBD42B9}" srcOrd="0" destOrd="0" parTransId="{074153EE-D2FD-4237-A034-1DD5708EEB06}" sibTransId="{66773045-E475-40C5-9C2E-C3DF46527F79}"/>
    <dgm:cxn modelId="{1871F0D1-F39A-40FB-AD41-0893456BFBFF}" type="presOf" srcId="{EC17D067-FD67-4426-BBAC-5A9DADBD42B9}" destId="{A95F830A-555F-4430-A575-2B03A59B0FEB}" srcOrd="0" destOrd="0" presId="urn:microsoft.com/office/officeart/2008/layout/HalfCircleOrganizationChart"/>
    <dgm:cxn modelId="{001415D7-2DA9-4FDA-9E3C-F701AB67B908}" type="presOf" srcId="{EC17D067-FD67-4426-BBAC-5A9DADBD42B9}" destId="{93DDE46B-AAC7-4CA5-BF9B-2583D8E81D34}" srcOrd="1" destOrd="0" presId="urn:microsoft.com/office/officeart/2008/layout/HalfCircleOrganizationChart"/>
    <dgm:cxn modelId="{7DC242E5-BBA4-4B2F-AAA1-8676F0E6919A}" type="presOf" srcId="{3779E08F-F07B-4B8B-987F-DEBC6F97AA43}" destId="{3F4BDF4F-F6C9-4EFB-A575-004BD1F0B329}" srcOrd="1" destOrd="0" presId="urn:microsoft.com/office/officeart/2008/layout/HalfCircleOrganizationChart"/>
    <dgm:cxn modelId="{ED62B9ED-5E83-426A-9F5C-3D64FAC95F25}" type="presOf" srcId="{11FE8EC9-9C11-491A-A964-9BD321C842FD}" destId="{EC445EC9-02F4-4CAD-8FF0-B8DAAB9712AF}" srcOrd="0" destOrd="0" presId="urn:microsoft.com/office/officeart/2008/layout/HalfCircleOrganizationChart"/>
    <dgm:cxn modelId="{24AB47EE-B34E-4C34-8B74-553528A42A09}" srcId="{67EC48A3-EC9C-492E-8F61-538D946D418A}" destId="{B87A35B9-C2A0-466B-A2FA-7ED3BD9E151D}" srcOrd="0" destOrd="0" parTransId="{11FE8EC9-9C11-491A-A964-9BD321C842FD}" sibTransId="{D34C4E84-42B5-451B-A92A-C51EC48F935E}"/>
    <dgm:cxn modelId="{7BDC7AEF-30D2-42B3-A111-143E940A7BF5}" type="presOf" srcId="{40FB7456-DAF0-41E8-A1FC-EEE05BA5D442}" destId="{DA03AFB1-EA5E-4700-BAE6-1391053E0D51}" srcOrd="0" destOrd="0" presId="urn:microsoft.com/office/officeart/2008/layout/HalfCircleOrganizationChart"/>
    <dgm:cxn modelId="{A0C424F1-A04C-4368-9838-028A6583947A}" srcId="{67EC48A3-EC9C-492E-8F61-538D946D418A}" destId="{0027E453-9963-487F-A223-E39D5A236A01}" srcOrd="1" destOrd="0" parTransId="{9E05ECA7-735D-4345-A7E1-EAA1B3143F67}" sibTransId="{D7DF0C84-5507-466B-936F-8CB75A7D5F26}"/>
    <dgm:cxn modelId="{AD4382F7-70DA-4E2D-B8FC-4D518D546484}" type="presOf" srcId="{A6E75A81-E414-434C-96FC-C6AC6BBAF99A}" destId="{FFDE3A8D-7D37-447A-B0E9-67DD8F32B24C}" srcOrd="0" destOrd="0" presId="urn:microsoft.com/office/officeart/2008/layout/HalfCircleOrganizationChart"/>
    <dgm:cxn modelId="{AFD246FA-99B2-449C-A29D-18666128A600}" srcId="{B87A35B9-C2A0-466B-A2FA-7ED3BD9E151D}" destId="{3779E08F-F07B-4B8B-987F-DEBC6F97AA43}" srcOrd="1" destOrd="0" parTransId="{6C1D002E-20F5-4B36-9D4A-1383F512D19A}" sibTransId="{0635E090-5449-4286-9F29-49E719D90777}"/>
    <dgm:cxn modelId="{1863C7EE-3023-4CEA-9E07-0A678BBE224D}" type="presParOf" srcId="{2F8F5D5F-22B8-4990-9F79-4DF0EF4F379A}" destId="{9E99F37A-85A9-4D19-A0FB-5C2A5059A467}" srcOrd="0" destOrd="0" presId="urn:microsoft.com/office/officeart/2008/layout/HalfCircleOrganizationChart"/>
    <dgm:cxn modelId="{6B3F74AC-3600-4830-A6CA-7530FEF0188F}" type="presParOf" srcId="{9E99F37A-85A9-4D19-A0FB-5C2A5059A467}" destId="{BF1F0CE3-138B-493C-9B35-BF5138CA69B6}" srcOrd="0" destOrd="0" presId="urn:microsoft.com/office/officeart/2008/layout/HalfCircleOrganizationChart"/>
    <dgm:cxn modelId="{B4BA56FA-F944-4FC4-AD80-C6BC5E7FA358}" type="presParOf" srcId="{BF1F0CE3-138B-493C-9B35-BF5138CA69B6}" destId="{A787E935-F035-408B-8CA5-8302367DCD77}" srcOrd="0" destOrd="0" presId="urn:microsoft.com/office/officeart/2008/layout/HalfCircleOrganizationChart"/>
    <dgm:cxn modelId="{179F87CA-7509-4E6F-9317-2AF4570D1098}" type="presParOf" srcId="{BF1F0CE3-138B-493C-9B35-BF5138CA69B6}" destId="{E12C7177-0A4C-4D05-AE6C-67BB90D293CF}" srcOrd="1" destOrd="0" presId="urn:microsoft.com/office/officeart/2008/layout/HalfCircleOrganizationChart"/>
    <dgm:cxn modelId="{93040604-CAF0-492D-B52F-68C76A70E37B}" type="presParOf" srcId="{BF1F0CE3-138B-493C-9B35-BF5138CA69B6}" destId="{255FF030-8C32-4CCC-9883-E16C4EE8ACB3}" srcOrd="2" destOrd="0" presId="urn:microsoft.com/office/officeart/2008/layout/HalfCircleOrganizationChart"/>
    <dgm:cxn modelId="{E885054E-41CA-43B5-BEE2-3BAA2383252A}" type="presParOf" srcId="{BF1F0CE3-138B-493C-9B35-BF5138CA69B6}" destId="{4E81F765-3ADA-41BE-816E-2FD7C14BEB4A}" srcOrd="3" destOrd="0" presId="urn:microsoft.com/office/officeart/2008/layout/HalfCircleOrganizationChart"/>
    <dgm:cxn modelId="{D2970783-9FE3-42F8-A868-747A9B4437E9}" type="presParOf" srcId="{9E99F37A-85A9-4D19-A0FB-5C2A5059A467}" destId="{E6C6CDE7-9B5A-42F1-98BA-B3EF23C76384}" srcOrd="1" destOrd="0" presId="urn:microsoft.com/office/officeart/2008/layout/HalfCircleOrganizationChart"/>
    <dgm:cxn modelId="{9ACECA7E-7F05-444B-8D0C-9E7FD163042C}" type="presParOf" srcId="{E6C6CDE7-9B5A-42F1-98BA-B3EF23C76384}" destId="{EC445EC9-02F4-4CAD-8FF0-B8DAAB9712AF}" srcOrd="0" destOrd="0" presId="urn:microsoft.com/office/officeart/2008/layout/HalfCircleOrganizationChart"/>
    <dgm:cxn modelId="{1BD1ECBA-12E4-4BE5-A57F-70B60EE5F989}" type="presParOf" srcId="{E6C6CDE7-9B5A-42F1-98BA-B3EF23C76384}" destId="{6DA4035C-149D-4FFB-9608-B433C1B73670}" srcOrd="1" destOrd="0" presId="urn:microsoft.com/office/officeart/2008/layout/HalfCircleOrganizationChart"/>
    <dgm:cxn modelId="{43F63E6D-F7F9-4B18-83B5-377D444B6498}" type="presParOf" srcId="{6DA4035C-149D-4FFB-9608-B433C1B73670}" destId="{E7440DB5-19D0-44CA-BC4D-26C70CDAEC4F}" srcOrd="0" destOrd="0" presId="urn:microsoft.com/office/officeart/2008/layout/HalfCircleOrganizationChart"/>
    <dgm:cxn modelId="{5BD63C0E-F006-4C39-AE70-2EC7CB00D0E5}" type="presParOf" srcId="{E7440DB5-19D0-44CA-BC4D-26C70CDAEC4F}" destId="{0D2AF006-08D6-4010-B9CD-223AE7565513}" srcOrd="0" destOrd="0" presId="urn:microsoft.com/office/officeart/2008/layout/HalfCircleOrganizationChart"/>
    <dgm:cxn modelId="{A40AF98D-562B-4C45-A278-F0A3213DB1A2}" type="presParOf" srcId="{E7440DB5-19D0-44CA-BC4D-26C70CDAEC4F}" destId="{72B94A63-CCCE-45E8-89EB-6B8EC593587C}" srcOrd="1" destOrd="0" presId="urn:microsoft.com/office/officeart/2008/layout/HalfCircleOrganizationChart"/>
    <dgm:cxn modelId="{25A90842-965E-445F-881E-D1221200EC30}" type="presParOf" srcId="{E7440DB5-19D0-44CA-BC4D-26C70CDAEC4F}" destId="{F1075CB0-E62D-4FF9-97F1-5FF2E1FFB994}" srcOrd="2" destOrd="0" presId="urn:microsoft.com/office/officeart/2008/layout/HalfCircleOrganizationChart"/>
    <dgm:cxn modelId="{75F34D38-2393-4309-B117-5C388C9E9868}" type="presParOf" srcId="{E7440DB5-19D0-44CA-BC4D-26C70CDAEC4F}" destId="{4C68460F-6BDB-4387-B615-BD96EDBC94D7}" srcOrd="3" destOrd="0" presId="urn:microsoft.com/office/officeart/2008/layout/HalfCircleOrganizationChart"/>
    <dgm:cxn modelId="{25D45823-FBC5-413D-B4E8-1B4EFB0810C3}" type="presParOf" srcId="{6DA4035C-149D-4FFB-9608-B433C1B73670}" destId="{8C728F4B-534A-415A-9A00-EC835F919BDC}" srcOrd="1" destOrd="0" presId="urn:microsoft.com/office/officeart/2008/layout/HalfCircleOrganizationChart"/>
    <dgm:cxn modelId="{6D4454C5-6D94-4AA3-8718-3758ED8029BB}" type="presParOf" srcId="{8C728F4B-534A-415A-9A00-EC835F919BDC}" destId="{F3AFD0C2-A79A-455A-8E6B-5554063C190E}" srcOrd="0" destOrd="0" presId="urn:microsoft.com/office/officeart/2008/layout/HalfCircleOrganizationChart"/>
    <dgm:cxn modelId="{DD0B138B-8B1F-4C3A-B3E5-C161210B72A6}" type="presParOf" srcId="{8C728F4B-534A-415A-9A00-EC835F919BDC}" destId="{BCB71A11-B4C9-46AB-A2CA-557CEFCC6B16}" srcOrd="1" destOrd="0" presId="urn:microsoft.com/office/officeart/2008/layout/HalfCircleOrganizationChart"/>
    <dgm:cxn modelId="{2522FCBE-39FB-48E7-AAD1-7016C5445BC3}" type="presParOf" srcId="{BCB71A11-B4C9-46AB-A2CA-557CEFCC6B16}" destId="{9E7887F8-2239-4493-B427-79715085100E}" srcOrd="0" destOrd="0" presId="urn:microsoft.com/office/officeart/2008/layout/HalfCircleOrganizationChart"/>
    <dgm:cxn modelId="{15994F47-63D6-46FC-82AB-C3E952596B02}" type="presParOf" srcId="{9E7887F8-2239-4493-B427-79715085100E}" destId="{A95F830A-555F-4430-A575-2B03A59B0FEB}" srcOrd="0" destOrd="0" presId="urn:microsoft.com/office/officeart/2008/layout/HalfCircleOrganizationChart"/>
    <dgm:cxn modelId="{1018985E-E704-4F0A-BCBB-D9EC0E843FB8}" type="presParOf" srcId="{9E7887F8-2239-4493-B427-79715085100E}" destId="{07474BAA-C318-471C-90FA-64AD32314619}" srcOrd="1" destOrd="0" presId="urn:microsoft.com/office/officeart/2008/layout/HalfCircleOrganizationChart"/>
    <dgm:cxn modelId="{4AC9BB0F-A746-4D57-A7FB-1EA95549545F}" type="presParOf" srcId="{9E7887F8-2239-4493-B427-79715085100E}" destId="{73D6ABE5-F6B8-4D26-B4B5-E4422A30DAA1}" srcOrd="2" destOrd="0" presId="urn:microsoft.com/office/officeart/2008/layout/HalfCircleOrganizationChart"/>
    <dgm:cxn modelId="{13E0EBCB-1B20-438E-8B69-0EF0F11D5746}" type="presParOf" srcId="{9E7887F8-2239-4493-B427-79715085100E}" destId="{93DDE46B-AAC7-4CA5-BF9B-2583D8E81D34}" srcOrd="3" destOrd="0" presId="urn:microsoft.com/office/officeart/2008/layout/HalfCircleOrganizationChart"/>
    <dgm:cxn modelId="{C0F6B64C-2C44-4D6D-957F-73B0CFD170F8}" type="presParOf" srcId="{BCB71A11-B4C9-46AB-A2CA-557CEFCC6B16}" destId="{251A731A-031C-4A16-9CCB-5B9DCB2A7D29}" srcOrd="1" destOrd="0" presId="urn:microsoft.com/office/officeart/2008/layout/HalfCircleOrganizationChart"/>
    <dgm:cxn modelId="{1ED43DC2-6AAD-4519-B104-5F7110359105}" type="presParOf" srcId="{BCB71A11-B4C9-46AB-A2CA-557CEFCC6B16}" destId="{FEB5C86E-677A-467C-9D43-26CFD04C0F89}" srcOrd="2" destOrd="0" presId="urn:microsoft.com/office/officeart/2008/layout/HalfCircleOrganizationChart"/>
    <dgm:cxn modelId="{1AD1B3A5-C6CF-4B06-8A1D-BE757247BAE0}" type="presParOf" srcId="{8C728F4B-534A-415A-9A00-EC835F919BDC}" destId="{46E77182-6917-40A1-BA67-A226CFA12223}" srcOrd="2" destOrd="0" presId="urn:microsoft.com/office/officeart/2008/layout/HalfCircleOrganizationChart"/>
    <dgm:cxn modelId="{BA973775-4750-4FCD-84B4-CF0AB39255BB}" type="presParOf" srcId="{8C728F4B-534A-415A-9A00-EC835F919BDC}" destId="{C16290DD-B885-4112-B5CF-5BF0A353F1E3}" srcOrd="3" destOrd="0" presId="urn:microsoft.com/office/officeart/2008/layout/HalfCircleOrganizationChart"/>
    <dgm:cxn modelId="{2DA78D3E-B2AD-4C43-A217-D8E6529CC269}" type="presParOf" srcId="{C16290DD-B885-4112-B5CF-5BF0A353F1E3}" destId="{DB2311AD-E583-459C-8950-DC821586E067}" srcOrd="0" destOrd="0" presId="urn:microsoft.com/office/officeart/2008/layout/HalfCircleOrganizationChart"/>
    <dgm:cxn modelId="{BB10C75C-7335-4FAA-B661-FC8291FF604C}" type="presParOf" srcId="{DB2311AD-E583-459C-8950-DC821586E067}" destId="{D5C6D44B-3474-4043-88F3-E423719FC7EF}" srcOrd="0" destOrd="0" presId="urn:microsoft.com/office/officeart/2008/layout/HalfCircleOrganizationChart"/>
    <dgm:cxn modelId="{A72C0F5B-3954-4D0C-B832-F5D19BE98808}" type="presParOf" srcId="{DB2311AD-E583-459C-8950-DC821586E067}" destId="{FC1F5114-6941-45F2-B716-8F00C0A38648}" srcOrd="1" destOrd="0" presId="urn:microsoft.com/office/officeart/2008/layout/HalfCircleOrganizationChart"/>
    <dgm:cxn modelId="{2EF1B286-386D-4A96-A970-98B062339B5F}" type="presParOf" srcId="{DB2311AD-E583-459C-8950-DC821586E067}" destId="{0AB96013-E449-43BC-87C2-3F3A206FDB2C}" srcOrd="2" destOrd="0" presId="urn:microsoft.com/office/officeart/2008/layout/HalfCircleOrganizationChart"/>
    <dgm:cxn modelId="{641B6B08-CF1B-4506-92A0-C0E0637349BC}" type="presParOf" srcId="{DB2311AD-E583-459C-8950-DC821586E067}" destId="{3F4BDF4F-F6C9-4EFB-A575-004BD1F0B329}" srcOrd="3" destOrd="0" presId="urn:microsoft.com/office/officeart/2008/layout/HalfCircleOrganizationChart"/>
    <dgm:cxn modelId="{D7697CEE-4366-490E-998B-74BA0A3FE2E9}" type="presParOf" srcId="{C16290DD-B885-4112-B5CF-5BF0A353F1E3}" destId="{2F2CF62D-568E-4289-8CC8-B60510390F68}" srcOrd="1" destOrd="0" presId="urn:microsoft.com/office/officeart/2008/layout/HalfCircleOrganizationChart"/>
    <dgm:cxn modelId="{409D6569-8E70-4E24-A898-62B090C7E94E}" type="presParOf" srcId="{C16290DD-B885-4112-B5CF-5BF0A353F1E3}" destId="{F1BBC024-E2D9-40A5-9789-5C77D65B5BAD}" srcOrd="2" destOrd="0" presId="urn:microsoft.com/office/officeart/2008/layout/HalfCircleOrganizationChart"/>
    <dgm:cxn modelId="{F374DFD9-BB30-463D-BA71-AB0A54657100}" type="presParOf" srcId="{8C728F4B-534A-415A-9A00-EC835F919BDC}" destId="{DA03AFB1-EA5E-4700-BAE6-1391053E0D51}" srcOrd="4" destOrd="0" presId="urn:microsoft.com/office/officeart/2008/layout/HalfCircleOrganizationChart"/>
    <dgm:cxn modelId="{75F9A380-3A57-4395-8C13-8AC13C0F9B8E}" type="presParOf" srcId="{8C728F4B-534A-415A-9A00-EC835F919BDC}" destId="{80E50390-D4DE-495B-91FB-1FE1FC6FAF0F}" srcOrd="5" destOrd="0" presId="urn:microsoft.com/office/officeart/2008/layout/HalfCircleOrganizationChart"/>
    <dgm:cxn modelId="{D5EB44C7-99D6-44FB-89D0-7276A2F700ED}" type="presParOf" srcId="{80E50390-D4DE-495B-91FB-1FE1FC6FAF0F}" destId="{C93B7A75-7544-40FD-84F1-3962B7BD5CD1}" srcOrd="0" destOrd="0" presId="urn:microsoft.com/office/officeart/2008/layout/HalfCircleOrganizationChart"/>
    <dgm:cxn modelId="{A0755F40-65A0-49B1-ADA5-EE540474BCD1}" type="presParOf" srcId="{C93B7A75-7544-40FD-84F1-3962B7BD5CD1}" destId="{88DB692F-3177-4DE4-B252-A1D70D022C69}" srcOrd="0" destOrd="0" presId="urn:microsoft.com/office/officeart/2008/layout/HalfCircleOrganizationChart"/>
    <dgm:cxn modelId="{B45903F7-5D84-4C2C-B062-F6A12773D342}" type="presParOf" srcId="{C93B7A75-7544-40FD-84F1-3962B7BD5CD1}" destId="{BD3CE561-02F0-467A-A259-FFF41DFD65D7}" srcOrd="1" destOrd="0" presId="urn:microsoft.com/office/officeart/2008/layout/HalfCircleOrganizationChart"/>
    <dgm:cxn modelId="{412D96F7-6277-49A9-B0BD-B1B3B7C49368}" type="presParOf" srcId="{C93B7A75-7544-40FD-84F1-3962B7BD5CD1}" destId="{02431569-3776-4B0B-AEC6-6852024B7F94}" srcOrd="2" destOrd="0" presId="urn:microsoft.com/office/officeart/2008/layout/HalfCircleOrganizationChart"/>
    <dgm:cxn modelId="{C7B43EDA-B303-44BB-A38E-B601A3711FED}" type="presParOf" srcId="{C93B7A75-7544-40FD-84F1-3962B7BD5CD1}" destId="{35AC3A4C-E186-4ADC-BFC6-3827AC3E096D}" srcOrd="3" destOrd="0" presId="urn:microsoft.com/office/officeart/2008/layout/HalfCircleOrganizationChart"/>
    <dgm:cxn modelId="{7B2E2C68-1F68-4611-9D63-54827C9AA1B8}" type="presParOf" srcId="{80E50390-D4DE-495B-91FB-1FE1FC6FAF0F}" destId="{1C9023DE-99F8-4F2E-8970-806ED3202735}" srcOrd="1" destOrd="0" presId="urn:microsoft.com/office/officeart/2008/layout/HalfCircleOrganizationChart"/>
    <dgm:cxn modelId="{62D0B81B-531E-41AE-B102-24603FE9E72A}" type="presParOf" srcId="{80E50390-D4DE-495B-91FB-1FE1FC6FAF0F}" destId="{AE86D057-6AE6-4308-95B8-A4E1825E8007}" srcOrd="2" destOrd="0" presId="urn:microsoft.com/office/officeart/2008/layout/HalfCircleOrganizationChart"/>
    <dgm:cxn modelId="{6F31D71E-A4FF-4E98-9334-D2D17D34917E}" type="presParOf" srcId="{6DA4035C-149D-4FFB-9608-B433C1B73670}" destId="{A407A057-E9F0-419E-B64E-B6C78F85A79B}" srcOrd="2" destOrd="0" presId="urn:microsoft.com/office/officeart/2008/layout/HalfCircleOrganizationChart"/>
    <dgm:cxn modelId="{C0807477-A415-42E9-AD5C-82DF9AAA3E7F}" type="presParOf" srcId="{E6C6CDE7-9B5A-42F1-98BA-B3EF23C76384}" destId="{A44D388E-7620-4C92-B42E-7877B6033D1D}" srcOrd="2" destOrd="0" presId="urn:microsoft.com/office/officeart/2008/layout/HalfCircleOrganizationChart"/>
    <dgm:cxn modelId="{B1A33A0C-DC06-4290-A31A-DC6A21DF4C5F}" type="presParOf" srcId="{E6C6CDE7-9B5A-42F1-98BA-B3EF23C76384}" destId="{A9AFAD07-6333-4D8E-89C7-5C45B3BF9863}" srcOrd="3" destOrd="0" presId="urn:microsoft.com/office/officeart/2008/layout/HalfCircleOrganizationChart"/>
    <dgm:cxn modelId="{A32FD880-A5A3-4EA4-BE11-F6158E4B8670}" type="presParOf" srcId="{A9AFAD07-6333-4D8E-89C7-5C45B3BF9863}" destId="{37702BD1-BDE6-4157-B506-6B36E5F80B2E}" srcOrd="0" destOrd="0" presId="urn:microsoft.com/office/officeart/2008/layout/HalfCircleOrganizationChart"/>
    <dgm:cxn modelId="{BBC4566A-9065-44B6-8BD2-75BEE3F05A5F}" type="presParOf" srcId="{37702BD1-BDE6-4157-B506-6B36E5F80B2E}" destId="{65A71810-D135-4F3C-9933-C5AAC9150B36}" srcOrd="0" destOrd="0" presId="urn:microsoft.com/office/officeart/2008/layout/HalfCircleOrganizationChart"/>
    <dgm:cxn modelId="{888AAD67-DD65-4ED1-A730-358239758A42}" type="presParOf" srcId="{37702BD1-BDE6-4157-B506-6B36E5F80B2E}" destId="{2D66B3BD-F27C-4F2D-994F-C4C5ED40C4EE}" srcOrd="1" destOrd="0" presId="urn:microsoft.com/office/officeart/2008/layout/HalfCircleOrganizationChart"/>
    <dgm:cxn modelId="{4992D8E1-6C15-4A6F-B024-B53ACA098133}" type="presParOf" srcId="{37702BD1-BDE6-4157-B506-6B36E5F80B2E}" destId="{B9DAF87D-7EE3-413F-A39C-EBF127AA7D34}" srcOrd="2" destOrd="0" presId="urn:microsoft.com/office/officeart/2008/layout/HalfCircleOrganizationChart"/>
    <dgm:cxn modelId="{BFE0D72D-6CDD-4DDE-B7A1-9E5BA81382D4}" type="presParOf" srcId="{37702BD1-BDE6-4157-B506-6B36E5F80B2E}" destId="{6296CCE6-2021-4EB7-B529-94FE5F735F51}" srcOrd="3" destOrd="0" presId="urn:microsoft.com/office/officeart/2008/layout/HalfCircleOrganizationChart"/>
    <dgm:cxn modelId="{2FA2FDFB-A54E-484F-8C36-6874AEE94CA5}" type="presParOf" srcId="{A9AFAD07-6333-4D8E-89C7-5C45B3BF9863}" destId="{8A1FBD92-CE32-4B1F-A22B-DB532AB442B9}" srcOrd="1" destOrd="0" presId="urn:microsoft.com/office/officeart/2008/layout/HalfCircleOrganizationChart"/>
    <dgm:cxn modelId="{08886918-5EF5-44CF-9399-37F77C842082}" type="presParOf" srcId="{A9AFAD07-6333-4D8E-89C7-5C45B3BF9863}" destId="{6B8BA972-92C8-4201-8BFA-D5B3E6D1E203}" srcOrd="2" destOrd="0" presId="urn:microsoft.com/office/officeart/2008/layout/HalfCircleOrganizationChart"/>
    <dgm:cxn modelId="{77D08A00-FD4D-4367-92CC-924D9BB2C820}" type="presParOf" srcId="{E6C6CDE7-9B5A-42F1-98BA-B3EF23C76384}" destId="{7C37BFE9-C653-495B-9556-81979EE434D3}" srcOrd="4" destOrd="0" presId="urn:microsoft.com/office/officeart/2008/layout/HalfCircleOrganizationChart"/>
    <dgm:cxn modelId="{FB84A6AF-3963-468B-BF39-8BC67948A722}" type="presParOf" srcId="{E6C6CDE7-9B5A-42F1-98BA-B3EF23C76384}" destId="{653F88F0-323F-4082-A491-8864E98A4603}" srcOrd="5" destOrd="0" presId="urn:microsoft.com/office/officeart/2008/layout/HalfCircleOrganizationChart"/>
    <dgm:cxn modelId="{6347A65D-B70F-496E-91D3-F0DD9848D58D}" type="presParOf" srcId="{653F88F0-323F-4082-A491-8864E98A4603}" destId="{5B05F769-4ED3-4012-91C0-973800F10D24}" srcOrd="0" destOrd="0" presId="urn:microsoft.com/office/officeart/2008/layout/HalfCircleOrganizationChart"/>
    <dgm:cxn modelId="{BAC182D6-AA3B-4753-BE30-DA65D6329BB4}" type="presParOf" srcId="{5B05F769-4ED3-4012-91C0-973800F10D24}" destId="{FFDE3A8D-7D37-447A-B0E9-67DD8F32B24C}" srcOrd="0" destOrd="0" presId="urn:microsoft.com/office/officeart/2008/layout/HalfCircleOrganizationChart"/>
    <dgm:cxn modelId="{693FC7A7-6B9D-4DAC-9B23-310D0C1CE1DD}" type="presParOf" srcId="{5B05F769-4ED3-4012-91C0-973800F10D24}" destId="{928109CB-CB74-4815-A305-A46C2A0F08B9}" srcOrd="1" destOrd="0" presId="urn:microsoft.com/office/officeart/2008/layout/HalfCircleOrganizationChart"/>
    <dgm:cxn modelId="{F3040114-0DE9-4311-AB8A-B8E8C9142EF5}" type="presParOf" srcId="{5B05F769-4ED3-4012-91C0-973800F10D24}" destId="{1F2E04F3-5C63-47C6-85F5-5920123E8E19}" srcOrd="2" destOrd="0" presId="urn:microsoft.com/office/officeart/2008/layout/HalfCircleOrganizationChart"/>
    <dgm:cxn modelId="{8DFA81D5-A992-4344-ADE8-6A98ACFC80BB}" type="presParOf" srcId="{5B05F769-4ED3-4012-91C0-973800F10D24}" destId="{0255CCBA-A394-4AF1-BB30-BCA7686ABB1D}" srcOrd="3" destOrd="0" presId="urn:microsoft.com/office/officeart/2008/layout/HalfCircleOrganizationChart"/>
    <dgm:cxn modelId="{F5863905-981E-4CAB-95EB-939BBB5799F3}" type="presParOf" srcId="{653F88F0-323F-4082-A491-8864E98A4603}" destId="{D92015BC-49B4-4132-9B9A-4D224830FC69}" srcOrd="1" destOrd="0" presId="urn:microsoft.com/office/officeart/2008/layout/HalfCircleOrganizationChart"/>
    <dgm:cxn modelId="{61F4071C-33BC-4309-8B8B-9B2B7B386B64}" type="presParOf" srcId="{653F88F0-323F-4082-A491-8864E98A4603}" destId="{D1658271-6FDA-4900-A286-61EB7680D283}" srcOrd="2" destOrd="0" presId="urn:microsoft.com/office/officeart/2008/layout/HalfCircleOrganizationChart"/>
    <dgm:cxn modelId="{F05815C0-015E-4D39-AADD-93B63D00A2C0}" type="presParOf" srcId="{9E99F37A-85A9-4D19-A0FB-5C2A5059A467}" destId="{41D22390-EEA3-4363-9E92-6BE2832D9EEC}" srcOrd="2" destOrd="0" presId="urn:microsoft.com/office/officeart/2008/layout/HalfCircleOrganizationChart"/>
  </dgm:cxnLst>
  <dgm:bg/>
  <dgm:whole>
    <a:ln w="12700"/>
  </dgm:whole>
  <dgm:extLst>
    <a:ext uri="http://schemas.microsoft.com/office/drawing/2008/diagram">
      <dsp:dataModelExt xmlns:dsp="http://schemas.microsoft.com/office/drawing/2008/diagram" relId="rId41"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37BFE9-C653-495B-9556-81979EE434D3}">
      <dsp:nvSpPr>
        <dsp:cNvPr id="0" name=""/>
        <dsp:cNvSpPr/>
      </dsp:nvSpPr>
      <dsp:spPr>
        <a:xfrm>
          <a:off x="2945876" y="575830"/>
          <a:ext cx="1369894" cy="149399"/>
        </a:xfrm>
        <a:custGeom>
          <a:avLst/>
          <a:gdLst/>
          <a:ahLst/>
          <a:cxnLst/>
          <a:rect l="0" t="0" r="0" b="0"/>
          <a:pathLst>
            <a:path>
              <a:moveTo>
                <a:pt x="0" y="0"/>
              </a:moveTo>
              <a:lnTo>
                <a:pt x="0" y="39522"/>
              </a:lnTo>
              <a:lnTo>
                <a:pt x="1369894" y="39522"/>
              </a:lnTo>
              <a:lnTo>
                <a:pt x="1369894" y="149399"/>
              </a:lnTo>
            </a:path>
          </a:pathLst>
        </a:custGeom>
        <a:noFill/>
        <a:ln w="12700" cap="flat" cmpd="sng" algn="ctr">
          <a:solidFill>
            <a:scrgbClr r="0" g="0" b="0"/>
          </a:solidFill>
          <a:prstDash val="solid"/>
          <a:tailEnd type="stealth"/>
        </a:ln>
        <a:effectLst/>
      </dsp:spPr>
      <dsp:style>
        <a:lnRef idx="2">
          <a:scrgbClr r="0" g="0" b="0"/>
        </a:lnRef>
        <a:fillRef idx="0">
          <a:scrgbClr r="0" g="0" b="0"/>
        </a:fillRef>
        <a:effectRef idx="0">
          <a:scrgbClr r="0" g="0" b="0"/>
        </a:effectRef>
        <a:fontRef idx="minor"/>
      </dsp:style>
    </dsp:sp>
    <dsp:sp modelId="{A44D388E-7620-4C92-B42E-7877B6033D1D}">
      <dsp:nvSpPr>
        <dsp:cNvPr id="0" name=""/>
        <dsp:cNvSpPr/>
      </dsp:nvSpPr>
      <dsp:spPr>
        <a:xfrm>
          <a:off x="2900156" y="575830"/>
          <a:ext cx="91440" cy="168252"/>
        </a:xfrm>
        <a:custGeom>
          <a:avLst/>
          <a:gdLst/>
          <a:ahLst/>
          <a:cxnLst/>
          <a:rect l="0" t="0" r="0" b="0"/>
          <a:pathLst>
            <a:path>
              <a:moveTo>
                <a:pt x="45720" y="0"/>
              </a:moveTo>
              <a:lnTo>
                <a:pt x="45720" y="168252"/>
              </a:lnTo>
            </a:path>
          </a:pathLst>
        </a:custGeom>
        <a:noFill/>
        <a:ln w="12700" cap="flat" cmpd="sng" algn="ctr">
          <a:solidFill>
            <a:scrgbClr r="0" g="0" b="0"/>
          </a:solidFill>
          <a:prstDash val="solid"/>
          <a:tailEnd type="stealth"/>
        </a:ln>
        <a:effectLst/>
      </dsp:spPr>
      <dsp:style>
        <a:lnRef idx="2">
          <a:scrgbClr r="0" g="0" b="0"/>
        </a:lnRef>
        <a:fillRef idx="0">
          <a:scrgbClr r="0" g="0" b="0"/>
        </a:fillRef>
        <a:effectRef idx="0">
          <a:scrgbClr r="0" g="0" b="0"/>
        </a:effectRef>
        <a:fontRef idx="minor"/>
      </dsp:style>
    </dsp:sp>
    <dsp:sp modelId="{DA03AFB1-EA5E-4700-BAE6-1391053E0D51}">
      <dsp:nvSpPr>
        <dsp:cNvPr id="0" name=""/>
        <dsp:cNvSpPr/>
      </dsp:nvSpPr>
      <dsp:spPr>
        <a:xfrm>
          <a:off x="1566553" y="1239023"/>
          <a:ext cx="856475" cy="1869736"/>
        </a:xfrm>
        <a:custGeom>
          <a:avLst/>
          <a:gdLst/>
          <a:ahLst/>
          <a:cxnLst/>
          <a:rect l="0" t="0" r="0" b="0"/>
          <a:pathLst>
            <a:path>
              <a:moveTo>
                <a:pt x="0" y="0"/>
              </a:moveTo>
              <a:lnTo>
                <a:pt x="0" y="1828172"/>
              </a:lnTo>
              <a:lnTo>
                <a:pt x="594487" y="1828172"/>
              </a:lnTo>
            </a:path>
          </a:pathLst>
        </a:custGeom>
        <a:noFill/>
        <a:ln w="12700" cap="flat" cmpd="sng" algn="ctr">
          <a:solidFill>
            <a:scrgbClr r="0" g="0" b="0"/>
          </a:solidFill>
          <a:prstDash val="solid"/>
          <a:tailEnd type="stealth"/>
        </a:ln>
        <a:effectLst/>
      </dsp:spPr>
      <dsp:style>
        <a:lnRef idx="2">
          <a:scrgbClr r="0" g="0" b="0"/>
        </a:lnRef>
        <a:fillRef idx="0">
          <a:scrgbClr r="0" g="0" b="0"/>
        </a:fillRef>
        <a:effectRef idx="0">
          <a:scrgbClr r="0" g="0" b="0"/>
        </a:effectRef>
        <a:fontRef idx="minor"/>
      </dsp:style>
    </dsp:sp>
    <dsp:sp modelId="{46E77182-6917-40A1-BA67-A226CFA12223}">
      <dsp:nvSpPr>
        <dsp:cNvPr id="0" name=""/>
        <dsp:cNvSpPr/>
      </dsp:nvSpPr>
      <dsp:spPr>
        <a:xfrm>
          <a:off x="1566553" y="1239023"/>
          <a:ext cx="594487" cy="1085194"/>
        </a:xfrm>
        <a:custGeom>
          <a:avLst/>
          <a:gdLst/>
          <a:ahLst/>
          <a:cxnLst/>
          <a:rect l="0" t="0" r="0" b="0"/>
          <a:pathLst>
            <a:path>
              <a:moveTo>
                <a:pt x="0" y="0"/>
              </a:moveTo>
              <a:lnTo>
                <a:pt x="0" y="1085194"/>
              </a:lnTo>
              <a:lnTo>
                <a:pt x="594487" y="1085194"/>
              </a:lnTo>
            </a:path>
          </a:pathLst>
        </a:custGeom>
        <a:noFill/>
        <a:ln w="12700" cap="flat" cmpd="sng" algn="ctr">
          <a:solidFill>
            <a:scrgbClr r="0" g="0" b="0"/>
          </a:solidFill>
          <a:prstDash val="solid"/>
          <a:tailEnd type="stealth"/>
        </a:ln>
        <a:effectLst/>
      </dsp:spPr>
      <dsp:style>
        <a:lnRef idx="2">
          <a:scrgbClr r="0" g="0" b="0"/>
        </a:lnRef>
        <a:fillRef idx="0">
          <a:scrgbClr r="0" g="0" b="0"/>
        </a:fillRef>
        <a:effectRef idx="0">
          <a:scrgbClr r="0" g="0" b="0"/>
        </a:effectRef>
        <a:fontRef idx="minor"/>
      </dsp:style>
    </dsp:sp>
    <dsp:sp modelId="{F3AFD0C2-A79A-455A-8E6B-5554063C190E}">
      <dsp:nvSpPr>
        <dsp:cNvPr id="0" name=""/>
        <dsp:cNvSpPr/>
      </dsp:nvSpPr>
      <dsp:spPr>
        <a:xfrm>
          <a:off x="1566553" y="1239023"/>
          <a:ext cx="594487" cy="342216"/>
        </a:xfrm>
        <a:custGeom>
          <a:avLst/>
          <a:gdLst/>
          <a:ahLst/>
          <a:cxnLst/>
          <a:rect l="0" t="0" r="0" b="0"/>
          <a:pathLst>
            <a:path>
              <a:moveTo>
                <a:pt x="0" y="0"/>
              </a:moveTo>
              <a:lnTo>
                <a:pt x="0" y="342216"/>
              </a:lnTo>
              <a:lnTo>
                <a:pt x="594487" y="342216"/>
              </a:lnTo>
            </a:path>
          </a:pathLst>
        </a:custGeom>
        <a:noFill/>
        <a:ln w="12700" cap="flat" cmpd="sng" algn="ctr">
          <a:solidFill>
            <a:scrgbClr r="0" g="0" b="0"/>
          </a:solidFill>
          <a:prstDash val="solid"/>
          <a:tailEnd type="stealth"/>
        </a:ln>
        <a:effectLst/>
      </dsp:spPr>
      <dsp:style>
        <a:lnRef idx="2">
          <a:scrgbClr r="0" g="0" b="0"/>
        </a:lnRef>
        <a:fillRef idx="0">
          <a:scrgbClr r="0" g="0" b="0"/>
        </a:fillRef>
        <a:effectRef idx="0">
          <a:scrgbClr r="0" g="0" b="0"/>
        </a:effectRef>
        <a:fontRef idx="minor"/>
      </dsp:style>
    </dsp:sp>
    <dsp:sp modelId="{EC445EC9-02F4-4CAD-8FF0-B8DAAB9712AF}">
      <dsp:nvSpPr>
        <dsp:cNvPr id="0" name=""/>
        <dsp:cNvSpPr/>
      </dsp:nvSpPr>
      <dsp:spPr>
        <a:xfrm>
          <a:off x="1566553" y="575830"/>
          <a:ext cx="1379322" cy="139969"/>
        </a:xfrm>
        <a:custGeom>
          <a:avLst/>
          <a:gdLst/>
          <a:ahLst/>
          <a:cxnLst/>
          <a:rect l="0" t="0" r="0" b="0"/>
          <a:pathLst>
            <a:path>
              <a:moveTo>
                <a:pt x="1379322" y="0"/>
              </a:moveTo>
              <a:lnTo>
                <a:pt x="1379322" y="30092"/>
              </a:lnTo>
              <a:lnTo>
                <a:pt x="0" y="30092"/>
              </a:lnTo>
              <a:lnTo>
                <a:pt x="0" y="139969"/>
              </a:lnTo>
            </a:path>
          </a:pathLst>
        </a:custGeom>
        <a:noFill/>
        <a:ln w="12700" cap="flat" cmpd="sng" algn="ctr">
          <a:solidFill>
            <a:scrgbClr r="0" g="0" b="0"/>
          </a:solidFill>
          <a:prstDash val="solid"/>
          <a:tailEnd type="stealth"/>
        </a:ln>
        <a:effectLst/>
      </dsp:spPr>
      <dsp:style>
        <a:lnRef idx="2">
          <a:scrgbClr r="0" g="0" b="0"/>
        </a:lnRef>
        <a:fillRef idx="0">
          <a:scrgbClr r="0" g="0" b="0"/>
        </a:fillRef>
        <a:effectRef idx="0">
          <a:scrgbClr r="0" g="0" b="0"/>
        </a:effectRef>
        <a:fontRef idx="minor"/>
      </dsp:style>
    </dsp:sp>
    <dsp:sp modelId="{E12C7177-0A4C-4D05-AE6C-67BB90D293CF}">
      <dsp:nvSpPr>
        <dsp:cNvPr id="0" name=""/>
        <dsp:cNvSpPr/>
      </dsp:nvSpPr>
      <dsp:spPr>
        <a:xfrm>
          <a:off x="2684264" y="52606"/>
          <a:ext cx="523223" cy="523223"/>
        </a:xfrm>
        <a:prstGeom prst="arc">
          <a:avLst>
            <a:gd name="adj1" fmla="val 13200000"/>
            <a:gd name="adj2" fmla="val 192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255FF030-8C32-4CCC-9883-E16C4EE8ACB3}">
      <dsp:nvSpPr>
        <dsp:cNvPr id="0" name=""/>
        <dsp:cNvSpPr/>
      </dsp:nvSpPr>
      <dsp:spPr>
        <a:xfrm>
          <a:off x="2684264" y="52606"/>
          <a:ext cx="523223" cy="523223"/>
        </a:xfrm>
        <a:prstGeom prst="arc">
          <a:avLst>
            <a:gd name="adj1" fmla="val 2400000"/>
            <a:gd name="adj2" fmla="val 84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A787E935-F035-408B-8CA5-8302367DCD77}">
      <dsp:nvSpPr>
        <dsp:cNvPr id="0" name=""/>
        <dsp:cNvSpPr/>
      </dsp:nvSpPr>
      <dsp:spPr>
        <a:xfrm>
          <a:off x="2422652" y="146786"/>
          <a:ext cx="1046447" cy="334863"/>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b="1" kern="1200">
              <a:solidFill>
                <a:sysClr val="windowText" lastClr="000000">
                  <a:hueOff val="0"/>
                  <a:satOff val="0"/>
                  <a:lumOff val="0"/>
                  <a:alphaOff val="0"/>
                </a:sysClr>
              </a:solidFill>
              <a:latin typeface="Garamond" panose="02020404030301010803" pitchFamily="18" charset="0"/>
              <a:ea typeface="+mn-ea"/>
              <a:cs typeface="+mn-cs"/>
            </a:rPr>
            <a:t>Return on equity (ROE)</a:t>
          </a:r>
          <a:endParaRPr lang="uk-UA" sz="1400" b="1" kern="1200">
            <a:solidFill>
              <a:sysClr val="windowText" lastClr="000000">
                <a:hueOff val="0"/>
                <a:satOff val="0"/>
                <a:lumOff val="0"/>
                <a:alphaOff val="0"/>
              </a:sysClr>
            </a:solidFill>
            <a:latin typeface="Garamond" panose="02020404030301010803" pitchFamily="18" charset="0"/>
            <a:ea typeface="+mn-ea"/>
            <a:cs typeface="+mn-cs"/>
          </a:endParaRPr>
        </a:p>
      </dsp:txBody>
      <dsp:txXfrm>
        <a:off x="2422652" y="146786"/>
        <a:ext cx="1046447" cy="334863"/>
      </dsp:txXfrm>
    </dsp:sp>
    <dsp:sp modelId="{72B94A63-CCCE-45E8-89EB-6B8EC593587C}">
      <dsp:nvSpPr>
        <dsp:cNvPr id="0" name=""/>
        <dsp:cNvSpPr/>
      </dsp:nvSpPr>
      <dsp:spPr>
        <a:xfrm>
          <a:off x="1304941" y="715799"/>
          <a:ext cx="523223" cy="523223"/>
        </a:xfrm>
        <a:prstGeom prst="arc">
          <a:avLst>
            <a:gd name="adj1" fmla="val 13200000"/>
            <a:gd name="adj2" fmla="val 192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F1075CB0-E62D-4FF9-97F1-5FF2E1FFB994}">
      <dsp:nvSpPr>
        <dsp:cNvPr id="0" name=""/>
        <dsp:cNvSpPr/>
      </dsp:nvSpPr>
      <dsp:spPr>
        <a:xfrm>
          <a:off x="1304941" y="715799"/>
          <a:ext cx="523223" cy="523223"/>
        </a:xfrm>
        <a:prstGeom prst="arc">
          <a:avLst>
            <a:gd name="adj1" fmla="val 2400000"/>
            <a:gd name="adj2" fmla="val 84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0D2AF006-08D6-4010-B9CD-223AE7565513}">
      <dsp:nvSpPr>
        <dsp:cNvPr id="0" name=""/>
        <dsp:cNvSpPr/>
      </dsp:nvSpPr>
      <dsp:spPr>
        <a:xfrm>
          <a:off x="1043329" y="809979"/>
          <a:ext cx="1046447" cy="334863"/>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Text" lastClr="000000">
                  <a:hueOff val="0"/>
                  <a:satOff val="0"/>
                  <a:lumOff val="0"/>
                  <a:alphaOff val="0"/>
                </a:sysClr>
              </a:solidFill>
              <a:latin typeface="Garamond" panose="02020404030301010803" pitchFamily="18" charset="0"/>
              <a:ea typeface="+mn-ea"/>
              <a:cs typeface="+mn-cs"/>
            </a:rPr>
            <a:t>Net profit margin</a:t>
          </a:r>
          <a:endParaRPr lang="uk-UA" sz="1400" kern="1200">
            <a:solidFill>
              <a:sysClr val="windowText" lastClr="000000">
                <a:hueOff val="0"/>
                <a:satOff val="0"/>
                <a:lumOff val="0"/>
                <a:alphaOff val="0"/>
              </a:sysClr>
            </a:solidFill>
            <a:latin typeface="Garamond" panose="02020404030301010803" pitchFamily="18" charset="0"/>
            <a:ea typeface="+mn-ea"/>
            <a:cs typeface="+mn-cs"/>
          </a:endParaRPr>
        </a:p>
      </dsp:txBody>
      <dsp:txXfrm>
        <a:off x="1043329" y="809979"/>
        <a:ext cx="1046447" cy="334863"/>
      </dsp:txXfrm>
    </dsp:sp>
    <dsp:sp modelId="{07474BAA-C318-471C-90FA-64AD32314619}">
      <dsp:nvSpPr>
        <dsp:cNvPr id="0" name=""/>
        <dsp:cNvSpPr/>
      </dsp:nvSpPr>
      <dsp:spPr>
        <a:xfrm>
          <a:off x="2098253" y="1487060"/>
          <a:ext cx="523223" cy="523223"/>
        </a:xfrm>
        <a:prstGeom prst="arc">
          <a:avLst>
            <a:gd name="adj1" fmla="val 13200000"/>
            <a:gd name="adj2" fmla="val 192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73D6ABE5-F6B8-4D26-B4B5-E4422A30DAA1}">
      <dsp:nvSpPr>
        <dsp:cNvPr id="0" name=""/>
        <dsp:cNvSpPr/>
      </dsp:nvSpPr>
      <dsp:spPr>
        <a:xfrm>
          <a:off x="2098253" y="1487060"/>
          <a:ext cx="523223" cy="523223"/>
        </a:xfrm>
        <a:prstGeom prst="arc">
          <a:avLst>
            <a:gd name="adj1" fmla="val 2400000"/>
            <a:gd name="adj2" fmla="val 84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A95F830A-555F-4430-A575-2B03A59B0FEB}">
      <dsp:nvSpPr>
        <dsp:cNvPr id="0" name=""/>
        <dsp:cNvSpPr/>
      </dsp:nvSpPr>
      <dsp:spPr>
        <a:xfrm>
          <a:off x="1836641" y="1581240"/>
          <a:ext cx="1046447" cy="334863"/>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Text" lastClr="000000">
                  <a:hueOff val="0"/>
                  <a:satOff val="0"/>
                  <a:lumOff val="0"/>
                  <a:alphaOff val="0"/>
                </a:sysClr>
              </a:solidFill>
              <a:latin typeface="Garamond" panose="02020404030301010803" pitchFamily="18" charset="0"/>
              <a:ea typeface="+mn-ea"/>
              <a:cs typeface="+mn-cs"/>
            </a:rPr>
            <a:t>Operation profit margin</a:t>
          </a:r>
          <a:endParaRPr lang="uk-UA" sz="1400" kern="1200">
            <a:solidFill>
              <a:sysClr val="windowText" lastClr="000000">
                <a:hueOff val="0"/>
                <a:satOff val="0"/>
                <a:lumOff val="0"/>
                <a:alphaOff val="0"/>
              </a:sysClr>
            </a:solidFill>
            <a:latin typeface="Garamond" panose="02020404030301010803" pitchFamily="18" charset="0"/>
            <a:ea typeface="+mn-ea"/>
            <a:cs typeface="+mn-cs"/>
          </a:endParaRPr>
        </a:p>
      </dsp:txBody>
      <dsp:txXfrm>
        <a:off x="1836641" y="1581240"/>
        <a:ext cx="1046447" cy="334863"/>
      </dsp:txXfrm>
    </dsp:sp>
    <dsp:sp modelId="{FC1F5114-6941-45F2-B716-8F00C0A38648}">
      <dsp:nvSpPr>
        <dsp:cNvPr id="0" name=""/>
        <dsp:cNvSpPr/>
      </dsp:nvSpPr>
      <dsp:spPr>
        <a:xfrm>
          <a:off x="2098253" y="2230038"/>
          <a:ext cx="523223" cy="523223"/>
        </a:xfrm>
        <a:prstGeom prst="arc">
          <a:avLst>
            <a:gd name="adj1" fmla="val 13200000"/>
            <a:gd name="adj2" fmla="val 192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0AB96013-E449-43BC-87C2-3F3A206FDB2C}">
      <dsp:nvSpPr>
        <dsp:cNvPr id="0" name=""/>
        <dsp:cNvSpPr/>
      </dsp:nvSpPr>
      <dsp:spPr>
        <a:xfrm>
          <a:off x="2098253" y="2230038"/>
          <a:ext cx="523223" cy="523223"/>
        </a:xfrm>
        <a:prstGeom prst="arc">
          <a:avLst>
            <a:gd name="adj1" fmla="val 2400000"/>
            <a:gd name="adj2" fmla="val 84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D5C6D44B-3474-4043-88F3-E423719FC7EF}">
      <dsp:nvSpPr>
        <dsp:cNvPr id="0" name=""/>
        <dsp:cNvSpPr/>
      </dsp:nvSpPr>
      <dsp:spPr>
        <a:xfrm>
          <a:off x="1836641" y="2324218"/>
          <a:ext cx="1046447" cy="334863"/>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Text" lastClr="000000">
                  <a:hueOff val="0"/>
                  <a:satOff val="0"/>
                  <a:lumOff val="0"/>
                  <a:alphaOff val="0"/>
                </a:sysClr>
              </a:solidFill>
              <a:latin typeface="Garamond" panose="02020404030301010803" pitchFamily="18" charset="0"/>
              <a:ea typeface="+mn-ea"/>
              <a:cs typeface="+mn-cs"/>
            </a:rPr>
            <a:t>Tax effect</a:t>
          </a:r>
          <a:endParaRPr lang="uk-UA" sz="1400" kern="1200">
            <a:solidFill>
              <a:sysClr val="windowText" lastClr="000000">
                <a:hueOff val="0"/>
                <a:satOff val="0"/>
                <a:lumOff val="0"/>
                <a:alphaOff val="0"/>
              </a:sysClr>
            </a:solidFill>
            <a:latin typeface="Garamond" panose="02020404030301010803" pitchFamily="18" charset="0"/>
            <a:ea typeface="+mn-ea"/>
            <a:cs typeface="+mn-cs"/>
          </a:endParaRPr>
        </a:p>
      </dsp:txBody>
      <dsp:txXfrm>
        <a:off x="1836641" y="2324218"/>
        <a:ext cx="1046447" cy="334863"/>
      </dsp:txXfrm>
    </dsp:sp>
    <dsp:sp modelId="{BD3CE561-02F0-467A-A259-FFF41DFD65D7}">
      <dsp:nvSpPr>
        <dsp:cNvPr id="0" name=""/>
        <dsp:cNvSpPr/>
      </dsp:nvSpPr>
      <dsp:spPr>
        <a:xfrm>
          <a:off x="2311545" y="3014579"/>
          <a:ext cx="929025" cy="523223"/>
        </a:xfrm>
        <a:prstGeom prst="arc">
          <a:avLst>
            <a:gd name="adj1" fmla="val 13200000"/>
            <a:gd name="adj2" fmla="val 192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02431569-3776-4B0B-AEC6-6852024B7F94}">
      <dsp:nvSpPr>
        <dsp:cNvPr id="0" name=""/>
        <dsp:cNvSpPr/>
      </dsp:nvSpPr>
      <dsp:spPr>
        <a:xfrm>
          <a:off x="2311545" y="3014579"/>
          <a:ext cx="929025" cy="523223"/>
        </a:xfrm>
        <a:prstGeom prst="arc">
          <a:avLst>
            <a:gd name="adj1" fmla="val 2400000"/>
            <a:gd name="adj2" fmla="val 84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88DB692F-3177-4DE4-B252-A1D70D022C69}">
      <dsp:nvSpPr>
        <dsp:cNvPr id="0" name=""/>
        <dsp:cNvSpPr/>
      </dsp:nvSpPr>
      <dsp:spPr>
        <a:xfrm>
          <a:off x="1847033" y="3108759"/>
          <a:ext cx="1858051" cy="334863"/>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Text" lastClr="000000">
                  <a:hueOff val="0"/>
                  <a:satOff val="0"/>
                  <a:lumOff val="0"/>
                  <a:alphaOff val="0"/>
                </a:sysClr>
              </a:solidFill>
              <a:latin typeface="Garamond" panose="02020404030301010803" pitchFamily="18" charset="0"/>
              <a:ea typeface="+mn-ea"/>
              <a:cs typeface="+mn-cs"/>
            </a:rPr>
            <a:t>Effect of non-operating items</a:t>
          </a:r>
          <a:endParaRPr lang="uk-UA" sz="1400" kern="1200">
            <a:solidFill>
              <a:sysClr val="windowText" lastClr="000000">
                <a:hueOff val="0"/>
                <a:satOff val="0"/>
                <a:lumOff val="0"/>
                <a:alphaOff val="0"/>
              </a:sysClr>
            </a:solidFill>
            <a:latin typeface="Garamond" panose="02020404030301010803" pitchFamily="18" charset="0"/>
            <a:ea typeface="+mn-ea"/>
            <a:cs typeface="+mn-cs"/>
          </a:endParaRPr>
        </a:p>
      </dsp:txBody>
      <dsp:txXfrm>
        <a:off x="1847033" y="3108759"/>
        <a:ext cx="1858051" cy="334863"/>
      </dsp:txXfrm>
    </dsp:sp>
    <dsp:sp modelId="{2D66B3BD-F27C-4F2D-994F-C4C5ED40C4EE}">
      <dsp:nvSpPr>
        <dsp:cNvPr id="0" name=""/>
        <dsp:cNvSpPr/>
      </dsp:nvSpPr>
      <dsp:spPr>
        <a:xfrm>
          <a:off x="2684264" y="744082"/>
          <a:ext cx="523223" cy="523223"/>
        </a:xfrm>
        <a:prstGeom prst="arc">
          <a:avLst>
            <a:gd name="adj1" fmla="val 13200000"/>
            <a:gd name="adj2" fmla="val 192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B9DAF87D-7EE3-413F-A39C-EBF127AA7D34}">
      <dsp:nvSpPr>
        <dsp:cNvPr id="0" name=""/>
        <dsp:cNvSpPr/>
      </dsp:nvSpPr>
      <dsp:spPr>
        <a:xfrm>
          <a:off x="2684264" y="744082"/>
          <a:ext cx="523223" cy="523223"/>
        </a:xfrm>
        <a:prstGeom prst="arc">
          <a:avLst>
            <a:gd name="adj1" fmla="val 2400000"/>
            <a:gd name="adj2" fmla="val 84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65A71810-D135-4F3C-9933-C5AAC9150B36}">
      <dsp:nvSpPr>
        <dsp:cNvPr id="0" name=""/>
        <dsp:cNvSpPr/>
      </dsp:nvSpPr>
      <dsp:spPr>
        <a:xfrm>
          <a:off x="2422652" y="838262"/>
          <a:ext cx="1046447" cy="334863"/>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Text" lastClr="000000">
                  <a:hueOff val="0"/>
                  <a:satOff val="0"/>
                  <a:lumOff val="0"/>
                  <a:alphaOff val="0"/>
                </a:sysClr>
              </a:solidFill>
              <a:latin typeface="Garamond" panose="02020404030301010803" pitchFamily="18" charset="0"/>
              <a:ea typeface="+mn-ea"/>
              <a:cs typeface="+mn-cs"/>
            </a:rPr>
            <a:t>Equity multiplier</a:t>
          </a:r>
          <a:endParaRPr lang="uk-UA" sz="1400" kern="1200">
            <a:solidFill>
              <a:sysClr val="windowText" lastClr="000000">
                <a:hueOff val="0"/>
                <a:satOff val="0"/>
                <a:lumOff val="0"/>
                <a:alphaOff val="0"/>
              </a:sysClr>
            </a:solidFill>
            <a:latin typeface="Garamond" panose="02020404030301010803" pitchFamily="18" charset="0"/>
            <a:ea typeface="+mn-ea"/>
            <a:cs typeface="+mn-cs"/>
          </a:endParaRPr>
        </a:p>
      </dsp:txBody>
      <dsp:txXfrm>
        <a:off x="2422652" y="838262"/>
        <a:ext cx="1046447" cy="334863"/>
      </dsp:txXfrm>
    </dsp:sp>
    <dsp:sp modelId="{928109CB-CB74-4815-A305-A46C2A0F08B9}">
      <dsp:nvSpPr>
        <dsp:cNvPr id="0" name=""/>
        <dsp:cNvSpPr/>
      </dsp:nvSpPr>
      <dsp:spPr>
        <a:xfrm>
          <a:off x="4054158" y="725229"/>
          <a:ext cx="523223" cy="523223"/>
        </a:xfrm>
        <a:prstGeom prst="arc">
          <a:avLst>
            <a:gd name="adj1" fmla="val 13200000"/>
            <a:gd name="adj2" fmla="val 192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1F2E04F3-5C63-47C6-85F5-5920123E8E19}">
      <dsp:nvSpPr>
        <dsp:cNvPr id="0" name=""/>
        <dsp:cNvSpPr/>
      </dsp:nvSpPr>
      <dsp:spPr>
        <a:xfrm>
          <a:off x="4054158" y="725229"/>
          <a:ext cx="523223" cy="523223"/>
        </a:xfrm>
        <a:prstGeom prst="arc">
          <a:avLst>
            <a:gd name="adj1" fmla="val 2400000"/>
            <a:gd name="adj2" fmla="val 8400000"/>
          </a:avLst>
        </a:prstGeom>
        <a:noFill/>
        <a:ln w="1270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FFDE3A8D-7D37-447A-B0E9-67DD8F32B24C}">
      <dsp:nvSpPr>
        <dsp:cNvPr id="0" name=""/>
        <dsp:cNvSpPr/>
      </dsp:nvSpPr>
      <dsp:spPr>
        <a:xfrm>
          <a:off x="3792546" y="819409"/>
          <a:ext cx="1046447" cy="334863"/>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Text" lastClr="000000">
                  <a:hueOff val="0"/>
                  <a:satOff val="0"/>
                  <a:lumOff val="0"/>
                  <a:alphaOff val="0"/>
                </a:sysClr>
              </a:solidFill>
              <a:latin typeface="Garamond" panose="02020404030301010803" pitchFamily="18" charset="0"/>
              <a:ea typeface="+mn-ea"/>
              <a:cs typeface="+mn-cs"/>
            </a:rPr>
            <a:t>Total asset turnover</a:t>
          </a:r>
          <a:endParaRPr lang="uk-UA" sz="1400" kern="1200">
            <a:solidFill>
              <a:sysClr val="windowText" lastClr="000000">
                <a:hueOff val="0"/>
                <a:satOff val="0"/>
                <a:lumOff val="0"/>
                <a:alphaOff val="0"/>
              </a:sysClr>
            </a:solidFill>
            <a:latin typeface="Garamond" panose="02020404030301010803" pitchFamily="18" charset="0"/>
            <a:ea typeface="+mn-ea"/>
            <a:cs typeface="+mn-cs"/>
          </a:endParaRPr>
        </a:p>
      </dsp:txBody>
      <dsp:txXfrm>
        <a:off x="3792546" y="819409"/>
        <a:ext cx="1046447" cy="334863"/>
      </dsp:txXfrm>
    </dsp:sp>
  </dsp:spTree>
</dsp:drawing>
</file>

<file path=word/diagrams/layout1.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59A0D3-7277-4BDB-B437-E4FFBDD1E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C:\Users\m.m.brychko\AppData\Roaming\Microsoft\Шаблоны\Деловой отчет.dot</Template>
  <TotalTime>0</TotalTime>
  <Pages>275</Pages>
  <Words>81726</Words>
  <Characters>465841</Characters>
  <Application>Microsoft Office Word</Application>
  <DocSecurity>0</DocSecurity>
  <Lines>3882</Lines>
  <Paragraphs>1092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[Название компании]</vt:lpstr>
    </vt:vector>
  </TitlesOfParts>
  <Company>Microsoft Corporation</Company>
  <LinksUpToDate>false</LinksUpToDate>
  <CharactersWithSpaces>546475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Бричко Марина Михайлівна</dc:creator>
  <cp:lastModifiedBy>Maryna Brychko</cp:lastModifiedBy>
  <cp:revision>2</cp:revision>
  <cp:lastPrinted>2017-04-28T07:23:00Z</cp:lastPrinted>
  <dcterms:created xsi:type="dcterms:W3CDTF">2023-09-08T09:13:00Z</dcterms:created>
  <dcterms:modified xsi:type="dcterms:W3CDTF">2023-09-08T09:13:00Z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TC010178171049</vt:lpwstr>
  </property>
</Properties>
</file>